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7A357" w14:textId="77777777" w:rsidR="00F31387" w:rsidRDefault="00F31387" w:rsidP="003B7D0E">
      <w:pPr>
        <w:pStyle w:val="BasicParagraph"/>
        <w:suppressAutoHyphens/>
        <w:jc w:val="center"/>
        <w:rPr>
          <w:rFonts w:ascii="Verdana" w:hAnsi="Verdana" w:cs="Arial"/>
          <w:b/>
          <w:bCs/>
          <w:color w:val="734791"/>
          <w:sz w:val="36"/>
          <w:szCs w:val="36"/>
        </w:rPr>
      </w:pPr>
      <w:r w:rsidRPr="00EA12CE">
        <w:rPr>
          <w:rFonts w:ascii="Verdana" w:hAnsi="Verdana" w:cs="Arial"/>
          <w:b/>
          <w:bCs/>
          <w:noProof/>
          <w:color w:val="734791"/>
          <w:sz w:val="36"/>
          <w:szCs w:val="36"/>
          <w:lang w:eastAsia="en-GB"/>
        </w:rPr>
        <w:drawing>
          <wp:inline distT="0" distB="0" distL="0" distR="0" wp14:anchorId="19F72942" wp14:editId="39F682F9">
            <wp:extent cx="2908485" cy="3886623"/>
            <wp:effectExtent l="0" t="0" r="0" b="0"/>
            <wp:docPr id="7" name="Picture 7" descr="Studio Volume:Corey Watson:Corey Watson CURRENT WORK:27689 - HUMAN RIGHTS Brand Guidelines:PDF:NIHRC LOGO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io Volume:Corey Watson:Corey Watson CURRENT WORK:27689 - HUMAN RIGHTS Brand Guidelines:PDF:NIHRC LOGOs-0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8982" cy="3887287"/>
                    </a:xfrm>
                    <a:prstGeom prst="rect">
                      <a:avLst/>
                    </a:prstGeom>
                    <a:noFill/>
                    <a:ln>
                      <a:noFill/>
                    </a:ln>
                  </pic:spPr>
                </pic:pic>
              </a:graphicData>
            </a:graphic>
          </wp:inline>
        </w:drawing>
      </w:r>
    </w:p>
    <w:p w14:paraId="7302315F" w14:textId="77777777" w:rsidR="003B7D0E" w:rsidRPr="00EA12CE" w:rsidRDefault="003B7D0E" w:rsidP="003B7D0E">
      <w:pPr>
        <w:pStyle w:val="BasicParagraph"/>
        <w:suppressAutoHyphens/>
        <w:jc w:val="center"/>
        <w:rPr>
          <w:rFonts w:ascii="Verdana" w:hAnsi="Verdana" w:cs="Arial"/>
          <w:b/>
          <w:bCs/>
          <w:color w:val="734791"/>
          <w:sz w:val="36"/>
          <w:szCs w:val="36"/>
        </w:rPr>
      </w:pPr>
    </w:p>
    <w:p w14:paraId="362CF197" w14:textId="75286244" w:rsidR="0096459E" w:rsidRPr="003B7D0E" w:rsidRDefault="00DF23ED" w:rsidP="003B7D0E">
      <w:pPr>
        <w:pStyle w:val="BasicParagraph"/>
        <w:suppressAutoHyphens/>
        <w:jc w:val="center"/>
        <w:rPr>
          <w:rFonts w:ascii="Verdana" w:hAnsi="Verdana" w:cs="Arial"/>
          <w:b/>
          <w:color w:val="77328A"/>
          <w:sz w:val="36"/>
          <w:szCs w:val="36"/>
        </w:rPr>
      </w:pPr>
      <w:r>
        <w:rPr>
          <w:rFonts w:ascii="Verdana" w:hAnsi="Verdana" w:cs="Arial"/>
          <w:b/>
          <w:bCs/>
          <w:color w:val="77328A"/>
          <w:sz w:val="36"/>
          <w:szCs w:val="36"/>
        </w:rPr>
        <w:t xml:space="preserve">Submission to the Department for Communities </w:t>
      </w:r>
      <w:r w:rsidR="004469A2">
        <w:rPr>
          <w:rFonts w:ascii="Verdana" w:hAnsi="Verdana" w:cs="Arial"/>
          <w:b/>
          <w:bCs/>
          <w:color w:val="77328A"/>
          <w:sz w:val="36"/>
          <w:szCs w:val="36"/>
        </w:rPr>
        <w:t>on</w:t>
      </w:r>
      <w:r>
        <w:rPr>
          <w:rFonts w:ascii="Verdana" w:hAnsi="Verdana" w:cs="Arial"/>
          <w:b/>
          <w:bCs/>
          <w:color w:val="77328A"/>
          <w:sz w:val="36"/>
          <w:szCs w:val="36"/>
        </w:rPr>
        <w:t xml:space="preserve"> </w:t>
      </w:r>
      <w:r w:rsidR="004469A2">
        <w:rPr>
          <w:rFonts w:ascii="Verdana" w:hAnsi="Verdana" w:cs="Arial"/>
          <w:b/>
          <w:bCs/>
          <w:color w:val="77328A"/>
          <w:sz w:val="36"/>
          <w:szCs w:val="36"/>
        </w:rPr>
        <w:t xml:space="preserve">its </w:t>
      </w:r>
      <w:r>
        <w:rPr>
          <w:rFonts w:ascii="Verdana" w:hAnsi="Verdana" w:cs="Arial"/>
          <w:b/>
          <w:bCs/>
          <w:color w:val="77328A"/>
          <w:sz w:val="36"/>
          <w:szCs w:val="36"/>
        </w:rPr>
        <w:t>Budget</w:t>
      </w:r>
      <w:r w:rsidR="009A314B">
        <w:rPr>
          <w:rFonts w:ascii="Verdana" w:hAnsi="Verdana" w:cs="Arial"/>
          <w:b/>
          <w:bCs/>
          <w:color w:val="77328A"/>
          <w:sz w:val="36"/>
          <w:szCs w:val="36"/>
        </w:rPr>
        <w:t xml:space="preserve"> </w:t>
      </w:r>
      <w:r>
        <w:rPr>
          <w:rFonts w:ascii="Verdana" w:hAnsi="Verdana" w:cs="Arial"/>
          <w:b/>
          <w:bCs/>
          <w:color w:val="77328A"/>
          <w:sz w:val="36"/>
          <w:szCs w:val="36"/>
        </w:rPr>
        <w:t>202</w:t>
      </w:r>
      <w:r w:rsidR="004469A2">
        <w:rPr>
          <w:rFonts w:ascii="Verdana" w:hAnsi="Verdana" w:cs="Arial"/>
          <w:b/>
          <w:bCs/>
          <w:color w:val="77328A"/>
          <w:sz w:val="36"/>
          <w:szCs w:val="36"/>
        </w:rPr>
        <w:t>3</w:t>
      </w:r>
      <w:r w:rsidR="0020011C">
        <w:rPr>
          <w:rFonts w:ascii="Verdana" w:hAnsi="Verdana" w:cs="Arial"/>
          <w:b/>
          <w:bCs/>
          <w:color w:val="77328A"/>
          <w:sz w:val="36"/>
          <w:szCs w:val="36"/>
        </w:rPr>
        <w:t>-2</w:t>
      </w:r>
      <w:r w:rsidR="004469A2">
        <w:rPr>
          <w:rFonts w:ascii="Verdana" w:hAnsi="Verdana" w:cs="Arial"/>
          <w:b/>
          <w:bCs/>
          <w:color w:val="77328A"/>
          <w:sz w:val="36"/>
          <w:szCs w:val="36"/>
        </w:rPr>
        <w:t>4</w:t>
      </w:r>
      <w:r w:rsidR="009A314B">
        <w:rPr>
          <w:rFonts w:ascii="Verdana" w:hAnsi="Verdana" w:cs="Arial"/>
          <w:b/>
          <w:bCs/>
          <w:color w:val="77328A"/>
          <w:sz w:val="36"/>
          <w:szCs w:val="36"/>
        </w:rPr>
        <w:t xml:space="preserve"> Allocations</w:t>
      </w:r>
    </w:p>
    <w:p w14:paraId="753CECDE" w14:textId="77777777" w:rsidR="00F31387" w:rsidRPr="00331C61" w:rsidRDefault="00F31387" w:rsidP="003B7D0E">
      <w:pPr>
        <w:pStyle w:val="Default"/>
        <w:spacing w:line="288" w:lineRule="auto"/>
        <w:jc w:val="center"/>
        <w:rPr>
          <w:rFonts w:cs="Arial"/>
          <w:color w:val="232120"/>
          <w:sz w:val="36"/>
          <w:szCs w:val="36"/>
        </w:rPr>
      </w:pPr>
    </w:p>
    <w:p w14:paraId="3D57F7A3" w14:textId="5BE39ABF" w:rsidR="008159E8" w:rsidRPr="00331C61" w:rsidRDefault="0020011C" w:rsidP="003B7D0E">
      <w:pPr>
        <w:spacing w:line="288" w:lineRule="auto"/>
        <w:jc w:val="center"/>
        <w:rPr>
          <w:rFonts w:cs="Arial"/>
          <w:b/>
          <w:color w:val="232120"/>
          <w:sz w:val="30"/>
          <w:szCs w:val="30"/>
        </w:rPr>
      </w:pPr>
      <w:r>
        <w:rPr>
          <w:rFonts w:cs="Arial"/>
          <w:b/>
          <w:color w:val="232120"/>
          <w:sz w:val="30"/>
          <w:szCs w:val="30"/>
        </w:rPr>
        <w:t>Ju</w:t>
      </w:r>
      <w:r w:rsidR="009A314B">
        <w:rPr>
          <w:rFonts w:cs="Arial"/>
          <w:b/>
          <w:color w:val="232120"/>
          <w:sz w:val="30"/>
          <w:szCs w:val="30"/>
        </w:rPr>
        <w:t xml:space="preserve">ly </w:t>
      </w:r>
      <w:r>
        <w:rPr>
          <w:rFonts w:cs="Arial"/>
          <w:b/>
          <w:color w:val="232120"/>
          <w:sz w:val="30"/>
          <w:szCs w:val="30"/>
        </w:rPr>
        <w:t>2023</w:t>
      </w:r>
    </w:p>
    <w:p w14:paraId="72C3ECC5" w14:textId="77777777" w:rsidR="00046705" w:rsidRPr="00331C61" w:rsidRDefault="00046705" w:rsidP="003B7D0E">
      <w:pPr>
        <w:spacing w:line="288" w:lineRule="auto"/>
        <w:jc w:val="center"/>
        <w:rPr>
          <w:rFonts w:cs="Arial"/>
          <w:b/>
          <w:color w:val="232120"/>
          <w:sz w:val="28"/>
          <w:szCs w:val="28"/>
        </w:rPr>
      </w:pPr>
    </w:p>
    <w:p w14:paraId="615F497C" w14:textId="77777777" w:rsidR="00046705" w:rsidRPr="00331C61" w:rsidRDefault="00046705" w:rsidP="003B7D0E">
      <w:pPr>
        <w:spacing w:line="288" w:lineRule="auto"/>
        <w:jc w:val="center"/>
        <w:rPr>
          <w:rFonts w:cs="Arial"/>
          <w:b/>
          <w:color w:val="232120"/>
          <w:sz w:val="28"/>
          <w:szCs w:val="28"/>
        </w:rPr>
      </w:pPr>
    </w:p>
    <w:p w14:paraId="1F930712" w14:textId="77777777" w:rsidR="00EA12CE" w:rsidRPr="00331C61" w:rsidRDefault="00EA12CE" w:rsidP="003B7D0E">
      <w:pPr>
        <w:pStyle w:val="Default"/>
        <w:spacing w:line="288" w:lineRule="auto"/>
        <w:jc w:val="center"/>
        <w:rPr>
          <w:rFonts w:cs="Arial"/>
          <w:b/>
          <w:color w:val="232120"/>
          <w:sz w:val="28"/>
          <w:szCs w:val="28"/>
          <w:lang w:val="en-GB"/>
        </w:rPr>
      </w:pPr>
    </w:p>
    <w:p w14:paraId="6682FC07" w14:textId="77777777" w:rsidR="003B7D0E" w:rsidRPr="00331C61" w:rsidRDefault="003B7D0E" w:rsidP="003B7D0E">
      <w:pPr>
        <w:pStyle w:val="Default"/>
        <w:spacing w:line="480" w:lineRule="auto"/>
        <w:jc w:val="center"/>
        <w:rPr>
          <w:rFonts w:cs="Arial"/>
          <w:b/>
          <w:color w:val="232120"/>
          <w:sz w:val="36"/>
          <w:szCs w:val="36"/>
        </w:rPr>
      </w:pPr>
    </w:p>
    <w:p w14:paraId="4A0B851D" w14:textId="77777777" w:rsidR="003B7D0E" w:rsidRDefault="003B7D0E" w:rsidP="003B7D0E">
      <w:pPr>
        <w:pStyle w:val="Default"/>
        <w:spacing w:line="480" w:lineRule="auto"/>
        <w:jc w:val="center"/>
        <w:rPr>
          <w:rFonts w:cs="Arial"/>
          <w:b/>
          <w:color w:val="232120"/>
          <w:sz w:val="36"/>
          <w:szCs w:val="36"/>
        </w:rPr>
      </w:pPr>
    </w:p>
    <w:p w14:paraId="36FE8AF1" w14:textId="77777777" w:rsidR="0096459E" w:rsidRPr="00331C61" w:rsidRDefault="0096459E" w:rsidP="003B7D0E">
      <w:pPr>
        <w:pStyle w:val="Default"/>
        <w:spacing w:line="480" w:lineRule="auto"/>
        <w:jc w:val="center"/>
        <w:rPr>
          <w:rFonts w:cs="Arial"/>
          <w:b/>
          <w:color w:val="232120"/>
          <w:sz w:val="36"/>
          <w:szCs w:val="36"/>
        </w:rPr>
      </w:pPr>
    </w:p>
    <w:p w14:paraId="5E251E7C" w14:textId="77777777" w:rsidR="003B7D0E" w:rsidRDefault="003B7D0E" w:rsidP="003B7D0E">
      <w:pPr>
        <w:pStyle w:val="Default"/>
        <w:spacing w:line="480" w:lineRule="auto"/>
        <w:jc w:val="center"/>
        <w:rPr>
          <w:rFonts w:cs="Arial"/>
          <w:b/>
          <w:color w:val="232120"/>
          <w:sz w:val="36"/>
          <w:szCs w:val="36"/>
        </w:rPr>
      </w:pPr>
    </w:p>
    <w:p w14:paraId="7BC83CF0" w14:textId="77777777" w:rsidR="009A314B" w:rsidRPr="00331C61" w:rsidRDefault="009A314B" w:rsidP="003B7D0E">
      <w:pPr>
        <w:pStyle w:val="Default"/>
        <w:spacing w:line="480" w:lineRule="auto"/>
        <w:jc w:val="center"/>
        <w:rPr>
          <w:rFonts w:cs="Arial"/>
          <w:b/>
          <w:color w:val="232120"/>
          <w:sz w:val="36"/>
          <w:szCs w:val="36"/>
        </w:rPr>
      </w:pPr>
    </w:p>
    <w:sdt>
      <w:sdtPr>
        <w:rPr>
          <w:rFonts w:asciiTheme="minorHAnsi" w:eastAsiaTheme="minorEastAsia" w:hAnsiTheme="minorHAnsi" w:cstheme="minorBidi"/>
          <w:color w:val="auto"/>
          <w:sz w:val="24"/>
          <w:szCs w:val="24"/>
          <w:lang w:val="en-GB"/>
        </w:rPr>
        <w:id w:val="-1612115523"/>
        <w:docPartObj>
          <w:docPartGallery w:val="Table of Contents"/>
          <w:docPartUnique/>
        </w:docPartObj>
      </w:sdtPr>
      <w:sdtEndPr>
        <w:rPr>
          <w:rFonts w:ascii="Verdana" w:hAnsi="Verdana"/>
          <w:b/>
          <w:bCs/>
          <w:noProof/>
        </w:rPr>
      </w:sdtEndPr>
      <w:sdtContent>
        <w:p w14:paraId="510F5A35" w14:textId="77777777" w:rsidR="00CC6E47" w:rsidRPr="00CC6E47" w:rsidRDefault="00CC6E47">
          <w:pPr>
            <w:pStyle w:val="TOCHeading"/>
            <w:rPr>
              <w:rFonts w:ascii="Verdana" w:hAnsi="Verdana"/>
              <w:b/>
              <w:color w:val="77328A"/>
              <w:sz w:val="30"/>
            </w:rPr>
          </w:pPr>
          <w:r w:rsidRPr="00CC6E47">
            <w:rPr>
              <w:rFonts w:ascii="Verdana" w:hAnsi="Verdana"/>
              <w:b/>
              <w:color w:val="77328A"/>
              <w:sz w:val="30"/>
            </w:rPr>
            <w:t>Table of Contents</w:t>
          </w:r>
        </w:p>
        <w:p w14:paraId="595AC094" w14:textId="2844FF15" w:rsidR="000A4470" w:rsidRDefault="00CC6E47">
          <w:pPr>
            <w:pStyle w:val="TOC1"/>
            <w:rPr>
              <w:rFonts w:asciiTheme="minorHAnsi" w:hAnsiTheme="minorHAnsi" w:cstheme="minorBidi"/>
              <w:b w:val="0"/>
              <w:bCs w:val="0"/>
              <w:kern w:val="2"/>
              <w:lang w:val="en-GB" w:eastAsia="en-GB"/>
              <w14:ligatures w14:val="standardContextual"/>
            </w:rPr>
          </w:pPr>
          <w:r>
            <w:rPr>
              <w:noProof w:val="0"/>
            </w:rPr>
            <w:fldChar w:fldCharType="begin"/>
          </w:r>
          <w:r>
            <w:instrText xml:space="preserve"> TOC \o "1-3" \h \z \u </w:instrText>
          </w:r>
          <w:r>
            <w:rPr>
              <w:noProof w:val="0"/>
            </w:rPr>
            <w:fldChar w:fldCharType="separate"/>
          </w:r>
          <w:hyperlink w:anchor="_Toc141088100" w:history="1">
            <w:r w:rsidR="000A4470" w:rsidRPr="004D1784">
              <w:rPr>
                <w:rStyle w:val="Hyperlink"/>
              </w:rPr>
              <w:t>Recommendations</w:t>
            </w:r>
            <w:r w:rsidR="000A4470">
              <w:rPr>
                <w:webHidden/>
              </w:rPr>
              <w:tab/>
            </w:r>
            <w:r w:rsidR="000A4470">
              <w:rPr>
                <w:webHidden/>
              </w:rPr>
              <w:fldChar w:fldCharType="begin"/>
            </w:r>
            <w:r w:rsidR="000A4470">
              <w:rPr>
                <w:webHidden/>
              </w:rPr>
              <w:instrText xml:space="preserve"> PAGEREF _Toc141088100 \h </w:instrText>
            </w:r>
            <w:r w:rsidR="000A4470">
              <w:rPr>
                <w:webHidden/>
              </w:rPr>
            </w:r>
            <w:r w:rsidR="000A4470">
              <w:rPr>
                <w:webHidden/>
              </w:rPr>
              <w:fldChar w:fldCharType="separate"/>
            </w:r>
            <w:r w:rsidR="000A4470">
              <w:rPr>
                <w:webHidden/>
              </w:rPr>
              <w:t>3</w:t>
            </w:r>
            <w:r w:rsidR="000A4470">
              <w:rPr>
                <w:webHidden/>
              </w:rPr>
              <w:fldChar w:fldCharType="end"/>
            </w:r>
          </w:hyperlink>
        </w:p>
        <w:p w14:paraId="099AC97B" w14:textId="02CBBFC3" w:rsidR="000A4470" w:rsidRDefault="000A4470">
          <w:pPr>
            <w:pStyle w:val="TOC1"/>
            <w:rPr>
              <w:rFonts w:asciiTheme="minorHAnsi" w:hAnsiTheme="minorHAnsi" w:cstheme="minorBidi"/>
              <w:b w:val="0"/>
              <w:bCs w:val="0"/>
              <w:kern w:val="2"/>
              <w:lang w:val="en-GB" w:eastAsia="en-GB"/>
              <w14:ligatures w14:val="standardContextual"/>
            </w:rPr>
          </w:pPr>
          <w:hyperlink w:anchor="_Toc141088101" w:history="1">
            <w:r w:rsidRPr="004D1784">
              <w:rPr>
                <w:rStyle w:val="Hyperlink"/>
              </w:rPr>
              <w:t>1.0</w:t>
            </w:r>
            <w:r>
              <w:rPr>
                <w:rFonts w:asciiTheme="minorHAnsi" w:hAnsiTheme="minorHAnsi" w:cstheme="minorBidi"/>
                <w:b w:val="0"/>
                <w:bCs w:val="0"/>
                <w:kern w:val="2"/>
                <w:lang w:val="en-GB" w:eastAsia="en-GB"/>
                <w14:ligatures w14:val="standardContextual"/>
              </w:rPr>
              <w:tab/>
            </w:r>
            <w:r w:rsidRPr="004D1784">
              <w:rPr>
                <w:rStyle w:val="Hyperlink"/>
              </w:rPr>
              <w:t>Introduction</w:t>
            </w:r>
            <w:r>
              <w:rPr>
                <w:webHidden/>
              </w:rPr>
              <w:tab/>
            </w:r>
            <w:r>
              <w:rPr>
                <w:webHidden/>
              </w:rPr>
              <w:fldChar w:fldCharType="begin"/>
            </w:r>
            <w:r>
              <w:rPr>
                <w:webHidden/>
              </w:rPr>
              <w:instrText xml:space="preserve"> PAGEREF _Toc141088101 \h </w:instrText>
            </w:r>
            <w:r>
              <w:rPr>
                <w:webHidden/>
              </w:rPr>
            </w:r>
            <w:r>
              <w:rPr>
                <w:webHidden/>
              </w:rPr>
              <w:fldChar w:fldCharType="separate"/>
            </w:r>
            <w:r>
              <w:rPr>
                <w:webHidden/>
              </w:rPr>
              <w:t>4</w:t>
            </w:r>
            <w:r>
              <w:rPr>
                <w:webHidden/>
              </w:rPr>
              <w:fldChar w:fldCharType="end"/>
            </w:r>
          </w:hyperlink>
        </w:p>
        <w:p w14:paraId="123033C0" w14:textId="3A6D2F4F" w:rsidR="000A4470" w:rsidRDefault="000A4470">
          <w:pPr>
            <w:pStyle w:val="TOC1"/>
            <w:rPr>
              <w:rFonts w:asciiTheme="minorHAnsi" w:hAnsiTheme="minorHAnsi" w:cstheme="minorBidi"/>
              <w:b w:val="0"/>
              <w:bCs w:val="0"/>
              <w:kern w:val="2"/>
              <w:lang w:val="en-GB" w:eastAsia="en-GB"/>
              <w14:ligatures w14:val="standardContextual"/>
            </w:rPr>
          </w:pPr>
          <w:hyperlink w:anchor="_Toc141088102" w:history="1">
            <w:r w:rsidRPr="004D1784">
              <w:rPr>
                <w:rStyle w:val="Hyperlink"/>
              </w:rPr>
              <w:t>2.0</w:t>
            </w:r>
            <w:r>
              <w:rPr>
                <w:rFonts w:asciiTheme="minorHAnsi" w:hAnsiTheme="minorHAnsi" w:cstheme="minorBidi"/>
                <w:b w:val="0"/>
                <w:bCs w:val="0"/>
                <w:kern w:val="2"/>
                <w:lang w:val="en-GB" w:eastAsia="en-GB"/>
                <w14:ligatures w14:val="standardContextual"/>
              </w:rPr>
              <w:tab/>
            </w:r>
            <w:r w:rsidRPr="004D1784">
              <w:rPr>
                <w:rStyle w:val="Hyperlink"/>
              </w:rPr>
              <w:t>General Comments</w:t>
            </w:r>
            <w:r>
              <w:rPr>
                <w:webHidden/>
              </w:rPr>
              <w:tab/>
            </w:r>
            <w:r>
              <w:rPr>
                <w:webHidden/>
              </w:rPr>
              <w:fldChar w:fldCharType="begin"/>
            </w:r>
            <w:r>
              <w:rPr>
                <w:webHidden/>
              </w:rPr>
              <w:instrText xml:space="preserve"> PAGEREF _Toc141088102 \h </w:instrText>
            </w:r>
            <w:r>
              <w:rPr>
                <w:webHidden/>
              </w:rPr>
            </w:r>
            <w:r>
              <w:rPr>
                <w:webHidden/>
              </w:rPr>
              <w:fldChar w:fldCharType="separate"/>
            </w:r>
            <w:r>
              <w:rPr>
                <w:webHidden/>
              </w:rPr>
              <w:t>5</w:t>
            </w:r>
            <w:r>
              <w:rPr>
                <w:webHidden/>
              </w:rPr>
              <w:fldChar w:fldCharType="end"/>
            </w:r>
          </w:hyperlink>
        </w:p>
        <w:p w14:paraId="5E3E0BD7" w14:textId="4A855B8A" w:rsidR="000A4470" w:rsidRDefault="000A4470">
          <w:pPr>
            <w:pStyle w:val="TOC1"/>
            <w:rPr>
              <w:rFonts w:asciiTheme="minorHAnsi" w:hAnsiTheme="minorHAnsi" w:cstheme="minorBidi"/>
              <w:b w:val="0"/>
              <w:bCs w:val="0"/>
              <w:kern w:val="2"/>
              <w:lang w:val="en-GB" w:eastAsia="en-GB"/>
              <w14:ligatures w14:val="standardContextual"/>
            </w:rPr>
          </w:pPr>
          <w:hyperlink w:anchor="_Toc141088103" w:history="1">
            <w:r w:rsidRPr="004D1784">
              <w:rPr>
                <w:rStyle w:val="Hyperlink"/>
              </w:rPr>
              <w:t>3.0</w:t>
            </w:r>
            <w:r>
              <w:rPr>
                <w:rFonts w:asciiTheme="minorHAnsi" w:hAnsiTheme="minorHAnsi" w:cstheme="minorBidi"/>
                <w:b w:val="0"/>
                <w:bCs w:val="0"/>
                <w:kern w:val="2"/>
                <w:lang w:val="en-GB" w:eastAsia="en-GB"/>
                <w14:ligatures w14:val="standardContextual"/>
              </w:rPr>
              <w:tab/>
            </w:r>
            <w:r w:rsidRPr="004D1784">
              <w:rPr>
                <w:rStyle w:val="Hyperlink"/>
              </w:rPr>
              <w:t>Human Rights Framework</w:t>
            </w:r>
            <w:r>
              <w:rPr>
                <w:webHidden/>
              </w:rPr>
              <w:tab/>
            </w:r>
            <w:r>
              <w:rPr>
                <w:webHidden/>
              </w:rPr>
              <w:fldChar w:fldCharType="begin"/>
            </w:r>
            <w:r>
              <w:rPr>
                <w:webHidden/>
              </w:rPr>
              <w:instrText xml:space="preserve"> PAGEREF _Toc141088103 \h </w:instrText>
            </w:r>
            <w:r>
              <w:rPr>
                <w:webHidden/>
              </w:rPr>
            </w:r>
            <w:r>
              <w:rPr>
                <w:webHidden/>
              </w:rPr>
              <w:fldChar w:fldCharType="separate"/>
            </w:r>
            <w:r>
              <w:rPr>
                <w:webHidden/>
              </w:rPr>
              <w:t>6</w:t>
            </w:r>
            <w:r>
              <w:rPr>
                <w:webHidden/>
              </w:rPr>
              <w:fldChar w:fldCharType="end"/>
            </w:r>
          </w:hyperlink>
        </w:p>
        <w:p w14:paraId="0D590EB3" w14:textId="197BE8FC" w:rsidR="000A4470" w:rsidRDefault="000A4470">
          <w:pPr>
            <w:pStyle w:val="TOC1"/>
            <w:rPr>
              <w:rFonts w:asciiTheme="minorHAnsi" w:hAnsiTheme="minorHAnsi" w:cstheme="minorBidi"/>
              <w:b w:val="0"/>
              <w:bCs w:val="0"/>
              <w:kern w:val="2"/>
              <w:lang w:val="en-GB" w:eastAsia="en-GB"/>
              <w14:ligatures w14:val="standardContextual"/>
            </w:rPr>
          </w:pPr>
          <w:hyperlink w:anchor="_Toc141088104" w:history="1">
            <w:r w:rsidRPr="004D1784">
              <w:rPr>
                <w:rStyle w:val="Hyperlink"/>
              </w:rPr>
              <w:t>4.0</w:t>
            </w:r>
            <w:r>
              <w:rPr>
                <w:rFonts w:asciiTheme="minorHAnsi" w:hAnsiTheme="minorHAnsi" w:cstheme="minorBidi"/>
                <w:b w:val="0"/>
                <w:bCs w:val="0"/>
                <w:kern w:val="2"/>
                <w:lang w:val="en-GB" w:eastAsia="en-GB"/>
                <w14:ligatures w14:val="standardContextual"/>
              </w:rPr>
              <w:tab/>
            </w:r>
            <w:r w:rsidRPr="004D1784">
              <w:rPr>
                <w:rStyle w:val="Hyperlink"/>
              </w:rPr>
              <w:t>Impact of Proposals</w:t>
            </w:r>
            <w:r>
              <w:rPr>
                <w:webHidden/>
              </w:rPr>
              <w:tab/>
            </w:r>
            <w:r>
              <w:rPr>
                <w:webHidden/>
              </w:rPr>
              <w:fldChar w:fldCharType="begin"/>
            </w:r>
            <w:r>
              <w:rPr>
                <w:webHidden/>
              </w:rPr>
              <w:instrText xml:space="preserve"> PAGEREF _Toc141088104 \h </w:instrText>
            </w:r>
            <w:r>
              <w:rPr>
                <w:webHidden/>
              </w:rPr>
            </w:r>
            <w:r>
              <w:rPr>
                <w:webHidden/>
              </w:rPr>
              <w:fldChar w:fldCharType="separate"/>
            </w:r>
            <w:r>
              <w:rPr>
                <w:webHidden/>
              </w:rPr>
              <w:t>10</w:t>
            </w:r>
            <w:r>
              <w:rPr>
                <w:webHidden/>
              </w:rPr>
              <w:fldChar w:fldCharType="end"/>
            </w:r>
          </w:hyperlink>
        </w:p>
        <w:p w14:paraId="2C95A978" w14:textId="46823D84" w:rsidR="000A4470" w:rsidRDefault="000A4470">
          <w:pPr>
            <w:pStyle w:val="TOC2"/>
            <w:tabs>
              <w:tab w:val="right" w:leader="dot" w:pos="9848"/>
            </w:tabs>
            <w:rPr>
              <w:rFonts w:asciiTheme="minorHAnsi" w:hAnsiTheme="minorHAnsi" w:cstheme="minorBidi"/>
              <w:noProof/>
              <w:kern w:val="2"/>
              <w:lang w:val="en-GB" w:eastAsia="en-GB"/>
              <w14:ligatures w14:val="standardContextual"/>
            </w:rPr>
          </w:pPr>
          <w:hyperlink w:anchor="_Toc141088105" w:history="1">
            <w:r w:rsidRPr="004D1784">
              <w:rPr>
                <w:rStyle w:val="Hyperlink"/>
                <w:noProof/>
              </w:rPr>
              <w:t>Social Security Delivery</w:t>
            </w:r>
            <w:r>
              <w:rPr>
                <w:noProof/>
                <w:webHidden/>
              </w:rPr>
              <w:tab/>
            </w:r>
            <w:r>
              <w:rPr>
                <w:noProof/>
                <w:webHidden/>
              </w:rPr>
              <w:fldChar w:fldCharType="begin"/>
            </w:r>
            <w:r>
              <w:rPr>
                <w:noProof/>
                <w:webHidden/>
              </w:rPr>
              <w:instrText xml:space="preserve"> PAGEREF _Toc141088105 \h </w:instrText>
            </w:r>
            <w:r>
              <w:rPr>
                <w:noProof/>
                <w:webHidden/>
              </w:rPr>
            </w:r>
            <w:r>
              <w:rPr>
                <w:noProof/>
                <w:webHidden/>
              </w:rPr>
              <w:fldChar w:fldCharType="separate"/>
            </w:r>
            <w:r>
              <w:rPr>
                <w:noProof/>
                <w:webHidden/>
              </w:rPr>
              <w:t>10</w:t>
            </w:r>
            <w:r>
              <w:rPr>
                <w:noProof/>
                <w:webHidden/>
              </w:rPr>
              <w:fldChar w:fldCharType="end"/>
            </w:r>
          </w:hyperlink>
        </w:p>
        <w:p w14:paraId="04931C2A" w14:textId="64735AD1" w:rsidR="000A4470" w:rsidRDefault="000A4470">
          <w:pPr>
            <w:pStyle w:val="TOC2"/>
            <w:tabs>
              <w:tab w:val="right" w:leader="dot" w:pos="9848"/>
            </w:tabs>
            <w:rPr>
              <w:rFonts w:asciiTheme="minorHAnsi" w:hAnsiTheme="minorHAnsi" w:cstheme="minorBidi"/>
              <w:noProof/>
              <w:kern w:val="2"/>
              <w:lang w:val="en-GB" w:eastAsia="en-GB"/>
              <w14:ligatures w14:val="standardContextual"/>
            </w:rPr>
          </w:pPr>
          <w:hyperlink w:anchor="_Toc141088106" w:history="1">
            <w:r w:rsidRPr="004D1784">
              <w:rPr>
                <w:rStyle w:val="Hyperlink"/>
                <w:noProof/>
              </w:rPr>
              <w:t>Discretionary Support Grants</w:t>
            </w:r>
            <w:r>
              <w:rPr>
                <w:noProof/>
                <w:webHidden/>
              </w:rPr>
              <w:tab/>
            </w:r>
            <w:r>
              <w:rPr>
                <w:noProof/>
                <w:webHidden/>
              </w:rPr>
              <w:fldChar w:fldCharType="begin"/>
            </w:r>
            <w:r>
              <w:rPr>
                <w:noProof/>
                <w:webHidden/>
              </w:rPr>
              <w:instrText xml:space="preserve"> PAGEREF _Toc141088106 \h </w:instrText>
            </w:r>
            <w:r>
              <w:rPr>
                <w:noProof/>
                <w:webHidden/>
              </w:rPr>
            </w:r>
            <w:r>
              <w:rPr>
                <w:noProof/>
                <w:webHidden/>
              </w:rPr>
              <w:fldChar w:fldCharType="separate"/>
            </w:r>
            <w:r>
              <w:rPr>
                <w:noProof/>
                <w:webHidden/>
              </w:rPr>
              <w:t>13</w:t>
            </w:r>
            <w:r>
              <w:rPr>
                <w:noProof/>
                <w:webHidden/>
              </w:rPr>
              <w:fldChar w:fldCharType="end"/>
            </w:r>
          </w:hyperlink>
        </w:p>
        <w:p w14:paraId="1AAC3A3F" w14:textId="481C5E8A" w:rsidR="000A4470" w:rsidRDefault="000A4470">
          <w:pPr>
            <w:pStyle w:val="TOC2"/>
            <w:tabs>
              <w:tab w:val="right" w:leader="dot" w:pos="9848"/>
            </w:tabs>
            <w:rPr>
              <w:rFonts w:asciiTheme="minorHAnsi" w:hAnsiTheme="minorHAnsi" w:cstheme="minorBidi"/>
              <w:noProof/>
              <w:kern w:val="2"/>
              <w:lang w:val="en-GB" w:eastAsia="en-GB"/>
              <w14:ligatures w14:val="standardContextual"/>
            </w:rPr>
          </w:pPr>
          <w:hyperlink w:anchor="_Toc141088107" w:history="1">
            <w:r w:rsidRPr="004D1784">
              <w:rPr>
                <w:rStyle w:val="Hyperlink"/>
                <w:noProof/>
              </w:rPr>
              <w:t>Welfare Mitigations</w:t>
            </w:r>
            <w:r>
              <w:rPr>
                <w:noProof/>
                <w:webHidden/>
              </w:rPr>
              <w:tab/>
            </w:r>
            <w:r>
              <w:rPr>
                <w:noProof/>
                <w:webHidden/>
              </w:rPr>
              <w:fldChar w:fldCharType="begin"/>
            </w:r>
            <w:r>
              <w:rPr>
                <w:noProof/>
                <w:webHidden/>
              </w:rPr>
              <w:instrText xml:space="preserve"> PAGEREF _Toc141088107 \h </w:instrText>
            </w:r>
            <w:r>
              <w:rPr>
                <w:noProof/>
                <w:webHidden/>
              </w:rPr>
            </w:r>
            <w:r>
              <w:rPr>
                <w:noProof/>
                <w:webHidden/>
              </w:rPr>
              <w:fldChar w:fldCharType="separate"/>
            </w:r>
            <w:r>
              <w:rPr>
                <w:noProof/>
                <w:webHidden/>
              </w:rPr>
              <w:t>14</w:t>
            </w:r>
            <w:r>
              <w:rPr>
                <w:noProof/>
                <w:webHidden/>
              </w:rPr>
              <w:fldChar w:fldCharType="end"/>
            </w:r>
          </w:hyperlink>
        </w:p>
        <w:p w14:paraId="5C434532" w14:textId="2E77472A" w:rsidR="000A4470" w:rsidRDefault="000A4470">
          <w:pPr>
            <w:pStyle w:val="TOC2"/>
            <w:tabs>
              <w:tab w:val="right" w:leader="dot" w:pos="9848"/>
            </w:tabs>
            <w:rPr>
              <w:rFonts w:asciiTheme="minorHAnsi" w:hAnsiTheme="minorHAnsi" w:cstheme="minorBidi"/>
              <w:noProof/>
              <w:kern w:val="2"/>
              <w:lang w:val="en-GB" w:eastAsia="en-GB"/>
              <w14:ligatures w14:val="standardContextual"/>
            </w:rPr>
          </w:pPr>
          <w:hyperlink w:anchor="_Toc141088108" w:history="1">
            <w:r w:rsidRPr="004D1784">
              <w:rPr>
                <w:rStyle w:val="Hyperlink"/>
                <w:noProof/>
              </w:rPr>
              <w:t>Employment Support</w:t>
            </w:r>
            <w:r>
              <w:rPr>
                <w:noProof/>
                <w:webHidden/>
              </w:rPr>
              <w:tab/>
            </w:r>
            <w:r>
              <w:rPr>
                <w:noProof/>
                <w:webHidden/>
              </w:rPr>
              <w:fldChar w:fldCharType="begin"/>
            </w:r>
            <w:r>
              <w:rPr>
                <w:noProof/>
                <w:webHidden/>
              </w:rPr>
              <w:instrText xml:space="preserve"> PAGEREF _Toc141088108 \h </w:instrText>
            </w:r>
            <w:r>
              <w:rPr>
                <w:noProof/>
                <w:webHidden/>
              </w:rPr>
            </w:r>
            <w:r>
              <w:rPr>
                <w:noProof/>
                <w:webHidden/>
              </w:rPr>
              <w:fldChar w:fldCharType="separate"/>
            </w:r>
            <w:r>
              <w:rPr>
                <w:noProof/>
                <w:webHidden/>
              </w:rPr>
              <w:t>17</w:t>
            </w:r>
            <w:r>
              <w:rPr>
                <w:noProof/>
                <w:webHidden/>
              </w:rPr>
              <w:fldChar w:fldCharType="end"/>
            </w:r>
          </w:hyperlink>
        </w:p>
        <w:p w14:paraId="1BC285DA" w14:textId="57022059" w:rsidR="000A4470" w:rsidRDefault="000A4470">
          <w:pPr>
            <w:pStyle w:val="TOC2"/>
            <w:tabs>
              <w:tab w:val="right" w:leader="dot" w:pos="9848"/>
            </w:tabs>
            <w:rPr>
              <w:rFonts w:asciiTheme="minorHAnsi" w:hAnsiTheme="minorHAnsi" w:cstheme="minorBidi"/>
              <w:noProof/>
              <w:kern w:val="2"/>
              <w:lang w:val="en-GB" w:eastAsia="en-GB"/>
              <w14:ligatures w14:val="standardContextual"/>
            </w:rPr>
          </w:pPr>
          <w:hyperlink w:anchor="_Toc141088109" w:history="1">
            <w:r w:rsidRPr="004D1784">
              <w:rPr>
                <w:rStyle w:val="Hyperlink"/>
                <w:noProof/>
              </w:rPr>
              <w:t>Social Housing and Homelessness</w:t>
            </w:r>
            <w:r>
              <w:rPr>
                <w:noProof/>
                <w:webHidden/>
              </w:rPr>
              <w:tab/>
            </w:r>
            <w:r>
              <w:rPr>
                <w:noProof/>
                <w:webHidden/>
              </w:rPr>
              <w:fldChar w:fldCharType="begin"/>
            </w:r>
            <w:r>
              <w:rPr>
                <w:noProof/>
                <w:webHidden/>
              </w:rPr>
              <w:instrText xml:space="preserve"> PAGEREF _Toc141088109 \h </w:instrText>
            </w:r>
            <w:r>
              <w:rPr>
                <w:noProof/>
                <w:webHidden/>
              </w:rPr>
            </w:r>
            <w:r>
              <w:rPr>
                <w:noProof/>
                <w:webHidden/>
              </w:rPr>
              <w:fldChar w:fldCharType="separate"/>
            </w:r>
            <w:r>
              <w:rPr>
                <w:noProof/>
                <w:webHidden/>
              </w:rPr>
              <w:t>19</w:t>
            </w:r>
            <w:r>
              <w:rPr>
                <w:noProof/>
                <w:webHidden/>
              </w:rPr>
              <w:fldChar w:fldCharType="end"/>
            </w:r>
          </w:hyperlink>
        </w:p>
        <w:p w14:paraId="19E7D13C" w14:textId="1095CB3F" w:rsidR="00CC6E47" w:rsidRDefault="00CC6E47">
          <w:r>
            <w:rPr>
              <w:b/>
              <w:bCs/>
              <w:noProof/>
            </w:rPr>
            <w:fldChar w:fldCharType="end"/>
          </w:r>
        </w:p>
      </w:sdtContent>
    </w:sdt>
    <w:p w14:paraId="6D52AAB5" w14:textId="77777777" w:rsidR="001E79A9" w:rsidRPr="00331C61" w:rsidRDefault="001E79A9" w:rsidP="00331C61">
      <w:pPr>
        <w:pStyle w:val="Default"/>
        <w:spacing w:line="288" w:lineRule="auto"/>
        <w:rPr>
          <w:rFonts w:cs="Arial"/>
          <w:b/>
          <w:color w:val="232120"/>
        </w:rPr>
      </w:pPr>
    </w:p>
    <w:p w14:paraId="176BDFA3" w14:textId="77777777" w:rsidR="00EA12CE" w:rsidRPr="00331C61" w:rsidRDefault="00EA12CE" w:rsidP="00331C61">
      <w:pPr>
        <w:pStyle w:val="Default"/>
        <w:spacing w:line="288" w:lineRule="auto"/>
        <w:rPr>
          <w:rFonts w:cs="Arial"/>
          <w:b/>
          <w:color w:val="232120"/>
        </w:rPr>
      </w:pPr>
    </w:p>
    <w:p w14:paraId="206F29B0" w14:textId="77777777" w:rsidR="00EA12CE" w:rsidRPr="00331C61" w:rsidRDefault="00EA12CE" w:rsidP="00CC6E47"/>
    <w:p w14:paraId="639F04A0" w14:textId="77777777" w:rsidR="00EA12CE" w:rsidRPr="00331C61" w:rsidRDefault="00EA12CE" w:rsidP="00331C61">
      <w:pPr>
        <w:pStyle w:val="Default"/>
        <w:spacing w:line="288" w:lineRule="auto"/>
        <w:rPr>
          <w:rFonts w:cs="Arial"/>
          <w:b/>
          <w:color w:val="232120"/>
        </w:rPr>
      </w:pPr>
    </w:p>
    <w:p w14:paraId="66815719" w14:textId="77777777" w:rsidR="00EA12CE" w:rsidRPr="00331C61" w:rsidRDefault="00EA12CE" w:rsidP="00331C61">
      <w:pPr>
        <w:pStyle w:val="Default"/>
        <w:spacing w:line="288" w:lineRule="auto"/>
        <w:rPr>
          <w:rFonts w:cs="Arial"/>
          <w:b/>
          <w:color w:val="232120"/>
        </w:rPr>
      </w:pPr>
    </w:p>
    <w:p w14:paraId="0AF74648" w14:textId="77777777" w:rsidR="00EA12CE" w:rsidRPr="00331C61" w:rsidRDefault="00EA12CE" w:rsidP="00331C61">
      <w:pPr>
        <w:pStyle w:val="Default"/>
        <w:spacing w:line="288" w:lineRule="auto"/>
        <w:rPr>
          <w:rFonts w:cs="Arial"/>
          <w:b/>
          <w:color w:val="232120"/>
        </w:rPr>
      </w:pPr>
    </w:p>
    <w:p w14:paraId="4B4FF6B9" w14:textId="77777777" w:rsidR="00EA12CE" w:rsidRPr="00331C61" w:rsidRDefault="00EA12CE" w:rsidP="00331C61">
      <w:pPr>
        <w:pStyle w:val="Default"/>
        <w:spacing w:line="288" w:lineRule="auto"/>
        <w:rPr>
          <w:rFonts w:cs="Arial"/>
          <w:b/>
          <w:color w:val="232120"/>
        </w:rPr>
      </w:pPr>
    </w:p>
    <w:p w14:paraId="55B8E462" w14:textId="77777777" w:rsidR="00EA12CE" w:rsidRPr="00331C61" w:rsidRDefault="00EA12CE" w:rsidP="00331C61">
      <w:pPr>
        <w:pStyle w:val="Default"/>
        <w:spacing w:line="288" w:lineRule="auto"/>
        <w:rPr>
          <w:rFonts w:cs="Arial"/>
          <w:b/>
          <w:color w:val="232120"/>
        </w:rPr>
      </w:pPr>
    </w:p>
    <w:p w14:paraId="311E60E3" w14:textId="77777777" w:rsidR="00EA12CE" w:rsidRPr="00331C61" w:rsidRDefault="00EA12CE" w:rsidP="00331C61">
      <w:pPr>
        <w:pStyle w:val="Default"/>
        <w:spacing w:line="288" w:lineRule="auto"/>
        <w:rPr>
          <w:rFonts w:cs="Arial"/>
          <w:b/>
          <w:color w:val="232120"/>
        </w:rPr>
      </w:pPr>
    </w:p>
    <w:p w14:paraId="7577C3C5" w14:textId="77777777" w:rsidR="00EA12CE" w:rsidRPr="00331C61" w:rsidRDefault="00EA12CE" w:rsidP="00331C61">
      <w:pPr>
        <w:pStyle w:val="Default"/>
        <w:spacing w:line="288" w:lineRule="auto"/>
        <w:rPr>
          <w:rFonts w:cs="Arial"/>
          <w:b/>
          <w:color w:val="232120"/>
        </w:rPr>
      </w:pPr>
    </w:p>
    <w:p w14:paraId="0E9E5E92" w14:textId="77777777" w:rsidR="00EA12CE" w:rsidRPr="00331C61" w:rsidRDefault="00EA12CE" w:rsidP="00331C61">
      <w:pPr>
        <w:pStyle w:val="Default"/>
        <w:spacing w:line="288" w:lineRule="auto"/>
        <w:rPr>
          <w:rFonts w:cs="Arial"/>
          <w:b/>
          <w:color w:val="232120"/>
        </w:rPr>
      </w:pPr>
    </w:p>
    <w:p w14:paraId="6C9EC035" w14:textId="77777777" w:rsidR="00EA12CE" w:rsidRPr="00331C61" w:rsidRDefault="00EA12CE" w:rsidP="00331C61">
      <w:pPr>
        <w:pStyle w:val="Default"/>
        <w:spacing w:line="288" w:lineRule="auto"/>
        <w:rPr>
          <w:rFonts w:cs="Arial"/>
          <w:b/>
          <w:color w:val="232120"/>
        </w:rPr>
      </w:pPr>
    </w:p>
    <w:p w14:paraId="2140A1CC" w14:textId="77777777" w:rsidR="00EA12CE" w:rsidRPr="00331C61" w:rsidRDefault="00EA12CE" w:rsidP="00331C61">
      <w:pPr>
        <w:pStyle w:val="Default"/>
        <w:spacing w:line="288" w:lineRule="auto"/>
        <w:rPr>
          <w:rFonts w:cs="Arial"/>
          <w:b/>
          <w:color w:val="232120"/>
        </w:rPr>
      </w:pPr>
    </w:p>
    <w:p w14:paraId="478BE25B" w14:textId="77777777" w:rsidR="00EA12CE" w:rsidRPr="00331C61" w:rsidRDefault="00EA12CE" w:rsidP="00331C61">
      <w:pPr>
        <w:pStyle w:val="Default"/>
        <w:spacing w:line="288" w:lineRule="auto"/>
        <w:rPr>
          <w:rFonts w:cs="Arial"/>
          <w:b/>
          <w:color w:val="232120"/>
        </w:rPr>
      </w:pPr>
    </w:p>
    <w:p w14:paraId="5C778F54" w14:textId="77777777" w:rsidR="00EA12CE" w:rsidRDefault="00EA12CE" w:rsidP="00331C61">
      <w:pPr>
        <w:pStyle w:val="Default"/>
        <w:spacing w:line="288" w:lineRule="auto"/>
        <w:rPr>
          <w:rFonts w:cs="Arial"/>
          <w:b/>
          <w:color w:val="232120"/>
        </w:rPr>
      </w:pPr>
    </w:p>
    <w:p w14:paraId="71C27449" w14:textId="77777777" w:rsidR="0048607F" w:rsidRDefault="0048607F" w:rsidP="00331C61">
      <w:pPr>
        <w:pStyle w:val="Default"/>
        <w:spacing w:line="288" w:lineRule="auto"/>
        <w:rPr>
          <w:rFonts w:cs="Arial"/>
          <w:b/>
          <w:color w:val="232120"/>
        </w:rPr>
      </w:pPr>
    </w:p>
    <w:p w14:paraId="4BF40E81" w14:textId="77777777" w:rsidR="0048607F" w:rsidRDefault="0048607F" w:rsidP="00331C61">
      <w:pPr>
        <w:pStyle w:val="Default"/>
        <w:spacing w:line="288" w:lineRule="auto"/>
        <w:rPr>
          <w:rFonts w:cs="Arial"/>
          <w:b/>
          <w:color w:val="232120"/>
        </w:rPr>
      </w:pPr>
    </w:p>
    <w:p w14:paraId="6CDD399C" w14:textId="77777777" w:rsidR="0048607F" w:rsidRDefault="0048607F" w:rsidP="00331C61">
      <w:pPr>
        <w:pStyle w:val="Default"/>
        <w:spacing w:line="288" w:lineRule="auto"/>
        <w:rPr>
          <w:rFonts w:cs="Arial"/>
          <w:b/>
          <w:color w:val="232120"/>
        </w:rPr>
      </w:pPr>
    </w:p>
    <w:p w14:paraId="7DF81233" w14:textId="77777777" w:rsidR="0048607F" w:rsidRDefault="0048607F" w:rsidP="00331C61">
      <w:pPr>
        <w:pStyle w:val="Default"/>
        <w:spacing w:line="288" w:lineRule="auto"/>
        <w:rPr>
          <w:rFonts w:cs="Arial"/>
          <w:b/>
          <w:color w:val="232120"/>
        </w:rPr>
      </w:pPr>
    </w:p>
    <w:p w14:paraId="37D88117" w14:textId="77777777" w:rsidR="001F21F9" w:rsidRDefault="001F21F9" w:rsidP="00331C61">
      <w:pPr>
        <w:pStyle w:val="Default"/>
        <w:spacing w:line="288" w:lineRule="auto"/>
        <w:rPr>
          <w:rFonts w:cs="Arial"/>
          <w:b/>
          <w:color w:val="232120"/>
        </w:rPr>
      </w:pPr>
    </w:p>
    <w:p w14:paraId="551ACD72" w14:textId="77777777" w:rsidR="001F21F9" w:rsidRDefault="001F21F9" w:rsidP="00331C61">
      <w:pPr>
        <w:pStyle w:val="Default"/>
        <w:spacing w:line="288" w:lineRule="auto"/>
        <w:rPr>
          <w:rFonts w:cs="Arial"/>
          <w:b/>
          <w:color w:val="232120"/>
        </w:rPr>
      </w:pPr>
    </w:p>
    <w:p w14:paraId="285EF15E" w14:textId="77777777" w:rsidR="00B15667" w:rsidRDefault="00B15667" w:rsidP="00331C61">
      <w:pPr>
        <w:pStyle w:val="Default"/>
        <w:spacing w:line="288" w:lineRule="auto"/>
        <w:rPr>
          <w:rFonts w:cs="Arial"/>
          <w:b/>
          <w:color w:val="232120"/>
        </w:rPr>
      </w:pPr>
    </w:p>
    <w:p w14:paraId="43B1B0FE" w14:textId="77777777" w:rsidR="00E71ED7" w:rsidRDefault="00E71ED7" w:rsidP="00331C61">
      <w:pPr>
        <w:pStyle w:val="Default"/>
        <w:spacing w:line="288" w:lineRule="auto"/>
        <w:rPr>
          <w:rFonts w:cs="Arial"/>
          <w:b/>
          <w:color w:val="232120"/>
        </w:rPr>
      </w:pPr>
    </w:p>
    <w:p w14:paraId="2E1BDA9A" w14:textId="77777777" w:rsidR="00E71ED7" w:rsidRPr="00331C61" w:rsidRDefault="00E71ED7" w:rsidP="00331C61">
      <w:pPr>
        <w:pStyle w:val="Default"/>
        <w:spacing w:line="288" w:lineRule="auto"/>
        <w:rPr>
          <w:rFonts w:cs="Arial"/>
          <w:b/>
          <w:color w:val="232120"/>
        </w:rPr>
      </w:pPr>
    </w:p>
    <w:p w14:paraId="24C11BF1" w14:textId="77777777" w:rsidR="004672AC" w:rsidRDefault="004672AC" w:rsidP="00331C61">
      <w:pPr>
        <w:pStyle w:val="Default"/>
        <w:spacing w:line="288" w:lineRule="auto"/>
        <w:rPr>
          <w:rFonts w:cs="Arial"/>
          <w:b/>
          <w:color w:val="232120"/>
        </w:rPr>
      </w:pPr>
    </w:p>
    <w:p w14:paraId="1F59A5A6" w14:textId="77777777" w:rsidR="0094785B" w:rsidRDefault="0094785B" w:rsidP="00331C61">
      <w:pPr>
        <w:pStyle w:val="Default"/>
        <w:spacing w:line="288" w:lineRule="auto"/>
        <w:rPr>
          <w:rFonts w:cs="Arial"/>
          <w:b/>
          <w:color w:val="232120"/>
        </w:rPr>
      </w:pPr>
    </w:p>
    <w:p w14:paraId="0D333515" w14:textId="25236E0E" w:rsidR="00840974" w:rsidRDefault="00840974" w:rsidP="00840974">
      <w:pPr>
        <w:pStyle w:val="Heading1"/>
        <w:numPr>
          <w:ilvl w:val="0"/>
          <w:numId w:val="0"/>
        </w:numPr>
        <w:ind w:left="426" w:hanging="426"/>
      </w:pPr>
      <w:bookmarkStart w:id="0" w:name="_Toc141088100"/>
      <w:r>
        <w:t>Recommendations</w:t>
      </w:r>
      <w:bookmarkEnd w:id="0"/>
    </w:p>
    <w:p w14:paraId="6F2A1D49" w14:textId="7A9F520C" w:rsidR="00840974" w:rsidRDefault="00840974" w:rsidP="00840974"/>
    <w:p w14:paraId="1F0AE022" w14:textId="3F934546" w:rsidR="00840974" w:rsidRDefault="000A4470" w:rsidP="000A4470">
      <w:r>
        <w:t xml:space="preserve">The Northern Ireland Human Rights Commission: </w:t>
      </w:r>
    </w:p>
    <w:p w14:paraId="02F1235C" w14:textId="77777777" w:rsidR="000A4470" w:rsidRDefault="000A4470" w:rsidP="00840974">
      <w:pPr>
        <w:ind w:left="273"/>
      </w:pPr>
    </w:p>
    <w:p w14:paraId="49F75EDA" w14:textId="57F33A90" w:rsidR="000A4470" w:rsidRPr="000A4470" w:rsidRDefault="000A4470" w:rsidP="000A4470">
      <w:pPr>
        <w:pStyle w:val="ListParagraph"/>
        <w:numPr>
          <w:ilvl w:val="0"/>
          <w:numId w:val="17"/>
        </w:numPr>
        <w:ind w:left="360"/>
        <w:rPr>
          <w:rStyle w:val="normaltextrun"/>
          <w:b/>
          <w:bCs/>
        </w:rPr>
      </w:pPr>
      <w:r w:rsidRPr="000A4470">
        <w:rPr>
          <w:rStyle w:val="normaltextrun"/>
          <w:b/>
          <w:bCs/>
        </w:rPr>
        <w:t xml:space="preserve">recommends </w:t>
      </w:r>
      <w:r w:rsidRPr="000A4470">
        <w:rPr>
          <w:rStyle w:val="normaltextrun"/>
          <w:b/>
          <w:bCs/>
        </w:rPr>
        <w:t xml:space="preserve">that, before making its final mitigations, the Department for Communities conducts a </w:t>
      </w:r>
      <w:proofErr w:type="gramStart"/>
      <w:r w:rsidRPr="000A4470">
        <w:rPr>
          <w:rStyle w:val="normaltextrun"/>
          <w:b/>
          <w:bCs/>
        </w:rPr>
        <w:t>human rights</w:t>
      </w:r>
      <w:proofErr w:type="gramEnd"/>
      <w:r w:rsidRPr="000A4470">
        <w:rPr>
          <w:rStyle w:val="normaltextrun"/>
          <w:b/>
          <w:bCs/>
        </w:rPr>
        <w:t xml:space="preserve"> based, cumulative impact assessment of the range of intended measures, and demonstrates that every effort has been made to use all resources that are at its disposal to satisfy, as a matter of priority, the minimum essential levels of each of the relevant rights in the International Covenant on Economic, Social and Cultural Rights (ICESCR).</w:t>
      </w:r>
    </w:p>
    <w:p w14:paraId="07AF4085" w14:textId="77777777" w:rsidR="000A4470" w:rsidRPr="000A4470" w:rsidRDefault="000A4470" w:rsidP="000A4470">
      <w:pPr>
        <w:rPr>
          <w:rStyle w:val="normaltextrun"/>
          <w:b/>
          <w:bCs/>
        </w:rPr>
      </w:pPr>
    </w:p>
    <w:p w14:paraId="5846D0EA" w14:textId="77777777" w:rsidR="000A4470" w:rsidRPr="000A4470" w:rsidRDefault="000A4470" w:rsidP="000A4470">
      <w:pPr>
        <w:pStyle w:val="ListParagraph"/>
        <w:numPr>
          <w:ilvl w:val="0"/>
          <w:numId w:val="17"/>
        </w:numPr>
        <w:ind w:left="360"/>
        <w:rPr>
          <w:b/>
          <w:bCs/>
        </w:rPr>
      </w:pPr>
      <w:r w:rsidRPr="000A4470">
        <w:rPr>
          <w:b/>
          <w:bCs/>
        </w:rPr>
        <w:t>recommends that the Department for Communities prioritise taking effective steps to ensure that social security is adequate, accessible and promptly available across NI, and the maximum available resources are used to guarantee an adequate standard of living to all recipients.</w:t>
      </w:r>
    </w:p>
    <w:p w14:paraId="2FC974B4" w14:textId="77777777" w:rsidR="000A4470" w:rsidRPr="000A4470" w:rsidRDefault="000A4470" w:rsidP="000A4470">
      <w:pPr>
        <w:pStyle w:val="ListParagraph"/>
        <w:rPr>
          <w:b/>
          <w:bCs/>
        </w:rPr>
      </w:pPr>
    </w:p>
    <w:p w14:paraId="710F06FB" w14:textId="77777777" w:rsidR="000A4470" w:rsidRPr="000A4470" w:rsidRDefault="000A4470" w:rsidP="000A4470">
      <w:pPr>
        <w:pStyle w:val="ListParagraph"/>
        <w:numPr>
          <w:ilvl w:val="0"/>
          <w:numId w:val="17"/>
        </w:numPr>
        <w:ind w:left="360"/>
        <w:rPr>
          <w:b/>
          <w:bCs/>
        </w:rPr>
      </w:pPr>
      <w:r w:rsidRPr="000A4470">
        <w:rPr>
          <w:b/>
          <w:bCs/>
        </w:rPr>
        <w:t>recommends that the Department for Communities prioritises the Discretionary Support Grants scheme to ensure resources adequately meet need and ensure compliance with international human rights obligations, particularly Article 3 and Article 8 of the European Convention on Human Rights.</w:t>
      </w:r>
    </w:p>
    <w:p w14:paraId="688BD1C1" w14:textId="77777777" w:rsidR="000A4470" w:rsidRPr="000A4470" w:rsidRDefault="000A4470" w:rsidP="000A4470">
      <w:pPr>
        <w:pStyle w:val="ListParagraph"/>
        <w:rPr>
          <w:b/>
          <w:bCs/>
        </w:rPr>
      </w:pPr>
    </w:p>
    <w:p w14:paraId="615AB694" w14:textId="77777777" w:rsidR="000A4470" w:rsidRPr="000A4470" w:rsidRDefault="000A4470" w:rsidP="000A4470">
      <w:pPr>
        <w:pStyle w:val="ListParagraph"/>
        <w:numPr>
          <w:ilvl w:val="0"/>
          <w:numId w:val="17"/>
        </w:numPr>
        <w:ind w:left="360"/>
        <w:rPr>
          <w:b/>
          <w:bCs/>
        </w:rPr>
      </w:pPr>
      <w:r w:rsidRPr="000A4470">
        <w:rPr>
          <w:b/>
          <w:bCs/>
        </w:rPr>
        <w:t>recommends that the Department for Communities takes targeted measures to ensure the impact of the delayed introduction of New Welfare Mitigations does not have a sustained impact on the right to an adequate standard of living for vulnerable individuals and groups, in particular women, carers, people with dependents, people with disabilities, and children.</w:t>
      </w:r>
    </w:p>
    <w:p w14:paraId="701B4213" w14:textId="77777777" w:rsidR="000A4470" w:rsidRPr="000A4470" w:rsidRDefault="000A4470" w:rsidP="000A4470">
      <w:pPr>
        <w:pStyle w:val="ListParagraph"/>
        <w:rPr>
          <w:b/>
          <w:bCs/>
        </w:rPr>
      </w:pPr>
    </w:p>
    <w:p w14:paraId="52628CC6" w14:textId="77777777" w:rsidR="000A4470" w:rsidRPr="000A4470" w:rsidRDefault="000A4470" w:rsidP="000A4470">
      <w:pPr>
        <w:pStyle w:val="ListParagraph"/>
        <w:numPr>
          <w:ilvl w:val="0"/>
          <w:numId w:val="17"/>
        </w:numPr>
        <w:ind w:left="360"/>
        <w:rPr>
          <w:b/>
          <w:bCs/>
        </w:rPr>
      </w:pPr>
      <w:r w:rsidRPr="000A4470">
        <w:rPr>
          <w:b/>
          <w:bCs/>
        </w:rPr>
        <w:t>recommends that the Department for Communities maintains targeted programmes that ensure</w:t>
      </w:r>
      <w:r w:rsidRPr="000A4470">
        <w:rPr>
          <w:rFonts w:cs="Arial"/>
          <w:b/>
          <w:bCs/>
        </w:rPr>
        <w:t xml:space="preserve"> access to, retention of and advancement in the labour market, particularly for people with disabilities, young people, women, migrants, older people and those living in rural areas.</w:t>
      </w:r>
    </w:p>
    <w:p w14:paraId="29BF6B23" w14:textId="77777777" w:rsidR="000A4470" w:rsidRPr="000A4470" w:rsidRDefault="000A4470" w:rsidP="000A4470">
      <w:pPr>
        <w:pStyle w:val="ListParagraph"/>
        <w:rPr>
          <w:rFonts w:cs="Arial"/>
          <w:b/>
        </w:rPr>
      </w:pPr>
    </w:p>
    <w:p w14:paraId="2E9BC92C" w14:textId="55E1CC2C" w:rsidR="000A4470" w:rsidRPr="000A4470" w:rsidRDefault="000A4470" w:rsidP="000A4470">
      <w:pPr>
        <w:pStyle w:val="ListParagraph"/>
        <w:numPr>
          <w:ilvl w:val="0"/>
          <w:numId w:val="17"/>
        </w:numPr>
        <w:ind w:left="360"/>
        <w:rPr>
          <w:b/>
          <w:bCs/>
        </w:rPr>
      </w:pPr>
      <w:r w:rsidRPr="000A4470">
        <w:rPr>
          <w:rFonts w:cs="Arial"/>
          <w:b/>
        </w:rPr>
        <w:t xml:space="preserve">recommends that the Department for Communities takes all appropriate measures to sustain resources in third sector organisations and safeguard the effective provision of support and advice on social security, employment, and housing to those who require it most. </w:t>
      </w:r>
    </w:p>
    <w:p w14:paraId="1927E14C" w14:textId="77777777" w:rsidR="000A4470" w:rsidRPr="000A4470" w:rsidRDefault="000A4470" w:rsidP="000A4470">
      <w:pPr>
        <w:pStyle w:val="ListParagraph"/>
        <w:rPr>
          <w:b/>
          <w:bCs/>
        </w:rPr>
      </w:pPr>
    </w:p>
    <w:p w14:paraId="4BE40BCF" w14:textId="046894EA" w:rsidR="00986B2E" w:rsidRPr="000A4470" w:rsidRDefault="000A4470" w:rsidP="00840974">
      <w:pPr>
        <w:pStyle w:val="ListParagraph"/>
        <w:numPr>
          <w:ilvl w:val="0"/>
          <w:numId w:val="17"/>
        </w:numPr>
        <w:ind w:left="360"/>
        <w:rPr>
          <w:b/>
          <w:bCs/>
        </w:rPr>
      </w:pPr>
      <w:r w:rsidRPr="000A4470">
        <w:rPr>
          <w:b/>
          <w:bCs/>
        </w:rPr>
        <w:t xml:space="preserve">recommends that the Department for Communities maintains and prioritises adequate funding to the housing sector and takes appropriate mitigating measures to address waiting lists and prevent homelessness. </w:t>
      </w:r>
      <w:proofErr w:type="gramStart"/>
      <w:r w:rsidRPr="000A4470">
        <w:rPr>
          <w:b/>
          <w:bCs/>
        </w:rPr>
        <w:t>Particular consideration</w:t>
      </w:r>
      <w:proofErr w:type="gramEnd"/>
      <w:r w:rsidRPr="000A4470">
        <w:rPr>
          <w:b/>
          <w:bCs/>
        </w:rPr>
        <w:t xml:space="preserve"> must be afforded to those living in unfavourable conditions in NI, in accordance with Article 11 of ICESCR and Article 8 of ECHR.</w:t>
      </w:r>
    </w:p>
    <w:p w14:paraId="4D349484" w14:textId="6512617F" w:rsidR="007569C1" w:rsidRDefault="00ED40E9" w:rsidP="0094785B">
      <w:pPr>
        <w:pStyle w:val="Heading1"/>
        <w:ind w:left="426" w:hanging="426"/>
      </w:pPr>
      <w:bookmarkStart w:id="1" w:name="_Toc141088101"/>
      <w:r>
        <w:t>Introduction</w:t>
      </w:r>
      <w:bookmarkEnd w:id="1"/>
    </w:p>
    <w:p w14:paraId="7532632B" w14:textId="77777777" w:rsidR="00B25101" w:rsidRPr="00B25101" w:rsidRDefault="00B25101" w:rsidP="00B25101"/>
    <w:p w14:paraId="291352F2" w14:textId="1372414F" w:rsidR="00ED40E9" w:rsidRPr="00D92FF5" w:rsidRDefault="00D92FF5" w:rsidP="00222C35">
      <w:pPr>
        <w:numPr>
          <w:ilvl w:val="1"/>
          <w:numId w:val="1"/>
        </w:numPr>
        <w:spacing w:line="276" w:lineRule="auto"/>
        <w:ind w:left="709" w:hanging="709"/>
        <w:rPr>
          <w:rFonts w:eastAsia="Times New Roman" w:cs="Times New Roman"/>
        </w:rPr>
      </w:pPr>
      <w:r w:rsidRPr="00D92FF5">
        <w:rPr>
          <w:rFonts w:eastAsia="Times New Roman" w:cs="Times New Roman"/>
        </w:rPr>
        <w:t>The Northern Ireland Human Rights Commission (the NIHRC), pursuant to section 69(1) of the Northern Ireland Act 1998, reviews the adequacy and effectiveness of law and practice relating to the protection of human rights in Northern Ireland (NI). The NIHRC is also mandated, under section 78A(1) of the Northern Ireland Act 1998, to monitor the implementation of Article 2 of the Windsor Framework, to ensure there is no diminution of rights protected in the “Rights, Safeguards and Equality of Opportunity” chapter of the Belfast (Good Friday) Agreement 1998 as a result of the UK’s withdrawal from the EU.</w:t>
      </w:r>
      <w:r w:rsidRPr="00D92FF5">
        <w:rPr>
          <w:rFonts w:eastAsia="Times New Roman" w:cs="Times New Roman"/>
          <w:vertAlign w:val="superscript"/>
        </w:rPr>
        <w:footnoteReference w:id="2"/>
      </w:r>
      <w:r w:rsidRPr="00D92FF5">
        <w:rPr>
          <w:rFonts w:eastAsia="Times New Roman" w:cs="Times New Roman"/>
        </w:rPr>
        <w:t xml:space="preserve"> </w:t>
      </w:r>
      <w:r w:rsidR="00AD41DC" w:rsidRPr="00D92FF5">
        <w:rPr>
          <w:rFonts w:eastAsia="Times New Roman" w:cs="Times New Roman"/>
        </w:rPr>
        <w:t>In accordance with th</w:t>
      </w:r>
      <w:r>
        <w:rPr>
          <w:rFonts w:eastAsia="Times New Roman" w:cs="Times New Roman"/>
        </w:rPr>
        <w:t>ese</w:t>
      </w:r>
      <w:r w:rsidR="00AD41DC" w:rsidRPr="00D92FF5">
        <w:rPr>
          <w:rFonts w:eastAsia="Times New Roman" w:cs="Times New Roman"/>
        </w:rPr>
        <w:t xml:space="preserve"> function</w:t>
      </w:r>
      <w:r>
        <w:rPr>
          <w:rFonts w:eastAsia="Times New Roman" w:cs="Times New Roman"/>
        </w:rPr>
        <w:t>s</w:t>
      </w:r>
      <w:r w:rsidR="00AD41DC" w:rsidRPr="00D92FF5">
        <w:rPr>
          <w:rFonts w:eastAsia="Times New Roman" w:cs="Times New Roman"/>
        </w:rPr>
        <w:t xml:space="preserve">, the following advice is submitted </w:t>
      </w:r>
      <w:r w:rsidR="00ED40E9" w:rsidRPr="00D92FF5">
        <w:rPr>
          <w:rFonts w:eastAsia="Times New Roman" w:cs="Times New Roman"/>
        </w:rPr>
        <w:t xml:space="preserve">to the Department for Communities </w:t>
      </w:r>
      <w:r w:rsidR="00AD41DC" w:rsidRPr="00D92FF5">
        <w:rPr>
          <w:rFonts w:eastAsia="Times New Roman" w:cs="Times New Roman"/>
        </w:rPr>
        <w:t xml:space="preserve">in </w:t>
      </w:r>
      <w:r>
        <w:rPr>
          <w:rFonts w:eastAsia="Times New Roman" w:cs="Times New Roman"/>
        </w:rPr>
        <w:t>response to</w:t>
      </w:r>
      <w:r w:rsidR="00AD41DC" w:rsidRPr="00D92FF5">
        <w:rPr>
          <w:rFonts w:eastAsia="Times New Roman" w:cs="Times New Roman"/>
        </w:rPr>
        <w:t xml:space="preserve"> its consultation on</w:t>
      </w:r>
      <w:r w:rsidR="004C774A">
        <w:t xml:space="preserve"> budget allocations for the 2023-24 financial year.</w:t>
      </w:r>
    </w:p>
    <w:p w14:paraId="6561DE29" w14:textId="77777777" w:rsidR="00AD41DC" w:rsidRPr="00A73459" w:rsidRDefault="00AD41DC" w:rsidP="004C774A">
      <w:pPr>
        <w:spacing w:line="276" w:lineRule="auto"/>
        <w:ind w:left="709"/>
        <w:rPr>
          <w:rFonts w:eastAsia="Times New Roman" w:cs="Times New Roman"/>
        </w:rPr>
      </w:pPr>
    </w:p>
    <w:p w14:paraId="6E5E4F96" w14:textId="6529F91E" w:rsidR="00D92FF5" w:rsidRPr="00AD7346" w:rsidRDefault="00D92FF5" w:rsidP="00D92FF5">
      <w:pPr>
        <w:numPr>
          <w:ilvl w:val="1"/>
          <w:numId w:val="1"/>
        </w:numPr>
        <w:spacing w:line="276" w:lineRule="auto"/>
        <w:ind w:left="709" w:hanging="709"/>
        <w:rPr>
          <w:b/>
          <w:lang w:val="en-US"/>
        </w:rPr>
      </w:pPr>
      <w:r w:rsidRPr="00D92FF5">
        <w:rPr>
          <w:lang w:val="en-US"/>
        </w:rPr>
        <w:t>The NIHRC bases its advice on the full range of internationally accepted human rights standards, including the European Convention on Human Rights (ECHR), as incorporated by the Human Rights Act 1998,</w:t>
      </w:r>
      <w:r w:rsidR="007879E4">
        <w:rPr>
          <w:lang w:val="en-US"/>
        </w:rPr>
        <w:t xml:space="preserve"> </w:t>
      </w:r>
      <w:r w:rsidRPr="00D92FF5">
        <w:rPr>
          <w:lang w:val="en-US"/>
        </w:rPr>
        <w:t>and treaty obligations of the Council of Europe (</w:t>
      </w:r>
      <w:proofErr w:type="spellStart"/>
      <w:r w:rsidRPr="00D92FF5">
        <w:rPr>
          <w:lang w:val="en-US"/>
        </w:rPr>
        <w:t>CoE</w:t>
      </w:r>
      <w:proofErr w:type="spellEnd"/>
      <w:r w:rsidRPr="00D92FF5">
        <w:rPr>
          <w:lang w:val="en-US"/>
        </w:rPr>
        <w:t>) and United Nations (UN). The relevant regional and international treaties in this context include:</w:t>
      </w:r>
    </w:p>
    <w:p w14:paraId="04CD1D34" w14:textId="77777777" w:rsidR="00AD7346" w:rsidRPr="00AD7346" w:rsidRDefault="00AD7346" w:rsidP="00AD7346">
      <w:pPr>
        <w:spacing w:line="276" w:lineRule="auto"/>
        <w:rPr>
          <w:b/>
          <w:lang w:val="en-US"/>
        </w:rPr>
      </w:pPr>
    </w:p>
    <w:p w14:paraId="7A980818" w14:textId="0C18939A" w:rsidR="00D92FF5" w:rsidRDefault="00D92FF5" w:rsidP="00222C35">
      <w:pPr>
        <w:widowControl w:val="0"/>
        <w:numPr>
          <w:ilvl w:val="0"/>
          <w:numId w:val="4"/>
        </w:numPr>
        <w:autoSpaceDE w:val="0"/>
        <w:autoSpaceDN w:val="0"/>
        <w:adjustRightInd w:val="0"/>
        <w:spacing w:before="24" w:after="24" w:line="276" w:lineRule="auto"/>
        <w:rPr>
          <w:rFonts w:cs="Arial"/>
          <w:b/>
          <w:lang w:val="en-US"/>
        </w:rPr>
      </w:pPr>
      <w:r>
        <w:rPr>
          <w:rFonts w:cs="Arial"/>
          <w:lang w:val="en-US"/>
        </w:rPr>
        <w:t>European Convention on Human Rights 1950 (ECHR);</w:t>
      </w:r>
      <w:r>
        <w:rPr>
          <w:rFonts w:cs="Arial"/>
          <w:vertAlign w:val="superscript"/>
          <w:lang w:val="en-US"/>
        </w:rPr>
        <w:footnoteReference w:id="3"/>
      </w:r>
      <w:r>
        <w:rPr>
          <w:rFonts w:cs="Arial"/>
          <w:lang w:val="en-US"/>
        </w:rPr>
        <w:t xml:space="preserve"> </w:t>
      </w:r>
    </w:p>
    <w:p w14:paraId="77865D6E" w14:textId="78BB454F" w:rsidR="00D92FF5" w:rsidRDefault="00D92FF5" w:rsidP="00222C35">
      <w:pPr>
        <w:widowControl w:val="0"/>
        <w:numPr>
          <w:ilvl w:val="0"/>
          <w:numId w:val="4"/>
        </w:numPr>
        <w:autoSpaceDE w:val="0"/>
        <w:autoSpaceDN w:val="0"/>
        <w:adjustRightInd w:val="0"/>
        <w:spacing w:before="24" w:after="24" w:line="276" w:lineRule="auto"/>
        <w:rPr>
          <w:rFonts w:cs="Arial"/>
          <w:lang w:val="en-US"/>
        </w:rPr>
      </w:pPr>
      <w:r>
        <w:t>UN Convention on Economic, Social and Cultural Rights (UN   ICESCR);</w:t>
      </w:r>
      <w:r>
        <w:rPr>
          <w:rStyle w:val="FootnoteReference"/>
        </w:rPr>
        <w:footnoteReference w:id="4"/>
      </w:r>
    </w:p>
    <w:p w14:paraId="3DC36FE1" w14:textId="77777777" w:rsidR="00D92FF5" w:rsidRDefault="00D92FF5" w:rsidP="00222C35">
      <w:pPr>
        <w:widowControl w:val="0"/>
        <w:numPr>
          <w:ilvl w:val="0"/>
          <w:numId w:val="4"/>
        </w:numPr>
        <w:autoSpaceDE w:val="0"/>
        <w:autoSpaceDN w:val="0"/>
        <w:adjustRightInd w:val="0"/>
        <w:spacing w:before="24" w:after="24" w:line="276" w:lineRule="auto"/>
        <w:rPr>
          <w:rFonts w:cs="Arial"/>
          <w:lang w:val="en-US"/>
        </w:rPr>
      </w:pPr>
      <w:r>
        <w:rPr>
          <w:rFonts w:cs="Arial"/>
          <w:lang w:val="en-US"/>
        </w:rPr>
        <w:t>UN Convention on the Elimination of Racial Discrimination 1965 (UN CERD);</w:t>
      </w:r>
      <w:r>
        <w:rPr>
          <w:rStyle w:val="FootnoteReference"/>
          <w:rFonts w:cs="Arial"/>
          <w:lang w:val="en-US"/>
        </w:rPr>
        <w:footnoteReference w:id="5"/>
      </w:r>
    </w:p>
    <w:p w14:paraId="7E602345" w14:textId="77777777" w:rsidR="00D92FF5" w:rsidRDefault="00D92FF5" w:rsidP="00222C35">
      <w:pPr>
        <w:widowControl w:val="0"/>
        <w:numPr>
          <w:ilvl w:val="0"/>
          <w:numId w:val="4"/>
        </w:numPr>
        <w:autoSpaceDE w:val="0"/>
        <w:autoSpaceDN w:val="0"/>
        <w:adjustRightInd w:val="0"/>
        <w:spacing w:before="24" w:after="24" w:line="276" w:lineRule="auto"/>
        <w:rPr>
          <w:rFonts w:cs="Arial"/>
          <w:lang w:val="en-US"/>
        </w:rPr>
      </w:pPr>
      <w:r>
        <w:rPr>
          <w:rFonts w:cs="Verdana"/>
          <w:color w:val="000000"/>
          <w:lang w:val="en-US"/>
        </w:rPr>
        <w:t>UN Convention on Elimination of Discrimination against Women 1981 (UN CEDAW);</w:t>
      </w:r>
      <w:r>
        <w:rPr>
          <w:rFonts w:cs="Verdana"/>
          <w:color w:val="000000"/>
          <w:vertAlign w:val="superscript"/>
          <w:lang w:val="en-US"/>
        </w:rPr>
        <w:footnoteReference w:id="6"/>
      </w:r>
    </w:p>
    <w:p w14:paraId="4935FD69" w14:textId="77777777" w:rsidR="00D92FF5" w:rsidRDefault="00D92FF5" w:rsidP="00222C35">
      <w:pPr>
        <w:widowControl w:val="0"/>
        <w:numPr>
          <w:ilvl w:val="0"/>
          <w:numId w:val="4"/>
        </w:numPr>
        <w:autoSpaceDE w:val="0"/>
        <w:autoSpaceDN w:val="0"/>
        <w:adjustRightInd w:val="0"/>
        <w:spacing w:before="24" w:after="24" w:line="276" w:lineRule="auto"/>
        <w:rPr>
          <w:rFonts w:cs="Arial"/>
          <w:lang w:val="en-US"/>
        </w:rPr>
      </w:pPr>
      <w:r>
        <w:rPr>
          <w:rFonts w:cs="Verdana"/>
          <w:color w:val="000000"/>
          <w:lang w:val="en-US"/>
        </w:rPr>
        <w:t>UN Convention against Torture 1984 (UN CAT);</w:t>
      </w:r>
      <w:r>
        <w:rPr>
          <w:rFonts w:cs="Verdana"/>
          <w:color w:val="000000"/>
          <w:vertAlign w:val="superscript"/>
          <w:lang w:val="en-US"/>
        </w:rPr>
        <w:footnoteReference w:id="7"/>
      </w:r>
    </w:p>
    <w:p w14:paraId="37477BFD" w14:textId="77777777" w:rsidR="00D92FF5" w:rsidRDefault="00D92FF5" w:rsidP="00222C35">
      <w:pPr>
        <w:widowControl w:val="0"/>
        <w:numPr>
          <w:ilvl w:val="0"/>
          <w:numId w:val="4"/>
        </w:numPr>
        <w:autoSpaceDE w:val="0"/>
        <w:autoSpaceDN w:val="0"/>
        <w:adjustRightInd w:val="0"/>
        <w:spacing w:before="24" w:after="24" w:line="276" w:lineRule="auto"/>
        <w:rPr>
          <w:rFonts w:cs="Verdana"/>
          <w:color w:val="000000"/>
          <w:lang w:val="en-US"/>
        </w:rPr>
      </w:pPr>
      <w:r>
        <w:rPr>
          <w:rFonts w:cs="Verdana"/>
          <w:color w:val="000000"/>
          <w:lang w:val="en-US"/>
        </w:rPr>
        <w:t>UN Convention on the Rights of the Child 1989 (UN CRC);</w:t>
      </w:r>
      <w:r>
        <w:rPr>
          <w:rStyle w:val="FootnoteReference"/>
          <w:rFonts w:cs="Verdana"/>
          <w:color w:val="000000"/>
          <w:lang w:val="en-US"/>
        </w:rPr>
        <w:footnoteReference w:id="8"/>
      </w:r>
      <w:r>
        <w:rPr>
          <w:rFonts w:cs="Verdana"/>
          <w:color w:val="000000"/>
          <w:lang w:val="en-US"/>
        </w:rPr>
        <w:t xml:space="preserve"> and</w:t>
      </w:r>
    </w:p>
    <w:p w14:paraId="29C72074" w14:textId="2BD20213" w:rsidR="00AD41DC" w:rsidRPr="00D92FF5" w:rsidRDefault="00D92FF5" w:rsidP="00222C35">
      <w:pPr>
        <w:widowControl w:val="0"/>
        <w:numPr>
          <w:ilvl w:val="0"/>
          <w:numId w:val="4"/>
        </w:numPr>
        <w:autoSpaceDE w:val="0"/>
        <w:autoSpaceDN w:val="0"/>
        <w:adjustRightInd w:val="0"/>
        <w:spacing w:before="24" w:after="24" w:line="276" w:lineRule="auto"/>
        <w:rPr>
          <w:rFonts w:cs="Arial"/>
          <w:lang w:val="en-US"/>
        </w:rPr>
      </w:pPr>
      <w:r>
        <w:rPr>
          <w:rFonts w:cs="Verdana"/>
          <w:color w:val="000000"/>
          <w:lang w:val="en-US"/>
        </w:rPr>
        <w:t>UN Convention on the Rights of Persons with Disabilities 2006 (UN CRPD).</w:t>
      </w:r>
      <w:r>
        <w:rPr>
          <w:rStyle w:val="FootnoteReference"/>
          <w:rFonts w:cs="Verdana"/>
          <w:color w:val="000000"/>
          <w:lang w:val="en-US"/>
        </w:rPr>
        <w:footnoteReference w:id="9"/>
      </w:r>
    </w:p>
    <w:p w14:paraId="5734B996" w14:textId="77777777" w:rsidR="00AD41DC" w:rsidRDefault="00AD41DC" w:rsidP="004C774A">
      <w:pPr>
        <w:spacing w:line="276" w:lineRule="auto"/>
        <w:rPr>
          <w:rFonts w:eastAsia="Times New Roman" w:cs="Times New Roman"/>
        </w:rPr>
      </w:pPr>
    </w:p>
    <w:p w14:paraId="1FE2C923" w14:textId="6AB217AE" w:rsidR="00164877" w:rsidRDefault="00D92FF5" w:rsidP="00AD7346">
      <w:pPr>
        <w:numPr>
          <w:ilvl w:val="1"/>
          <w:numId w:val="1"/>
        </w:numPr>
        <w:spacing w:line="276" w:lineRule="auto"/>
        <w:ind w:left="709" w:hanging="709"/>
        <w:rPr>
          <w:bCs/>
        </w:rPr>
      </w:pPr>
      <w:r w:rsidRPr="00D92FF5">
        <w:rPr>
          <w:lang w:val="en-US"/>
        </w:rPr>
        <w:t xml:space="preserve">In </w:t>
      </w:r>
      <w:r w:rsidRPr="00D92FF5">
        <w:t>addition to these treaty standards, the following declarations and principles provide further guidance in respect of specific areas:</w:t>
      </w:r>
    </w:p>
    <w:p w14:paraId="2B43B479" w14:textId="77777777" w:rsidR="00AD7346" w:rsidRPr="00AD7346" w:rsidRDefault="00AD7346" w:rsidP="00AD7346">
      <w:pPr>
        <w:spacing w:line="276" w:lineRule="auto"/>
        <w:ind w:left="709"/>
        <w:rPr>
          <w:bCs/>
        </w:rPr>
      </w:pPr>
    </w:p>
    <w:p w14:paraId="26A1D705" w14:textId="37A008E4" w:rsidR="0023665C" w:rsidRDefault="004F5919" w:rsidP="00164877">
      <w:pPr>
        <w:pStyle w:val="ListParagraph"/>
        <w:numPr>
          <w:ilvl w:val="0"/>
          <w:numId w:val="9"/>
        </w:numPr>
        <w:spacing w:line="276" w:lineRule="auto"/>
        <w:rPr>
          <w:bCs/>
        </w:rPr>
      </w:pPr>
      <w:r>
        <w:rPr>
          <w:bCs/>
        </w:rPr>
        <w:t xml:space="preserve">ICESCR Committee </w:t>
      </w:r>
      <w:r w:rsidR="00F009CC">
        <w:rPr>
          <w:bCs/>
        </w:rPr>
        <w:t>General Comment No.2</w:t>
      </w:r>
      <w:r w:rsidR="00164877">
        <w:rPr>
          <w:bCs/>
        </w:rPr>
        <w:t>;</w:t>
      </w:r>
      <w:r w:rsidR="00164877">
        <w:rPr>
          <w:rStyle w:val="FootnoteReference"/>
          <w:bCs/>
        </w:rPr>
        <w:footnoteReference w:id="10"/>
      </w:r>
    </w:p>
    <w:p w14:paraId="27681CC2" w14:textId="75D1968D" w:rsidR="00F009CC" w:rsidRDefault="00F009CC" w:rsidP="00164877">
      <w:pPr>
        <w:pStyle w:val="ListParagraph"/>
        <w:numPr>
          <w:ilvl w:val="0"/>
          <w:numId w:val="9"/>
        </w:numPr>
        <w:spacing w:line="276" w:lineRule="auto"/>
        <w:rPr>
          <w:bCs/>
        </w:rPr>
      </w:pPr>
      <w:r>
        <w:rPr>
          <w:bCs/>
        </w:rPr>
        <w:t>ICESCR Committee General Comment No.3</w:t>
      </w:r>
      <w:r w:rsidR="00164877">
        <w:rPr>
          <w:bCs/>
        </w:rPr>
        <w:t>;</w:t>
      </w:r>
      <w:r w:rsidR="00164877">
        <w:rPr>
          <w:rStyle w:val="FootnoteReference"/>
          <w:bCs/>
        </w:rPr>
        <w:footnoteReference w:id="11"/>
      </w:r>
    </w:p>
    <w:p w14:paraId="40EF5FE7" w14:textId="674ED96F" w:rsidR="00FA6DCF" w:rsidRDefault="00FA6DCF" w:rsidP="00164877">
      <w:pPr>
        <w:pStyle w:val="ListParagraph"/>
        <w:numPr>
          <w:ilvl w:val="0"/>
          <w:numId w:val="9"/>
        </w:numPr>
        <w:spacing w:line="276" w:lineRule="auto"/>
        <w:rPr>
          <w:bCs/>
        </w:rPr>
      </w:pPr>
      <w:r>
        <w:rPr>
          <w:bCs/>
        </w:rPr>
        <w:t>ICESCR Comm</w:t>
      </w:r>
      <w:r w:rsidR="003E00E7">
        <w:rPr>
          <w:bCs/>
        </w:rPr>
        <w:t>ittee General Comment No.4;</w:t>
      </w:r>
      <w:r w:rsidR="003E00E7">
        <w:rPr>
          <w:rStyle w:val="FootnoteReference"/>
          <w:bCs/>
        </w:rPr>
        <w:footnoteReference w:id="12"/>
      </w:r>
    </w:p>
    <w:p w14:paraId="5249F2BA" w14:textId="7A7E3795" w:rsidR="002F4FC6" w:rsidRDefault="002F4FC6" w:rsidP="00164877">
      <w:pPr>
        <w:pStyle w:val="ListParagraph"/>
        <w:numPr>
          <w:ilvl w:val="0"/>
          <w:numId w:val="9"/>
        </w:numPr>
        <w:spacing w:line="276" w:lineRule="auto"/>
        <w:rPr>
          <w:bCs/>
        </w:rPr>
      </w:pPr>
      <w:r>
        <w:rPr>
          <w:bCs/>
        </w:rPr>
        <w:t>ICESCR Committee General Comment No.19;</w:t>
      </w:r>
      <w:r>
        <w:rPr>
          <w:rStyle w:val="FootnoteReference"/>
          <w:bCs/>
        </w:rPr>
        <w:footnoteReference w:id="13"/>
      </w:r>
    </w:p>
    <w:p w14:paraId="00393693" w14:textId="533D2501" w:rsidR="006E7AC9" w:rsidRDefault="006E7AC9" w:rsidP="00164877">
      <w:pPr>
        <w:pStyle w:val="ListParagraph"/>
        <w:numPr>
          <w:ilvl w:val="0"/>
          <w:numId w:val="9"/>
        </w:numPr>
        <w:spacing w:line="276" w:lineRule="auto"/>
        <w:rPr>
          <w:bCs/>
        </w:rPr>
      </w:pPr>
      <w:r>
        <w:rPr>
          <w:bCs/>
        </w:rPr>
        <w:t>ICESCR Committee General Comment No.18;</w:t>
      </w:r>
      <w:r>
        <w:rPr>
          <w:rStyle w:val="FootnoteReference"/>
          <w:bCs/>
        </w:rPr>
        <w:footnoteReference w:id="14"/>
      </w:r>
    </w:p>
    <w:p w14:paraId="2E7A5CAA" w14:textId="6592D981" w:rsidR="002F4FC6" w:rsidRPr="002F4FC6" w:rsidRDefault="00D038BC" w:rsidP="002F4FC6">
      <w:pPr>
        <w:pStyle w:val="ListParagraph"/>
        <w:numPr>
          <w:ilvl w:val="0"/>
          <w:numId w:val="9"/>
        </w:numPr>
        <w:spacing w:line="276" w:lineRule="auto"/>
        <w:rPr>
          <w:bCs/>
        </w:rPr>
      </w:pPr>
      <w:r>
        <w:rPr>
          <w:bCs/>
        </w:rPr>
        <w:t xml:space="preserve">UN </w:t>
      </w:r>
      <w:r w:rsidR="00164877" w:rsidRPr="00164877">
        <w:rPr>
          <w:bCs/>
        </w:rPr>
        <w:t>Human Rights Council Resolution 40/8</w:t>
      </w:r>
      <w:r w:rsidR="00164877">
        <w:rPr>
          <w:bCs/>
        </w:rPr>
        <w:t>;</w:t>
      </w:r>
      <w:r w:rsidR="00164877">
        <w:rPr>
          <w:rStyle w:val="FootnoteReference"/>
          <w:bCs/>
        </w:rPr>
        <w:footnoteReference w:id="15"/>
      </w:r>
    </w:p>
    <w:p w14:paraId="1EB68E24" w14:textId="77777777" w:rsidR="00B44A62" w:rsidRDefault="00B44A62" w:rsidP="00B44A62">
      <w:pPr>
        <w:spacing w:line="276" w:lineRule="auto"/>
      </w:pPr>
    </w:p>
    <w:p w14:paraId="4A9CD62C" w14:textId="1E9BE30E" w:rsidR="00B44A62" w:rsidRPr="007D36B6" w:rsidRDefault="00B44A62" w:rsidP="00B44A62">
      <w:pPr>
        <w:pStyle w:val="Heading1"/>
        <w:spacing w:before="0" w:line="276" w:lineRule="auto"/>
        <w:ind w:left="709" w:hanging="709"/>
      </w:pPr>
      <w:bookmarkStart w:id="2" w:name="_Toc141088102"/>
      <w:r>
        <w:t>General Comments</w:t>
      </w:r>
      <w:bookmarkEnd w:id="2"/>
    </w:p>
    <w:p w14:paraId="1E916357" w14:textId="77777777" w:rsidR="00B44A62" w:rsidRDefault="00B44A62" w:rsidP="00B44A62">
      <w:pPr>
        <w:spacing w:line="276" w:lineRule="auto"/>
      </w:pPr>
    </w:p>
    <w:p w14:paraId="71B2A615" w14:textId="582AAF1F" w:rsidR="00B44A62" w:rsidRDefault="738BDFD1" w:rsidP="00B44A62">
      <w:pPr>
        <w:pStyle w:val="ListParagraph"/>
        <w:numPr>
          <w:ilvl w:val="1"/>
          <w:numId w:val="13"/>
        </w:numPr>
        <w:spacing w:line="276" w:lineRule="auto"/>
        <w:ind w:left="709" w:hanging="709"/>
      </w:pPr>
      <w:r w:rsidRPr="00707DD0">
        <w:t xml:space="preserve">The NIHRC welcomes the opportunity to respond to the </w:t>
      </w:r>
      <w:r w:rsidR="3EBA6CE0">
        <w:t>Department for Communities</w:t>
      </w:r>
      <w:r w:rsidR="649675F9">
        <w:t>’</w:t>
      </w:r>
      <w:r w:rsidR="3EBA6CE0">
        <w:t xml:space="preserve"> (the Department)</w:t>
      </w:r>
      <w:r w:rsidRPr="00707DD0">
        <w:t xml:space="preserve"> </w:t>
      </w:r>
      <w:r w:rsidR="3EBA6CE0" w:rsidRPr="00B44A62">
        <w:rPr>
          <w:rFonts w:eastAsia="Times New Roman" w:cs="Times New Roman"/>
        </w:rPr>
        <w:t>proposals for</w:t>
      </w:r>
      <w:r>
        <w:t xml:space="preserve"> </w:t>
      </w:r>
      <w:r w:rsidR="649675F9">
        <w:t>its B</w:t>
      </w:r>
      <w:r>
        <w:t>udget</w:t>
      </w:r>
      <w:r w:rsidR="649675F9">
        <w:t xml:space="preserve"> 2023-2</w:t>
      </w:r>
      <w:r w:rsidR="7CF67322">
        <w:t>4</w:t>
      </w:r>
      <w:r>
        <w:t xml:space="preserve"> allocations</w:t>
      </w:r>
      <w:r w:rsidRPr="00707DD0">
        <w:t xml:space="preserve">. </w:t>
      </w:r>
      <w:r w:rsidR="006E6474">
        <w:t>It</w:t>
      </w:r>
      <w:r w:rsidR="38DC34A7">
        <w:t xml:space="preserve"> is recognised that all NI Executive Departments face </w:t>
      </w:r>
      <w:r w:rsidR="51ECEF89">
        <w:t>significant</w:t>
      </w:r>
      <w:r>
        <w:t xml:space="preserve"> challenges following the announced cuts to the NI Budget 2023-24 by the Secretary of State for NI.</w:t>
      </w:r>
      <w:r w:rsidR="007D36B6">
        <w:rPr>
          <w:rStyle w:val="FootnoteReference"/>
        </w:rPr>
        <w:footnoteReference w:id="16"/>
      </w:r>
      <w:r>
        <w:t xml:space="preserve"> </w:t>
      </w:r>
      <w:r w:rsidR="001379DF">
        <w:t>It</w:t>
      </w:r>
      <w:r>
        <w:t xml:space="preserve"> is</w:t>
      </w:r>
      <w:r w:rsidR="52DB6DE3">
        <w:t xml:space="preserve"> </w:t>
      </w:r>
      <w:r>
        <w:t xml:space="preserve">disappointing that difficult decisions </w:t>
      </w:r>
      <w:r w:rsidR="10834FEA">
        <w:t>on</w:t>
      </w:r>
      <w:r>
        <w:t xml:space="preserve"> </w:t>
      </w:r>
      <w:r w:rsidR="3FC880D9">
        <w:t>budget allocation</w:t>
      </w:r>
      <w:r w:rsidR="468D06B7">
        <w:t>s</w:t>
      </w:r>
      <w:r>
        <w:t xml:space="preserve">, with significant </w:t>
      </w:r>
      <w:r w:rsidR="49B57F6C">
        <w:t>consequences</w:t>
      </w:r>
      <w:r>
        <w:t xml:space="preserve"> for the NI public, must be progressed without a fully functioning NI Executive and</w:t>
      </w:r>
      <w:r w:rsidR="7E8D8BFB">
        <w:t xml:space="preserve"> </w:t>
      </w:r>
      <w:r w:rsidR="05B14A99">
        <w:t xml:space="preserve">its </w:t>
      </w:r>
      <w:r>
        <w:t xml:space="preserve">Ministers. </w:t>
      </w:r>
    </w:p>
    <w:p w14:paraId="1CE91341" w14:textId="77777777" w:rsidR="00D274F5" w:rsidRDefault="00D274F5" w:rsidP="00B43FEA"/>
    <w:p w14:paraId="60454A4A" w14:textId="7A9BECCB" w:rsidR="00D274F5" w:rsidRDefault="00E817CF" w:rsidP="00D274F5">
      <w:pPr>
        <w:pStyle w:val="ListParagraph"/>
        <w:numPr>
          <w:ilvl w:val="1"/>
          <w:numId w:val="13"/>
        </w:numPr>
        <w:spacing w:line="276" w:lineRule="auto"/>
        <w:ind w:left="709" w:hanging="709"/>
      </w:pPr>
      <w:r>
        <w:t xml:space="preserve">Economic policy is not exempt from the </w:t>
      </w:r>
      <w:r w:rsidR="00FD6918">
        <w:t>du</w:t>
      </w:r>
      <w:r w:rsidR="00771B27">
        <w:t>ty</w:t>
      </w:r>
      <w:r w:rsidR="00FE137B">
        <w:t xml:space="preserve"> on the UK Government and NI Executive to </w:t>
      </w:r>
      <w:r w:rsidR="008B2BA0" w:rsidRPr="00D274F5">
        <w:rPr>
          <w:rStyle w:val="normaltextrun"/>
          <w:rFonts w:cs="Segoe UI"/>
          <w:shd w:val="clear" w:color="auto" w:fill="FFFFFF"/>
        </w:rPr>
        <w:t>respect, protect and fulfil human rights</w:t>
      </w:r>
      <w:r w:rsidR="001A0F81">
        <w:t>.</w:t>
      </w:r>
      <w:r w:rsidR="001A0F81">
        <w:rPr>
          <w:rStyle w:val="FootnoteReference"/>
        </w:rPr>
        <w:footnoteReference w:id="17"/>
      </w:r>
      <w:r w:rsidR="001A0F81">
        <w:t xml:space="preserve"> </w:t>
      </w:r>
      <w:r w:rsidR="00D274F5" w:rsidRPr="00D274F5">
        <w:rPr>
          <w:rStyle w:val="normaltextrun"/>
          <w:rFonts w:cs="Segoe UI"/>
          <w:shd w:val="clear" w:color="auto" w:fill="FFFFFF"/>
        </w:rPr>
        <w:t>P</w:t>
      </w:r>
      <w:r w:rsidR="00035AA5" w:rsidRPr="00D274F5">
        <w:rPr>
          <w:rStyle w:val="normaltextrun"/>
          <w:rFonts w:cs="Segoe UI"/>
          <w:shd w:val="clear" w:color="auto" w:fill="FFFFFF"/>
        </w:rPr>
        <w:t xml:space="preserve">ositive obligations, applicable to all </w:t>
      </w:r>
      <w:r w:rsidR="00DB3752">
        <w:rPr>
          <w:rStyle w:val="normaltextrun"/>
          <w:rFonts w:cs="Segoe UI"/>
          <w:shd w:val="clear" w:color="auto" w:fill="FFFFFF"/>
        </w:rPr>
        <w:t xml:space="preserve">levels </w:t>
      </w:r>
      <w:r w:rsidR="00035AA5" w:rsidRPr="00D274F5">
        <w:rPr>
          <w:rStyle w:val="normaltextrun"/>
          <w:rFonts w:cs="Segoe UI"/>
          <w:shd w:val="clear" w:color="auto" w:fill="FFFFFF"/>
        </w:rPr>
        <w:t xml:space="preserve">of government, </w:t>
      </w:r>
      <w:r w:rsidR="00D274F5" w:rsidRPr="00D274F5">
        <w:rPr>
          <w:rStyle w:val="normaltextrun"/>
          <w:rFonts w:cs="Segoe UI"/>
          <w:shd w:val="clear" w:color="auto" w:fill="FFFFFF"/>
        </w:rPr>
        <w:t>require the adoption of</w:t>
      </w:r>
      <w:r w:rsidR="00035AA5" w:rsidRPr="00D274F5">
        <w:rPr>
          <w:rStyle w:val="normaltextrun"/>
          <w:rFonts w:cs="Segoe UI"/>
          <w:shd w:val="clear" w:color="auto" w:fill="FFFFFF"/>
        </w:rPr>
        <w:t xml:space="preserve"> appropriate measures to facilitate the realisation of rights</w:t>
      </w:r>
      <w:r w:rsidR="00D274F5" w:rsidRPr="00D274F5">
        <w:rPr>
          <w:rStyle w:val="normaltextrun"/>
          <w:rFonts w:cs="Segoe UI"/>
          <w:shd w:val="clear" w:color="auto" w:fill="FFFFFF"/>
        </w:rPr>
        <w:t>.</w:t>
      </w:r>
      <w:r w:rsidR="00035AA5">
        <w:t xml:space="preserve"> </w:t>
      </w:r>
      <w:r w:rsidR="00D274F5" w:rsidRPr="00D274F5">
        <w:rPr>
          <w:rStyle w:val="normaltextrun"/>
          <w:rFonts w:cs="Segoe UI"/>
          <w:shd w:val="clear" w:color="auto" w:fill="FFFFFF"/>
        </w:rPr>
        <w:t xml:space="preserve">This includes legislative, judicial, administrative, budgetary, economic, and other measures, such as the provision of </w:t>
      </w:r>
      <w:r w:rsidR="00D274F5">
        <w:t>essential public services and institutions.</w:t>
      </w:r>
      <w:r w:rsidR="00D274F5">
        <w:rPr>
          <w:rStyle w:val="FootnoteReference"/>
        </w:rPr>
        <w:footnoteReference w:id="18"/>
      </w:r>
      <w:r w:rsidR="00D274F5">
        <w:t xml:space="preserve"> </w:t>
      </w:r>
    </w:p>
    <w:p w14:paraId="288BC4EC" w14:textId="77777777" w:rsidR="00D274F5" w:rsidRDefault="00D274F5" w:rsidP="00D274F5">
      <w:pPr>
        <w:pStyle w:val="ListParagraph"/>
        <w:spacing w:line="276" w:lineRule="auto"/>
        <w:ind w:left="709"/>
      </w:pPr>
    </w:p>
    <w:p w14:paraId="353D3074" w14:textId="02B7582E" w:rsidR="007D3CE8" w:rsidRDefault="000A57B1" w:rsidP="007D3CE8">
      <w:pPr>
        <w:pStyle w:val="ListParagraph"/>
        <w:numPr>
          <w:ilvl w:val="1"/>
          <w:numId w:val="13"/>
        </w:numPr>
        <w:spacing w:line="276" w:lineRule="auto"/>
        <w:ind w:left="709" w:hanging="709"/>
      </w:pPr>
      <w:r>
        <w:t xml:space="preserve">During times of economic </w:t>
      </w:r>
      <w:r w:rsidR="00506EF9">
        <w:t>downturn</w:t>
      </w:r>
      <w:r w:rsidR="001A0F81">
        <w:t>, protecting the rights of those already marginalised becomes particularly pertinent</w:t>
      </w:r>
      <w:r w:rsidR="006124B3">
        <w:t xml:space="preserve">, so as not to compound </w:t>
      </w:r>
      <w:r w:rsidR="00EB247D">
        <w:t>pre-</w:t>
      </w:r>
      <w:r w:rsidR="006124B3">
        <w:t xml:space="preserve">existing patterns of </w:t>
      </w:r>
      <w:r w:rsidR="00BE779F">
        <w:t>exclusion and discrimination in the political, economic</w:t>
      </w:r>
      <w:r w:rsidR="00D87571">
        <w:t>,</w:t>
      </w:r>
      <w:r w:rsidR="00BE779F">
        <w:t xml:space="preserve"> and social spheres</w:t>
      </w:r>
      <w:r w:rsidR="001A0F81">
        <w:t>.</w:t>
      </w:r>
      <w:r w:rsidR="001A0F81">
        <w:rPr>
          <w:rStyle w:val="FootnoteReference"/>
        </w:rPr>
        <w:footnoteReference w:id="19"/>
      </w:r>
      <w:r w:rsidR="001A0F81">
        <w:t xml:space="preserve"> </w:t>
      </w:r>
      <w:r w:rsidR="00007C12">
        <w:t>It</w:t>
      </w:r>
      <w:r w:rsidR="004D4873">
        <w:t xml:space="preserve"> is acknowledged that economic policy in times of </w:t>
      </w:r>
      <w:r w:rsidR="000E04E7">
        <w:t xml:space="preserve">crisis requires complex </w:t>
      </w:r>
      <w:r w:rsidR="009A42F3">
        <w:t>analysis</w:t>
      </w:r>
      <w:r w:rsidR="000E04E7">
        <w:t xml:space="preserve"> and</w:t>
      </w:r>
      <w:r w:rsidR="00A12325">
        <w:t xml:space="preserve"> decision-making</w:t>
      </w:r>
      <w:r w:rsidR="00381C90">
        <w:t>, and g</w:t>
      </w:r>
      <w:r w:rsidR="00007C12">
        <w:t>overnments enjoy a wide margin of appreciation in respect of the specific circumstances.</w:t>
      </w:r>
      <w:r w:rsidR="006274D3">
        <w:rPr>
          <w:rStyle w:val="FootnoteReference"/>
        </w:rPr>
        <w:footnoteReference w:id="20"/>
      </w:r>
      <w:r w:rsidR="00007C12">
        <w:t xml:space="preserve"> However,</w:t>
      </w:r>
      <w:r w:rsidR="00AF0951">
        <w:t xml:space="preserve"> </w:t>
      </w:r>
      <w:r w:rsidR="001D5E51">
        <w:t xml:space="preserve">the NIHRC emphasise that </w:t>
      </w:r>
      <w:r w:rsidR="00AF0951">
        <w:t xml:space="preserve">the protection of </w:t>
      </w:r>
      <w:r w:rsidR="00215D8E">
        <w:t>social and economic rights</w:t>
      </w:r>
      <w:r w:rsidR="00A12325">
        <w:t xml:space="preserve"> </w:t>
      </w:r>
      <w:r w:rsidR="00215D8E">
        <w:t>is vital for inclusive recovery</w:t>
      </w:r>
      <w:r w:rsidR="00DF3383">
        <w:t>.</w:t>
      </w:r>
      <w:r w:rsidR="000D6AAF">
        <w:rPr>
          <w:rStyle w:val="FootnoteReference"/>
        </w:rPr>
        <w:footnoteReference w:id="21"/>
      </w:r>
      <w:r w:rsidR="003F4810">
        <w:t xml:space="preserve"> </w:t>
      </w:r>
    </w:p>
    <w:p w14:paraId="059B5951" w14:textId="77777777" w:rsidR="004B2931" w:rsidRDefault="004B2931" w:rsidP="004B2931">
      <w:pPr>
        <w:pStyle w:val="ListParagraph"/>
      </w:pPr>
    </w:p>
    <w:p w14:paraId="1CC0B8F7" w14:textId="4FCAC6C6" w:rsidR="00864D9C" w:rsidRDefault="004B2931" w:rsidP="00D40361">
      <w:pPr>
        <w:pStyle w:val="ListParagraph"/>
        <w:numPr>
          <w:ilvl w:val="1"/>
          <w:numId w:val="13"/>
        </w:numPr>
        <w:spacing w:line="276" w:lineRule="auto"/>
        <w:ind w:left="709" w:hanging="709"/>
      </w:pPr>
      <w:r>
        <w:t xml:space="preserve">The NIHRC notes the Department have announced its final budget allocations following a four-week consultation period on </w:t>
      </w:r>
      <w:r w:rsidR="006C2CCE">
        <w:t>a</w:t>
      </w:r>
      <w:r>
        <w:t xml:space="preserve"> Draft Equality Impact Assessment (EQIA).</w:t>
      </w:r>
      <w:r>
        <w:rPr>
          <w:rStyle w:val="FootnoteReference"/>
        </w:rPr>
        <w:footnoteReference w:id="22"/>
      </w:r>
      <w:r>
        <w:t xml:space="preserve"> The wealth of evidence provided during this initial consultation is welcomed.</w:t>
      </w:r>
      <w:r>
        <w:rPr>
          <w:rStyle w:val="FootnoteReference"/>
        </w:rPr>
        <w:footnoteReference w:id="23"/>
      </w:r>
      <w:r>
        <w:t xml:space="preserve"> However, the short timeframe for response and deviation from effective consultation approaches is </w:t>
      </w:r>
      <w:r w:rsidR="00D40361">
        <w:t>disappointing</w:t>
      </w:r>
      <w:r>
        <w:t xml:space="preserve">. </w:t>
      </w:r>
      <w:r w:rsidR="00A12325">
        <w:t>This submission</w:t>
      </w:r>
      <w:r w:rsidR="00C81EEE">
        <w:t xml:space="preserve"> highlights where </w:t>
      </w:r>
      <w:r w:rsidR="00B80C8E">
        <w:t>the current proposals</w:t>
      </w:r>
      <w:r w:rsidR="008D37B5">
        <w:t xml:space="preserve"> </w:t>
      </w:r>
      <w:r w:rsidR="00D46D16">
        <w:t xml:space="preserve">risk </w:t>
      </w:r>
      <w:r w:rsidR="00B85D35">
        <w:t>undermin</w:t>
      </w:r>
      <w:r w:rsidR="00D46D16">
        <w:t>ing</w:t>
      </w:r>
      <w:r w:rsidR="00EB34C2">
        <w:t xml:space="preserve"> </w:t>
      </w:r>
      <w:r w:rsidR="00B85D35">
        <w:t>obligations in the International Covenant on Economic, Social, and Cultural Rights (ICES</w:t>
      </w:r>
      <w:r w:rsidR="00D46D16">
        <w:t>C</w:t>
      </w:r>
      <w:r w:rsidR="00B85D35">
        <w:t xml:space="preserve">R) in particular. </w:t>
      </w:r>
      <w:r w:rsidR="00D40361">
        <w:t xml:space="preserve">It therefore seeks to supplement the findings already received, rather than reiterate </w:t>
      </w:r>
      <w:r w:rsidR="006C2CCE">
        <w:t xml:space="preserve">all </w:t>
      </w:r>
      <w:r w:rsidR="00D40361">
        <w:t>available data on the equality impacts which are set out in the Stage 1 Outcome Report.</w:t>
      </w:r>
      <w:r w:rsidR="00D40361">
        <w:rPr>
          <w:rStyle w:val="FootnoteReference"/>
        </w:rPr>
        <w:footnoteReference w:id="24"/>
      </w:r>
      <w:r w:rsidR="00D40361">
        <w:t xml:space="preserve"> </w:t>
      </w:r>
    </w:p>
    <w:p w14:paraId="28848EFC" w14:textId="77777777" w:rsidR="00864D9C" w:rsidRDefault="00864D9C" w:rsidP="00864D9C">
      <w:pPr>
        <w:pStyle w:val="ListParagraph"/>
      </w:pPr>
    </w:p>
    <w:p w14:paraId="2FE4AC59" w14:textId="1FE148D9" w:rsidR="001A0F81" w:rsidRDefault="00864D9C" w:rsidP="00864D9C">
      <w:pPr>
        <w:pStyle w:val="ListParagraph"/>
        <w:numPr>
          <w:ilvl w:val="1"/>
          <w:numId w:val="13"/>
        </w:numPr>
        <w:spacing w:line="276" w:lineRule="auto"/>
        <w:ind w:left="709" w:hanging="709"/>
      </w:pPr>
      <w:r>
        <w:t xml:space="preserve">The NIHRC’s principal aim is to ensure that the Department takes its human rights obligations into account while deciding on further mitigations for the adverse impacts identified. </w:t>
      </w:r>
      <w:r w:rsidR="0028604F">
        <w:t xml:space="preserve">Section 3 outlines the human rights framework </w:t>
      </w:r>
      <w:r w:rsidR="003A7148">
        <w:t xml:space="preserve">within which economic policy and </w:t>
      </w:r>
      <w:r w:rsidR="00961480">
        <w:t xml:space="preserve">budget allocations </w:t>
      </w:r>
      <w:r w:rsidR="003A7148">
        <w:t>must operate. Section 4 then</w:t>
      </w:r>
      <w:r w:rsidR="00CB1A1C">
        <w:t xml:space="preserve"> focuses on </w:t>
      </w:r>
      <w:r w:rsidR="00D21617">
        <w:t>specific</w:t>
      </w:r>
      <w:r w:rsidR="00CB1A1C">
        <w:t xml:space="preserve"> areas of concern </w:t>
      </w:r>
      <w:r w:rsidR="00991CF3">
        <w:t>from the Department’s EQIA and highlights where</w:t>
      </w:r>
      <w:r w:rsidR="00A80A86">
        <w:t xml:space="preserve"> measures may be taken to </w:t>
      </w:r>
      <w:r w:rsidR="00D262F9">
        <w:t xml:space="preserve">align </w:t>
      </w:r>
      <w:r w:rsidR="00332300">
        <w:t>further decision-making</w:t>
      </w:r>
      <w:r w:rsidR="00D262F9">
        <w:t xml:space="preserve"> with </w:t>
      </w:r>
      <w:r w:rsidR="00332300">
        <w:t xml:space="preserve">equality and </w:t>
      </w:r>
      <w:r w:rsidR="001A1BA1">
        <w:t>human rights</w:t>
      </w:r>
      <w:r w:rsidR="00332300">
        <w:t xml:space="preserve"> </w:t>
      </w:r>
      <w:r w:rsidR="00D262F9">
        <w:t>commitments</w:t>
      </w:r>
      <w:r w:rsidR="001A1BA1">
        <w:t>.</w:t>
      </w:r>
      <w:r w:rsidR="00875731">
        <w:t xml:space="preserve"> </w:t>
      </w:r>
    </w:p>
    <w:p w14:paraId="67306785" w14:textId="77777777" w:rsidR="007D36B6" w:rsidRPr="007D36B6" w:rsidRDefault="007D36B6" w:rsidP="007D36B6">
      <w:pPr>
        <w:spacing w:line="276" w:lineRule="auto"/>
      </w:pPr>
    </w:p>
    <w:p w14:paraId="2003F5BA" w14:textId="5648404A" w:rsidR="00302241" w:rsidRPr="007D36B6" w:rsidRDefault="007D36B6" w:rsidP="007D36B6">
      <w:pPr>
        <w:pStyle w:val="Heading1"/>
        <w:spacing w:before="0" w:line="276" w:lineRule="auto"/>
        <w:ind w:left="709" w:hanging="709"/>
      </w:pPr>
      <w:bookmarkStart w:id="3" w:name="_Toc141088103"/>
      <w:r>
        <w:t xml:space="preserve">Human Rights </w:t>
      </w:r>
      <w:r w:rsidR="008F464C">
        <w:t>Framework</w:t>
      </w:r>
      <w:bookmarkEnd w:id="3"/>
    </w:p>
    <w:p w14:paraId="4FE5EEC0" w14:textId="78929814" w:rsidR="003D2455" w:rsidRDefault="003D2455" w:rsidP="003D2455"/>
    <w:p w14:paraId="448FC186" w14:textId="31E4A27D" w:rsidR="00E752F7" w:rsidRPr="00E752F7" w:rsidRDefault="007A3895" w:rsidP="00B44A62">
      <w:pPr>
        <w:pStyle w:val="ListParagraph"/>
        <w:numPr>
          <w:ilvl w:val="1"/>
          <w:numId w:val="14"/>
        </w:numPr>
        <w:spacing w:line="276" w:lineRule="auto"/>
        <w:ind w:left="709"/>
        <w:rPr>
          <w:rStyle w:val="normaltextrun"/>
        </w:rPr>
      </w:pPr>
      <w:r>
        <w:t>A</w:t>
      </w:r>
      <w:r w:rsidR="001F3A80" w:rsidRPr="00220DD9">
        <w:t xml:space="preserve">rticle 2(1) of the ICESCR </w:t>
      </w:r>
      <w:r w:rsidR="00007B9E">
        <w:t>requires</w:t>
      </w:r>
      <w:r>
        <w:t xml:space="preserve"> States</w:t>
      </w:r>
      <w:r w:rsidR="001F3A80" w:rsidRPr="00220DD9">
        <w:t xml:space="preserve"> to “</w:t>
      </w:r>
      <w:r w:rsidRPr="00307562">
        <w:rPr>
          <w:color w:val="000000"/>
          <w:shd w:val="clear" w:color="auto" w:fill="FFFFFF"/>
        </w:rPr>
        <w:t>take steps…</w:t>
      </w:r>
      <w:r w:rsidR="001F3A80" w:rsidRPr="00307562">
        <w:rPr>
          <w:color w:val="000000"/>
          <w:shd w:val="clear" w:color="auto" w:fill="FFFFFF"/>
        </w:rPr>
        <w:t>to the maximum of its available resources, with a view to achieving progressively the full reali</w:t>
      </w:r>
      <w:r w:rsidR="00BB5A72" w:rsidRPr="00307562">
        <w:rPr>
          <w:color w:val="000000"/>
          <w:shd w:val="clear" w:color="auto" w:fill="FFFFFF"/>
        </w:rPr>
        <w:t>s</w:t>
      </w:r>
      <w:r w:rsidR="001F3A80" w:rsidRPr="00307562">
        <w:rPr>
          <w:color w:val="000000"/>
          <w:shd w:val="clear" w:color="auto" w:fill="FFFFFF"/>
        </w:rPr>
        <w:t>ation of the rights recogni</w:t>
      </w:r>
      <w:r w:rsidR="0017705C" w:rsidRPr="00307562">
        <w:rPr>
          <w:color w:val="000000"/>
          <w:shd w:val="clear" w:color="auto" w:fill="FFFFFF"/>
        </w:rPr>
        <w:t>s</w:t>
      </w:r>
      <w:r w:rsidR="001F3A80" w:rsidRPr="00307562">
        <w:rPr>
          <w:color w:val="000000"/>
          <w:shd w:val="clear" w:color="auto" w:fill="FFFFFF"/>
        </w:rPr>
        <w:t xml:space="preserve">ed in the present Covenant”. </w:t>
      </w:r>
      <w:r w:rsidR="00591D50" w:rsidRPr="00307562">
        <w:rPr>
          <w:color w:val="000000"/>
          <w:shd w:val="clear" w:color="auto" w:fill="FFFFFF"/>
        </w:rPr>
        <w:t>In General Comment No.3, the ICESCR Committee advise that t</w:t>
      </w:r>
      <w:r w:rsidR="00007B9E" w:rsidRPr="00307562">
        <w:rPr>
          <w:color w:val="000000"/>
          <w:shd w:val="clear" w:color="auto" w:fill="FFFFFF"/>
        </w:rPr>
        <w:t xml:space="preserve">he concept of progressive realisation </w:t>
      </w:r>
      <w:r w:rsidR="00092851" w:rsidRPr="00307562">
        <w:rPr>
          <w:color w:val="000000"/>
          <w:shd w:val="clear" w:color="auto" w:fill="FFFFFF"/>
        </w:rPr>
        <w:t>is an ongoing obligatio</w:t>
      </w:r>
      <w:r w:rsidR="00977005" w:rsidRPr="00307562">
        <w:rPr>
          <w:color w:val="000000"/>
          <w:shd w:val="clear" w:color="auto" w:fill="FFFFFF"/>
        </w:rPr>
        <w:t xml:space="preserve">n on governments to </w:t>
      </w:r>
      <w:r w:rsidR="00C202D3" w:rsidRPr="00307562">
        <w:rPr>
          <w:color w:val="000000"/>
          <w:shd w:val="clear" w:color="auto" w:fill="FFFFFF"/>
        </w:rPr>
        <w:t>“</w:t>
      </w:r>
      <w:r w:rsidR="00C202D3">
        <w:t>move as expeditiously and effectively as possible”</w:t>
      </w:r>
      <w:r w:rsidR="00B25813">
        <w:t xml:space="preserve"> toward</w:t>
      </w:r>
      <w:r w:rsidR="00D8611A">
        <w:t xml:space="preserve"> full</w:t>
      </w:r>
      <w:r w:rsidR="00B25813">
        <w:t xml:space="preserve"> </w:t>
      </w:r>
      <w:r w:rsidR="002A2EBF">
        <w:t>imple</w:t>
      </w:r>
      <w:r w:rsidR="00D8611A">
        <w:t xml:space="preserve">mentation of </w:t>
      </w:r>
      <w:r w:rsidR="00617686">
        <w:t>all economic, social and cultural rights</w:t>
      </w:r>
      <w:r w:rsidR="00B25813">
        <w:t>.</w:t>
      </w:r>
      <w:r w:rsidR="00C44BF5">
        <w:rPr>
          <w:rStyle w:val="FootnoteReference"/>
        </w:rPr>
        <w:footnoteReference w:id="25"/>
      </w:r>
      <w:r w:rsidR="00B25813">
        <w:t xml:space="preserve"> </w:t>
      </w:r>
      <w:r w:rsidR="00D7585D" w:rsidRPr="00307562">
        <w:rPr>
          <w:rStyle w:val="normaltextrun"/>
          <w:rFonts w:cs="Segoe UI"/>
          <w:shd w:val="clear" w:color="auto" w:fill="FFFFFF"/>
        </w:rPr>
        <w:t>Therefore, a</w:t>
      </w:r>
      <w:r w:rsidR="008210F2" w:rsidRPr="00307562">
        <w:rPr>
          <w:rStyle w:val="normaltextrun"/>
          <w:rFonts w:cs="Segoe UI"/>
          <w:shd w:val="clear" w:color="auto" w:fill="FFFFFF"/>
        </w:rPr>
        <w:t>ny retrogressive measures must only be applied in exceptional circumstances</w:t>
      </w:r>
      <w:r w:rsidR="00A37B7B" w:rsidRPr="00307562">
        <w:rPr>
          <w:rFonts w:cs="Segoe UI"/>
          <w:shd w:val="clear" w:color="auto" w:fill="FFFFFF"/>
        </w:rPr>
        <w:t xml:space="preserve"> and only after </w:t>
      </w:r>
      <w:r w:rsidR="00475B0D" w:rsidRPr="00307562">
        <w:rPr>
          <w:rStyle w:val="normaltextrun"/>
          <w:rFonts w:cs="Segoe UI"/>
          <w:shd w:val="clear" w:color="auto" w:fill="FFFFFF"/>
        </w:rPr>
        <w:t xml:space="preserve">careful </w:t>
      </w:r>
      <w:r w:rsidR="00E752F7" w:rsidRPr="00307562">
        <w:rPr>
          <w:rStyle w:val="normaltextrun"/>
          <w:rFonts w:cs="Segoe UI"/>
          <w:shd w:val="clear" w:color="auto" w:fill="FFFFFF"/>
        </w:rPr>
        <w:t>consideration of all alternatives.</w:t>
      </w:r>
      <w:r w:rsidR="00E752F7" w:rsidRPr="00975541">
        <w:rPr>
          <w:rStyle w:val="FootnoteReference"/>
          <w:rFonts w:cs="Segoe UI"/>
          <w:shd w:val="clear" w:color="auto" w:fill="FFFFFF"/>
        </w:rPr>
        <w:footnoteReference w:id="26"/>
      </w:r>
    </w:p>
    <w:p w14:paraId="7BC48E09" w14:textId="77777777" w:rsidR="00E752F7" w:rsidRPr="00F8746F" w:rsidRDefault="00E752F7" w:rsidP="00E752F7">
      <w:pPr>
        <w:pStyle w:val="ListParagraph"/>
        <w:spacing w:line="276" w:lineRule="auto"/>
        <w:ind w:left="709"/>
        <w:rPr>
          <w:rStyle w:val="normaltextrun"/>
        </w:rPr>
      </w:pPr>
    </w:p>
    <w:p w14:paraId="23CBD30E" w14:textId="3E89DFE3" w:rsidR="005968FA" w:rsidRPr="005968FA" w:rsidRDefault="00936FA7" w:rsidP="00B44A62">
      <w:pPr>
        <w:pStyle w:val="ListParagraph"/>
        <w:numPr>
          <w:ilvl w:val="1"/>
          <w:numId w:val="14"/>
        </w:numPr>
        <w:spacing w:line="276" w:lineRule="auto"/>
        <w:ind w:left="709" w:hanging="709"/>
      </w:pPr>
      <w:r>
        <w:rPr>
          <w:color w:val="000000"/>
          <w:shd w:val="clear" w:color="auto" w:fill="FFFFFF"/>
        </w:rPr>
        <w:t>I</w:t>
      </w:r>
      <w:r w:rsidR="003A09DC" w:rsidRPr="00167621">
        <w:rPr>
          <w:color w:val="000000"/>
          <w:shd w:val="clear" w:color="auto" w:fill="FFFFFF"/>
        </w:rPr>
        <w:t>n</w:t>
      </w:r>
      <w:r w:rsidR="00990E52" w:rsidRPr="00167621">
        <w:rPr>
          <w:color w:val="000000"/>
          <w:shd w:val="clear" w:color="auto" w:fill="FFFFFF"/>
        </w:rPr>
        <w:t xml:space="preserve"> </w:t>
      </w:r>
      <w:r w:rsidR="00CA70FB" w:rsidRPr="00167621">
        <w:rPr>
          <w:color w:val="000000"/>
          <w:shd w:val="clear" w:color="auto" w:fill="FFFFFF"/>
        </w:rPr>
        <w:t>General Comment No.13,</w:t>
      </w:r>
      <w:r w:rsidR="004F5C2F" w:rsidRPr="00167621">
        <w:rPr>
          <w:color w:val="000000"/>
          <w:shd w:val="clear" w:color="auto" w:fill="FFFFFF"/>
        </w:rPr>
        <w:t xml:space="preserve"> the </w:t>
      </w:r>
      <w:r w:rsidR="005F5631" w:rsidRPr="00167621">
        <w:rPr>
          <w:color w:val="000000"/>
          <w:shd w:val="clear" w:color="auto" w:fill="FFFFFF"/>
        </w:rPr>
        <w:t xml:space="preserve">ICESCR Committee </w:t>
      </w:r>
      <w:r w:rsidR="00862172">
        <w:rPr>
          <w:color w:val="000000"/>
          <w:shd w:val="clear" w:color="auto" w:fill="FFFFFF"/>
        </w:rPr>
        <w:t>elaborates</w:t>
      </w:r>
      <w:r w:rsidR="00042E31" w:rsidRPr="00167621">
        <w:rPr>
          <w:color w:val="000000"/>
          <w:shd w:val="clear" w:color="auto" w:fill="FFFFFF"/>
        </w:rPr>
        <w:t xml:space="preserve">, </w:t>
      </w:r>
    </w:p>
    <w:p w14:paraId="5D6C7F40" w14:textId="77777777" w:rsidR="005968FA" w:rsidRPr="005968FA" w:rsidRDefault="005968FA" w:rsidP="005968FA">
      <w:pPr>
        <w:pStyle w:val="ListParagraph"/>
        <w:rPr>
          <w:color w:val="000000"/>
          <w:shd w:val="clear" w:color="auto" w:fill="FFFFFF"/>
        </w:rPr>
      </w:pPr>
    </w:p>
    <w:p w14:paraId="5C61A9C7" w14:textId="41997501" w:rsidR="004F5C2F" w:rsidRPr="0098077C" w:rsidRDefault="00042E31" w:rsidP="005968FA">
      <w:pPr>
        <w:pStyle w:val="ListParagraph"/>
        <w:spacing w:line="276" w:lineRule="auto"/>
        <w:ind w:left="1440"/>
        <w:rPr>
          <w:rStyle w:val="normaltextrun"/>
        </w:rPr>
      </w:pPr>
      <w:r>
        <w:t>If any deliberately retrogressive measures are taken, the State party has the burden of proving that they have been introduced after the most careful consideration of all alternatives and that they are fully justified by reference to the totality of the rights provided for in the Covenant and in the context of the full use of the State party’s maximum available resources</w:t>
      </w:r>
      <w:r w:rsidR="00E66EF0">
        <w:t>.</w:t>
      </w:r>
      <w:r>
        <w:rPr>
          <w:rStyle w:val="FootnoteReference"/>
        </w:rPr>
        <w:footnoteReference w:id="27"/>
      </w:r>
    </w:p>
    <w:p w14:paraId="2B2A015C" w14:textId="77777777" w:rsidR="0098077C" w:rsidRPr="00355F59" w:rsidRDefault="0098077C" w:rsidP="0098077C">
      <w:pPr>
        <w:pStyle w:val="ListParagraph"/>
        <w:spacing w:line="276" w:lineRule="auto"/>
        <w:ind w:left="709"/>
        <w:rPr>
          <w:rStyle w:val="normaltextrun"/>
        </w:rPr>
      </w:pPr>
    </w:p>
    <w:p w14:paraId="05BD2327" w14:textId="7E6B1C4A" w:rsidR="00E31C05" w:rsidRDefault="00475B0D" w:rsidP="00B44A62">
      <w:pPr>
        <w:pStyle w:val="ListParagraph"/>
        <w:numPr>
          <w:ilvl w:val="1"/>
          <w:numId w:val="14"/>
        </w:numPr>
        <w:spacing w:line="276" w:lineRule="auto"/>
        <w:ind w:left="709"/>
      </w:pPr>
      <w:r>
        <w:rPr>
          <w:rStyle w:val="normaltextrun"/>
          <w:rFonts w:cs="Segoe UI"/>
          <w:shd w:val="clear" w:color="auto" w:fill="FFFFFF"/>
        </w:rPr>
        <w:t>Even</w:t>
      </w:r>
      <w:r w:rsidR="005944B5">
        <w:rPr>
          <w:color w:val="000000"/>
          <w:shd w:val="clear" w:color="auto" w:fill="FFFFFF"/>
        </w:rPr>
        <w:t xml:space="preserve"> </w:t>
      </w:r>
      <w:r w:rsidR="00E12945">
        <w:rPr>
          <w:color w:val="000000"/>
          <w:shd w:val="clear" w:color="auto" w:fill="FFFFFF"/>
        </w:rPr>
        <w:t xml:space="preserve">in times of severe </w:t>
      </w:r>
      <w:r w:rsidR="00B34F4C">
        <w:rPr>
          <w:color w:val="000000"/>
          <w:shd w:val="clear" w:color="auto" w:fill="FFFFFF"/>
        </w:rPr>
        <w:t>resource</w:t>
      </w:r>
      <w:r w:rsidR="00E12945">
        <w:rPr>
          <w:color w:val="000000"/>
          <w:shd w:val="clear" w:color="auto" w:fill="FFFFFF"/>
        </w:rPr>
        <w:t xml:space="preserve"> constraints</w:t>
      </w:r>
      <w:r w:rsidR="000F1AF9">
        <w:rPr>
          <w:color w:val="000000"/>
          <w:shd w:val="clear" w:color="auto" w:fill="FFFFFF"/>
        </w:rPr>
        <w:t>,</w:t>
      </w:r>
      <w:r w:rsidR="00E31C05">
        <w:rPr>
          <w:color w:val="000000"/>
          <w:shd w:val="clear" w:color="auto" w:fill="FFFFFF"/>
        </w:rPr>
        <w:t xml:space="preserve"> </w:t>
      </w:r>
      <w:r>
        <w:rPr>
          <w:color w:val="000000"/>
          <w:shd w:val="clear" w:color="auto" w:fill="FFFFFF"/>
        </w:rPr>
        <w:t xml:space="preserve">the ICESCR Committee advise </w:t>
      </w:r>
      <w:r w:rsidR="00E31C05">
        <w:rPr>
          <w:color w:val="000000"/>
          <w:shd w:val="clear" w:color="auto" w:fill="FFFFFF"/>
        </w:rPr>
        <w:t xml:space="preserve">there </w:t>
      </w:r>
      <w:r w:rsidR="00E31C05">
        <w:t xml:space="preserve">are </w:t>
      </w:r>
      <w:r w:rsidR="009B4ABD">
        <w:t>“</w:t>
      </w:r>
      <w:r w:rsidR="00E31C05">
        <w:t>minimum essential levels</w:t>
      </w:r>
      <w:r w:rsidR="009B4ABD">
        <w:t>”</w:t>
      </w:r>
      <w:r w:rsidR="00E31C05">
        <w:t xml:space="preserve"> of each right that States must guarantee</w:t>
      </w:r>
      <w:r w:rsidR="009C79C9">
        <w:t>. For example, essential foodstuffs, essential primary healthcare, basic shelter and housing, or basic forms of education.</w:t>
      </w:r>
      <w:r w:rsidR="0099310B">
        <w:t xml:space="preserve"> Therefore, States must “demonstrate that every effort has been made to use all resources that are at its disposition in an effort to satisfy, as a matter of priority, those minimum obligations”.</w:t>
      </w:r>
      <w:r w:rsidR="0099310B">
        <w:rPr>
          <w:rStyle w:val="FootnoteReference"/>
        </w:rPr>
        <w:footnoteReference w:id="28"/>
      </w:r>
    </w:p>
    <w:p w14:paraId="0D721BD7" w14:textId="77777777" w:rsidR="003C5AC9" w:rsidRPr="00007B9E" w:rsidRDefault="003C5AC9" w:rsidP="003C5AC9">
      <w:pPr>
        <w:pStyle w:val="ListParagraph"/>
        <w:spacing w:line="276" w:lineRule="auto"/>
        <w:ind w:left="709"/>
      </w:pPr>
    </w:p>
    <w:p w14:paraId="7E42FA61" w14:textId="6693F1FE" w:rsidR="003F06DB" w:rsidRDefault="00475B0D" w:rsidP="00B44A62">
      <w:pPr>
        <w:pStyle w:val="ListParagraph"/>
        <w:numPr>
          <w:ilvl w:val="1"/>
          <w:numId w:val="14"/>
        </w:numPr>
        <w:spacing w:line="276" w:lineRule="auto"/>
        <w:ind w:left="709"/>
        <w:rPr>
          <w:rStyle w:val="normaltextrun"/>
        </w:rPr>
      </w:pPr>
      <w:r>
        <w:rPr>
          <w:rStyle w:val="normaltextrun"/>
          <w:rFonts w:cs="Segoe UI"/>
          <w:shd w:val="clear" w:color="auto" w:fill="FFFFFF"/>
        </w:rPr>
        <w:t>The NIHRC reiterate that</w:t>
      </w:r>
      <w:r w:rsidR="004D7157">
        <w:rPr>
          <w:rStyle w:val="normaltextrun"/>
          <w:rFonts w:cs="Segoe UI"/>
          <w:shd w:val="clear" w:color="auto" w:fill="FFFFFF"/>
        </w:rPr>
        <w:t xml:space="preserve"> </w:t>
      </w:r>
      <w:r w:rsidR="00CC1CC7">
        <w:rPr>
          <w:rStyle w:val="normaltextrun"/>
          <w:rFonts w:cs="Segoe UI"/>
          <w:shd w:val="clear" w:color="auto" w:fill="FFFFFF"/>
        </w:rPr>
        <w:t xml:space="preserve">a fundamental </w:t>
      </w:r>
      <w:r w:rsidR="000128F9">
        <w:rPr>
          <w:rStyle w:val="normaltextrun"/>
          <w:rFonts w:cs="Segoe UI"/>
          <w:shd w:val="clear" w:color="auto" w:fill="FFFFFF"/>
        </w:rPr>
        <w:t xml:space="preserve">obligation </w:t>
      </w:r>
      <w:r w:rsidR="00BF6975">
        <w:rPr>
          <w:rStyle w:val="normaltextrun"/>
          <w:rFonts w:cs="Segoe UI"/>
          <w:shd w:val="clear" w:color="auto" w:fill="FFFFFF"/>
        </w:rPr>
        <w:t xml:space="preserve">remains </w:t>
      </w:r>
      <w:r w:rsidR="000128F9">
        <w:rPr>
          <w:rStyle w:val="normaltextrun"/>
          <w:rFonts w:cs="Segoe UI"/>
          <w:shd w:val="clear" w:color="auto" w:fill="FFFFFF"/>
        </w:rPr>
        <w:t xml:space="preserve">on the </w:t>
      </w:r>
      <w:r w:rsidR="00D62424">
        <w:rPr>
          <w:rStyle w:val="normaltextrun"/>
          <w:rFonts w:cs="Segoe UI"/>
          <w:shd w:val="clear" w:color="auto" w:fill="FFFFFF"/>
        </w:rPr>
        <w:t>government</w:t>
      </w:r>
      <w:r w:rsidR="00F75AC1" w:rsidRPr="00F75AC1">
        <w:t xml:space="preserve"> </w:t>
      </w:r>
      <w:r w:rsidR="00BF6975">
        <w:t>“</w:t>
      </w:r>
      <w:r w:rsidR="00F75AC1">
        <w:t>to strive to ensure the widest possible enjoyment</w:t>
      </w:r>
      <w:r w:rsidR="00BF6975">
        <w:t>”</w:t>
      </w:r>
      <w:r w:rsidR="00470C74">
        <w:t xml:space="preserve"> of </w:t>
      </w:r>
      <w:r w:rsidR="00F53561">
        <w:t>ICESCR rights</w:t>
      </w:r>
      <w:r w:rsidR="00F74E27">
        <w:t>.</w:t>
      </w:r>
      <w:r w:rsidR="003C5AC9">
        <w:rPr>
          <w:rStyle w:val="FootnoteReference"/>
        </w:rPr>
        <w:footnoteReference w:id="29"/>
      </w:r>
      <w:r w:rsidR="000128F9">
        <w:rPr>
          <w:rStyle w:val="normaltextrun"/>
          <w:rFonts w:cs="Segoe UI"/>
          <w:shd w:val="clear" w:color="auto" w:fill="FFFFFF"/>
        </w:rPr>
        <w:t xml:space="preserve"> </w:t>
      </w:r>
      <w:r w:rsidR="00F74E27">
        <w:rPr>
          <w:rStyle w:val="normaltextrun"/>
          <w:rFonts w:cs="Segoe UI"/>
          <w:shd w:val="clear" w:color="auto" w:fill="FFFFFF"/>
        </w:rPr>
        <w:t xml:space="preserve">The </w:t>
      </w:r>
      <w:r w:rsidR="00D62740">
        <w:rPr>
          <w:rStyle w:val="normaltextrun"/>
          <w:rFonts w:cs="Segoe UI"/>
          <w:shd w:val="clear" w:color="auto" w:fill="FFFFFF"/>
        </w:rPr>
        <w:t xml:space="preserve">ICESCR </w:t>
      </w:r>
      <w:r w:rsidR="00F74E27">
        <w:rPr>
          <w:rStyle w:val="normaltextrun"/>
          <w:rFonts w:cs="Segoe UI"/>
          <w:shd w:val="clear" w:color="auto" w:fill="FFFFFF"/>
        </w:rPr>
        <w:t xml:space="preserve">Committee </w:t>
      </w:r>
      <w:r w:rsidR="00D62424">
        <w:rPr>
          <w:rStyle w:val="normaltextrun"/>
          <w:rFonts w:cs="Segoe UI"/>
          <w:shd w:val="clear" w:color="auto" w:fill="FFFFFF"/>
        </w:rPr>
        <w:t>emphasise</w:t>
      </w:r>
      <w:r w:rsidR="000128F9">
        <w:rPr>
          <w:rStyle w:val="normaltextrun"/>
          <w:rFonts w:cs="Segoe UI"/>
          <w:shd w:val="clear" w:color="auto" w:fill="FFFFFF"/>
        </w:rPr>
        <w:t xml:space="preserve"> that</w:t>
      </w:r>
      <w:r w:rsidR="00983F0E">
        <w:rPr>
          <w:rStyle w:val="normaltextrun"/>
          <w:rFonts w:cs="Segoe UI"/>
          <w:shd w:val="clear" w:color="auto" w:fill="FFFFFF"/>
        </w:rPr>
        <w:t>, in particular,</w:t>
      </w:r>
      <w:r w:rsidR="000128F9">
        <w:rPr>
          <w:rStyle w:val="normaltextrun"/>
          <w:rFonts w:cs="Segoe UI"/>
          <w:shd w:val="clear" w:color="auto" w:fill="FFFFFF"/>
        </w:rPr>
        <w:t xml:space="preserve"> “the vulnerable members of society can and indeed must be protected by the adoption of relatively low-cost targeted programmes”</w:t>
      </w:r>
      <w:r w:rsidR="003C5AC9">
        <w:rPr>
          <w:rStyle w:val="normaltextrun"/>
          <w:rFonts w:cs="Segoe UI"/>
          <w:shd w:val="clear" w:color="auto" w:fill="FFFFFF"/>
        </w:rPr>
        <w:t>.</w:t>
      </w:r>
      <w:r w:rsidR="003C5AC9">
        <w:rPr>
          <w:rStyle w:val="FootnoteReference"/>
          <w:rFonts w:cs="Segoe UI"/>
          <w:shd w:val="clear" w:color="auto" w:fill="FFFFFF"/>
        </w:rPr>
        <w:footnoteReference w:id="30"/>
      </w:r>
      <w:r w:rsidR="00D62740">
        <w:rPr>
          <w:rStyle w:val="normaltextrun"/>
          <w:rFonts w:cs="Segoe UI"/>
          <w:shd w:val="clear" w:color="auto" w:fill="FFFFFF"/>
        </w:rPr>
        <w:t xml:space="preserve"> </w:t>
      </w:r>
      <w:r w:rsidR="00B00975">
        <w:rPr>
          <w:rStyle w:val="normaltextrun"/>
          <w:rFonts w:cs="Segoe UI"/>
          <w:shd w:val="clear" w:color="auto" w:fill="FFFFFF"/>
        </w:rPr>
        <w:t xml:space="preserve">This </w:t>
      </w:r>
      <w:r w:rsidR="009E22BD">
        <w:rPr>
          <w:rStyle w:val="normaltextrun"/>
          <w:rFonts w:cs="Segoe UI"/>
          <w:shd w:val="clear" w:color="auto" w:fill="FFFFFF"/>
        </w:rPr>
        <w:t>reflects</w:t>
      </w:r>
      <w:r w:rsidR="00B00975">
        <w:rPr>
          <w:rStyle w:val="normaltextrun"/>
          <w:rFonts w:cs="Segoe UI"/>
          <w:shd w:val="clear" w:color="auto" w:fill="FFFFFF"/>
        </w:rPr>
        <w:t xml:space="preserve"> the principle of non-discrimination and equality</w:t>
      </w:r>
      <w:r w:rsidR="00AD1BF1">
        <w:rPr>
          <w:rStyle w:val="normaltextrun"/>
          <w:rFonts w:cs="Segoe UI"/>
          <w:shd w:val="clear" w:color="auto" w:fill="FFFFFF"/>
        </w:rPr>
        <w:t xml:space="preserve"> </w:t>
      </w:r>
      <w:r w:rsidR="00856867">
        <w:rPr>
          <w:rStyle w:val="normaltextrun"/>
          <w:rFonts w:cs="Segoe UI"/>
          <w:shd w:val="clear" w:color="auto" w:fill="FFFFFF"/>
        </w:rPr>
        <w:t xml:space="preserve">in </w:t>
      </w:r>
      <w:r w:rsidR="00AD1BF1">
        <w:rPr>
          <w:rStyle w:val="normaltextrun"/>
          <w:rFonts w:cs="Segoe UI"/>
          <w:shd w:val="clear" w:color="auto" w:fill="FFFFFF"/>
        </w:rPr>
        <w:t>Article 2(2)</w:t>
      </w:r>
      <w:r w:rsidR="00856867">
        <w:rPr>
          <w:rStyle w:val="normaltextrun"/>
          <w:rFonts w:cs="Segoe UI"/>
          <w:shd w:val="clear" w:color="auto" w:fill="FFFFFF"/>
        </w:rPr>
        <w:t xml:space="preserve"> of the</w:t>
      </w:r>
      <w:r w:rsidR="00AD1BF1">
        <w:rPr>
          <w:rStyle w:val="normaltextrun"/>
          <w:rFonts w:cs="Segoe UI"/>
          <w:shd w:val="clear" w:color="auto" w:fill="FFFFFF"/>
        </w:rPr>
        <w:t xml:space="preserve"> ICESCR</w:t>
      </w:r>
      <w:r w:rsidR="00856867">
        <w:rPr>
          <w:rStyle w:val="normaltextrun"/>
          <w:rFonts w:cs="Segoe UI"/>
          <w:shd w:val="clear" w:color="auto" w:fill="FFFFFF"/>
        </w:rPr>
        <w:t>,</w:t>
      </w:r>
      <w:r w:rsidR="00B00975">
        <w:rPr>
          <w:rStyle w:val="normaltextrun"/>
          <w:rFonts w:cs="Segoe UI"/>
          <w:shd w:val="clear" w:color="auto" w:fill="FFFFFF"/>
        </w:rPr>
        <w:t xml:space="preserve"> </w:t>
      </w:r>
      <w:r w:rsidR="009E22BD">
        <w:rPr>
          <w:rStyle w:val="normaltextrun"/>
          <w:rFonts w:cs="Segoe UI"/>
          <w:shd w:val="clear" w:color="auto" w:fill="FFFFFF"/>
        </w:rPr>
        <w:t xml:space="preserve">as people who face the biggest barriers to realising their rights must be prioritised. </w:t>
      </w:r>
      <w:r w:rsidR="000A46E7">
        <w:rPr>
          <w:rStyle w:val="normaltextrun"/>
        </w:rPr>
        <w:t xml:space="preserve">The prohibition of discrimination is </w:t>
      </w:r>
      <w:r w:rsidR="008E19AD">
        <w:rPr>
          <w:rStyle w:val="normaltextrun"/>
        </w:rPr>
        <w:t xml:space="preserve">expressly recognised in all </w:t>
      </w:r>
      <w:proofErr w:type="gramStart"/>
      <w:r w:rsidR="0025338C">
        <w:rPr>
          <w:rStyle w:val="normaltextrun"/>
        </w:rPr>
        <w:t>core</w:t>
      </w:r>
      <w:proofErr w:type="gramEnd"/>
      <w:r w:rsidR="0025338C">
        <w:rPr>
          <w:rStyle w:val="normaltextrun"/>
        </w:rPr>
        <w:t xml:space="preserve"> international </w:t>
      </w:r>
      <w:r w:rsidR="008E19AD">
        <w:rPr>
          <w:rStyle w:val="normaltextrun"/>
        </w:rPr>
        <w:t>human rights treaties</w:t>
      </w:r>
      <w:r w:rsidR="004843F4">
        <w:rPr>
          <w:rStyle w:val="normaltextrun"/>
        </w:rPr>
        <w:t xml:space="preserve"> and is</w:t>
      </w:r>
      <w:r w:rsidR="00CA3A45">
        <w:rPr>
          <w:rStyle w:val="normaltextrun"/>
        </w:rPr>
        <w:t xml:space="preserve"> a</w:t>
      </w:r>
      <w:r w:rsidR="00A84F61">
        <w:rPr>
          <w:rStyle w:val="normaltextrun"/>
        </w:rPr>
        <w:t xml:space="preserve"> non-</w:t>
      </w:r>
      <w:proofErr w:type="spellStart"/>
      <w:r w:rsidR="00A84F61">
        <w:rPr>
          <w:rStyle w:val="normaltextrun"/>
        </w:rPr>
        <w:t>dero</w:t>
      </w:r>
      <w:r w:rsidR="005E110B">
        <w:rPr>
          <w:rStyle w:val="normaltextrun"/>
        </w:rPr>
        <w:t>gable</w:t>
      </w:r>
      <w:proofErr w:type="spellEnd"/>
      <w:r w:rsidR="00CA3A45">
        <w:rPr>
          <w:rStyle w:val="normaltextrun"/>
        </w:rPr>
        <w:t xml:space="preserve"> right</w:t>
      </w:r>
      <w:r w:rsidR="00B770F2">
        <w:rPr>
          <w:rStyle w:val="normaltextrun"/>
        </w:rPr>
        <w:t xml:space="preserve">. This means </w:t>
      </w:r>
      <w:r w:rsidR="004843F4">
        <w:rPr>
          <w:rStyle w:val="normaltextrun"/>
        </w:rPr>
        <w:t>it cannot</w:t>
      </w:r>
      <w:r w:rsidR="005E110B">
        <w:rPr>
          <w:rStyle w:val="normaltextrun"/>
        </w:rPr>
        <w:t xml:space="preserve"> be suspended or limited for any reason</w:t>
      </w:r>
      <w:r w:rsidR="008330D4">
        <w:rPr>
          <w:rStyle w:val="normaltextrun"/>
        </w:rPr>
        <w:t xml:space="preserve">, including </w:t>
      </w:r>
      <w:r w:rsidR="000B5485">
        <w:rPr>
          <w:rStyle w:val="normaltextrun"/>
        </w:rPr>
        <w:t xml:space="preserve">budget constraints. </w:t>
      </w:r>
    </w:p>
    <w:p w14:paraId="6A8C58E4" w14:textId="77777777" w:rsidR="003F06DB" w:rsidRDefault="003F06DB" w:rsidP="003F06DB">
      <w:pPr>
        <w:pStyle w:val="ListParagraph"/>
        <w:rPr>
          <w:rStyle w:val="normaltextrun"/>
        </w:rPr>
      </w:pPr>
    </w:p>
    <w:p w14:paraId="3EF6764C" w14:textId="08E02AD3" w:rsidR="00CB31D9" w:rsidRDefault="008829D5" w:rsidP="00CB31D9">
      <w:pPr>
        <w:pStyle w:val="ListParagraph"/>
        <w:numPr>
          <w:ilvl w:val="1"/>
          <w:numId w:val="14"/>
        </w:numPr>
        <w:spacing w:line="276" w:lineRule="auto"/>
        <w:ind w:left="709"/>
      </w:pPr>
      <w:r>
        <w:t xml:space="preserve">Therefore, the NIHRC is concerned by the lack of specific data and analysis </w:t>
      </w:r>
      <w:r w:rsidR="005D2B6C">
        <w:t>set out against</w:t>
      </w:r>
      <w:r>
        <w:t xml:space="preserve"> </w:t>
      </w:r>
      <w:r>
        <w:rPr>
          <w:rStyle w:val="normaltextrun"/>
        </w:rPr>
        <w:t xml:space="preserve">each of the proposals contained within </w:t>
      </w:r>
      <w:r w:rsidR="006F0C31">
        <w:rPr>
          <w:rStyle w:val="normaltextrun"/>
        </w:rPr>
        <w:t>S</w:t>
      </w:r>
      <w:r>
        <w:rPr>
          <w:rStyle w:val="normaltextrun"/>
        </w:rPr>
        <w:t>ection 7</w:t>
      </w:r>
      <w:r>
        <w:t xml:space="preserve"> in the </w:t>
      </w:r>
      <w:proofErr w:type="spellStart"/>
      <w:r>
        <w:t>DfC’s</w:t>
      </w:r>
      <w:proofErr w:type="spellEnd"/>
      <w:r>
        <w:t xml:space="preserve"> Equality Impact Assessment (EQIA)</w:t>
      </w:r>
      <w:r>
        <w:rPr>
          <w:rStyle w:val="normaltextrun"/>
        </w:rPr>
        <w:t xml:space="preserve">. </w:t>
      </w:r>
      <w:r w:rsidR="00623343">
        <w:rPr>
          <w:rStyle w:val="normaltextrun"/>
        </w:rPr>
        <w:t xml:space="preserve">The </w:t>
      </w:r>
      <w:r>
        <w:rPr>
          <w:rStyle w:val="normaltextrun"/>
        </w:rPr>
        <w:t>EQIA explains why each of the measures is necessary</w:t>
      </w:r>
      <w:r w:rsidR="003B5497">
        <w:rPr>
          <w:rStyle w:val="normaltextrun"/>
        </w:rPr>
        <w:t xml:space="preserve"> </w:t>
      </w:r>
      <w:proofErr w:type="gramStart"/>
      <w:r w:rsidR="003B5497">
        <w:rPr>
          <w:rStyle w:val="normaltextrun"/>
        </w:rPr>
        <w:t>in light of</w:t>
      </w:r>
      <w:proofErr w:type="gramEnd"/>
      <w:r w:rsidR="003B5497">
        <w:rPr>
          <w:rStyle w:val="normaltextrun"/>
        </w:rPr>
        <w:t xml:space="preserve"> budget constraints</w:t>
      </w:r>
      <w:r>
        <w:rPr>
          <w:rStyle w:val="normaltextrun"/>
        </w:rPr>
        <w:t>, however it does not identify the differential impacts</w:t>
      </w:r>
      <w:r>
        <w:t xml:space="preserve"> of each</w:t>
      </w:r>
      <w:r w:rsidR="009A00FF">
        <w:t xml:space="preserve"> </w:t>
      </w:r>
      <w:r>
        <w:t>measure and what</w:t>
      </w:r>
      <w:r w:rsidR="00CF0F2E">
        <w:t xml:space="preserve"> specific</w:t>
      </w:r>
      <w:r>
        <w:t xml:space="preserve"> mitigations have been </w:t>
      </w:r>
      <w:r w:rsidR="00E151EC">
        <w:t>taken</w:t>
      </w:r>
      <w:r>
        <w:t xml:space="preserve"> to </w:t>
      </w:r>
      <w:r w:rsidR="0023266A">
        <w:t>ensure that impact does not become adverse</w:t>
      </w:r>
      <w:r w:rsidR="003F33DE">
        <w:t xml:space="preserve"> </w:t>
      </w:r>
      <w:r w:rsidR="002B7C91">
        <w:t>(</w:t>
      </w:r>
      <w:r w:rsidR="00A3662B">
        <w:t xml:space="preserve">see section </w:t>
      </w:r>
      <w:r w:rsidR="00F77E5C">
        <w:t>4</w:t>
      </w:r>
      <w:r w:rsidR="00A3662B">
        <w:t xml:space="preserve"> below).</w:t>
      </w:r>
    </w:p>
    <w:p w14:paraId="10251C6D" w14:textId="77777777" w:rsidR="00CB31D9" w:rsidRDefault="00CB31D9" w:rsidP="00CB31D9">
      <w:pPr>
        <w:pStyle w:val="ListParagraph"/>
      </w:pPr>
    </w:p>
    <w:p w14:paraId="410B91C4" w14:textId="77777777" w:rsidR="000727C3" w:rsidRDefault="00CB31D9" w:rsidP="000727C3">
      <w:pPr>
        <w:pStyle w:val="ListParagraph"/>
        <w:numPr>
          <w:ilvl w:val="1"/>
          <w:numId w:val="14"/>
        </w:numPr>
        <w:spacing w:line="276" w:lineRule="auto"/>
        <w:ind w:left="709"/>
      </w:pPr>
      <w:r>
        <w:t>For example, there is significant evidence that women in NI are more likely to claim social security benefits than men, are more reliant on public services, and more likely to be in low-paid, part-time or insecure work.</w:t>
      </w:r>
      <w:r>
        <w:rPr>
          <w:rStyle w:val="FootnoteReference"/>
        </w:rPr>
        <w:footnoteReference w:id="31"/>
      </w:r>
      <w:r>
        <w:t xml:space="preserve"> Moreover, women have more caring responsibilities for children and other family members.</w:t>
      </w:r>
      <w:r>
        <w:rPr>
          <w:rStyle w:val="FootnoteReference"/>
        </w:rPr>
        <w:footnoteReference w:id="32"/>
      </w:r>
      <w:r>
        <w:t xml:space="preserve"> Consequently, any changes to </w:t>
      </w:r>
      <w:r w:rsidR="00CA2638">
        <w:t xml:space="preserve">the </w:t>
      </w:r>
      <w:r>
        <w:t>social security</w:t>
      </w:r>
      <w:r w:rsidR="00CA2638">
        <w:t xml:space="preserve"> system</w:t>
      </w:r>
      <w:r>
        <w:t xml:space="preserve"> are more likely to impact women than men. Rather than examining the differentiated impact, the EQIA simply states “</w:t>
      </w:r>
      <w:r w:rsidR="00792C5D">
        <w:t>both men and women will be impacted by the constrained funding available to support parity social security benefit delivery</w:t>
      </w:r>
      <w:r>
        <w:t>”.</w:t>
      </w:r>
      <w:r>
        <w:rPr>
          <w:rStyle w:val="FootnoteReference"/>
        </w:rPr>
        <w:footnoteReference w:id="33"/>
      </w:r>
      <w:r>
        <w:t xml:space="preserve"> This approach risks missing opportunities for identifying appropriately tailored mitigation measures from the outset of the allocation process and could risk exacerbating existing inequalities if decisions are made before such analysis. </w:t>
      </w:r>
    </w:p>
    <w:p w14:paraId="73E3EA16" w14:textId="77777777" w:rsidR="000727C3" w:rsidRDefault="000727C3" w:rsidP="000727C3">
      <w:pPr>
        <w:pStyle w:val="ListParagraph"/>
      </w:pPr>
    </w:p>
    <w:p w14:paraId="536B5A13" w14:textId="2FBCBE7C" w:rsidR="00835827" w:rsidRDefault="00E50DCA" w:rsidP="000727C3">
      <w:pPr>
        <w:pStyle w:val="ListParagraph"/>
        <w:numPr>
          <w:ilvl w:val="1"/>
          <w:numId w:val="14"/>
        </w:numPr>
        <w:spacing w:line="276" w:lineRule="auto"/>
        <w:ind w:left="709"/>
      </w:pPr>
      <w:r>
        <w:t>To provide as comprehensive picture as possible, t</w:t>
      </w:r>
      <w:r w:rsidR="00783D32">
        <w:t>he</w:t>
      </w:r>
      <w:r w:rsidR="002C6A06">
        <w:t xml:space="preserve"> NIHRC</w:t>
      </w:r>
      <w:r w:rsidR="003F06DB">
        <w:t xml:space="preserve"> </w:t>
      </w:r>
      <w:r w:rsidR="002C6A06">
        <w:t xml:space="preserve">highlight the </w:t>
      </w:r>
      <w:r w:rsidR="00AA70A5">
        <w:t>importance of</w:t>
      </w:r>
      <w:r w:rsidR="00274A32">
        <w:t xml:space="preserve"> additionally</w:t>
      </w:r>
      <w:r w:rsidR="00C97043">
        <w:t xml:space="preserve"> </w:t>
      </w:r>
      <w:r w:rsidR="00D81A17">
        <w:t xml:space="preserve">assessing </w:t>
      </w:r>
      <w:r w:rsidR="00C77A1F">
        <w:t xml:space="preserve">how </w:t>
      </w:r>
      <w:r w:rsidR="00D55D8F">
        <w:t>individuals</w:t>
      </w:r>
      <w:r w:rsidR="00C77A1F">
        <w:t xml:space="preserve"> confronting intersecting inequalities may be affected and </w:t>
      </w:r>
      <w:r w:rsidR="00BA768D">
        <w:t>protected</w:t>
      </w:r>
      <w:r w:rsidR="00D57A3F">
        <w:t>.</w:t>
      </w:r>
      <w:r w:rsidR="00E31669">
        <w:t xml:space="preserve"> </w:t>
      </w:r>
      <w:r w:rsidR="0064361F">
        <w:t>In this context, i</w:t>
      </w:r>
      <w:r w:rsidR="00EC4089">
        <w:t>t is regrettable that a Rural Needs Impact Assessment was not conducted and</w:t>
      </w:r>
      <w:r w:rsidR="00DD40B6">
        <w:t xml:space="preserve"> </w:t>
      </w:r>
      <w:r w:rsidR="000E253F">
        <w:t>that the</w:t>
      </w:r>
      <w:r w:rsidR="00EC4089">
        <w:t xml:space="preserve"> Expert Panel Reports for </w:t>
      </w:r>
      <w:r w:rsidR="00DD40B6">
        <w:t xml:space="preserve">the </w:t>
      </w:r>
      <w:r w:rsidR="00EC4089">
        <w:t xml:space="preserve">Social Inclusion Strategies </w:t>
      </w:r>
      <w:r w:rsidR="008156FF">
        <w:t xml:space="preserve">are not cited. </w:t>
      </w:r>
      <w:r w:rsidR="009B42D3">
        <w:t xml:space="preserve">Many of the proposed measures </w:t>
      </w:r>
      <w:r w:rsidR="00A16324">
        <w:t xml:space="preserve">will have </w:t>
      </w:r>
      <w:r w:rsidR="00171603">
        <w:t xml:space="preserve">a </w:t>
      </w:r>
      <w:r w:rsidR="000A35B9">
        <w:t>disproportionate</w:t>
      </w:r>
      <w:r w:rsidR="00A16324">
        <w:t xml:space="preserve"> impact on those facing </w:t>
      </w:r>
      <w:r w:rsidR="00F332B3">
        <w:t xml:space="preserve">multiple </w:t>
      </w:r>
      <w:r w:rsidR="00A16324">
        <w:t xml:space="preserve">barriers to social </w:t>
      </w:r>
      <w:r w:rsidR="001041B6">
        <w:t xml:space="preserve">and economic </w:t>
      </w:r>
      <w:r w:rsidR="00A16324">
        <w:t xml:space="preserve">inclusion. </w:t>
      </w:r>
      <w:r w:rsidR="005C25F6">
        <w:t>The</w:t>
      </w:r>
      <w:r w:rsidR="00450ACD">
        <w:t xml:space="preserve"> NIHRC consider that a human rights impact assessment </w:t>
      </w:r>
      <w:r w:rsidR="007C6811">
        <w:t>should</w:t>
      </w:r>
      <w:r w:rsidR="00450ACD">
        <w:t xml:space="preserve"> </w:t>
      </w:r>
      <w:r w:rsidR="007C6811">
        <w:t>supplement</w:t>
      </w:r>
      <w:r w:rsidR="00E720D5">
        <w:t xml:space="preserve"> the Department’s EQIA </w:t>
      </w:r>
      <w:r w:rsidR="007C6811">
        <w:t xml:space="preserve">as it </w:t>
      </w:r>
      <w:r w:rsidR="009E0771">
        <w:t xml:space="preserve">will </w:t>
      </w:r>
      <w:r w:rsidR="000A35B9">
        <w:t>provide</w:t>
      </w:r>
      <w:r w:rsidR="00E720D5">
        <w:t xml:space="preserve"> </w:t>
      </w:r>
      <w:r w:rsidR="008B7318">
        <w:t xml:space="preserve">a </w:t>
      </w:r>
      <w:r w:rsidR="005F2AF8">
        <w:t>broad</w:t>
      </w:r>
      <w:r w:rsidR="009D6E6B">
        <w:t xml:space="preserve"> and</w:t>
      </w:r>
      <w:r w:rsidR="00E720D5">
        <w:t xml:space="preserve"> </w:t>
      </w:r>
      <w:r w:rsidR="007B1C8F">
        <w:t>intersectional lens</w:t>
      </w:r>
      <w:r w:rsidR="00C77B90">
        <w:t xml:space="preserve"> to the current proposals.</w:t>
      </w:r>
    </w:p>
    <w:p w14:paraId="684F7009" w14:textId="77777777" w:rsidR="00675C3A" w:rsidRDefault="00675C3A" w:rsidP="00675C3A">
      <w:pPr>
        <w:spacing w:line="276" w:lineRule="auto"/>
        <w:rPr>
          <w:rStyle w:val="normaltextrun"/>
        </w:rPr>
      </w:pPr>
    </w:p>
    <w:p w14:paraId="08991D22" w14:textId="7C936077" w:rsidR="00AC3E52" w:rsidRDefault="009D6E6B" w:rsidP="00B44A62">
      <w:pPr>
        <w:pStyle w:val="ListParagraph"/>
        <w:numPr>
          <w:ilvl w:val="1"/>
          <w:numId w:val="14"/>
        </w:numPr>
        <w:spacing w:line="276" w:lineRule="auto"/>
        <w:ind w:left="709"/>
      </w:pPr>
      <w:r>
        <w:t xml:space="preserve">Further </w:t>
      </w:r>
      <w:r w:rsidR="008426AC">
        <w:t>analysis</w:t>
      </w:r>
      <w:r>
        <w:t xml:space="preserve"> of the </w:t>
      </w:r>
      <w:r w:rsidR="004573BC">
        <w:t>individual and cumulative</w:t>
      </w:r>
      <w:r>
        <w:t xml:space="preserve"> impact for each proposal is also critical for ensuring </w:t>
      </w:r>
      <w:r w:rsidRPr="007A6613">
        <w:t xml:space="preserve">the satisfaction of minimum essential levels of </w:t>
      </w:r>
      <w:r>
        <w:t xml:space="preserve">relevant rights in ICESCR. </w:t>
      </w:r>
      <w:r w:rsidR="00AC3E52">
        <w:t>In fact,</w:t>
      </w:r>
      <w:r w:rsidR="003C5287">
        <w:t xml:space="preserve"> the</w:t>
      </w:r>
      <w:r w:rsidR="00AC3E52">
        <w:t xml:space="preserve"> </w:t>
      </w:r>
      <w:r w:rsidR="003C5287">
        <w:t>UN ICESCR Committee, UN CRC Committee, UN CRPD Committee and UN CEDAW Committee have all previously urged the UK to assess the cumulative impact of social security reforms</w:t>
      </w:r>
      <w:r w:rsidR="008426AC">
        <w:t xml:space="preserve"> between 2010-2017.</w:t>
      </w:r>
      <w:r w:rsidR="00906F7B">
        <w:rPr>
          <w:rStyle w:val="FootnoteReference"/>
        </w:rPr>
        <w:footnoteReference w:id="34"/>
      </w:r>
      <w:r w:rsidR="00387222">
        <w:t xml:space="preserve"> </w:t>
      </w:r>
      <w:r w:rsidR="00387222">
        <w:rPr>
          <w:rFonts w:eastAsia="Times New Roman" w:cs="Times New Roman"/>
        </w:rPr>
        <w:t xml:space="preserve">The NIHRC would refer the Department to its Cumulative Impact Assessment on Tax and Social Security Reforms in NI </w:t>
      </w:r>
      <w:r w:rsidR="00CC2ED3">
        <w:t>as</w:t>
      </w:r>
      <w:r w:rsidR="00906F7B">
        <w:t xml:space="preserve"> an example of how such an assessment could be conducted</w:t>
      </w:r>
      <w:r w:rsidR="00387222">
        <w:rPr>
          <w:rFonts w:eastAsia="Times New Roman" w:cs="Times New Roman"/>
        </w:rPr>
        <w:t>.</w:t>
      </w:r>
      <w:r w:rsidR="00387222">
        <w:rPr>
          <w:rStyle w:val="FootnoteReference"/>
          <w:rFonts w:eastAsia="Times New Roman" w:cs="Times New Roman"/>
        </w:rPr>
        <w:footnoteReference w:id="35"/>
      </w:r>
    </w:p>
    <w:p w14:paraId="74FF5679" w14:textId="77777777" w:rsidR="00AC3E52" w:rsidRDefault="00AC3E52" w:rsidP="00AC3E52">
      <w:pPr>
        <w:pStyle w:val="ListParagraph"/>
        <w:rPr>
          <w:rStyle w:val="normaltextrun"/>
        </w:rPr>
      </w:pPr>
    </w:p>
    <w:p w14:paraId="0E41C973" w14:textId="197AFF8B" w:rsidR="007701E1" w:rsidRDefault="00CC2E22" w:rsidP="00B44A62">
      <w:pPr>
        <w:pStyle w:val="ListParagraph"/>
        <w:numPr>
          <w:ilvl w:val="1"/>
          <w:numId w:val="14"/>
        </w:numPr>
        <w:spacing w:line="276" w:lineRule="auto"/>
        <w:ind w:left="709"/>
      </w:pPr>
      <w:r>
        <w:rPr>
          <w:rStyle w:val="normaltextrun"/>
        </w:rPr>
        <w:t xml:space="preserve">In summary, </w:t>
      </w:r>
      <w:r w:rsidR="00A32625">
        <w:rPr>
          <w:rStyle w:val="normaltextrun"/>
        </w:rPr>
        <w:t xml:space="preserve">the following </w:t>
      </w:r>
      <w:r w:rsidR="00DB5AF6">
        <w:rPr>
          <w:rStyle w:val="normaltextrun"/>
        </w:rPr>
        <w:t xml:space="preserve">key </w:t>
      </w:r>
      <w:r w:rsidR="00A32625">
        <w:rPr>
          <w:rStyle w:val="normaltextrun"/>
        </w:rPr>
        <w:t xml:space="preserve">principles </w:t>
      </w:r>
      <w:r w:rsidR="009024FA">
        <w:t>should inform an assessment of</w:t>
      </w:r>
      <w:r w:rsidR="00DB5AF6">
        <w:t xml:space="preserve"> whether</w:t>
      </w:r>
      <w:r w:rsidR="006C209B">
        <w:t xml:space="preserve"> government</w:t>
      </w:r>
      <w:r w:rsidR="00DB5AF6">
        <w:t xml:space="preserve"> </w:t>
      </w:r>
      <w:r w:rsidR="006C209B">
        <w:t>budgets</w:t>
      </w:r>
      <w:r w:rsidR="00DB5AF6">
        <w:t xml:space="preserve"> are consistent with </w:t>
      </w:r>
      <w:r w:rsidR="0013248C">
        <w:t>economic, social and cultural rights in particular</w:t>
      </w:r>
      <w:r w:rsidR="00DB5AF6">
        <w:t xml:space="preserve">: </w:t>
      </w:r>
    </w:p>
    <w:p w14:paraId="40259D66" w14:textId="77777777" w:rsidR="00DB5AF6" w:rsidRDefault="00DB5AF6" w:rsidP="00DB5AF6">
      <w:pPr>
        <w:spacing w:line="276" w:lineRule="auto"/>
        <w:rPr>
          <w:rStyle w:val="normaltextrun"/>
        </w:rPr>
      </w:pPr>
    </w:p>
    <w:p w14:paraId="1F9CB3C6" w14:textId="6BF32B08" w:rsidR="005664A3" w:rsidRPr="00A07111" w:rsidRDefault="005C6F63" w:rsidP="00BC535B">
      <w:pPr>
        <w:pStyle w:val="ListParagraph"/>
        <w:numPr>
          <w:ilvl w:val="0"/>
          <w:numId w:val="10"/>
        </w:numPr>
        <w:spacing w:line="276" w:lineRule="auto"/>
        <w:rPr>
          <w:rStyle w:val="normaltextrun"/>
        </w:rPr>
      </w:pPr>
      <w:r>
        <w:rPr>
          <w:rStyle w:val="normaltextrun"/>
        </w:rPr>
        <w:t>P</w:t>
      </w:r>
      <w:r w:rsidR="00B22804" w:rsidRPr="00A07111">
        <w:rPr>
          <w:rStyle w:val="normaltextrun"/>
        </w:rPr>
        <w:t>rogressive realisation</w:t>
      </w:r>
      <w:r w:rsidR="00BC535B">
        <w:rPr>
          <w:rStyle w:val="normaltextrun"/>
        </w:rPr>
        <w:t xml:space="preserve"> and </w:t>
      </w:r>
      <w:r w:rsidR="005A3BF0">
        <w:rPr>
          <w:rStyle w:val="normaltextrun"/>
        </w:rPr>
        <w:t xml:space="preserve">ensuring the use of </w:t>
      </w:r>
      <w:r w:rsidR="00BC535B">
        <w:rPr>
          <w:rStyle w:val="normaltextrun"/>
        </w:rPr>
        <w:t>m</w:t>
      </w:r>
      <w:r w:rsidR="005664A3">
        <w:rPr>
          <w:rStyle w:val="normaltextrun"/>
        </w:rPr>
        <w:t>aximum available resources</w:t>
      </w:r>
      <w:r w:rsidR="00156A9F">
        <w:rPr>
          <w:rStyle w:val="normaltextrun"/>
        </w:rPr>
        <w:t>.</w:t>
      </w:r>
    </w:p>
    <w:p w14:paraId="69021EB9" w14:textId="35BF84EC" w:rsidR="00B22804" w:rsidRPr="00C67300" w:rsidRDefault="00F8039A" w:rsidP="007701E1">
      <w:pPr>
        <w:pStyle w:val="ListParagraph"/>
        <w:numPr>
          <w:ilvl w:val="0"/>
          <w:numId w:val="10"/>
        </w:numPr>
        <w:spacing w:line="276" w:lineRule="auto"/>
        <w:rPr>
          <w:rStyle w:val="normaltextrun"/>
        </w:rPr>
      </w:pPr>
      <w:r>
        <w:rPr>
          <w:rStyle w:val="normaltextrun"/>
        </w:rPr>
        <w:t>Prohibiti</w:t>
      </w:r>
      <w:r w:rsidR="00471160">
        <w:rPr>
          <w:rStyle w:val="normaltextrun"/>
        </w:rPr>
        <w:t xml:space="preserve">on of </w:t>
      </w:r>
      <w:r w:rsidR="00B22804" w:rsidRPr="00A07111">
        <w:rPr>
          <w:rStyle w:val="normaltextrun"/>
        </w:rPr>
        <w:t>retrogression</w:t>
      </w:r>
      <w:r w:rsidR="005664A3">
        <w:rPr>
          <w:rStyle w:val="normaltextrun"/>
        </w:rPr>
        <w:t xml:space="preserve"> and</w:t>
      </w:r>
      <w:r w:rsidR="00D94F96" w:rsidRPr="00307562">
        <w:rPr>
          <w:rStyle w:val="normaltextrun"/>
          <w:rFonts w:cs="Segoe UI"/>
          <w:shd w:val="clear" w:color="auto" w:fill="FFFFFF"/>
        </w:rPr>
        <w:t xml:space="preserve"> </w:t>
      </w:r>
      <w:r w:rsidR="00B40738">
        <w:rPr>
          <w:rStyle w:val="normaltextrun"/>
          <w:rFonts w:cs="Segoe UI"/>
          <w:shd w:val="clear" w:color="auto" w:fill="FFFFFF"/>
        </w:rPr>
        <w:t>the burden of proving</w:t>
      </w:r>
      <w:r>
        <w:rPr>
          <w:rStyle w:val="normaltextrun"/>
          <w:rFonts w:cs="Segoe UI"/>
          <w:shd w:val="clear" w:color="auto" w:fill="FFFFFF"/>
        </w:rPr>
        <w:t xml:space="preserve"> “careful </w:t>
      </w:r>
      <w:r w:rsidR="00D94F96" w:rsidRPr="00307562">
        <w:rPr>
          <w:rStyle w:val="normaltextrun"/>
          <w:rFonts w:cs="Segoe UI"/>
          <w:shd w:val="clear" w:color="auto" w:fill="FFFFFF"/>
        </w:rPr>
        <w:t>consideration of all alternatives</w:t>
      </w:r>
      <w:r>
        <w:rPr>
          <w:rStyle w:val="normaltextrun"/>
          <w:rFonts w:cs="Segoe UI"/>
          <w:shd w:val="clear" w:color="auto" w:fill="FFFFFF"/>
        </w:rPr>
        <w:t>”</w:t>
      </w:r>
      <w:r w:rsidR="00156A9F">
        <w:rPr>
          <w:rStyle w:val="normaltextrun"/>
          <w:rFonts w:cs="Segoe UI"/>
          <w:shd w:val="clear" w:color="auto" w:fill="FFFFFF"/>
        </w:rPr>
        <w:t>.</w:t>
      </w:r>
    </w:p>
    <w:p w14:paraId="0FEF1890" w14:textId="06BF35DF" w:rsidR="00C67300" w:rsidRPr="00CD2DDA" w:rsidRDefault="00C67300" w:rsidP="00C67300">
      <w:pPr>
        <w:pStyle w:val="ListParagraph"/>
        <w:numPr>
          <w:ilvl w:val="0"/>
          <w:numId w:val="10"/>
        </w:numPr>
        <w:spacing w:line="276" w:lineRule="auto"/>
        <w:rPr>
          <w:rStyle w:val="normaltextrun"/>
        </w:rPr>
      </w:pPr>
      <w:r>
        <w:rPr>
          <w:rStyle w:val="normaltextrun"/>
        </w:rPr>
        <w:t>Protection of the “m</w:t>
      </w:r>
      <w:r w:rsidRPr="00A07111">
        <w:rPr>
          <w:rStyle w:val="normaltextrun"/>
        </w:rPr>
        <w:t>inimum essential levels</w:t>
      </w:r>
      <w:r>
        <w:rPr>
          <w:rStyle w:val="normaltextrun"/>
        </w:rPr>
        <w:t>” of each right.</w:t>
      </w:r>
    </w:p>
    <w:p w14:paraId="00CFC18F" w14:textId="519C8B27" w:rsidR="00CD2DDA" w:rsidRPr="00D62740" w:rsidRDefault="00F8039A" w:rsidP="007701E1">
      <w:pPr>
        <w:pStyle w:val="ListParagraph"/>
        <w:numPr>
          <w:ilvl w:val="0"/>
          <w:numId w:val="10"/>
        </w:numPr>
        <w:spacing w:line="276" w:lineRule="auto"/>
        <w:rPr>
          <w:rStyle w:val="normaltextrun"/>
        </w:rPr>
      </w:pPr>
      <w:r>
        <w:rPr>
          <w:rStyle w:val="normaltextrun"/>
          <w:rFonts w:cs="Segoe UI"/>
          <w:shd w:val="clear" w:color="auto" w:fill="FFFFFF"/>
        </w:rPr>
        <w:t>Prohibit</w:t>
      </w:r>
      <w:r w:rsidR="00471160">
        <w:rPr>
          <w:rStyle w:val="normaltextrun"/>
          <w:rFonts w:cs="Segoe UI"/>
          <w:shd w:val="clear" w:color="auto" w:fill="FFFFFF"/>
        </w:rPr>
        <w:t>ion of</w:t>
      </w:r>
      <w:r>
        <w:rPr>
          <w:rStyle w:val="normaltextrun"/>
          <w:rFonts w:cs="Segoe UI"/>
          <w:shd w:val="clear" w:color="auto" w:fill="FFFFFF"/>
        </w:rPr>
        <w:t xml:space="preserve"> </w:t>
      </w:r>
      <w:r w:rsidR="00CD2DDA">
        <w:rPr>
          <w:rStyle w:val="normaltextrun"/>
          <w:rFonts w:cs="Segoe UI"/>
          <w:shd w:val="clear" w:color="auto" w:fill="FFFFFF"/>
        </w:rPr>
        <w:t>discrimination</w:t>
      </w:r>
      <w:r w:rsidR="00156A9F">
        <w:rPr>
          <w:rStyle w:val="normaltextrun"/>
          <w:rFonts w:cs="Segoe UI"/>
          <w:shd w:val="clear" w:color="auto" w:fill="FFFFFF"/>
        </w:rPr>
        <w:t>.</w:t>
      </w:r>
    </w:p>
    <w:p w14:paraId="24C9C2E4" w14:textId="77777777" w:rsidR="00C80BC4" w:rsidRDefault="00C80BC4" w:rsidP="006244A8">
      <w:pPr>
        <w:spacing w:line="276" w:lineRule="auto"/>
        <w:rPr>
          <w:rStyle w:val="normaltextrun"/>
        </w:rPr>
      </w:pPr>
    </w:p>
    <w:p w14:paraId="6A9D1765" w14:textId="78AA7EBF" w:rsidR="00D62740" w:rsidRDefault="00CA0758" w:rsidP="00B44A62">
      <w:pPr>
        <w:pStyle w:val="ListParagraph"/>
        <w:numPr>
          <w:ilvl w:val="1"/>
          <w:numId w:val="14"/>
        </w:numPr>
        <w:spacing w:line="276" w:lineRule="auto"/>
        <w:ind w:left="709"/>
        <w:rPr>
          <w:rStyle w:val="normaltextrun"/>
        </w:rPr>
      </w:pPr>
      <w:r>
        <w:rPr>
          <w:rStyle w:val="normaltextrun"/>
        </w:rPr>
        <w:t>The</w:t>
      </w:r>
      <w:r w:rsidR="0070559E">
        <w:rPr>
          <w:rStyle w:val="normaltextrun"/>
        </w:rPr>
        <w:t xml:space="preserve"> </w:t>
      </w:r>
      <w:r w:rsidR="00CA6F52">
        <w:rPr>
          <w:rStyle w:val="normaltextrun"/>
        </w:rPr>
        <w:t xml:space="preserve">UN Human Rights Council and the </w:t>
      </w:r>
      <w:r w:rsidRPr="00CA0758">
        <w:rPr>
          <w:rStyle w:val="normaltextrun"/>
        </w:rPr>
        <w:t xml:space="preserve">Office of the UN High Commissioner for Human Rights </w:t>
      </w:r>
      <w:r w:rsidR="00216DAA">
        <w:rPr>
          <w:rStyle w:val="normaltextrun"/>
        </w:rPr>
        <w:t xml:space="preserve">(OHCHR) </w:t>
      </w:r>
      <w:r w:rsidR="00565C96">
        <w:rPr>
          <w:rStyle w:val="normaltextrun"/>
        </w:rPr>
        <w:t xml:space="preserve">have </w:t>
      </w:r>
      <w:r w:rsidR="00CA6F52">
        <w:rPr>
          <w:rStyle w:val="normaltextrun"/>
        </w:rPr>
        <w:t xml:space="preserve">each </w:t>
      </w:r>
      <w:r w:rsidR="00E65DB9">
        <w:rPr>
          <w:rStyle w:val="normaltextrun"/>
        </w:rPr>
        <w:t>p</w:t>
      </w:r>
      <w:r w:rsidR="0011099B">
        <w:rPr>
          <w:rStyle w:val="normaltextrun"/>
        </w:rPr>
        <w:t xml:space="preserve">ublished </w:t>
      </w:r>
      <w:r w:rsidR="007543B7">
        <w:rPr>
          <w:rStyle w:val="normaltextrun"/>
        </w:rPr>
        <w:t xml:space="preserve">guidance </w:t>
      </w:r>
      <w:r w:rsidR="00C86E82">
        <w:rPr>
          <w:rStyle w:val="normaltextrun"/>
        </w:rPr>
        <w:t xml:space="preserve">on </w:t>
      </w:r>
      <w:r w:rsidR="00E873DC">
        <w:rPr>
          <w:rStyle w:val="normaltextrun"/>
        </w:rPr>
        <w:t>how to apply these principles</w:t>
      </w:r>
      <w:r w:rsidR="00310D2C">
        <w:rPr>
          <w:rStyle w:val="normaltextrun"/>
        </w:rPr>
        <w:t xml:space="preserve"> </w:t>
      </w:r>
      <w:r w:rsidR="00E873DC">
        <w:rPr>
          <w:rStyle w:val="normaltextrun"/>
        </w:rPr>
        <w:t xml:space="preserve">while assessing the human rights impact </w:t>
      </w:r>
      <w:r w:rsidR="006C60C0">
        <w:rPr>
          <w:rStyle w:val="normaltextrun"/>
        </w:rPr>
        <w:t>of government budgets</w:t>
      </w:r>
      <w:r w:rsidR="00D5224C">
        <w:rPr>
          <w:rStyle w:val="normaltextrun"/>
        </w:rPr>
        <w:t>.</w:t>
      </w:r>
      <w:r w:rsidR="00EA20DB">
        <w:rPr>
          <w:rStyle w:val="FootnoteReference"/>
        </w:rPr>
        <w:footnoteReference w:id="36"/>
      </w:r>
      <w:r w:rsidR="00C51077">
        <w:rPr>
          <w:rStyle w:val="normaltextrun"/>
        </w:rPr>
        <w:t xml:space="preserve"> </w:t>
      </w:r>
      <w:r w:rsidR="00E67A77">
        <w:rPr>
          <w:rStyle w:val="normaltextrun"/>
        </w:rPr>
        <w:t>Drawing from</w:t>
      </w:r>
      <w:r w:rsidR="00216DAA">
        <w:rPr>
          <w:rStyle w:val="normaltextrun"/>
        </w:rPr>
        <w:t xml:space="preserve"> </w:t>
      </w:r>
      <w:r w:rsidR="00E873DC">
        <w:rPr>
          <w:rStyle w:val="normaltextrun"/>
        </w:rPr>
        <w:t>these documents</w:t>
      </w:r>
      <w:r w:rsidR="00C51077">
        <w:rPr>
          <w:rStyle w:val="normaltextrun"/>
        </w:rPr>
        <w:t xml:space="preserve">, </w:t>
      </w:r>
      <w:r w:rsidR="0057037F">
        <w:rPr>
          <w:rStyle w:val="normaltextrun"/>
        </w:rPr>
        <w:t>the</w:t>
      </w:r>
      <w:r w:rsidR="00385465">
        <w:rPr>
          <w:rStyle w:val="normaltextrun"/>
        </w:rPr>
        <w:t xml:space="preserve"> </w:t>
      </w:r>
      <w:r w:rsidR="0057037F">
        <w:rPr>
          <w:rStyle w:val="normaltextrun"/>
        </w:rPr>
        <w:t xml:space="preserve">NIHRC </w:t>
      </w:r>
      <w:r w:rsidR="000F03A3">
        <w:rPr>
          <w:rStyle w:val="normaltextrun"/>
        </w:rPr>
        <w:t xml:space="preserve">consider the following </w:t>
      </w:r>
      <w:r w:rsidR="00281757">
        <w:rPr>
          <w:rStyle w:val="normaltextrun"/>
        </w:rPr>
        <w:t>queries significant</w:t>
      </w:r>
      <w:r w:rsidR="00054060">
        <w:rPr>
          <w:rStyle w:val="normaltextrun"/>
        </w:rPr>
        <w:t xml:space="preserve"> </w:t>
      </w:r>
      <w:r w:rsidR="00FF1E0E">
        <w:rPr>
          <w:rStyle w:val="normaltextrun"/>
        </w:rPr>
        <w:t xml:space="preserve">for assessing each of the proposals contained within section 7 of the </w:t>
      </w:r>
      <w:r w:rsidR="00A00ED8">
        <w:rPr>
          <w:rStyle w:val="normaltextrun"/>
        </w:rPr>
        <w:t>consultation document</w:t>
      </w:r>
      <w:r w:rsidR="00281757">
        <w:rPr>
          <w:rStyle w:val="normaltextrun"/>
        </w:rPr>
        <w:t xml:space="preserve">: </w:t>
      </w:r>
    </w:p>
    <w:p w14:paraId="450103B7" w14:textId="77777777" w:rsidR="0045763C" w:rsidRDefault="0045763C" w:rsidP="00A8030F">
      <w:pPr>
        <w:rPr>
          <w:rStyle w:val="normaltextrun"/>
        </w:rPr>
      </w:pPr>
    </w:p>
    <w:p w14:paraId="72872DD1" w14:textId="09EA7B5B" w:rsidR="00F62B1D" w:rsidRDefault="302B3836" w:rsidP="00F62B1D">
      <w:pPr>
        <w:pStyle w:val="ListParagraph"/>
        <w:numPr>
          <w:ilvl w:val="0"/>
          <w:numId w:val="8"/>
        </w:numPr>
        <w:spacing w:line="276" w:lineRule="auto"/>
        <w:rPr>
          <w:rStyle w:val="normaltextrun"/>
        </w:rPr>
      </w:pPr>
      <w:r w:rsidRPr="40FF4167">
        <w:rPr>
          <w:rStyle w:val="normaltextrun"/>
        </w:rPr>
        <w:t>Has</w:t>
      </w:r>
      <w:r w:rsidR="236FD89C" w:rsidRPr="40FF4167">
        <w:rPr>
          <w:rStyle w:val="normaltextrun"/>
        </w:rPr>
        <w:t xml:space="preserve"> every effort has been made to use all resources at </w:t>
      </w:r>
      <w:r w:rsidR="1A45C484" w:rsidRPr="40FF4167">
        <w:rPr>
          <w:rStyle w:val="normaltextrun"/>
        </w:rPr>
        <w:t>the Department</w:t>
      </w:r>
      <w:r w:rsidR="4D0505B9" w:rsidRPr="40FF4167">
        <w:rPr>
          <w:rStyle w:val="normaltextrun"/>
        </w:rPr>
        <w:t>’</w:t>
      </w:r>
      <w:r w:rsidR="0B3B8FDD" w:rsidRPr="40FF4167">
        <w:rPr>
          <w:rStyle w:val="normaltextrun"/>
        </w:rPr>
        <w:t>s</w:t>
      </w:r>
      <w:r w:rsidR="236FD89C" w:rsidRPr="40FF4167">
        <w:rPr>
          <w:rStyle w:val="normaltextrun"/>
        </w:rPr>
        <w:t xml:space="preserve"> disposal (including international assistance)</w:t>
      </w:r>
      <w:r w:rsidR="72F28027" w:rsidRPr="40FF4167">
        <w:rPr>
          <w:rStyle w:val="normaltextrun"/>
        </w:rPr>
        <w:t>?</w:t>
      </w:r>
    </w:p>
    <w:p w14:paraId="599903F9" w14:textId="27ABC6C7" w:rsidR="00F62B1D" w:rsidRDefault="00281757" w:rsidP="00F62B1D">
      <w:pPr>
        <w:pStyle w:val="ListParagraph"/>
        <w:numPr>
          <w:ilvl w:val="0"/>
          <w:numId w:val="8"/>
        </w:numPr>
        <w:spacing w:line="276" w:lineRule="auto"/>
        <w:rPr>
          <w:rStyle w:val="normaltextrun"/>
        </w:rPr>
      </w:pPr>
      <w:r>
        <w:rPr>
          <w:rStyle w:val="normaltextrun"/>
        </w:rPr>
        <w:t>Has</w:t>
      </w:r>
      <w:r w:rsidR="00C047B4">
        <w:rPr>
          <w:rStyle w:val="normaltextrun"/>
        </w:rPr>
        <w:t xml:space="preserve"> every effort has been made to satisfy, as a matter of priority, certain minimum </w:t>
      </w:r>
      <w:r w:rsidR="00F769D0">
        <w:rPr>
          <w:rStyle w:val="normaltextrun"/>
        </w:rPr>
        <w:t xml:space="preserve">human rights </w:t>
      </w:r>
      <w:r w:rsidR="00C17663">
        <w:rPr>
          <w:rStyle w:val="normaltextrun"/>
        </w:rPr>
        <w:t>obligations?</w:t>
      </w:r>
    </w:p>
    <w:p w14:paraId="5504CFA9" w14:textId="0D3F6380" w:rsidR="00F62B1D" w:rsidRDefault="302B3836" w:rsidP="00F62B1D">
      <w:pPr>
        <w:pStyle w:val="ListParagraph"/>
        <w:numPr>
          <w:ilvl w:val="0"/>
          <w:numId w:val="8"/>
        </w:numPr>
        <w:spacing w:line="276" w:lineRule="auto"/>
        <w:rPr>
          <w:rStyle w:val="normaltextrun"/>
        </w:rPr>
      </w:pPr>
      <w:r w:rsidRPr="40FF4167">
        <w:rPr>
          <w:rStyle w:val="normaltextrun"/>
        </w:rPr>
        <w:t xml:space="preserve">Has </w:t>
      </w:r>
      <w:r w:rsidR="236FD89C" w:rsidRPr="40FF4167">
        <w:rPr>
          <w:rStyle w:val="normaltextrun"/>
        </w:rPr>
        <w:t xml:space="preserve">particular attention been paid to </w:t>
      </w:r>
      <w:r w:rsidR="7B29061C" w:rsidRPr="40FF4167">
        <w:rPr>
          <w:rStyle w:val="normaltextrun"/>
        </w:rPr>
        <w:t>marginalised</w:t>
      </w:r>
      <w:r w:rsidR="5A0002E4" w:rsidRPr="40FF4167">
        <w:rPr>
          <w:rStyle w:val="normaltextrun"/>
        </w:rPr>
        <w:t xml:space="preserve"> or vulnerable</w:t>
      </w:r>
      <w:r w:rsidR="7B29061C" w:rsidRPr="40FF4167">
        <w:rPr>
          <w:rStyle w:val="normaltextrun"/>
        </w:rPr>
        <w:t xml:space="preserve"> </w:t>
      </w:r>
      <w:r w:rsidR="236FD89C" w:rsidRPr="40FF4167">
        <w:rPr>
          <w:rStyle w:val="normaltextrun"/>
        </w:rPr>
        <w:t>groups, and</w:t>
      </w:r>
      <w:r w:rsidR="000A642C">
        <w:rPr>
          <w:rStyle w:val="normaltextrun"/>
        </w:rPr>
        <w:t xml:space="preserve"> have</w:t>
      </w:r>
      <w:r w:rsidR="6C07EA5C" w:rsidRPr="40FF4167">
        <w:rPr>
          <w:rStyle w:val="normaltextrun"/>
        </w:rPr>
        <w:t xml:space="preserve"> measures have been taken to prevent or mitigate any adverse</w:t>
      </w:r>
      <w:r w:rsidR="61980652" w:rsidRPr="40FF4167">
        <w:rPr>
          <w:rStyle w:val="normaltextrun"/>
        </w:rPr>
        <w:t xml:space="preserve"> human rights</w:t>
      </w:r>
      <w:r w:rsidR="6C07EA5C" w:rsidRPr="40FF4167">
        <w:rPr>
          <w:rStyle w:val="normaltextrun"/>
        </w:rPr>
        <w:t xml:space="preserve"> impacts</w:t>
      </w:r>
      <w:r w:rsidR="52061421" w:rsidRPr="40FF4167">
        <w:rPr>
          <w:rStyle w:val="normaltextrun"/>
        </w:rPr>
        <w:t>?</w:t>
      </w:r>
    </w:p>
    <w:p w14:paraId="51115BC5" w14:textId="6CDD0F72" w:rsidR="00EA7F5D" w:rsidRPr="00134F8B" w:rsidRDefault="00281757" w:rsidP="0045763C">
      <w:pPr>
        <w:pStyle w:val="ListParagraph"/>
        <w:numPr>
          <w:ilvl w:val="0"/>
          <w:numId w:val="8"/>
        </w:numPr>
        <w:spacing w:line="276" w:lineRule="auto"/>
        <w:rPr>
          <w:rStyle w:val="normaltextrun"/>
        </w:rPr>
      </w:pPr>
      <w:r>
        <w:rPr>
          <w:rStyle w:val="normaltextrun"/>
        </w:rPr>
        <w:t xml:space="preserve">Will </w:t>
      </w:r>
      <w:r w:rsidR="004C584A">
        <w:rPr>
          <w:rStyle w:val="normaltextrun"/>
        </w:rPr>
        <w:t xml:space="preserve">any </w:t>
      </w:r>
      <w:r w:rsidR="00761EB4">
        <w:rPr>
          <w:rStyle w:val="normaltextrun"/>
        </w:rPr>
        <w:t>restrictive measures taken</w:t>
      </w:r>
      <w:r w:rsidR="001B69F8">
        <w:rPr>
          <w:rStyle w:val="normaltextrun"/>
        </w:rPr>
        <w:t xml:space="preserve"> </w:t>
      </w:r>
      <w:r w:rsidR="00F865EB">
        <w:rPr>
          <w:rStyle w:val="normaltextrun"/>
        </w:rPr>
        <w:t xml:space="preserve">be rescinded </w:t>
      </w:r>
      <w:r w:rsidR="004E5E65">
        <w:rPr>
          <w:rStyle w:val="normaltextrun"/>
        </w:rPr>
        <w:t xml:space="preserve">if </w:t>
      </w:r>
      <w:r w:rsidR="00480A17">
        <w:rPr>
          <w:rStyle w:val="normaltextrun"/>
        </w:rPr>
        <w:t xml:space="preserve">additional resources are </w:t>
      </w:r>
      <w:r w:rsidR="00761EB4">
        <w:rPr>
          <w:rStyle w:val="normaltextrun"/>
        </w:rPr>
        <w:t>obtained</w:t>
      </w:r>
      <w:r w:rsidR="00686F21">
        <w:rPr>
          <w:rStyle w:val="normaltextrun"/>
        </w:rPr>
        <w:t xml:space="preserve"> in 2023-24</w:t>
      </w:r>
      <w:r w:rsidR="00761EB4">
        <w:rPr>
          <w:rStyle w:val="normaltextrun"/>
        </w:rPr>
        <w:t>,</w:t>
      </w:r>
      <w:r w:rsidR="00C17663">
        <w:rPr>
          <w:rStyle w:val="normaltextrun"/>
        </w:rPr>
        <w:t xml:space="preserve"> particularly </w:t>
      </w:r>
      <w:proofErr w:type="gramStart"/>
      <w:r w:rsidR="00C17663">
        <w:rPr>
          <w:rStyle w:val="normaltextrun"/>
        </w:rPr>
        <w:t>with regard to</w:t>
      </w:r>
      <w:proofErr w:type="gramEnd"/>
      <w:r w:rsidR="00C17663">
        <w:rPr>
          <w:rStyle w:val="normaltextrun"/>
        </w:rPr>
        <w:t xml:space="preserve"> repairing adverse effects on </w:t>
      </w:r>
      <w:r w:rsidR="00FB7A71">
        <w:rPr>
          <w:rStyle w:val="normaltextrun"/>
        </w:rPr>
        <w:t xml:space="preserve">marginalised or </w:t>
      </w:r>
      <w:r w:rsidR="00C17663">
        <w:rPr>
          <w:rStyle w:val="normaltextrun"/>
        </w:rPr>
        <w:t>vulnerable groups?</w:t>
      </w:r>
    </w:p>
    <w:p w14:paraId="363ECA86" w14:textId="7A5C41A4" w:rsidR="003E55D1" w:rsidRDefault="003E55D1" w:rsidP="00B03A83">
      <w:pPr>
        <w:spacing w:line="276" w:lineRule="auto"/>
      </w:pPr>
    </w:p>
    <w:p w14:paraId="345BF3E8" w14:textId="6C5128C3" w:rsidR="00B07385" w:rsidRPr="00B07385" w:rsidRDefault="65D3C279" w:rsidP="00037A83">
      <w:pPr>
        <w:pStyle w:val="ListParagraph"/>
        <w:numPr>
          <w:ilvl w:val="1"/>
          <w:numId w:val="14"/>
        </w:numPr>
        <w:ind w:left="709" w:hanging="709"/>
        <w:rPr>
          <w:rStyle w:val="normaltextrun"/>
          <w:b/>
          <w:bCs/>
        </w:rPr>
      </w:pPr>
      <w:r w:rsidRPr="40FF4167">
        <w:rPr>
          <w:rStyle w:val="normaltextrun"/>
          <w:b/>
          <w:bCs/>
        </w:rPr>
        <w:t>The NIHRC recommend</w:t>
      </w:r>
      <w:r w:rsidR="739DD883" w:rsidRPr="40FF4167">
        <w:rPr>
          <w:rStyle w:val="normaltextrun"/>
          <w:b/>
          <w:bCs/>
        </w:rPr>
        <w:t>s</w:t>
      </w:r>
      <w:r w:rsidRPr="40FF4167">
        <w:rPr>
          <w:rStyle w:val="normaltextrun"/>
          <w:b/>
          <w:bCs/>
        </w:rPr>
        <w:t xml:space="preserve"> that</w:t>
      </w:r>
      <w:r w:rsidR="6F9B5069" w:rsidRPr="40FF4167">
        <w:rPr>
          <w:rStyle w:val="normaltextrun"/>
          <w:b/>
          <w:bCs/>
        </w:rPr>
        <w:t xml:space="preserve">, before making its final </w:t>
      </w:r>
      <w:r w:rsidR="00B77E5E">
        <w:rPr>
          <w:rStyle w:val="normaltextrun"/>
          <w:b/>
          <w:bCs/>
        </w:rPr>
        <w:t>mitigations</w:t>
      </w:r>
      <w:r w:rsidR="6F9B5069" w:rsidRPr="40FF4167">
        <w:rPr>
          <w:rStyle w:val="normaltextrun"/>
          <w:b/>
          <w:bCs/>
        </w:rPr>
        <w:t>,</w:t>
      </w:r>
      <w:r w:rsidRPr="40FF4167">
        <w:rPr>
          <w:rStyle w:val="normaltextrun"/>
          <w:b/>
          <w:bCs/>
        </w:rPr>
        <w:t xml:space="preserve"> the Department for Communities </w:t>
      </w:r>
      <w:r w:rsidR="5558F5BA" w:rsidRPr="40FF4167">
        <w:rPr>
          <w:rStyle w:val="normaltextrun"/>
          <w:b/>
          <w:bCs/>
        </w:rPr>
        <w:t>conducts a human rights</w:t>
      </w:r>
      <w:r w:rsidR="3A21C1F0" w:rsidRPr="40FF4167">
        <w:rPr>
          <w:rStyle w:val="normaltextrun"/>
          <w:b/>
          <w:bCs/>
        </w:rPr>
        <w:t xml:space="preserve"> base</w:t>
      </w:r>
      <w:r w:rsidR="1457A2AC" w:rsidRPr="40FF4167">
        <w:rPr>
          <w:rStyle w:val="normaltextrun"/>
          <w:b/>
          <w:bCs/>
        </w:rPr>
        <w:t>d</w:t>
      </w:r>
      <w:r w:rsidR="111D5ACA" w:rsidRPr="40FF4167">
        <w:rPr>
          <w:rStyle w:val="normaltextrun"/>
          <w:b/>
          <w:bCs/>
        </w:rPr>
        <w:t>,</w:t>
      </w:r>
      <w:r w:rsidR="1457A2AC" w:rsidRPr="40FF4167">
        <w:rPr>
          <w:rStyle w:val="normaltextrun"/>
          <w:b/>
          <w:bCs/>
        </w:rPr>
        <w:t xml:space="preserve"> cumulative</w:t>
      </w:r>
      <w:r w:rsidR="5558F5BA" w:rsidRPr="40FF4167">
        <w:rPr>
          <w:rStyle w:val="normaltextrun"/>
          <w:b/>
          <w:bCs/>
        </w:rPr>
        <w:t xml:space="preserve"> impact assessment</w:t>
      </w:r>
      <w:r w:rsidR="65E7DE7F" w:rsidRPr="40FF4167">
        <w:rPr>
          <w:rStyle w:val="normaltextrun"/>
          <w:b/>
          <w:bCs/>
        </w:rPr>
        <w:t xml:space="preserve"> </w:t>
      </w:r>
      <w:r w:rsidR="5B64E05F" w:rsidRPr="40FF4167">
        <w:rPr>
          <w:rStyle w:val="normaltextrun"/>
          <w:b/>
          <w:bCs/>
        </w:rPr>
        <w:t>of the range of intended measures</w:t>
      </w:r>
      <w:r w:rsidR="702ECDBB" w:rsidRPr="40FF4167">
        <w:rPr>
          <w:rStyle w:val="normaltextrun"/>
          <w:b/>
          <w:bCs/>
        </w:rPr>
        <w:t xml:space="preserve">, and </w:t>
      </w:r>
      <w:r w:rsidR="261F71B0" w:rsidRPr="40FF4167">
        <w:rPr>
          <w:rStyle w:val="normaltextrun"/>
          <w:b/>
          <w:bCs/>
        </w:rPr>
        <w:t>demonstrate</w:t>
      </w:r>
      <w:r w:rsidR="702ECDBB" w:rsidRPr="40FF4167">
        <w:rPr>
          <w:rStyle w:val="normaltextrun"/>
          <w:b/>
          <w:bCs/>
        </w:rPr>
        <w:t>s</w:t>
      </w:r>
      <w:r w:rsidR="2EF3BE7D" w:rsidRPr="40FF4167">
        <w:rPr>
          <w:rStyle w:val="normaltextrun"/>
          <w:b/>
          <w:bCs/>
        </w:rPr>
        <w:t xml:space="preserve"> </w:t>
      </w:r>
      <w:r w:rsidR="6F9B5069" w:rsidRPr="40FF4167">
        <w:rPr>
          <w:rStyle w:val="normaltextrun"/>
          <w:b/>
          <w:bCs/>
        </w:rPr>
        <w:t>that every effort has been made to use all resources that are at its disposal to satisfy, as a matter of priority, the minimum essential levels of each of the relevant rights in the International Covenant on Economic, Social and Cultural Rights</w:t>
      </w:r>
      <w:r w:rsidR="27068FEF" w:rsidRPr="40FF4167">
        <w:rPr>
          <w:rStyle w:val="normaltextrun"/>
          <w:b/>
          <w:bCs/>
        </w:rPr>
        <w:t xml:space="preserve"> (ICESCR).</w:t>
      </w:r>
    </w:p>
    <w:p w14:paraId="6D2B1368" w14:textId="77777777" w:rsidR="009E2532" w:rsidRDefault="009E2532" w:rsidP="00466D07">
      <w:pPr>
        <w:spacing w:line="276" w:lineRule="auto"/>
      </w:pPr>
    </w:p>
    <w:p w14:paraId="749D03DE" w14:textId="6D3DBD02" w:rsidR="00466D07" w:rsidRPr="007D36B6" w:rsidRDefault="00466D07" w:rsidP="00466D07">
      <w:pPr>
        <w:pStyle w:val="Heading1"/>
        <w:spacing w:before="0" w:line="276" w:lineRule="auto"/>
        <w:ind w:left="709" w:hanging="709"/>
      </w:pPr>
      <w:bookmarkStart w:id="4" w:name="_Toc141088104"/>
      <w:r>
        <w:t>Impact</w:t>
      </w:r>
      <w:r w:rsidR="00B063B3">
        <w:t xml:space="preserve"> of Proposals</w:t>
      </w:r>
      <w:bookmarkEnd w:id="4"/>
    </w:p>
    <w:p w14:paraId="79C114C9" w14:textId="77777777" w:rsidR="006B6665" w:rsidRPr="00111511" w:rsidRDefault="006B6665" w:rsidP="006B6665">
      <w:pPr>
        <w:spacing w:line="276" w:lineRule="auto"/>
      </w:pPr>
    </w:p>
    <w:p w14:paraId="5F11739E" w14:textId="7CBABA84" w:rsidR="00541B03" w:rsidRDefault="00541B03" w:rsidP="00037A83">
      <w:pPr>
        <w:pStyle w:val="ListParagraph"/>
        <w:numPr>
          <w:ilvl w:val="1"/>
          <w:numId w:val="15"/>
        </w:numPr>
        <w:spacing w:line="276" w:lineRule="auto"/>
        <w:ind w:left="709" w:hanging="709"/>
        <w:rPr>
          <w:color w:val="000000"/>
        </w:rPr>
      </w:pPr>
      <w:r>
        <w:rPr>
          <w:color w:val="000000"/>
        </w:rPr>
        <w:t>The following sectio</w:t>
      </w:r>
      <w:r w:rsidR="005067A0">
        <w:rPr>
          <w:color w:val="000000"/>
        </w:rPr>
        <w:t>n highlights</w:t>
      </w:r>
      <w:r w:rsidR="002C7C1F">
        <w:rPr>
          <w:color w:val="000000"/>
        </w:rPr>
        <w:t xml:space="preserve"> specific</w:t>
      </w:r>
      <w:r w:rsidR="00F37B20">
        <w:rPr>
          <w:color w:val="000000"/>
        </w:rPr>
        <w:t xml:space="preserve"> </w:t>
      </w:r>
      <w:r w:rsidR="00805741">
        <w:rPr>
          <w:color w:val="000000"/>
        </w:rPr>
        <w:t xml:space="preserve">proposals </w:t>
      </w:r>
      <w:r w:rsidR="00E30312">
        <w:rPr>
          <w:color w:val="000000"/>
        </w:rPr>
        <w:t>from the Department’s EQIA that</w:t>
      </w:r>
      <w:r w:rsidR="00805741">
        <w:rPr>
          <w:color w:val="000000"/>
        </w:rPr>
        <w:t xml:space="preserve"> </w:t>
      </w:r>
      <w:r w:rsidR="00D35D0D">
        <w:rPr>
          <w:color w:val="000000"/>
        </w:rPr>
        <w:t>risk</w:t>
      </w:r>
      <w:r w:rsidR="00805741">
        <w:rPr>
          <w:color w:val="000000"/>
        </w:rPr>
        <w:t xml:space="preserve"> hav</w:t>
      </w:r>
      <w:r w:rsidR="00D35D0D">
        <w:rPr>
          <w:color w:val="000000"/>
        </w:rPr>
        <w:t>ing</w:t>
      </w:r>
      <w:r w:rsidR="00805741">
        <w:rPr>
          <w:color w:val="000000"/>
        </w:rPr>
        <w:t xml:space="preserve"> </w:t>
      </w:r>
      <w:r w:rsidR="00460F42">
        <w:rPr>
          <w:color w:val="000000"/>
        </w:rPr>
        <w:t>a</w:t>
      </w:r>
      <w:r w:rsidR="00D35D0D">
        <w:rPr>
          <w:color w:val="000000"/>
        </w:rPr>
        <w:t xml:space="preserve"> disproportionate</w:t>
      </w:r>
      <w:r w:rsidR="00460F42">
        <w:rPr>
          <w:color w:val="000000"/>
        </w:rPr>
        <w:t xml:space="preserve"> impact on the realisation of rights</w:t>
      </w:r>
      <w:r w:rsidR="00D35D0D">
        <w:rPr>
          <w:color w:val="000000"/>
        </w:rPr>
        <w:t xml:space="preserve"> for </w:t>
      </w:r>
      <w:r w:rsidR="002C7C1F">
        <w:rPr>
          <w:color w:val="000000"/>
        </w:rPr>
        <w:t>certain individuals and groups</w:t>
      </w:r>
      <w:r w:rsidR="004F623A">
        <w:rPr>
          <w:color w:val="000000"/>
        </w:rPr>
        <w:t xml:space="preserve">. </w:t>
      </w:r>
      <w:r w:rsidR="00CF1EEC">
        <w:rPr>
          <w:color w:val="000000"/>
        </w:rPr>
        <w:t>However, t</w:t>
      </w:r>
      <w:r w:rsidR="00253043">
        <w:rPr>
          <w:color w:val="000000"/>
        </w:rPr>
        <w:t>he</w:t>
      </w:r>
      <w:r w:rsidR="004F623A">
        <w:rPr>
          <w:color w:val="000000"/>
        </w:rPr>
        <w:t xml:space="preserve"> NIHRC reiterates that</w:t>
      </w:r>
      <w:r w:rsidR="00253043">
        <w:rPr>
          <w:color w:val="000000"/>
        </w:rPr>
        <w:t xml:space="preserve"> </w:t>
      </w:r>
      <w:r w:rsidR="00F50002">
        <w:rPr>
          <w:color w:val="000000"/>
        </w:rPr>
        <w:t xml:space="preserve">any </w:t>
      </w:r>
      <w:r w:rsidR="00F50002">
        <w:t>retrogressive</w:t>
      </w:r>
      <w:r w:rsidR="0025329E">
        <w:t xml:space="preserve"> action</w:t>
      </w:r>
      <w:r w:rsidR="00D26E45">
        <w:t xml:space="preserve"> from</w:t>
      </w:r>
      <w:r w:rsidR="0025329E">
        <w:rPr>
          <w:color w:val="000000"/>
        </w:rPr>
        <w:t xml:space="preserve"> the</w:t>
      </w:r>
      <w:r w:rsidR="00253043">
        <w:rPr>
          <w:color w:val="000000"/>
        </w:rPr>
        <w:t xml:space="preserve"> range of measures proposed</w:t>
      </w:r>
      <w:r w:rsidR="0025329E">
        <w:rPr>
          <w:color w:val="000000"/>
        </w:rPr>
        <w:t xml:space="preserve"> </w:t>
      </w:r>
      <w:r w:rsidR="002B741B">
        <w:rPr>
          <w:color w:val="000000"/>
        </w:rPr>
        <w:t xml:space="preserve">must be </w:t>
      </w:r>
      <w:r w:rsidR="007108A8">
        <w:t>“</w:t>
      </w:r>
      <w:r w:rsidR="002B741B">
        <w:t>justified by reference to the totality of the rights</w:t>
      </w:r>
      <w:r w:rsidR="007108A8">
        <w:t xml:space="preserve">” in ICESCR </w:t>
      </w:r>
      <w:r w:rsidR="002B741B">
        <w:t xml:space="preserve">and in the context of the full use of the </w:t>
      </w:r>
      <w:r w:rsidR="00146EA0">
        <w:t>“</w:t>
      </w:r>
      <w:r w:rsidR="002B741B">
        <w:t>maximum available resources</w:t>
      </w:r>
      <w:r w:rsidR="00146EA0">
        <w:t>”.</w:t>
      </w:r>
      <w:r w:rsidR="00D12D80">
        <w:t xml:space="preserve"> </w:t>
      </w:r>
      <w:r w:rsidR="00812E92">
        <w:t>It</w:t>
      </w:r>
      <w:r w:rsidR="00D12D80">
        <w:t xml:space="preserve"> is</w:t>
      </w:r>
      <w:r w:rsidR="00812E92">
        <w:t xml:space="preserve"> therefore</w:t>
      </w:r>
      <w:r w:rsidR="00D12D80">
        <w:t xml:space="preserve"> incumbent on the Department to assess </w:t>
      </w:r>
      <w:r w:rsidR="00F067B0">
        <w:t xml:space="preserve">each of its </w:t>
      </w:r>
      <w:r w:rsidR="00312A4F">
        <w:t xml:space="preserve">intended measures using the guidance </w:t>
      </w:r>
      <w:r w:rsidR="00D35D0D">
        <w:t>above</w:t>
      </w:r>
      <w:r w:rsidR="00FC4ECD">
        <w:t>/below</w:t>
      </w:r>
      <w:r w:rsidR="00D35D0D">
        <w:t xml:space="preserve">. </w:t>
      </w:r>
    </w:p>
    <w:p w14:paraId="73D92415" w14:textId="77777777" w:rsidR="00541B03" w:rsidRDefault="00541B03" w:rsidP="00541B03">
      <w:pPr>
        <w:pStyle w:val="ListParagraph"/>
        <w:spacing w:line="276" w:lineRule="auto"/>
        <w:ind w:left="709"/>
        <w:rPr>
          <w:color w:val="000000"/>
        </w:rPr>
      </w:pPr>
    </w:p>
    <w:p w14:paraId="6E453AB7" w14:textId="1E24521E" w:rsidR="00541B03" w:rsidRDefault="00541B03" w:rsidP="00541B03">
      <w:pPr>
        <w:pStyle w:val="Heading2"/>
      </w:pPr>
      <w:bookmarkStart w:id="5" w:name="_Toc141088105"/>
      <w:r>
        <w:t>Social Security Delivery</w:t>
      </w:r>
      <w:bookmarkEnd w:id="5"/>
    </w:p>
    <w:p w14:paraId="727A8183" w14:textId="77777777" w:rsidR="00541B03" w:rsidRPr="00541B03" w:rsidRDefault="00541B03" w:rsidP="00541B03"/>
    <w:p w14:paraId="7F475475" w14:textId="7CF85CEA" w:rsidR="006B6665" w:rsidRPr="0041061C" w:rsidRDefault="006B6665" w:rsidP="00037A83">
      <w:pPr>
        <w:pStyle w:val="ListParagraph"/>
        <w:numPr>
          <w:ilvl w:val="1"/>
          <w:numId w:val="15"/>
        </w:numPr>
        <w:spacing w:line="276" w:lineRule="auto"/>
        <w:ind w:left="709" w:hanging="709"/>
        <w:rPr>
          <w:color w:val="000000"/>
        </w:rPr>
      </w:pPr>
      <w:r>
        <w:t xml:space="preserve">The </w:t>
      </w:r>
      <w:r w:rsidRPr="00CC6E47">
        <w:t>European Court of Human Rights (ECtHR) has r</w:t>
      </w:r>
      <w:r>
        <w:t>eflected social security rights within cases brought under ECHR Articles 8 (right to private life) and 14 (prohibition of discrimination) and Article 1 of Protocol 1 (protection of property).</w:t>
      </w:r>
      <w:r w:rsidRPr="00220DD9">
        <w:rPr>
          <w:rStyle w:val="FootnoteReference"/>
        </w:rPr>
        <w:footnoteReference w:id="37"/>
      </w:r>
      <w:r>
        <w:t xml:space="preserve"> This includes a number of cases where the applicants complained about aspects of austerity measures in response to financial crises.</w:t>
      </w:r>
      <w:r>
        <w:rPr>
          <w:rStyle w:val="FootnoteReference"/>
        </w:rPr>
        <w:footnoteReference w:id="38"/>
      </w:r>
      <w:r>
        <w:t xml:space="preserve"> While acknowledging that measures were taken with the public interest in mind, the ECtHR also considered</w:t>
      </w:r>
      <w:r w:rsidRPr="00A46231">
        <w:t xml:space="preserve"> </w:t>
      </w:r>
      <w:r>
        <w:t>the proportionately of such measures, including whether they represented a threat to the applicants’ livelihood and if they were of temporary nature.</w:t>
      </w:r>
      <w:r>
        <w:rPr>
          <w:rStyle w:val="FootnoteReference"/>
        </w:rPr>
        <w:footnoteReference w:id="39"/>
      </w:r>
      <w:r>
        <w:t xml:space="preserve">  </w:t>
      </w:r>
    </w:p>
    <w:p w14:paraId="6E800D01" w14:textId="77777777" w:rsidR="006B6665" w:rsidRPr="0041061C" w:rsidRDefault="006B6665" w:rsidP="006B6665">
      <w:pPr>
        <w:pStyle w:val="ListParagraph"/>
        <w:spacing w:line="276" w:lineRule="auto"/>
        <w:ind w:left="709"/>
        <w:rPr>
          <w:color w:val="000000"/>
        </w:rPr>
      </w:pPr>
    </w:p>
    <w:p w14:paraId="417FCCFC" w14:textId="07868378" w:rsidR="006B6665" w:rsidRPr="00D93E85" w:rsidRDefault="006B6665" w:rsidP="00037A83">
      <w:pPr>
        <w:pStyle w:val="ListParagraph"/>
        <w:numPr>
          <w:ilvl w:val="1"/>
          <w:numId w:val="15"/>
        </w:numPr>
        <w:spacing w:line="276" w:lineRule="auto"/>
        <w:ind w:left="709" w:hanging="709"/>
        <w:rPr>
          <w:color w:val="000000"/>
        </w:rPr>
      </w:pPr>
      <w:r>
        <w:t xml:space="preserve">Article 9 of ICESCR </w:t>
      </w:r>
      <w:r w:rsidRPr="00111511">
        <w:t>protects the right to social security, noting “the States Parties to the present Covenant recogni</w:t>
      </w:r>
      <w:r>
        <w:t>s</w:t>
      </w:r>
      <w:r w:rsidRPr="00111511">
        <w:t>e the right of everyone to social security, including social insurance”. The right to social security is also provided for by the UN Convention on the Elimination of Discrimination against Women (UN</w:t>
      </w:r>
      <w:r>
        <w:t xml:space="preserve"> </w:t>
      </w:r>
      <w:r w:rsidRPr="00111511">
        <w:t>CEDAW),</w:t>
      </w:r>
      <w:r w:rsidRPr="00111511">
        <w:rPr>
          <w:vertAlign w:val="superscript"/>
        </w:rPr>
        <w:footnoteReference w:id="40"/>
      </w:r>
      <w:r w:rsidRPr="00111511">
        <w:t xml:space="preserve"> the UN Convention on the Rights of the Child (UN</w:t>
      </w:r>
      <w:r>
        <w:t xml:space="preserve"> </w:t>
      </w:r>
      <w:r w:rsidRPr="00111511">
        <w:t>CRC),</w:t>
      </w:r>
      <w:r w:rsidRPr="00111511">
        <w:rPr>
          <w:vertAlign w:val="superscript"/>
        </w:rPr>
        <w:footnoteReference w:id="41"/>
      </w:r>
      <w:r w:rsidRPr="00111511">
        <w:t xml:space="preserve"> and the UN Convention on the Rights of Persons with Disabilities (UN</w:t>
      </w:r>
      <w:r>
        <w:t xml:space="preserve"> </w:t>
      </w:r>
      <w:r w:rsidRPr="00111511">
        <w:t>CRPD).</w:t>
      </w:r>
      <w:r w:rsidRPr="00111511">
        <w:rPr>
          <w:vertAlign w:val="superscript"/>
        </w:rPr>
        <w:footnoteReference w:id="42"/>
      </w:r>
      <w:r>
        <w:t xml:space="preserve"> </w:t>
      </w:r>
    </w:p>
    <w:p w14:paraId="5EE7AF7E" w14:textId="77777777" w:rsidR="006B6665" w:rsidRPr="00D93E85" w:rsidRDefault="006B6665" w:rsidP="006B6665">
      <w:pPr>
        <w:rPr>
          <w:color w:val="000000"/>
        </w:rPr>
      </w:pPr>
    </w:p>
    <w:p w14:paraId="7B4CF49A" w14:textId="77777777" w:rsidR="0066363F" w:rsidRPr="0066363F" w:rsidRDefault="006B6665" w:rsidP="002E177B">
      <w:pPr>
        <w:pStyle w:val="ListParagraph"/>
        <w:numPr>
          <w:ilvl w:val="1"/>
          <w:numId w:val="15"/>
        </w:numPr>
        <w:spacing w:line="276" w:lineRule="auto"/>
        <w:ind w:left="709" w:hanging="709"/>
        <w:rPr>
          <w:color w:val="000000"/>
        </w:rPr>
      </w:pPr>
      <w:r>
        <w:rPr>
          <w:color w:val="000000"/>
        </w:rPr>
        <w:t xml:space="preserve">In General Comment No.19, the ICESCR Committee </w:t>
      </w:r>
      <w:r w:rsidR="0081687B">
        <w:rPr>
          <w:color w:val="000000"/>
        </w:rPr>
        <w:t xml:space="preserve">confirms that </w:t>
      </w:r>
      <w:r w:rsidR="0081687B">
        <w:t xml:space="preserve">the right to social security requires a social security system to be in place that is available, adequate and accessible. Social security </w:t>
      </w:r>
      <w:r w:rsidR="0046796A">
        <w:t xml:space="preserve">“should be provided in a timely manner” and </w:t>
      </w:r>
      <w:r w:rsidR="0081687B">
        <w:t>must be accessible in terms of coverage, eligibility, affordability, participation and information, and physical access.</w:t>
      </w:r>
      <w:r>
        <w:rPr>
          <w:rStyle w:val="FootnoteReference"/>
          <w:color w:val="000000"/>
        </w:rPr>
        <w:footnoteReference w:id="43"/>
      </w:r>
      <w:r w:rsidR="00A10301">
        <w:t xml:space="preserve"> </w:t>
      </w:r>
    </w:p>
    <w:p w14:paraId="5250C2A3" w14:textId="77777777" w:rsidR="0066363F" w:rsidRDefault="0066363F" w:rsidP="0066363F">
      <w:pPr>
        <w:pStyle w:val="ListParagraph"/>
      </w:pPr>
    </w:p>
    <w:p w14:paraId="26134CA1" w14:textId="1E541019" w:rsidR="00DF07B2" w:rsidRPr="002E177B" w:rsidRDefault="002E177B" w:rsidP="002E177B">
      <w:pPr>
        <w:pStyle w:val="ListParagraph"/>
        <w:numPr>
          <w:ilvl w:val="1"/>
          <w:numId w:val="15"/>
        </w:numPr>
        <w:spacing w:line="276" w:lineRule="auto"/>
        <w:ind w:left="709" w:hanging="709"/>
        <w:rPr>
          <w:color w:val="000000"/>
        </w:rPr>
      </w:pPr>
      <w:r>
        <w:t>T</w:t>
      </w:r>
      <w:r w:rsidR="009B0A2A">
        <w:t xml:space="preserve">he </w:t>
      </w:r>
      <w:r w:rsidR="000334AE">
        <w:t>social security</w:t>
      </w:r>
      <w:r w:rsidR="007F30E5">
        <w:t xml:space="preserve"> system</w:t>
      </w:r>
      <w:r w:rsidR="000334AE">
        <w:t xml:space="preserve"> </w:t>
      </w:r>
      <w:r w:rsidR="00DB66F6">
        <w:t xml:space="preserve">plays an important role in supporting the realisation of many of the rights in the ICESCR. </w:t>
      </w:r>
      <w:r w:rsidR="00F2029B">
        <w:t xml:space="preserve">The Committee specify that benefits </w:t>
      </w:r>
      <w:r w:rsidR="00BA108B">
        <w:t>“</w:t>
      </w:r>
      <w:r w:rsidR="00DE421C">
        <w:t>must be adequate in amount and duration in order that everyone may reali</w:t>
      </w:r>
      <w:r w:rsidR="00BA108B">
        <w:t>s</w:t>
      </w:r>
      <w:r w:rsidR="00DE421C">
        <w:t>e his or her rights to family protection and assistance, an adequate standard of living and adequate access to health care</w:t>
      </w:r>
      <w:r w:rsidR="00BA108B">
        <w:t>” (Articles 10, 11 and 12 ICESCR).</w:t>
      </w:r>
      <w:r w:rsidR="00464469">
        <w:rPr>
          <w:rStyle w:val="FootnoteReference"/>
        </w:rPr>
        <w:footnoteReference w:id="44"/>
      </w:r>
      <w:r w:rsidR="00BA108B">
        <w:t xml:space="preserve"> </w:t>
      </w:r>
      <w:r w:rsidR="00032599">
        <w:t>Ultimately</w:t>
      </w:r>
      <w:r w:rsidR="00A40E6E">
        <w:t xml:space="preserve">, </w:t>
      </w:r>
      <w:r w:rsidR="00D13346">
        <w:t xml:space="preserve">the social security system is </w:t>
      </w:r>
      <w:r w:rsidR="00A54D2A">
        <w:t xml:space="preserve">of </w:t>
      </w:r>
      <w:r w:rsidR="0080557C">
        <w:t>central</w:t>
      </w:r>
      <w:r w:rsidR="00A54D2A">
        <w:t xml:space="preserve"> importance</w:t>
      </w:r>
      <w:r w:rsidR="0080557C">
        <w:t xml:space="preserve"> to protecting </w:t>
      </w:r>
      <w:r w:rsidR="00A54D2A">
        <w:t xml:space="preserve">the </w:t>
      </w:r>
      <w:r w:rsidR="0080557C">
        <w:t>human dignity</w:t>
      </w:r>
      <w:r w:rsidR="00A54D2A">
        <w:t xml:space="preserve"> of</w:t>
      </w:r>
      <w:r w:rsidR="00507BE6">
        <w:t xml:space="preserve"> recipients. </w:t>
      </w:r>
      <w:r w:rsidR="0080557C">
        <w:t xml:space="preserve"> </w:t>
      </w:r>
    </w:p>
    <w:p w14:paraId="4D6F8C23" w14:textId="77777777" w:rsidR="00DF07B2" w:rsidRDefault="00DF07B2" w:rsidP="00DF07B2">
      <w:pPr>
        <w:pStyle w:val="ListParagraph"/>
      </w:pPr>
    </w:p>
    <w:p w14:paraId="6E547626" w14:textId="50A44E6B" w:rsidR="00315D29" w:rsidRDefault="00C74942" w:rsidP="00B01776">
      <w:pPr>
        <w:pStyle w:val="ListParagraph"/>
        <w:numPr>
          <w:ilvl w:val="1"/>
          <w:numId w:val="15"/>
        </w:numPr>
        <w:spacing w:line="276" w:lineRule="auto"/>
        <w:ind w:left="709" w:hanging="709"/>
        <w:rPr>
          <w:color w:val="000000"/>
        </w:rPr>
      </w:pPr>
      <w:r>
        <w:t>In 2023, the ICESCR Committee flagged its</w:t>
      </w:r>
      <w:r w:rsidR="00BA4461">
        <w:t xml:space="preserve"> concern </w:t>
      </w:r>
      <w:r>
        <w:t xml:space="preserve">regarding </w:t>
      </w:r>
      <w:r w:rsidR="00BA4461">
        <w:t>the indexation of benefit rates and the rising cost of living</w:t>
      </w:r>
      <w:r w:rsidR="00DF07B2">
        <w:t xml:space="preserve"> in </w:t>
      </w:r>
      <w:r>
        <w:t xml:space="preserve">the UK and </w:t>
      </w:r>
      <w:r w:rsidR="00DF07B2">
        <w:t>NI</w:t>
      </w:r>
      <w:r w:rsidR="00A71644">
        <w:t xml:space="preserve">, </w:t>
      </w:r>
      <w:r w:rsidR="00C46384">
        <w:t>which could exacerbate</w:t>
      </w:r>
      <w:r w:rsidR="00D21CEB" w:rsidRPr="00D21CEB">
        <w:t xml:space="preserve"> </w:t>
      </w:r>
      <w:r w:rsidR="005926FB">
        <w:t xml:space="preserve">the living conditions </w:t>
      </w:r>
      <w:r w:rsidR="00D21CEB" w:rsidRPr="00D21CEB">
        <w:t>for individuals on social security</w:t>
      </w:r>
      <w:r w:rsidR="00E82A2A">
        <w:t>.</w:t>
      </w:r>
      <w:r w:rsidR="007811FA">
        <w:rPr>
          <w:rStyle w:val="FootnoteReference"/>
        </w:rPr>
        <w:footnoteReference w:id="45"/>
      </w:r>
      <w:r w:rsidR="005926FB">
        <w:t xml:space="preserve"> </w:t>
      </w:r>
      <w:r w:rsidR="0063385C">
        <w:rPr>
          <w:color w:val="000000"/>
        </w:rPr>
        <w:t>Existing</w:t>
      </w:r>
      <w:r w:rsidR="004D5EFA" w:rsidRPr="00DD69A9">
        <w:rPr>
          <w:color w:val="000000"/>
        </w:rPr>
        <w:t xml:space="preserve"> </w:t>
      </w:r>
      <w:r w:rsidR="00D02EE3" w:rsidRPr="00DD69A9">
        <w:rPr>
          <w:color w:val="000000"/>
        </w:rPr>
        <w:t>delays in the benefits system</w:t>
      </w:r>
      <w:r w:rsidR="004D5EFA" w:rsidRPr="00DD69A9">
        <w:rPr>
          <w:color w:val="000000"/>
        </w:rPr>
        <w:t xml:space="preserve"> are </w:t>
      </w:r>
      <w:r w:rsidR="00F22C2B">
        <w:rPr>
          <w:color w:val="000000"/>
        </w:rPr>
        <w:t xml:space="preserve">well documented </w:t>
      </w:r>
      <w:r w:rsidR="000A7257">
        <w:rPr>
          <w:color w:val="000000"/>
        </w:rPr>
        <w:t xml:space="preserve">for </w:t>
      </w:r>
      <w:r w:rsidR="008F2006">
        <w:rPr>
          <w:color w:val="000000"/>
        </w:rPr>
        <w:t xml:space="preserve">pushing </w:t>
      </w:r>
      <w:r w:rsidR="00866A3D">
        <w:rPr>
          <w:color w:val="000000"/>
        </w:rPr>
        <w:t>vulnerable individuals and families</w:t>
      </w:r>
      <w:r w:rsidR="008F2006">
        <w:rPr>
          <w:color w:val="000000"/>
        </w:rPr>
        <w:t xml:space="preserve"> into hardship</w:t>
      </w:r>
      <w:r w:rsidR="00866A3D">
        <w:rPr>
          <w:color w:val="000000"/>
        </w:rPr>
        <w:t>, including increased reliance on foodbanks</w:t>
      </w:r>
      <w:r w:rsidR="00A96B97">
        <w:rPr>
          <w:color w:val="000000"/>
        </w:rPr>
        <w:t xml:space="preserve"> and </w:t>
      </w:r>
      <w:r w:rsidR="00851C58">
        <w:rPr>
          <w:color w:val="000000"/>
        </w:rPr>
        <w:t xml:space="preserve">increased debt </w:t>
      </w:r>
      <w:r w:rsidR="00B01776">
        <w:rPr>
          <w:color w:val="000000"/>
        </w:rPr>
        <w:t>vulnerability</w:t>
      </w:r>
      <w:r w:rsidR="008F2006">
        <w:rPr>
          <w:color w:val="000000"/>
        </w:rPr>
        <w:t>, which</w:t>
      </w:r>
      <w:r w:rsidR="00B01776">
        <w:rPr>
          <w:color w:val="000000"/>
        </w:rPr>
        <w:t xml:space="preserve"> can</w:t>
      </w:r>
      <w:r w:rsidR="00851C58">
        <w:rPr>
          <w:color w:val="000000"/>
        </w:rPr>
        <w:t xml:space="preserve"> lead to individuals turning to illegal lenders</w:t>
      </w:r>
      <w:r w:rsidR="00DD12E7" w:rsidRPr="005926FB">
        <w:rPr>
          <w:color w:val="000000"/>
        </w:rPr>
        <w:t>.</w:t>
      </w:r>
      <w:r w:rsidR="00693268">
        <w:rPr>
          <w:rStyle w:val="FootnoteReference"/>
          <w:color w:val="000000"/>
        </w:rPr>
        <w:footnoteReference w:id="46"/>
      </w:r>
      <w:r w:rsidR="00E63777" w:rsidRPr="005926FB">
        <w:rPr>
          <w:color w:val="000000"/>
        </w:rPr>
        <w:t xml:space="preserve"> </w:t>
      </w:r>
      <w:r w:rsidR="007620E3" w:rsidRPr="005926FB">
        <w:rPr>
          <w:color w:val="000000"/>
        </w:rPr>
        <w:t xml:space="preserve">In 2019, </w:t>
      </w:r>
      <w:r w:rsidR="00E51A06" w:rsidRPr="005926FB">
        <w:rPr>
          <w:color w:val="000000"/>
        </w:rPr>
        <w:t>the (then) Special Rapporteur on Extreme Poverty and Human Rights</w:t>
      </w:r>
      <w:r w:rsidR="00B01776">
        <w:rPr>
          <w:color w:val="000000"/>
        </w:rPr>
        <w:t xml:space="preserve"> </w:t>
      </w:r>
      <w:r w:rsidR="00B01776" w:rsidRPr="005926FB">
        <w:rPr>
          <w:color w:val="000000"/>
        </w:rPr>
        <w:t>recommended that the UK government should “eliminate the five-week delay in receiving initial Universal Credit benefits”</w:t>
      </w:r>
      <w:r w:rsidR="00B01776">
        <w:rPr>
          <w:color w:val="000000"/>
        </w:rPr>
        <w:t>, noting</w:t>
      </w:r>
      <w:r w:rsidR="00E51A06" w:rsidRPr="005926FB">
        <w:rPr>
          <w:color w:val="000000"/>
        </w:rPr>
        <w:t xml:space="preserve"> that these delays often take up to twelve weeks</w:t>
      </w:r>
      <w:r w:rsidR="003D31E1" w:rsidRPr="005926FB">
        <w:rPr>
          <w:color w:val="000000"/>
        </w:rPr>
        <w:t>.</w:t>
      </w:r>
      <w:r w:rsidR="003D31E1">
        <w:rPr>
          <w:rStyle w:val="FootnoteReference"/>
          <w:color w:val="000000"/>
        </w:rPr>
        <w:footnoteReference w:id="47"/>
      </w:r>
      <w:r w:rsidR="003D31E1" w:rsidRPr="005926FB">
        <w:rPr>
          <w:color w:val="000000"/>
        </w:rPr>
        <w:t xml:space="preserve"> </w:t>
      </w:r>
    </w:p>
    <w:p w14:paraId="394592EE" w14:textId="77777777" w:rsidR="00315D29" w:rsidRPr="00315D29" w:rsidRDefault="00315D29" w:rsidP="00315D29">
      <w:pPr>
        <w:pStyle w:val="ListParagraph"/>
        <w:rPr>
          <w:color w:val="000000"/>
        </w:rPr>
      </w:pPr>
    </w:p>
    <w:p w14:paraId="6267440A" w14:textId="2512E8A3" w:rsidR="007470DD" w:rsidRPr="00315D29" w:rsidRDefault="2A497AF5" w:rsidP="00315D29">
      <w:pPr>
        <w:pStyle w:val="ListParagraph"/>
        <w:numPr>
          <w:ilvl w:val="1"/>
          <w:numId w:val="15"/>
        </w:numPr>
        <w:spacing w:line="276" w:lineRule="auto"/>
        <w:ind w:left="709" w:hanging="709"/>
        <w:rPr>
          <w:color w:val="000000"/>
        </w:rPr>
      </w:pPr>
      <w:r w:rsidRPr="40FF4167">
        <w:rPr>
          <w:color w:val="000000" w:themeColor="text1"/>
        </w:rPr>
        <w:t>The</w:t>
      </w:r>
      <w:r w:rsidR="62DFFF72" w:rsidRPr="40FF4167">
        <w:rPr>
          <w:color w:val="000000" w:themeColor="text1"/>
        </w:rPr>
        <w:t>refore, the</w:t>
      </w:r>
      <w:r w:rsidR="7BAE6E22" w:rsidRPr="40FF4167">
        <w:rPr>
          <w:color w:val="000000" w:themeColor="text1"/>
        </w:rPr>
        <w:t xml:space="preserve"> NIHRC is concerned by the </w:t>
      </w:r>
      <w:r w:rsidR="7BAE6E22">
        <w:t>failure to secure the funding necessary to appropriately resource the delivery of benefits and pensions. The Department advise that key areas of risk include</w:t>
      </w:r>
      <w:r w:rsidR="5C8CA9BC">
        <w:t>:</w:t>
      </w:r>
      <w:r w:rsidR="7BAE6E22">
        <w:t xml:space="preserve"> the ability to deliver the increasing Universal Credit caseload, the Move to Universal Credit for tax credits and legacy customers, addressing increasing level of fraud in the welfare system and the IT infrastructure required to support delivery.</w:t>
      </w:r>
      <w:r>
        <w:t xml:space="preserve"> </w:t>
      </w:r>
      <w:r w:rsidRPr="40FF4167">
        <w:rPr>
          <w:color w:val="000000" w:themeColor="text1"/>
        </w:rPr>
        <w:t xml:space="preserve">Rather than redressing or mitigating the delay in benefit payment that is driving people further into debt, the budget 2023-24 </w:t>
      </w:r>
      <w:r w:rsidR="2178E5F9" w:rsidRPr="40FF4167">
        <w:rPr>
          <w:color w:val="000000" w:themeColor="text1"/>
        </w:rPr>
        <w:t>is likely to</w:t>
      </w:r>
      <w:r w:rsidRPr="40FF4167">
        <w:rPr>
          <w:color w:val="000000" w:themeColor="text1"/>
        </w:rPr>
        <w:t xml:space="preserve"> exacerbate its impact.</w:t>
      </w:r>
    </w:p>
    <w:p w14:paraId="79E06B06" w14:textId="77777777" w:rsidR="00527E40" w:rsidRPr="00F52C8A" w:rsidRDefault="00527E40" w:rsidP="00F52C8A">
      <w:pPr>
        <w:rPr>
          <w:color w:val="000000"/>
        </w:rPr>
      </w:pPr>
    </w:p>
    <w:p w14:paraId="04B04045" w14:textId="19647A1C" w:rsidR="0053205B" w:rsidRDefault="31CE3021" w:rsidP="0053205B">
      <w:pPr>
        <w:pStyle w:val="ListParagraph"/>
        <w:numPr>
          <w:ilvl w:val="1"/>
          <w:numId w:val="15"/>
        </w:numPr>
        <w:spacing w:line="276" w:lineRule="auto"/>
        <w:ind w:left="709" w:hanging="709"/>
        <w:rPr>
          <w:color w:val="000000"/>
        </w:rPr>
      </w:pPr>
      <w:r>
        <w:rPr>
          <w:color w:val="000000"/>
        </w:rPr>
        <w:t>Further, t</w:t>
      </w:r>
      <w:r w:rsidR="73A22331">
        <w:rPr>
          <w:color w:val="000000"/>
        </w:rPr>
        <w:t>he</w:t>
      </w:r>
      <w:r w:rsidR="6CC69C3A" w:rsidRPr="00F9233D">
        <w:rPr>
          <w:color w:val="000000"/>
        </w:rPr>
        <w:t xml:space="preserve"> ICESCR Committee </w:t>
      </w:r>
      <w:r w:rsidR="201E0CE9">
        <w:rPr>
          <w:color w:val="000000"/>
        </w:rPr>
        <w:t>a</w:t>
      </w:r>
      <w:r w:rsidR="6CC69C3A" w:rsidRPr="00F9233D">
        <w:rPr>
          <w:color w:val="000000"/>
        </w:rPr>
        <w:t xml:space="preserve">dvise that </w:t>
      </w:r>
      <w:r w:rsidR="6CC69C3A">
        <w:rPr>
          <w:color w:val="000000"/>
        </w:rPr>
        <w:t>“</w:t>
      </w:r>
      <w:r w:rsidR="6CC69C3A">
        <w:t>beneficiaries should have physical access to the social security services in order to access benefits and information”.</w:t>
      </w:r>
      <w:r w:rsidR="00197E70">
        <w:rPr>
          <w:rStyle w:val="FootnoteReference"/>
        </w:rPr>
        <w:footnoteReference w:id="48"/>
      </w:r>
      <w:r w:rsidR="6CC69C3A">
        <w:t xml:space="preserve"> </w:t>
      </w:r>
      <w:r w:rsidR="5D41C547">
        <w:t>There are pre-existing accessibility issues around social security payments in NI, including substantial reliance on online interaction, lack of practice support, documentation requirements and bureaucratic delays.</w:t>
      </w:r>
      <w:r w:rsidR="008A73BB">
        <w:rPr>
          <w:rStyle w:val="FootnoteReference"/>
        </w:rPr>
        <w:footnoteReference w:id="49"/>
      </w:r>
      <w:r w:rsidR="5D41C547">
        <w:t xml:space="preserve"> Vulnerable groups are particularly impacted as a result, including people who may not use or access the internet, including rural communities without appropriate internet connection, people with disabilities</w:t>
      </w:r>
      <w:r w:rsidR="54009F24">
        <w:t>,</w:t>
      </w:r>
      <w:r w:rsidR="5D41C547">
        <w:t xml:space="preserve"> and refugees and those seeking asylum who may not have the required documentation.</w:t>
      </w:r>
      <w:r w:rsidR="008A73BB">
        <w:rPr>
          <w:rStyle w:val="FootnoteReference"/>
        </w:rPr>
        <w:footnoteReference w:id="50"/>
      </w:r>
    </w:p>
    <w:p w14:paraId="789E4DD6" w14:textId="77777777" w:rsidR="0053205B" w:rsidRDefault="0053205B" w:rsidP="0053205B">
      <w:pPr>
        <w:pStyle w:val="ListParagraph"/>
      </w:pPr>
    </w:p>
    <w:p w14:paraId="784F2DA4" w14:textId="7DEF97B6" w:rsidR="00197E70" w:rsidRPr="0053205B" w:rsidRDefault="00822413" w:rsidP="0053205B">
      <w:pPr>
        <w:pStyle w:val="ListParagraph"/>
        <w:numPr>
          <w:ilvl w:val="1"/>
          <w:numId w:val="15"/>
        </w:numPr>
        <w:spacing w:line="276" w:lineRule="auto"/>
        <w:ind w:left="709" w:hanging="709"/>
        <w:rPr>
          <w:color w:val="000000"/>
        </w:rPr>
      </w:pPr>
      <w:r>
        <w:rPr>
          <w:color w:val="000000"/>
        </w:rPr>
        <w:t>The</w:t>
      </w:r>
      <w:r w:rsidRPr="005B0F9A">
        <w:rPr>
          <w:color w:val="000000"/>
        </w:rPr>
        <w:t xml:space="preserve"> NIHRC is cautious about the consideration being given to reducing the overall size of the Departmental estate.</w:t>
      </w:r>
      <w:r>
        <w:rPr>
          <w:rStyle w:val="FootnoteReference"/>
          <w:color w:val="000000"/>
        </w:rPr>
        <w:footnoteReference w:id="51"/>
      </w:r>
      <w:r w:rsidRPr="005B0F9A">
        <w:rPr>
          <w:color w:val="000000"/>
        </w:rPr>
        <w:t xml:space="preserve"> </w:t>
      </w:r>
      <w:r w:rsidRPr="00B15A9D">
        <w:rPr>
          <w:color w:val="000000"/>
        </w:rPr>
        <w:t>While the cost-saving benefit of closing Departmental offices one day a week</w:t>
      </w:r>
      <w:r>
        <w:rPr>
          <w:color w:val="000000"/>
        </w:rPr>
        <w:t xml:space="preserve"> is acknowledged</w:t>
      </w:r>
      <w:r w:rsidRPr="00B15A9D">
        <w:rPr>
          <w:color w:val="000000"/>
        </w:rPr>
        <w:t>, the potential impact on front line customer service delivery needs to be carefully evaluated</w:t>
      </w:r>
      <w:r>
        <w:rPr>
          <w:color w:val="000000"/>
        </w:rPr>
        <w:t xml:space="preserve">. </w:t>
      </w:r>
      <w:r w:rsidR="00AE6E25">
        <w:t xml:space="preserve">Particular attention should be paid to persons with disabilities, migrants, </w:t>
      </w:r>
      <w:r w:rsidR="00605983">
        <w:t xml:space="preserve">older persons </w:t>
      </w:r>
      <w:r w:rsidR="00AE6E25">
        <w:t>and persons living in remote areas</w:t>
      </w:r>
      <w:r w:rsidR="00CF45E8">
        <w:t xml:space="preserve"> who</w:t>
      </w:r>
      <w:r w:rsidR="00292C1E">
        <w:t xml:space="preserve"> may require more face-to-face support and assistance</w:t>
      </w:r>
      <w:r w:rsidR="00CF45E8">
        <w:t>.</w:t>
      </w:r>
      <w:r w:rsidR="00DA6091">
        <w:t xml:space="preserve"> </w:t>
      </w:r>
      <w:r w:rsidR="00CF45E8">
        <w:t>Local</w:t>
      </w:r>
      <w:r w:rsidR="00AE6E25">
        <w:t xml:space="preserve"> access to </w:t>
      </w:r>
      <w:r w:rsidR="001431A0">
        <w:t>Jobs and Benefits offices</w:t>
      </w:r>
      <w:r w:rsidR="00DA6091">
        <w:t xml:space="preserve"> </w:t>
      </w:r>
      <w:r w:rsidR="007613AC">
        <w:t>should be protected</w:t>
      </w:r>
      <w:r w:rsidR="00CF45E8">
        <w:t xml:space="preserve"> to ensure such individuals do not </w:t>
      </w:r>
      <w:r w:rsidR="00665DC5">
        <w:t>have to travel further distances</w:t>
      </w:r>
      <w:r w:rsidR="00321794">
        <w:t xml:space="preserve">. </w:t>
      </w:r>
    </w:p>
    <w:p w14:paraId="5E30E3DC" w14:textId="77777777" w:rsidR="00EE722D" w:rsidRPr="00EE722D" w:rsidRDefault="00EE722D" w:rsidP="00EE722D">
      <w:pPr>
        <w:pStyle w:val="ListParagraph"/>
        <w:rPr>
          <w:color w:val="000000"/>
        </w:rPr>
      </w:pPr>
    </w:p>
    <w:p w14:paraId="4DBD7FE6" w14:textId="21AA4660" w:rsidR="00527E40" w:rsidRPr="00437D95" w:rsidRDefault="00736775" w:rsidP="00037A83">
      <w:pPr>
        <w:pStyle w:val="ListParagraph"/>
        <w:numPr>
          <w:ilvl w:val="1"/>
          <w:numId w:val="15"/>
        </w:numPr>
        <w:spacing w:line="276" w:lineRule="auto"/>
        <w:ind w:left="709" w:hanging="709"/>
        <w:rPr>
          <w:b/>
          <w:bCs/>
          <w:color w:val="000000"/>
        </w:rPr>
      </w:pPr>
      <w:r w:rsidRPr="00437D95">
        <w:rPr>
          <w:b/>
          <w:bCs/>
          <w:color w:val="000000"/>
        </w:rPr>
        <w:t xml:space="preserve">The NIHRC </w:t>
      </w:r>
      <w:r w:rsidR="001F79F1">
        <w:rPr>
          <w:b/>
          <w:bCs/>
          <w:color w:val="000000"/>
        </w:rPr>
        <w:t>recommend</w:t>
      </w:r>
      <w:r w:rsidR="000A4470">
        <w:rPr>
          <w:b/>
          <w:bCs/>
          <w:color w:val="000000"/>
        </w:rPr>
        <w:t>s</w:t>
      </w:r>
      <w:r w:rsidRPr="00437D95">
        <w:rPr>
          <w:b/>
          <w:bCs/>
          <w:color w:val="000000"/>
        </w:rPr>
        <w:t xml:space="preserve"> that</w:t>
      </w:r>
      <w:r w:rsidR="00C45109">
        <w:rPr>
          <w:b/>
          <w:bCs/>
          <w:color w:val="000000"/>
        </w:rPr>
        <w:t xml:space="preserve"> the Department for Communities prioritise </w:t>
      </w:r>
      <w:r w:rsidR="00C45109" w:rsidRPr="00C45109">
        <w:rPr>
          <w:b/>
          <w:bCs/>
          <w:color w:val="000000"/>
        </w:rPr>
        <w:t>taking effective</w:t>
      </w:r>
      <w:r w:rsidR="00C45109">
        <w:rPr>
          <w:b/>
          <w:bCs/>
          <w:color w:val="000000"/>
        </w:rPr>
        <w:t xml:space="preserve"> steps to</w:t>
      </w:r>
      <w:r w:rsidR="00C45109" w:rsidRPr="00C45109">
        <w:rPr>
          <w:b/>
          <w:bCs/>
          <w:color w:val="000000"/>
        </w:rPr>
        <w:t xml:space="preserve"> ensure that social security is </w:t>
      </w:r>
      <w:r w:rsidR="00C45109">
        <w:rPr>
          <w:b/>
          <w:bCs/>
          <w:color w:val="000000"/>
        </w:rPr>
        <w:t>adequate</w:t>
      </w:r>
      <w:r w:rsidR="004A2E63">
        <w:rPr>
          <w:b/>
          <w:bCs/>
          <w:color w:val="000000"/>
        </w:rPr>
        <w:t xml:space="preserve">, </w:t>
      </w:r>
      <w:r w:rsidR="00C45109" w:rsidRPr="00C45109">
        <w:rPr>
          <w:b/>
          <w:bCs/>
          <w:color w:val="000000"/>
        </w:rPr>
        <w:t>accessible</w:t>
      </w:r>
      <w:r w:rsidR="004A2E63">
        <w:rPr>
          <w:b/>
          <w:bCs/>
          <w:color w:val="000000"/>
        </w:rPr>
        <w:t xml:space="preserve"> and</w:t>
      </w:r>
      <w:r w:rsidR="00C45109" w:rsidRPr="00C45109">
        <w:rPr>
          <w:b/>
          <w:bCs/>
          <w:color w:val="000000"/>
        </w:rPr>
        <w:t xml:space="preserve"> promptly available</w:t>
      </w:r>
      <w:r w:rsidR="001F79F1">
        <w:rPr>
          <w:b/>
          <w:bCs/>
          <w:color w:val="000000"/>
        </w:rPr>
        <w:t xml:space="preserve"> across NI</w:t>
      </w:r>
      <w:r w:rsidR="00C45109" w:rsidRPr="00C45109">
        <w:rPr>
          <w:b/>
          <w:bCs/>
          <w:color w:val="000000"/>
        </w:rPr>
        <w:t>, and</w:t>
      </w:r>
      <w:r w:rsidR="003E4A42">
        <w:rPr>
          <w:b/>
          <w:bCs/>
          <w:color w:val="000000"/>
        </w:rPr>
        <w:t xml:space="preserve"> </w:t>
      </w:r>
      <w:r w:rsidR="008E1C78">
        <w:rPr>
          <w:b/>
          <w:bCs/>
          <w:color w:val="000000"/>
        </w:rPr>
        <w:t xml:space="preserve">the </w:t>
      </w:r>
      <w:r w:rsidR="00C45109" w:rsidRPr="00C45109">
        <w:rPr>
          <w:b/>
          <w:bCs/>
          <w:color w:val="000000"/>
        </w:rPr>
        <w:t>maximum available resources are used to guarantee an adequate standard of living to all recipients</w:t>
      </w:r>
      <w:r w:rsidR="004A2E63">
        <w:rPr>
          <w:b/>
          <w:bCs/>
          <w:color w:val="000000"/>
        </w:rPr>
        <w:t>.</w:t>
      </w:r>
    </w:p>
    <w:p w14:paraId="39236C59" w14:textId="77777777" w:rsidR="00305226" w:rsidRPr="00043EC3" w:rsidRDefault="00305226" w:rsidP="00673C37">
      <w:pPr>
        <w:pStyle w:val="ListParagraph"/>
        <w:ind w:hanging="709"/>
        <w:rPr>
          <w:color w:val="000000"/>
        </w:rPr>
      </w:pPr>
    </w:p>
    <w:p w14:paraId="5A1DFB87" w14:textId="645BBC42" w:rsidR="00256BA5" w:rsidRPr="00256BA5" w:rsidRDefault="0020011C" w:rsidP="004C774A">
      <w:pPr>
        <w:pStyle w:val="Heading2"/>
        <w:spacing w:line="276" w:lineRule="auto"/>
      </w:pPr>
      <w:bookmarkStart w:id="6" w:name="_Toc141088106"/>
      <w:r>
        <w:t>Discretionary Support Grants</w:t>
      </w:r>
      <w:bookmarkEnd w:id="6"/>
    </w:p>
    <w:p w14:paraId="6F715555" w14:textId="77777777" w:rsidR="0077600C" w:rsidRDefault="0077600C" w:rsidP="00B1627C">
      <w:pPr>
        <w:spacing w:line="276" w:lineRule="auto"/>
      </w:pPr>
    </w:p>
    <w:p w14:paraId="0FE98984" w14:textId="02F54757" w:rsidR="00D35BFB" w:rsidRDefault="0024053C" w:rsidP="00F101F9">
      <w:pPr>
        <w:pStyle w:val="ListParagraph"/>
        <w:numPr>
          <w:ilvl w:val="1"/>
          <w:numId w:val="15"/>
        </w:numPr>
        <w:spacing w:after="240" w:line="276" w:lineRule="auto"/>
        <w:ind w:left="709"/>
        <w:rPr>
          <w:color w:val="000000"/>
        </w:rPr>
      </w:pPr>
      <w:r w:rsidRPr="007E7542">
        <w:rPr>
          <w:color w:val="000000"/>
        </w:rPr>
        <w:t xml:space="preserve">Discretionary Support </w:t>
      </w:r>
      <w:r w:rsidR="006B1374" w:rsidRPr="007E7542">
        <w:rPr>
          <w:color w:val="000000"/>
        </w:rPr>
        <w:t xml:space="preserve">is a vital contingency measure for claimants </w:t>
      </w:r>
      <w:r w:rsidR="00F26B5B" w:rsidRPr="007E7542">
        <w:rPr>
          <w:color w:val="000000"/>
        </w:rPr>
        <w:t xml:space="preserve">who </w:t>
      </w:r>
      <w:r w:rsidR="0042291D">
        <w:rPr>
          <w:color w:val="000000"/>
        </w:rPr>
        <w:t>find</w:t>
      </w:r>
      <w:r w:rsidR="00F26B5B" w:rsidRPr="007E7542">
        <w:rPr>
          <w:color w:val="000000"/>
        </w:rPr>
        <w:t xml:space="preserve"> themselves in </w:t>
      </w:r>
      <w:r w:rsidR="008F22CD" w:rsidRPr="007E7542">
        <w:rPr>
          <w:color w:val="000000"/>
        </w:rPr>
        <w:t>extreme or crisis circumstance</w:t>
      </w:r>
      <w:r w:rsidR="00BD0B3B">
        <w:rPr>
          <w:color w:val="000000"/>
        </w:rPr>
        <w:t>s</w:t>
      </w:r>
      <w:r w:rsidR="000B3ECF">
        <w:rPr>
          <w:color w:val="000000"/>
        </w:rPr>
        <w:t xml:space="preserve"> and have little or no capacity to </w:t>
      </w:r>
      <w:r w:rsidR="00207590">
        <w:rPr>
          <w:color w:val="000000"/>
        </w:rPr>
        <w:t>meet basic needs</w:t>
      </w:r>
      <w:r w:rsidR="009322BB" w:rsidRPr="007E7542">
        <w:rPr>
          <w:color w:val="000000"/>
        </w:rPr>
        <w:t xml:space="preserve">. The Department’s Independent Review of Discretionary Support </w:t>
      </w:r>
      <w:r w:rsidR="009534F1" w:rsidRPr="007E7542">
        <w:rPr>
          <w:color w:val="000000"/>
        </w:rPr>
        <w:t xml:space="preserve">highlighted that it </w:t>
      </w:r>
      <w:r w:rsidR="00F87A5A" w:rsidRPr="007E7542">
        <w:rPr>
          <w:color w:val="000000"/>
        </w:rPr>
        <w:t>often makes the difference between someone living in or escaping from destitution</w:t>
      </w:r>
      <w:r w:rsidR="00F641F9">
        <w:rPr>
          <w:color w:val="000000"/>
        </w:rPr>
        <w:t>.</w:t>
      </w:r>
      <w:r w:rsidR="00F641F9">
        <w:rPr>
          <w:rStyle w:val="FootnoteReference"/>
        </w:rPr>
        <w:footnoteReference w:id="52"/>
      </w:r>
      <w:r w:rsidR="00F641F9" w:rsidRPr="007E7542">
        <w:rPr>
          <w:color w:val="000000"/>
        </w:rPr>
        <w:t xml:space="preserve"> </w:t>
      </w:r>
      <w:r w:rsidR="00F641F9">
        <w:rPr>
          <w:color w:val="000000"/>
        </w:rPr>
        <w:t xml:space="preserve">It </w:t>
      </w:r>
      <w:r w:rsidR="004A040C">
        <w:t>relate</w:t>
      </w:r>
      <w:r w:rsidR="00E0780F">
        <w:t>s</w:t>
      </w:r>
      <w:r w:rsidR="004A040C">
        <w:t xml:space="preserve"> to fundamental</w:t>
      </w:r>
      <w:r w:rsidR="00E0780F">
        <w:t xml:space="preserve"> needs</w:t>
      </w:r>
      <w:r w:rsidR="004A040C">
        <w:t xml:space="preserve"> </w:t>
      </w:r>
      <w:r w:rsidR="00E0780F">
        <w:t>for</w:t>
      </w:r>
      <w:r w:rsidR="004A040C">
        <w:t xml:space="preserve"> human survival</w:t>
      </w:r>
      <w:r w:rsidR="00E0780F">
        <w:t>, including</w:t>
      </w:r>
      <w:r w:rsidR="004A040C">
        <w:t xml:space="preserve"> food, clothing and a safe home.</w:t>
      </w:r>
      <w:r w:rsidR="004A040C">
        <w:rPr>
          <w:rStyle w:val="FootnoteReference"/>
        </w:rPr>
        <w:footnoteReference w:id="53"/>
      </w:r>
      <w:r w:rsidR="008F0773" w:rsidRPr="007E7542">
        <w:rPr>
          <w:color w:val="000000"/>
        </w:rPr>
        <w:t xml:space="preserve"> </w:t>
      </w:r>
      <w:r w:rsidR="00E45455">
        <w:rPr>
          <w:color w:val="000000"/>
        </w:rPr>
        <w:t>The Review concluded</w:t>
      </w:r>
      <w:r w:rsidR="00DA4ED3">
        <w:rPr>
          <w:color w:val="000000"/>
        </w:rPr>
        <w:t xml:space="preserve"> that</w:t>
      </w:r>
      <w:r w:rsidR="00E45455">
        <w:rPr>
          <w:color w:val="000000"/>
        </w:rPr>
        <w:t xml:space="preserve">, </w:t>
      </w:r>
    </w:p>
    <w:p w14:paraId="6F9D45EC" w14:textId="77777777" w:rsidR="00574B7B" w:rsidRPr="00D35BFB" w:rsidRDefault="00574B7B" w:rsidP="00574B7B">
      <w:pPr>
        <w:pStyle w:val="ListParagraph"/>
        <w:spacing w:after="240" w:line="276" w:lineRule="auto"/>
        <w:ind w:left="709"/>
        <w:rPr>
          <w:color w:val="000000"/>
        </w:rPr>
      </w:pPr>
    </w:p>
    <w:p w14:paraId="25E5657F" w14:textId="35B0F041" w:rsidR="00E45455" w:rsidRDefault="003E52CE" w:rsidP="00F101F9">
      <w:pPr>
        <w:pStyle w:val="ListParagraph"/>
        <w:spacing w:before="240" w:line="276" w:lineRule="auto"/>
        <w:ind w:left="1440"/>
        <w:rPr>
          <w:color w:val="000000"/>
        </w:rPr>
      </w:pPr>
      <w:r>
        <w:rPr>
          <w:color w:val="000000"/>
        </w:rPr>
        <w:t xml:space="preserve">The need for Discretionary Support is likely to increase because too many individuals are unable to meet their essential needs from the </w:t>
      </w:r>
      <w:proofErr w:type="gramStart"/>
      <w:r>
        <w:rPr>
          <w:color w:val="000000"/>
        </w:rPr>
        <w:t>income</w:t>
      </w:r>
      <w:proofErr w:type="gramEnd"/>
      <w:r>
        <w:rPr>
          <w:color w:val="000000"/>
        </w:rPr>
        <w:t xml:space="preserve"> they receive through social security benefits or employment and so they remain at high risk of destitution.</w:t>
      </w:r>
      <w:r>
        <w:rPr>
          <w:rStyle w:val="FootnoteReference"/>
          <w:color w:val="000000"/>
        </w:rPr>
        <w:footnoteReference w:id="54"/>
      </w:r>
    </w:p>
    <w:p w14:paraId="5078B6C1" w14:textId="77777777" w:rsidR="00DF02AD" w:rsidRDefault="00DF02AD" w:rsidP="00DF02AD">
      <w:pPr>
        <w:pStyle w:val="ListParagraph"/>
        <w:spacing w:line="276" w:lineRule="auto"/>
        <w:ind w:left="709"/>
        <w:rPr>
          <w:color w:val="000000"/>
        </w:rPr>
      </w:pPr>
    </w:p>
    <w:p w14:paraId="7232FDCE" w14:textId="600F2C86" w:rsidR="00607669" w:rsidRPr="00607669" w:rsidRDefault="005F6A55" w:rsidP="000F0BF4">
      <w:pPr>
        <w:pStyle w:val="ListParagraph"/>
        <w:numPr>
          <w:ilvl w:val="1"/>
          <w:numId w:val="15"/>
        </w:numPr>
        <w:spacing w:line="276" w:lineRule="auto"/>
        <w:ind w:left="709"/>
        <w:rPr>
          <w:color w:val="000000"/>
        </w:rPr>
      </w:pPr>
      <w:r>
        <w:rPr>
          <w:color w:val="000000"/>
        </w:rPr>
        <w:t>The NIHRC</w:t>
      </w:r>
      <w:r w:rsidR="005133EF">
        <w:rPr>
          <w:color w:val="000000"/>
        </w:rPr>
        <w:t xml:space="preserve"> </w:t>
      </w:r>
      <w:r w:rsidR="00C90869">
        <w:rPr>
          <w:color w:val="000000"/>
        </w:rPr>
        <w:t xml:space="preserve">is therefore deeply concerned by the </w:t>
      </w:r>
      <w:r w:rsidR="00F6749D">
        <w:rPr>
          <w:color w:val="000000"/>
        </w:rPr>
        <w:t xml:space="preserve">cuts to the </w:t>
      </w:r>
      <w:r w:rsidR="000C1ED8">
        <w:rPr>
          <w:color w:val="000000"/>
        </w:rPr>
        <w:t>Discretionary Support Grants scheme</w:t>
      </w:r>
      <w:r w:rsidR="004D1090">
        <w:rPr>
          <w:color w:val="000000"/>
        </w:rPr>
        <w:t>.</w:t>
      </w:r>
      <w:r w:rsidR="00B7497B">
        <w:rPr>
          <w:color w:val="000000"/>
        </w:rPr>
        <w:t xml:space="preserve"> Individuals with the lowest incomes</w:t>
      </w:r>
      <w:r w:rsidR="00440041">
        <w:rPr>
          <w:color w:val="000000"/>
        </w:rPr>
        <w:t xml:space="preserve"> are most likely to </w:t>
      </w:r>
      <w:r w:rsidR="00C8158D">
        <w:rPr>
          <w:color w:val="000000"/>
        </w:rPr>
        <w:t>need</w:t>
      </w:r>
      <w:r w:rsidR="00440041">
        <w:rPr>
          <w:color w:val="000000"/>
        </w:rPr>
        <w:t xml:space="preserve"> </w:t>
      </w:r>
      <w:r w:rsidR="00D377C0">
        <w:rPr>
          <w:color w:val="000000"/>
        </w:rPr>
        <w:t xml:space="preserve">this </w:t>
      </w:r>
      <w:r w:rsidR="00D07C28">
        <w:rPr>
          <w:color w:val="000000"/>
        </w:rPr>
        <w:t>contingency measure</w:t>
      </w:r>
      <w:r w:rsidR="00D377C0">
        <w:rPr>
          <w:color w:val="000000"/>
        </w:rPr>
        <w:t xml:space="preserve">, in particular </w:t>
      </w:r>
      <w:r w:rsidR="00602EE8">
        <w:t>lone parents, families with children and households with disabled people.</w:t>
      </w:r>
      <w:r w:rsidR="00602EE8">
        <w:rPr>
          <w:rStyle w:val="FootnoteReference"/>
        </w:rPr>
        <w:footnoteReference w:id="55"/>
      </w:r>
      <w:r w:rsidR="004D1090">
        <w:rPr>
          <w:color w:val="000000"/>
        </w:rPr>
        <w:t xml:space="preserve"> </w:t>
      </w:r>
      <w:r w:rsidR="007C5E86">
        <w:rPr>
          <w:color w:val="000000"/>
        </w:rPr>
        <w:t>These</w:t>
      </w:r>
      <w:r w:rsidR="00517306">
        <w:rPr>
          <w:color w:val="000000"/>
        </w:rPr>
        <w:t xml:space="preserve"> grants act as a </w:t>
      </w:r>
      <w:r w:rsidR="007C5E86">
        <w:rPr>
          <w:color w:val="000000"/>
        </w:rPr>
        <w:t>final safety net</w:t>
      </w:r>
      <w:r w:rsidR="00C64075">
        <w:rPr>
          <w:color w:val="000000"/>
        </w:rPr>
        <w:t xml:space="preserve"> </w:t>
      </w:r>
      <w:r w:rsidR="00DA290F">
        <w:rPr>
          <w:color w:val="000000"/>
        </w:rPr>
        <w:t>to those with limited financial resilience</w:t>
      </w:r>
      <w:r w:rsidR="00773ABC">
        <w:rPr>
          <w:color w:val="000000"/>
        </w:rPr>
        <w:t xml:space="preserve">, </w:t>
      </w:r>
      <w:r w:rsidR="00286D5B">
        <w:t>it will</w:t>
      </w:r>
      <w:r w:rsidR="00773ABC">
        <w:t xml:space="preserve"> therefore</w:t>
      </w:r>
      <w:r w:rsidR="00286D5B">
        <w:t xml:space="preserve"> have a substantial </w:t>
      </w:r>
      <w:r w:rsidR="00735FC9">
        <w:t>impact</w:t>
      </w:r>
      <w:r w:rsidR="00286D5B">
        <w:t xml:space="preserve"> </w:t>
      </w:r>
      <w:r w:rsidR="00773ABC">
        <w:t xml:space="preserve">to their </w:t>
      </w:r>
      <w:r w:rsidR="00E929BF">
        <w:t>ability to meet basic needs</w:t>
      </w:r>
      <w:r w:rsidR="0096099E">
        <w:rPr>
          <w:color w:val="000000"/>
        </w:rPr>
        <w:t xml:space="preserve"> if this </w:t>
      </w:r>
      <w:r w:rsidR="0096099E">
        <w:t>access is reduced.</w:t>
      </w:r>
    </w:p>
    <w:p w14:paraId="0A666D5F" w14:textId="77777777" w:rsidR="00607669" w:rsidRPr="00607669" w:rsidRDefault="00607669" w:rsidP="00607669">
      <w:pPr>
        <w:pStyle w:val="ListParagraph"/>
        <w:spacing w:line="276" w:lineRule="auto"/>
        <w:ind w:left="709"/>
        <w:rPr>
          <w:color w:val="000000"/>
        </w:rPr>
      </w:pPr>
    </w:p>
    <w:p w14:paraId="60A5BF80" w14:textId="259442C8" w:rsidR="00444791" w:rsidRPr="00444791" w:rsidRDefault="00EE59F6" w:rsidP="00444791">
      <w:pPr>
        <w:pStyle w:val="ListParagraph"/>
        <w:numPr>
          <w:ilvl w:val="1"/>
          <w:numId w:val="15"/>
        </w:numPr>
        <w:spacing w:line="276" w:lineRule="auto"/>
        <w:ind w:left="709"/>
        <w:rPr>
          <w:color w:val="000000"/>
        </w:rPr>
      </w:pPr>
      <w:r>
        <w:t xml:space="preserve">Where </w:t>
      </w:r>
      <w:r w:rsidR="00642575">
        <w:t xml:space="preserve">a certain level of severity is reached, </w:t>
      </w:r>
      <w:r w:rsidR="003617DA">
        <w:t xml:space="preserve">a lack of </w:t>
      </w:r>
      <w:r>
        <w:t xml:space="preserve">adequate </w:t>
      </w:r>
      <w:r w:rsidR="003617DA">
        <w:t xml:space="preserve">provision </w:t>
      </w:r>
      <w:r w:rsidR="004A1E30">
        <w:t xml:space="preserve">of social security or social insurance </w:t>
      </w:r>
      <w:r w:rsidR="003617DA">
        <w:t>could</w:t>
      </w:r>
      <w:r w:rsidR="008A1274">
        <w:t xml:space="preserve"> fall within scope of </w:t>
      </w:r>
      <w:r w:rsidR="00E929BF">
        <w:t xml:space="preserve">obligations </w:t>
      </w:r>
      <w:r w:rsidR="0027584C">
        <w:t xml:space="preserve">under </w:t>
      </w:r>
      <w:r w:rsidR="008A1274">
        <w:t xml:space="preserve">Article 3 of </w:t>
      </w:r>
      <w:r w:rsidR="00735FC9">
        <w:t>ECHR</w:t>
      </w:r>
      <w:r w:rsidR="00783DBC">
        <w:t xml:space="preserve"> (prohibition of </w:t>
      </w:r>
      <w:r w:rsidR="000F0BF4">
        <w:t>inhuman or degrading treatment</w:t>
      </w:r>
      <w:r w:rsidR="00783DBC">
        <w:t>) and Article 8 of ECHR (private and family life)</w:t>
      </w:r>
      <w:r w:rsidR="000F0BF4">
        <w:t xml:space="preserve">. </w:t>
      </w:r>
      <w:r w:rsidR="00864CA3">
        <w:t xml:space="preserve">Article 3 is </w:t>
      </w:r>
      <w:r w:rsidR="00761142">
        <w:t xml:space="preserve">an </w:t>
      </w:r>
      <w:r w:rsidR="00864CA3">
        <w:t>absolute and non-</w:t>
      </w:r>
      <w:proofErr w:type="spellStart"/>
      <w:r w:rsidR="00864CA3">
        <w:t>derogable</w:t>
      </w:r>
      <w:proofErr w:type="spellEnd"/>
      <w:r w:rsidR="00761142">
        <w:t xml:space="preserve"> right</w:t>
      </w:r>
      <w:r w:rsidR="00864CA3">
        <w:t xml:space="preserve"> (i.e. cannot be inter</w:t>
      </w:r>
      <w:r w:rsidR="00AD74B0">
        <w:t>fer</w:t>
      </w:r>
      <w:r w:rsidR="00864CA3">
        <w:t>ed with in any circumstances</w:t>
      </w:r>
      <w:r w:rsidR="00AD74B0">
        <w:t>) and is guaranteed “irrespective of the victims’ conduct”.</w:t>
      </w:r>
      <w:r w:rsidR="00AD74B0">
        <w:rPr>
          <w:rStyle w:val="FootnoteReference"/>
        </w:rPr>
        <w:footnoteReference w:id="56"/>
      </w:r>
      <w:r w:rsidR="000927C1">
        <w:t xml:space="preserve"> Article 3 could be engaged where extreme poverty, amounting to destitution, has arisen due to a State’s actions or inactions.</w:t>
      </w:r>
      <w:r w:rsidR="000927C1">
        <w:rPr>
          <w:rStyle w:val="FootnoteReference"/>
        </w:rPr>
        <w:footnoteReference w:id="57"/>
      </w:r>
      <w:r w:rsidR="000927C1">
        <w:t xml:space="preserve"> </w:t>
      </w:r>
      <w:r w:rsidR="000F0BF4">
        <w:t>T</w:t>
      </w:r>
      <w:r w:rsidR="00222EAA" w:rsidRPr="000F0BF4">
        <w:rPr>
          <w:color w:val="000000"/>
        </w:rPr>
        <w:t xml:space="preserve">he European Court of Human Rights (ECtHR) </w:t>
      </w:r>
      <w:r w:rsidR="00DF02AD" w:rsidRPr="000F0BF4">
        <w:rPr>
          <w:color w:val="000000"/>
        </w:rPr>
        <w:t xml:space="preserve">has </w:t>
      </w:r>
      <w:r w:rsidR="00A42329">
        <w:rPr>
          <w:color w:val="000000"/>
        </w:rPr>
        <w:t>established</w:t>
      </w:r>
      <w:r w:rsidR="00DF02AD" w:rsidRPr="000F0BF4">
        <w:rPr>
          <w:color w:val="000000"/>
        </w:rPr>
        <w:t xml:space="preserve"> that </w:t>
      </w:r>
      <w:r w:rsidR="00222EAA">
        <w:t>“a complaint about a wholly insufficient amount of social benefits may, in principle, raise an issue under Article 3”.</w:t>
      </w:r>
      <w:r w:rsidR="00DF02AD">
        <w:rPr>
          <w:rStyle w:val="FootnoteReference"/>
        </w:rPr>
        <w:footnoteReference w:id="58"/>
      </w:r>
      <w:r w:rsidR="00607669">
        <w:t xml:space="preserve"> </w:t>
      </w:r>
    </w:p>
    <w:p w14:paraId="51B088C9" w14:textId="77777777" w:rsidR="00444791" w:rsidRDefault="00444791" w:rsidP="00444791">
      <w:pPr>
        <w:pStyle w:val="ListParagraph"/>
      </w:pPr>
    </w:p>
    <w:p w14:paraId="7AA19EA8" w14:textId="4416DBC8" w:rsidR="00444791" w:rsidRPr="00444791" w:rsidRDefault="00444791" w:rsidP="00444791">
      <w:pPr>
        <w:pStyle w:val="ListParagraph"/>
        <w:numPr>
          <w:ilvl w:val="1"/>
          <w:numId w:val="15"/>
        </w:numPr>
        <w:spacing w:line="276" w:lineRule="auto"/>
        <w:ind w:left="709"/>
        <w:rPr>
          <w:color w:val="000000"/>
        </w:rPr>
      </w:pPr>
      <w:r>
        <w:t>Article 8 is qualified and can be limited in certain circumstances</w:t>
      </w:r>
      <w:r w:rsidR="008D6146">
        <w:t>.</w:t>
      </w:r>
      <w:r w:rsidR="008D6146">
        <w:rPr>
          <w:rStyle w:val="FootnoteReference"/>
        </w:rPr>
        <w:footnoteReference w:id="59"/>
      </w:r>
      <w:r w:rsidR="005E2092">
        <w:t xml:space="preserve"> An interference with this right may be justified if the State’s acts or inaction were lawful, served a legitimate aim and were proportionate.</w:t>
      </w:r>
      <w:r w:rsidR="005E2092">
        <w:rPr>
          <w:rStyle w:val="FootnoteReference"/>
        </w:rPr>
        <w:footnoteReference w:id="60"/>
      </w:r>
      <w:r w:rsidR="00444F74">
        <w:t xml:space="preserve"> In </w:t>
      </w:r>
      <w:r w:rsidR="00444F74" w:rsidRPr="00444F74">
        <w:rPr>
          <w:i/>
          <w:iCs/>
        </w:rPr>
        <w:t>R (Bernard) v Enfield London Borough</w:t>
      </w:r>
      <w:r w:rsidR="00444F74">
        <w:t>, the High Court stated there must be “a singular lack of respect for the claimant’s private and family life”, such as condemning the claimant to “living conditions which made it virtually impossible for them to have any meaningful private or family life for the purposes of Article 8”.</w:t>
      </w:r>
      <w:r w:rsidR="00444F74">
        <w:rPr>
          <w:rStyle w:val="FootnoteReference"/>
        </w:rPr>
        <w:footnoteReference w:id="61"/>
      </w:r>
    </w:p>
    <w:p w14:paraId="7A889754" w14:textId="77777777" w:rsidR="00BE1EDF" w:rsidRDefault="00BE1EDF" w:rsidP="00BE1EDF">
      <w:pPr>
        <w:pStyle w:val="ListParagraph"/>
      </w:pPr>
    </w:p>
    <w:p w14:paraId="47335CBC" w14:textId="68F8F0A7" w:rsidR="00222EAA" w:rsidRPr="000F0BF4" w:rsidRDefault="00662D34" w:rsidP="000F0BF4">
      <w:pPr>
        <w:pStyle w:val="ListParagraph"/>
        <w:numPr>
          <w:ilvl w:val="1"/>
          <w:numId w:val="15"/>
        </w:numPr>
        <w:spacing w:line="276" w:lineRule="auto"/>
        <w:ind w:left="709"/>
        <w:rPr>
          <w:color w:val="000000"/>
        </w:rPr>
      </w:pPr>
      <w:r>
        <w:t>Corresponding</w:t>
      </w:r>
      <w:r w:rsidR="00787F4B">
        <w:t xml:space="preserve"> </w:t>
      </w:r>
      <w:r w:rsidR="00445097">
        <w:t xml:space="preserve">international </w:t>
      </w:r>
      <w:r w:rsidR="006414B1">
        <w:t>obligations under UN CRC,</w:t>
      </w:r>
      <w:r w:rsidR="006A23FA">
        <w:rPr>
          <w:rStyle w:val="FootnoteReference"/>
        </w:rPr>
        <w:footnoteReference w:id="62"/>
      </w:r>
      <w:r w:rsidR="006414B1">
        <w:t xml:space="preserve"> UN CEDAW</w:t>
      </w:r>
      <w:r w:rsidR="006A23FA">
        <w:rPr>
          <w:rStyle w:val="FootnoteReference"/>
        </w:rPr>
        <w:footnoteReference w:id="63"/>
      </w:r>
      <w:r w:rsidR="00B126B9">
        <w:t xml:space="preserve"> and UN CRPD</w:t>
      </w:r>
      <w:r w:rsidR="006A23FA">
        <w:rPr>
          <w:rStyle w:val="FootnoteReference"/>
        </w:rPr>
        <w:footnoteReference w:id="64"/>
      </w:r>
      <w:r w:rsidR="00B126B9">
        <w:t xml:space="preserve"> </w:t>
      </w:r>
      <w:r>
        <w:t xml:space="preserve">reinforce </w:t>
      </w:r>
      <w:r w:rsidR="00B126B9">
        <w:t xml:space="preserve">the </w:t>
      </w:r>
      <w:r w:rsidR="004F2E5C">
        <w:t xml:space="preserve">need </w:t>
      </w:r>
      <w:r w:rsidR="00B126B9">
        <w:t xml:space="preserve">to take </w:t>
      </w:r>
      <w:r w:rsidR="00FD445A">
        <w:t>targeted measures to</w:t>
      </w:r>
      <w:r w:rsidR="004F2E5C">
        <w:t xml:space="preserve"> prohibit inhuman and degrading treatment</w:t>
      </w:r>
      <w:r w:rsidR="00017FE8">
        <w:t xml:space="preserve"> and </w:t>
      </w:r>
      <w:r w:rsidR="001706D0">
        <w:t>protect the right</w:t>
      </w:r>
      <w:r w:rsidR="00017FE8">
        <w:t xml:space="preserve"> to an </w:t>
      </w:r>
      <w:r w:rsidR="004F2E5C">
        <w:t>adequate standard of living.</w:t>
      </w:r>
    </w:p>
    <w:p w14:paraId="22678088" w14:textId="77777777" w:rsidR="007E7542" w:rsidRPr="00B126B9" w:rsidRDefault="007E7542" w:rsidP="00B126B9">
      <w:pPr>
        <w:spacing w:line="276" w:lineRule="auto"/>
        <w:rPr>
          <w:color w:val="000000"/>
        </w:rPr>
      </w:pPr>
    </w:p>
    <w:p w14:paraId="553B6DAC" w14:textId="6DF0FB7C" w:rsidR="00043EC3" w:rsidRPr="003B104B" w:rsidRDefault="004439CC">
      <w:pPr>
        <w:pStyle w:val="ListParagraph"/>
        <w:numPr>
          <w:ilvl w:val="1"/>
          <w:numId w:val="15"/>
        </w:numPr>
        <w:spacing w:line="276" w:lineRule="auto"/>
        <w:ind w:left="709"/>
        <w:rPr>
          <w:color w:val="000000"/>
        </w:rPr>
      </w:pPr>
      <w:r>
        <w:t>The NIHRC welcome</w:t>
      </w:r>
      <w:r w:rsidR="00CC3A14">
        <w:t>s</w:t>
      </w:r>
      <w:r>
        <w:t xml:space="preserve"> the Department’s </w:t>
      </w:r>
      <w:r w:rsidR="003743CD">
        <w:t xml:space="preserve">commitment to </w:t>
      </w:r>
      <w:r w:rsidR="00883A93">
        <w:t xml:space="preserve">continuous review of this proposal </w:t>
      </w:r>
      <w:r w:rsidR="003743CD">
        <w:t xml:space="preserve">and </w:t>
      </w:r>
      <w:r w:rsidR="00883A93">
        <w:t xml:space="preserve">the anticipated </w:t>
      </w:r>
      <w:r>
        <w:t xml:space="preserve">EQIA </w:t>
      </w:r>
      <w:r w:rsidR="00883A93">
        <w:t xml:space="preserve">specifically </w:t>
      </w:r>
      <w:r w:rsidR="00016584">
        <w:t>for Discretionary Support</w:t>
      </w:r>
      <w:r w:rsidR="00883A93">
        <w:t>.</w:t>
      </w:r>
      <w:r w:rsidR="007730DA">
        <w:rPr>
          <w:rStyle w:val="FootnoteReference"/>
        </w:rPr>
        <w:footnoteReference w:id="65"/>
      </w:r>
      <w:r w:rsidR="00883A93">
        <w:t xml:space="preserve"> </w:t>
      </w:r>
      <w:r w:rsidR="002C03E4">
        <w:t>As part of its review and i</w:t>
      </w:r>
      <w:r w:rsidR="00455C7D">
        <w:t>n accordance with the recommendation at paragraph 3.12, t</w:t>
      </w:r>
      <w:r w:rsidR="00834DB4">
        <w:t xml:space="preserve">he NIHRC </w:t>
      </w:r>
      <w:r w:rsidR="00A92A51">
        <w:t>reiterate the importance of</w:t>
      </w:r>
      <w:r w:rsidR="00834DB4">
        <w:t xml:space="preserve"> </w:t>
      </w:r>
      <w:r w:rsidR="00A92A51">
        <w:t>examining</w:t>
      </w:r>
      <w:r w:rsidR="00834DB4">
        <w:t xml:space="preserve"> the human rights implications of </w:t>
      </w:r>
      <w:r w:rsidR="00A92A51">
        <w:t>the reductions to</w:t>
      </w:r>
      <w:r w:rsidR="00455C7D">
        <w:t xml:space="preserve"> Discretionary Support</w:t>
      </w:r>
      <w:r w:rsidR="00524877">
        <w:t>.</w:t>
      </w:r>
    </w:p>
    <w:p w14:paraId="6D60A20C" w14:textId="77777777" w:rsidR="003B104B" w:rsidRPr="006E723D" w:rsidRDefault="003B104B" w:rsidP="003B104B">
      <w:pPr>
        <w:pStyle w:val="ListParagraph"/>
        <w:spacing w:line="276" w:lineRule="auto"/>
        <w:ind w:left="709"/>
        <w:rPr>
          <w:color w:val="000000"/>
        </w:rPr>
      </w:pPr>
    </w:p>
    <w:p w14:paraId="384973CD" w14:textId="6C8E833F" w:rsidR="003B104B" w:rsidRDefault="000200C8" w:rsidP="003B104B">
      <w:pPr>
        <w:pStyle w:val="ListParagraph"/>
        <w:numPr>
          <w:ilvl w:val="1"/>
          <w:numId w:val="15"/>
        </w:numPr>
        <w:spacing w:line="276" w:lineRule="auto"/>
        <w:ind w:left="709"/>
        <w:rPr>
          <w:b/>
          <w:bCs/>
          <w:color w:val="000000"/>
        </w:rPr>
      </w:pPr>
      <w:r w:rsidRPr="003B104B">
        <w:rPr>
          <w:b/>
          <w:bCs/>
          <w:color w:val="000000"/>
        </w:rPr>
        <w:t>The NIHRC recommends that the Department for Communities</w:t>
      </w:r>
      <w:r w:rsidR="00682858">
        <w:rPr>
          <w:b/>
          <w:bCs/>
          <w:color w:val="000000"/>
        </w:rPr>
        <w:t xml:space="preserve"> </w:t>
      </w:r>
      <w:r w:rsidR="003949DE">
        <w:rPr>
          <w:b/>
          <w:bCs/>
          <w:color w:val="000000"/>
        </w:rPr>
        <w:t xml:space="preserve">prioritises </w:t>
      </w:r>
      <w:r w:rsidR="00435936">
        <w:rPr>
          <w:b/>
          <w:bCs/>
          <w:color w:val="000000"/>
        </w:rPr>
        <w:t xml:space="preserve">the </w:t>
      </w:r>
      <w:r w:rsidR="00C300E4" w:rsidRPr="003B104B">
        <w:rPr>
          <w:b/>
          <w:bCs/>
          <w:color w:val="000000"/>
        </w:rPr>
        <w:t>Discretionary Support</w:t>
      </w:r>
      <w:r w:rsidR="009F02BA" w:rsidRPr="003B104B">
        <w:rPr>
          <w:b/>
          <w:bCs/>
          <w:color w:val="000000"/>
        </w:rPr>
        <w:t xml:space="preserve"> </w:t>
      </w:r>
      <w:r w:rsidR="00435936">
        <w:rPr>
          <w:b/>
          <w:bCs/>
          <w:color w:val="000000"/>
        </w:rPr>
        <w:t xml:space="preserve">Grants scheme </w:t>
      </w:r>
      <w:r w:rsidR="00141993">
        <w:rPr>
          <w:b/>
          <w:bCs/>
          <w:color w:val="000000"/>
        </w:rPr>
        <w:t xml:space="preserve">to ensure </w:t>
      </w:r>
      <w:r w:rsidR="00713EED">
        <w:rPr>
          <w:b/>
          <w:bCs/>
          <w:color w:val="000000"/>
        </w:rPr>
        <w:t>resources adequately meet need</w:t>
      </w:r>
      <w:r w:rsidR="0021778F">
        <w:rPr>
          <w:b/>
          <w:bCs/>
          <w:color w:val="000000"/>
        </w:rPr>
        <w:t xml:space="preserve"> and</w:t>
      </w:r>
      <w:r w:rsidR="00803B39">
        <w:rPr>
          <w:b/>
          <w:bCs/>
          <w:color w:val="000000"/>
        </w:rPr>
        <w:t xml:space="preserve"> </w:t>
      </w:r>
      <w:r w:rsidR="00726864">
        <w:rPr>
          <w:b/>
          <w:bCs/>
          <w:color w:val="000000"/>
        </w:rPr>
        <w:t>ensure</w:t>
      </w:r>
      <w:r w:rsidR="00803B39">
        <w:rPr>
          <w:b/>
          <w:bCs/>
          <w:color w:val="000000"/>
        </w:rPr>
        <w:t xml:space="preserve"> compliance with </w:t>
      </w:r>
      <w:r w:rsidR="002311AE">
        <w:rPr>
          <w:b/>
          <w:bCs/>
          <w:color w:val="000000"/>
        </w:rPr>
        <w:t>international</w:t>
      </w:r>
      <w:r w:rsidR="00DF59D0">
        <w:rPr>
          <w:b/>
          <w:bCs/>
          <w:color w:val="000000"/>
        </w:rPr>
        <w:t xml:space="preserve"> human rights obligation</w:t>
      </w:r>
      <w:r w:rsidR="00726864">
        <w:rPr>
          <w:b/>
          <w:bCs/>
          <w:color w:val="000000"/>
        </w:rPr>
        <w:t xml:space="preserve">s, particularly Article </w:t>
      </w:r>
      <w:r w:rsidR="00AA3AB2">
        <w:rPr>
          <w:b/>
          <w:bCs/>
          <w:color w:val="000000"/>
        </w:rPr>
        <w:t>3 and Article 8 of the European Convention on Human Rights.</w:t>
      </w:r>
    </w:p>
    <w:p w14:paraId="66C8E020" w14:textId="77777777" w:rsidR="001736C5" w:rsidRPr="001736C5" w:rsidRDefault="001736C5" w:rsidP="001736C5">
      <w:pPr>
        <w:pStyle w:val="ListParagraph"/>
        <w:rPr>
          <w:b/>
          <w:bCs/>
          <w:color w:val="000000"/>
        </w:rPr>
      </w:pPr>
    </w:p>
    <w:p w14:paraId="0D341C07" w14:textId="77777777" w:rsidR="001736C5" w:rsidRDefault="001736C5" w:rsidP="001736C5">
      <w:pPr>
        <w:pStyle w:val="Heading2"/>
      </w:pPr>
      <w:bookmarkStart w:id="7" w:name="_Toc141088107"/>
      <w:r>
        <w:t>Welfare Mitigations</w:t>
      </w:r>
      <w:bookmarkEnd w:id="7"/>
      <w:r>
        <w:t xml:space="preserve"> </w:t>
      </w:r>
    </w:p>
    <w:p w14:paraId="2323DED5" w14:textId="77777777" w:rsidR="001736C5" w:rsidRPr="00274769" w:rsidRDefault="001736C5" w:rsidP="001736C5"/>
    <w:p w14:paraId="32286440" w14:textId="77777777" w:rsidR="001736C5" w:rsidRDefault="001736C5" w:rsidP="001736C5">
      <w:pPr>
        <w:pStyle w:val="ListParagraph"/>
        <w:numPr>
          <w:ilvl w:val="1"/>
          <w:numId w:val="15"/>
        </w:numPr>
        <w:spacing w:line="276" w:lineRule="auto"/>
        <w:ind w:left="709" w:hanging="709"/>
        <w:rPr>
          <w:color w:val="000000"/>
        </w:rPr>
      </w:pPr>
      <w:r w:rsidRPr="00C81D1E">
        <w:rPr>
          <w:color w:val="000000"/>
        </w:rPr>
        <w:t>In 2016, the ICESCR Committee highlighted its concerns that social security reforms in the UK were having a disproportionate, adverse impact on the enjoyment of rights by marginalised groups, particularly women, children and persons with disabilities.</w:t>
      </w:r>
      <w:r w:rsidRPr="00220DD9">
        <w:rPr>
          <w:rStyle w:val="FootnoteReference"/>
          <w:color w:val="000000"/>
        </w:rPr>
        <w:footnoteReference w:id="66"/>
      </w:r>
      <w:r w:rsidRPr="00C81D1E">
        <w:rPr>
          <w:color w:val="000000"/>
        </w:rPr>
        <w:t xml:space="preserve"> The Committee reminded the UK Government and NI Executive of obligations under Article 2 of ICESCR, and noted that any policies or measures enacted to manage a period of crisis must be “</w:t>
      </w:r>
      <w:r w:rsidRPr="00C81D1E">
        <w:rPr>
          <w:bCs/>
          <w:color w:val="000000"/>
        </w:rPr>
        <w:t>temporary, necessary, proportionate and not discriminatory, must not disproportionately affect the rights of disadvantaged and marginalised individuals and groups and respect the core content of rights</w:t>
      </w:r>
      <w:r w:rsidRPr="00C81D1E">
        <w:rPr>
          <w:color w:val="000000"/>
        </w:rPr>
        <w:t>”.</w:t>
      </w:r>
      <w:r>
        <w:rPr>
          <w:rStyle w:val="FootnoteReference"/>
          <w:color w:val="000000"/>
        </w:rPr>
        <w:footnoteReference w:id="67"/>
      </w:r>
      <w:r w:rsidRPr="00C81D1E">
        <w:rPr>
          <w:color w:val="000000"/>
        </w:rPr>
        <w:t xml:space="preserve"> </w:t>
      </w:r>
    </w:p>
    <w:p w14:paraId="77F46746" w14:textId="77777777" w:rsidR="006F2B5A" w:rsidRDefault="006F2B5A" w:rsidP="006F2B5A">
      <w:pPr>
        <w:pStyle w:val="ListParagraph"/>
        <w:spacing w:line="276" w:lineRule="auto"/>
        <w:ind w:left="709"/>
        <w:rPr>
          <w:color w:val="000000"/>
        </w:rPr>
      </w:pPr>
    </w:p>
    <w:p w14:paraId="2D35A527" w14:textId="77777777" w:rsidR="00F75C92" w:rsidRDefault="0053124C" w:rsidP="001736C5">
      <w:pPr>
        <w:pStyle w:val="ListParagraph"/>
        <w:numPr>
          <w:ilvl w:val="1"/>
          <w:numId w:val="15"/>
        </w:numPr>
        <w:spacing w:line="276" w:lineRule="auto"/>
        <w:ind w:left="709" w:hanging="709"/>
        <w:rPr>
          <w:color w:val="000000"/>
        </w:rPr>
      </w:pPr>
      <w:r>
        <w:rPr>
          <w:color w:val="000000"/>
        </w:rPr>
        <w:t>In 2016, the UN CRC Committee recommended that the UK Government</w:t>
      </w:r>
      <w:r w:rsidR="00F75C92">
        <w:rPr>
          <w:color w:val="000000"/>
        </w:rPr>
        <w:t xml:space="preserve">, </w:t>
      </w:r>
    </w:p>
    <w:p w14:paraId="33A151E6" w14:textId="77777777" w:rsidR="00FE7B90" w:rsidRPr="00FE7B90" w:rsidRDefault="00FE7B90" w:rsidP="00FE7B90">
      <w:pPr>
        <w:pStyle w:val="ListParagraph"/>
        <w:rPr>
          <w:color w:val="000000"/>
        </w:rPr>
      </w:pPr>
    </w:p>
    <w:p w14:paraId="6F1FD7A9" w14:textId="7EB7FA8A" w:rsidR="00FE7B90" w:rsidRDefault="000A4D61" w:rsidP="00FE7B90">
      <w:pPr>
        <w:pStyle w:val="ListParagraph"/>
        <w:spacing w:line="276" w:lineRule="auto"/>
        <w:ind w:left="1440"/>
      </w:pPr>
      <w:r>
        <w:t>…</w:t>
      </w:r>
      <w:r w:rsidR="00FE7B90">
        <w:t xml:space="preserve">where necessary, revise [social security reforms] in order to fully respect the right of the child to have his or her best interests taken as a primary consideration, </w:t>
      </w:r>
      <w:proofErr w:type="gramStart"/>
      <w:r w:rsidR="00FE7B90">
        <w:t>taking into account</w:t>
      </w:r>
      <w:proofErr w:type="gramEnd"/>
      <w:r w:rsidR="00FE7B90">
        <w:t xml:space="preserve"> the different impact of the reform on different groups of children, particularly those in vulnerable situations.</w:t>
      </w:r>
      <w:r w:rsidR="00FE7B90">
        <w:rPr>
          <w:rStyle w:val="FootnoteReference"/>
        </w:rPr>
        <w:footnoteReference w:id="68"/>
      </w:r>
    </w:p>
    <w:p w14:paraId="5A185982" w14:textId="77777777" w:rsidR="00FE7B90" w:rsidRPr="00FE7B90" w:rsidRDefault="00FE7B90" w:rsidP="00FE7B90">
      <w:pPr>
        <w:spacing w:line="276" w:lineRule="auto"/>
      </w:pPr>
    </w:p>
    <w:p w14:paraId="2A69A346" w14:textId="6173822A" w:rsidR="00E30AFC" w:rsidRDefault="3AD2FD5A" w:rsidP="001736C5">
      <w:pPr>
        <w:pStyle w:val="ListParagraph"/>
        <w:numPr>
          <w:ilvl w:val="1"/>
          <w:numId w:val="15"/>
        </w:numPr>
        <w:spacing w:line="276" w:lineRule="auto"/>
        <w:ind w:left="709" w:hanging="709"/>
        <w:rPr>
          <w:color w:val="000000"/>
        </w:rPr>
      </w:pPr>
      <w:r w:rsidRPr="40FF4167">
        <w:rPr>
          <w:color w:val="000000" w:themeColor="text1"/>
        </w:rPr>
        <w:t>In 201</w:t>
      </w:r>
      <w:r w:rsidR="00AB3923">
        <w:rPr>
          <w:color w:val="000000" w:themeColor="text1"/>
        </w:rPr>
        <w:t>6</w:t>
      </w:r>
      <w:r w:rsidRPr="40FF4167">
        <w:rPr>
          <w:color w:val="000000" w:themeColor="text1"/>
        </w:rPr>
        <w:t xml:space="preserve">, the UN CRPD Committee </w:t>
      </w:r>
      <w:r w:rsidR="043AA31B" w:rsidRPr="40FF4167">
        <w:rPr>
          <w:color w:val="000000" w:themeColor="text1"/>
        </w:rPr>
        <w:t xml:space="preserve">conducted an inquiry examining the impact of welfare reforms in the UK and NI on the rights of </w:t>
      </w:r>
      <w:r w:rsidR="169FC118" w:rsidRPr="40FF4167">
        <w:rPr>
          <w:color w:val="000000" w:themeColor="text1"/>
        </w:rPr>
        <w:t>people with disabilities</w:t>
      </w:r>
      <w:r w:rsidR="043AA31B" w:rsidRPr="40FF4167">
        <w:rPr>
          <w:color w:val="000000" w:themeColor="text1"/>
        </w:rPr>
        <w:t xml:space="preserve">. </w:t>
      </w:r>
      <w:r w:rsidR="76B0C18A" w:rsidRPr="40FF4167">
        <w:rPr>
          <w:color w:val="000000" w:themeColor="text1"/>
        </w:rPr>
        <w:t xml:space="preserve">It </w:t>
      </w:r>
      <w:r w:rsidR="7ADDC68C" w:rsidRPr="40FF4167">
        <w:rPr>
          <w:color w:val="000000" w:themeColor="text1"/>
        </w:rPr>
        <w:t>set out a range of recommendations</w:t>
      </w:r>
      <w:r w:rsidR="7580193C" w:rsidRPr="40FF4167">
        <w:rPr>
          <w:color w:val="000000" w:themeColor="text1"/>
        </w:rPr>
        <w:t xml:space="preserve"> </w:t>
      </w:r>
      <w:r w:rsidR="198BDCED" w:rsidRPr="40FF4167">
        <w:rPr>
          <w:color w:val="000000" w:themeColor="text1"/>
        </w:rPr>
        <w:t xml:space="preserve">including the need for </w:t>
      </w:r>
      <w:r w:rsidR="52B28283" w:rsidRPr="40FF4167">
        <w:rPr>
          <w:color w:val="000000" w:themeColor="text1"/>
        </w:rPr>
        <w:t>measures to be informed and monitored by</w:t>
      </w:r>
      <w:r w:rsidR="198BDCED" w:rsidRPr="40FF4167">
        <w:rPr>
          <w:color w:val="000000" w:themeColor="text1"/>
        </w:rPr>
        <w:t xml:space="preserve"> cumulative impact assessment</w:t>
      </w:r>
      <w:r w:rsidR="52B28283" w:rsidRPr="40FF4167">
        <w:rPr>
          <w:color w:val="000000" w:themeColor="text1"/>
        </w:rPr>
        <w:t>s</w:t>
      </w:r>
      <w:r w:rsidR="198BDCED" w:rsidRPr="40FF4167">
        <w:rPr>
          <w:color w:val="000000" w:themeColor="text1"/>
        </w:rPr>
        <w:t xml:space="preserve"> </w:t>
      </w:r>
      <w:r w:rsidR="02FE6FA7" w:rsidRPr="40FF4167">
        <w:rPr>
          <w:color w:val="000000" w:themeColor="text1"/>
        </w:rPr>
        <w:t xml:space="preserve">and </w:t>
      </w:r>
      <w:r w:rsidR="2AF05F01" w:rsidRPr="40FF4167">
        <w:rPr>
          <w:color w:val="000000" w:themeColor="text1"/>
        </w:rPr>
        <w:t>that</w:t>
      </w:r>
      <w:r w:rsidR="52B28283" w:rsidRPr="40FF4167">
        <w:rPr>
          <w:color w:val="000000" w:themeColor="text1"/>
        </w:rPr>
        <w:t xml:space="preserve"> public budgets</w:t>
      </w:r>
      <w:r w:rsidR="5308722D" w:rsidRPr="40FF4167">
        <w:rPr>
          <w:color w:val="000000" w:themeColor="text1"/>
        </w:rPr>
        <w:t>,</w:t>
      </w:r>
      <w:r w:rsidR="2AF05F01" w:rsidRPr="40FF4167">
        <w:rPr>
          <w:color w:val="000000" w:themeColor="text1"/>
        </w:rPr>
        <w:t xml:space="preserve"> </w:t>
      </w:r>
    </w:p>
    <w:p w14:paraId="31A974CB" w14:textId="77777777" w:rsidR="00E30AFC" w:rsidRDefault="00E30AFC" w:rsidP="00E30AFC">
      <w:pPr>
        <w:pStyle w:val="ListParagraph"/>
      </w:pPr>
    </w:p>
    <w:p w14:paraId="10F2BF14" w14:textId="709295B0" w:rsidR="0083070F" w:rsidRPr="0084420C" w:rsidRDefault="0084420C" w:rsidP="0084420C">
      <w:pPr>
        <w:spacing w:line="276" w:lineRule="auto"/>
        <w:ind w:left="1429"/>
        <w:rPr>
          <w:color w:val="000000"/>
        </w:rPr>
      </w:pPr>
      <w:r>
        <w:t xml:space="preserve">… </w:t>
      </w:r>
      <w:proofErr w:type="gramStart"/>
      <w:r w:rsidR="00E30AFC">
        <w:t>take into account</w:t>
      </w:r>
      <w:proofErr w:type="gramEnd"/>
      <w:r w:rsidR="00E30AFC">
        <w:t xml:space="preserve"> the rights of persons with disabilities</w:t>
      </w:r>
      <w:r>
        <w:t xml:space="preserve"> [and]</w:t>
      </w:r>
      <w:r w:rsidR="00E30AFC">
        <w:t xml:space="preserve"> that sufficient budget allocations are made available to cover the extra costs associated with living with a disability and that appropriate mitigation measures, with appropriate budget allocations, are in place for persons with disabilities affected by austerity measures.</w:t>
      </w:r>
      <w:r w:rsidR="00E30AFC">
        <w:rPr>
          <w:rStyle w:val="FootnoteReference"/>
        </w:rPr>
        <w:footnoteReference w:id="69"/>
      </w:r>
    </w:p>
    <w:p w14:paraId="131F4FBB" w14:textId="77777777" w:rsidR="00044289" w:rsidRDefault="00044289" w:rsidP="0071326E">
      <w:pPr>
        <w:spacing w:line="276" w:lineRule="auto"/>
      </w:pPr>
    </w:p>
    <w:p w14:paraId="15EC9C04" w14:textId="32238736" w:rsidR="001736C5" w:rsidRDefault="001736C5" w:rsidP="001736C5">
      <w:pPr>
        <w:pStyle w:val="ListParagraph"/>
        <w:numPr>
          <w:ilvl w:val="1"/>
          <w:numId w:val="15"/>
        </w:numPr>
        <w:spacing w:line="276" w:lineRule="auto"/>
        <w:ind w:left="709" w:hanging="709"/>
      </w:pPr>
      <w:r w:rsidRPr="009923F6">
        <w:t>The NIHRC welcomes that ring-fenced funding has been provided for the continuation of existing Welfare Mitigations, Housing Benefit Rates and Debt Advice.</w:t>
      </w:r>
      <w:r w:rsidRPr="009923F6">
        <w:rPr>
          <w:rStyle w:val="FootnoteReference"/>
        </w:rPr>
        <w:footnoteReference w:id="70"/>
      </w:r>
      <w:r w:rsidRPr="009923F6">
        <w:t xml:space="preserve"> These measures played a critical role in easing the impact of social security reforms implemented between 2010 and 2017.</w:t>
      </w:r>
      <w:r w:rsidRPr="009923F6">
        <w:rPr>
          <w:rStyle w:val="FootnoteReference"/>
        </w:rPr>
        <w:footnoteReference w:id="71"/>
      </w:r>
      <w:r w:rsidRPr="009923F6">
        <w:t xml:space="preserve"> However, further changes have been introduced, namely Universal Credit and the two-child limit for claimants of certain benefits. </w:t>
      </w:r>
    </w:p>
    <w:p w14:paraId="2201060E" w14:textId="77777777" w:rsidR="0071326E" w:rsidRDefault="0071326E" w:rsidP="0071326E">
      <w:pPr>
        <w:pStyle w:val="ListParagraph"/>
        <w:spacing w:line="276" w:lineRule="auto"/>
        <w:ind w:left="709"/>
      </w:pPr>
    </w:p>
    <w:p w14:paraId="66519D7B" w14:textId="1E2E92EC" w:rsidR="0071326E" w:rsidRDefault="0071326E" w:rsidP="0071326E">
      <w:pPr>
        <w:pStyle w:val="ListParagraph"/>
        <w:numPr>
          <w:ilvl w:val="1"/>
          <w:numId w:val="15"/>
        </w:numPr>
        <w:spacing w:line="276" w:lineRule="auto"/>
        <w:ind w:left="709" w:hanging="709"/>
      </w:pPr>
      <w:r>
        <w:t>The UN CEDAW Committee found that Universal Credit “risks depriving women in abusive relationships access to necessary funds and trapping them in situations of poverty and violence”.</w:t>
      </w:r>
      <w:r>
        <w:rPr>
          <w:rStyle w:val="FootnoteReference"/>
        </w:rPr>
        <w:footnoteReference w:id="72"/>
      </w:r>
      <w:r>
        <w:t xml:space="preserve"> It also expressed “deep concern” at the introduction of a two-child tax credit limit, which it describes as having “a perverse and disproportionate impact on women.”</w:t>
      </w:r>
      <w:r>
        <w:rPr>
          <w:rStyle w:val="FootnoteReference"/>
        </w:rPr>
        <w:footnoteReference w:id="73"/>
      </w:r>
    </w:p>
    <w:p w14:paraId="3129F0D6" w14:textId="77777777" w:rsidR="001736C5" w:rsidRDefault="001736C5" w:rsidP="001736C5">
      <w:pPr>
        <w:pStyle w:val="ListParagraph"/>
      </w:pPr>
    </w:p>
    <w:p w14:paraId="3109221A" w14:textId="27557401" w:rsidR="001736C5" w:rsidRDefault="6EF17D5F" w:rsidP="001736C5">
      <w:pPr>
        <w:pStyle w:val="ListParagraph"/>
        <w:numPr>
          <w:ilvl w:val="1"/>
          <w:numId w:val="15"/>
        </w:numPr>
        <w:spacing w:line="276" w:lineRule="auto"/>
        <w:ind w:left="709" w:hanging="709"/>
      </w:pPr>
      <w:r w:rsidRPr="009923F6">
        <w:t xml:space="preserve">The </w:t>
      </w:r>
      <w:r w:rsidR="4BB7A9D8" w:rsidRPr="009923F6">
        <w:t xml:space="preserve">Department for Communities’ </w:t>
      </w:r>
      <w:r w:rsidRPr="009923F6">
        <w:t xml:space="preserve">recent review of Welfare Mitigations emphasised the need for further mitigations to offset the impact of these changes and to tackle poverty and inequality, particularly </w:t>
      </w:r>
      <w:proofErr w:type="gramStart"/>
      <w:r w:rsidRPr="009923F6">
        <w:t>in light of</w:t>
      </w:r>
      <w:proofErr w:type="gramEnd"/>
      <w:r w:rsidRPr="009923F6">
        <w:t xml:space="preserve"> the rising cost of living.</w:t>
      </w:r>
      <w:r w:rsidR="001736C5" w:rsidRPr="009923F6">
        <w:rPr>
          <w:rStyle w:val="FootnoteReference"/>
        </w:rPr>
        <w:footnoteReference w:id="74"/>
      </w:r>
      <w:r w:rsidRPr="009923F6">
        <w:t xml:space="preserve"> </w:t>
      </w:r>
      <w:r>
        <w:t>Therefore, t</w:t>
      </w:r>
      <w:r w:rsidRPr="009923F6">
        <w:t>he NIHRC is concerned that the bid for funding to support a new mitigation package was not met within the current settlement. There is significant evidence that the recent changes to social security are having a disproportionate impact on individuals and groups already marginalised or struggling financially.</w:t>
      </w:r>
      <w:r w:rsidR="001736C5" w:rsidRPr="009923F6">
        <w:rPr>
          <w:rStyle w:val="FootnoteReference"/>
        </w:rPr>
        <w:footnoteReference w:id="75"/>
      </w:r>
      <w:r w:rsidRPr="009923F6">
        <w:t xml:space="preserve"> </w:t>
      </w:r>
    </w:p>
    <w:p w14:paraId="466E098D" w14:textId="77777777" w:rsidR="001736C5" w:rsidRDefault="001736C5" w:rsidP="001736C5">
      <w:pPr>
        <w:pStyle w:val="ListParagraph"/>
      </w:pPr>
    </w:p>
    <w:p w14:paraId="0671325B" w14:textId="77777777" w:rsidR="001736C5" w:rsidRDefault="001736C5" w:rsidP="001736C5">
      <w:pPr>
        <w:pStyle w:val="ListParagraph"/>
        <w:numPr>
          <w:ilvl w:val="1"/>
          <w:numId w:val="15"/>
        </w:numPr>
        <w:spacing w:line="276" w:lineRule="auto"/>
        <w:ind w:left="709" w:hanging="709"/>
      </w:pPr>
      <w:r w:rsidRPr="009923F6">
        <w:t>The review’s Independent Advisory Panel reiterated that individuals on the lowest incomes and most affected by the changes, were women, carers, people with dependents, and people/children with disabilities.</w:t>
      </w:r>
      <w:r w:rsidRPr="009923F6">
        <w:rPr>
          <w:rStyle w:val="FootnoteReference"/>
        </w:rPr>
        <w:footnoteReference w:id="76"/>
      </w:r>
      <w:r w:rsidRPr="009923F6">
        <w:t xml:space="preserve"> Without taking further action, it is foreseeable that such individuals will fall into debt, rent arrears and serious hardship. </w:t>
      </w:r>
    </w:p>
    <w:p w14:paraId="3FA56F27" w14:textId="77777777" w:rsidR="001736C5" w:rsidRDefault="001736C5" w:rsidP="001736C5">
      <w:pPr>
        <w:pStyle w:val="ListParagraph"/>
      </w:pPr>
    </w:p>
    <w:p w14:paraId="48A5F772" w14:textId="19FA4FD3" w:rsidR="001736C5" w:rsidRPr="009923F6" w:rsidRDefault="001736C5" w:rsidP="001736C5">
      <w:pPr>
        <w:pStyle w:val="ListParagraph"/>
        <w:numPr>
          <w:ilvl w:val="1"/>
          <w:numId w:val="15"/>
        </w:numPr>
        <w:spacing w:line="276" w:lineRule="auto"/>
        <w:ind w:left="709" w:hanging="709"/>
      </w:pPr>
      <w:r>
        <w:t>The</w:t>
      </w:r>
      <w:r w:rsidRPr="009923F6">
        <w:t xml:space="preserve"> NIHRC consider</w:t>
      </w:r>
      <w:r w:rsidR="007F30E5">
        <w:t>s</w:t>
      </w:r>
      <w:r w:rsidRPr="009923F6">
        <w:t xml:space="preserve"> that the failure to take appropriate mitigations in the current circumstances risks exacerbating existing inequalities and could impact the realisation of the right to an adequate standard of living (Article 11 ICESCR) for those individuals and groups most affected. </w:t>
      </w:r>
      <w:r>
        <w:t>The NIHRC reiterates its previous concern that it does not appear to be the case that social security reforms since 2010 are “temporary, necessary and proportionate”.</w:t>
      </w:r>
      <w:r>
        <w:rPr>
          <w:rStyle w:val="FootnoteReference"/>
        </w:rPr>
        <w:footnoteReference w:id="77"/>
      </w:r>
    </w:p>
    <w:p w14:paraId="2212A6CF" w14:textId="77777777" w:rsidR="001736C5" w:rsidRPr="009923F6" w:rsidRDefault="001736C5" w:rsidP="001736C5">
      <w:pPr>
        <w:pStyle w:val="ListParagraph"/>
      </w:pPr>
    </w:p>
    <w:p w14:paraId="4096173C" w14:textId="77777777" w:rsidR="001736C5" w:rsidRDefault="001736C5" w:rsidP="001736C5">
      <w:pPr>
        <w:pStyle w:val="ListParagraph"/>
        <w:numPr>
          <w:ilvl w:val="1"/>
          <w:numId w:val="15"/>
        </w:numPr>
        <w:spacing w:line="276" w:lineRule="auto"/>
        <w:ind w:left="709" w:hanging="709"/>
      </w:pPr>
      <w:r w:rsidRPr="009923F6">
        <w:t xml:space="preserve">It is therefore concerning that no consideration was given to mitigating any adverse impacts of this </w:t>
      </w:r>
      <w:r>
        <w:t>measure</w:t>
      </w:r>
      <w:r w:rsidRPr="009923F6">
        <w:t xml:space="preserve">, individual and cumulative, in the draft EQIA. </w:t>
      </w:r>
      <w:r>
        <w:t>For instance, it would be helpful to understand whether the</w:t>
      </w:r>
      <w:r w:rsidRPr="009923F6">
        <w:t xml:space="preserve"> Department considered any alternative measures or actions</w:t>
      </w:r>
      <w:r>
        <w:t>,</w:t>
      </w:r>
      <w:r w:rsidRPr="009923F6">
        <w:t xml:space="preserve"> such as the redistribution of internal budgets or if money received in-year will be directed </w:t>
      </w:r>
      <w:r>
        <w:t xml:space="preserve">to certain priority areas. While it is recognised that critical decisions on the budget settlement were outside the control of the Department, it has continuing obligations to respect, protect and fulfil human rights within its sphere of responsibility during the allocation process. </w:t>
      </w:r>
    </w:p>
    <w:p w14:paraId="59062FF0" w14:textId="77777777" w:rsidR="001736C5" w:rsidRPr="00676059" w:rsidRDefault="001736C5" w:rsidP="001736C5">
      <w:pPr>
        <w:rPr>
          <w:b/>
          <w:bCs/>
          <w:color w:val="000000"/>
        </w:rPr>
      </w:pPr>
    </w:p>
    <w:p w14:paraId="50064840" w14:textId="72EA07A8" w:rsidR="001736C5" w:rsidRPr="001736C5" w:rsidRDefault="6EF17D5F" w:rsidP="001736C5">
      <w:pPr>
        <w:pStyle w:val="ListParagraph"/>
        <w:numPr>
          <w:ilvl w:val="1"/>
          <w:numId w:val="15"/>
        </w:numPr>
        <w:spacing w:line="276" w:lineRule="auto"/>
        <w:ind w:left="709" w:hanging="709"/>
        <w:rPr>
          <w:b/>
          <w:bCs/>
          <w:color w:val="000000"/>
        </w:rPr>
      </w:pPr>
      <w:r w:rsidRPr="40FF4167">
        <w:rPr>
          <w:b/>
          <w:bCs/>
          <w:color w:val="000000" w:themeColor="text1"/>
        </w:rPr>
        <w:t xml:space="preserve">The NIHRC recommends that the Department for Communities takes targeted measures to ensure the impact of the delayed </w:t>
      </w:r>
      <w:r w:rsidRPr="40FF4167">
        <w:rPr>
          <w:b/>
          <w:bCs/>
        </w:rPr>
        <w:t>introduction of New Welfare Mitigations does not have a sustained impact on the right to an adequate standard of living for vulnerable individuals and groups</w:t>
      </w:r>
      <w:r w:rsidR="167469D5" w:rsidRPr="40FF4167">
        <w:rPr>
          <w:b/>
          <w:bCs/>
        </w:rPr>
        <w:t>,</w:t>
      </w:r>
      <w:r w:rsidRPr="40FF4167">
        <w:rPr>
          <w:b/>
          <w:bCs/>
        </w:rPr>
        <w:t xml:space="preserve"> </w:t>
      </w:r>
      <w:r w:rsidR="00BB8D53" w:rsidRPr="40FF4167">
        <w:rPr>
          <w:b/>
          <w:bCs/>
        </w:rPr>
        <w:t>i</w:t>
      </w:r>
      <w:r w:rsidRPr="40FF4167">
        <w:rPr>
          <w:b/>
          <w:bCs/>
        </w:rPr>
        <w:t>n particular women, carers, people with dependents, people with disabilities, and children.</w:t>
      </w:r>
    </w:p>
    <w:p w14:paraId="413FCB73" w14:textId="77777777" w:rsidR="0002494C" w:rsidRPr="0002494C" w:rsidRDefault="0002494C" w:rsidP="0002494C">
      <w:pPr>
        <w:spacing w:line="276" w:lineRule="auto"/>
        <w:rPr>
          <w:b/>
          <w:bCs/>
          <w:color w:val="000000"/>
        </w:rPr>
      </w:pPr>
    </w:p>
    <w:p w14:paraId="63EB49CE" w14:textId="16E99747" w:rsidR="00043EC3" w:rsidRPr="00043EC3" w:rsidRDefault="0020011C" w:rsidP="004C774A">
      <w:pPr>
        <w:pStyle w:val="Heading2"/>
        <w:spacing w:line="276" w:lineRule="auto"/>
      </w:pPr>
      <w:bookmarkStart w:id="8" w:name="_Toc141088108"/>
      <w:r>
        <w:t>Employment Support</w:t>
      </w:r>
      <w:bookmarkEnd w:id="8"/>
    </w:p>
    <w:p w14:paraId="547B5A5F" w14:textId="77777777" w:rsidR="00043EC3" w:rsidRPr="00043EC3" w:rsidRDefault="00043EC3" w:rsidP="004C774A">
      <w:pPr>
        <w:pStyle w:val="ListParagraph"/>
        <w:spacing w:line="276" w:lineRule="auto"/>
        <w:rPr>
          <w:color w:val="000000"/>
        </w:rPr>
      </w:pPr>
    </w:p>
    <w:p w14:paraId="3C607279" w14:textId="1734B910" w:rsidR="00AC0D25" w:rsidRPr="001C7DE6" w:rsidRDefault="5199A683" w:rsidP="00037A83">
      <w:pPr>
        <w:pStyle w:val="BasicParagraph"/>
        <w:numPr>
          <w:ilvl w:val="1"/>
          <w:numId w:val="15"/>
        </w:numPr>
        <w:suppressAutoHyphens/>
        <w:spacing w:line="276" w:lineRule="auto"/>
        <w:ind w:left="709"/>
        <w:rPr>
          <w:rFonts w:ascii="Verdana" w:hAnsi="Verdana"/>
        </w:rPr>
      </w:pPr>
      <w:r w:rsidRPr="006E4ABA">
        <w:rPr>
          <w:rFonts w:ascii="Verdana" w:hAnsi="Verdana" w:cs="Arial"/>
          <w:color w:val="232120"/>
        </w:rPr>
        <w:t>Article 6 of ICESCR provides for the right to</w:t>
      </w:r>
      <w:r w:rsidR="62319BB7" w:rsidRPr="006E4ABA">
        <w:rPr>
          <w:rFonts w:ascii="Verdana" w:hAnsi="Verdana" w:cs="Arial"/>
          <w:color w:val="232120"/>
        </w:rPr>
        <w:t xml:space="preserve"> work</w:t>
      </w:r>
      <w:r w:rsidR="531F7D66">
        <w:rPr>
          <w:rFonts w:ascii="Verdana" w:hAnsi="Verdana" w:cs="Arial"/>
          <w:color w:val="232120"/>
        </w:rPr>
        <w:t xml:space="preserve"> and requires the State to take appropriate steps to safeguard this right, including “</w:t>
      </w:r>
      <w:r w:rsidR="7D29DD49" w:rsidRPr="001C7DE6">
        <w:rPr>
          <w:rFonts w:ascii="Verdana" w:hAnsi="Verdana" w:cs="Arial"/>
          <w:color w:val="232120"/>
        </w:rPr>
        <w:t>technical and vocational guidance and training programmes, policies and techniques to achieve steady economic, social and cultural development</w:t>
      </w:r>
      <w:r w:rsidR="7D29DD49">
        <w:rPr>
          <w:rFonts w:ascii="Verdana" w:hAnsi="Verdana" w:cs="Arial"/>
          <w:color w:val="232120"/>
        </w:rPr>
        <w:t xml:space="preserve">”. </w:t>
      </w:r>
      <w:r w:rsidR="2D5DE8B8">
        <w:rPr>
          <w:rFonts w:ascii="Verdana" w:hAnsi="Verdana" w:cs="Arial"/>
          <w:color w:val="232120"/>
        </w:rPr>
        <w:t>UN CRC,</w:t>
      </w:r>
      <w:r w:rsidR="00262125">
        <w:rPr>
          <w:rStyle w:val="FootnoteReference"/>
          <w:rFonts w:ascii="Verdana" w:hAnsi="Verdana" w:cs="Arial"/>
          <w:color w:val="232120"/>
        </w:rPr>
        <w:footnoteReference w:id="78"/>
      </w:r>
      <w:r w:rsidR="2D5DE8B8">
        <w:rPr>
          <w:rFonts w:ascii="Verdana" w:hAnsi="Verdana" w:cs="Arial"/>
          <w:color w:val="232120"/>
        </w:rPr>
        <w:t xml:space="preserve"> UN CEDAW</w:t>
      </w:r>
      <w:r w:rsidR="00262125">
        <w:rPr>
          <w:rStyle w:val="FootnoteReference"/>
          <w:rFonts w:ascii="Verdana" w:hAnsi="Verdana" w:cs="Arial"/>
          <w:color w:val="232120"/>
        </w:rPr>
        <w:footnoteReference w:id="79"/>
      </w:r>
      <w:r w:rsidR="2D5DE8B8">
        <w:rPr>
          <w:rFonts w:ascii="Verdana" w:hAnsi="Verdana" w:cs="Arial"/>
          <w:color w:val="232120"/>
        </w:rPr>
        <w:t xml:space="preserve"> and UN CRPD</w:t>
      </w:r>
      <w:r w:rsidR="00262125">
        <w:rPr>
          <w:rStyle w:val="FootnoteReference"/>
          <w:rFonts w:ascii="Verdana" w:hAnsi="Verdana" w:cs="Arial"/>
          <w:color w:val="232120"/>
        </w:rPr>
        <w:footnoteReference w:id="80"/>
      </w:r>
      <w:r w:rsidR="2D5DE8B8">
        <w:rPr>
          <w:rFonts w:ascii="Verdana" w:hAnsi="Verdana" w:cs="Arial"/>
          <w:color w:val="232120"/>
        </w:rPr>
        <w:t xml:space="preserve"> </w:t>
      </w:r>
      <w:r w:rsidR="25EC559F">
        <w:rPr>
          <w:rFonts w:ascii="Verdana" w:hAnsi="Verdana" w:cs="Arial"/>
          <w:color w:val="232120"/>
        </w:rPr>
        <w:t xml:space="preserve">also require affirmative measures to </w:t>
      </w:r>
      <w:r w:rsidR="2E9C9A00">
        <w:rPr>
          <w:rFonts w:ascii="Verdana" w:hAnsi="Verdana" w:cs="Arial"/>
          <w:color w:val="232120"/>
        </w:rPr>
        <w:t xml:space="preserve">ensure </w:t>
      </w:r>
      <w:r w:rsidR="3FF01D49">
        <w:rPr>
          <w:rFonts w:ascii="Verdana" w:hAnsi="Verdana" w:cs="Arial"/>
          <w:color w:val="232120"/>
        </w:rPr>
        <w:t>access to</w:t>
      </w:r>
      <w:r w:rsidR="08DF6932">
        <w:rPr>
          <w:rFonts w:ascii="Verdana" w:hAnsi="Verdana" w:cs="Arial"/>
          <w:color w:val="232120"/>
        </w:rPr>
        <w:t>, retention of</w:t>
      </w:r>
      <w:r w:rsidR="0EAE38BF">
        <w:rPr>
          <w:rFonts w:ascii="Verdana" w:hAnsi="Verdana" w:cs="Arial"/>
          <w:color w:val="232120"/>
        </w:rPr>
        <w:t xml:space="preserve"> and advancement in</w:t>
      </w:r>
      <w:r w:rsidR="3FF01D49">
        <w:rPr>
          <w:rFonts w:ascii="Verdana" w:hAnsi="Verdana" w:cs="Arial"/>
          <w:color w:val="232120"/>
        </w:rPr>
        <w:t xml:space="preserve"> </w:t>
      </w:r>
      <w:r w:rsidR="7FA4FEC0">
        <w:rPr>
          <w:rFonts w:ascii="Verdana" w:hAnsi="Verdana" w:cs="Arial"/>
          <w:color w:val="232120"/>
        </w:rPr>
        <w:t>the labour market,</w:t>
      </w:r>
      <w:r w:rsidR="3FF01D49">
        <w:rPr>
          <w:rFonts w:ascii="Verdana" w:hAnsi="Verdana" w:cs="Arial"/>
          <w:color w:val="232120"/>
        </w:rPr>
        <w:t xml:space="preserve"> on an equal basis with others</w:t>
      </w:r>
      <w:r w:rsidR="7FA4FEC0">
        <w:rPr>
          <w:rFonts w:ascii="Verdana" w:hAnsi="Verdana" w:cs="Arial"/>
          <w:color w:val="232120"/>
        </w:rPr>
        <w:t>, including through pre-employment initiatives</w:t>
      </w:r>
      <w:r w:rsidR="75C669F2">
        <w:rPr>
          <w:rFonts w:ascii="Verdana" w:hAnsi="Verdana" w:cs="Arial"/>
          <w:color w:val="232120"/>
        </w:rPr>
        <w:t>.</w:t>
      </w:r>
      <w:r w:rsidR="6A3D278A">
        <w:rPr>
          <w:rFonts w:ascii="Verdana" w:hAnsi="Verdana" w:cs="Arial"/>
          <w:color w:val="232120"/>
        </w:rPr>
        <w:t xml:space="preserve"> </w:t>
      </w:r>
    </w:p>
    <w:p w14:paraId="0EC41119" w14:textId="77777777" w:rsidR="001C7DE6" w:rsidRPr="006E4ABA" w:rsidRDefault="001C7DE6" w:rsidP="001C7DE6">
      <w:pPr>
        <w:pStyle w:val="BasicParagraph"/>
        <w:suppressAutoHyphens/>
        <w:spacing w:line="276" w:lineRule="auto"/>
        <w:ind w:left="709"/>
        <w:rPr>
          <w:rFonts w:ascii="Verdana" w:hAnsi="Verdana"/>
        </w:rPr>
      </w:pPr>
    </w:p>
    <w:p w14:paraId="3BD2EE55" w14:textId="7060844F" w:rsidR="00870184" w:rsidRPr="00240BDA" w:rsidRDefault="00202959" w:rsidP="00240BDA">
      <w:pPr>
        <w:pStyle w:val="ListParagraph"/>
        <w:numPr>
          <w:ilvl w:val="1"/>
          <w:numId w:val="15"/>
        </w:numPr>
        <w:suppressAutoHyphens/>
        <w:spacing w:line="276" w:lineRule="auto"/>
        <w:ind w:left="709" w:hanging="709"/>
        <w:rPr>
          <w:rFonts w:cs="Arial"/>
          <w:color w:val="232120"/>
          <w:sz w:val="20"/>
          <w:szCs w:val="20"/>
        </w:rPr>
      </w:pPr>
      <w:r w:rsidRPr="00220DD9">
        <w:rPr>
          <w:color w:val="000000"/>
        </w:rPr>
        <w:t>In it</w:t>
      </w:r>
      <w:r>
        <w:rPr>
          <w:color w:val="000000"/>
        </w:rPr>
        <w:t>s 2016 C</w:t>
      </w:r>
      <w:r w:rsidRPr="00220DD9">
        <w:rPr>
          <w:color w:val="000000"/>
        </w:rPr>
        <w:t xml:space="preserve">oncluding </w:t>
      </w:r>
      <w:r>
        <w:rPr>
          <w:color w:val="000000"/>
        </w:rPr>
        <w:t>O</w:t>
      </w:r>
      <w:r w:rsidRPr="00220DD9">
        <w:rPr>
          <w:color w:val="000000"/>
        </w:rPr>
        <w:t>bservations on the UK</w:t>
      </w:r>
      <w:r w:rsidR="00AC0D25">
        <w:rPr>
          <w:rFonts w:cs="Arial"/>
          <w:color w:val="232120"/>
        </w:rPr>
        <w:t xml:space="preserve">, the </w:t>
      </w:r>
      <w:r>
        <w:rPr>
          <w:rFonts w:cs="Arial"/>
          <w:color w:val="232120"/>
        </w:rPr>
        <w:t>I</w:t>
      </w:r>
      <w:r w:rsidR="00AC0D25">
        <w:rPr>
          <w:rFonts w:cs="Arial"/>
          <w:color w:val="232120"/>
        </w:rPr>
        <w:t xml:space="preserve">CESCR </w:t>
      </w:r>
      <w:r>
        <w:rPr>
          <w:rFonts w:cs="Arial"/>
          <w:color w:val="232120"/>
        </w:rPr>
        <w:t xml:space="preserve">Committee </w:t>
      </w:r>
      <w:r w:rsidR="00AC0D25">
        <w:rPr>
          <w:rFonts w:cs="Arial"/>
          <w:color w:val="232120"/>
        </w:rPr>
        <w:t>recommended that the state “review its employment policies to address the root causes of unemployment … with a specific focus on groups disproportionately affected by unemployment, such as young people, persons with disabilities and persons belonging to ethnic, religious or other minorities”.</w:t>
      </w:r>
      <w:r w:rsidR="00AC0D25">
        <w:rPr>
          <w:rStyle w:val="FootnoteReference"/>
          <w:rFonts w:cs="Arial"/>
          <w:color w:val="232120"/>
        </w:rPr>
        <w:footnoteReference w:id="81"/>
      </w:r>
      <w:r w:rsidR="00CD65A0">
        <w:rPr>
          <w:rFonts w:cs="Arial"/>
          <w:color w:val="232120"/>
        </w:rPr>
        <w:t xml:space="preserve"> This </w:t>
      </w:r>
      <w:r w:rsidR="0086502F">
        <w:rPr>
          <w:rFonts w:cs="Arial"/>
          <w:color w:val="232120"/>
        </w:rPr>
        <w:t>was reiterated by the UN CRPD Committee in 2017,</w:t>
      </w:r>
      <w:r w:rsidR="003D2BA1">
        <w:rPr>
          <w:rFonts w:cs="Arial"/>
          <w:color w:val="232120"/>
        </w:rPr>
        <w:t xml:space="preserve"> w</w:t>
      </w:r>
      <w:r w:rsidR="00967C2D">
        <w:rPr>
          <w:rFonts w:cs="Arial"/>
          <w:color w:val="232120"/>
        </w:rPr>
        <w:t xml:space="preserve">hich </w:t>
      </w:r>
      <w:r w:rsidR="00D02FFD">
        <w:rPr>
          <w:rFonts w:cs="Arial"/>
          <w:color w:val="232120"/>
        </w:rPr>
        <w:t>emphasised that</w:t>
      </w:r>
      <w:r w:rsidR="003D2BA1">
        <w:rPr>
          <w:rFonts w:cs="Arial"/>
          <w:color w:val="232120"/>
        </w:rPr>
        <w:t xml:space="preserve"> </w:t>
      </w:r>
      <w:r w:rsidR="003D2BA1" w:rsidRPr="003D2BA1">
        <w:rPr>
          <w:rFonts w:cs="Arial"/>
          <w:color w:val="232120"/>
        </w:rPr>
        <w:t>women with disabilities, persons with psychosocial and/or intellectual disabilities and persons with visual impairments</w:t>
      </w:r>
      <w:r w:rsidR="003D2BA1">
        <w:rPr>
          <w:rFonts w:cs="Arial"/>
          <w:color w:val="232120"/>
        </w:rPr>
        <w:t xml:space="preserve"> </w:t>
      </w:r>
      <w:r w:rsidR="00D02FFD">
        <w:rPr>
          <w:rFonts w:cs="Arial"/>
          <w:color w:val="232120"/>
        </w:rPr>
        <w:t xml:space="preserve">required </w:t>
      </w:r>
      <w:r w:rsidR="003D2BA1">
        <w:rPr>
          <w:rFonts w:cs="Arial"/>
          <w:color w:val="232120"/>
        </w:rPr>
        <w:t>particular attention.</w:t>
      </w:r>
      <w:r w:rsidR="00240BDA">
        <w:rPr>
          <w:rStyle w:val="FootnoteReference"/>
          <w:rFonts w:cs="Arial"/>
          <w:color w:val="232120"/>
        </w:rPr>
        <w:footnoteReference w:id="82"/>
      </w:r>
      <w:r w:rsidR="003D2BA1">
        <w:rPr>
          <w:rFonts w:cs="Arial"/>
          <w:color w:val="232120"/>
        </w:rPr>
        <w:t xml:space="preserve"> </w:t>
      </w:r>
    </w:p>
    <w:p w14:paraId="1379C355" w14:textId="77777777" w:rsidR="00AC0D25" w:rsidRPr="00ED6E18" w:rsidRDefault="00AC0D25" w:rsidP="00AC0D25">
      <w:pPr>
        <w:pStyle w:val="ListParagraph"/>
        <w:spacing w:line="276" w:lineRule="auto"/>
        <w:rPr>
          <w:rFonts w:cs="Arial"/>
          <w:color w:val="232120"/>
          <w:sz w:val="20"/>
          <w:szCs w:val="20"/>
        </w:rPr>
      </w:pPr>
    </w:p>
    <w:p w14:paraId="075791BE" w14:textId="77777777" w:rsidR="00EF3782" w:rsidRPr="00EF3782" w:rsidRDefault="00AC0D25" w:rsidP="00EF3782">
      <w:pPr>
        <w:pStyle w:val="ListParagraph"/>
        <w:numPr>
          <w:ilvl w:val="1"/>
          <w:numId w:val="15"/>
        </w:numPr>
        <w:suppressAutoHyphens/>
        <w:spacing w:line="276" w:lineRule="auto"/>
        <w:ind w:left="709" w:hanging="862"/>
        <w:rPr>
          <w:rFonts w:cs="Arial"/>
          <w:color w:val="232120"/>
          <w:sz w:val="20"/>
          <w:szCs w:val="20"/>
        </w:rPr>
      </w:pPr>
      <w:r>
        <w:rPr>
          <w:rFonts w:cs="Arial"/>
          <w:color w:val="232120"/>
        </w:rPr>
        <w:t>The International Labour Organisation (ILO) has identified labour market interventions to mitigate unemployment and help the unemployed back into work as an effective way to manage a crisis.</w:t>
      </w:r>
      <w:r>
        <w:rPr>
          <w:rStyle w:val="FootnoteReference"/>
          <w:rFonts w:cs="Arial"/>
          <w:color w:val="232120"/>
        </w:rPr>
        <w:footnoteReference w:id="83"/>
      </w:r>
      <w:r>
        <w:rPr>
          <w:rFonts w:cs="Arial"/>
          <w:color w:val="232120"/>
        </w:rPr>
        <w:t xml:space="preserve"> In response to the economic impact of Covid</w:t>
      </w:r>
      <w:r w:rsidRPr="0054431D">
        <w:rPr>
          <w:rFonts w:cs="Arial"/>
          <w:color w:val="232120"/>
        </w:rPr>
        <w:t>-19, the ILO called for “</w:t>
      </w:r>
      <w:r w:rsidRPr="0054431D">
        <w:t>urgent and immediate policy responses to actively support transitions into decent work and prevent a significant drop in labour market participation</w:t>
      </w:r>
      <w:r>
        <w:t>”</w:t>
      </w:r>
      <w:r w:rsidRPr="0054431D">
        <w:t>.</w:t>
      </w:r>
      <w:r>
        <w:rPr>
          <w:rStyle w:val="FootnoteReference"/>
        </w:rPr>
        <w:footnoteReference w:id="84"/>
      </w:r>
    </w:p>
    <w:p w14:paraId="457ECF02" w14:textId="77777777" w:rsidR="00EF3782" w:rsidRDefault="00EF3782" w:rsidP="00EF3782">
      <w:pPr>
        <w:pStyle w:val="ListParagraph"/>
      </w:pPr>
    </w:p>
    <w:p w14:paraId="52CD4B37" w14:textId="5DD290C6" w:rsidR="00523B6E" w:rsidRPr="00CA1F61" w:rsidRDefault="007A6EA1" w:rsidP="00CA1F61">
      <w:pPr>
        <w:pStyle w:val="ListParagraph"/>
        <w:numPr>
          <w:ilvl w:val="1"/>
          <w:numId w:val="15"/>
        </w:numPr>
        <w:suppressAutoHyphens/>
        <w:spacing w:line="276" w:lineRule="auto"/>
        <w:ind w:left="709" w:hanging="862"/>
        <w:rPr>
          <w:rFonts w:cs="Arial"/>
          <w:color w:val="232120"/>
          <w:sz w:val="20"/>
          <w:szCs w:val="20"/>
        </w:rPr>
      </w:pPr>
      <w:r w:rsidRPr="009361E9">
        <w:rPr>
          <w:rFonts w:cs="Arial"/>
          <w:color w:val="232120"/>
        </w:rPr>
        <w:t xml:space="preserve">The NIHRC is concerned that </w:t>
      </w:r>
      <w:r w:rsidR="00C308E7">
        <w:rPr>
          <w:rFonts w:cs="Arial"/>
          <w:color w:val="232120"/>
        </w:rPr>
        <w:t xml:space="preserve">the proposed </w:t>
      </w:r>
      <w:r w:rsidR="00811039" w:rsidRPr="009361E9">
        <w:rPr>
          <w:rFonts w:cs="Arial"/>
          <w:color w:val="232120"/>
        </w:rPr>
        <w:t xml:space="preserve">cuts to </w:t>
      </w:r>
      <w:r w:rsidR="008029CF">
        <w:rPr>
          <w:rFonts w:cs="Arial"/>
          <w:color w:val="232120"/>
        </w:rPr>
        <w:t xml:space="preserve">the </w:t>
      </w:r>
      <w:r w:rsidR="009C12F4" w:rsidRPr="009361E9">
        <w:rPr>
          <w:rFonts w:cs="Arial"/>
          <w:color w:val="232120"/>
        </w:rPr>
        <w:t xml:space="preserve">employment support </w:t>
      </w:r>
      <w:r w:rsidR="008029CF">
        <w:rPr>
          <w:rFonts w:cs="Arial"/>
          <w:color w:val="232120"/>
        </w:rPr>
        <w:t>budget</w:t>
      </w:r>
      <w:r w:rsidR="009C12F4" w:rsidRPr="009361E9">
        <w:rPr>
          <w:rFonts w:cs="Arial"/>
          <w:color w:val="232120"/>
        </w:rPr>
        <w:t xml:space="preserve"> will impact upon the </w:t>
      </w:r>
      <w:r w:rsidR="0072738F" w:rsidRPr="009361E9">
        <w:rPr>
          <w:rFonts w:cs="Arial"/>
          <w:color w:val="232120"/>
        </w:rPr>
        <w:t xml:space="preserve">Department’s obligations </w:t>
      </w:r>
      <w:r w:rsidR="00F501AB" w:rsidRPr="009361E9">
        <w:rPr>
          <w:rFonts w:cs="Arial"/>
          <w:color w:val="232120"/>
        </w:rPr>
        <w:t>in respect of</w:t>
      </w:r>
      <w:r w:rsidR="00B94993" w:rsidRPr="009361E9">
        <w:rPr>
          <w:rFonts w:cs="Arial"/>
          <w:color w:val="232120"/>
        </w:rPr>
        <w:t xml:space="preserve"> the right to work</w:t>
      </w:r>
      <w:r w:rsidR="00A520C0">
        <w:rPr>
          <w:rFonts w:cs="Arial"/>
          <w:color w:val="232120"/>
        </w:rPr>
        <w:t>.</w:t>
      </w:r>
      <w:r w:rsidR="00D02FFD">
        <w:rPr>
          <w:rFonts w:cs="Arial"/>
          <w:color w:val="232120"/>
        </w:rPr>
        <w:t xml:space="preserve"> In particular, the</w:t>
      </w:r>
      <w:r w:rsidR="001526C1">
        <w:rPr>
          <w:rFonts w:cs="Arial"/>
          <w:color w:val="232120"/>
        </w:rPr>
        <w:t xml:space="preserve"> </w:t>
      </w:r>
      <w:r w:rsidR="00300C13">
        <w:rPr>
          <w:rFonts w:cs="Arial"/>
          <w:color w:val="232120"/>
        </w:rPr>
        <w:t xml:space="preserve">proposal to pause </w:t>
      </w:r>
      <w:r w:rsidR="001526C1">
        <w:rPr>
          <w:rFonts w:cs="Arial"/>
          <w:color w:val="232120"/>
        </w:rPr>
        <w:t>resourcing to the</w:t>
      </w:r>
      <w:r w:rsidR="00D02FFD">
        <w:rPr>
          <w:rFonts w:cs="Arial"/>
          <w:color w:val="232120"/>
        </w:rPr>
        <w:t xml:space="preserve"> Labour Market Partnerships </w:t>
      </w:r>
      <w:r w:rsidR="0034263E">
        <w:rPr>
          <w:rFonts w:cs="Arial"/>
          <w:color w:val="232120"/>
        </w:rPr>
        <w:t xml:space="preserve">from 1 July 2023 </w:t>
      </w:r>
      <w:r w:rsidR="00300C13">
        <w:rPr>
          <w:rFonts w:cs="Arial"/>
          <w:color w:val="232120"/>
        </w:rPr>
        <w:t>onwards</w:t>
      </w:r>
      <w:r w:rsidR="00F813C2">
        <w:rPr>
          <w:rFonts w:cs="Arial"/>
          <w:color w:val="232120"/>
        </w:rPr>
        <w:t xml:space="preserve"> will inevitably</w:t>
      </w:r>
      <w:r w:rsidR="00CF6D57">
        <w:rPr>
          <w:rFonts w:cs="Arial"/>
          <w:color w:val="232120"/>
        </w:rPr>
        <w:t xml:space="preserve"> adversely affect those </w:t>
      </w:r>
      <w:r w:rsidR="007B3E4E">
        <w:rPr>
          <w:rFonts w:cs="Arial"/>
          <w:color w:val="232120"/>
        </w:rPr>
        <w:t>experiencing barriers to the labour market</w:t>
      </w:r>
      <w:r w:rsidR="006C35E0">
        <w:rPr>
          <w:rFonts w:cs="Arial"/>
          <w:color w:val="232120"/>
        </w:rPr>
        <w:t>.</w:t>
      </w:r>
      <w:r w:rsidR="00EB1AF8">
        <w:rPr>
          <w:rFonts w:cs="Arial"/>
          <w:color w:val="232120"/>
        </w:rPr>
        <w:t xml:space="preserve"> </w:t>
      </w:r>
      <w:r w:rsidR="007630B9">
        <w:rPr>
          <w:rFonts w:cs="Arial"/>
          <w:color w:val="232120"/>
        </w:rPr>
        <w:t>This includes</w:t>
      </w:r>
      <w:r w:rsidR="00721A0B">
        <w:rPr>
          <w:rFonts w:cs="Arial"/>
          <w:color w:val="232120"/>
        </w:rPr>
        <w:t xml:space="preserve"> </w:t>
      </w:r>
      <w:r w:rsidR="007630B9">
        <w:rPr>
          <w:rFonts w:cs="Arial"/>
          <w:color w:val="232120"/>
        </w:rPr>
        <w:t xml:space="preserve">people with disabilities, children and young people, </w:t>
      </w:r>
      <w:r w:rsidR="005005E6">
        <w:rPr>
          <w:rFonts w:cs="Arial"/>
          <w:color w:val="232120"/>
        </w:rPr>
        <w:t>women,</w:t>
      </w:r>
      <w:r w:rsidR="00D74904">
        <w:rPr>
          <w:rFonts w:cs="Arial"/>
          <w:color w:val="232120"/>
        </w:rPr>
        <w:t xml:space="preserve"> </w:t>
      </w:r>
      <w:r w:rsidR="005005E6">
        <w:rPr>
          <w:rFonts w:cs="Arial"/>
          <w:color w:val="232120"/>
        </w:rPr>
        <w:t>migrants</w:t>
      </w:r>
      <w:r w:rsidR="00C22B3A">
        <w:rPr>
          <w:rFonts w:cs="Arial"/>
          <w:color w:val="232120"/>
        </w:rPr>
        <w:t xml:space="preserve"> and minority ethnic communities</w:t>
      </w:r>
      <w:r w:rsidR="005005E6">
        <w:rPr>
          <w:rFonts w:cs="Arial"/>
          <w:color w:val="232120"/>
        </w:rPr>
        <w:t>.</w:t>
      </w:r>
      <w:r w:rsidR="00945FD7">
        <w:rPr>
          <w:rStyle w:val="FootnoteReference"/>
          <w:rFonts w:cs="Arial"/>
          <w:color w:val="232120"/>
        </w:rPr>
        <w:footnoteReference w:id="85"/>
      </w:r>
      <w:r w:rsidR="00670B76">
        <w:rPr>
          <w:rFonts w:cs="Arial"/>
          <w:color w:val="232120"/>
        </w:rPr>
        <w:t xml:space="preserve"> </w:t>
      </w:r>
      <w:r w:rsidR="00E04A30">
        <w:rPr>
          <w:rFonts w:cs="Arial"/>
          <w:color w:val="232120"/>
        </w:rPr>
        <w:t>Further</w:t>
      </w:r>
      <w:r w:rsidR="005E1979">
        <w:rPr>
          <w:rFonts w:cs="Arial"/>
          <w:color w:val="232120"/>
        </w:rPr>
        <w:t xml:space="preserve">, the rising cost of living </w:t>
      </w:r>
      <w:r w:rsidR="00CB248C">
        <w:rPr>
          <w:rFonts w:cs="Arial"/>
          <w:color w:val="232120"/>
        </w:rPr>
        <w:t>mean</w:t>
      </w:r>
      <w:r w:rsidR="0030051C">
        <w:rPr>
          <w:rFonts w:cs="Arial"/>
          <w:color w:val="232120"/>
        </w:rPr>
        <w:t>s</w:t>
      </w:r>
      <w:r w:rsidR="00CB248C">
        <w:rPr>
          <w:rFonts w:cs="Arial"/>
          <w:color w:val="232120"/>
        </w:rPr>
        <w:t xml:space="preserve"> that older people </w:t>
      </w:r>
      <w:r w:rsidR="0030051C">
        <w:rPr>
          <w:rFonts w:cs="Arial"/>
          <w:color w:val="232120"/>
        </w:rPr>
        <w:t xml:space="preserve">are more likely </w:t>
      </w:r>
      <w:r w:rsidR="00CB248C">
        <w:rPr>
          <w:rFonts w:cs="Arial"/>
          <w:color w:val="232120"/>
        </w:rPr>
        <w:t>to</w:t>
      </w:r>
      <w:r w:rsidR="00A82369">
        <w:rPr>
          <w:rFonts w:cs="Arial"/>
          <w:color w:val="232120"/>
        </w:rPr>
        <w:t xml:space="preserve"> seek to</w:t>
      </w:r>
      <w:r w:rsidR="00CB248C">
        <w:rPr>
          <w:rFonts w:cs="Arial"/>
          <w:color w:val="232120"/>
        </w:rPr>
        <w:t xml:space="preserve"> return to work </w:t>
      </w:r>
      <w:r w:rsidR="00FA3211">
        <w:rPr>
          <w:rFonts w:cs="Arial"/>
          <w:color w:val="232120"/>
        </w:rPr>
        <w:t xml:space="preserve">and </w:t>
      </w:r>
      <w:r w:rsidR="0030051C">
        <w:rPr>
          <w:rFonts w:cs="Arial"/>
          <w:color w:val="232120"/>
        </w:rPr>
        <w:t xml:space="preserve">need </w:t>
      </w:r>
      <w:r w:rsidR="00EE24E6">
        <w:rPr>
          <w:rFonts w:cs="Arial"/>
          <w:color w:val="232120"/>
        </w:rPr>
        <w:t xml:space="preserve">access </w:t>
      </w:r>
      <w:r w:rsidR="0030051C">
        <w:rPr>
          <w:rFonts w:cs="Arial"/>
          <w:color w:val="232120"/>
        </w:rPr>
        <w:t xml:space="preserve">to </w:t>
      </w:r>
      <w:r w:rsidR="00EE24E6">
        <w:rPr>
          <w:rFonts w:cs="Arial"/>
          <w:color w:val="232120"/>
        </w:rPr>
        <w:t xml:space="preserve">support </w:t>
      </w:r>
      <w:r w:rsidR="00F52B58">
        <w:rPr>
          <w:rFonts w:cs="Arial"/>
          <w:color w:val="232120"/>
        </w:rPr>
        <w:t>to re-train or upskill.</w:t>
      </w:r>
      <w:r w:rsidR="00945FD7">
        <w:rPr>
          <w:rStyle w:val="FootnoteReference"/>
          <w:rFonts w:cs="Arial"/>
          <w:color w:val="232120"/>
        </w:rPr>
        <w:footnoteReference w:id="86"/>
      </w:r>
      <w:r w:rsidR="00F52B58">
        <w:rPr>
          <w:rFonts w:cs="Arial"/>
          <w:color w:val="232120"/>
        </w:rPr>
        <w:t xml:space="preserve"> </w:t>
      </w:r>
    </w:p>
    <w:p w14:paraId="4E0AD976" w14:textId="77777777" w:rsidR="005C6A1E" w:rsidRDefault="005C6A1E" w:rsidP="00CA1F61"/>
    <w:p w14:paraId="7EEACB9C" w14:textId="277ADF9E" w:rsidR="00825044" w:rsidRPr="00825044" w:rsidRDefault="005C6A1E" w:rsidP="00667DA5">
      <w:pPr>
        <w:pStyle w:val="ListParagraph"/>
        <w:numPr>
          <w:ilvl w:val="1"/>
          <w:numId w:val="15"/>
        </w:numPr>
        <w:suppressAutoHyphens/>
        <w:spacing w:line="276" w:lineRule="auto"/>
        <w:ind w:left="709" w:hanging="862"/>
      </w:pPr>
      <w:r>
        <w:t>Th</w:t>
      </w:r>
      <w:r w:rsidR="004027D5">
        <w:t>e implications of t</w:t>
      </w:r>
      <w:r w:rsidR="00D47841">
        <w:t>his</w:t>
      </w:r>
      <w:r w:rsidR="004027D5">
        <w:t xml:space="preserve"> measure are </w:t>
      </w:r>
      <w:r>
        <w:t xml:space="preserve">particularly concerning in the context of </w:t>
      </w:r>
      <w:r w:rsidR="00F60E4F">
        <w:t xml:space="preserve">the loss of </w:t>
      </w:r>
      <w:r w:rsidR="00DB1F36">
        <w:t xml:space="preserve">the European Social Fund and </w:t>
      </w:r>
      <w:r w:rsidR="004027D5">
        <w:t xml:space="preserve">the </w:t>
      </w:r>
      <w:r w:rsidR="00DB1F36">
        <w:t>ongoing issues with</w:t>
      </w:r>
      <w:r w:rsidR="00CA5F2C">
        <w:t xml:space="preserve"> the</w:t>
      </w:r>
      <w:r w:rsidR="00DB1F36">
        <w:t xml:space="preserve"> UK Shared Prosperity Fund.</w:t>
      </w:r>
      <w:r w:rsidR="0078522C">
        <w:rPr>
          <w:rStyle w:val="FootnoteReference"/>
        </w:rPr>
        <w:footnoteReference w:id="87"/>
      </w:r>
      <w:r w:rsidR="004027D5">
        <w:t xml:space="preserve"> </w:t>
      </w:r>
      <w:r w:rsidR="00CA5F2C">
        <w:t xml:space="preserve">The </w:t>
      </w:r>
      <w:r w:rsidR="005924DA">
        <w:t xml:space="preserve">cumulative impact of </w:t>
      </w:r>
      <w:r w:rsidR="00D33ED7">
        <w:t xml:space="preserve">funding reductions to employment support services </w:t>
      </w:r>
      <w:r w:rsidR="00E03C56">
        <w:t xml:space="preserve">is likely to </w:t>
      </w:r>
      <w:r w:rsidR="00D33ED7">
        <w:t xml:space="preserve">result in the </w:t>
      </w:r>
      <w:r w:rsidR="003D7C58" w:rsidRPr="00D33ED7">
        <w:rPr>
          <w:rFonts w:cs="Arial"/>
          <w:color w:val="232120"/>
        </w:rPr>
        <w:t>weakening of</w:t>
      </w:r>
      <w:r w:rsidR="00CA7DF1" w:rsidRPr="00D33ED7">
        <w:rPr>
          <w:rFonts w:cs="Arial"/>
          <w:color w:val="232120"/>
        </w:rPr>
        <w:t xml:space="preserve"> measures </w:t>
      </w:r>
      <w:r w:rsidR="00E259F5" w:rsidRPr="00D33ED7">
        <w:rPr>
          <w:rFonts w:cs="Arial"/>
          <w:color w:val="232120"/>
        </w:rPr>
        <w:t>that pro</w:t>
      </w:r>
      <w:r w:rsidR="00E6350D" w:rsidRPr="00D33ED7">
        <w:rPr>
          <w:rFonts w:cs="Arial"/>
          <w:color w:val="232120"/>
        </w:rPr>
        <w:t>mote</w:t>
      </w:r>
      <w:r w:rsidR="009361E9" w:rsidRPr="00D33ED7">
        <w:rPr>
          <w:rFonts w:cs="Arial"/>
          <w:color w:val="232120"/>
        </w:rPr>
        <w:t xml:space="preserve"> </w:t>
      </w:r>
      <w:r w:rsidR="00035B19">
        <w:rPr>
          <w:rFonts w:cs="Arial"/>
          <w:color w:val="232120"/>
        </w:rPr>
        <w:t xml:space="preserve">inclusivity, </w:t>
      </w:r>
      <w:r w:rsidR="009361E9" w:rsidRPr="00D33ED7">
        <w:rPr>
          <w:rFonts w:cs="Arial"/>
          <w:color w:val="232120"/>
        </w:rPr>
        <w:t>non</w:t>
      </w:r>
      <w:r w:rsidR="009361E9" w:rsidRPr="00D33ED7">
        <w:rPr>
          <w:rFonts w:ascii="Cambria Math" w:hAnsi="Cambria Math" w:cs="Cambria Math"/>
          <w:color w:val="232120"/>
        </w:rPr>
        <w:t>‑</w:t>
      </w:r>
      <w:r w:rsidR="009361E9" w:rsidRPr="00D33ED7">
        <w:rPr>
          <w:rFonts w:cs="Arial"/>
          <w:color w:val="232120"/>
        </w:rPr>
        <w:t>discrimination</w:t>
      </w:r>
      <w:r w:rsidR="00FA57D2">
        <w:rPr>
          <w:rFonts w:cs="Arial"/>
          <w:color w:val="232120"/>
        </w:rPr>
        <w:t>,</w:t>
      </w:r>
      <w:r w:rsidR="009361E9" w:rsidRPr="00D33ED7">
        <w:rPr>
          <w:rFonts w:cs="Arial"/>
          <w:color w:val="232120"/>
        </w:rPr>
        <w:t xml:space="preserve"> and equal </w:t>
      </w:r>
      <w:r w:rsidR="000B6E34" w:rsidRPr="00D33ED7">
        <w:rPr>
          <w:rFonts w:cs="Arial"/>
          <w:color w:val="232120"/>
        </w:rPr>
        <w:t>access to</w:t>
      </w:r>
      <w:r w:rsidR="009361E9" w:rsidRPr="00D33ED7">
        <w:rPr>
          <w:rFonts w:cs="Arial"/>
          <w:color w:val="232120"/>
        </w:rPr>
        <w:t xml:space="preserve"> </w:t>
      </w:r>
      <w:r w:rsidR="00D33ED7">
        <w:rPr>
          <w:rFonts w:cs="Arial"/>
          <w:color w:val="232120"/>
        </w:rPr>
        <w:t>work</w:t>
      </w:r>
      <w:r w:rsidR="00CC58A5">
        <w:rPr>
          <w:rFonts w:cs="Arial"/>
          <w:color w:val="232120"/>
        </w:rPr>
        <w:t xml:space="preserve"> in NI. </w:t>
      </w:r>
      <w:r w:rsidR="00F707EE">
        <w:rPr>
          <w:rFonts w:cs="Arial"/>
          <w:color w:val="232120"/>
        </w:rPr>
        <w:t xml:space="preserve">In this context, the NIHRC </w:t>
      </w:r>
      <w:r w:rsidR="00650FFD">
        <w:rPr>
          <w:rFonts w:cs="Arial"/>
          <w:color w:val="232120"/>
        </w:rPr>
        <w:t>emphasise the</w:t>
      </w:r>
      <w:r w:rsidR="00A943C3">
        <w:rPr>
          <w:rFonts w:cs="Arial"/>
          <w:color w:val="232120"/>
        </w:rPr>
        <w:t xml:space="preserve"> vital</w:t>
      </w:r>
      <w:r w:rsidR="00650FFD">
        <w:rPr>
          <w:rFonts w:cs="Arial"/>
          <w:color w:val="232120"/>
        </w:rPr>
        <w:t xml:space="preserve"> role of third sector organisations who </w:t>
      </w:r>
      <w:r w:rsidR="00893C11">
        <w:rPr>
          <w:rFonts w:cs="Arial"/>
          <w:color w:val="232120"/>
        </w:rPr>
        <w:t xml:space="preserve">enable and provide access to </w:t>
      </w:r>
      <w:r w:rsidR="00163136">
        <w:rPr>
          <w:rFonts w:cs="Arial"/>
          <w:color w:val="232120"/>
        </w:rPr>
        <w:t>essential services, particularly for marginalised people</w:t>
      </w:r>
      <w:r w:rsidR="00A943C3">
        <w:rPr>
          <w:rFonts w:cs="Arial"/>
          <w:color w:val="232120"/>
        </w:rPr>
        <w:t xml:space="preserve"> who face </w:t>
      </w:r>
      <w:r w:rsidR="00EA4FC0">
        <w:rPr>
          <w:rFonts w:cs="Arial"/>
          <w:color w:val="232120"/>
        </w:rPr>
        <w:t>significant barriers</w:t>
      </w:r>
      <w:r w:rsidR="00A943C3">
        <w:rPr>
          <w:rFonts w:cs="Arial"/>
          <w:color w:val="232120"/>
        </w:rPr>
        <w:t xml:space="preserve">. </w:t>
      </w:r>
    </w:p>
    <w:p w14:paraId="1092177C" w14:textId="77777777" w:rsidR="00825044" w:rsidRPr="00825044" w:rsidRDefault="00825044" w:rsidP="00825044">
      <w:pPr>
        <w:pStyle w:val="ListParagraph"/>
        <w:rPr>
          <w:rFonts w:cs="Arial"/>
          <w:color w:val="232120"/>
        </w:rPr>
      </w:pPr>
    </w:p>
    <w:p w14:paraId="0B8541C6" w14:textId="35573A1F" w:rsidR="00B90397" w:rsidRPr="00825044" w:rsidRDefault="00480C2B" w:rsidP="00667DA5">
      <w:pPr>
        <w:pStyle w:val="ListParagraph"/>
        <w:numPr>
          <w:ilvl w:val="1"/>
          <w:numId w:val="15"/>
        </w:numPr>
        <w:suppressAutoHyphens/>
        <w:spacing w:line="276" w:lineRule="auto"/>
        <w:ind w:left="709" w:hanging="862"/>
      </w:pPr>
      <w:r>
        <w:rPr>
          <w:rFonts w:cs="Arial"/>
          <w:color w:val="232120"/>
        </w:rPr>
        <w:t xml:space="preserve">The NIHRC </w:t>
      </w:r>
      <w:r w:rsidR="00985255">
        <w:rPr>
          <w:rFonts w:cs="Arial"/>
          <w:color w:val="232120"/>
        </w:rPr>
        <w:t>would highlight that the</w:t>
      </w:r>
      <w:r>
        <w:rPr>
          <w:rFonts w:cs="Arial"/>
          <w:color w:val="232120"/>
        </w:rPr>
        <w:t xml:space="preserve"> </w:t>
      </w:r>
      <w:r w:rsidR="009C6B4F">
        <w:rPr>
          <w:rFonts w:cs="Arial"/>
          <w:color w:val="232120"/>
        </w:rPr>
        <w:t xml:space="preserve">right to work, as a minimum, </w:t>
      </w:r>
      <w:r w:rsidR="00C73A19">
        <w:rPr>
          <w:rFonts w:cs="Arial"/>
          <w:color w:val="232120"/>
        </w:rPr>
        <w:t xml:space="preserve">requires </w:t>
      </w:r>
      <w:r w:rsidR="001632EB">
        <w:rPr>
          <w:rFonts w:cs="Arial"/>
          <w:color w:val="232120"/>
        </w:rPr>
        <w:t xml:space="preserve">“deliberate, concrete and targeted” </w:t>
      </w:r>
      <w:r w:rsidR="00AB42E5">
        <w:rPr>
          <w:rFonts w:cs="Arial"/>
          <w:color w:val="232120"/>
        </w:rPr>
        <w:t>steps</w:t>
      </w:r>
      <w:r w:rsidR="001632EB" w:rsidRPr="001632EB">
        <w:rPr>
          <w:rFonts w:cs="Arial"/>
          <w:color w:val="232120"/>
        </w:rPr>
        <w:t xml:space="preserve"> </w:t>
      </w:r>
      <w:r w:rsidR="00804A4A">
        <w:rPr>
          <w:rFonts w:cs="Arial"/>
          <w:color w:val="232120"/>
        </w:rPr>
        <w:t xml:space="preserve">that </w:t>
      </w:r>
      <w:r w:rsidR="001632EB" w:rsidRPr="001632EB">
        <w:rPr>
          <w:rFonts w:cs="Arial"/>
          <w:color w:val="232120"/>
        </w:rPr>
        <w:t>combat discrimination</w:t>
      </w:r>
      <w:r w:rsidR="001632EB">
        <w:rPr>
          <w:rFonts w:cs="Arial"/>
          <w:color w:val="232120"/>
        </w:rPr>
        <w:t>,</w:t>
      </w:r>
      <w:r w:rsidR="001632EB" w:rsidRPr="001632EB">
        <w:rPr>
          <w:rFonts w:cs="Arial"/>
          <w:color w:val="232120"/>
        </w:rPr>
        <w:t xml:space="preserve"> promote equal access</w:t>
      </w:r>
      <w:r w:rsidR="001632EB">
        <w:rPr>
          <w:rFonts w:cs="Arial"/>
          <w:color w:val="232120"/>
        </w:rPr>
        <w:t xml:space="preserve"> and</w:t>
      </w:r>
      <w:r w:rsidR="00804A4A">
        <w:rPr>
          <w:rFonts w:cs="Arial"/>
          <w:color w:val="232120"/>
        </w:rPr>
        <w:t xml:space="preserve"> </w:t>
      </w:r>
      <w:r w:rsidR="000225E9">
        <w:rPr>
          <w:rFonts w:cs="Arial"/>
          <w:color w:val="232120"/>
        </w:rPr>
        <w:t>monitor</w:t>
      </w:r>
      <w:r w:rsidR="00910A96">
        <w:rPr>
          <w:rFonts w:cs="Arial"/>
          <w:color w:val="232120"/>
        </w:rPr>
        <w:t xml:space="preserve"> progress</w:t>
      </w:r>
      <w:r w:rsidR="00140CDE">
        <w:rPr>
          <w:rFonts w:cs="Arial"/>
          <w:color w:val="232120"/>
        </w:rPr>
        <w:t>, particularly for</w:t>
      </w:r>
      <w:r w:rsidR="00804A4A">
        <w:rPr>
          <w:rFonts w:cs="Arial"/>
          <w:color w:val="232120"/>
        </w:rPr>
        <w:t xml:space="preserve"> </w:t>
      </w:r>
      <w:r w:rsidR="00B8086D" w:rsidRPr="00B8086D">
        <w:rPr>
          <w:rFonts w:cs="Arial"/>
          <w:color w:val="232120"/>
        </w:rPr>
        <w:t>disadvantaged individuals and groups</w:t>
      </w:r>
      <w:r w:rsidR="00B8086D">
        <w:rPr>
          <w:rFonts w:cs="Arial"/>
          <w:color w:val="232120"/>
        </w:rPr>
        <w:t>.</w:t>
      </w:r>
      <w:r w:rsidR="00140CDE">
        <w:rPr>
          <w:rStyle w:val="FootnoteReference"/>
          <w:rFonts w:cs="Arial"/>
          <w:color w:val="232120"/>
        </w:rPr>
        <w:footnoteReference w:id="88"/>
      </w:r>
      <w:r w:rsidR="000225E9">
        <w:rPr>
          <w:rFonts w:cs="Arial"/>
          <w:color w:val="232120"/>
        </w:rPr>
        <w:t xml:space="preserve"> </w:t>
      </w:r>
      <w:r w:rsidR="00667DA5">
        <w:rPr>
          <w:rFonts w:cs="Arial"/>
          <w:color w:val="232120"/>
        </w:rPr>
        <w:t xml:space="preserve">In </w:t>
      </w:r>
      <w:r w:rsidR="00C740F9" w:rsidRPr="00667DA5">
        <w:rPr>
          <w:rFonts w:cs="Arial"/>
          <w:color w:val="232120"/>
        </w:rPr>
        <w:t xml:space="preserve">accordance with Article 2 ICESCR and </w:t>
      </w:r>
      <w:r w:rsidR="00762913" w:rsidRPr="00667DA5">
        <w:rPr>
          <w:rFonts w:cs="Arial"/>
          <w:color w:val="232120"/>
        </w:rPr>
        <w:t xml:space="preserve">recommendation 3.12 above, the Department </w:t>
      </w:r>
      <w:r w:rsidR="00B97EF5" w:rsidRPr="00667DA5">
        <w:rPr>
          <w:rFonts w:cs="Arial"/>
          <w:color w:val="232120"/>
        </w:rPr>
        <w:t xml:space="preserve">should demonstrate that </w:t>
      </w:r>
      <w:r w:rsidR="00680610" w:rsidRPr="00667DA5">
        <w:rPr>
          <w:rFonts w:cs="Arial"/>
          <w:color w:val="232120"/>
        </w:rPr>
        <w:t>every effort has been made to use all resources that are at its disposal to satisfy, as a matter of priority, the minimum essential levels of</w:t>
      </w:r>
      <w:r w:rsidR="00667DA5" w:rsidRPr="00667DA5">
        <w:rPr>
          <w:rFonts w:cs="Arial"/>
          <w:color w:val="232120"/>
        </w:rPr>
        <w:t xml:space="preserve"> the right to work.</w:t>
      </w:r>
    </w:p>
    <w:p w14:paraId="6A675DC2" w14:textId="77777777" w:rsidR="00825044" w:rsidRDefault="00825044" w:rsidP="00825044">
      <w:pPr>
        <w:pStyle w:val="ListParagraph"/>
      </w:pPr>
    </w:p>
    <w:p w14:paraId="57424B5A" w14:textId="77777777" w:rsidR="00EA4FC0" w:rsidRPr="00EA4FC0" w:rsidRDefault="00825044" w:rsidP="00EA4FC0">
      <w:pPr>
        <w:pStyle w:val="ListParagraph"/>
        <w:numPr>
          <w:ilvl w:val="1"/>
          <w:numId w:val="15"/>
        </w:numPr>
        <w:suppressAutoHyphens/>
        <w:spacing w:line="276" w:lineRule="auto"/>
        <w:ind w:left="709" w:hanging="862"/>
        <w:rPr>
          <w:b/>
          <w:bCs/>
        </w:rPr>
      </w:pPr>
      <w:r w:rsidRPr="00825044">
        <w:rPr>
          <w:b/>
          <w:bCs/>
        </w:rPr>
        <w:t xml:space="preserve">The NIHRC recommends that </w:t>
      </w:r>
      <w:r w:rsidR="004C118E">
        <w:rPr>
          <w:b/>
          <w:bCs/>
        </w:rPr>
        <w:t xml:space="preserve">the Department for Communities </w:t>
      </w:r>
      <w:r w:rsidR="0001778E">
        <w:rPr>
          <w:b/>
          <w:bCs/>
        </w:rPr>
        <w:t>maintains</w:t>
      </w:r>
      <w:r w:rsidR="00727EFE">
        <w:rPr>
          <w:b/>
          <w:bCs/>
        </w:rPr>
        <w:t xml:space="preserve"> targeted programmes </w:t>
      </w:r>
      <w:r w:rsidR="007C077E">
        <w:rPr>
          <w:b/>
          <w:bCs/>
        </w:rPr>
        <w:t>that ensure</w:t>
      </w:r>
      <w:r w:rsidR="00517E6D" w:rsidRPr="000D01A1">
        <w:rPr>
          <w:rFonts w:cs="Arial"/>
          <w:b/>
          <w:bCs/>
          <w:color w:val="232120"/>
        </w:rPr>
        <w:t xml:space="preserve"> access to, retention of and advancement in</w:t>
      </w:r>
      <w:r w:rsidR="00541292">
        <w:rPr>
          <w:rFonts w:cs="Arial"/>
          <w:b/>
          <w:bCs/>
          <w:color w:val="232120"/>
        </w:rPr>
        <w:t xml:space="preserve"> </w:t>
      </w:r>
      <w:r w:rsidR="00517E6D" w:rsidRPr="000D01A1">
        <w:rPr>
          <w:rFonts w:cs="Arial"/>
          <w:b/>
          <w:bCs/>
          <w:color w:val="232120"/>
        </w:rPr>
        <w:t>the labour</w:t>
      </w:r>
      <w:r w:rsidR="00C777CC">
        <w:rPr>
          <w:rFonts w:cs="Arial"/>
          <w:b/>
          <w:bCs/>
          <w:color w:val="232120"/>
        </w:rPr>
        <w:t xml:space="preserve"> </w:t>
      </w:r>
      <w:r w:rsidR="00517E6D" w:rsidRPr="000D01A1">
        <w:rPr>
          <w:rFonts w:cs="Arial"/>
          <w:b/>
          <w:bCs/>
          <w:color w:val="232120"/>
        </w:rPr>
        <w:t>market</w:t>
      </w:r>
      <w:r w:rsidR="00A63133">
        <w:rPr>
          <w:rFonts w:cs="Arial"/>
          <w:b/>
          <w:bCs/>
          <w:color w:val="232120"/>
        </w:rPr>
        <w:t>, p</w:t>
      </w:r>
      <w:r w:rsidR="00C777CC">
        <w:rPr>
          <w:rFonts w:cs="Arial"/>
          <w:b/>
          <w:bCs/>
          <w:color w:val="232120"/>
        </w:rPr>
        <w:t xml:space="preserve">articularly </w:t>
      </w:r>
      <w:r w:rsidR="000D01A1" w:rsidRPr="000D01A1">
        <w:rPr>
          <w:rFonts w:cs="Arial"/>
          <w:b/>
          <w:bCs/>
          <w:color w:val="232120"/>
        </w:rPr>
        <w:t>for people with disabilities, young people, women, migrants</w:t>
      </w:r>
      <w:r w:rsidR="00A63133">
        <w:rPr>
          <w:rFonts w:cs="Arial"/>
          <w:b/>
          <w:bCs/>
          <w:color w:val="232120"/>
        </w:rPr>
        <w:t>,</w:t>
      </w:r>
      <w:r w:rsidR="000D01A1" w:rsidRPr="000D01A1">
        <w:rPr>
          <w:rFonts w:cs="Arial"/>
          <w:b/>
          <w:bCs/>
          <w:color w:val="232120"/>
        </w:rPr>
        <w:t xml:space="preserve"> older people</w:t>
      </w:r>
      <w:r w:rsidR="00A63133">
        <w:rPr>
          <w:rFonts w:cs="Arial"/>
          <w:b/>
          <w:bCs/>
          <w:color w:val="232120"/>
        </w:rPr>
        <w:t xml:space="preserve"> and </w:t>
      </w:r>
      <w:r w:rsidR="00541292">
        <w:rPr>
          <w:rFonts w:cs="Arial"/>
          <w:b/>
          <w:bCs/>
          <w:color w:val="232120"/>
        </w:rPr>
        <w:t>those living in rural areas.</w:t>
      </w:r>
    </w:p>
    <w:p w14:paraId="2551A0A0" w14:textId="77777777" w:rsidR="00EA4FC0" w:rsidRPr="00EA4FC0" w:rsidRDefault="00EA4FC0" w:rsidP="00EA4FC0">
      <w:pPr>
        <w:pStyle w:val="ListParagraph"/>
        <w:rPr>
          <w:rFonts w:cs="Arial"/>
          <w:b/>
          <w:color w:val="232120"/>
        </w:rPr>
      </w:pPr>
    </w:p>
    <w:p w14:paraId="2B8E31B2" w14:textId="490B6D84" w:rsidR="00EA4FC0" w:rsidRPr="00EA4FC0" w:rsidRDefault="00EA4FC0" w:rsidP="00EA4FC0">
      <w:pPr>
        <w:pStyle w:val="ListParagraph"/>
        <w:numPr>
          <w:ilvl w:val="1"/>
          <w:numId w:val="15"/>
        </w:numPr>
        <w:suppressAutoHyphens/>
        <w:spacing w:line="276" w:lineRule="auto"/>
        <w:ind w:left="709" w:hanging="862"/>
        <w:rPr>
          <w:b/>
          <w:bCs/>
        </w:rPr>
      </w:pPr>
      <w:r w:rsidRPr="00EA4FC0">
        <w:rPr>
          <w:rFonts w:cs="Arial"/>
          <w:b/>
          <w:color w:val="232120"/>
        </w:rPr>
        <w:t xml:space="preserve">The NIHRC recommends that the Department for Communities takes all appropriate measures to sustain resources in third sector organisations and safeguard the effective provision of support and advice on social security, employment, and housing to those who require it most. </w:t>
      </w:r>
    </w:p>
    <w:p w14:paraId="2FB58E06" w14:textId="77777777" w:rsidR="004469A2" w:rsidRDefault="004469A2" w:rsidP="00FE3D3C">
      <w:pPr>
        <w:pStyle w:val="BasicParagraph"/>
        <w:suppressAutoHyphens/>
        <w:spacing w:line="276" w:lineRule="auto"/>
        <w:rPr>
          <w:rFonts w:ascii="Verdana" w:hAnsi="Verdana" w:cs="Arial"/>
          <w:color w:val="232120"/>
        </w:rPr>
      </w:pPr>
    </w:p>
    <w:p w14:paraId="6981BFE9" w14:textId="2A16D634" w:rsidR="004469A2" w:rsidRDefault="004469A2" w:rsidP="004C774A">
      <w:pPr>
        <w:pStyle w:val="Heading2"/>
        <w:spacing w:line="276" w:lineRule="auto"/>
      </w:pPr>
      <w:bookmarkStart w:id="9" w:name="_Toc141088109"/>
      <w:r>
        <w:t>S</w:t>
      </w:r>
      <w:r w:rsidR="00B41C3F">
        <w:t xml:space="preserve">ocial Housing </w:t>
      </w:r>
      <w:r w:rsidR="00E2370B">
        <w:t>and Homelessness</w:t>
      </w:r>
      <w:bookmarkEnd w:id="9"/>
    </w:p>
    <w:p w14:paraId="0ABB3C08" w14:textId="77777777" w:rsidR="004469A2" w:rsidRPr="004469A2" w:rsidRDefault="004469A2" w:rsidP="004C774A">
      <w:pPr>
        <w:spacing w:line="276" w:lineRule="auto"/>
      </w:pPr>
    </w:p>
    <w:p w14:paraId="70B33718" w14:textId="5CAC4632" w:rsidR="00E14469" w:rsidRDefault="005CE03C" w:rsidP="00EA4FC0">
      <w:pPr>
        <w:pStyle w:val="ListParagraph"/>
        <w:numPr>
          <w:ilvl w:val="1"/>
          <w:numId w:val="16"/>
        </w:numPr>
        <w:suppressAutoHyphens/>
        <w:spacing w:line="276" w:lineRule="auto"/>
        <w:ind w:left="709"/>
      </w:pPr>
      <w:r>
        <w:t xml:space="preserve">Article 11 of ICESCR provides for the </w:t>
      </w:r>
      <w:proofErr w:type="gramStart"/>
      <w:r>
        <w:t>right  to</w:t>
      </w:r>
      <w:proofErr w:type="gramEnd"/>
      <w:r>
        <w:t xml:space="preserve"> an adequate standard of living</w:t>
      </w:r>
      <w:r w:rsidR="01AC95AB">
        <w:t xml:space="preserve">, </w:t>
      </w:r>
      <w:r w:rsidR="0738D1D7">
        <w:t>including</w:t>
      </w:r>
      <w:r w:rsidR="01AC95AB">
        <w:t xml:space="preserve"> adequate housing</w:t>
      </w:r>
      <w:r w:rsidR="0738D1D7">
        <w:t xml:space="preserve">, which is inextricably linked to the right to social </w:t>
      </w:r>
      <w:r w:rsidR="6A7E16EC">
        <w:t>security</w:t>
      </w:r>
      <w:r w:rsidR="01AC95AB">
        <w:t>.</w:t>
      </w:r>
      <w:r w:rsidR="7484C2E3">
        <w:t xml:space="preserve"> </w:t>
      </w:r>
      <w:r w:rsidR="5614CE31">
        <w:t xml:space="preserve">In </w:t>
      </w:r>
      <w:r w:rsidR="7484C2E3">
        <w:t xml:space="preserve">General Comment No.4, </w:t>
      </w:r>
      <w:r w:rsidR="5614CE31">
        <w:t>the ICESCR Committee</w:t>
      </w:r>
      <w:r w:rsidR="7484C2E3">
        <w:t xml:space="preserve"> establishes that this right applies without discrimination and should be given a wide interpretation, </w:t>
      </w:r>
    </w:p>
    <w:p w14:paraId="39415747" w14:textId="77777777" w:rsidR="00E14469" w:rsidRDefault="00E14469" w:rsidP="00E14469">
      <w:pPr>
        <w:pStyle w:val="ListParagraph"/>
        <w:suppressAutoHyphens/>
        <w:spacing w:line="276" w:lineRule="auto"/>
        <w:ind w:left="709"/>
      </w:pPr>
    </w:p>
    <w:p w14:paraId="751B7609" w14:textId="3B5F881D" w:rsidR="00D34458" w:rsidRDefault="00013E91" w:rsidP="00E14469">
      <w:pPr>
        <w:pStyle w:val="ListParagraph"/>
        <w:suppressAutoHyphens/>
        <w:spacing w:line="276" w:lineRule="auto"/>
        <w:ind w:left="1440"/>
      </w:pPr>
      <w:r>
        <w:t>…</w:t>
      </w:r>
      <w:r w:rsidR="00E14469">
        <w:t>the right to housing should not be interpreted in a narrow or restrictive sense which equates it with, for example, the shelter provided by merely having a roof over one’s head [...]. Rather it should be seen as the right to live somewhere in security, peace and dignity.</w:t>
      </w:r>
      <w:r w:rsidR="00E14469">
        <w:rPr>
          <w:rStyle w:val="FootnoteReference"/>
        </w:rPr>
        <w:footnoteReference w:id="89"/>
      </w:r>
    </w:p>
    <w:p w14:paraId="1E88A3F0" w14:textId="77777777" w:rsidR="00555A1D" w:rsidRDefault="00555A1D" w:rsidP="00555A1D">
      <w:pPr>
        <w:pStyle w:val="ListParagraph"/>
        <w:suppressAutoHyphens/>
        <w:spacing w:line="276" w:lineRule="auto"/>
        <w:ind w:left="709"/>
      </w:pPr>
    </w:p>
    <w:p w14:paraId="066462F9" w14:textId="2C7AA5D2" w:rsidR="005C65F5" w:rsidRDefault="005C65F5" w:rsidP="00EA4FC0">
      <w:pPr>
        <w:pStyle w:val="ListParagraph"/>
        <w:numPr>
          <w:ilvl w:val="1"/>
          <w:numId w:val="16"/>
        </w:numPr>
        <w:suppressAutoHyphens/>
        <w:spacing w:line="276" w:lineRule="auto"/>
        <w:ind w:left="709"/>
      </w:pPr>
      <w:r>
        <w:t xml:space="preserve">In addition, the Committee makes clear that, even during economic recession, </w:t>
      </w:r>
      <w:r w:rsidR="00FF6D06">
        <w:t>S</w:t>
      </w:r>
      <w:r>
        <w:t xml:space="preserve">tates ought not to regress on measures established to protect the right to adequate housing and must continue to afford </w:t>
      </w:r>
      <w:proofErr w:type="gramStart"/>
      <w:r>
        <w:t>particular consideration</w:t>
      </w:r>
      <w:proofErr w:type="gramEnd"/>
      <w:r>
        <w:t xml:space="preserve"> for those living in unfavourable conditions,</w:t>
      </w:r>
    </w:p>
    <w:p w14:paraId="2878EB1D" w14:textId="77777777" w:rsidR="00AD7346" w:rsidRDefault="00AD7346" w:rsidP="00AD7346">
      <w:pPr>
        <w:pStyle w:val="ListParagraph"/>
        <w:suppressAutoHyphens/>
        <w:spacing w:line="276" w:lineRule="auto"/>
        <w:ind w:left="709"/>
      </w:pPr>
    </w:p>
    <w:p w14:paraId="1027233C" w14:textId="3BF5B8D2" w:rsidR="008C45FD" w:rsidRDefault="008C45FD" w:rsidP="008C45FD">
      <w:pPr>
        <w:pStyle w:val="ListParagraph"/>
        <w:suppressAutoHyphens/>
        <w:spacing w:line="276" w:lineRule="auto"/>
        <w:ind w:left="1440"/>
      </w:pPr>
      <w:r>
        <w:t xml:space="preserve">States parties must give due priority to those social groups living in unfavourable conditions by giving them </w:t>
      </w:r>
      <w:proofErr w:type="gramStart"/>
      <w:r>
        <w:t>particular consideration</w:t>
      </w:r>
      <w:proofErr w:type="gramEnd"/>
      <w:r>
        <w:t>… The Committee is aware that external factors can affect the right to a continuous improvement of living conditions… the obligations under the Covenant continue to apply and are perhaps even more pertinent during times of economic contraction. It would thus appear to the Committee that a general decline in living and housing conditions, directly attributable to policy and legislative decisions by States parties, and in the absence of accompanying compensatory measures, would be inconsistent with the obligations under the Covenant.</w:t>
      </w:r>
      <w:r w:rsidR="00D5689B">
        <w:rPr>
          <w:rStyle w:val="FootnoteReference"/>
        </w:rPr>
        <w:footnoteReference w:id="90"/>
      </w:r>
    </w:p>
    <w:p w14:paraId="057552D3" w14:textId="77777777" w:rsidR="00F85097" w:rsidRPr="00F75140" w:rsidRDefault="00F85097" w:rsidP="00A5055E">
      <w:pPr>
        <w:suppressAutoHyphens/>
        <w:spacing w:line="276" w:lineRule="auto"/>
      </w:pPr>
    </w:p>
    <w:p w14:paraId="504CB886" w14:textId="580DCC85" w:rsidR="002A1636" w:rsidRDefault="01ECBF63" w:rsidP="002A1636">
      <w:pPr>
        <w:pStyle w:val="ListParagraph"/>
        <w:numPr>
          <w:ilvl w:val="1"/>
          <w:numId w:val="16"/>
        </w:numPr>
        <w:suppressAutoHyphens/>
        <w:spacing w:line="276" w:lineRule="auto"/>
        <w:ind w:left="709"/>
      </w:pPr>
      <w:r>
        <w:t xml:space="preserve">The ECHR does not contain an explicit right to adequate housing analogous to the ICESCR, Article 11(1). In certain contexts, however, social housing provision has been deemed to fall within Article 8 and Article 1 of Protocol 1. As abovementioned, in </w:t>
      </w:r>
      <w:r w:rsidRPr="40FF4167">
        <w:rPr>
          <w:i/>
          <w:iCs/>
        </w:rPr>
        <w:t>R (Bernard) v Enfield London Borough</w:t>
      </w:r>
      <w:r>
        <w:t>, the High Court found that the failure of a local council to provide a severely disabled wom</w:t>
      </w:r>
      <w:r w:rsidR="098C6B56">
        <w:t>a</w:t>
      </w:r>
      <w:r>
        <w:t>n and her family with suitably adapted accommodation “made it virtually impossible for them to have any meaningful private or family life for the purposes of Article 8”.</w:t>
      </w:r>
      <w:r w:rsidR="002A1636">
        <w:rPr>
          <w:rStyle w:val="FootnoteReference"/>
        </w:rPr>
        <w:footnoteReference w:id="91"/>
      </w:r>
      <w:r>
        <w:t xml:space="preserve"> In </w:t>
      </w:r>
      <w:proofErr w:type="spellStart"/>
      <w:r w:rsidRPr="40FF4167">
        <w:rPr>
          <w:i/>
          <w:iCs/>
        </w:rPr>
        <w:t>Teteriny</w:t>
      </w:r>
      <w:proofErr w:type="spellEnd"/>
      <w:r w:rsidRPr="40FF4167">
        <w:rPr>
          <w:i/>
          <w:iCs/>
        </w:rPr>
        <w:t xml:space="preserve"> v Russia</w:t>
      </w:r>
      <w:r>
        <w:t>, the ECtHR found a violation of Article 1 of Protocol 1 where the State had failed for ten years due to a lack of resources to provide social housing to an individual where a legitimate expectation had been established via a court order.</w:t>
      </w:r>
      <w:r w:rsidR="002A1636">
        <w:rPr>
          <w:rStyle w:val="FootnoteReference"/>
        </w:rPr>
        <w:footnoteReference w:id="92"/>
      </w:r>
    </w:p>
    <w:p w14:paraId="0E4D3E99" w14:textId="77777777" w:rsidR="002A1636" w:rsidRPr="00FB1EE1" w:rsidRDefault="002A1636" w:rsidP="002A1636">
      <w:pPr>
        <w:pStyle w:val="ListParagraph"/>
        <w:suppressAutoHyphens/>
        <w:spacing w:line="276" w:lineRule="auto"/>
        <w:ind w:left="709"/>
      </w:pPr>
    </w:p>
    <w:p w14:paraId="4AFF8677" w14:textId="5B2F3ECA" w:rsidR="00F75140" w:rsidRPr="00F85097" w:rsidRDefault="00F75140" w:rsidP="00D40D72">
      <w:pPr>
        <w:pStyle w:val="ListParagraph"/>
        <w:numPr>
          <w:ilvl w:val="1"/>
          <w:numId w:val="16"/>
        </w:numPr>
        <w:suppressAutoHyphens/>
        <w:spacing w:line="276" w:lineRule="auto"/>
        <w:ind w:left="709"/>
      </w:pPr>
      <w:r>
        <w:rPr>
          <w:rFonts w:cs="Arial"/>
          <w:bCs/>
          <w:color w:val="232120"/>
        </w:rPr>
        <w:t>In 2016, the UN ICESCR Committee urged the UK Government and NI Executive to</w:t>
      </w:r>
      <w:r w:rsidR="00F85097">
        <w:rPr>
          <w:rFonts w:cs="Arial"/>
          <w:bCs/>
          <w:color w:val="232120"/>
        </w:rPr>
        <w:t>,</w:t>
      </w:r>
    </w:p>
    <w:p w14:paraId="1D4555B7" w14:textId="77777777" w:rsidR="00F85097" w:rsidRDefault="00F85097" w:rsidP="00F85097">
      <w:pPr>
        <w:pStyle w:val="ListParagraph"/>
        <w:suppressAutoHyphens/>
        <w:spacing w:line="276" w:lineRule="auto"/>
        <w:ind w:left="709"/>
      </w:pPr>
    </w:p>
    <w:p w14:paraId="04E80781" w14:textId="531DF6A3" w:rsidR="00EF427F" w:rsidRDefault="00EF427F" w:rsidP="00EF427F">
      <w:pPr>
        <w:pStyle w:val="ListParagraph"/>
        <w:suppressAutoHyphens/>
        <w:spacing w:line="276" w:lineRule="auto"/>
        <w:ind w:left="1440"/>
      </w:pPr>
      <w:r>
        <w:t>…adopt all necessary measure to</w:t>
      </w:r>
      <w:r w:rsidR="00F85097">
        <w:t xml:space="preserve"> </w:t>
      </w:r>
      <w:r>
        <w:t xml:space="preserve">address the housing </w:t>
      </w:r>
      <w:r w:rsidR="00F85097">
        <w:t>deficit</w:t>
      </w:r>
      <w:r>
        <w:t xml:space="preserve"> by ensuring a sufficient supply of housing, in particularly social housing units, especially for the most disadvantaged and </w:t>
      </w:r>
      <w:r w:rsidR="00F85097">
        <w:t>marginalised individuals and groups, including middle-and-</w:t>
      </w:r>
      <w:proofErr w:type="gramStart"/>
      <w:r w:rsidR="00F85097">
        <w:t>low income</w:t>
      </w:r>
      <w:proofErr w:type="gramEnd"/>
      <w:r w:rsidR="00F85097">
        <w:t xml:space="preserve"> individuals and households, young people and persons with disabilities.</w:t>
      </w:r>
      <w:r w:rsidR="004C1024">
        <w:rPr>
          <w:rStyle w:val="FootnoteReference"/>
        </w:rPr>
        <w:footnoteReference w:id="93"/>
      </w:r>
    </w:p>
    <w:p w14:paraId="003162DB" w14:textId="77777777" w:rsidR="00A5055E" w:rsidRDefault="00A5055E" w:rsidP="00EF427F">
      <w:pPr>
        <w:pStyle w:val="ListParagraph"/>
        <w:suppressAutoHyphens/>
        <w:spacing w:line="276" w:lineRule="auto"/>
        <w:ind w:left="1440"/>
      </w:pPr>
    </w:p>
    <w:p w14:paraId="7ACC31EC" w14:textId="52945330" w:rsidR="00CB7D7B" w:rsidRPr="009226FA" w:rsidRDefault="00C01672" w:rsidP="00CB7D7B">
      <w:pPr>
        <w:pStyle w:val="ListParagraph"/>
        <w:numPr>
          <w:ilvl w:val="1"/>
          <w:numId w:val="16"/>
        </w:numPr>
        <w:suppressAutoHyphens/>
        <w:spacing w:line="276" w:lineRule="auto"/>
        <w:ind w:left="709"/>
      </w:pPr>
      <w:r w:rsidRPr="009226FA">
        <w:rPr>
          <w:rFonts w:cs="Arial"/>
          <w:bCs/>
          <w:color w:val="232120"/>
        </w:rPr>
        <w:t xml:space="preserve">In 2017, </w:t>
      </w:r>
      <w:r w:rsidR="00365E71" w:rsidRPr="009226FA">
        <w:rPr>
          <w:rFonts w:cs="Arial"/>
          <w:bCs/>
          <w:color w:val="232120"/>
        </w:rPr>
        <w:t xml:space="preserve">the CRPD Committee </w:t>
      </w:r>
      <w:r w:rsidR="009226FA">
        <w:rPr>
          <w:rFonts w:cs="Arial"/>
          <w:bCs/>
          <w:color w:val="232120"/>
        </w:rPr>
        <w:t>emphasised</w:t>
      </w:r>
      <w:r w:rsidR="00C36ADB" w:rsidRPr="009226FA">
        <w:rPr>
          <w:rFonts w:cs="Arial"/>
          <w:bCs/>
          <w:color w:val="232120"/>
        </w:rPr>
        <w:t xml:space="preserve"> </w:t>
      </w:r>
      <w:proofErr w:type="gramStart"/>
      <w:r w:rsidR="00C36ADB" w:rsidRPr="009226FA">
        <w:rPr>
          <w:rFonts w:cs="Arial"/>
          <w:bCs/>
          <w:color w:val="232120"/>
        </w:rPr>
        <w:t>particular concerns</w:t>
      </w:r>
      <w:proofErr w:type="gramEnd"/>
      <w:r w:rsidR="00C36ADB" w:rsidRPr="009226FA">
        <w:rPr>
          <w:rFonts w:cs="Arial"/>
          <w:bCs/>
          <w:color w:val="232120"/>
        </w:rPr>
        <w:t xml:space="preserve"> facing people with disabilities in respect of </w:t>
      </w:r>
      <w:r w:rsidR="009226FA">
        <w:rPr>
          <w:rFonts w:cs="Arial"/>
          <w:bCs/>
          <w:color w:val="232120"/>
        </w:rPr>
        <w:t xml:space="preserve">the availability of </w:t>
      </w:r>
      <w:r w:rsidR="00C36ADB" w:rsidRPr="009226FA">
        <w:rPr>
          <w:rFonts w:cs="Arial"/>
          <w:bCs/>
          <w:color w:val="232120"/>
        </w:rPr>
        <w:t>access</w:t>
      </w:r>
      <w:r w:rsidR="00F222AB" w:rsidRPr="009226FA">
        <w:rPr>
          <w:rFonts w:cs="Arial"/>
          <w:bCs/>
          <w:color w:val="232120"/>
        </w:rPr>
        <w:t>ible and affordable</w:t>
      </w:r>
      <w:r w:rsidR="00C36ADB" w:rsidRPr="009226FA">
        <w:rPr>
          <w:rFonts w:cs="Arial"/>
          <w:bCs/>
          <w:color w:val="232120"/>
        </w:rPr>
        <w:t xml:space="preserve"> housing </w:t>
      </w:r>
      <w:r w:rsidR="00F222AB" w:rsidRPr="009226FA">
        <w:rPr>
          <w:rFonts w:cs="Arial"/>
          <w:bCs/>
          <w:color w:val="232120"/>
        </w:rPr>
        <w:t>in the UK and NI</w:t>
      </w:r>
      <w:r w:rsidR="009226FA">
        <w:rPr>
          <w:rFonts w:cs="Arial"/>
          <w:bCs/>
          <w:color w:val="232120"/>
        </w:rPr>
        <w:t>.</w:t>
      </w:r>
      <w:r w:rsidR="009226FA">
        <w:rPr>
          <w:rStyle w:val="FootnoteReference"/>
          <w:rFonts w:cs="Arial"/>
          <w:bCs/>
          <w:color w:val="232120"/>
        </w:rPr>
        <w:footnoteReference w:id="94"/>
      </w:r>
      <w:r w:rsidR="009226FA">
        <w:rPr>
          <w:rFonts w:cs="Arial"/>
          <w:bCs/>
          <w:color w:val="232120"/>
        </w:rPr>
        <w:t xml:space="preserve"> </w:t>
      </w:r>
    </w:p>
    <w:p w14:paraId="3D06EE5E" w14:textId="77777777" w:rsidR="009226FA" w:rsidRPr="00C01672" w:rsidRDefault="009226FA" w:rsidP="009226FA">
      <w:pPr>
        <w:pStyle w:val="ListParagraph"/>
        <w:suppressAutoHyphens/>
        <w:spacing w:line="276" w:lineRule="auto"/>
        <w:ind w:left="709"/>
      </w:pPr>
    </w:p>
    <w:p w14:paraId="6B153A75" w14:textId="10A7ABA9" w:rsidR="00A5055E" w:rsidRPr="00655FE7" w:rsidRDefault="00A5055E" w:rsidP="00A5055E">
      <w:pPr>
        <w:pStyle w:val="ListParagraph"/>
        <w:numPr>
          <w:ilvl w:val="1"/>
          <w:numId w:val="16"/>
        </w:numPr>
        <w:suppressAutoHyphens/>
        <w:spacing w:line="276" w:lineRule="auto"/>
        <w:ind w:left="709"/>
      </w:pPr>
      <w:r w:rsidRPr="00246290">
        <w:rPr>
          <w:rFonts w:cs="Arial"/>
          <w:bCs/>
          <w:color w:val="232120"/>
        </w:rPr>
        <w:t xml:space="preserve">The NIHRC is concerned by the proposed cuts to the 2022/23 baseline budget of the NI Housing Executive and the impact this will have on the development and maintenance of social housing. </w:t>
      </w:r>
      <w:r w:rsidRPr="00246290">
        <w:rPr>
          <w:color w:val="000000"/>
        </w:rPr>
        <w:t xml:space="preserve">NI’s social housing sector </w:t>
      </w:r>
      <w:r>
        <w:rPr>
          <w:color w:val="000000"/>
        </w:rPr>
        <w:t>continues to struggle</w:t>
      </w:r>
      <w:r w:rsidRPr="00246290">
        <w:rPr>
          <w:color w:val="000000"/>
        </w:rPr>
        <w:t xml:space="preserve"> to meet its targets for housing provision </w:t>
      </w:r>
      <w:r w:rsidR="00271C6E">
        <w:rPr>
          <w:color w:val="000000"/>
        </w:rPr>
        <w:t xml:space="preserve">and </w:t>
      </w:r>
      <w:r w:rsidRPr="00246290">
        <w:rPr>
          <w:color w:val="000000"/>
        </w:rPr>
        <w:t xml:space="preserve">cope with increased need. On </w:t>
      </w:r>
      <w:r>
        <w:rPr>
          <w:color w:val="000000"/>
        </w:rPr>
        <w:t>31 March 2023</w:t>
      </w:r>
      <w:r w:rsidRPr="00246290">
        <w:rPr>
          <w:color w:val="000000"/>
        </w:rPr>
        <w:t xml:space="preserve">, the number of applicants on the social housing waiting list was </w:t>
      </w:r>
      <w:r>
        <w:t>45,105</w:t>
      </w:r>
      <w:r w:rsidRPr="00246290">
        <w:rPr>
          <w:color w:val="000000"/>
        </w:rPr>
        <w:t>.</w:t>
      </w:r>
      <w:r w:rsidR="00C26FCD">
        <w:rPr>
          <w:rStyle w:val="FootnoteReference"/>
          <w:color w:val="000000"/>
        </w:rPr>
        <w:footnoteReference w:id="95"/>
      </w:r>
      <w:r w:rsidRPr="00246290">
        <w:rPr>
          <w:color w:val="000000"/>
        </w:rPr>
        <w:t xml:space="preserve"> Of these applicants, </w:t>
      </w:r>
      <w:r>
        <w:rPr>
          <w:color w:val="000000"/>
        </w:rPr>
        <w:t>32,633</w:t>
      </w:r>
      <w:r w:rsidRPr="00246290">
        <w:rPr>
          <w:color w:val="000000"/>
        </w:rPr>
        <w:t xml:space="preserve"> were in housing stress.</w:t>
      </w:r>
      <w:r w:rsidR="00C26FCD">
        <w:rPr>
          <w:rStyle w:val="FootnoteReference"/>
          <w:color w:val="000000"/>
        </w:rPr>
        <w:footnoteReference w:id="96"/>
      </w:r>
      <w:r w:rsidRPr="00246290">
        <w:rPr>
          <w:color w:val="000000"/>
        </w:rPr>
        <w:t xml:space="preserve"> Any reduction in funding is likely to have an adverse impact on </w:t>
      </w:r>
      <w:r w:rsidR="005B0822">
        <w:rPr>
          <w:color w:val="000000"/>
        </w:rPr>
        <w:t>those most vulnerable to poverty</w:t>
      </w:r>
      <w:r w:rsidR="0020013A">
        <w:rPr>
          <w:color w:val="000000"/>
        </w:rPr>
        <w:t>,</w:t>
      </w:r>
      <w:r w:rsidR="00976083">
        <w:rPr>
          <w:color w:val="000000"/>
        </w:rPr>
        <w:t xml:space="preserve"> </w:t>
      </w:r>
      <w:r w:rsidR="0020013A">
        <w:rPr>
          <w:color w:val="000000"/>
        </w:rPr>
        <w:t>social exclusion</w:t>
      </w:r>
      <w:r w:rsidR="00976083">
        <w:rPr>
          <w:color w:val="000000"/>
        </w:rPr>
        <w:t xml:space="preserve"> and homelessness</w:t>
      </w:r>
      <w:r w:rsidR="0020013A">
        <w:rPr>
          <w:color w:val="000000"/>
        </w:rPr>
        <w:t xml:space="preserve">, including households with dependents, with disabilities, </w:t>
      </w:r>
      <w:r w:rsidR="00851949">
        <w:rPr>
          <w:color w:val="000000"/>
        </w:rPr>
        <w:t>women at risk of domestic violence and LGBTQI+ persons.</w:t>
      </w:r>
      <w:r w:rsidR="00851949">
        <w:rPr>
          <w:rStyle w:val="FootnoteReference"/>
          <w:color w:val="000000"/>
        </w:rPr>
        <w:footnoteReference w:id="97"/>
      </w:r>
    </w:p>
    <w:p w14:paraId="0045D403" w14:textId="77777777" w:rsidR="00FB1EE1" w:rsidRPr="00F85097" w:rsidRDefault="00FB1EE1" w:rsidP="00CB7D7B">
      <w:pPr>
        <w:suppressAutoHyphens/>
        <w:spacing w:line="276" w:lineRule="auto"/>
      </w:pPr>
    </w:p>
    <w:p w14:paraId="20B13785" w14:textId="789828E6" w:rsidR="001B39AA" w:rsidRPr="001B39AA" w:rsidRDefault="00FB1EE1" w:rsidP="009F4D5F">
      <w:pPr>
        <w:pStyle w:val="ListParagraph"/>
        <w:numPr>
          <w:ilvl w:val="1"/>
          <w:numId w:val="16"/>
        </w:numPr>
        <w:suppressAutoHyphens/>
        <w:spacing w:line="276" w:lineRule="auto"/>
        <w:ind w:left="709"/>
      </w:pPr>
      <w:r>
        <w:t>Beyond the immediate need for new social housing,</w:t>
      </w:r>
      <w:r w:rsidR="00B8484E">
        <w:t xml:space="preserve"> there are </w:t>
      </w:r>
      <w:proofErr w:type="gramStart"/>
      <w:r w:rsidR="00B8484E">
        <w:t>a number of</w:t>
      </w:r>
      <w:proofErr w:type="gramEnd"/>
      <w:r w:rsidR="00B8484E">
        <w:t xml:space="preserve"> other issues facing the sector that need to be addressed and </w:t>
      </w:r>
      <w:r w:rsidR="000C0C1B">
        <w:t xml:space="preserve">any reduction in capacity </w:t>
      </w:r>
      <w:r w:rsidR="00A43CDE">
        <w:t xml:space="preserve">is likely to limit </w:t>
      </w:r>
      <w:r w:rsidR="00C74CFB">
        <w:t xml:space="preserve">progress. </w:t>
      </w:r>
      <w:r w:rsidR="008B5B6D">
        <w:t>For instance, there is no up</w:t>
      </w:r>
      <w:r w:rsidR="005A4105">
        <w:t>-</w:t>
      </w:r>
      <w:r w:rsidR="008B5B6D">
        <w:t>to</w:t>
      </w:r>
      <w:r w:rsidR="005A4105">
        <w:t>-</w:t>
      </w:r>
      <w:r w:rsidR="008B5B6D">
        <w:t>date housing supply strategy for NI</w:t>
      </w:r>
      <w:r w:rsidR="00772BF2">
        <w:t xml:space="preserve"> and a lack of comprehensive equality data on housing</w:t>
      </w:r>
      <w:r w:rsidR="005A4105">
        <w:t>.</w:t>
      </w:r>
      <w:r w:rsidR="00BE1F68">
        <w:rPr>
          <w:rStyle w:val="FootnoteReference"/>
        </w:rPr>
        <w:footnoteReference w:id="98"/>
      </w:r>
      <w:r w:rsidR="005A4105">
        <w:t xml:space="preserve"> </w:t>
      </w:r>
      <w:r w:rsidR="005A4105">
        <w:rPr>
          <w:color w:val="000000"/>
        </w:rPr>
        <w:t>Social</w:t>
      </w:r>
      <w:r w:rsidR="003D10DA" w:rsidRPr="00E65127">
        <w:rPr>
          <w:color w:val="000000"/>
        </w:rPr>
        <w:t xml:space="preserve"> housing </w:t>
      </w:r>
      <w:r w:rsidR="005A4105">
        <w:rPr>
          <w:color w:val="000000"/>
        </w:rPr>
        <w:t xml:space="preserve">continues to be </w:t>
      </w:r>
      <w:r w:rsidR="003D10DA" w:rsidRPr="00E65127">
        <w:rPr>
          <w:color w:val="000000"/>
        </w:rPr>
        <w:t>allocated on a points-based system, which determines applicant’s position on the waiting list. The current definition for intimidation points excludes domestic violence, coercive control or intimidation due to nationality.</w:t>
      </w:r>
      <w:r w:rsidR="00BE1F68">
        <w:rPr>
          <w:rStyle w:val="FootnoteReference"/>
          <w:color w:val="000000"/>
        </w:rPr>
        <w:footnoteReference w:id="99"/>
      </w:r>
      <w:r w:rsidR="003D10DA" w:rsidRPr="00E65127">
        <w:rPr>
          <w:color w:val="000000"/>
        </w:rPr>
        <w:t xml:space="preserve"> There is </w:t>
      </w:r>
      <w:r w:rsidR="00E65127">
        <w:rPr>
          <w:color w:val="000000"/>
        </w:rPr>
        <w:t xml:space="preserve">also </w:t>
      </w:r>
      <w:r w:rsidR="003D10DA" w:rsidRPr="00E65127">
        <w:rPr>
          <w:color w:val="000000"/>
        </w:rPr>
        <w:t xml:space="preserve">no official appeals mechanism, and the informal complaints procedure is lengthy and exacerbates harm on already vulnerable households. </w:t>
      </w:r>
    </w:p>
    <w:p w14:paraId="49ABBD76" w14:textId="77777777" w:rsidR="001B39AA" w:rsidRDefault="001B39AA" w:rsidP="001B39AA">
      <w:pPr>
        <w:pStyle w:val="ListParagraph"/>
      </w:pPr>
    </w:p>
    <w:p w14:paraId="31096F8E" w14:textId="07FCE9D0" w:rsidR="001B26BB" w:rsidRPr="001B26BB" w:rsidRDefault="00FE3379" w:rsidP="009F4D5F">
      <w:pPr>
        <w:pStyle w:val="ListParagraph"/>
        <w:numPr>
          <w:ilvl w:val="1"/>
          <w:numId w:val="16"/>
        </w:numPr>
        <w:suppressAutoHyphens/>
        <w:spacing w:line="276" w:lineRule="auto"/>
        <w:ind w:left="709"/>
      </w:pPr>
      <w:r>
        <w:t xml:space="preserve">The cumulative effect of the </w:t>
      </w:r>
      <w:proofErr w:type="gramStart"/>
      <w:r w:rsidR="00255D90">
        <w:t>cost of living</w:t>
      </w:r>
      <w:proofErr w:type="gramEnd"/>
      <w:r w:rsidR="00255D90">
        <w:t xml:space="preserve"> crisis and the </w:t>
      </w:r>
      <w:r w:rsidR="006A6EFF">
        <w:t>proposed cuts</w:t>
      </w:r>
      <w:r w:rsidR="00255D90">
        <w:t xml:space="preserve">, </w:t>
      </w:r>
      <w:r w:rsidR="00972E34">
        <w:t>namely</w:t>
      </w:r>
      <w:r w:rsidR="00255D90">
        <w:t xml:space="preserve"> </w:t>
      </w:r>
      <w:r w:rsidR="00972E34">
        <w:t>those to</w:t>
      </w:r>
      <w:r w:rsidR="00255D90">
        <w:t xml:space="preserve"> </w:t>
      </w:r>
      <w:r w:rsidR="00C15095">
        <w:t xml:space="preserve">Social Security Delivery and </w:t>
      </w:r>
      <w:r w:rsidR="00255D90">
        <w:t>Discretionary Support Grants</w:t>
      </w:r>
      <w:r w:rsidR="00C15095">
        <w:t>,</w:t>
      </w:r>
      <w:r w:rsidR="006A6EFF">
        <w:t xml:space="preserve"> </w:t>
      </w:r>
      <w:r w:rsidR="004F1F5D">
        <w:t xml:space="preserve">is likely to increase the number of people </w:t>
      </w:r>
      <w:r w:rsidR="00990C4B">
        <w:t>presenting as homeless</w:t>
      </w:r>
      <w:r w:rsidR="00E84B46">
        <w:t>.</w:t>
      </w:r>
      <w:r w:rsidR="00990C4B">
        <w:t xml:space="preserve"> In 2021-22, </w:t>
      </w:r>
      <w:r w:rsidR="00D8023A">
        <w:t xml:space="preserve">there were </w:t>
      </w:r>
      <w:r w:rsidR="00FD2C88">
        <w:t>10,135 households accepted as statutorily homeless in NI, an increase from 9,889 households in 2020</w:t>
      </w:r>
      <w:r w:rsidR="00DE6B78">
        <w:t>-21.</w:t>
      </w:r>
      <w:r w:rsidR="00BE1F68">
        <w:rPr>
          <w:rStyle w:val="FootnoteReference"/>
        </w:rPr>
        <w:footnoteReference w:id="100"/>
      </w:r>
      <w:r w:rsidR="00DE6B78">
        <w:t xml:space="preserve"> </w:t>
      </w:r>
      <w:r w:rsidR="00DE6B78" w:rsidRPr="001B39AA">
        <w:rPr>
          <w:color w:val="000000"/>
        </w:rPr>
        <w:t>This figure does not include the ‘hidden homeless’, cases who have had their application rejected or did not apply in the first place.</w:t>
      </w:r>
      <w:r w:rsidR="001B39AA">
        <w:rPr>
          <w:color w:val="000000"/>
        </w:rPr>
        <w:t xml:space="preserve"> </w:t>
      </w:r>
      <w:r w:rsidR="001B39AA" w:rsidRPr="001B39AA">
        <w:rPr>
          <w:color w:val="000000"/>
        </w:rPr>
        <w:t xml:space="preserve">This is particularly concerning </w:t>
      </w:r>
      <w:proofErr w:type="gramStart"/>
      <w:r w:rsidR="001B39AA" w:rsidRPr="001B39AA">
        <w:rPr>
          <w:color w:val="000000"/>
        </w:rPr>
        <w:t>in light of</w:t>
      </w:r>
      <w:proofErr w:type="gramEnd"/>
      <w:r w:rsidR="001B39AA" w:rsidRPr="001B39AA">
        <w:rPr>
          <w:color w:val="000000"/>
        </w:rPr>
        <w:t xml:space="preserve"> the marked increase in deaths of rough sleepers, particularly women, on the streets of Belfast.</w:t>
      </w:r>
      <w:r w:rsidR="00BE1F68">
        <w:rPr>
          <w:rStyle w:val="FootnoteReference"/>
          <w:color w:val="000000"/>
        </w:rPr>
        <w:footnoteReference w:id="101"/>
      </w:r>
    </w:p>
    <w:p w14:paraId="52096763" w14:textId="77777777" w:rsidR="001B26BB" w:rsidRDefault="001B26BB" w:rsidP="001B26BB">
      <w:pPr>
        <w:pStyle w:val="ListParagraph"/>
      </w:pPr>
    </w:p>
    <w:p w14:paraId="6E897C87" w14:textId="165B2C15" w:rsidR="009F4D5F" w:rsidRDefault="64ABB782" w:rsidP="009F4D5F">
      <w:pPr>
        <w:pStyle w:val="ListParagraph"/>
        <w:numPr>
          <w:ilvl w:val="1"/>
          <w:numId w:val="16"/>
        </w:numPr>
        <w:suppressAutoHyphens/>
        <w:spacing w:line="276" w:lineRule="auto"/>
        <w:ind w:left="709"/>
      </w:pPr>
      <w:r>
        <w:t>The</w:t>
      </w:r>
      <w:r w:rsidR="2D02BAD4">
        <w:t xml:space="preserve">refore, </w:t>
      </w:r>
      <w:r w:rsidR="517DC3C1">
        <w:t xml:space="preserve">any </w:t>
      </w:r>
      <w:r w:rsidR="187748AC">
        <w:t>reductions to the level of funding for</w:t>
      </w:r>
      <w:r>
        <w:t xml:space="preserve"> the Supporting People Programme</w:t>
      </w:r>
      <w:r w:rsidR="4AA78AE1">
        <w:t xml:space="preserve"> </w:t>
      </w:r>
      <w:r w:rsidR="2CC03175">
        <w:t xml:space="preserve">is </w:t>
      </w:r>
      <w:r w:rsidR="27CE38BD">
        <w:t>further</w:t>
      </w:r>
      <w:r w:rsidR="2CC03175">
        <w:t xml:space="preserve"> concern</w:t>
      </w:r>
      <w:r w:rsidR="0E94A0BE">
        <w:t>. This programme</w:t>
      </w:r>
      <w:r w:rsidR="2CC03175">
        <w:t xml:space="preserve"> </w:t>
      </w:r>
      <w:r w:rsidR="6DC4B623">
        <w:t>assists</w:t>
      </w:r>
      <w:r w:rsidR="2CC03175">
        <w:t xml:space="preserve"> </w:t>
      </w:r>
      <w:r w:rsidR="3062B8F5">
        <w:t>some of the</w:t>
      </w:r>
      <w:r w:rsidR="2A09FD59">
        <w:t xml:space="preserve"> most</w:t>
      </w:r>
      <w:r w:rsidR="3062B8F5">
        <w:t xml:space="preserve"> </w:t>
      </w:r>
      <w:r w:rsidR="19586E62">
        <w:t xml:space="preserve">vulnerable </w:t>
      </w:r>
      <w:r w:rsidR="2CFFF116">
        <w:t xml:space="preserve">people </w:t>
      </w:r>
      <w:r w:rsidR="3062B8F5">
        <w:t xml:space="preserve">in NI </w:t>
      </w:r>
      <w:r w:rsidR="2CFFF116">
        <w:t>to live independent</w:t>
      </w:r>
      <w:r w:rsidR="654434BC">
        <w:t xml:space="preserve"> lives</w:t>
      </w:r>
      <w:r w:rsidR="0E94A0BE">
        <w:t xml:space="preserve">, namely </w:t>
      </w:r>
      <w:r w:rsidR="2CC03175">
        <w:t xml:space="preserve">those experiencing homelessness, young people, </w:t>
      </w:r>
      <w:r w:rsidR="19586E62">
        <w:t xml:space="preserve">people with disabilities, </w:t>
      </w:r>
      <w:r w:rsidR="2CFFF116">
        <w:t xml:space="preserve">and </w:t>
      </w:r>
      <w:r w:rsidR="2CC03175">
        <w:t>older people</w:t>
      </w:r>
      <w:r w:rsidR="19586E62">
        <w:t>.</w:t>
      </w:r>
      <w:r w:rsidR="6DC4B623">
        <w:t xml:space="preserve"> Without this support</w:t>
      </w:r>
      <w:r w:rsidR="2F4C2ACA">
        <w:t xml:space="preserve">, </w:t>
      </w:r>
      <w:r w:rsidR="20ACA4D1">
        <w:t xml:space="preserve">it is foreseeable that </w:t>
      </w:r>
      <w:r w:rsidR="2F4C2ACA">
        <w:t xml:space="preserve">further demands </w:t>
      </w:r>
      <w:r w:rsidR="20ACA4D1">
        <w:t xml:space="preserve">will be </w:t>
      </w:r>
      <w:r w:rsidR="2F4C2ACA">
        <w:t>placed on homelessness services</w:t>
      </w:r>
      <w:r w:rsidR="20ACA4D1">
        <w:t xml:space="preserve"> and the healthcare system. </w:t>
      </w:r>
    </w:p>
    <w:p w14:paraId="4D461F31" w14:textId="77777777" w:rsidR="002D0663" w:rsidRDefault="002D0663" w:rsidP="002D0663">
      <w:pPr>
        <w:pStyle w:val="ListParagraph"/>
      </w:pPr>
    </w:p>
    <w:p w14:paraId="575071DE" w14:textId="4ED7AC35" w:rsidR="001649BC" w:rsidRDefault="002D0663" w:rsidP="009F4D5F">
      <w:pPr>
        <w:pStyle w:val="ListParagraph"/>
        <w:numPr>
          <w:ilvl w:val="1"/>
          <w:numId w:val="16"/>
        </w:numPr>
        <w:suppressAutoHyphens/>
        <w:spacing w:line="276" w:lineRule="auto"/>
        <w:ind w:left="709"/>
        <w:rPr>
          <w:b/>
          <w:bCs/>
        </w:rPr>
      </w:pPr>
      <w:r w:rsidRPr="002D0663">
        <w:rPr>
          <w:b/>
          <w:bCs/>
        </w:rPr>
        <w:t xml:space="preserve">The NIHRC </w:t>
      </w:r>
      <w:r w:rsidR="00682067">
        <w:rPr>
          <w:b/>
          <w:bCs/>
        </w:rPr>
        <w:t>recommend</w:t>
      </w:r>
      <w:r w:rsidR="007128B2">
        <w:rPr>
          <w:b/>
          <w:bCs/>
        </w:rPr>
        <w:t>s</w:t>
      </w:r>
      <w:r w:rsidR="00682067">
        <w:rPr>
          <w:b/>
          <w:bCs/>
        </w:rPr>
        <w:t xml:space="preserve"> that the Department for Communities </w:t>
      </w:r>
      <w:r w:rsidR="00927509">
        <w:rPr>
          <w:b/>
          <w:bCs/>
        </w:rPr>
        <w:t xml:space="preserve">maintains and prioritises </w:t>
      </w:r>
      <w:r w:rsidR="00992443">
        <w:rPr>
          <w:b/>
          <w:bCs/>
        </w:rPr>
        <w:t xml:space="preserve">adequate funding to the housing </w:t>
      </w:r>
      <w:r w:rsidR="007128B2">
        <w:rPr>
          <w:b/>
          <w:bCs/>
        </w:rPr>
        <w:t>sector and takes appropriate</w:t>
      </w:r>
      <w:r w:rsidR="00716975">
        <w:rPr>
          <w:b/>
          <w:bCs/>
        </w:rPr>
        <w:t xml:space="preserve"> mitigating measures to address waiting </w:t>
      </w:r>
      <w:r w:rsidR="00710D8E">
        <w:rPr>
          <w:b/>
          <w:bCs/>
        </w:rPr>
        <w:t xml:space="preserve">lists and prevent homelessness. </w:t>
      </w:r>
      <w:proofErr w:type="gramStart"/>
      <w:r w:rsidR="00710D8E">
        <w:rPr>
          <w:b/>
          <w:bCs/>
        </w:rPr>
        <w:t>Particular consideration</w:t>
      </w:r>
      <w:proofErr w:type="gramEnd"/>
      <w:r w:rsidR="00710D8E">
        <w:rPr>
          <w:b/>
          <w:bCs/>
        </w:rPr>
        <w:t xml:space="preserve"> must be afforded to those living in unfavourable conditions</w:t>
      </w:r>
      <w:r w:rsidR="00845871">
        <w:rPr>
          <w:b/>
          <w:bCs/>
        </w:rPr>
        <w:t xml:space="preserve"> in NI</w:t>
      </w:r>
      <w:r w:rsidR="004D2038">
        <w:rPr>
          <w:b/>
          <w:bCs/>
        </w:rPr>
        <w:t xml:space="preserve">, in accordance with </w:t>
      </w:r>
      <w:r w:rsidR="001C7736">
        <w:rPr>
          <w:b/>
          <w:bCs/>
        </w:rPr>
        <w:t>Article 11 of ICESCR and Article 8 of ECHR.</w:t>
      </w:r>
    </w:p>
    <w:p w14:paraId="442D32D5" w14:textId="77777777" w:rsidR="001649BC" w:rsidRDefault="001649BC" w:rsidP="001649BC">
      <w:pPr>
        <w:pStyle w:val="ListParagraph"/>
      </w:pPr>
    </w:p>
    <w:p w14:paraId="088BD9BC" w14:textId="77777777" w:rsidR="00B25101" w:rsidRDefault="00B25101" w:rsidP="00B25101"/>
    <w:p w14:paraId="782CB96A" w14:textId="77777777" w:rsidR="00B25101" w:rsidRDefault="00B25101" w:rsidP="00B25101"/>
    <w:p w14:paraId="66D21995" w14:textId="77777777" w:rsidR="00FC3409" w:rsidRDefault="00FC3409" w:rsidP="00DF23ED">
      <w:pPr>
        <w:pStyle w:val="BasicParagraph"/>
        <w:suppressAutoHyphens/>
        <w:jc w:val="center"/>
        <w:rPr>
          <w:rFonts w:ascii="Verdana" w:hAnsi="Verdana" w:cs="Arial"/>
          <w:b/>
          <w:bCs/>
          <w:color w:val="77328A"/>
          <w:sz w:val="36"/>
          <w:szCs w:val="36"/>
        </w:rPr>
      </w:pPr>
    </w:p>
    <w:p w14:paraId="252C4F8F" w14:textId="77777777" w:rsidR="00FC3409" w:rsidRDefault="00FC3409" w:rsidP="00553503">
      <w:pPr>
        <w:pStyle w:val="BasicParagraph"/>
        <w:suppressAutoHyphens/>
        <w:rPr>
          <w:rFonts w:ascii="Verdana" w:hAnsi="Verdana" w:cs="Arial"/>
          <w:b/>
          <w:bCs/>
          <w:color w:val="77328A"/>
          <w:sz w:val="36"/>
          <w:szCs w:val="36"/>
        </w:rPr>
      </w:pPr>
    </w:p>
    <w:p w14:paraId="2FF4E00A" w14:textId="77777777" w:rsidR="00FC3409" w:rsidRDefault="00FC3409" w:rsidP="00DF23ED">
      <w:pPr>
        <w:pStyle w:val="BasicParagraph"/>
        <w:suppressAutoHyphens/>
        <w:jc w:val="center"/>
        <w:rPr>
          <w:rFonts w:ascii="Verdana" w:hAnsi="Verdana" w:cs="Arial"/>
          <w:b/>
          <w:bCs/>
          <w:color w:val="77328A"/>
          <w:sz w:val="36"/>
          <w:szCs w:val="36"/>
        </w:rPr>
      </w:pPr>
    </w:p>
    <w:p w14:paraId="6043B739" w14:textId="77777777" w:rsidR="00FC3409" w:rsidRDefault="00FC3409" w:rsidP="00DF23ED">
      <w:pPr>
        <w:pStyle w:val="BasicParagraph"/>
        <w:suppressAutoHyphens/>
        <w:jc w:val="center"/>
        <w:rPr>
          <w:rFonts w:ascii="Verdana" w:hAnsi="Verdana" w:cs="Arial"/>
          <w:b/>
          <w:bCs/>
          <w:color w:val="77328A"/>
          <w:sz w:val="36"/>
          <w:szCs w:val="36"/>
        </w:rPr>
      </w:pPr>
    </w:p>
    <w:p w14:paraId="20D8EC83" w14:textId="77777777" w:rsidR="00FC3409" w:rsidRDefault="00FC3409" w:rsidP="00DF23ED">
      <w:pPr>
        <w:pStyle w:val="BasicParagraph"/>
        <w:suppressAutoHyphens/>
        <w:jc w:val="center"/>
        <w:rPr>
          <w:rFonts w:ascii="Verdana" w:hAnsi="Verdana" w:cs="Arial"/>
          <w:b/>
          <w:bCs/>
          <w:color w:val="77328A"/>
          <w:sz w:val="36"/>
          <w:szCs w:val="36"/>
        </w:rPr>
      </w:pPr>
    </w:p>
    <w:p w14:paraId="3CF61929" w14:textId="77777777" w:rsidR="00FC3409" w:rsidRDefault="00FC3409" w:rsidP="00DF23ED">
      <w:pPr>
        <w:pStyle w:val="BasicParagraph"/>
        <w:suppressAutoHyphens/>
        <w:jc w:val="center"/>
        <w:rPr>
          <w:rFonts w:ascii="Verdana" w:hAnsi="Verdana" w:cs="Arial"/>
          <w:b/>
          <w:bCs/>
          <w:color w:val="77328A"/>
          <w:sz w:val="36"/>
          <w:szCs w:val="36"/>
        </w:rPr>
      </w:pPr>
    </w:p>
    <w:p w14:paraId="482FFCE1" w14:textId="77777777" w:rsidR="00FC3409" w:rsidRDefault="00FC3409" w:rsidP="00DF23ED">
      <w:pPr>
        <w:pStyle w:val="BasicParagraph"/>
        <w:suppressAutoHyphens/>
        <w:jc w:val="center"/>
        <w:rPr>
          <w:rFonts w:ascii="Verdana" w:hAnsi="Verdana" w:cs="Arial"/>
          <w:b/>
          <w:bCs/>
          <w:color w:val="77328A"/>
          <w:sz w:val="36"/>
          <w:szCs w:val="36"/>
        </w:rPr>
      </w:pPr>
    </w:p>
    <w:p w14:paraId="7E93640F" w14:textId="77777777" w:rsidR="00845871" w:rsidRDefault="00845871" w:rsidP="00876DD3">
      <w:pPr>
        <w:pStyle w:val="BasicParagraph"/>
        <w:suppressAutoHyphens/>
        <w:rPr>
          <w:rFonts w:ascii="Verdana" w:hAnsi="Verdana" w:cs="Arial"/>
          <w:b/>
          <w:bCs/>
          <w:color w:val="77328A"/>
          <w:sz w:val="36"/>
          <w:szCs w:val="36"/>
        </w:rPr>
      </w:pPr>
    </w:p>
    <w:p w14:paraId="7F415A50" w14:textId="77777777" w:rsidR="00845871" w:rsidRDefault="00845871" w:rsidP="00DF23ED">
      <w:pPr>
        <w:pStyle w:val="BasicParagraph"/>
        <w:suppressAutoHyphens/>
        <w:jc w:val="center"/>
        <w:rPr>
          <w:rFonts w:ascii="Verdana" w:hAnsi="Verdana" w:cs="Arial"/>
          <w:b/>
          <w:bCs/>
          <w:color w:val="77328A"/>
          <w:sz w:val="36"/>
          <w:szCs w:val="36"/>
        </w:rPr>
      </w:pPr>
    </w:p>
    <w:p w14:paraId="75B1B585" w14:textId="77777777" w:rsidR="00845871" w:rsidRDefault="00845871" w:rsidP="00DF23ED">
      <w:pPr>
        <w:pStyle w:val="BasicParagraph"/>
        <w:suppressAutoHyphens/>
        <w:jc w:val="center"/>
        <w:rPr>
          <w:rFonts w:ascii="Verdana" w:hAnsi="Verdana" w:cs="Arial"/>
          <w:b/>
          <w:bCs/>
          <w:color w:val="77328A"/>
          <w:sz w:val="36"/>
          <w:szCs w:val="36"/>
        </w:rPr>
      </w:pPr>
    </w:p>
    <w:p w14:paraId="7E7C7FAE" w14:textId="77777777" w:rsidR="00845871" w:rsidRDefault="00845871" w:rsidP="00DF23ED">
      <w:pPr>
        <w:pStyle w:val="BasicParagraph"/>
        <w:suppressAutoHyphens/>
        <w:jc w:val="center"/>
        <w:rPr>
          <w:rFonts w:ascii="Verdana" w:hAnsi="Verdana" w:cs="Arial"/>
          <w:b/>
          <w:bCs/>
          <w:color w:val="77328A"/>
          <w:sz w:val="36"/>
          <w:szCs w:val="36"/>
        </w:rPr>
      </w:pPr>
    </w:p>
    <w:p w14:paraId="3E530176" w14:textId="77777777" w:rsidR="00845871" w:rsidRDefault="00845871" w:rsidP="00DF23ED">
      <w:pPr>
        <w:pStyle w:val="BasicParagraph"/>
        <w:suppressAutoHyphens/>
        <w:jc w:val="center"/>
        <w:rPr>
          <w:rFonts w:ascii="Verdana" w:hAnsi="Verdana" w:cs="Arial"/>
          <w:b/>
          <w:bCs/>
          <w:color w:val="77328A"/>
          <w:sz w:val="36"/>
          <w:szCs w:val="36"/>
        </w:rPr>
      </w:pPr>
    </w:p>
    <w:p w14:paraId="72E247BA" w14:textId="77777777" w:rsidR="00845871" w:rsidRDefault="00845871" w:rsidP="00DF23ED">
      <w:pPr>
        <w:pStyle w:val="BasicParagraph"/>
        <w:suppressAutoHyphens/>
        <w:jc w:val="center"/>
        <w:rPr>
          <w:rFonts w:ascii="Verdana" w:hAnsi="Verdana" w:cs="Arial"/>
          <w:b/>
          <w:bCs/>
          <w:color w:val="77328A"/>
          <w:sz w:val="36"/>
          <w:szCs w:val="36"/>
        </w:rPr>
      </w:pPr>
    </w:p>
    <w:p w14:paraId="41B447D2" w14:textId="77777777" w:rsidR="00845871" w:rsidRDefault="00845871" w:rsidP="00DF23ED">
      <w:pPr>
        <w:pStyle w:val="BasicParagraph"/>
        <w:suppressAutoHyphens/>
        <w:jc w:val="center"/>
        <w:rPr>
          <w:rFonts w:ascii="Verdana" w:hAnsi="Verdana" w:cs="Arial"/>
          <w:b/>
          <w:bCs/>
          <w:color w:val="77328A"/>
          <w:sz w:val="36"/>
          <w:szCs w:val="36"/>
        </w:rPr>
      </w:pPr>
    </w:p>
    <w:p w14:paraId="7A415206" w14:textId="77777777" w:rsidR="00812E92" w:rsidRDefault="00812E92" w:rsidP="00DF23ED">
      <w:pPr>
        <w:pStyle w:val="BasicParagraph"/>
        <w:suppressAutoHyphens/>
        <w:jc w:val="center"/>
        <w:rPr>
          <w:rFonts w:ascii="Verdana" w:hAnsi="Verdana" w:cs="Arial"/>
          <w:b/>
          <w:bCs/>
          <w:color w:val="77328A"/>
          <w:sz w:val="36"/>
          <w:szCs w:val="36"/>
        </w:rPr>
      </w:pPr>
    </w:p>
    <w:p w14:paraId="636D395D" w14:textId="77777777" w:rsidR="00812E92" w:rsidRDefault="00812E92" w:rsidP="00DF23ED">
      <w:pPr>
        <w:pStyle w:val="BasicParagraph"/>
        <w:suppressAutoHyphens/>
        <w:jc w:val="center"/>
        <w:rPr>
          <w:rFonts w:ascii="Verdana" w:hAnsi="Verdana" w:cs="Arial"/>
          <w:b/>
          <w:bCs/>
          <w:color w:val="77328A"/>
          <w:sz w:val="36"/>
          <w:szCs w:val="36"/>
        </w:rPr>
      </w:pPr>
    </w:p>
    <w:p w14:paraId="2D523AD6" w14:textId="77777777" w:rsidR="00812E92" w:rsidRDefault="00812E92" w:rsidP="00DF23ED">
      <w:pPr>
        <w:pStyle w:val="BasicParagraph"/>
        <w:suppressAutoHyphens/>
        <w:jc w:val="center"/>
        <w:rPr>
          <w:rFonts w:ascii="Verdana" w:hAnsi="Verdana" w:cs="Arial"/>
          <w:b/>
          <w:bCs/>
          <w:color w:val="77328A"/>
          <w:sz w:val="36"/>
          <w:szCs w:val="36"/>
        </w:rPr>
      </w:pPr>
    </w:p>
    <w:p w14:paraId="31E6BAC6" w14:textId="77777777" w:rsidR="00812E92" w:rsidRDefault="00812E92" w:rsidP="00DF23ED">
      <w:pPr>
        <w:pStyle w:val="BasicParagraph"/>
        <w:suppressAutoHyphens/>
        <w:jc w:val="center"/>
        <w:rPr>
          <w:rFonts w:ascii="Verdana" w:hAnsi="Verdana" w:cs="Arial"/>
          <w:b/>
          <w:bCs/>
          <w:color w:val="77328A"/>
          <w:sz w:val="36"/>
          <w:szCs w:val="36"/>
        </w:rPr>
      </w:pPr>
    </w:p>
    <w:p w14:paraId="12061293" w14:textId="77777777" w:rsidR="00812E92" w:rsidRDefault="00812E92" w:rsidP="00DF23ED">
      <w:pPr>
        <w:pStyle w:val="BasicParagraph"/>
        <w:suppressAutoHyphens/>
        <w:jc w:val="center"/>
        <w:rPr>
          <w:rFonts w:ascii="Verdana" w:hAnsi="Verdana" w:cs="Arial"/>
          <w:b/>
          <w:bCs/>
          <w:color w:val="77328A"/>
          <w:sz w:val="36"/>
          <w:szCs w:val="36"/>
        </w:rPr>
      </w:pPr>
    </w:p>
    <w:p w14:paraId="2D9047C2" w14:textId="77777777" w:rsidR="00812E92" w:rsidRDefault="00812E92" w:rsidP="00DF23ED">
      <w:pPr>
        <w:pStyle w:val="BasicParagraph"/>
        <w:suppressAutoHyphens/>
        <w:jc w:val="center"/>
        <w:rPr>
          <w:rFonts w:ascii="Verdana" w:hAnsi="Verdana" w:cs="Arial"/>
          <w:b/>
          <w:bCs/>
          <w:color w:val="77328A"/>
          <w:sz w:val="36"/>
          <w:szCs w:val="36"/>
        </w:rPr>
      </w:pPr>
    </w:p>
    <w:p w14:paraId="73A74BC5" w14:textId="77777777" w:rsidR="00812E92" w:rsidRDefault="00812E92" w:rsidP="00DF23ED">
      <w:pPr>
        <w:pStyle w:val="BasicParagraph"/>
        <w:suppressAutoHyphens/>
        <w:jc w:val="center"/>
        <w:rPr>
          <w:rFonts w:ascii="Verdana" w:hAnsi="Verdana" w:cs="Arial"/>
          <w:b/>
          <w:bCs/>
          <w:color w:val="77328A"/>
          <w:sz w:val="36"/>
          <w:szCs w:val="36"/>
        </w:rPr>
      </w:pPr>
    </w:p>
    <w:p w14:paraId="0EF10CDE" w14:textId="77777777" w:rsidR="00812E92" w:rsidRDefault="00812E92" w:rsidP="00DF23ED">
      <w:pPr>
        <w:pStyle w:val="BasicParagraph"/>
        <w:suppressAutoHyphens/>
        <w:jc w:val="center"/>
        <w:rPr>
          <w:rFonts w:ascii="Verdana" w:hAnsi="Verdana" w:cs="Arial"/>
          <w:b/>
          <w:bCs/>
          <w:color w:val="77328A"/>
          <w:sz w:val="36"/>
          <w:szCs w:val="36"/>
        </w:rPr>
      </w:pPr>
    </w:p>
    <w:p w14:paraId="755982C6" w14:textId="77777777" w:rsidR="00812E92" w:rsidRDefault="00812E92" w:rsidP="00DF23ED">
      <w:pPr>
        <w:pStyle w:val="BasicParagraph"/>
        <w:suppressAutoHyphens/>
        <w:jc w:val="center"/>
        <w:rPr>
          <w:rFonts w:ascii="Verdana" w:hAnsi="Verdana" w:cs="Arial"/>
          <w:b/>
          <w:bCs/>
          <w:color w:val="77328A"/>
          <w:sz w:val="36"/>
          <w:szCs w:val="36"/>
        </w:rPr>
      </w:pPr>
    </w:p>
    <w:p w14:paraId="0344D028" w14:textId="77777777" w:rsidR="00812E92" w:rsidRDefault="00812E92" w:rsidP="00DF23ED">
      <w:pPr>
        <w:pStyle w:val="BasicParagraph"/>
        <w:suppressAutoHyphens/>
        <w:jc w:val="center"/>
        <w:rPr>
          <w:rFonts w:ascii="Verdana" w:hAnsi="Verdana" w:cs="Arial"/>
          <w:b/>
          <w:bCs/>
          <w:color w:val="77328A"/>
          <w:sz w:val="36"/>
          <w:szCs w:val="36"/>
        </w:rPr>
      </w:pPr>
    </w:p>
    <w:p w14:paraId="46B86E71" w14:textId="77777777" w:rsidR="00812E92" w:rsidRDefault="00812E92" w:rsidP="00DF23ED">
      <w:pPr>
        <w:pStyle w:val="BasicParagraph"/>
        <w:suppressAutoHyphens/>
        <w:jc w:val="center"/>
        <w:rPr>
          <w:rFonts w:ascii="Verdana" w:hAnsi="Verdana" w:cs="Arial"/>
          <w:b/>
          <w:bCs/>
          <w:color w:val="77328A"/>
          <w:sz w:val="36"/>
          <w:szCs w:val="36"/>
        </w:rPr>
      </w:pPr>
    </w:p>
    <w:p w14:paraId="24867F8C" w14:textId="77777777" w:rsidR="00812E92" w:rsidRDefault="00812E92" w:rsidP="00DF23ED">
      <w:pPr>
        <w:pStyle w:val="BasicParagraph"/>
        <w:suppressAutoHyphens/>
        <w:jc w:val="center"/>
        <w:rPr>
          <w:rFonts w:ascii="Verdana" w:hAnsi="Verdana" w:cs="Arial"/>
          <w:b/>
          <w:bCs/>
          <w:color w:val="77328A"/>
          <w:sz w:val="36"/>
          <w:szCs w:val="36"/>
        </w:rPr>
      </w:pPr>
    </w:p>
    <w:p w14:paraId="30DCDE09" w14:textId="77777777" w:rsidR="00812E92" w:rsidRDefault="00812E92" w:rsidP="00DF23ED">
      <w:pPr>
        <w:pStyle w:val="BasicParagraph"/>
        <w:suppressAutoHyphens/>
        <w:jc w:val="center"/>
        <w:rPr>
          <w:rFonts w:ascii="Verdana" w:hAnsi="Verdana" w:cs="Arial"/>
          <w:b/>
          <w:bCs/>
          <w:color w:val="77328A"/>
          <w:sz w:val="36"/>
          <w:szCs w:val="36"/>
        </w:rPr>
      </w:pPr>
    </w:p>
    <w:p w14:paraId="18C2E85E" w14:textId="77777777" w:rsidR="00812E92" w:rsidRDefault="00812E92" w:rsidP="00DF23ED">
      <w:pPr>
        <w:pStyle w:val="BasicParagraph"/>
        <w:suppressAutoHyphens/>
        <w:jc w:val="center"/>
        <w:rPr>
          <w:rFonts w:ascii="Verdana" w:hAnsi="Verdana" w:cs="Arial"/>
          <w:b/>
          <w:bCs/>
          <w:color w:val="77328A"/>
          <w:sz w:val="36"/>
          <w:szCs w:val="36"/>
        </w:rPr>
      </w:pPr>
    </w:p>
    <w:p w14:paraId="5B53C0D0" w14:textId="77777777" w:rsidR="00812E92" w:rsidRDefault="00812E92" w:rsidP="00DF23ED">
      <w:pPr>
        <w:pStyle w:val="BasicParagraph"/>
        <w:suppressAutoHyphens/>
        <w:jc w:val="center"/>
        <w:rPr>
          <w:rFonts w:ascii="Verdana" w:hAnsi="Verdana" w:cs="Arial"/>
          <w:b/>
          <w:bCs/>
          <w:color w:val="77328A"/>
          <w:sz w:val="36"/>
          <w:szCs w:val="36"/>
        </w:rPr>
      </w:pPr>
    </w:p>
    <w:p w14:paraId="50142727" w14:textId="77777777" w:rsidR="00812E92" w:rsidRDefault="00812E92" w:rsidP="00DF23ED">
      <w:pPr>
        <w:pStyle w:val="BasicParagraph"/>
        <w:suppressAutoHyphens/>
        <w:jc w:val="center"/>
        <w:rPr>
          <w:rFonts w:ascii="Verdana" w:hAnsi="Verdana" w:cs="Arial"/>
          <w:b/>
          <w:bCs/>
          <w:color w:val="77328A"/>
          <w:sz w:val="36"/>
          <w:szCs w:val="36"/>
        </w:rPr>
      </w:pPr>
    </w:p>
    <w:p w14:paraId="12BE91EF" w14:textId="77777777" w:rsidR="00812E92" w:rsidRDefault="00812E92" w:rsidP="00DF23ED">
      <w:pPr>
        <w:pStyle w:val="BasicParagraph"/>
        <w:suppressAutoHyphens/>
        <w:jc w:val="center"/>
        <w:rPr>
          <w:rFonts w:ascii="Verdana" w:hAnsi="Verdana" w:cs="Arial"/>
          <w:b/>
          <w:bCs/>
          <w:color w:val="77328A"/>
          <w:sz w:val="36"/>
          <w:szCs w:val="36"/>
        </w:rPr>
      </w:pPr>
    </w:p>
    <w:p w14:paraId="47E31E4C" w14:textId="77777777" w:rsidR="00812E92" w:rsidRDefault="00812E92" w:rsidP="00DF23ED">
      <w:pPr>
        <w:pStyle w:val="BasicParagraph"/>
        <w:suppressAutoHyphens/>
        <w:jc w:val="center"/>
        <w:rPr>
          <w:rFonts w:ascii="Verdana" w:hAnsi="Verdana" w:cs="Arial"/>
          <w:b/>
          <w:bCs/>
          <w:color w:val="77328A"/>
          <w:sz w:val="36"/>
          <w:szCs w:val="36"/>
        </w:rPr>
      </w:pPr>
    </w:p>
    <w:p w14:paraId="3898B247" w14:textId="77777777" w:rsidR="00845871" w:rsidRDefault="00845871" w:rsidP="00DF23ED">
      <w:pPr>
        <w:pStyle w:val="BasicParagraph"/>
        <w:suppressAutoHyphens/>
        <w:jc w:val="center"/>
        <w:rPr>
          <w:rFonts w:ascii="Verdana" w:hAnsi="Verdana" w:cs="Arial"/>
          <w:b/>
          <w:bCs/>
          <w:color w:val="77328A"/>
          <w:sz w:val="36"/>
          <w:szCs w:val="36"/>
        </w:rPr>
      </w:pPr>
    </w:p>
    <w:p w14:paraId="68F67E9B" w14:textId="77777777" w:rsidR="00845871" w:rsidRDefault="00845871" w:rsidP="00DF23ED">
      <w:pPr>
        <w:pStyle w:val="BasicParagraph"/>
        <w:suppressAutoHyphens/>
        <w:jc w:val="center"/>
        <w:rPr>
          <w:rFonts w:ascii="Verdana" w:hAnsi="Verdana" w:cs="Arial"/>
          <w:b/>
          <w:bCs/>
          <w:color w:val="77328A"/>
          <w:sz w:val="36"/>
          <w:szCs w:val="36"/>
        </w:rPr>
      </w:pPr>
    </w:p>
    <w:p w14:paraId="1FEB05D3" w14:textId="77777777" w:rsidR="00845871" w:rsidRDefault="00845871" w:rsidP="00AD7346">
      <w:pPr>
        <w:pStyle w:val="BasicParagraph"/>
        <w:suppressAutoHyphens/>
        <w:rPr>
          <w:rFonts w:ascii="Verdana" w:hAnsi="Verdana" w:cs="Arial"/>
          <w:b/>
          <w:bCs/>
          <w:color w:val="77328A"/>
          <w:sz w:val="36"/>
          <w:szCs w:val="36"/>
        </w:rPr>
      </w:pPr>
    </w:p>
    <w:p w14:paraId="5C7B300E" w14:textId="77777777" w:rsidR="00845871" w:rsidRDefault="00845871" w:rsidP="00DF23ED">
      <w:pPr>
        <w:pStyle w:val="BasicParagraph"/>
        <w:suppressAutoHyphens/>
        <w:jc w:val="center"/>
        <w:rPr>
          <w:rFonts w:ascii="Verdana" w:hAnsi="Verdana" w:cs="Arial"/>
          <w:b/>
          <w:bCs/>
          <w:color w:val="77328A"/>
          <w:sz w:val="36"/>
          <w:szCs w:val="36"/>
        </w:rPr>
      </w:pPr>
    </w:p>
    <w:p w14:paraId="07BB63E0" w14:textId="77777777" w:rsidR="00845871" w:rsidRDefault="00845871" w:rsidP="00DF23ED">
      <w:pPr>
        <w:pStyle w:val="BasicParagraph"/>
        <w:suppressAutoHyphens/>
        <w:jc w:val="center"/>
        <w:rPr>
          <w:rFonts w:ascii="Verdana" w:hAnsi="Verdana" w:cs="Arial"/>
          <w:b/>
          <w:bCs/>
          <w:color w:val="77328A"/>
          <w:sz w:val="36"/>
          <w:szCs w:val="36"/>
        </w:rPr>
      </w:pPr>
    </w:p>
    <w:p w14:paraId="0CA78724" w14:textId="77777777" w:rsidR="00C26494" w:rsidRDefault="00C26494" w:rsidP="00DF23ED">
      <w:pPr>
        <w:pStyle w:val="BasicParagraph"/>
        <w:suppressAutoHyphens/>
        <w:jc w:val="center"/>
        <w:rPr>
          <w:rFonts w:ascii="Verdana" w:hAnsi="Verdana" w:cs="Arial"/>
          <w:b/>
          <w:bCs/>
          <w:color w:val="77328A"/>
          <w:sz w:val="36"/>
          <w:szCs w:val="36"/>
        </w:rPr>
      </w:pPr>
    </w:p>
    <w:p w14:paraId="25D72291" w14:textId="77777777" w:rsidR="00C26494" w:rsidRDefault="00C26494" w:rsidP="00DF23ED">
      <w:pPr>
        <w:pStyle w:val="BasicParagraph"/>
        <w:suppressAutoHyphens/>
        <w:jc w:val="center"/>
        <w:rPr>
          <w:rFonts w:ascii="Verdana" w:hAnsi="Verdana" w:cs="Arial"/>
          <w:b/>
          <w:bCs/>
          <w:color w:val="77328A"/>
          <w:sz w:val="36"/>
          <w:szCs w:val="36"/>
        </w:rPr>
      </w:pPr>
    </w:p>
    <w:p w14:paraId="0585AED6" w14:textId="4CF31E1D" w:rsidR="00DF23ED" w:rsidRPr="00331C61" w:rsidRDefault="00DF23ED" w:rsidP="00DF23ED">
      <w:pPr>
        <w:pStyle w:val="BasicParagraph"/>
        <w:suppressAutoHyphens/>
        <w:jc w:val="center"/>
        <w:rPr>
          <w:rFonts w:ascii="Verdana" w:hAnsi="Verdana" w:cs="Arial"/>
          <w:b/>
          <w:bCs/>
          <w:color w:val="77328A"/>
          <w:sz w:val="36"/>
          <w:szCs w:val="36"/>
        </w:rPr>
      </w:pPr>
      <w:r w:rsidRPr="00331C61">
        <w:rPr>
          <w:rFonts w:ascii="Verdana" w:hAnsi="Verdana" w:cs="Arial"/>
          <w:b/>
          <w:bCs/>
          <w:color w:val="77328A"/>
          <w:sz w:val="36"/>
          <w:szCs w:val="36"/>
        </w:rPr>
        <w:t>Co</w:t>
      </w:r>
      <w:r>
        <w:rPr>
          <w:rFonts w:ascii="Verdana" w:hAnsi="Verdana" w:cs="Arial"/>
          <w:b/>
          <w:bCs/>
          <w:color w:val="77328A"/>
          <w:sz w:val="36"/>
          <w:szCs w:val="36"/>
        </w:rPr>
        <w:t xml:space="preserve">ntact </w:t>
      </w:r>
      <w:proofErr w:type="gramStart"/>
      <w:r>
        <w:rPr>
          <w:rFonts w:ascii="Verdana" w:hAnsi="Verdana" w:cs="Arial"/>
          <w:b/>
          <w:bCs/>
          <w:color w:val="77328A"/>
          <w:sz w:val="36"/>
          <w:szCs w:val="36"/>
        </w:rPr>
        <w:t>us</w:t>
      </w:r>
      <w:proofErr w:type="gramEnd"/>
      <w:r>
        <w:rPr>
          <w:rFonts w:ascii="Verdana" w:hAnsi="Verdana" w:cs="Arial"/>
          <w:b/>
          <w:bCs/>
          <w:color w:val="77328A"/>
          <w:sz w:val="36"/>
          <w:szCs w:val="36"/>
        </w:rPr>
        <w:t xml:space="preserve"> </w:t>
      </w:r>
    </w:p>
    <w:p w14:paraId="7490F06D" w14:textId="77777777" w:rsidR="00DF23ED" w:rsidRPr="00331C61" w:rsidRDefault="00DF23ED" w:rsidP="00DF23ED">
      <w:pPr>
        <w:pStyle w:val="BasicParagraph"/>
        <w:suppressAutoHyphens/>
        <w:jc w:val="center"/>
        <w:rPr>
          <w:rFonts w:ascii="Verdana" w:hAnsi="Verdana" w:cs="Arial"/>
          <w:b/>
          <w:color w:val="77328A"/>
          <w:sz w:val="36"/>
          <w:szCs w:val="36"/>
        </w:rPr>
      </w:pPr>
    </w:p>
    <w:p w14:paraId="776477A3" w14:textId="77777777" w:rsidR="00DF23ED" w:rsidRPr="00331C61" w:rsidRDefault="000A73CC" w:rsidP="00DF23ED">
      <w:pPr>
        <w:spacing w:line="288" w:lineRule="auto"/>
        <w:jc w:val="center"/>
        <w:rPr>
          <w:rFonts w:cs="Arial"/>
          <w:color w:val="232120"/>
          <w:sz w:val="28"/>
          <w:szCs w:val="28"/>
        </w:rPr>
      </w:pPr>
      <w:hyperlink r:id="rId12" w:history="1">
        <w:r w:rsidR="00DF23ED" w:rsidRPr="00331C61">
          <w:rPr>
            <w:rStyle w:val="Hyperlink"/>
            <w:rFonts w:cs="Arial"/>
            <w:color w:val="232120"/>
            <w:sz w:val="28"/>
            <w:szCs w:val="28"/>
            <w:u w:val="none"/>
            <w:lang w:val="en-US"/>
          </w:rPr>
          <w:t>www.nihrc.org</w:t>
        </w:r>
      </w:hyperlink>
      <w:r w:rsidR="00DF23ED" w:rsidRPr="00331C61">
        <w:rPr>
          <w:rFonts w:cs="Arial"/>
          <w:color w:val="232120"/>
          <w:sz w:val="28"/>
          <w:szCs w:val="28"/>
          <w:lang w:val="en-US"/>
        </w:rPr>
        <w:t xml:space="preserve">  |  </w:t>
      </w:r>
      <w:hyperlink r:id="rId13" w:history="1">
        <w:r w:rsidR="00DF23ED" w:rsidRPr="00331C61">
          <w:rPr>
            <w:rStyle w:val="Hyperlink"/>
            <w:rFonts w:cs="Arial"/>
            <w:color w:val="232120"/>
            <w:sz w:val="28"/>
            <w:szCs w:val="28"/>
            <w:u w:val="none"/>
            <w:lang w:val="en-US"/>
          </w:rPr>
          <w:t>info@nihrc.org</w:t>
        </w:r>
      </w:hyperlink>
      <w:r w:rsidR="00DF23ED" w:rsidRPr="00331C61">
        <w:rPr>
          <w:rFonts w:cs="Arial"/>
          <w:color w:val="232120"/>
          <w:sz w:val="28"/>
          <w:szCs w:val="28"/>
          <w:lang w:val="en-US"/>
        </w:rPr>
        <w:t xml:space="preserve">  |  +44 (0)28 9024 3987</w:t>
      </w:r>
    </w:p>
    <w:p w14:paraId="644E93BC" w14:textId="77777777" w:rsidR="00DF23ED" w:rsidRPr="00331C61" w:rsidRDefault="00DF23ED" w:rsidP="00DF23ED">
      <w:pPr>
        <w:spacing w:line="288" w:lineRule="auto"/>
        <w:jc w:val="center"/>
        <w:rPr>
          <w:rFonts w:cs="Arial"/>
          <w:color w:val="232120"/>
          <w:sz w:val="28"/>
          <w:szCs w:val="28"/>
        </w:rPr>
      </w:pPr>
      <w:r>
        <w:rPr>
          <w:rFonts w:cs="Arial"/>
          <w:color w:val="232120"/>
          <w:sz w:val="28"/>
          <w:szCs w:val="28"/>
          <w:lang w:val="en-US"/>
        </w:rPr>
        <w:t>4</w:t>
      </w:r>
      <w:r w:rsidRPr="00D16532">
        <w:rPr>
          <w:rFonts w:cs="Arial"/>
          <w:color w:val="232120"/>
          <w:sz w:val="28"/>
          <w:szCs w:val="28"/>
          <w:vertAlign w:val="superscript"/>
          <w:lang w:val="en-US"/>
        </w:rPr>
        <w:t>th</w:t>
      </w:r>
      <w:r>
        <w:rPr>
          <w:rFonts w:cs="Arial"/>
          <w:color w:val="232120"/>
          <w:sz w:val="28"/>
          <w:szCs w:val="28"/>
          <w:lang w:val="en-US"/>
        </w:rPr>
        <w:t xml:space="preserve"> Floor, Alfred House, 19-21 Alfred Street, Belfast, BT2 8ED</w:t>
      </w:r>
    </w:p>
    <w:p w14:paraId="35868650" w14:textId="77777777" w:rsidR="00DF23ED" w:rsidRPr="00331C61" w:rsidRDefault="00DF23ED" w:rsidP="00DF23ED">
      <w:pPr>
        <w:spacing w:line="288" w:lineRule="auto"/>
        <w:jc w:val="center"/>
        <w:rPr>
          <w:rFonts w:cs="Arial"/>
          <w:b/>
          <w:color w:val="232120"/>
          <w:sz w:val="28"/>
          <w:szCs w:val="28"/>
        </w:rPr>
      </w:pPr>
    </w:p>
    <w:p w14:paraId="04DB7DF0" w14:textId="77777777" w:rsidR="00DF23ED" w:rsidRPr="00331C61" w:rsidRDefault="00DF23ED" w:rsidP="00DF23ED">
      <w:pPr>
        <w:spacing w:line="288" w:lineRule="auto"/>
        <w:jc w:val="center"/>
        <w:rPr>
          <w:rFonts w:cs="Arial"/>
          <w:color w:val="232120"/>
          <w:sz w:val="20"/>
          <w:szCs w:val="20"/>
        </w:rPr>
      </w:pPr>
    </w:p>
    <w:p w14:paraId="737B0F9D" w14:textId="77777777" w:rsidR="00DF23ED" w:rsidRPr="00331C61" w:rsidRDefault="00DF23ED" w:rsidP="00DF23ED">
      <w:pPr>
        <w:pStyle w:val="BasicParagraph"/>
        <w:suppressAutoHyphens/>
        <w:spacing w:line="240" w:lineRule="auto"/>
        <w:jc w:val="center"/>
        <w:rPr>
          <w:rFonts w:ascii="Verdana" w:hAnsi="Verdana" w:cs="Arial"/>
          <w:color w:val="232120"/>
          <w:sz w:val="28"/>
          <w:szCs w:val="28"/>
        </w:rPr>
      </w:pPr>
      <w:r w:rsidRPr="00331C61">
        <w:rPr>
          <w:rFonts w:ascii="Verdana" w:hAnsi="Verdana" w:cs="Arial"/>
          <w:noProof/>
          <w:color w:val="232120"/>
          <w:sz w:val="28"/>
          <w:szCs w:val="28"/>
          <w:lang w:eastAsia="en-GB"/>
        </w:rPr>
        <w:drawing>
          <wp:inline distT="0" distB="0" distL="0" distR="0" wp14:anchorId="410B5490" wp14:editId="6AB7E470">
            <wp:extent cx="1515406" cy="274540"/>
            <wp:effectExtent l="0" t="0" r="889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1554" cy="275654"/>
                    </a:xfrm>
                    <a:prstGeom prst="rect">
                      <a:avLst/>
                    </a:prstGeom>
                    <a:noFill/>
                    <a:ln>
                      <a:noFill/>
                    </a:ln>
                  </pic:spPr>
                </pic:pic>
              </a:graphicData>
            </a:graphic>
          </wp:inline>
        </w:drawing>
      </w:r>
    </w:p>
    <w:p w14:paraId="5312F96A" w14:textId="77777777" w:rsidR="00B25101" w:rsidRPr="004F10F7" w:rsidRDefault="00B25101" w:rsidP="00B25101">
      <w:pPr>
        <w:pStyle w:val="ListParagraph"/>
        <w:ind w:left="0"/>
      </w:pPr>
    </w:p>
    <w:sectPr w:rsidR="00B25101" w:rsidRPr="004F10F7" w:rsidSect="003B7D0E">
      <w:footerReference w:type="default" r:id="rId15"/>
      <w:footerReference w:type="first" r:id="rId16"/>
      <w:pgSz w:w="11900" w:h="16820"/>
      <w:pgMar w:top="1021" w:right="1021" w:bottom="1021" w:left="1021" w:header="1021"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99AAC" w14:textId="77777777" w:rsidR="000A73CC" w:rsidRDefault="000A73CC" w:rsidP="00962B2B">
      <w:r>
        <w:separator/>
      </w:r>
    </w:p>
  </w:endnote>
  <w:endnote w:type="continuationSeparator" w:id="0">
    <w:p w14:paraId="410B9AA0" w14:textId="77777777" w:rsidR="000A73CC" w:rsidRDefault="000A73CC" w:rsidP="00962B2B">
      <w:r>
        <w:continuationSeparator/>
      </w:r>
    </w:p>
  </w:endnote>
  <w:endnote w:type="continuationNotice" w:id="1">
    <w:p w14:paraId="75FA9A30" w14:textId="77777777" w:rsidR="000A73CC" w:rsidRDefault="000A73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48232" w14:textId="77777777" w:rsidR="00346528" w:rsidRDefault="00346528" w:rsidP="00656ECD">
    <w:pPr>
      <w:pStyle w:val="Footer"/>
      <w:jc w:val="right"/>
      <w:rPr>
        <w:rStyle w:val="PageNumber"/>
        <w:rFonts w:ascii="Arial" w:hAnsi="Arial" w:cs="Arial"/>
        <w:b/>
        <w:sz w:val="16"/>
        <w:szCs w:val="16"/>
      </w:rPr>
    </w:pPr>
  </w:p>
  <w:p w14:paraId="2FE39560" w14:textId="403E073E" w:rsidR="00346528" w:rsidRPr="007569C1" w:rsidRDefault="00346528" w:rsidP="00656ECD">
    <w:pPr>
      <w:pStyle w:val="Footer"/>
      <w:jc w:val="right"/>
      <w:rPr>
        <w:rFonts w:ascii="Arial" w:hAnsi="Arial" w:cs="Arial"/>
        <w:b/>
        <w:color w:val="77328A"/>
        <w:sz w:val="16"/>
        <w:szCs w:val="16"/>
      </w:rPr>
    </w:pPr>
    <w:r w:rsidRPr="007569C1">
      <w:rPr>
        <w:rStyle w:val="PageNumber"/>
        <w:rFonts w:ascii="Arial" w:hAnsi="Arial" w:cs="Arial"/>
        <w:b/>
        <w:color w:val="77328A"/>
        <w:sz w:val="16"/>
        <w:szCs w:val="16"/>
      </w:rPr>
      <w:fldChar w:fldCharType="begin"/>
    </w:r>
    <w:r w:rsidRPr="007569C1">
      <w:rPr>
        <w:rStyle w:val="PageNumber"/>
        <w:rFonts w:ascii="Arial" w:hAnsi="Arial" w:cs="Arial"/>
        <w:b/>
        <w:color w:val="77328A"/>
        <w:sz w:val="16"/>
        <w:szCs w:val="16"/>
      </w:rPr>
      <w:instrText xml:space="preserve"> PAGE </w:instrText>
    </w:r>
    <w:r w:rsidRPr="007569C1">
      <w:rPr>
        <w:rStyle w:val="PageNumber"/>
        <w:rFonts w:ascii="Arial" w:hAnsi="Arial" w:cs="Arial"/>
        <w:b/>
        <w:color w:val="77328A"/>
        <w:sz w:val="16"/>
        <w:szCs w:val="16"/>
      </w:rPr>
      <w:fldChar w:fldCharType="separate"/>
    </w:r>
    <w:r w:rsidR="00593D53">
      <w:rPr>
        <w:rStyle w:val="PageNumber"/>
        <w:rFonts w:ascii="Arial" w:hAnsi="Arial" w:cs="Arial"/>
        <w:b/>
        <w:noProof/>
        <w:color w:val="77328A"/>
        <w:sz w:val="16"/>
        <w:szCs w:val="16"/>
      </w:rPr>
      <w:t>2</w:t>
    </w:r>
    <w:r w:rsidRPr="007569C1">
      <w:rPr>
        <w:rStyle w:val="PageNumber"/>
        <w:rFonts w:ascii="Arial" w:hAnsi="Arial" w:cs="Arial"/>
        <w:b/>
        <w:color w:val="77328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C89BD" w14:textId="77777777" w:rsidR="00346528" w:rsidRDefault="00346528" w:rsidP="00046705">
    <w:pPr>
      <w:pStyle w:val="Footer"/>
      <w:jc w:val="right"/>
      <w:rPr>
        <w:rStyle w:val="PageNumber"/>
        <w:rFonts w:ascii="Arial" w:hAnsi="Arial" w:cs="Arial"/>
        <w:b/>
        <w:sz w:val="16"/>
        <w:szCs w:val="16"/>
      </w:rPr>
    </w:pPr>
  </w:p>
  <w:p w14:paraId="06ECF6BF" w14:textId="77777777" w:rsidR="00346528" w:rsidRPr="00D12EF8" w:rsidRDefault="00346528" w:rsidP="00046705">
    <w:pPr>
      <w:pStyle w:val="Footer"/>
      <w:jc w:val="right"/>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E352D" w14:textId="77777777" w:rsidR="000A73CC" w:rsidRDefault="000A73CC" w:rsidP="00B96D34">
      <w:r>
        <w:continuationSeparator/>
      </w:r>
    </w:p>
    <w:p w14:paraId="6AFADD88" w14:textId="77777777" w:rsidR="000A73CC" w:rsidRPr="00B96D34" w:rsidRDefault="000A73CC" w:rsidP="00B96D34">
      <w:pPr>
        <w:pStyle w:val="Footer"/>
      </w:pPr>
    </w:p>
  </w:footnote>
  <w:footnote w:type="continuationSeparator" w:id="0">
    <w:p w14:paraId="7DE58137" w14:textId="77777777" w:rsidR="000A73CC" w:rsidRDefault="000A73CC" w:rsidP="00962B2B">
      <w:r>
        <w:continuationSeparator/>
      </w:r>
    </w:p>
  </w:footnote>
  <w:footnote w:type="continuationNotice" w:id="1">
    <w:p w14:paraId="22F2BA70" w14:textId="77777777" w:rsidR="000A73CC" w:rsidRDefault="000A73CC"/>
  </w:footnote>
  <w:footnote w:id="2">
    <w:p w14:paraId="20F75E07" w14:textId="77777777" w:rsidR="00D92FF5" w:rsidRPr="00707DD0" w:rsidRDefault="00D92FF5" w:rsidP="00D92FF5">
      <w:pPr>
        <w:rPr>
          <w:rFonts w:cs="Arial"/>
          <w:color w:val="77328A"/>
          <w:sz w:val="16"/>
          <w:szCs w:val="16"/>
        </w:rPr>
      </w:pPr>
      <w:r w:rsidRPr="00707DD0">
        <w:rPr>
          <w:rStyle w:val="FootnoteReference"/>
          <w:color w:val="77328A"/>
          <w:sz w:val="16"/>
          <w:szCs w:val="16"/>
        </w:rPr>
        <w:footnoteRef/>
      </w:r>
      <w:r w:rsidRPr="00707DD0">
        <w:rPr>
          <w:color w:val="77328A"/>
          <w:sz w:val="16"/>
          <w:szCs w:val="16"/>
        </w:rPr>
        <w:t xml:space="preserve"> The Windsor Framework was formerly known as the Protocol on Ireland/Northern Ireland to the UK-EU Withdrawal Agreement and all references to the Protocol in this document have been updated to reflect this change. (</w:t>
      </w:r>
      <w:proofErr w:type="gramStart"/>
      <w:r w:rsidRPr="00707DD0">
        <w:rPr>
          <w:color w:val="77328A"/>
          <w:sz w:val="16"/>
          <w:szCs w:val="16"/>
        </w:rPr>
        <w:t>see</w:t>
      </w:r>
      <w:proofErr w:type="gramEnd"/>
      <w:r w:rsidRPr="00707DD0">
        <w:rPr>
          <w:color w:val="77328A"/>
          <w:sz w:val="16"/>
          <w:szCs w:val="16"/>
        </w:rPr>
        <w:t xml:space="preserve"> Decision No 1/2023 of the Joint Committee established by the Agreement on the Withdrawal of the United Kingdom of Great Britain and Northern Ireland from the European Union and the European Atomic Energy Community of 24 March 2023 laying down arrangements relating to the Windsor Framework).</w:t>
      </w:r>
    </w:p>
    <w:p w14:paraId="4CDEEA4A" w14:textId="77777777" w:rsidR="00D92FF5" w:rsidRDefault="00D92FF5" w:rsidP="00D92FF5">
      <w:r w:rsidRPr="00707DD0">
        <w:rPr>
          <w:rStyle w:val="FootnoteReference"/>
          <w:color w:val="77328A"/>
          <w:sz w:val="16"/>
          <w:szCs w:val="16"/>
        </w:rPr>
        <w:footnoteRef/>
      </w:r>
      <w:r w:rsidRPr="00707DD0">
        <w:rPr>
          <w:color w:val="77328A"/>
          <w:sz w:val="16"/>
          <w:szCs w:val="16"/>
        </w:rPr>
        <w:t xml:space="preserve"> Article 31, UN Refugee Convention 1951.</w:t>
      </w:r>
    </w:p>
  </w:footnote>
  <w:footnote w:id="3">
    <w:p w14:paraId="3B8F0E69" w14:textId="77777777" w:rsidR="00D92FF5" w:rsidRDefault="00D92FF5" w:rsidP="00D92FF5">
      <w:pPr>
        <w:pStyle w:val="NIHRCFootnotes"/>
      </w:pPr>
      <w:r>
        <w:rPr>
          <w:rStyle w:val="FootnoteReference"/>
        </w:rPr>
        <w:footnoteRef/>
      </w:r>
      <w:r>
        <w:t xml:space="preserve"> Ratified by the UK 1951. Further guidance is also taken from the body of case law from the European Court of Human</w:t>
      </w:r>
    </w:p>
    <w:p w14:paraId="7A28B7AB" w14:textId="77777777" w:rsidR="00D92FF5" w:rsidRDefault="00D92FF5" w:rsidP="00D92FF5">
      <w:pPr>
        <w:pStyle w:val="NIHRCFootnotes"/>
      </w:pPr>
      <w:r>
        <w:t>Rights (ECtHR).</w:t>
      </w:r>
    </w:p>
  </w:footnote>
  <w:footnote w:id="4">
    <w:p w14:paraId="435EEDBF" w14:textId="77777777" w:rsidR="00D92FF5" w:rsidRDefault="00D92FF5" w:rsidP="00D92FF5">
      <w:pPr>
        <w:pStyle w:val="NIHRCFootnotes"/>
      </w:pPr>
      <w:r>
        <w:rPr>
          <w:rStyle w:val="FootnoteReference"/>
        </w:rPr>
        <w:footnoteRef/>
      </w:r>
      <w:r>
        <w:t xml:space="preserve"> Ratified by the UK in 1976.</w:t>
      </w:r>
    </w:p>
  </w:footnote>
  <w:footnote w:id="5">
    <w:p w14:paraId="3CCB2CC7" w14:textId="77777777" w:rsidR="00D92FF5" w:rsidRDefault="00D92FF5" w:rsidP="00D92FF5">
      <w:pPr>
        <w:pStyle w:val="NIHRCFootnotes"/>
        <w:rPr>
          <w:color w:val="76328A"/>
        </w:rPr>
      </w:pPr>
      <w:r>
        <w:rPr>
          <w:rStyle w:val="FootnoteReference"/>
          <w:color w:val="76328A"/>
        </w:rPr>
        <w:footnoteRef/>
      </w:r>
      <w:r>
        <w:rPr>
          <w:color w:val="76328A"/>
        </w:rPr>
        <w:t xml:space="preserve"> Ratified by the UK in 1969. </w:t>
      </w:r>
    </w:p>
  </w:footnote>
  <w:footnote w:id="6">
    <w:p w14:paraId="5D5B5AB0" w14:textId="77777777" w:rsidR="00D92FF5" w:rsidRPr="00EA152E" w:rsidRDefault="00D92FF5" w:rsidP="00D92FF5">
      <w:pPr>
        <w:pStyle w:val="NIHRCFootnotes"/>
      </w:pPr>
      <w:r w:rsidRPr="00EA152E">
        <w:rPr>
          <w:rStyle w:val="FootnoteReference"/>
        </w:rPr>
        <w:footnoteRef/>
      </w:r>
      <w:r w:rsidRPr="00EA152E">
        <w:t xml:space="preserve"> Ratified by the UK 1986.</w:t>
      </w:r>
    </w:p>
  </w:footnote>
  <w:footnote w:id="7">
    <w:p w14:paraId="14B2F2E6" w14:textId="77777777" w:rsidR="00D92FF5" w:rsidRPr="00DD4A48" w:rsidRDefault="00D92FF5" w:rsidP="00D92FF5">
      <w:pPr>
        <w:pStyle w:val="NIHRCFootnotes"/>
      </w:pPr>
      <w:r w:rsidRPr="00EA152E">
        <w:rPr>
          <w:rStyle w:val="FootnoteReference"/>
        </w:rPr>
        <w:footnoteRef/>
      </w:r>
      <w:r w:rsidRPr="00EA152E">
        <w:t xml:space="preserve"> Ratified by</w:t>
      </w:r>
      <w:r w:rsidRPr="00DD4A48">
        <w:t xml:space="preserve"> the UK 1988. </w:t>
      </w:r>
    </w:p>
  </w:footnote>
  <w:footnote w:id="8">
    <w:p w14:paraId="301D16AE" w14:textId="77777777" w:rsidR="00D92FF5" w:rsidRPr="00EA152E" w:rsidRDefault="00D92FF5" w:rsidP="00D92FF5">
      <w:pPr>
        <w:pStyle w:val="NIHRCFootnotes"/>
      </w:pPr>
      <w:r w:rsidRPr="00DD4A48">
        <w:rPr>
          <w:rStyle w:val="FootnoteReference"/>
        </w:rPr>
        <w:footnoteRef/>
      </w:r>
      <w:r w:rsidRPr="00DD4A48">
        <w:t xml:space="preserve"> Ratified by the UK 1991</w:t>
      </w:r>
      <w:r w:rsidRPr="00EA152E">
        <w:t>.</w:t>
      </w:r>
    </w:p>
  </w:footnote>
  <w:footnote w:id="9">
    <w:p w14:paraId="66FBE2BB" w14:textId="77777777" w:rsidR="00D92FF5" w:rsidRPr="00EA152E" w:rsidRDefault="00D92FF5" w:rsidP="00D92FF5">
      <w:pPr>
        <w:pStyle w:val="NIHRCFootnotes"/>
      </w:pPr>
      <w:r w:rsidRPr="00EA152E">
        <w:rPr>
          <w:rStyle w:val="FootnoteReference"/>
        </w:rPr>
        <w:footnoteRef/>
      </w:r>
      <w:r w:rsidRPr="00EA152E">
        <w:t xml:space="preserve"> Ratified by the UK 2009.</w:t>
      </w:r>
    </w:p>
  </w:footnote>
  <w:footnote w:id="10">
    <w:p w14:paraId="1181E22E" w14:textId="14537229" w:rsidR="00164877" w:rsidRPr="004619B2" w:rsidRDefault="00164877">
      <w:pPr>
        <w:pStyle w:val="FootnoteText"/>
        <w:rPr>
          <w:color w:val="77328A"/>
          <w:sz w:val="16"/>
          <w:szCs w:val="16"/>
        </w:rPr>
      </w:pPr>
      <w:r w:rsidRPr="004619B2">
        <w:rPr>
          <w:rStyle w:val="FootnoteReference"/>
          <w:color w:val="77328A"/>
          <w:sz w:val="16"/>
          <w:szCs w:val="16"/>
        </w:rPr>
        <w:footnoteRef/>
      </w:r>
      <w:r w:rsidRPr="004619B2">
        <w:rPr>
          <w:color w:val="77328A"/>
          <w:sz w:val="16"/>
          <w:szCs w:val="16"/>
        </w:rPr>
        <w:t xml:space="preserve"> E/1990/23, ‘ICESCR Committee General Comment No.2: International technical assistance measures’, 2 February 1990.</w:t>
      </w:r>
    </w:p>
  </w:footnote>
  <w:footnote w:id="11">
    <w:p w14:paraId="04898BA6" w14:textId="2D8B7836" w:rsidR="00164877" w:rsidRPr="004619B2" w:rsidRDefault="00164877">
      <w:pPr>
        <w:pStyle w:val="FootnoteText"/>
        <w:rPr>
          <w:color w:val="77328A"/>
          <w:sz w:val="16"/>
          <w:szCs w:val="16"/>
        </w:rPr>
      </w:pPr>
      <w:r w:rsidRPr="004619B2">
        <w:rPr>
          <w:rStyle w:val="FootnoteReference"/>
          <w:color w:val="77328A"/>
          <w:sz w:val="16"/>
          <w:szCs w:val="16"/>
        </w:rPr>
        <w:footnoteRef/>
      </w:r>
      <w:r w:rsidRPr="004619B2">
        <w:rPr>
          <w:color w:val="77328A"/>
          <w:sz w:val="16"/>
          <w:szCs w:val="16"/>
        </w:rPr>
        <w:t xml:space="preserve"> </w:t>
      </w:r>
      <w:r w:rsidR="004619B2" w:rsidRPr="004619B2">
        <w:rPr>
          <w:color w:val="77328A"/>
          <w:sz w:val="16"/>
          <w:szCs w:val="16"/>
        </w:rPr>
        <w:t>E/1991/23, ‘ICESCR Committee General Comment No.3: The nature of State Parties’ obligations’, 14 December 1990.</w:t>
      </w:r>
    </w:p>
  </w:footnote>
  <w:footnote w:id="12">
    <w:p w14:paraId="56F86624" w14:textId="73E2074E" w:rsidR="003E00E7" w:rsidRPr="003E00E7" w:rsidRDefault="003E00E7">
      <w:pPr>
        <w:pStyle w:val="FootnoteText"/>
        <w:rPr>
          <w:sz w:val="16"/>
          <w:szCs w:val="16"/>
        </w:rPr>
      </w:pPr>
      <w:r w:rsidRPr="003E00E7">
        <w:rPr>
          <w:rStyle w:val="FootnoteReference"/>
          <w:color w:val="77328A"/>
          <w:sz w:val="16"/>
          <w:szCs w:val="16"/>
        </w:rPr>
        <w:footnoteRef/>
      </w:r>
      <w:r w:rsidRPr="003E00E7">
        <w:rPr>
          <w:color w:val="77328A"/>
          <w:sz w:val="16"/>
          <w:szCs w:val="16"/>
        </w:rPr>
        <w:t xml:space="preserve"> E/1992/23, ‘UN ICESCR Committee General Comment No.4: The right to adequate housing (Article 11)’ 13 December 1991</w:t>
      </w:r>
      <w:r>
        <w:rPr>
          <w:color w:val="77328A"/>
          <w:sz w:val="16"/>
          <w:szCs w:val="16"/>
        </w:rPr>
        <w:t>.</w:t>
      </w:r>
    </w:p>
  </w:footnote>
  <w:footnote w:id="13">
    <w:p w14:paraId="5727358E" w14:textId="1A39EE58" w:rsidR="002F4FC6" w:rsidRPr="002F4FC6" w:rsidRDefault="002F4FC6">
      <w:pPr>
        <w:pStyle w:val="FootnoteText"/>
        <w:rPr>
          <w:sz w:val="16"/>
          <w:szCs w:val="16"/>
        </w:rPr>
      </w:pPr>
      <w:r w:rsidRPr="002F4FC6">
        <w:rPr>
          <w:rStyle w:val="FootnoteReference"/>
          <w:color w:val="77328A"/>
          <w:sz w:val="16"/>
          <w:szCs w:val="16"/>
        </w:rPr>
        <w:footnoteRef/>
      </w:r>
      <w:r w:rsidRPr="002F4FC6">
        <w:rPr>
          <w:color w:val="77328A"/>
          <w:sz w:val="16"/>
          <w:szCs w:val="16"/>
        </w:rPr>
        <w:t xml:space="preserve"> </w:t>
      </w:r>
      <w:r w:rsidRPr="002F4FC6">
        <w:rPr>
          <w:rFonts w:cs="Arial"/>
          <w:color w:val="77328A"/>
          <w:sz w:val="16"/>
          <w:szCs w:val="16"/>
          <w:shd w:val="clear" w:color="auto" w:fill="FFFFFF"/>
        </w:rPr>
        <w:t>E/C.12/GC/19, ‘ICESCR Committee General Comment No.19: The right to social security (Article 9)’, 4 February 2008.</w:t>
      </w:r>
    </w:p>
  </w:footnote>
  <w:footnote w:id="14">
    <w:p w14:paraId="6BC16FA0" w14:textId="71654529" w:rsidR="006E7AC9" w:rsidRPr="006E7AC9" w:rsidRDefault="006E7AC9">
      <w:pPr>
        <w:pStyle w:val="FootnoteText"/>
        <w:rPr>
          <w:sz w:val="16"/>
          <w:szCs w:val="16"/>
        </w:rPr>
      </w:pPr>
      <w:r w:rsidRPr="006E7AC9">
        <w:rPr>
          <w:rStyle w:val="FootnoteReference"/>
          <w:color w:val="77328A"/>
          <w:sz w:val="16"/>
          <w:szCs w:val="16"/>
        </w:rPr>
        <w:footnoteRef/>
      </w:r>
      <w:r w:rsidRPr="006E7AC9">
        <w:rPr>
          <w:color w:val="77328A"/>
          <w:sz w:val="16"/>
          <w:szCs w:val="16"/>
        </w:rPr>
        <w:t xml:space="preserve"> E/C.12/GC/18, ‘UN ICESCR Committee General Comment No.18: The right to work (Article 6)’, 6 February 2022.</w:t>
      </w:r>
    </w:p>
  </w:footnote>
  <w:footnote w:id="15">
    <w:p w14:paraId="3D628879" w14:textId="0734332E" w:rsidR="00164877" w:rsidRPr="002F4FC6" w:rsidRDefault="00164877">
      <w:pPr>
        <w:pStyle w:val="FootnoteText"/>
        <w:rPr>
          <w:color w:val="77328A"/>
        </w:rPr>
      </w:pPr>
      <w:r w:rsidRPr="004619B2">
        <w:rPr>
          <w:rStyle w:val="FootnoteReference"/>
          <w:color w:val="77328A"/>
          <w:sz w:val="16"/>
          <w:szCs w:val="16"/>
        </w:rPr>
        <w:footnoteRef/>
      </w:r>
      <w:r w:rsidRPr="004619B2">
        <w:rPr>
          <w:color w:val="77328A"/>
          <w:sz w:val="16"/>
          <w:szCs w:val="16"/>
        </w:rPr>
        <w:t xml:space="preserve"> </w:t>
      </w:r>
      <w:r w:rsidR="004619B2" w:rsidRPr="004619B2">
        <w:rPr>
          <w:color w:val="77328A"/>
          <w:sz w:val="16"/>
          <w:szCs w:val="16"/>
        </w:rPr>
        <w:t xml:space="preserve">A/HRC/RES/40/8, ‘Human Rights Council Resolution 40/8: The effects of foreign debt and other related international financial obligations of States on the full enjoyment of all human rights, particularly economic, social and cultural rights’, 5 April </w:t>
      </w:r>
      <w:r w:rsidR="004619B2" w:rsidRPr="002F4FC6">
        <w:rPr>
          <w:color w:val="77328A"/>
          <w:sz w:val="16"/>
          <w:szCs w:val="16"/>
        </w:rPr>
        <w:t>2019.</w:t>
      </w:r>
    </w:p>
  </w:footnote>
  <w:footnote w:id="16">
    <w:p w14:paraId="36A04DED" w14:textId="77777777" w:rsidR="007D36B6" w:rsidRPr="0016312C" w:rsidRDefault="007D36B6" w:rsidP="007D36B6">
      <w:pPr>
        <w:pStyle w:val="FootnoteText"/>
        <w:rPr>
          <w:color w:val="77328A"/>
          <w:sz w:val="16"/>
          <w:szCs w:val="16"/>
        </w:rPr>
      </w:pPr>
      <w:r w:rsidRPr="002F4FC6">
        <w:rPr>
          <w:rStyle w:val="FootnoteReference"/>
          <w:color w:val="77328A"/>
          <w:sz w:val="16"/>
          <w:szCs w:val="16"/>
        </w:rPr>
        <w:footnoteRef/>
      </w:r>
      <w:r w:rsidRPr="002F4FC6">
        <w:rPr>
          <w:color w:val="77328A"/>
          <w:sz w:val="16"/>
          <w:szCs w:val="16"/>
        </w:rPr>
        <w:t xml:space="preserve"> UK Parliament</w:t>
      </w:r>
      <w:r w:rsidRPr="00DD4A48">
        <w:rPr>
          <w:color w:val="77328A"/>
          <w:sz w:val="16"/>
          <w:szCs w:val="16"/>
        </w:rPr>
        <w:t xml:space="preserve">, ‘Written Statement: NI Finances 2023-24 – Chris Heaton-Harris, Secretary of State for NI - UIN </w:t>
      </w:r>
      <w:r w:rsidRPr="0016312C">
        <w:rPr>
          <w:color w:val="77328A"/>
          <w:sz w:val="16"/>
          <w:szCs w:val="16"/>
        </w:rPr>
        <w:t>HCWS748’, 27 April 2023.</w:t>
      </w:r>
    </w:p>
  </w:footnote>
  <w:footnote w:id="17">
    <w:p w14:paraId="1A9CB871" w14:textId="699C0116" w:rsidR="001A0F81" w:rsidRPr="00683677" w:rsidRDefault="001A0F81" w:rsidP="001A0F81">
      <w:pPr>
        <w:pStyle w:val="FootnoteText"/>
        <w:rPr>
          <w:color w:val="77328A"/>
          <w:sz w:val="16"/>
          <w:szCs w:val="16"/>
        </w:rPr>
      </w:pPr>
      <w:r w:rsidRPr="00683677">
        <w:rPr>
          <w:rStyle w:val="FootnoteReference"/>
          <w:color w:val="77328A"/>
          <w:sz w:val="16"/>
          <w:szCs w:val="16"/>
        </w:rPr>
        <w:footnoteRef/>
      </w:r>
      <w:r w:rsidRPr="00683677">
        <w:rPr>
          <w:color w:val="77328A"/>
          <w:sz w:val="16"/>
          <w:szCs w:val="16"/>
        </w:rPr>
        <w:t xml:space="preserve"> A/HRC/40/57, ‘Report of the Independent Expert on the effects of foreign debt and other related international financial obligations of States on the full enjoyment of human rights, particularly economic, social and cultural rights: Guiding principles on human rights impact assessments of economic reforms’, 19 December 2018, at para 5</w:t>
      </w:r>
      <w:r w:rsidR="00FE137B">
        <w:rPr>
          <w:color w:val="77328A"/>
          <w:sz w:val="16"/>
          <w:szCs w:val="16"/>
        </w:rPr>
        <w:t xml:space="preserve">; </w:t>
      </w:r>
      <w:r w:rsidR="00AE0FAE">
        <w:rPr>
          <w:color w:val="77328A"/>
          <w:sz w:val="16"/>
          <w:szCs w:val="16"/>
        </w:rPr>
        <w:t>Council of Europe Commissioner for Human Rights, ‘Safeg</w:t>
      </w:r>
      <w:r w:rsidR="00AE0FAE" w:rsidRPr="000D6AAF">
        <w:rPr>
          <w:color w:val="77328A"/>
          <w:sz w:val="16"/>
          <w:szCs w:val="16"/>
        </w:rPr>
        <w:t>uarding human</w:t>
      </w:r>
      <w:r w:rsidR="00AE0FAE">
        <w:rPr>
          <w:color w:val="77328A"/>
          <w:sz w:val="16"/>
          <w:szCs w:val="16"/>
        </w:rPr>
        <w:t xml:space="preserve"> rights in times of economic crisis’ </w:t>
      </w:r>
      <w:r w:rsidR="00771B27">
        <w:rPr>
          <w:color w:val="77328A"/>
          <w:sz w:val="16"/>
          <w:szCs w:val="16"/>
        </w:rPr>
        <w:t>(</w:t>
      </w:r>
      <w:proofErr w:type="spellStart"/>
      <w:r w:rsidR="00771B27">
        <w:rPr>
          <w:color w:val="77328A"/>
          <w:sz w:val="16"/>
          <w:szCs w:val="16"/>
        </w:rPr>
        <w:t>CoE</w:t>
      </w:r>
      <w:proofErr w:type="spellEnd"/>
      <w:r w:rsidR="00771B27">
        <w:rPr>
          <w:color w:val="77328A"/>
          <w:sz w:val="16"/>
          <w:szCs w:val="16"/>
        </w:rPr>
        <w:t xml:space="preserve">, 2013), </w:t>
      </w:r>
      <w:r w:rsidR="00FE137B">
        <w:rPr>
          <w:color w:val="77328A"/>
          <w:sz w:val="16"/>
          <w:szCs w:val="16"/>
        </w:rPr>
        <w:t>at 7.</w:t>
      </w:r>
    </w:p>
  </w:footnote>
  <w:footnote w:id="18">
    <w:p w14:paraId="7760D3E6" w14:textId="77777777" w:rsidR="00D274F5" w:rsidRPr="00C63B51" w:rsidRDefault="00D274F5" w:rsidP="00D274F5">
      <w:pPr>
        <w:pStyle w:val="FootnoteText"/>
        <w:rPr>
          <w:sz w:val="16"/>
          <w:szCs w:val="16"/>
        </w:rPr>
      </w:pPr>
      <w:r w:rsidRPr="000D6AAF">
        <w:rPr>
          <w:rStyle w:val="FootnoteReference"/>
          <w:color w:val="77328A"/>
          <w:sz w:val="16"/>
          <w:szCs w:val="16"/>
        </w:rPr>
        <w:footnoteRef/>
      </w:r>
      <w:r w:rsidRPr="000D6AAF">
        <w:rPr>
          <w:color w:val="77328A"/>
          <w:sz w:val="16"/>
          <w:szCs w:val="16"/>
        </w:rPr>
        <w:t xml:space="preserve"> For example</w:t>
      </w:r>
      <w:r>
        <w:rPr>
          <w:color w:val="77328A"/>
          <w:sz w:val="16"/>
          <w:szCs w:val="16"/>
        </w:rPr>
        <w:t xml:space="preserve">, see: ‘UN CEDAW Committee General Recommendation No.24 on Women and Health (Article 12)’, 2 February 1999, at para 17; CRC/C/GC/14, ‘UN CRC Committee General Comment No.14 on the right of the child to have his or her best interests taken a primary consideration’, 29 May 2013, at para 10; </w:t>
      </w:r>
      <w:r w:rsidRPr="00BD1E34">
        <w:rPr>
          <w:color w:val="77328A"/>
          <w:sz w:val="16"/>
          <w:szCs w:val="16"/>
        </w:rPr>
        <w:t>CRPD/C/18/1</w:t>
      </w:r>
      <w:r>
        <w:rPr>
          <w:color w:val="77328A"/>
          <w:sz w:val="16"/>
          <w:szCs w:val="16"/>
        </w:rPr>
        <w:t>, ‘UN CRPD Committee General Comment No.19 on Article 19: Living independently and being included in the community’, 29 August 2017, at para 54.</w:t>
      </w:r>
    </w:p>
  </w:footnote>
  <w:footnote w:id="19">
    <w:p w14:paraId="095C7BA7" w14:textId="2C8195E1" w:rsidR="001A0F81" w:rsidRPr="00E4712B" w:rsidRDefault="001A0F81" w:rsidP="001A0F81">
      <w:pPr>
        <w:pStyle w:val="FootnoteText"/>
        <w:rPr>
          <w:color w:val="77328A"/>
          <w:sz w:val="16"/>
          <w:szCs w:val="16"/>
        </w:rPr>
      </w:pPr>
      <w:r w:rsidRPr="00E4712B">
        <w:rPr>
          <w:rStyle w:val="FootnoteReference"/>
          <w:color w:val="77328A"/>
          <w:sz w:val="16"/>
          <w:szCs w:val="16"/>
        </w:rPr>
        <w:footnoteRef/>
      </w:r>
      <w:r w:rsidRPr="00E4712B">
        <w:rPr>
          <w:color w:val="77328A"/>
          <w:sz w:val="16"/>
          <w:szCs w:val="16"/>
        </w:rPr>
        <w:t xml:space="preserve"> E/</w:t>
      </w:r>
      <w:r>
        <w:rPr>
          <w:color w:val="77328A"/>
          <w:sz w:val="16"/>
          <w:szCs w:val="16"/>
        </w:rPr>
        <w:t>1990/23</w:t>
      </w:r>
      <w:r w:rsidRPr="00E4712B">
        <w:rPr>
          <w:color w:val="77328A"/>
          <w:sz w:val="16"/>
          <w:szCs w:val="16"/>
        </w:rPr>
        <w:t>, ‘ICESCR Committee General Comment No.2: International technical assistance measures’, 2 February 1990, at para 9</w:t>
      </w:r>
      <w:r w:rsidR="00BE779F">
        <w:rPr>
          <w:color w:val="77328A"/>
          <w:sz w:val="16"/>
          <w:szCs w:val="16"/>
        </w:rPr>
        <w:t>; Council of Europe Commissioner for Human Rights, ‘Safeguarding human rights in times of economic crisis’ (</w:t>
      </w:r>
      <w:proofErr w:type="spellStart"/>
      <w:r w:rsidR="00BE779F">
        <w:rPr>
          <w:color w:val="77328A"/>
          <w:sz w:val="16"/>
          <w:szCs w:val="16"/>
        </w:rPr>
        <w:t>CoE</w:t>
      </w:r>
      <w:proofErr w:type="spellEnd"/>
      <w:r w:rsidR="00BE779F">
        <w:rPr>
          <w:color w:val="77328A"/>
          <w:sz w:val="16"/>
          <w:szCs w:val="16"/>
        </w:rPr>
        <w:t>, 2013), at 7.</w:t>
      </w:r>
    </w:p>
  </w:footnote>
  <w:footnote w:id="20">
    <w:p w14:paraId="3EA6846D" w14:textId="4721F053" w:rsidR="006274D3" w:rsidRPr="000D6AAF" w:rsidRDefault="006274D3">
      <w:pPr>
        <w:pStyle w:val="FootnoteText"/>
        <w:rPr>
          <w:color w:val="77328A"/>
          <w:sz w:val="16"/>
          <w:szCs w:val="16"/>
        </w:rPr>
      </w:pPr>
      <w:r w:rsidRPr="000D6AAF">
        <w:rPr>
          <w:rStyle w:val="FootnoteReference"/>
          <w:color w:val="77328A"/>
          <w:sz w:val="16"/>
          <w:szCs w:val="16"/>
        </w:rPr>
        <w:footnoteRef/>
      </w:r>
      <w:r w:rsidRPr="000D6AAF">
        <w:rPr>
          <w:color w:val="77328A"/>
          <w:sz w:val="16"/>
          <w:szCs w:val="16"/>
        </w:rPr>
        <w:t xml:space="preserve"> Council of Europe Commissioner for Human Rights, ‘Safeguarding human rights in times of economic crisis’ (</w:t>
      </w:r>
      <w:proofErr w:type="spellStart"/>
      <w:r w:rsidRPr="000D6AAF">
        <w:rPr>
          <w:color w:val="77328A"/>
          <w:sz w:val="16"/>
          <w:szCs w:val="16"/>
        </w:rPr>
        <w:t>CoE</w:t>
      </w:r>
      <w:proofErr w:type="spellEnd"/>
      <w:r w:rsidRPr="000D6AAF">
        <w:rPr>
          <w:color w:val="77328A"/>
          <w:sz w:val="16"/>
          <w:szCs w:val="16"/>
        </w:rPr>
        <w:t>, 2013), at 7.</w:t>
      </w:r>
    </w:p>
  </w:footnote>
  <w:footnote w:id="21">
    <w:p w14:paraId="1F181EB3" w14:textId="33D53C69" w:rsidR="000D6AAF" w:rsidRPr="000D6AAF" w:rsidRDefault="000D6AAF">
      <w:pPr>
        <w:pStyle w:val="FootnoteText"/>
        <w:rPr>
          <w:sz w:val="16"/>
          <w:szCs w:val="16"/>
        </w:rPr>
      </w:pPr>
      <w:r w:rsidRPr="000D6AAF">
        <w:rPr>
          <w:rStyle w:val="FootnoteReference"/>
          <w:color w:val="77328A"/>
          <w:sz w:val="16"/>
          <w:szCs w:val="16"/>
        </w:rPr>
        <w:footnoteRef/>
      </w:r>
      <w:r w:rsidRPr="000D6AAF">
        <w:rPr>
          <w:color w:val="77328A"/>
          <w:sz w:val="16"/>
          <w:szCs w:val="16"/>
        </w:rPr>
        <w:t xml:space="preserve"> Ibid.</w:t>
      </w:r>
    </w:p>
  </w:footnote>
  <w:footnote w:id="22">
    <w:p w14:paraId="4CABCC76" w14:textId="77777777" w:rsidR="004B2931" w:rsidRDefault="004B2931" w:rsidP="004B2931">
      <w:pPr>
        <w:pStyle w:val="FootnoteText"/>
      </w:pPr>
      <w:r w:rsidRPr="0016312C">
        <w:rPr>
          <w:rStyle w:val="FootnoteReference"/>
          <w:color w:val="77328A"/>
          <w:sz w:val="16"/>
          <w:szCs w:val="16"/>
        </w:rPr>
        <w:footnoteRef/>
      </w:r>
      <w:r w:rsidRPr="0016312C">
        <w:rPr>
          <w:color w:val="77328A"/>
          <w:sz w:val="16"/>
          <w:szCs w:val="16"/>
        </w:rPr>
        <w:t xml:space="preserve"> Department for Communities, ‘Press Release: Department outlines final budget allocations’, 21 June 2023.</w:t>
      </w:r>
    </w:p>
  </w:footnote>
  <w:footnote w:id="23">
    <w:p w14:paraId="75CFAC32" w14:textId="77777777" w:rsidR="004B2931" w:rsidRPr="00555D36" w:rsidRDefault="004B2931" w:rsidP="004B2931">
      <w:pPr>
        <w:pStyle w:val="FootnoteText"/>
        <w:rPr>
          <w:color w:val="77328A"/>
          <w:sz w:val="16"/>
          <w:szCs w:val="16"/>
        </w:rPr>
      </w:pPr>
      <w:r w:rsidRPr="00555D36">
        <w:rPr>
          <w:rStyle w:val="FootnoteReference"/>
          <w:color w:val="77328A"/>
          <w:sz w:val="16"/>
          <w:szCs w:val="16"/>
        </w:rPr>
        <w:footnoteRef/>
      </w:r>
      <w:r w:rsidRPr="00555D36">
        <w:rPr>
          <w:color w:val="77328A"/>
          <w:sz w:val="16"/>
          <w:szCs w:val="16"/>
        </w:rPr>
        <w:t xml:space="preserve"> Department for Communities, ‘Budget 2023-24: Draft Equality Impact Assessment Stage 1 Outcome Report’ (DfC, 2023).</w:t>
      </w:r>
    </w:p>
  </w:footnote>
  <w:footnote w:id="24">
    <w:p w14:paraId="2B5EE774" w14:textId="77777777" w:rsidR="00D40361" w:rsidRDefault="00D40361" w:rsidP="00D40361">
      <w:pPr>
        <w:pStyle w:val="FootnoteText"/>
      </w:pPr>
      <w:r w:rsidRPr="00555D36">
        <w:rPr>
          <w:rStyle w:val="FootnoteReference"/>
          <w:color w:val="77328A"/>
          <w:sz w:val="16"/>
          <w:szCs w:val="16"/>
        </w:rPr>
        <w:footnoteRef/>
      </w:r>
      <w:r w:rsidRPr="00555D36">
        <w:rPr>
          <w:color w:val="77328A"/>
          <w:sz w:val="16"/>
          <w:szCs w:val="16"/>
        </w:rPr>
        <w:t xml:space="preserve"> Ibid.</w:t>
      </w:r>
    </w:p>
  </w:footnote>
  <w:footnote w:id="25">
    <w:p w14:paraId="6F5B76BE" w14:textId="07E27F63" w:rsidR="00C44BF5" w:rsidRPr="00BD4F87" w:rsidRDefault="00C44BF5">
      <w:pPr>
        <w:pStyle w:val="FootnoteText"/>
        <w:rPr>
          <w:sz w:val="16"/>
          <w:szCs w:val="16"/>
        </w:rPr>
      </w:pPr>
      <w:r w:rsidRPr="00BD4F87">
        <w:rPr>
          <w:rStyle w:val="FootnoteReference"/>
          <w:color w:val="77328A"/>
          <w:sz w:val="16"/>
          <w:szCs w:val="16"/>
        </w:rPr>
        <w:footnoteRef/>
      </w:r>
      <w:r w:rsidRPr="00BD4F87">
        <w:rPr>
          <w:color w:val="77328A"/>
          <w:sz w:val="16"/>
          <w:szCs w:val="16"/>
        </w:rPr>
        <w:t xml:space="preserve"> </w:t>
      </w:r>
      <w:r w:rsidR="0018076C" w:rsidRPr="00BD4F87">
        <w:rPr>
          <w:color w:val="77328A"/>
          <w:sz w:val="16"/>
          <w:szCs w:val="16"/>
        </w:rPr>
        <w:t>E/</w:t>
      </w:r>
      <w:r w:rsidR="00766374">
        <w:rPr>
          <w:color w:val="77328A"/>
          <w:sz w:val="16"/>
          <w:szCs w:val="16"/>
        </w:rPr>
        <w:t>1991/23</w:t>
      </w:r>
      <w:r w:rsidR="0018076C" w:rsidRPr="00BD4F87">
        <w:rPr>
          <w:color w:val="77328A"/>
          <w:sz w:val="16"/>
          <w:szCs w:val="16"/>
        </w:rPr>
        <w:t xml:space="preserve">, </w:t>
      </w:r>
      <w:r w:rsidR="00BD4F87" w:rsidRPr="00BD4F87">
        <w:rPr>
          <w:color w:val="77328A"/>
          <w:sz w:val="16"/>
          <w:szCs w:val="16"/>
        </w:rPr>
        <w:t>‘ICESCR Committee General Comment No.3: The nature of State Parties’ obligations’, 14 December 1990, a</w:t>
      </w:r>
      <w:r w:rsidR="00BA6113" w:rsidRPr="00BD4F87">
        <w:rPr>
          <w:color w:val="77328A"/>
          <w:sz w:val="16"/>
          <w:szCs w:val="16"/>
        </w:rPr>
        <w:t>t para 9.</w:t>
      </w:r>
    </w:p>
  </w:footnote>
  <w:footnote w:id="26">
    <w:p w14:paraId="4D203200" w14:textId="77777777" w:rsidR="00E752F7" w:rsidRDefault="00E752F7" w:rsidP="00E752F7">
      <w:pPr>
        <w:pStyle w:val="FootnoteText"/>
      </w:pPr>
      <w:r w:rsidRPr="00975541">
        <w:rPr>
          <w:rStyle w:val="FootnoteReference"/>
          <w:color w:val="77328A"/>
          <w:sz w:val="16"/>
          <w:szCs w:val="16"/>
        </w:rPr>
        <w:footnoteRef/>
      </w:r>
      <w:r w:rsidRPr="00975541">
        <w:rPr>
          <w:color w:val="77328A"/>
          <w:sz w:val="16"/>
          <w:szCs w:val="16"/>
        </w:rPr>
        <w:t xml:space="preserve"> </w:t>
      </w:r>
      <w:r w:rsidRPr="00975541">
        <w:rPr>
          <w:rStyle w:val="normaltextrun"/>
          <w:rFonts w:cs="Segoe UI"/>
          <w:color w:val="77328A"/>
          <w:sz w:val="16"/>
          <w:szCs w:val="16"/>
          <w:shd w:val="clear" w:color="auto" w:fill="FFFFFF"/>
        </w:rPr>
        <w:t>E/C.12/GC/21, ‘ICESCR Committee General Comment No 21: Right of Everyone to Take Part in Cultural Life’, 21 December 2009, at para 65; E/C.12/GC/19, ‘ICESCR Committee General Comment No 19: The Right to Social Security’, 4 February 2008, at para 42; E/C.12/GC/18, ‘ICESCR Committee General Comment No 18: The Right to Work’, 6 February 2006, at para 21; E/C.12/GC/17, ‘ICESCR Committee General Comment No 17: The Right of Everyone to Benefit from the Protection of the Moral and Material Interests Resulting from Any Scientific, Literary or Artistic Production of which He or She is the Author’, 12 January 2006.</w:t>
      </w:r>
      <w:r w:rsidRPr="00975541">
        <w:rPr>
          <w:rStyle w:val="eop"/>
          <w:color w:val="77328A"/>
          <w:sz w:val="16"/>
          <w:szCs w:val="16"/>
          <w:shd w:val="clear" w:color="auto" w:fill="FFFFFF"/>
        </w:rPr>
        <w:t> </w:t>
      </w:r>
    </w:p>
  </w:footnote>
  <w:footnote w:id="27">
    <w:p w14:paraId="6427C4F1" w14:textId="0AECF719" w:rsidR="00042E31" w:rsidRPr="00206B12" w:rsidRDefault="00042E31">
      <w:pPr>
        <w:pStyle w:val="FootnoteText"/>
        <w:rPr>
          <w:sz w:val="16"/>
          <w:szCs w:val="16"/>
        </w:rPr>
      </w:pPr>
      <w:r w:rsidRPr="00206B12">
        <w:rPr>
          <w:rStyle w:val="FootnoteReference"/>
          <w:color w:val="77328A"/>
          <w:sz w:val="16"/>
          <w:szCs w:val="16"/>
        </w:rPr>
        <w:footnoteRef/>
      </w:r>
      <w:r w:rsidRPr="00206B12">
        <w:rPr>
          <w:color w:val="77328A"/>
          <w:sz w:val="16"/>
          <w:szCs w:val="16"/>
        </w:rPr>
        <w:t xml:space="preserve"> </w:t>
      </w:r>
      <w:r w:rsidR="00271DD7" w:rsidRPr="00206B12">
        <w:rPr>
          <w:color w:val="77328A"/>
          <w:sz w:val="16"/>
          <w:szCs w:val="16"/>
        </w:rPr>
        <w:t>E/C</w:t>
      </w:r>
      <w:r w:rsidR="008A718F" w:rsidRPr="00206B12">
        <w:rPr>
          <w:color w:val="77328A"/>
          <w:sz w:val="16"/>
          <w:szCs w:val="16"/>
        </w:rPr>
        <w:t>.12/GC/</w:t>
      </w:r>
      <w:r w:rsidR="005464C6" w:rsidRPr="00206B12">
        <w:rPr>
          <w:color w:val="77328A"/>
          <w:sz w:val="16"/>
          <w:szCs w:val="16"/>
        </w:rPr>
        <w:t xml:space="preserve">14, ‘ICESCR Committee </w:t>
      </w:r>
      <w:r w:rsidRPr="00206B12">
        <w:rPr>
          <w:color w:val="77328A"/>
          <w:sz w:val="16"/>
          <w:szCs w:val="16"/>
        </w:rPr>
        <w:t>General Comment No.14 on the right to education</w:t>
      </w:r>
      <w:r w:rsidR="005464C6" w:rsidRPr="00206B12">
        <w:rPr>
          <w:color w:val="77328A"/>
          <w:sz w:val="16"/>
          <w:szCs w:val="16"/>
        </w:rPr>
        <w:t>’,</w:t>
      </w:r>
      <w:r w:rsidR="00206B12" w:rsidRPr="00206B12">
        <w:rPr>
          <w:color w:val="77328A"/>
          <w:sz w:val="16"/>
          <w:szCs w:val="16"/>
        </w:rPr>
        <w:t xml:space="preserve"> 11 August 2000,</w:t>
      </w:r>
      <w:r w:rsidRPr="00206B12">
        <w:rPr>
          <w:color w:val="77328A"/>
          <w:sz w:val="16"/>
          <w:szCs w:val="16"/>
        </w:rPr>
        <w:t xml:space="preserve"> at para 45. </w:t>
      </w:r>
    </w:p>
  </w:footnote>
  <w:footnote w:id="28">
    <w:p w14:paraId="2FF89973" w14:textId="732C1714" w:rsidR="0099310B" w:rsidRPr="00CA2F47" w:rsidRDefault="0099310B">
      <w:pPr>
        <w:pStyle w:val="FootnoteText"/>
        <w:rPr>
          <w:color w:val="77328A"/>
          <w:sz w:val="16"/>
          <w:szCs w:val="16"/>
        </w:rPr>
      </w:pPr>
      <w:r w:rsidRPr="00CA2F47">
        <w:rPr>
          <w:rStyle w:val="FootnoteReference"/>
          <w:color w:val="77328A"/>
          <w:sz w:val="16"/>
          <w:szCs w:val="16"/>
        </w:rPr>
        <w:footnoteRef/>
      </w:r>
      <w:r w:rsidRPr="00CA2F47">
        <w:rPr>
          <w:color w:val="77328A"/>
          <w:sz w:val="16"/>
          <w:szCs w:val="16"/>
        </w:rPr>
        <w:t xml:space="preserve"> </w:t>
      </w:r>
      <w:r w:rsidR="00CA2F47" w:rsidRPr="00CA2F47">
        <w:rPr>
          <w:color w:val="77328A"/>
          <w:sz w:val="16"/>
          <w:szCs w:val="16"/>
        </w:rPr>
        <w:t>E/1991/23, ‘ICESCR Committee General Comment No.3: The nature of State Parties’ obligations’, 14 December 1990, a</w:t>
      </w:r>
      <w:r w:rsidRPr="00CA2F47">
        <w:rPr>
          <w:color w:val="77328A"/>
          <w:sz w:val="16"/>
          <w:szCs w:val="16"/>
        </w:rPr>
        <w:t xml:space="preserve">t para 10. </w:t>
      </w:r>
    </w:p>
  </w:footnote>
  <w:footnote w:id="29">
    <w:p w14:paraId="23C5F281" w14:textId="73065965" w:rsidR="003C5AC9" w:rsidRPr="00CA2F47" w:rsidRDefault="003C5AC9">
      <w:pPr>
        <w:pStyle w:val="FootnoteText"/>
        <w:rPr>
          <w:color w:val="77328A"/>
          <w:sz w:val="16"/>
          <w:szCs w:val="16"/>
        </w:rPr>
      </w:pPr>
      <w:r w:rsidRPr="00CA2F47">
        <w:rPr>
          <w:rStyle w:val="FootnoteReference"/>
          <w:color w:val="77328A"/>
          <w:sz w:val="16"/>
          <w:szCs w:val="16"/>
        </w:rPr>
        <w:footnoteRef/>
      </w:r>
      <w:r w:rsidR="00CA2F47" w:rsidRPr="00CA2F47">
        <w:rPr>
          <w:color w:val="77328A"/>
          <w:sz w:val="16"/>
          <w:szCs w:val="16"/>
        </w:rPr>
        <w:t xml:space="preserve"> Ibid, a</w:t>
      </w:r>
      <w:r w:rsidRPr="00CA2F47">
        <w:rPr>
          <w:color w:val="77328A"/>
          <w:sz w:val="16"/>
          <w:szCs w:val="16"/>
        </w:rPr>
        <w:t xml:space="preserve">t para 11. </w:t>
      </w:r>
    </w:p>
  </w:footnote>
  <w:footnote w:id="30">
    <w:p w14:paraId="4AED963D" w14:textId="762C1FC1" w:rsidR="003C5AC9" w:rsidRDefault="003C5AC9">
      <w:pPr>
        <w:pStyle w:val="FootnoteText"/>
      </w:pPr>
      <w:r w:rsidRPr="00CA2F47">
        <w:rPr>
          <w:rStyle w:val="FootnoteReference"/>
          <w:color w:val="77328A"/>
          <w:sz w:val="16"/>
          <w:szCs w:val="16"/>
        </w:rPr>
        <w:footnoteRef/>
      </w:r>
      <w:r w:rsidRPr="00CA2F47">
        <w:rPr>
          <w:color w:val="77328A"/>
          <w:sz w:val="16"/>
          <w:szCs w:val="16"/>
        </w:rPr>
        <w:t xml:space="preserve"> </w:t>
      </w:r>
      <w:r w:rsidR="00CA2F47" w:rsidRPr="00CA2F47">
        <w:rPr>
          <w:color w:val="77328A"/>
          <w:sz w:val="16"/>
          <w:szCs w:val="16"/>
        </w:rPr>
        <w:t>Ibid, at</w:t>
      </w:r>
      <w:r w:rsidRPr="00CA2F47">
        <w:rPr>
          <w:color w:val="77328A"/>
          <w:sz w:val="16"/>
          <w:szCs w:val="16"/>
        </w:rPr>
        <w:t xml:space="preserve"> para 12.</w:t>
      </w:r>
    </w:p>
  </w:footnote>
  <w:footnote w:id="31">
    <w:p w14:paraId="67AB9068" w14:textId="2A510C2E" w:rsidR="00CB31D9" w:rsidRPr="00215674" w:rsidRDefault="00CB31D9" w:rsidP="00CB31D9">
      <w:pPr>
        <w:pStyle w:val="FootnoteText"/>
        <w:rPr>
          <w:sz w:val="16"/>
          <w:szCs w:val="16"/>
        </w:rPr>
      </w:pPr>
      <w:r w:rsidRPr="00215674">
        <w:rPr>
          <w:rStyle w:val="FootnoteReference"/>
          <w:color w:val="77328A"/>
          <w:sz w:val="16"/>
          <w:szCs w:val="16"/>
        </w:rPr>
        <w:footnoteRef/>
      </w:r>
      <w:r w:rsidRPr="00215674">
        <w:rPr>
          <w:color w:val="77328A"/>
          <w:sz w:val="16"/>
          <w:szCs w:val="16"/>
        </w:rPr>
        <w:t xml:space="preserve"> </w:t>
      </w:r>
      <w:r w:rsidR="00F702CE" w:rsidRPr="00215674">
        <w:rPr>
          <w:color w:val="77328A"/>
          <w:sz w:val="16"/>
          <w:szCs w:val="16"/>
        </w:rPr>
        <w:t>NI Human Rights Commission, ‘</w:t>
      </w:r>
      <w:r w:rsidR="00215674" w:rsidRPr="00215674">
        <w:rPr>
          <w:color w:val="77328A"/>
          <w:sz w:val="16"/>
          <w:szCs w:val="16"/>
        </w:rPr>
        <w:t>Submission to the Department for Communities in Response to Their Equality Impact Assessment of the Draft Budget 2021-22’ (NIHRC 2021).</w:t>
      </w:r>
    </w:p>
  </w:footnote>
  <w:footnote w:id="32">
    <w:p w14:paraId="3BCFCCBC" w14:textId="77777777" w:rsidR="00CB31D9" w:rsidRDefault="00CB31D9" w:rsidP="00CB31D9">
      <w:pPr>
        <w:pStyle w:val="NIHRCFootnotes"/>
      </w:pPr>
      <w:r>
        <w:rPr>
          <w:rStyle w:val="FootnoteReference"/>
        </w:rPr>
        <w:footnoteRef/>
      </w:r>
      <w:r>
        <w:t xml:space="preserve"> Women’s Regional Consortium, ‘Impact of Ongoing Austerity: Women’s Perspectives’, (WRC, 2019), at 6.</w:t>
      </w:r>
    </w:p>
  </w:footnote>
  <w:footnote w:id="33">
    <w:p w14:paraId="2DEE11CE" w14:textId="190DE893" w:rsidR="00CB31D9" w:rsidRPr="00215674" w:rsidRDefault="00CB31D9" w:rsidP="00CB31D9">
      <w:pPr>
        <w:pStyle w:val="FootnoteText"/>
        <w:rPr>
          <w:sz w:val="16"/>
          <w:szCs w:val="16"/>
        </w:rPr>
      </w:pPr>
      <w:r w:rsidRPr="00215674">
        <w:rPr>
          <w:rStyle w:val="FootnoteReference"/>
          <w:color w:val="77328A"/>
          <w:sz w:val="16"/>
          <w:szCs w:val="16"/>
        </w:rPr>
        <w:footnoteRef/>
      </w:r>
      <w:r w:rsidRPr="00215674">
        <w:rPr>
          <w:color w:val="77328A"/>
          <w:sz w:val="16"/>
          <w:szCs w:val="16"/>
        </w:rPr>
        <w:t xml:space="preserve"> </w:t>
      </w:r>
      <w:r w:rsidR="00215674" w:rsidRPr="00215674">
        <w:rPr>
          <w:color w:val="77328A"/>
          <w:sz w:val="16"/>
          <w:szCs w:val="16"/>
        </w:rPr>
        <w:t xml:space="preserve">Department for Communities, ‘Budget 2023-24 Equality Impact Assessment’ (DfC, 2023), at </w:t>
      </w:r>
      <w:r w:rsidRPr="00215674">
        <w:rPr>
          <w:color w:val="77328A"/>
          <w:sz w:val="16"/>
          <w:szCs w:val="16"/>
        </w:rPr>
        <w:t>25</w:t>
      </w:r>
      <w:r w:rsidR="00215674" w:rsidRPr="00215674">
        <w:rPr>
          <w:color w:val="77328A"/>
          <w:sz w:val="16"/>
          <w:szCs w:val="16"/>
        </w:rPr>
        <w:t>.</w:t>
      </w:r>
    </w:p>
  </w:footnote>
  <w:footnote w:id="34">
    <w:p w14:paraId="71AB20F3" w14:textId="22F2361C" w:rsidR="00906F7B" w:rsidRPr="00AD7346" w:rsidRDefault="00906F7B">
      <w:pPr>
        <w:pStyle w:val="FootnoteText"/>
        <w:rPr>
          <w:sz w:val="16"/>
          <w:szCs w:val="16"/>
        </w:rPr>
      </w:pPr>
      <w:r w:rsidRPr="00AD7346">
        <w:rPr>
          <w:rStyle w:val="FootnoteReference"/>
          <w:color w:val="77328A"/>
          <w:sz w:val="16"/>
          <w:szCs w:val="16"/>
        </w:rPr>
        <w:footnoteRef/>
      </w:r>
      <w:r w:rsidRPr="00AD7346">
        <w:rPr>
          <w:color w:val="77328A"/>
          <w:sz w:val="16"/>
          <w:szCs w:val="16"/>
        </w:rPr>
        <w:t xml:space="preserve"> </w:t>
      </w:r>
      <w:r w:rsidR="00AD7346" w:rsidRPr="00AD7346">
        <w:rPr>
          <w:color w:val="77328A"/>
          <w:sz w:val="16"/>
          <w:szCs w:val="16"/>
        </w:rPr>
        <w:t>E/C.12/GBR/CO/6, ‘UN Committee on Economic, Social and Cultural Rights, Concluding Observations on the Sixth Periodic Report of the UK of Great Britain and NI’, 14 July 2016, at para 19; CRC/C/GBR/CO/5, ‘UN Committee on the Rights of the Child, Concluding Observations on the Fifth Periodic Report of the UK of Great Britain and NI’, 3 June 2016, at para 12; CRPD/C/GBR/CO/1, ‘UN Committee on Rights of Persons with Disabilities Concluding Observations on the Initial Report of the United Kingdom of Great Britain and Northern Ireland’, 3 October 2017, at para 59(b); CEDAW/C/GBR/CO/8. ‘UN Committee on the Elimination of Discrimination against Women Concluding Observations on the eighth periodic report of the United Kingdom of Great Britain and Northern Ireland’ 8 March 2019, at para 17.</w:t>
      </w:r>
    </w:p>
  </w:footnote>
  <w:footnote w:id="35">
    <w:p w14:paraId="36068208" w14:textId="77777777" w:rsidR="00387222" w:rsidRDefault="00387222" w:rsidP="00387222">
      <w:pPr>
        <w:pStyle w:val="NIHRCFootnotes"/>
      </w:pPr>
      <w:r>
        <w:rPr>
          <w:rStyle w:val="FootnoteReference"/>
        </w:rPr>
        <w:footnoteRef/>
      </w:r>
      <w:r>
        <w:t xml:space="preserve"> NI Human Rights Commission, ‘Cumulative Impact Assessment of Tax and Social Security Reforms’, (NIHRC, 2019).</w:t>
      </w:r>
    </w:p>
  </w:footnote>
  <w:footnote w:id="36">
    <w:p w14:paraId="15EB42CC" w14:textId="35063882" w:rsidR="00EA20DB" w:rsidRPr="00FC6807" w:rsidRDefault="00EA20DB">
      <w:pPr>
        <w:pStyle w:val="FootnoteText"/>
        <w:rPr>
          <w:color w:val="77328A"/>
          <w:sz w:val="16"/>
          <w:szCs w:val="16"/>
        </w:rPr>
      </w:pPr>
      <w:r w:rsidRPr="00A37290">
        <w:rPr>
          <w:rStyle w:val="FootnoteReference"/>
          <w:color w:val="77328A"/>
          <w:sz w:val="16"/>
          <w:szCs w:val="16"/>
        </w:rPr>
        <w:footnoteRef/>
      </w:r>
      <w:r w:rsidRPr="00A37290">
        <w:rPr>
          <w:color w:val="77328A"/>
          <w:sz w:val="16"/>
          <w:szCs w:val="16"/>
        </w:rPr>
        <w:t xml:space="preserve"> </w:t>
      </w:r>
      <w:r w:rsidR="00A37B7B" w:rsidRPr="00A37290">
        <w:rPr>
          <w:color w:val="77328A"/>
          <w:sz w:val="16"/>
          <w:szCs w:val="16"/>
        </w:rPr>
        <w:t>Office of the UN High Commissioner for Human Rights (OHCHR), ‘Realising Human Rights Through Government Budgets’ (OHCHR, 2017) at 18-20</w:t>
      </w:r>
      <w:r w:rsidR="006C60C0" w:rsidRPr="00A37290">
        <w:rPr>
          <w:color w:val="77328A"/>
          <w:sz w:val="16"/>
          <w:szCs w:val="16"/>
        </w:rPr>
        <w:t xml:space="preserve">; </w:t>
      </w:r>
      <w:r w:rsidR="00A37290" w:rsidRPr="00A37290">
        <w:rPr>
          <w:color w:val="77328A"/>
          <w:sz w:val="16"/>
          <w:szCs w:val="16"/>
        </w:rPr>
        <w:t xml:space="preserve">A/HRC/40/57, ‘Report of the Independent Expert on the effects of foreign debt and other related international financial obligations of States on the full enjoyment of human rights, particularly economic, social and cultural rights: Guiding principles on human rights impact assessments of economic reforms’, 19 December </w:t>
      </w:r>
      <w:r w:rsidR="00A37290" w:rsidRPr="00FC6807">
        <w:rPr>
          <w:color w:val="77328A"/>
          <w:sz w:val="16"/>
          <w:szCs w:val="16"/>
        </w:rPr>
        <w:t>2018</w:t>
      </w:r>
      <w:r w:rsidR="00316669" w:rsidRPr="00FC6807">
        <w:rPr>
          <w:color w:val="77328A"/>
          <w:sz w:val="16"/>
          <w:szCs w:val="16"/>
        </w:rPr>
        <w:t xml:space="preserve">; </w:t>
      </w:r>
      <w:r w:rsidR="00462202" w:rsidRPr="00FC6807">
        <w:rPr>
          <w:color w:val="77328A"/>
          <w:sz w:val="16"/>
          <w:szCs w:val="16"/>
        </w:rPr>
        <w:t>A/HRC/RES/40/8, ‘</w:t>
      </w:r>
      <w:r w:rsidR="00466F3C" w:rsidRPr="00FC6807">
        <w:rPr>
          <w:color w:val="77328A"/>
          <w:sz w:val="16"/>
          <w:szCs w:val="16"/>
        </w:rPr>
        <w:t>Human Rights Council Resolution 40/8: The effects of foreign debt and other related international financial obligations of States on the full enjoyment of all human rights, particularly economic, social and cultural rights’, 5 April 2019</w:t>
      </w:r>
      <w:r w:rsidR="00FC6807" w:rsidRPr="00FC6807">
        <w:rPr>
          <w:color w:val="77328A"/>
          <w:sz w:val="16"/>
          <w:szCs w:val="16"/>
        </w:rPr>
        <w:t>.</w:t>
      </w:r>
    </w:p>
  </w:footnote>
  <w:footnote w:id="37">
    <w:p w14:paraId="781CCEBA" w14:textId="77777777" w:rsidR="006B6665" w:rsidRPr="0057598E" w:rsidRDefault="006B6665" w:rsidP="006B6665">
      <w:pPr>
        <w:pStyle w:val="NIHRCFootnotes"/>
      </w:pPr>
      <w:r>
        <w:rPr>
          <w:rStyle w:val="FootnoteReference"/>
        </w:rPr>
        <w:footnoteRef/>
      </w:r>
      <w:r>
        <w:t xml:space="preserve"> Moskal v Poland (200</w:t>
      </w:r>
      <w:r w:rsidRPr="0057598E">
        <w:t>9) 50 EHRR 22</w:t>
      </w:r>
      <w:r>
        <w:t xml:space="preserve">; Kjartan Ásmundsson v Iceland (2004) ECHR 512; in both cases pertain to applicants who had pension payments removed by the state, the ECtHR held a violation to Article 1 of Protocol 1 in both </w:t>
      </w:r>
      <w:r w:rsidRPr="0057598E">
        <w:t>cases.</w:t>
      </w:r>
    </w:p>
  </w:footnote>
  <w:footnote w:id="38">
    <w:p w14:paraId="04339D0D" w14:textId="77777777" w:rsidR="006B6665" w:rsidRPr="00BF6510" w:rsidRDefault="006B6665" w:rsidP="006B6665">
      <w:pPr>
        <w:pStyle w:val="FootnoteText"/>
        <w:rPr>
          <w:rFonts w:cs="Arial"/>
          <w:color w:val="77328A"/>
          <w:sz w:val="16"/>
          <w:szCs w:val="16"/>
          <w:shd w:val="clear" w:color="auto" w:fill="FFFFFF"/>
        </w:rPr>
      </w:pPr>
      <w:r w:rsidRPr="0057598E">
        <w:rPr>
          <w:rStyle w:val="FootnoteReference"/>
          <w:color w:val="77328A"/>
          <w:sz w:val="16"/>
          <w:szCs w:val="16"/>
        </w:rPr>
        <w:footnoteRef/>
      </w:r>
      <w:r w:rsidRPr="0057598E">
        <w:rPr>
          <w:color w:val="77328A"/>
          <w:sz w:val="16"/>
          <w:szCs w:val="16"/>
        </w:rPr>
        <w:t xml:space="preserve"> </w:t>
      </w:r>
      <w:proofErr w:type="spellStart"/>
      <w:r w:rsidRPr="0057598E">
        <w:rPr>
          <w:rFonts w:cs="Arial"/>
          <w:color w:val="77328A"/>
          <w:sz w:val="16"/>
          <w:szCs w:val="16"/>
          <w:shd w:val="clear" w:color="auto" w:fill="FFFFFF"/>
        </w:rPr>
        <w:t>Mockienė</w:t>
      </w:r>
      <w:proofErr w:type="spellEnd"/>
      <w:r w:rsidRPr="0057598E">
        <w:rPr>
          <w:rFonts w:cs="Arial"/>
          <w:color w:val="77328A"/>
          <w:sz w:val="16"/>
          <w:szCs w:val="16"/>
          <w:shd w:val="clear" w:color="auto" w:fill="FFFFFF"/>
        </w:rPr>
        <w:t xml:space="preserve"> v. Lithuania (2017) ECHR 738; </w:t>
      </w:r>
      <w:r w:rsidRPr="0057598E">
        <w:rPr>
          <w:rStyle w:val="sb8d990e2"/>
          <w:rFonts w:cs="Arial"/>
          <w:color w:val="77328A"/>
          <w:sz w:val="16"/>
          <w:szCs w:val="16"/>
          <w:shd w:val="clear" w:color="auto" w:fill="FFFFFF"/>
        </w:rPr>
        <w:t xml:space="preserve">Da Silva Carvalho Rico, Application no. 13341/14, Judgment of 1 September 2015; </w:t>
      </w:r>
      <w:r w:rsidRPr="0057598E">
        <w:rPr>
          <w:rFonts w:cs="Arial"/>
          <w:color w:val="77328A"/>
          <w:sz w:val="16"/>
          <w:szCs w:val="16"/>
          <w:shd w:val="clear" w:color="auto" w:fill="FFFFFF"/>
        </w:rPr>
        <w:t>Savickas and Others v. Lithuania (2013) ECHR 1217</w:t>
      </w:r>
      <w:r>
        <w:rPr>
          <w:rFonts w:cs="Arial"/>
          <w:color w:val="77328A"/>
          <w:sz w:val="16"/>
          <w:szCs w:val="16"/>
          <w:shd w:val="clear" w:color="auto" w:fill="FFFFFF"/>
        </w:rPr>
        <w:t xml:space="preserve">; these cases considered </w:t>
      </w:r>
      <w:r w:rsidRPr="00BF6510">
        <w:rPr>
          <w:rFonts w:cs="Arial"/>
          <w:color w:val="77328A"/>
          <w:sz w:val="16"/>
          <w:szCs w:val="16"/>
          <w:shd w:val="clear" w:color="auto" w:fill="FFFFFF"/>
        </w:rPr>
        <w:t>reductions of social insurance</w:t>
      </w:r>
      <w:r>
        <w:rPr>
          <w:rFonts w:cs="Arial"/>
          <w:color w:val="77328A"/>
          <w:sz w:val="16"/>
          <w:szCs w:val="16"/>
          <w:shd w:val="clear" w:color="auto" w:fill="FFFFFF"/>
        </w:rPr>
        <w:t>,</w:t>
      </w:r>
      <w:r w:rsidRPr="00BF6510">
        <w:rPr>
          <w:rFonts w:cs="Arial"/>
          <w:color w:val="77328A"/>
          <w:sz w:val="16"/>
          <w:szCs w:val="16"/>
          <w:shd w:val="clear" w:color="auto" w:fill="FFFFFF"/>
        </w:rPr>
        <w:t xml:space="preserve"> salary entitlements </w:t>
      </w:r>
      <w:r>
        <w:rPr>
          <w:rFonts w:cs="Arial"/>
          <w:color w:val="77328A"/>
          <w:sz w:val="16"/>
          <w:szCs w:val="16"/>
          <w:shd w:val="clear" w:color="auto" w:fill="FFFFFF"/>
        </w:rPr>
        <w:t xml:space="preserve">and </w:t>
      </w:r>
      <w:r w:rsidRPr="00BF6510">
        <w:rPr>
          <w:rFonts w:cs="Arial"/>
          <w:color w:val="77328A"/>
          <w:sz w:val="16"/>
          <w:szCs w:val="16"/>
          <w:shd w:val="clear" w:color="auto" w:fill="FFFFFF"/>
        </w:rPr>
        <w:t>tax measures</w:t>
      </w:r>
      <w:r>
        <w:rPr>
          <w:rFonts w:cs="Arial"/>
          <w:color w:val="77328A"/>
          <w:sz w:val="16"/>
          <w:szCs w:val="16"/>
          <w:shd w:val="clear" w:color="auto" w:fill="FFFFFF"/>
        </w:rPr>
        <w:t xml:space="preserve"> in relation to Article 1 of Protocol 1. </w:t>
      </w:r>
    </w:p>
  </w:footnote>
  <w:footnote w:id="39">
    <w:p w14:paraId="4B1CA95B" w14:textId="77777777" w:rsidR="006B6665" w:rsidRDefault="006B6665" w:rsidP="006B6665">
      <w:pPr>
        <w:pStyle w:val="FootnoteText"/>
      </w:pPr>
      <w:r w:rsidRPr="0057598E">
        <w:rPr>
          <w:rStyle w:val="FootnoteReference"/>
          <w:color w:val="77328A"/>
          <w:sz w:val="16"/>
          <w:szCs w:val="16"/>
        </w:rPr>
        <w:footnoteRef/>
      </w:r>
      <w:r w:rsidRPr="0057598E">
        <w:rPr>
          <w:color w:val="77328A"/>
          <w:sz w:val="16"/>
          <w:szCs w:val="16"/>
        </w:rPr>
        <w:t xml:space="preserve"> </w:t>
      </w:r>
      <w:r w:rsidRPr="00621814">
        <w:rPr>
          <w:color w:val="77328A"/>
          <w:sz w:val="16"/>
          <w:szCs w:val="16"/>
        </w:rPr>
        <w:t>Council of Europe, ‘Guide on Article 1 of Protocol No. 1 to the ECHR: Protection of Property’ (</w:t>
      </w:r>
      <w:proofErr w:type="spellStart"/>
      <w:r w:rsidRPr="00621814">
        <w:rPr>
          <w:color w:val="77328A"/>
          <w:sz w:val="16"/>
          <w:szCs w:val="16"/>
        </w:rPr>
        <w:t>CoE</w:t>
      </w:r>
      <w:proofErr w:type="spellEnd"/>
      <w:r w:rsidRPr="00621814">
        <w:rPr>
          <w:color w:val="77328A"/>
          <w:sz w:val="16"/>
          <w:szCs w:val="16"/>
        </w:rPr>
        <w:t>, 2022), at para 434.</w:t>
      </w:r>
      <w:r w:rsidRPr="00621814">
        <w:rPr>
          <w:color w:val="77328A"/>
        </w:rPr>
        <w:t xml:space="preserve"> </w:t>
      </w:r>
    </w:p>
  </w:footnote>
  <w:footnote w:id="40">
    <w:p w14:paraId="2599D34A" w14:textId="1F9C887E" w:rsidR="006B6665" w:rsidRDefault="006B6665" w:rsidP="006B6665">
      <w:pPr>
        <w:pStyle w:val="NIHRCFootnotes"/>
      </w:pPr>
      <w:r>
        <w:rPr>
          <w:rStyle w:val="FootnoteReference"/>
        </w:rPr>
        <w:footnoteRef/>
      </w:r>
      <w:r>
        <w:t xml:space="preserve"> Article 13</w:t>
      </w:r>
      <w:r w:rsidR="00407FC9">
        <w:t>, UN CEDAW.</w:t>
      </w:r>
    </w:p>
  </w:footnote>
  <w:footnote w:id="41">
    <w:p w14:paraId="194B7F73" w14:textId="142213BF" w:rsidR="006B6665" w:rsidRDefault="006B6665" w:rsidP="006B6665">
      <w:pPr>
        <w:pStyle w:val="NIHRCFootnotes"/>
      </w:pPr>
      <w:r>
        <w:rPr>
          <w:rStyle w:val="FootnoteReference"/>
        </w:rPr>
        <w:footnoteRef/>
      </w:r>
      <w:r>
        <w:t xml:space="preserve"> Article 26</w:t>
      </w:r>
      <w:r w:rsidR="00407FC9">
        <w:t>, UN CRC.</w:t>
      </w:r>
    </w:p>
  </w:footnote>
  <w:footnote w:id="42">
    <w:p w14:paraId="00650FC9" w14:textId="68229736" w:rsidR="006B6665" w:rsidRDefault="006B6665" w:rsidP="006B6665">
      <w:pPr>
        <w:pStyle w:val="NIHRCFootnotes"/>
      </w:pPr>
      <w:r>
        <w:rPr>
          <w:rStyle w:val="FootnoteReference"/>
        </w:rPr>
        <w:footnoteRef/>
      </w:r>
      <w:r>
        <w:t xml:space="preserve"> Article 28</w:t>
      </w:r>
      <w:r w:rsidR="00407FC9">
        <w:t>, UN CRPD.</w:t>
      </w:r>
    </w:p>
  </w:footnote>
  <w:footnote w:id="43">
    <w:p w14:paraId="401B3D8E" w14:textId="4AB012C2" w:rsidR="006B6665" w:rsidRPr="00B578C9" w:rsidRDefault="006B6665" w:rsidP="006B6665">
      <w:pPr>
        <w:pStyle w:val="FootnoteText"/>
        <w:rPr>
          <w:color w:val="77328A"/>
          <w:sz w:val="16"/>
          <w:szCs w:val="16"/>
        </w:rPr>
      </w:pPr>
      <w:r w:rsidRPr="00B578C9">
        <w:rPr>
          <w:rStyle w:val="FootnoteReference"/>
          <w:color w:val="77328A"/>
          <w:sz w:val="16"/>
          <w:szCs w:val="16"/>
        </w:rPr>
        <w:footnoteRef/>
      </w:r>
      <w:r w:rsidRPr="00B578C9">
        <w:rPr>
          <w:color w:val="77328A"/>
          <w:sz w:val="16"/>
          <w:szCs w:val="16"/>
        </w:rPr>
        <w:t xml:space="preserve"> </w:t>
      </w:r>
      <w:r w:rsidRPr="00B578C9">
        <w:rPr>
          <w:rFonts w:cs="Arial"/>
          <w:color w:val="77328A"/>
          <w:sz w:val="16"/>
          <w:szCs w:val="16"/>
          <w:shd w:val="clear" w:color="auto" w:fill="FFFFFF"/>
        </w:rPr>
        <w:t>E/C.12/GC/19, ‘ICESCR Committee General Comment No.19: The right to social security (Article 9)’, 4 February 2008, at para</w:t>
      </w:r>
      <w:r w:rsidR="0081687B">
        <w:rPr>
          <w:rFonts w:cs="Arial"/>
          <w:color w:val="77328A"/>
          <w:sz w:val="16"/>
          <w:szCs w:val="16"/>
          <w:shd w:val="clear" w:color="auto" w:fill="FFFFFF"/>
        </w:rPr>
        <w:t>s</w:t>
      </w:r>
      <w:r w:rsidRPr="00B578C9">
        <w:rPr>
          <w:rFonts w:cs="Arial"/>
          <w:color w:val="77328A"/>
          <w:sz w:val="16"/>
          <w:szCs w:val="16"/>
          <w:shd w:val="clear" w:color="auto" w:fill="FFFFFF"/>
        </w:rPr>
        <w:t xml:space="preserve"> </w:t>
      </w:r>
      <w:r w:rsidR="0081687B">
        <w:rPr>
          <w:rFonts w:cs="Arial"/>
          <w:color w:val="77328A"/>
          <w:sz w:val="16"/>
          <w:szCs w:val="16"/>
          <w:shd w:val="clear" w:color="auto" w:fill="FFFFFF"/>
        </w:rPr>
        <w:t>9-27.</w:t>
      </w:r>
    </w:p>
  </w:footnote>
  <w:footnote w:id="44">
    <w:p w14:paraId="05988F09" w14:textId="5169B217" w:rsidR="00464469" w:rsidRPr="002923EC" w:rsidRDefault="00464469">
      <w:pPr>
        <w:pStyle w:val="FootnoteText"/>
        <w:rPr>
          <w:sz w:val="16"/>
          <w:szCs w:val="16"/>
        </w:rPr>
      </w:pPr>
      <w:r w:rsidRPr="002923EC">
        <w:rPr>
          <w:rStyle w:val="FootnoteReference"/>
          <w:color w:val="77328A"/>
          <w:sz w:val="16"/>
          <w:szCs w:val="16"/>
        </w:rPr>
        <w:footnoteRef/>
      </w:r>
      <w:r w:rsidRPr="002923EC">
        <w:rPr>
          <w:color w:val="77328A"/>
          <w:sz w:val="16"/>
          <w:szCs w:val="16"/>
        </w:rPr>
        <w:t xml:space="preserve"> </w:t>
      </w:r>
      <w:r w:rsidR="002923EC">
        <w:rPr>
          <w:color w:val="77328A"/>
          <w:sz w:val="16"/>
          <w:szCs w:val="16"/>
        </w:rPr>
        <w:t>Ibid a</w:t>
      </w:r>
      <w:r w:rsidR="009E667E" w:rsidRPr="002923EC">
        <w:rPr>
          <w:color w:val="77328A"/>
          <w:sz w:val="16"/>
          <w:szCs w:val="16"/>
        </w:rPr>
        <w:t>t para 22.</w:t>
      </w:r>
    </w:p>
  </w:footnote>
  <w:footnote w:id="45">
    <w:p w14:paraId="652E5559" w14:textId="120A8C01" w:rsidR="007811FA" w:rsidRPr="00FA27AF" w:rsidRDefault="007811FA" w:rsidP="00FA27AF">
      <w:pPr>
        <w:pStyle w:val="Heading2"/>
        <w:rPr>
          <w:rFonts w:ascii="Times New Roman" w:hAnsi="Times New Roman"/>
          <w:b w:val="0"/>
          <w:bCs/>
          <w:color w:val="000000"/>
          <w:sz w:val="16"/>
          <w:szCs w:val="16"/>
        </w:rPr>
      </w:pPr>
      <w:r w:rsidRPr="00FA27AF">
        <w:rPr>
          <w:rStyle w:val="FootnoteReference"/>
          <w:b w:val="0"/>
          <w:bCs/>
          <w:color w:val="77328A"/>
          <w:sz w:val="16"/>
          <w:szCs w:val="16"/>
        </w:rPr>
        <w:footnoteRef/>
      </w:r>
      <w:r w:rsidRPr="00FA27AF">
        <w:rPr>
          <w:b w:val="0"/>
          <w:bCs/>
          <w:color w:val="77328A"/>
          <w:sz w:val="16"/>
          <w:szCs w:val="16"/>
        </w:rPr>
        <w:t xml:space="preserve"> </w:t>
      </w:r>
      <w:r w:rsidR="00A44D1B" w:rsidRPr="00FA27AF">
        <w:rPr>
          <w:b w:val="0"/>
          <w:bCs/>
          <w:color w:val="77328A"/>
          <w:sz w:val="16"/>
          <w:szCs w:val="16"/>
        </w:rPr>
        <w:t xml:space="preserve">E/C.12/GBR/Q/7, ‘UN ICESCR Committee </w:t>
      </w:r>
      <w:r w:rsidR="00FA27AF" w:rsidRPr="00FA27AF">
        <w:rPr>
          <w:b w:val="0"/>
          <w:bCs/>
          <w:color w:val="77328A"/>
          <w:sz w:val="16"/>
          <w:szCs w:val="16"/>
        </w:rPr>
        <w:t>List of issues in relation to the seventh periodic report of UK of Great Britain and NI’, 23 March 2023.</w:t>
      </w:r>
    </w:p>
  </w:footnote>
  <w:footnote w:id="46">
    <w:p w14:paraId="4D38C34B" w14:textId="1B4EACC0" w:rsidR="00693268" w:rsidRPr="00F9233D" w:rsidRDefault="00693268" w:rsidP="00336688">
      <w:pPr>
        <w:pStyle w:val="NIHRCFootnotes"/>
      </w:pPr>
      <w:r w:rsidRPr="00773D7C">
        <w:rPr>
          <w:rStyle w:val="FootnoteReference"/>
        </w:rPr>
        <w:footnoteRef/>
      </w:r>
      <w:r w:rsidR="00B371B5" w:rsidRPr="00773D7C">
        <w:t xml:space="preserve"> </w:t>
      </w:r>
      <w:r w:rsidR="00453E51">
        <w:t xml:space="preserve">Institute for Fiscal Studies, </w:t>
      </w:r>
      <w:r w:rsidR="001D2203">
        <w:t>‘The IFS Deaton Review of Inequalities: Benefits and tax credits’ (IFS, 2023)</w:t>
      </w:r>
      <w:r w:rsidR="00477F73">
        <w:t xml:space="preserve">; </w:t>
      </w:r>
      <w:r w:rsidR="00B371B5" w:rsidRPr="00773D7C">
        <w:t>NI Human Rights Commission, ‘</w:t>
      </w:r>
      <w:r w:rsidR="00412AF3" w:rsidRPr="00773D7C">
        <w:t xml:space="preserve">Submission to the UN ICESCR Committee: Parallel Report for the List of Issues in Relation to the Seventh Periodic Report of the UK’ (NIHRC, 2022), at </w:t>
      </w:r>
      <w:r w:rsidR="00204934">
        <w:t xml:space="preserve">para </w:t>
      </w:r>
      <w:r w:rsidR="00773D7C" w:rsidRPr="00773D7C">
        <w:t>6.4</w:t>
      </w:r>
      <w:r w:rsidR="00204934">
        <w:t xml:space="preserve">; </w:t>
      </w:r>
      <w:r w:rsidR="00204934" w:rsidRPr="002F65B7">
        <w:t>Consortium for the Regional Support for Women in Disadvantaged and Rural Areas ‘Women Living with Debt’ (CRSWDRA, 2022);</w:t>
      </w:r>
      <w:r w:rsidR="00336688">
        <w:t xml:space="preserve"> Joseph Rowntree Foundation, ‘Financial Resilience and the Transition to Universal Credit: A Report by Policy in Practice’ (JRF, 2019);</w:t>
      </w:r>
      <w:r w:rsidR="00204934" w:rsidRPr="002F65B7">
        <w:t xml:space="preserve"> ‘Spotlight: </w:t>
      </w:r>
      <w:r w:rsidR="00204934" w:rsidRPr="00F9233D">
        <w:t>Paramilitary loan sharks targeting food bank users’, BBC News, 13 December 2022.</w:t>
      </w:r>
    </w:p>
  </w:footnote>
  <w:footnote w:id="47">
    <w:p w14:paraId="46FDD195" w14:textId="77777777" w:rsidR="003D31E1" w:rsidRDefault="003D31E1" w:rsidP="003D31E1">
      <w:pPr>
        <w:pStyle w:val="NIHRCFootnotes"/>
      </w:pPr>
      <w:r>
        <w:rPr>
          <w:rStyle w:val="FootnoteReference"/>
        </w:rPr>
        <w:footnoteRef/>
      </w:r>
      <w:r>
        <w:t xml:space="preserve"> A/HRC/41/39/Add.1, ‘Visit to the United Kingdom of Great Britain and Northern Ireland, Report of the United Nations Special Rapporteur on extreme poverty and human rights’, 23 April 2019, at para 96(h)</w:t>
      </w:r>
    </w:p>
  </w:footnote>
  <w:footnote w:id="48">
    <w:p w14:paraId="7127C0D0" w14:textId="77777777" w:rsidR="00197E70" w:rsidRPr="00DE4F28" w:rsidRDefault="00197E70" w:rsidP="00197E70">
      <w:pPr>
        <w:pStyle w:val="FootnoteText"/>
        <w:rPr>
          <w:color w:val="77328A"/>
          <w:sz w:val="16"/>
          <w:szCs w:val="16"/>
        </w:rPr>
      </w:pPr>
      <w:r w:rsidRPr="00DE4F28">
        <w:rPr>
          <w:rStyle w:val="FootnoteReference"/>
          <w:color w:val="77328A"/>
          <w:sz w:val="16"/>
          <w:szCs w:val="16"/>
        </w:rPr>
        <w:footnoteRef/>
      </w:r>
      <w:r w:rsidRPr="00DE4F28">
        <w:rPr>
          <w:color w:val="77328A"/>
          <w:sz w:val="16"/>
          <w:szCs w:val="16"/>
        </w:rPr>
        <w:t xml:space="preserve"> </w:t>
      </w:r>
      <w:r w:rsidRPr="00DE4F28">
        <w:rPr>
          <w:rFonts w:cs="Arial"/>
          <w:color w:val="77328A"/>
          <w:sz w:val="16"/>
          <w:szCs w:val="16"/>
          <w:shd w:val="clear" w:color="auto" w:fill="FFFFFF"/>
        </w:rPr>
        <w:t xml:space="preserve">E/C.12/GC/19, ‘ICESCR Committee General Comment No.19: The right to social security (Article 9)’, 4 February 2008, </w:t>
      </w:r>
      <w:r w:rsidRPr="00DE4F28">
        <w:rPr>
          <w:color w:val="77328A"/>
          <w:sz w:val="16"/>
          <w:szCs w:val="16"/>
        </w:rPr>
        <w:t>at para 27.</w:t>
      </w:r>
    </w:p>
  </w:footnote>
  <w:footnote w:id="49">
    <w:p w14:paraId="06CDC336" w14:textId="77777777" w:rsidR="008A73BB" w:rsidRDefault="008A73BB" w:rsidP="008A73BB">
      <w:pPr>
        <w:pStyle w:val="NIHRCFootnotes"/>
      </w:pPr>
      <w:r>
        <w:rPr>
          <w:rStyle w:val="FootnoteReference"/>
        </w:rPr>
        <w:footnoteRef/>
      </w:r>
      <w:r>
        <w:t xml:space="preserve"> NI Human Rights Commission, ‘Submission to the Northern Ireland Affairs and Work and Pensions Committees’ Joint Inquiry into Northern Ireland’s Social Security Policy’, (NIHRC, 2020), at para 7.2.</w:t>
      </w:r>
    </w:p>
  </w:footnote>
  <w:footnote w:id="50">
    <w:p w14:paraId="1EC6A59E" w14:textId="77777777" w:rsidR="008A73BB" w:rsidRDefault="008A73BB" w:rsidP="008A73BB">
      <w:pPr>
        <w:pStyle w:val="NIHRCFootnotes"/>
      </w:pPr>
      <w:r>
        <w:rPr>
          <w:rStyle w:val="FootnoteReference"/>
        </w:rPr>
        <w:footnoteRef/>
      </w:r>
      <w:r>
        <w:t xml:space="preserve"> NI Human Rights Commission, ‘Submission to the Northern Ireland Affairs and Work and Pensions Committees’ Joint Inquiry into Northern Ireland’s Social Security Policy’, (NIHRC, 2020), at para 7.3.</w:t>
      </w:r>
    </w:p>
  </w:footnote>
  <w:footnote w:id="51">
    <w:p w14:paraId="66472BE8" w14:textId="45AF4394" w:rsidR="00822413" w:rsidRDefault="00822413" w:rsidP="00822413">
      <w:pPr>
        <w:pStyle w:val="FootnoteText"/>
      </w:pPr>
      <w:r w:rsidRPr="00DE4F28">
        <w:rPr>
          <w:rStyle w:val="FootnoteReference"/>
          <w:color w:val="77328A"/>
          <w:sz w:val="16"/>
          <w:szCs w:val="16"/>
        </w:rPr>
        <w:footnoteRef/>
      </w:r>
      <w:r w:rsidRPr="00DE4F28">
        <w:rPr>
          <w:color w:val="77328A"/>
        </w:rPr>
        <w:t xml:space="preserve"> </w:t>
      </w:r>
      <w:r w:rsidR="00F6045F" w:rsidRPr="00215674">
        <w:rPr>
          <w:color w:val="77328A"/>
          <w:sz w:val="16"/>
          <w:szCs w:val="16"/>
        </w:rPr>
        <w:t>Department for Communities, ‘Budget 2023-24 Equality Impact Assessment’ (DfC, 2023)</w:t>
      </w:r>
      <w:r w:rsidR="00F6045F">
        <w:rPr>
          <w:color w:val="77328A"/>
          <w:sz w:val="16"/>
          <w:szCs w:val="16"/>
        </w:rPr>
        <w:t>.</w:t>
      </w:r>
    </w:p>
  </w:footnote>
  <w:footnote w:id="52">
    <w:p w14:paraId="59A9DA4C" w14:textId="77777777" w:rsidR="00F641F9" w:rsidRPr="00FF4904" w:rsidRDefault="00F641F9" w:rsidP="00F641F9">
      <w:pPr>
        <w:pStyle w:val="FootnoteText"/>
        <w:rPr>
          <w:sz w:val="16"/>
          <w:szCs w:val="16"/>
        </w:rPr>
      </w:pPr>
      <w:r w:rsidRPr="00114388">
        <w:rPr>
          <w:rStyle w:val="FootnoteReference"/>
          <w:color w:val="77328A"/>
          <w:sz w:val="16"/>
          <w:szCs w:val="16"/>
        </w:rPr>
        <w:footnoteRef/>
      </w:r>
      <w:r w:rsidRPr="00114388">
        <w:rPr>
          <w:color w:val="77328A"/>
          <w:sz w:val="16"/>
          <w:szCs w:val="16"/>
        </w:rPr>
        <w:t xml:space="preserve"> Department for Communities, ‘Independent Review of Discretionary Support’ (DfC, 2022) at 11.</w:t>
      </w:r>
    </w:p>
  </w:footnote>
  <w:footnote w:id="53">
    <w:p w14:paraId="2340D140" w14:textId="014AF1F8" w:rsidR="004A040C" w:rsidRPr="00FF4904" w:rsidRDefault="004A040C">
      <w:pPr>
        <w:pStyle w:val="FootnoteText"/>
        <w:rPr>
          <w:sz w:val="16"/>
          <w:szCs w:val="16"/>
        </w:rPr>
      </w:pPr>
      <w:r w:rsidRPr="00114388">
        <w:rPr>
          <w:rStyle w:val="FootnoteReference"/>
          <w:color w:val="77328A"/>
          <w:sz w:val="16"/>
          <w:szCs w:val="16"/>
        </w:rPr>
        <w:footnoteRef/>
      </w:r>
      <w:r w:rsidRPr="00114388">
        <w:rPr>
          <w:color w:val="77328A"/>
          <w:sz w:val="16"/>
          <w:szCs w:val="16"/>
        </w:rPr>
        <w:t xml:space="preserve"> Department for Communities, ‘</w:t>
      </w:r>
      <w:r w:rsidR="00FF4904" w:rsidRPr="00114388">
        <w:rPr>
          <w:color w:val="77328A"/>
          <w:sz w:val="16"/>
          <w:szCs w:val="16"/>
        </w:rPr>
        <w:t xml:space="preserve">Independent Review of Discretionary Support’ (DfC, 2022) </w:t>
      </w:r>
      <w:r w:rsidRPr="00114388">
        <w:rPr>
          <w:color w:val="77328A"/>
          <w:sz w:val="16"/>
          <w:szCs w:val="16"/>
        </w:rPr>
        <w:t>at 11.</w:t>
      </w:r>
    </w:p>
  </w:footnote>
  <w:footnote w:id="54">
    <w:p w14:paraId="5FFDBE3C" w14:textId="795E7348" w:rsidR="003E52CE" w:rsidRPr="002F2C04" w:rsidRDefault="003E52CE">
      <w:pPr>
        <w:pStyle w:val="FootnoteText"/>
        <w:rPr>
          <w:color w:val="77328A"/>
          <w:sz w:val="16"/>
          <w:szCs w:val="16"/>
        </w:rPr>
      </w:pPr>
      <w:r w:rsidRPr="002F2C04">
        <w:rPr>
          <w:rStyle w:val="FootnoteReference"/>
          <w:color w:val="77328A"/>
          <w:sz w:val="16"/>
          <w:szCs w:val="16"/>
        </w:rPr>
        <w:footnoteRef/>
      </w:r>
      <w:r w:rsidRPr="002F2C04">
        <w:rPr>
          <w:color w:val="77328A"/>
          <w:sz w:val="16"/>
          <w:szCs w:val="16"/>
        </w:rPr>
        <w:t xml:space="preserve"> Ibid at 14.</w:t>
      </w:r>
    </w:p>
  </w:footnote>
  <w:footnote w:id="55">
    <w:p w14:paraId="02CEC24B" w14:textId="468A20BB" w:rsidR="00602EE8" w:rsidRPr="002F2C04" w:rsidRDefault="00602EE8">
      <w:pPr>
        <w:pStyle w:val="FootnoteText"/>
        <w:rPr>
          <w:color w:val="77328A"/>
          <w:sz w:val="16"/>
          <w:szCs w:val="16"/>
        </w:rPr>
      </w:pPr>
      <w:r w:rsidRPr="002F2C04">
        <w:rPr>
          <w:rStyle w:val="FootnoteReference"/>
          <w:color w:val="77328A"/>
          <w:sz w:val="16"/>
          <w:szCs w:val="16"/>
        </w:rPr>
        <w:footnoteRef/>
      </w:r>
      <w:r w:rsidRPr="002F2C04">
        <w:rPr>
          <w:color w:val="77328A"/>
          <w:sz w:val="16"/>
          <w:szCs w:val="16"/>
        </w:rPr>
        <w:t xml:space="preserve"> Ibid at 39.</w:t>
      </w:r>
    </w:p>
  </w:footnote>
  <w:footnote w:id="56">
    <w:p w14:paraId="6BAA7E7B" w14:textId="06EB96B2" w:rsidR="00AD74B0" w:rsidRPr="001706D0" w:rsidRDefault="00AD74B0">
      <w:pPr>
        <w:pStyle w:val="FootnoteText"/>
        <w:rPr>
          <w:color w:val="77328A"/>
          <w:sz w:val="16"/>
          <w:szCs w:val="16"/>
        </w:rPr>
      </w:pPr>
      <w:r w:rsidRPr="001706D0">
        <w:rPr>
          <w:rStyle w:val="FootnoteReference"/>
          <w:color w:val="77328A"/>
          <w:sz w:val="16"/>
          <w:szCs w:val="16"/>
        </w:rPr>
        <w:footnoteRef/>
      </w:r>
      <w:r w:rsidRPr="001706D0">
        <w:rPr>
          <w:color w:val="77328A"/>
          <w:sz w:val="16"/>
          <w:szCs w:val="16"/>
        </w:rPr>
        <w:t xml:space="preserve"> </w:t>
      </w:r>
      <w:r w:rsidR="000927C1" w:rsidRPr="001706D0">
        <w:rPr>
          <w:color w:val="77328A"/>
          <w:sz w:val="16"/>
          <w:szCs w:val="16"/>
        </w:rPr>
        <w:t xml:space="preserve">Articles 3 and 15(2), </w:t>
      </w:r>
      <w:r w:rsidR="00D02856" w:rsidRPr="001706D0">
        <w:rPr>
          <w:color w:val="77328A"/>
          <w:sz w:val="16"/>
          <w:szCs w:val="16"/>
        </w:rPr>
        <w:t>ECHR</w:t>
      </w:r>
      <w:r w:rsidR="000927C1" w:rsidRPr="001706D0">
        <w:rPr>
          <w:color w:val="77328A"/>
          <w:sz w:val="16"/>
          <w:szCs w:val="16"/>
        </w:rPr>
        <w:t>; Chahal v UK (1996) 23 EHRR 413, at para 79.</w:t>
      </w:r>
    </w:p>
  </w:footnote>
  <w:footnote w:id="57">
    <w:p w14:paraId="1927DA48" w14:textId="52806CBB" w:rsidR="000927C1" w:rsidRPr="001706D0" w:rsidRDefault="000927C1">
      <w:pPr>
        <w:pStyle w:val="FootnoteText"/>
        <w:rPr>
          <w:color w:val="77328A"/>
          <w:sz w:val="16"/>
          <w:szCs w:val="16"/>
        </w:rPr>
      </w:pPr>
      <w:r w:rsidRPr="001706D0">
        <w:rPr>
          <w:rStyle w:val="FootnoteReference"/>
          <w:color w:val="77328A"/>
          <w:sz w:val="16"/>
          <w:szCs w:val="16"/>
        </w:rPr>
        <w:footnoteRef/>
      </w:r>
      <w:r w:rsidRPr="001706D0">
        <w:rPr>
          <w:color w:val="77328A"/>
          <w:sz w:val="16"/>
          <w:szCs w:val="16"/>
        </w:rPr>
        <w:t xml:space="preserve"> </w:t>
      </w:r>
      <w:r w:rsidR="00BE1EDF" w:rsidRPr="001706D0">
        <w:rPr>
          <w:color w:val="77328A"/>
          <w:sz w:val="16"/>
          <w:szCs w:val="16"/>
        </w:rPr>
        <w:t xml:space="preserve">O’Rourke v UK, Application No 39022/97, Admissibility Decision, 26 June 2001; Moldovan and Others v Romania (No 2) (2007) 44 EHRR 16; Regina v Secretary of State for the Home Department, ex </w:t>
      </w:r>
      <w:proofErr w:type="spellStart"/>
      <w:r w:rsidR="00BE1EDF" w:rsidRPr="001706D0">
        <w:rPr>
          <w:color w:val="77328A"/>
          <w:sz w:val="16"/>
          <w:szCs w:val="16"/>
        </w:rPr>
        <w:t>parte</w:t>
      </w:r>
      <w:proofErr w:type="spellEnd"/>
      <w:r w:rsidR="00BE1EDF" w:rsidRPr="001706D0">
        <w:rPr>
          <w:color w:val="77328A"/>
          <w:sz w:val="16"/>
          <w:szCs w:val="16"/>
        </w:rPr>
        <w:t xml:space="preserve"> </w:t>
      </w:r>
      <w:proofErr w:type="spellStart"/>
      <w:r w:rsidR="00BE1EDF" w:rsidRPr="001706D0">
        <w:rPr>
          <w:color w:val="77328A"/>
          <w:sz w:val="16"/>
          <w:szCs w:val="16"/>
        </w:rPr>
        <w:t>Limbuela</w:t>
      </w:r>
      <w:proofErr w:type="spellEnd"/>
      <w:r w:rsidR="00BE1EDF" w:rsidRPr="001706D0">
        <w:rPr>
          <w:color w:val="77328A"/>
          <w:sz w:val="16"/>
          <w:szCs w:val="16"/>
        </w:rPr>
        <w:t xml:space="preserve"> [2005] UKHL 66.</w:t>
      </w:r>
    </w:p>
  </w:footnote>
  <w:footnote w:id="58">
    <w:p w14:paraId="44FD0B16" w14:textId="435F168F" w:rsidR="00DF02AD" w:rsidRPr="001706D0" w:rsidRDefault="00DF02AD">
      <w:pPr>
        <w:pStyle w:val="FootnoteText"/>
        <w:rPr>
          <w:color w:val="77328A"/>
          <w:sz w:val="16"/>
          <w:szCs w:val="16"/>
        </w:rPr>
      </w:pPr>
      <w:r w:rsidRPr="001706D0">
        <w:rPr>
          <w:rStyle w:val="FootnoteReference"/>
          <w:color w:val="77328A"/>
          <w:sz w:val="16"/>
          <w:szCs w:val="16"/>
        </w:rPr>
        <w:footnoteRef/>
      </w:r>
      <w:r w:rsidRPr="001706D0">
        <w:rPr>
          <w:color w:val="77328A"/>
          <w:sz w:val="16"/>
          <w:szCs w:val="16"/>
        </w:rPr>
        <w:t xml:space="preserve"> </w:t>
      </w:r>
      <w:proofErr w:type="spellStart"/>
      <w:r w:rsidR="00A42329" w:rsidRPr="001706D0">
        <w:rPr>
          <w:color w:val="77328A"/>
          <w:sz w:val="16"/>
          <w:szCs w:val="16"/>
        </w:rPr>
        <w:t>Larioshina</w:t>
      </w:r>
      <w:proofErr w:type="spellEnd"/>
      <w:r w:rsidR="00A42329" w:rsidRPr="001706D0">
        <w:rPr>
          <w:color w:val="77328A"/>
          <w:sz w:val="16"/>
          <w:szCs w:val="16"/>
        </w:rPr>
        <w:t xml:space="preserve"> v. Russia</w:t>
      </w:r>
      <w:r w:rsidR="005B767D" w:rsidRPr="001706D0">
        <w:rPr>
          <w:color w:val="77328A"/>
          <w:sz w:val="16"/>
          <w:szCs w:val="16"/>
        </w:rPr>
        <w:t xml:space="preserve"> [2002] ECHR 862</w:t>
      </w:r>
      <w:r w:rsidR="002F2C04" w:rsidRPr="001706D0">
        <w:rPr>
          <w:color w:val="77328A"/>
          <w:sz w:val="16"/>
          <w:szCs w:val="16"/>
        </w:rPr>
        <w:t>.</w:t>
      </w:r>
    </w:p>
  </w:footnote>
  <w:footnote w:id="59">
    <w:p w14:paraId="2B07CE8E" w14:textId="046EC26D" w:rsidR="008D6146" w:rsidRPr="001706D0" w:rsidRDefault="008D6146">
      <w:pPr>
        <w:pStyle w:val="FootnoteText"/>
        <w:rPr>
          <w:color w:val="77328A"/>
          <w:sz w:val="16"/>
          <w:szCs w:val="16"/>
        </w:rPr>
      </w:pPr>
      <w:r w:rsidRPr="001706D0">
        <w:rPr>
          <w:rStyle w:val="FootnoteReference"/>
          <w:color w:val="77328A"/>
          <w:sz w:val="16"/>
          <w:szCs w:val="16"/>
        </w:rPr>
        <w:footnoteRef/>
      </w:r>
      <w:r w:rsidRPr="001706D0">
        <w:rPr>
          <w:color w:val="77328A"/>
          <w:sz w:val="16"/>
          <w:szCs w:val="16"/>
        </w:rPr>
        <w:t xml:space="preserve"> </w:t>
      </w:r>
      <w:r w:rsidR="00017FE8" w:rsidRPr="001706D0">
        <w:rPr>
          <w:color w:val="77328A"/>
          <w:sz w:val="16"/>
          <w:szCs w:val="16"/>
        </w:rPr>
        <w:t>Article 8(2), ECHR.</w:t>
      </w:r>
    </w:p>
  </w:footnote>
  <w:footnote w:id="60">
    <w:p w14:paraId="273BB8D5" w14:textId="092D546C" w:rsidR="005E2092" w:rsidRPr="001706D0" w:rsidRDefault="005E2092">
      <w:pPr>
        <w:pStyle w:val="FootnoteText"/>
        <w:rPr>
          <w:color w:val="77328A"/>
          <w:sz w:val="16"/>
          <w:szCs w:val="16"/>
        </w:rPr>
      </w:pPr>
      <w:r w:rsidRPr="001706D0">
        <w:rPr>
          <w:rStyle w:val="FootnoteReference"/>
          <w:color w:val="77328A"/>
          <w:sz w:val="16"/>
          <w:szCs w:val="16"/>
        </w:rPr>
        <w:footnoteRef/>
      </w:r>
      <w:r w:rsidRPr="001706D0">
        <w:rPr>
          <w:color w:val="77328A"/>
          <w:sz w:val="16"/>
          <w:szCs w:val="16"/>
        </w:rPr>
        <w:t xml:space="preserve"> </w:t>
      </w:r>
      <w:r w:rsidR="007E4C41" w:rsidRPr="001706D0">
        <w:rPr>
          <w:color w:val="77328A"/>
          <w:sz w:val="16"/>
          <w:szCs w:val="16"/>
        </w:rPr>
        <w:t>Dudgeon v United Kingdom (1981) ECHR 5, at para 53.</w:t>
      </w:r>
    </w:p>
  </w:footnote>
  <w:footnote w:id="61">
    <w:p w14:paraId="3BFA6CA9" w14:textId="2F66B440" w:rsidR="00444F74" w:rsidRPr="001706D0" w:rsidRDefault="00444F74">
      <w:pPr>
        <w:pStyle w:val="FootnoteText"/>
        <w:rPr>
          <w:color w:val="77328A"/>
          <w:sz w:val="16"/>
          <w:szCs w:val="16"/>
        </w:rPr>
      </w:pPr>
      <w:r w:rsidRPr="001706D0">
        <w:rPr>
          <w:rStyle w:val="FootnoteReference"/>
          <w:color w:val="77328A"/>
          <w:sz w:val="16"/>
          <w:szCs w:val="16"/>
        </w:rPr>
        <w:footnoteRef/>
      </w:r>
      <w:r w:rsidRPr="001706D0">
        <w:rPr>
          <w:color w:val="77328A"/>
          <w:sz w:val="16"/>
          <w:szCs w:val="16"/>
        </w:rPr>
        <w:t xml:space="preserve"> </w:t>
      </w:r>
      <w:r w:rsidR="007E4C41" w:rsidRPr="001706D0">
        <w:rPr>
          <w:color w:val="77328A"/>
          <w:sz w:val="16"/>
          <w:szCs w:val="16"/>
        </w:rPr>
        <w:t>R (Bernard) v Enfield London Borough [2002] EWHC 2282, at paras 33-34.</w:t>
      </w:r>
    </w:p>
  </w:footnote>
  <w:footnote w:id="62">
    <w:p w14:paraId="764A9022" w14:textId="74A24CBF" w:rsidR="006A23FA" w:rsidRPr="001706D0" w:rsidRDefault="006A23FA">
      <w:pPr>
        <w:pStyle w:val="FootnoteText"/>
        <w:rPr>
          <w:color w:val="77328A"/>
          <w:sz w:val="16"/>
          <w:szCs w:val="16"/>
        </w:rPr>
      </w:pPr>
      <w:r w:rsidRPr="001706D0">
        <w:rPr>
          <w:rStyle w:val="FootnoteReference"/>
          <w:color w:val="77328A"/>
          <w:sz w:val="16"/>
          <w:szCs w:val="16"/>
        </w:rPr>
        <w:footnoteRef/>
      </w:r>
      <w:r w:rsidRPr="001706D0">
        <w:rPr>
          <w:color w:val="77328A"/>
          <w:sz w:val="16"/>
          <w:szCs w:val="16"/>
        </w:rPr>
        <w:t xml:space="preserve"> </w:t>
      </w:r>
      <w:r w:rsidR="002E18DF" w:rsidRPr="001706D0">
        <w:rPr>
          <w:color w:val="77328A"/>
          <w:sz w:val="16"/>
          <w:szCs w:val="16"/>
        </w:rPr>
        <w:t>Article 27 (adequate standard of living)</w:t>
      </w:r>
      <w:r w:rsidR="00C062CD" w:rsidRPr="001706D0">
        <w:rPr>
          <w:color w:val="77328A"/>
          <w:sz w:val="16"/>
          <w:szCs w:val="16"/>
        </w:rPr>
        <w:t xml:space="preserve"> and Article 37 (</w:t>
      </w:r>
      <w:r w:rsidR="008441D4" w:rsidRPr="001706D0">
        <w:rPr>
          <w:color w:val="77328A"/>
          <w:sz w:val="16"/>
          <w:szCs w:val="16"/>
        </w:rPr>
        <w:t>freedom from torture or cruel, inhuman or degrading treatment), UN CRC.</w:t>
      </w:r>
    </w:p>
  </w:footnote>
  <w:footnote w:id="63">
    <w:p w14:paraId="4B5EE7A4" w14:textId="3DF86DA8" w:rsidR="006A23FA" w:rsidRPr="001706D0" w:rsidRDefault="006A23FA">
      <w:pPr>
        <w:pStyle w:val="FootnoteText"/>
        <w:rPr>
          <w:color w:val="77328A"/>
          <w:sz w:val="16"/>
          <w:szCs w:val="16"/>
        </w:rPr>
      </w:pPr>
      <w:r w:rsidRPr="001706D0">
        <w:rPr>
          <w:rStyle w:val="FootnoteReference"/>
          <w:color w:val="77328A"/>
          <w:sz w:val="16"/>
          <w:szCs w:val="16"/>
        </w:rPr>
        <w:footnoteRef/>
      </w:r>
      <w:r w:rsidRPr="001706D0">
        <w:rPr>
          <w:color w:val="77328A"/>
          <w:sz w:val="16"/>
          <w:szCs w:val="16"/>
        </w:rPr>
        <w:t xml:space="preserve"> </w:t>
      </w:r>
      <w:r w:rsidR="001B02F4" w:rsidRPr="001706D0">
        <w:rPr>
          <w:color w:val="77328A"/>
          <w:sz w:val="16"/>
          <w:szCs w:val="16"/>
        </w:rPr>
        <w:t>Article 1</w:t>
      </w:r>
      <w:r w:rsidR="000B4BF3" w:rsidRPr="001706D0">
        <w:rPr>
          <w:color w:val="77328A"/>
          <w:sz w:val="16"/>
          <w:szCs w:val="16"/>
        </w:rPr>
        <w:t>4 (</w:t>
      </w:r>
      <w:r w:rsidR="002E44F1" w:rsidRPr="001706D0">
        <w:rPr>
          <w:color w:val="77328A"/>
          <w:sz w:val="16"/>
          <w:szCs w:val="16"/>
        </w:rPr>
        <w:t xml:space="preserve">rural women), UN CEDAW. </w:t>
      </w:r>
    </w:p>
  </w:footnote>
  <w:footnote w:id="64">
    <w:p w14:paraId="7A95DF79" w14:textId="7B09FDFE" w:rsidR="006A23FA" w:rsidRPr="001706D0" w:rsidRDefault="006A23FA">
      <w:pPr>
        <w:pStyle w:val="FootnoteText"/>
        <w:rPr>
          <w:color w:val="77328A"/>
          <w:sz w:val="16"/>
          <w:szCs w:val="16"/>
        </w:rPr>
      </w:pPr>
      <w:r w:rsidRPr="001706D0">
        <w:rPr>
          <w:rStyle w:val="FootnoteReference"/>
          <w:color w:val="77328A"/>
          <w:sz w:val="16"/>
          <w:szCs w:val="16"/>
        </w:rPr>
        <w:footnoteRef/>
      </w:r>
      <w:r w:rsidRPr="001706D0">
        <w:rPr>
          <w:color w:val="77328A"/>
          <w:sz w:val="16"/>
          <w:szCs w:val="16"/>
        </w:rPr>
        <w:t xml:space="preserve"> </w:t>
      </w:r>
      <w:r w:rsidR="00D242CC" w:rsidRPr="001706D0">
        <w:rPr>
          <w:color w:val="77328A"/>
          <w:sz w:val="16"/>
          <w:szCs w:val="16"/>
        </w:rPr>
        <w:t xml:space="preserve">Article </w:t>
      </w:r>
      <w:r w:rsidR="00D704FB" w:rsidRPr="001706D0">
        <w:rPr>
          <w:color w:val="77328A"/>
          <w:sz w:val="16"/>
          <w:szCs w:val="16"/>
        </w:rPr>
        <w:t>15 (freedom from torture or cruel, inhuman or degrading treatment) and Article</w:t>
      </w:r>
      <w:r w:rsidR="00874D7D" w:rsidRPr="001706D0">
        <w:rPr>
          <w:color w:val="77328A"/>
          <w:sz w:val="16"/>
          <w:szCs w:val="16"/>
        </w:rPr>
        <w:t xml:space="preserve"> 28 (adequate standard of living and social protection),</w:t>
      </w:r>
      <w:r w:rsidR="00D704FB" w:rsidRPr="001706D0">
        <w:rPr>
          <w:color w:val="77328A"/>
          <w:sz w:val="16"/>
          <w:szCs w:val="16"/>
        </w:rPr>
        <w:t xml:space="preserve"> UN</w:t>
      </w:r>
      <w:r w:rsidR="00874D7D" w:rsidRPr="001706D0">
        <w:rPr>
          <w:color w:val="77328A"/>
          <w:sz w:val="16"/>
          <w:szCs w:val="16"/>
        </w:rPr>
        <w:t xml:space="preserve"> </w:t>
      </w:r>
      <w:r w:rsidR="00D704FB" w:rsidRPr="001706D0">
        <w:rPr>
          <w:color w:val="77328A"/>
          <w:sz w:val="16"/>
          <w:szCs w:val="16"/>
        </w:rPr>
        <w:t xml:space="preserve">CRPD. </w:t>
      </w:r>
    </w:p>
  </w:footnote>
  <w:footnote w:id="65">
    <w:p w14:paraId="72D9A8C0" w14:textId="34C8F965" w:rsidR="007730DA" w:rsidRPr="007730DA" w:rsidRDefault="007730DA">
      <w:pPr>
        <w:pStyle w:val="FootnoteText"/>
        <w:rPr>
          <w:sz w:val="16"/>
          <w:szCs w:val="16"/>
        </w:rPr>
      </w:pPr>
      <w:r w:rsidRPr="001706D0">
        <w:rPr>
          <w:rStyle w:val="FootnoteReference"/>
          <w:color w:val="77328A"/>
          <w:sz w:val="16"/>
          <w:szCs w:val="16"/>
        </w:rPr>
        <w:footnoteRef/>
      </w:r>
      <w:r w:rsidRPr="001706D0">
        <w:rPr>
          <w:color w:val="77328A"/>
          <w:sz w:val="16"/>
          <w:szCs w:val="16"/>
        </w:rPr>
        <w:t xml:space="preserve"> Department for Communities, ‘Budget 2023-24: Draft Equality Impact Assessment Stage 1 Outcome Report’ (DfC, 2023) at 119.</w:t>
      </w:r>
    </w:p>
  </w:footnote>
  <w:footnote w:id="66">
    <w:p w14:paraId="43CAC1CA" w14:textId="77777777" w:rsidR="001736C5" w:rsidRPr="00B578C9" w:rsidRDefault="001736C5" w:rsidP="001736C5">
      <w:pPr>
        <w:pStyle w:val="NIHRCFootnotes"/>
      </w:pPr>
      <w:r>
        <w:rPr>
          <w:rStyle w:val="FootnoteReference"/>
        </w:rPr>
        <w:footnoteRef/>
      </w:r>
      <w:r>
        <w:t xml:space="preserve"> E/C.12/GBR/CO/6, ‘ICESCR Committee Concluding Observations on the Sixth Periodic Review of the UK of </w:t>
      </w:r>
      <w:r w:rsidRPr="001E142C">
        <w:t xml:space="preserve">Great Britain and </w:t>
      </w:r>
      <w:r>
        <w:t>NI’, 14 July</w:t>
      </w:r>
      <w:r w:rsidRPr="001E142C">
        <w:t xml:space="preserve"> 2016, at </w:t>
      </w:r>
      <w:r w:rsidRPr="00B578C9">
        <w:t>paras 18 – 19.</w:t>
      </w:r>
    </w:p>
  </w:footnote>
  <w:footnote w:id="67">
    <w:p w14:paraId="5479497C" w14:textId="77777777" w:rsidR="001736C5" w:rsidRPr="001E142C" w:rsidRDefault="001736C5" w:rsidP="001736C5">
      <w:pPr>
        <w:pStyle w:val="NIHRCFootnotes"/>
      </w:pPr>
      <w:r w:rsidRPr="00B578C9">
        <w:rPr>
          <w:rStyle w:val="FootnoteReference"/>
        </w:rPr>
        <w:footnoteRef/>
      </w:r>
      <w:r w:rsidRPr="00B578C9">
        <w:t xml:space="preserve"> Ibid, at para 19</w:t>
      </w:r>
      <w:r w:rsidRPr="001E142C">
        <w:t>.</w:t>
      </w:r>
    </w:p>
  </w:footnote>
  <w:footnote w:id="68">
    <w:p w14:paraId="3FB6C7AB" w14:textId="02F05F7D" w:rsidR="00FE7B90" w:rsidRPr="000A4D61" w:rsidRDefault="00FE7B90">
      <w:pPr>
        <w:pStyle w:val="FootnoteText"/>
        <w:rPr>
          <w:sz w:val="16"/>
          <w:szCs w:val="16"/>
        </w:rPr>
      </w:pPr>
      <w:r w:rsidRPr="000A4D61">
        <w:rPr>
          <w:rStyle w:val="FootnoteReference"/>
          <w:color w:val="77328A"/>
          <w:sz w:val="16"/>
          <w:szCs w:val="16"/>
        </w:rPr>
        <w:footnoteRef/>
      </w:r>
      <w:r w:rsidRPr="000A4D61">
        <w:rPr>
          <w:color w:val="77328A"/>
          <w:sz w:val="16"/>
          <w:szCs w:val="16"/>
        </w:rPr>
        <w:t xml:space="preserve"> </w:t>
      </w:r>
      <w:r w:rsidR="000A4D61" w:rsidRPr="000A4D61">
        <w:rPr>
          <w:color w:val="77328A"/>
          <w:sz w:val="16"/>
          <w:szCs w:val="16"/>
        </w:rPr>
        <w:t>CRC/C/GBR/CO/5, ‘UN Committee on Rights of the Child Concluding Observations on the Fifth Periodic Report of the United Kingdom of Great Britain and Northern Ireland’, 3 June 2016, at para 70(c).</w:t>
      </w:r>
    </w:p>
  </w:footnote>
  <w:footnote w:id="69">
    <w:p w14:paraId="5EA38F3A" w14:textId="2DB2B3B1" w:rsidR="00E30AFC" w:rsidRPr="009D12C8" w:rsidRDefault="00E30AFC">
      <w:pPr>
        <w:pStyle w:val="FootnoteText"/>
        <w:rPr>
          <w:sz w:val="16"/>
          <w:szCs w:val="16"/>
        </w:rPr>
      </w:pPr>
      <w:r w:rsidRPr="009D12C8">
        <w:rPr>
          <w:rStyle w:val="FootnoteReference"/>
          <w:color w:val="77328A"/>
          <w:sz w:val="16"/>
          <w:szCs w:val="16"/>
        </w:rPr>
        <w:footnoteRef/>
      </w:r>
      <w:r w:rsidRPr="009D12C8">
        <w:rPr>
          <w:color w:val="77328A"/>
          <w:sz w:val="16"/>
          <w:szCs w:val="16"/>
        </w:rPr>
        <w:t xml:space="preserve"> </w:t>
      </w:r>
      <w:r w:rsidR="00076346" w:rsidRPr="009D12C8">
        <w:rPr>
          <w:color w:val="77328A"/>
          <w:sz w:val="16"/>
          <w:szCs w:val="16"/>
        </w:rPr>
        <w:t>CRPD/C/15/4</w:t>
      </w:r>
      <w:r w:rsidR="009D12C8" w:rsidRPr="009D12C8">
        <w:rPr>
          <w:color w:val="77328A"/>
          <w:sz w:val="16"/>
          <w:szCs w:val="16"/>
        </w:rPr>
        <w:t>, ‘UN CRPD Committee Inquiry Concerning the UK of Great Britain and NI carried out by the Committee under Article 6 of the Optional Protocol to the Convention: Report of the Committee’, 24 October 2017, a</w:t>
      </w:r>
      <w:r w:rsidRPr="009D12C8">
        <w:rPr>
          <w:color w:val="77328A"/>
          <w:sz w:val="16"/>
          <w:szCs w:val="16"/>
        </w:rPr>
        <w:t xml:space="preserve">t para 114. </w:t>
      </w:r>
    </w:p>
  </w:footnote>
  <w:footnote w:id="70">
    <w:p w14:paraId="4C04F17D" w14:textId="77777777" w:rsidR="001736C5" w:rsidRDefault="001736C5" w:rsidP="001736C5">
      <w:pPr>
        <w:pStyle w:val="FootnoteText"/>
      </w:pPr>
      <w:r w:rsidRPr="001E142C">
        <w:rPr>
          <w:rStyle w:val="FootnoteReference"/>
          <w:color w:val="77328A"/>
          <w:sz w:val="16"/>
          <w:szCs w:val="16"/>
        </w:rPr>
        <w:footnoteRef/>
      </w:r>
      <w:r w:rsidRPr="001E142C">
        <w:rPr>
          <w:color w:val="77328A"/>
          <w:sz w:val="16"/>
          <w:szCs w:val="16"/>
        </w:rPr>
        <w:t xml:space="preserve"> Department for Communities, ‘Budget 2023-24 Equality Impact Assessment’ (DfC, 2023), at para 5.7.</w:t>
      </w:r>
    </w:p>
  </w:footnote>
  <w:footnote w:id="71">
    <w:p w14:paraId="74B12146" w14:textId="77777777" w:rsidR="001736C5" w:rsidRPr="00CF3DFA" w:rsidRDefault="001736C5" w:rsidP="001736C5">
      <w:pPr>
        <w:pStyle w:val="FootnoteText"/>
        <w:rPr>
          <w:sz w:val="16"/>
          <w:szCs w:val="16"/>
        </w:rPr>
      </w:pPr>
      <w:r w:rsidRPr="00CF3DFA">
        <w:rPr>
          <w:rStyle w:val="FootnoteReference"/>
          <w:color w:val="77328A"/>
          <w:sz w:val="16"/>
          <w:szCs w:val="16"/>
        </w:rPr>
        <w:footnoteRef/>
      </w:r>
      <w:r w:rsidRPr="00CF3DFA">
        <w:rPr>
          <w:color w:val="77328A"/>
          <w:sz w:val="16"/>
          <w:szCs w:val="16"/>
        </w:rPr>
        <w:t xml:space="preserve"> NI Human Rights Commission, ‘Cumulative Impact Assessment of Tax and Social Security Reforms’ (NIHRC, 2019).</w:t>
      </w:r>
    </w:p>
  </w:footnote>
  <w:footnote w:id="72">
    <w:p w14:paraId="35D22FD8" w14:textId="77777777" w:rsidR="0071326E" w:rsidRPr="00044289" w:rsidRDefault="0071326E" w:rsidP="0071326E">
      <w:pPr>
        <w:pStyle w:val="FootnoteText"/>
        <w:rPr>
          <w:color w:val="77328A"/>
          <w:sz w:val="16"/>
          <w:szCs w:val="16"/>
        </w:rPr>
      </w:pPr>
      <w:r w:rsidRPr="00044289">
        <w:rPr>
          <w:rStyle w:val="FootnoteReference"/>
          <w:color w:val="77328A"/>
          <w:sz w:val="16"/>
          <w:szCs w:val="16"/>
        </w:rPr>
        <w:footnoteRef/>
      </w:r>
      <w:r w:rsidRPr="00044289">
        <w:rPr>
          <w:color w:val="77328A"/>
          <w:sz w:val="16"/>
          <w:szCs w:val="16"/>
        </w:rPr>
        <w:t xml:space="preserve"> CEDAW/C/GBR/CO/8. ‘UN Committee on the Elimination of Discrimination against Women Concluding Observations on the eighth periodic report of the United Kingdom of Great Britain and Northern Ireland’ 8 March 2019, at para 50.</w:t>
      </w:r>
    </w:p>
  </w:footnote>
  <w:footnote w:id="73">
    <w:p w14:paraId="5B82526D" w14:textId="77777777" w:rsidR="0071326E" w:rsidRDefault="0071326E" w:rsidP="0071326E">
      <w:pPr>
        <w:pStyle w:val="FootnoteText"/>
      </w:pPr>
      <w:r w:rsidRPr="00044289">
        <w:rPr>
          <w:rStyle w:val="FootnoteReference"/>
          <w:color w:val="77328A"/>
          <w:sz w:val="16"/>
          <w:szCs w:val="16"/>
        </w:rPr>
        <w:footnoteRef/>
      </w:r>
      <w:r w:rsidRPr="00044289">
        <w:rPr>
          <w:color w:val="77328A"/>
          <w:sz w:val="16"/>
          <w:szCs w:val="16"/>
        </w:rPr>
        <w:t xml:space="preserve"> Ibid.</w:t>
      </w:r>
    </w:p>
  </w:footnote>
  <w:footnote w:id="74">
    <w:p w14:paraId="4A56649A" w14:textId="77777777" w:rsidR="001736C5" w:rsidRPr="00623CFD" w:rsidRDefault="001736C5" w:rsidP="001736C5">
      <w:pPr>
        <w:pStyle w:val="FootnoteText"/>
        <w:rPr>
          <w:color w:val="77328A"/>
          <w:sz w:val="16"/>
          <w:szCs w:val="16"/>
        </w:rPr>
      </w:pPr>
      <w:r w:rsidRPr="00623CFD">
        <w:rPr>
          <w:rStyle w:val="FootnoteReference"/>
          <w:color w:val="77328A"/>
          <w:sz w:val="16"/>
          <w:szCs w:val="16"/>
        </w:rPr>
        <w:footnoteRef/>
      </w:r>
      <w:r w:rsidRPr="00623CFD">
        <w:rPr>
          <w:color w:val="77328A"/>
          <w:sz w:val="16"/>
          <w:szCs w:val="16"/>
        </w:rPr>
        <w:t xml:space="preserve"> Department for Communities, ‘Welfare Mitigations Review: Independent Advisory Panel Report’ (DfC, 2022)</w:t>
      </w:r>
      <w:r>
        <w:rPr>
          <w:color w:val="77328A"/>
          <w:sz w:val="16"/>
          <w:szCs w:val="16"/>
        </w:rPr>
        <w:t>. See paras 13-16: Recommendations included</w:t>
      </w:r>
      <w:r w:rsidRPr="00A520A9">
        <w:rPr>
          <w:color w:val="77328A"/>
          <w:sz w:val="16"/>
          <w:szCs w:val="16"/>
        </w:rPr>
        <w:t xml:space="preserve"> offsetting the two-child limit, a higher winter fuel payment, further support for carers and people with disabilities, and tackling the five </w:t>
      </w:r>
      <w:proofErr w:type="gramStart"/>
      <w:r w:rsidRPr="00A520A9">
        <w:rPr>
          <w:color w:val="77328A"/>
          <w:sz w:val="16"/>
          <w:szCs w:val="16"/>
        </w:rPr>
        <w:t>week</w:t>
      </w:r>
      <w:proofErr w:type="gramEnd"/>
      <w:r w:rsidRPr="00A520A9">
        <w:rPr>
          <w:color w:val="77328A"/>
          <w:sz w:val="16"/>
          <w:szCs w:val="16"/>
        </w:rPr>
        <w:t xml:space="preserve"> wait for first payment of Universal Credit</w:t>
      </w:r>
      <w:r>
        <w:rPr>
          <w:color w:val="77328A"/>
          <w:sz w:val="16"/>
          <w:szCs w:val="16"/>
        </w:rPr>
        <w:t>, among others.</w:t>
      </w:r>
    </w:p>
  </w:footnote>
  <w:footnote w:id="75">
    <w:p w14:paraId="6F5E509E" w14:textId="77777777" w:rsidR="001736C5" w:rsidRDefault="001736C5" w:rsidP="001736C5">
      <w:pPr>
        <w:pStyle w:val="NIHRCFootnotes"/>
      </w:pPr>
      <w:r>
        <w:rPr>
          <w:rStyle w:val="FootnoteReference"/>
        </w:rPr>
        <w:footnoteRef/>
      </w:r>
      <w:r>
        <w:t xml:space="preserve"> A/HRC/41/39/Add.1, ‘Visit to the United Kingdom of Great Britain and Northern Ireland, Report of the United Nations Special Rapporteur on extreme poverty and human rights’, 23 April 2019, at para 52. See also: Joseph Rowntree Foundation, ‘Financial Resilience and the Transition to Universal Credit: A Report by Policy in Practice’ (JRF, 2019).</w:t>
      </w:r>
    </w:p>
  </w:footnote>
  <w:footnote w:id="76">
    <w:p w14:paraId="1047B417" w14:textId="77777777" w:rsidR="001736C5" w:rsidRPr="00E4336F" w:rsidRDefault="001736C5" w:rsidP="001736C5">
      <w:pPr>
        <w:pStyle w:val="FootnoteText"/>
        <w:rPr>
          <w:color w:val="77328A"/>
          <w:sz w:val="16"/>
          <w:szCs w:val="16"/>
        </w:rPr>
      </w:pPr>
      <w:r w:rsidRPr="00E4336F">
        <w:rPr>
          <w:rStyle w:val="FootnoteReference"/>
          <w:color w:val="77328A"/>
          <w:sz w:val="16"/>
          <w:szCs w:val="16"/>
        </w:rPr>
        <w:footnoteRef/>
      </w:r>
      <w:r w:rsidRPr="00E4336F">
        <w:rPr>
          <w:color w:val="77328A"/>
          <w:sz w:val="16"/>
          <w:szCs w:val="16"/>
        </w:rPr>
        <w:t xml:space="preserve"> Ibid at 4</w:t>
      </w:r>
      <w:r>
        <w:rPr>
          <w:color w:val="77328A"/>
          <w:sz w:val="16"/>
          <w:szCs w:val="16"/>
        </w:rPr>
        <w:t>.</w:t>
      </w:r>
    </w:p>
  </w:footnote>
  <w:footnote w:id="77">
    <w:p w14:paraId="29D47F0B" w14:textId="77777777" w:rsidR="001736C5" w:rsidRPr="001149E9" w:rsidRDefault="001736C5" w:rsidP="001736C5">
      <w:pPr>
        <w:pStyle w:val="FootnoteText"/>
        <w:rPr>
          <w:sz w:val="16"/>
          <w:szCs w:val="16"/>
        </w:rPr>
      </w:pPr>
      <w:r w:rsidRPr="001149E9">
        <w:rPr>
          <w:rStyle w:val="FootnoteReference"/>
          <w:color w:val="77328A"/>
          <w:sz w:val="16"/>
          <w:szCs w:val="16"/>
        </w:rPr>
        <w:footnoteRef/>
      </w:r>
      <w:r w:rsidRPr="001149E9">
        <w:rPr>
          <w:color w:val="77328A"/>
          <w:sz w:val="16"/>
          <w:szCs w:val="16"/>
        </w:rPr>
        <w:t xml:space="preserve"> NI Human Rights Commission, ‘Cumulative Impact Assessment of Tax and Social Security Reforms’ (NIHRC, 2019), at 136.</w:t>
      </w:r>
    </w:p>
  </w:footnote>
  <w:footnote w:id="78">
    <w:p w14:paraId="2EEEAA25" w14:textId="2CDED0DF" w:rsidR="00262125" w:rsidRPr="00DA62BA" w:rsidRDefault="00262125">
      <w:pPr>
        <w:pStyle w:val="FootnoteText"/>
        <w:rPr>
          <w:color w:val="77328A"/>
          <w:sz w:val="16"/>
          <w:szCs w:val="16"/>
        </w:rPr>
      </w:pPr>
      <w:r w:rsidRPr="00DA62BA">
        <w:rPr>
          <w:rStyle w:val="FootnoteReference"/>
          <w:color w:val="77328A"/>
          <w:sz w:val="16"/>
          <w:szCs w:val="16"/>
        </w:rPr>
        <w:footnoteRef/>
      </w:r>
      <w:r w:rsidRPr="00DA62BA">
        <w:rPr>
          <w:color w:val="77328A"/>
          <w:sz w:val="16"/>
          <w:szCs w:val="16"/>
        </w:rPr>
        <w:t xml:space="preserve"> </w:t>
      </w:r>
      <w:r w:rsidR="00DA62BA" w:rsidRPr="00DA62BA">
        <w:rPr>
          <w:color w:val="77328A"/>
          <w:sz w:val="16"/>
          <w:szCs w:val="16"/>
        </w:rPr>
        <w:t>Article 23, UN CRC.</w:t>
      </w:r>
    </w:p>
  </w:footnote>
  <w:footnote w:id="79">
    <w:p w14:paraId="4C1A4A7F" w14:textId="335EE47D" w:rsidR="00262125" w:rsidRPr="00DA62BA" w:rsidRDefault="00262125">
      <w:pPr>
        <w:pStyle w:val="FootnoteText"/>
        <w:rPr>
          <w:color w:val="77328A"/>
          <w:sz w:val="16"/>
          <w:szCs w:val="16"/>
        </w:rPr>
      </w:pPr>
      <w:r w:rsidRPr="00DA62BA">
        <w:rPr>
          <w:rStyle w:val="FootnoteReference"/>
          <w:color w:val="77328A"/>
          <w:sz w:val="16"/>
          <w:szCs w:val="16"/>
        </w:rPr>
        <w:footnoteRef/>
      </w:r>
      <w:r w:rsidRPr="00DA62BA">
        <w:rPr>
          <w:color w:val="77328A"/>
          <w:sz w:val="16"/>
          <w:szCs w:val="16"/>
        </w:rPr>
        <w:t xml:space="preserve"> </w:t>
      </w:r>
      <w:r w:rsidR="00DA62BA" w:rsidRPr="00DA62BA">
        <w:rPr>
          <w:color w:val="77328A"/>
          <w:sz w:val="16"/>
          <w:szCs w:val="16"/>
        </w:rPr>
        <w:t>Article 11, UN CEDAW.</w:t>
      </w:r>
    </w:p>
  </w:footnote>
  <w:footnote w:id="80">
    <w:p w14:paraId="2E34F7BE" w14:textId="19BA89E9" w:rsidR="00262125" w:rsidRDefault="00262125">
      <w:pPr>
        <w:pStyle w:val="FootnoteText"/>
      </w:pPr>
      <w:r w:rsidRPr="00DA62BA">
        <w:rPr>
          <w:rStyle w:val="FootnoteReference"/>
          <w:color w:val="77328A"/>
          <w:sz w:val="16"/>
          <w:szCs w:val="16"/>
        </w:rPr>
        <w:footnoteRef/>
      </w:r>
      <w:r w:rsidRPr="00DA62BA">
        <w:rPr>
          <w:color w:val="77328A"/>
          <w:sz w:val="16"/>
          <w:szCs w:val="16"/>
        </w:rPr>
        <w:t xml:space="preserve"> Article 27, UN CRPD.</w:t>
      </w:r>
    </w:p>
  </w:footnote>
  <w:footnote w:id="81">
    <w:p w14:paraId="66CB5CC1" w14:textId="1950377E" w:rsidR="00AC0D25" w:rsidRPr="00EB7FB4" w:rsidRDefault="00AC0D25" w:rsidP="00AC0D25">
      <w:pPr>
        <w:pStyle w:val="NIHRCFootnotes"/>
      </w:pPr>
      <w:r w:rsidRPr="00EB7FB4">
        <w:rPr>
          <w:rStyle w:val="FootnoteReference"/>
        </w:rPr>
        <w:footnoteRef/>
      </w:r>
      <w:r w:rsidRPr="00EB7FB4">
        <w:t xml:space="preserve"> </w:t>
      </w:r>
      <w:r w:rsidR="0074238D">
        <w:t xml:space="preserve">E/C.12/GBR/CO/6, ‘ICESCR Committee Concluding Observations on the Sixth Periodic Review of the UK of </w:t>
      </w:r>
      <w:r w:rsidR="0074238D" w:rsidRPr="001E142C">
        <w:t xml:space="preserve">Great Britain and </w:t>
      </w:r>
      <w:r w:rsidR="0074238D">
        <w:t>NI’, 14 July</w:t>
      </w:r>
      <w:r w:rsidR="0074238D" w:rsidRPr="001E142C">
        <w:t xml:space="preserve"> 2016, at </w:t>
      </w:r>
      <w:r w:rsidR="0074238D" w:rsidRPr="00B578C9">
        <w:t>para</w:t>
      </w:r>
      <w:r w:rsidRPr="00EB7FB4">
        <w:t xml:space="preserve"> 30</w:t>
      </w:r>
      <w:r w:rsidR="0074238D">
        <w:t>.</w:t>
      </w:r>
    </w:p>
  </w:footnote>
  <w:footnote w:id="82">
    <w:p w14:paraId="18D3CCD5" w14:textId="544CE33B" w:rsidR="00240BDA" w:rsidRPr="00C20DC8" w:rsidRDefault="00240BDA">
      <w:pPr>
        <w:pStyle w:val="FootnoteText"/>
        <w:rPr>
          <w:color w:val="77328A"/>
          <w:sz w:val="16"/>
          <w:szCs w:val="16"/>
        </w:rPr>
      </w:pPr>
      <w:r w:rsidRPr="00C20DC8">
        <w:rPr>
          <w:rStyle w:val="FootnoteReference"/>
          <w:color w:val="77328A"/>
          <w:sz w:val="16"/>
          <w:szCs w:val="16"/>
        </w:rPr>
        <w:footnoteRef/>
      </w:r>
      <w:r w:rsidRPr="00C20DC8">
        <w:rPr>
          <w:color w:val="77328A"/>
          <w:sz w:val="16"/>
          <w:szCs w:val="16"/>
        </w:rPr>
        <w:t xml:space="preserve"> </w:t>
      </w:r>
      <w:r w:rsidR="00C20DC8" w:rsidRPr="00C20DC8">
        <w:rPr>
          <w:color w:val="77328A"/>
          <w:sz w:val="16"/>
          <w:szCs w:val="16"/>
        </w:rPr>
        <w:t>CRPD/C/GBR/CO/1, ‘UN CRPD Committee Concluding Observations on the Initial Report of the UK of Great Britain and NI’, 3 October 2017, at para</w:t>
      </w:r>
      <w:r w:rsidR="00B90397" w:rsidRPr="00C20DC8">
        <w:rPr>
          <w:color w:val="77328A"/>
          <w:sz w:val="16"/>
          <w:szCs w:val="16"/>
        </w:rPr>
        <w:t xml:space="preserve"> 57.</w:t>
      </w:r>
    </w:p>
  </w:footnote>
  <w:footnote w:id="83">
    <w:p w14:paraId="22B245CF" w14:textId="77777777" w:rsidR="00AC0D25" w:rsidRPr="00EB7FB4" w:rsidRDefault="00AC0D25" w:rsidP="00AC0D25">
      <w:pPr>
        <w:pStyle w:val="NIHRCFootnotes"/>
      </w:pPr>
      <w:r w:rsidRPr="00EB7FB4">
        <w:rPr>
          <w:rStyle w:val="FootnoteReference"/>
        </w:rPr>
        <w:footnoteRef/>
      </w:r>
      <w:r w:rsidRPr="00EB7FB4">
        <w:t xml:space="preserve"> International Labour Organisation, ‘Covid-19: Public Employment Services and Labour Market Policy Responses’, (ILO, 2020).</w:t>
      </w:r>
    </w:p>
  </w:footnote>
  <w:footnote w:id="84">
    <w:p w14:paraId="2C2CED0B" w14:textId="77777777" w:rsidR="00AC0D25" w:rsidRPr="00EB7FB4" w:rsidRDefault="00AC0D25" w:rsidP="00AC0D25">
      <w:pPr>
        <w:pStyle w:val="NIHRCFootnotes"/>
      </w:pPr>
      <w:r w:rsidRPr="00EB7FB4">
        <w:rPr>
          <w:rStyle w:val="FootnoteReference"/>
        </w:rPr>
        <w:footnoteRef/>
      </w:r>
      <w:r w:rsidRPr="00EB7FB4">
        <w:t xml:space="preserve"> Ibid, at 15.</w:t>
      </w:r>
    </w:p>
  </w:footnote>
  <w:footnote w:id="85">
    <w:p w14:paraId="35211ADF" w14:textId="188EB718" w:rsidR="00945FD7" w:rsidRPr="00EB7FB4" w:rsidRDefault="00945FD7" w:rsidP="00B30074">
      <w:pPr>
        <w:pStyle w:val="NIHRCFootnotes"/>
      </w:pPr>
      <w:r w:rsidRPr="00EB7FB4">
        <w:rPr>
          <w:rStyle w:val="FootnoteReference"/>
        </w:rPr>
        <w:footnoteRef/>
      </w:r>
      <w:r w:rsidRPr="00EB7FB4">
        <w:t xml:space="preserve"> </w:t>
      </w:r>
      <w:r w:rsidR="00BF4031">
        <w:t xml:space="preserve">CRPD/C/GBR/CO/1, </w:t>
      </w:r>
      <w:r w:rsidR="006F4DC5">
        <w:t>‘</w:t>
      </w:r>
      <w:r w:rsidR="00BF4031">
        <w:t xml:space="preserve">UN </w:t>
      </w:r>
      <w:r w:rsidR="006F4DC5">
        <w:t xml:space="preserve">CRPD Committee </w:t>
      </w:r>
      <w:r w:rsidR="00BF4031">
        <w:t xml:space="preserve">Concluding Observations on the Initial Report of the </w:t>
      </w:r>
      <w:r w:rsidR="006F4DC5">
        <w:t>UK</w:t>
      </w:r>
      <w:r w:rsidR="00BF4031">
        <w:t xml:space="preserve"> of Great Britain and </w:t>
      </w:r>
      <w:r w:rsidR="006F4DC5">
        <w:t>NI’</w:t>
      </w:r>
      <w:r w:rsidR="00BF4031">
        <w:t xml:space="preserve">, </w:t>
      </w:r>
      <w:r w:rsidR="00D72535">
        <w:t xml:space="preserve">3 October </w:t>
      </w:r>
      <w:r w:rsidR="00BF4031">
        <w:t xml:space="preserve">2017, at para 56; </w:t>
      </w:r>
      <w:r w:rsidR="00C22B3A">
        <w:t>CERD/C.GBR/CO/21-23,</w:t>
      </w:r>
      <w:r w:rsidR="00332162">
        <w:t xml:space="preserve"> ‘</w:t>
      </w:r>
      <w:r w:rsidR="00C22B3A">
        <w:t xml:space="preserve">UN </w:t>
      </w:r>
      <w:r w:rsidR="006F4DC5">
        <w:t>CERD Committee</w:t>
      </w:r>
      <w:r w:rsidR="00332162">
        <w:t xml:space="preserve"> </w:t>
      </w:r>
      <w:r w:rsidR="00C22B3A">
        <w:t xml:space="preserve">Concluding Observations on the Combined twenty-first to twenty-third Periodic Reports of the </w:t>
      </w:r>
      <w:r w:rsidR="00332162">
        <w:t>UK</w:t>
      </w:r>
      <w:r w:rsidR="00C22B3A">
        <w:t xml:space="preserve"> of Great Britain and </w:t>
      </w:r>
      <w:r w:rsidR="00332162">
        <w:t>NI’</w:t>
      </w:r>
      <w:r w:rsidR="00C22B3A">
        <w:t xml:space="preserve">, </w:t>
      </w:r>
      <w:r w:rsidR="00332162">
        <w:t xml:space="preserve">2 July </w:t>
      </w:r>
      <w:r w:rsidR="00C22B3A">
        <w:t>2016, at para 32</w:t>
      </w:r>
      <w:r w:rsidR="006F4DC5">
        <w:t>; CEDAW/C/GBR/CO/8, ‘UN CEDAW Committee Concluding Observations on the Eighth Periodic Report of the UK of Great Britain and NI’, (CEDAW, 2019), at paras 45-46.</w:t>
      </w:r>
    </w:p>
  </w:footnote>
  <w:footnote w:id="86">
    <w:p w14:paraId="30926C09" w14:textId="5FA77465" w:rsidR="00945FD7" w:rsidRPr="00EB7FB4" w:rsidRDefault="00945FD7">
      <w:pPr>
        <w:pStyle w:val="FootnoteText"/>
        <w:rPr>
          <w:color w:val="77328A"/>
          <w:sz w:val="16"/>
          <w:szCs w:val="16"/>
        </w:rPr>
      </w:pPr>
      <w:r w:rsidRPr="00EB7FB4">
        <w:rPr>
          <w:rStyle w:val="FootnoteReference"/>
          <w:color w:val="77328A"/>
          <w:sz w:val="16"/>
          <w:szCs w:val="16"/>
        </w:rPr>
        <w:footnoteRef/>
      </w:r>
      <w:r w:rsidRPr="00EB7FB4">
        <w:rPr>
          <w:color w:val="77328A"/>
          <w:sz w:val="16"/>
          <w:szCs w:val="16"/>
        </w:rPr>
        <w:t xml:space="preserve"> </w:t>
      </w:r>
      <w:r w:rsidR="006E49A3">
        <w:rPr>
          <w:color w:val="77328A"/>
          <w:sz w:val="16"/>
          <w:szCs w:val="16"/>
        </w:rPr>
        <w:t>‘British workers increasingly likely to work into their 70s</w:t>
      </w:r>
      <w:r w:rsidR="00422CCC">
        <w:rPr>
          <w:color w:val="77328A"/>
          <w:sz w:val="16"/>
          <w:szCs w:val="16"/>
        </w:rPr>
        <w:t>, research suggests’, The Guardian UK, 30 April 2023.</w:t>
      </w:r>
    </w:p>
  </w:footnote>
  <w:footnote w:id="87">
    <w:p w14:paraId="29A1B1F4" w14:textId="0ED326DA" w:rsidR="0078522C" w:rsidRPr="00C143B7" w:rsidRDefault="0078522C">
      <w:pPr>
        <w:pStyle w:val="FootnoteText"/>
        <w:rPr>
          <w:color w:val="77328A"/>
          <w:sz w:val="16"/>
          <w:szCs w:val="16"/>
        </w:rPr>
      </w:pPr>
      <w:r w:rsidRPr="00C143B7">
        <w:rPr>
          <w:rStyle w:val="FootnoteReference"/>
          <w:color w:val="77328A"/>
          <w:sz w:val="16"/>
          <w:szCs w:val="16"/>
        </w:rPr>
        <w:footnoteRef/>
      </w:r>
      <w:r w:rsidRPr="00C143B7">
        <w:rPr>
          <w:color w:val="77328A"/>
          <w:sz w:val="16"/>
          <w:szCs w:val="16"/>
        </w:rPr>
        <w:t xml:space="preserve"> </w:t>
      </w:r>
      <w:r w:rsidR="00C143B7" w:rsidRPr="00C143B7">
        <w:rPr>
          <w:color w:val="77328A"/>
          <w:sz w:val="16"/>
          <w:szCs w:val="16"/>
        </w:rPr>
        <w:t xml:space="preserve">NI Union of Supported Employment, ‘Future Funding for Disability Employment Services’ (NIUSE, 2019); </w:t>
      </w:r>
      <w:r w:rsidR="007851E4" w:rsidRPr="00C143B7">
        <w:rPr>
          <w:color w:val="77328A"/>
          <w:sz w:val="16"/>
          <w:szCs w:val="16"/>
        </w:rPr>
        <w:t>NI Council for Voluntary Action, ‘Press Release: Latest on the UK Shared Prosperity NI Programme’, 3 August 2022</w:t>
      </w:r>
      <w:r w:rsidR="00C143B7" w:rsidRPr="00C143B7">
        <w:rPr>
          <w:color w:val="77328A"/>
          <w:sz w:val="16"/>
          <w:szCs w:val="16"/>
        </w:rPr>
        <w:t>.</w:t>
      </w:r>
    </w:p>
  </w:footnote>
  <w:footnote w:id="88">
    <w:p w14:paraId="55B8ED19" w14:textId="0A21EA57" w:rsidR="00140CDE" w:rsidRPr="006E7AC9" w:rsidRDefault="00140CDE">
      <w:pPr>
        <w:pStyle w:val="FootnoteText"/>
        <w:rPr>
          <w:sz w:val="16"/>
          <w:szCs w:val="16"/>
        </w:rPr>
      </w:pPr>
      <w:r w:rsidRPr="006E7AC9">
        <w:rPr>
          <w:rStyle w:val="FootnoteReference"/>
          <w:color w:val="77328A"/>
          <w:sz w:val="16"/>
          <w:szCs w:val="16"/>
        </w:rPr>
        <w:footnoteRef/>
      </w:r>
      <w:r w:rsidRPr="006E7AC9">
        <w:rPr>
          <w:color w:val="77328A"/>
          <w:sz w:val="16"/>
          <w:szCs w:val="16"/>
        </w:rPr>
        <w:t xml:space="preserve"> </w:t>
      </w:r>
      <w:r w:rsidR="00B3699C" w:rsidRPr="006E7AC9">
        <w:rPr>
          <w:color w:val="77328A"/>
          <w:sz w:val="16"/>
          <w:szCs w:val="16"/>
        </w:rPr>
        <w:t>E/C.12/GC/18, ‘UN ICESCR Committee General Comment No.18: The right to work (Article 6)’</w:t>
      </w:r>
      <w:r w:rsidR="006E7AC9" w:rsidRPr="006E7AC9">
        <w:rPr>
          <w:color w:val="77328A"/>
          <w:sz w:val="16"/>
          <w:szCs w:val="16"/>
        </w:rPr>
        <w:t>, 6 February 2022, a</w:t>
      </w:r>
      <w:r w:rsidRPr="006E7AC9">
        <w:rPr>
          <w:color w:val="77328A"/>
          <w:sz w:val="16"/>
          <w:szCs w:val="16"/>
        </w:rPr>
        <w:t xml:space="preserve">t para </w:t>
      </w:r>
      <w:r w:rsidR="00A55AB3" w:rsidRPr="006E7AC9">
        <w:rPr>
          <w:color w:val="77328A"/>
          <w:sz w:val="16"/>
          <w:szCs w:val="16"/>
        </w:rPr>
        <w:t xml:space="preserve">19 and </w:t>
      </w:r>
      <w:r w:rsidRPr="006E7AC9">
        <w:rPr>
          <w:color w:val="77328A"/>
          <w:sz w:val="16"/>
          <w:szCs w:val="16"/>
        </w:rPr>
        <w:t xml:space="preserve">31. </w:t>
      </w:r>
    </w:p>
  </w:footnote>
  <w:footnote w:id="89">
    <w:p w14:paraId="29D0C5E6" w14:textId="39F4E6E1" w:rsidR="00E14469" w:rsidRPr="00FA6DCF" w:rsidRDefault="00E14469">
      <w:pPr>
        <w:pStyle w:val="FootnoteText"/>
        <w:rPr>
          <w:color w:val="77328A"/>
          <w:sz w:val="16"/>
          <w:szCs w:val="16"/>
        </w:rPr>
      </w:pPr>
      <w:r w:rsidRPr="00FA6DCF">
        <w:rPr>
          <w:rStyle w:val="FootnoteReference"/>
          <w:color w:val="77328A"/>
          <w:sz w:val="16"/>
          <w:szCs w:val="16"/>
        </w:rPr>
        <w:footnoteRef/>
      </w:r>
      <w:r w:rsidRPr="00FA6DCF">
        <w:rPr>
          <w:color w:val="77328A"/>
          <w:sz w:val="16"/>
          <w:szCs w:val="16"/>
        </w:rPr>
        <w:t xml:space="preserve"> </w:t>
      </w:r>
      <w:r w:rsidR="00A364BD" w:rsidRPr="00FA6DCF">
        <w:rPr>
          <w:color w:val="77328A"/>
          <w:sz w:val="16"/>
          <w:szCs w:val="16"/>
        </w:rPr>
        <w:t xml:space="preserve">E/1992/23, ‘UN ICESCR Committee </w:t>
      </w:r>
      <w:r w:rsidR="00C051DC" w:rsidRPr="00FA6DCF">
        <w:rPr>
          <w:color w:val="77328A"/>
          <w:sz w:val="16"/>
          <w:szCs w:val="16"/>
        </w:rPr>
        <w:t xml:space="preserve">General Comment No.4: The right to adequate housing (Article 11)’ </w:t>
      </w:r>
      <w:r w:rsidR="00FA6DCF">
        <w:rPr>
          <w:color w:val="77328A"/>
          <w:sz w:val="16"/>
          <w:szCs w:val="16"/>
        </w:rPr>
        <w:t xml:space="preserve">13 December 1991, </w:t>
      </w:r>
      <w:r w:rsidR="00C051DC" w:rsidRPr="00FA6DCF">
        <w:rPr>
          <w:color w:val="77328A"/>
          <w:sz w:val="16"/>
          <w:szCs w:val="16"/>
        </w:rPr>
        <w:t>a</w:t>
      </w:r>
      <w:r w:rsidRPr="00FA6DCF">
        <w:rPr>
          <w:color w:val="77328A"/>
          <w:sz w:val="16"/>
          <w:szCs w:val="16"/>
        </w:rPr>
        <w:t>t para 7.</w:t>
      </w:r>
    </w:p>
  </w:footnote>
  <w:footnote w:id="90">
    <w:p w14:paraId="5CC013B9" w14:textId="156712A2" w:rsidR="00D5689B" w:rsidRPr="00C26FCD" w:rsidRDefault="00D5689B">
      <w:pPr>
        <w:pStyle w:val="FootnoteText"/>
        <w:rPr>
          <w:color w:val="77328A"/>
          <w:sz w:val="16"/>
          <w:szCs w:val="16"/>
        </w:rPr>
      </w:pPr>
      <w:r w:rsidRPr="00C26FCD">
        <w:rPr>
          <w:rStyle w:val="FootnoteReference"/>
          <w:color w:val="77328A"/>
          <w:sz w:val="16"/>
          <w:szCs w:val="16"/>
        </w:rPr>
        <w:footnoteRef/>
      </w:r>
      <w:r w:rsidRPr="00C26FCD">
        <w:rPr>
          <w:color w:val="77328A"/>
          <w:sz w:val="16"/>
          <w:szCs w:val="16"/>
        </w:rPr>
        <w:t xml:space="preserve"> </w:t>
      </w:r>
      <w:r w:rsidR="00D30011" w:rsidRPr="00C26FCD">
        <w:rPr>
          <w:color w:val="77328A"/>
          <w:sz w:val="16"/>
          <w:szCs w:val="16"/>
        </w:rPr>
        <w:t>Ibid, a</w:t>
      </w:r>
      <w:r w:rsidRPr="00C26FCD">
        <w:rPr>
          <w:color w:val="77328A"/>
          <w:sz w:val="16"/>
          <w:szCs w:val="16"/>
        </w:rPr>
        <w:t>t para 11.</w:t>
      </w:r>
    </w:p>
  </w:footnote>
  <w:footnote w:id="91">
    <w:p w14:paraId="2A4FDC1A" w14:textId="77777777" w:rsidR="002A1636" w:rsidRPr="002E21DE" w:rsidRDefault="002A1636" w:rsidP="002A1636">
      <w:pPr>
        <w:pStyle w:val="FootnoteText"/>
        <w:rPr>
          <w:color w:val="77328A"/>
          <w:sz w:val="16"/>
          <w:szCs w:val="16"/>
        </w:rPr>
      </w:pPr>
      <w:r w:rsidRPr="002E21DE">
        <w:rPr>
          <w:rStyle w:val="FootnoteReference"/>
          <w:color w:val="77328A"/>
          <w:sz w:val="16"/>
          <w:szCs w:val="16"/>
        </w:rPr>
        <w:footnoteRef/>
      </w:r>
      <w:r w:rsidRPr="002E21DE">
        <w:rPr>
          <w:color w:val="77328A"/>
          <w:sz w:val="16"/>
          <w:szCs w:val="16"/>
        </w:rPr>
        <w:t xml:space="preserve"> </w:t>
      </w:r>
      <w:r w:rsidRPr="001706D0">
        <w:rPr>
          <w:color w:val="77328A"/>
          <w:sz w:val="16"/>
          <w:szCs w:val="16"/>
        </w:rPr>
        <w:t>(Bernard) v Enfield London Borough [2002] EWHC 2282, at paras 33-34.</w:t>
      </w:r>
    </w:p>
  </w:footnote>
  <w:footnote w:id="92">
    <w:p w14:paraId="54BB88BE" w14:textId="77777777" w:rsidR="002A1636" w:rsidRDefault="002A1636" w:rsidP="002A1636">
      <w:pPr>
        <w:pStyle w:val="FootnoteText"/>
      </w:pPr>
      <w:r w:rsidRPr="002E21DE">
        <w:rPr>
          <w:rStyle w:val="FootnoteReference"/>
          <w:color w:val="77328A"/>
          <w:sz w:val="16"/>
          <w:szCs w:val="16"/>
        </w:rPr>
        <w:footnoteRef/>
      </w:r>
      <w:r w:rsidRPr="002E21DE">
        <w:rPr>
          <w:color w:val="77328A"/>
          <w:sz w:val="16"/>
          <w:szCs w:val="16"/>
        </w:rPr>
        <w:t xml:space="preserve"> </w:t>
      </w:r>
      <w:proofErr w:type="spellStart"/>
      <w:r w:rsidRPr="002E21DE">
        <w:rPr>
          <w:color w:val="77328A"/>
          <w:sz w:val="16"/>
          <w:szCs w:val="16"/>
        </w:rPr>
        <w:t>Teteriny</w:t>
      </w:r>
      <w:proofErr w:type="spellEnd"/>
      <w:r w:rsidRPr="002E21DE">
        <w:rPr>
          <w:color w:val="77328A"/>
          <w:sz w:val="16"/>
          <w:szCs w:val="16"/>
        </w:rPr>
        <w:t xml:space="preserve"> v Russia, ECtHR, Appl. No 11931/03 (30 June 2005), para 51, see also, paras 45-47.</w:t>
      </w:r>
    </w:p>
  </w:footnote>
  <w:footnote w:id="93">
    <w:p w14:paraId="3F8BA9A0" w14:textId="4DF27B7C" w:rsidR="004C1024" w:rsidRPr="00524144" w:rsidRDefault="004C1024">
      <w:pPr>
        <w:pStyle w:val="FootnoteText"/>
        <w:rPr>
          <w:color w:val="77328A"/>
          <w:sz w:val="16"/>
          <w:szCs w:val="16"/>
        </w:rPr>
      </w:pPr>
      <w:r w:rsidRPr="00524144">
        <w:rPr>
          <w:rStyle w:val="FootnoteReference"/>
          <w:color w:val="77328A"/>
          <w:sz w:val="16"/>
          <w:szCs w:val="16"/>
        </w:rPr>
        <w:footnoteRef/>
      </w:r>
      <w:r w:rsidRPr="00524144">
        <w:rPr>
          <w:color w:val="77328A"/>
          <w:sz w:val="16"/>
          <w:szCs w:val="16"/>
        </w:rPr>
        <w:t xml:space="preserve"> </w:t>
      </w:r>
      <w:r w:rsidR="00A7778B" w:rsidRPr="00524144">
        <w:rPr>
          <w:color w:val="77328A"/>
          <w:sz w:val="16"/>
          <w:szCs w:val="16"/>
        </w:rPr>
        <w:t xml:space="preserve">E/C.12/GBR/CO/6, ‘ICESCR Committee Concluding Observations on the Sixth Periodic Review of the UK of Great Britain and NI’, 14 July 2016, at para </w:t>
      </w:r>
      <w:r w:rsidR="00524144" w:rsidRPr="00524144">
        <w:rPr>
          <w:color w:val="77328A"/>
          <w:sz w:val="16"/>
          <w:szCs w:val="16"/>
        </w:rPr>
        <w:t>50.</w:t>
      </w:r>
    </w:p>
  </w:footnote>
  <w:footnote w:id="94">
    <w:p w14:paraId="620DF4AA" w14:textId="657FB9DC" w:rsidR="009226FA" w:rsidRPr="00C158DA" w:rsidRDefault="009226FA">
      <w:pPr>
        <w:pStyle w:val="FootnoteText"/>
        <w:rPr>
          <w:sz w:val="16"/>
          <w:szCs w:val="16"/>
        </w:rPr>
      </w:pPr>
      <w:r w:rsidRPr="00C158DA">
        <w:rPr>
          <w:rStyle w:val="FootnoteReference"/>
          <w:color w:val="77328A"/>
          <w:sz w:val="16"/>
          <w:szCs w:val="16"/>
        </w:rPr>
        <w:footnoteRef/>
      </w:r>
      <w:r w:rsidRPr="00C158DA">
        <w:rPr>
          <w:color w:val="77328A"/>
          <w:sz w:val="16"/>
          <w:szCs w:val="16"/>
        </w:rPr>
        <w:t xml:space="preserve"> </w:t>
      </w:r>
      <w:r w:rsidR="00FB03DB" w:rsidRPr="00C158DA">
        <w:rPr>
          <w:color w:val="77328A"/>
          <w:sz w:val="16"/>
          <w:szCs w:val="16"/>
        </w:rPr>
        <w:t xml:space="preserve">CRPD/C/GBR/CO/1, ‘UN CRPD Committee Concluding Observations on the Initial Report of the UK of Great Britain and NI’, 3 October 2017, at paras 14, 17 and </w:t>
      </w:r>
      <w:r w:rsidR="00C158DA" w:rsidRPr="00C158DA">
        <w:rPr>
          <w:color w:val="77328A"/>
          <w:sz w:val="16"/>
          <w:szCs w:val="16"/>
        </w:rPr>
        <w:t>24.</w:t>
      </w:r>
    </w:p>
  </w:footnote>
  <w:footnote w:id="95">
    <w:p w14:paraId="37900C2A" w14:textId="5827AD1E" w:rsidR="00C26FCD" w:rsidRPr="00D9558C" w:rsidRDefault="00C26FCD">
      <w:pPr>
        <w:pStyle w:val="FootnoteText"/>
        <w:rPr>
          <w:color w:val="77328A"/>
          <w:sz w:val="16"/>
          <w:szCs w:val="16"/>
        </w:rPr>
      </w:pPr>
      <w:r w:rsidRPr="00D9558C">
        <w:rPr>
          <w:rStyle w:val="FootnoteReference"/>
          <w:color w:val="77328A"/>
          <w:sz w:val="16"/>
          <w:szCs w:val="16"/>
        </w:rPr>
        <w:footnoteRef/>
      </w:r>
      <w:r w:rsidRPr="00D9558C">
        <w:rPr>
          <w:color w:val="77328A"/>
          <w:sz w:val="16"/>
          <w:szCs w:val="16"/>
        </w:rPr>
        <w:t xml:space="preserve"> </w:t>
      </w:r>
      <w:r w:rsidR="00D9558C" w:rsidRPr="00D9558C">
        <w:rPr>
          <w:color w:val="77328A"/>
          <w:sz w:val="16"/>
          <w:szCs w:val="16"/>
        </w:rPr>
        <w:t>NI Statistics and Research Agency, ‘NI Housing Statistics 2021-22’ (DfC, 2022).</w:t>
      </w:r>
    </w:p>
  </w:footnote>
  <w:footnote w:id="96">
    <w:p w14:paraId="7B9E23BD" w14:textId="1893F8BE" w:rsidR="00C26FCD" w:rsidRDefault="00C26FCD">
      <w:pPr>
        <w:pStyle w:val="FootnoteText"/>
      </w:pPr>
      <w:r w:rsidRPr="00D9558C">
        <w:rPr>
          <w:rStyle w:val="FootnoteReference"/>
          <w:color w:val="77328A"/>
          <w:sz w:val="16"/>
          <w:szCs w:val="16"/>
        </w:rPr>
        <w:footnoteRef/>
      </w:r>
      <w:r w:rsidRPr="00D9558C">
        <w:rPr>
          <w:color w:val="77328A"/>
          <w:sz w:val="16"/>
          <w:szCs w:val="16"/>
        </w:rPr>
        <w:t xml:space="preserve"> </w:t>
      </w:r>
      <w:r w:rsidR="00D9558C" w:rsidRPr="00D9558C">
        <w:rPr>
          <w:color w:val="77328A"/>
          <w:sz w:val="16"/>
          <w:szCs w:val="16"/>
        </w:rPr>
        <w:t>Ibid.</w:t>
      </w:r>
    </w:p>
  </w:footnote>
  <w:footnote w:id="97">
    <w:p w14:paraId="7A1370F6" w14:textId="70A735F1" w:rsidR="00851949" w:rsidRPr="005B6E25" w:rsidRDefault="00851949">
      <w:pPr>
        <w:pStyle w:val="FootnoteText"/>
        <w:rPr>
          <w:color w:val="77328A"/>
          <w:sz w:val="16"/>
          <w:szCs w:val="16"/>
        </w:rPr>
      </w:pPr>
      <w:r w:rsidRPr="00C26FCD">
        <w:rPr>
          <w:rStyle w:val="FootnoteReference"/>
          <w:color w:val="77328A"/>
          <w:sz w:val="16"/>
          <w:szCs w:val="16"/>
        </w:rPr>
        <w:footnoteRef/>
      </w:r>
      <w:r w:rsidRPr="00C26FCD">
        <w:rPr>
          <w:color w:val="77328A"/>
          <w:sz w:val="16"/>
          <w:szCs w:val="16"/>
        </w:rPr>
        <w:t xml:space="preserve"> </w:t>
      </w:r>
      <w:r w:rsidR="00C26FCD" w:rsidRPr="00C26FCD">
        <w:rPr>
          <w:color w:val="77328A"/>
          <w:sz w:val="16"/>
          <w:szCs w:val="16"/>
        </w:rPr>
        <w:t>Department for Communities, ‘Expert Advisory Panel Report: Gender Equality Strategy’ (DfC, 2020) at 8.1.4; Department for Communities, ‘Expert Advisory Panel Report: LGBTQI+ Strategy’ (DfC, 2020) at 52.</w:t>
      </w:r>
    </w:p>
  </w:footnote>
  <w:footnote w:id="98">
    <w:p w14:paraId="6A5147B9" w14:textId="4ECA4813" w:rsidR="00BE1F68" w:rsidRPr="004C1024" w:rsidRDefault="00BE1F68">
      <w:pPr>
        <w:pStyle w:val="FootnoteText"/>
        <w:rPr>
          <w:sz w:val="16"/>
          <w:szCs w:val="16"/>
        </w:rPr>
      </w:pPr>
      <w:r w:rsidRPr="004C1024">
        <w:rPr>
          <w:rStyle w:val="FootnoteReference"/>
          <w:color w:val="77328A"/>
          <w:sz w:val="16"/>
          <w:szCs w:val="16"/>
        </w:rPr>
        <w:footnoteRef/>
      </w:r>
      <w:r w:rsidR="00E6726C">
        <w:rPr>
          <w:sz w:val="16"/>
          <w:szCs w:val="16"/>
        </w:rPr>
        <w:t xml:space="preserve"> </w:t>
      </w:r>
      <w:r w:rsidR="00E6726C" w:rsidRPr="00B63F9F">
        <w:rPr>
          <w:color w:val="77328A"/>
          <w:sz w:val="16"/>
          <w:szCs w:val="16"/>
        </w:rPr>
        <w:t>Department for Social Development, 'Facing the Future: The Housing Strategy for NI 2012-2017' (DSD, 2012)</w:t>
      </w:r>
      <w:r w:rsidR="002055C2">
        <w:rPr>
          <w:color w:val="77328A"/>
          <w:sz w:val="16"/>
          <w:szCs w:val="16"/>
        </w:rPr>
        <w:t xml:space="preserve">; </w:t>
      </w:r>
      <w:r w:rsidR="002055C2" w:rsidRPr="002055C2">
        <w:rPr>
          <w:color w:val="77328A"/>
          <w:sz w:val="16"/>
          <w:szCs w:val="16"/>
        </w:rPr>
        <w:t xml:space="preserve">NI Human Rights Commission, 'Submission to the </w:t>
      </w:r>
      <w:proofErr w:type="spellStart"/>
      <w:r w:rsidR="002055C2" w:rsidRPr="002055C2">
        <w:rPr>
          <w:color w:val="77328A"/>
          <w:sz w:val="16"/>
          <w:szCs w:val="16"/>
        </w:rPr>
        <w:t>CoE</w:t>
      </w:r>
      <w:proofErr w:type="spellEnd"/>
      <w:r w:rsidR="002055C2" w:rsidRPr="002055C2">
        <w:rPr>
          <w:color w:val="77328A"/>
          <w:sz w:val="16"/>
          <w:szCs w:val="16"/>
        </w:rPr>
        <w:t xml:space="preserve"> Advisory Committee on the Framework Convention for the Protection of National Minorities – Parallel Report to the </w:t>
      </w:r>
      <w:proofErr w:type="spellStart"/>
      <w:r w:rsidR="002055C2" w:rsidRPr="002055C2">
        <w:rPr>
          <w:color w:val="77328A"/>
          <w:sz w:val="16"/>
          <w:szCs w:val="16"/>
        </w:rPr>
        <w:t>CoE</w:t>
      </w:r>
      <w:proofErr w:type="spellEnd"/>
      <w:r w:rsidR="002055C2" w:rsidRPr="002055C2">
        <w:rPr>
          <w:color w:val="77328A"/>
          <w:sz w:val="16"/>
          <w:szCs w:val="16"/>
        </w:rPr>
        <w:t xml:space="preserve"> Advisory Committee on the Fifth Monitoring Report of the UK' (NIHRC, 2022), at para 5.37.</w:t>
      </w:r>
    </w:p>
  </w:footnote>
  <w:footnote w:id="99">
    <w:p w14:paraId="7D78C62F" w14:textId="5DDBBF1A" w:rsidR="00BE1F68" w:rsidRPr="00B63F9F" w:rsidRDefault="00BE1F68">
      <w:pPr>
        <w:pStyle w:val="FootnoteText"/>
        <w:rPr>
          <w:sz w:val="16"/>
          <w:szCs w:val="16"/>
        </w:rPr>
      </w:pPr>
      <w:r w:rsidRPr="00B63F9F">
        <w:rPr>
          <w:rStyle w:val="FootnoteReference"/>
          <w:color w:val="77328A"/>
          <w:sz w:val="16"/>
          <w:szCs w:val="16"/>
        </w:rPr>
        <w:footnoteRef/>
      </w:r>
      <w:r w:rsidRPr="00B63F9F">
        <w:rPr>
          <w:color w:val="77328A"/>
          <w:sz w:val="16"/>
          <w:szCs w:val="16"/>
        </w:rPr>
        <w:t xml:space="preserve"> </w:t>
      </w:r>
      <w:r w:rsidR="003D160D" w:rsidRPr="00B63F9F">
        <w:rPr>
          <w:color w:val="77328A"/>
          <w:sz w:val="16"/>
          <w:szCs w:val="16"/>
        </w:rPr>
        <w:t>In 2022, the NIHRC assisted several individuals who have not been awarded intimidation points, despite being victims of intimidation. Intimidation points are awarded to applicants whose home has been destroyed or seriously damaged or they are in serious and imminent risk of being killed or seriously injured as a result of a terrorist, racial or sectarian attack, or because of an attack motivated by hostility because of an individual’s disability or sexual orientation or result of an attack due to neighbourhood nuisance or other similar forms of anti-social behaviour. See NI Housing Executive, ‘Housing Selection Scheme Rules’ (NIHE, 2014), at Rule 23.</w:t>
      </w:r>
    </w:p>
  </w:footnote>
  <w:footnote w:id="100">
    <w:p w14:paraId="1621389D" w14:textId="64AD89C4" w:rsidR="00BE1F68" w:rsidRPr="001E7496" w:rsidRDefault="00BE1F68">
      <w:pPr>
        <w:pStyle w:val="FootnoteText"/>
        <w:rPr>
          <w:sz w:val="16"/>
          <w:szCs w:val="16"/>
        </w:rPr>
      </w:pPr>
      <w:r w:rsidRPr="001E7496">
        <w:rPr>
          <w:rStyle w:val="FootnoteReference"/>
          <w:color w:val="77328A"/>
          <w:sz w:val="16"/>
          <w:szCs w:val="16"/>
        </w:rPr>
        <w:footnoteRef/>
      </w:r>
      <w:r w:rsidRPr="001E7496">
        <w:rPr>
          <w:color w:val="77328A"/>
          <w:sz w:val="16"/>
          <w:szCs w:val="16"/>
        </w:rPr>
        <w:t xml:space="preserve"> </w:t>
      </w:r>
      <w:r w:rsidR="001E7496" w:rsidRPr="001E7496">
        <w:rPr>
          <w:color w:val="77328A"/>
          <w:sz w:val="16"/>
          <w:szCs w:val="16"/>
        </w:rPr>
        <w:t>NI Statistics and Research Agency, ‘NI Housing Statistics 2021-22’ (DfC, 2022).</w:t>
      </w:r>
    </w:p>
  </w:footnote>
  <w:footnote w:id="101">
    <w:p w14:paraId="0CA28949" w14:textId="1F7E6DFC" w:rsidR="00BE1F68" w:rsidRPr="00355D55" w:rsidRDefault="00BE1F68">
      <w:pPr>
        <w:pStyle w:val="FootnoteText"/>
        <w:rPr>
          <w:sz w:val="16"/>
          <w:szCs w:val="16"/>
        </w:rPr>
      </w:pPr>
      <w:r w:rsidRPr="00355D55">
        <w:rPr>
          <w:rStyle w:val="FootnoteReference"/>
          <w:color w:val="77328A"/>
          <w:sz w:val="16"/>
          <w:szCs w:val="16"/>
        </w:rPr>
        <w:footnoteRef/>
      </w:r>
      <w:r w:rsidRPr="00355D55">
        <w:rPr>
          <w:color w:val="77328A"/>
          <w:sz w:val="16"/>
          <w:szCs w:val="16"/>
        </w:rPr>
        <w:t xml:space="preserve"> </w:t>
      </w:r>
      <w:r w:rsidR="00BA331C" w:rsidRPr="00355D55">
        <w:rPr>
          <w:color w:val="77328A"/>
          <w:sz w:val="16"/>
          <w:szCs w:val="16"/>
        </w:rPr>
        <w:t>In 202</w:t>
      </w:r>
      <w:r w:rsidR="00CB14A7">
        <w:rPr>
          <w:color w:val="77328A"/>
          <w:sz w:val="16"/>
          <w:szCs w:val="16"/>
        </w:rPr>
        <w:t>1</w:t>
      </w:r>
      <w:r w:rsidR="00BA331C" w:rsidRPr="00355D55">
        <w:rPr>
          <w:color w:val="77328A"/>
          <w:sz w:val="16"/>
          <w:szCs w:val="16"/>
        </w:rPr>
        <w:t xml:space="preserve">, </w:t>
      </w:r>
      <w:r w:rsidR="00CB14A7">
        <w:rPr>
          <w:color w:val="77328A"/>
          <w:sz w:val="16"/>
          <w:szCs w:val="16"/>
        </w:rPr>
        <w:t>23</w:t>
      </w:r>
      <w:r w:rsidR="00BA331C" w:rsidRPr="00355D55">
        <w:rPr>
          <w:color w:val="77328A"/>
          <w:sz w:val="16"/>
          <w:szCs w:val="16"/>
        </w:rPr>
        <w:t xml:space="preserve"> people were estimated to be sleeping rough in NI, </w:t>
      </w:r>
      <w:r w:rsidR="00CB14A7">
        <w:rPr>
          <w:color w:val="77328A"/>
          <w:sz w:val="16"/>
          <w:szCs w:val="16"/>
        </w:rPr>
        <w:t xml:space="preserve">a 27 per cent increase </w:t>
      </w:r>
      <w:r w:rsidR="0078379F">
        <w:rPr>
          <w:color w:val="77328A"/>
          <w:sz w:val="16"/>
          <w:szCs w:val="16"/>
        </w:rPr>
        <w:t>from 18 in 2020</w:t>
      </w:r>
      <w:r w:rsidR="00BA331C" w:rsidRPr="00355D55">
        <w:rPr>
          <w:color w:val="77328A"/>
          <w:sz w:val="16"/>
          <w:szCs w:val="16"/>
        </w:rPr>
        <w:t>. See NI Housing Executive, '202</w:t>
      </w:r>
      <w:r w:rsidR="007455F4">
        <w:rPr>
          <w:color w:val="77328A"/>
          <w:sz w:val="16"/>
          <w:szCs w:val="16"/>
        </w:rPr>
        <w:t>1</w:t>
      </w:r>
      <w:r w:rsidR="00BA331C" w:rsidRPr="00355D55">
        <w:rPr>
          <w:color w:val="77328A"/>
          <w:sz w:val="16"/>
          <w:szCs w:val="16"/>
        </w:rPr>
        <w:t xml:space="preserve"> Rough Sleeping Count/Estimates' (NIHE, 202</w:t>
      </w:r>
      <w:r w:rsidR="007455F4">
        <w:rPr>
          <w:color w:val="77328A"/>
          <w:sz w:val="16"/>
          <w:szCs w:val="16"/>
        </w:rPr>
        <w:t>1</w:t>
      </w:r>
      <w:r w:rsidR="00BA331C" w:rsidRPr="00355D55">
        <w:rPr>
          <w:color w:val="77328A"/>
          <w:sz w:val="16"/>
          <w:szCs w:val="16"/>
        </w:rPr>
        <w:t xml:space="preserve">); Rory Carroll and Simon </w:t>
      </w:r>
      <w:proofErr w:type="spellStart"/>
      <w:r w:rsidR="00BA331C" w:rsidRPr="00355D55">
        <w:rPr>
          <w:color w:val="77328A"/>
          <w:sz w:val="16"/>
          <w:szCs w:val="16"/>
        </w:rPr>
        <w:t>Hattenstone</w:t>
      </w:r>
      <w:proofErr w:type="spellEnd"/>
      <w:r w:rsidR="00BA331C" w:rsidRPr="00355D55">
        <w:rPr>
          <w:color w:val="77328A"/>
          <w:sz w:val="16"/>
          <w:szCs w:val="16"/>
        </w:rPr>
        <w:t>, ‘Protest march called in Belfast after the deaths of 14 homeless people’, The Guardian, 22 July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53CDE"/>
    <w:multiLevelType w:val="multilevel"/>
    <w:tmpl w:val="14EE32D4"/>
    <w:lvl w:ilvl="0">
      <w:start w:val="2"/>
      <w:numFmt w:val="decimal"/>
      <w:lvlText w:val="%1"/>
      <w:lvlJc w:val="left"/>
      <w:pPr>
        <w:ind w:left="390" w:hanging="390"/>
      </w:pPr>
      <w:rPr>
        <w:rFonts w:hint="default"/>
      </w:rPr>
    </w:lvl>
    <w:lvl w:ilvl="1">
      <w:start w:val="1"/>
      <w:numFmt w:val="decimal"/>
      <w:lvlText w:val="%1.%2"/>
      <w:lvlJc w:val="left"/>
      <w:pPr>
        <w:ind w:left="862" w:hanging="720"/>
      </w:pPr>
      <w:rPr>
        <w:rFonts w:hint="default"/>
        <w:sz w:val="24"/>
        <w:szCs w:val="24"/>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11773DD5"/>
    <w:multiLevelType w:val="hybridMultilevel"/>
    <w:tmpl w:val="92FAE4A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13D74158"/>
    <w:multiLevelType w:val="hybridMultilevel"/>
    <w:tmpl w:val="378A0B96"/>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hint="default"/>
      </w:rPr>
    </w:lvl>
    <w:lvl w:ilvl="3" w:tplc="08090001">
      <w:start w:val="1"/>
      <w:numFmt w:val="bullet"/>
      <w:lvlText w:val=""/>
      <w:lvlJc w:val="left"/>
      <w:pPr>
        <w:ind w:left="3654" w:hanging="360"/>
      </w:pPr>
      <w:rPr>
        <w:rFonts w:ascii="Symbol" w:hAnsi="Symbol" w:hint="default"/>
      </w:rPr>
    </w:lvl>
    <w:lvl w:ilvl="4" w:tplc="08090003">
      <w:start w:val="1"/>
      <w:numFmt w:val="bullet"/>
      <w:lvlText w:val="o"/>
      <w:lvlJc w:val="left"/>
      <w:pPr>
        <w:ind w:left="4374" w:hanging="360"/>
      </w:pPr>
      <w:rPr>
        <w:rFonts w:ascii="Courier New" w:hAnsi="Courier New" w:cs="Courier New" w:hint="default"/>
      </w:rPr>
    </w:lvl>
    <w:lvl w:ilvl="5" w:tplc="08090005">
      <w:start w:val="1"/>
      <w:numFmt w:val="bullet"/>
      <w:lvlText w:val=""/>
      <w:lvlJc w:val="left"/>
      <w:pPr>
        <w:ind w:left="5094" w:hanging="360"/>
      </w:pPr>
      <w:rPr>
        <w:rFonts w:ascii="Wingdings" w:hAnsi="Wingdings" w:hint="default"/>
      </w:rPr>
    </w:lvl>
    <w:lvl w:ilvl="6" w:tplc="08090001">
      <w:start w:val="1"/>
      <w:numFmt w:val="bullet"/>
      <w:lvlText w:val=""/>
      <w:lvlJc w:val="left"/>
      <w:pPr>
        <w:ind w:left="5814" w:hanging="360"/>
      </w:pPr>
      <w:rPr>
        <w:rFonts w:ascii="Symbol" w:hAnsi="Symbol" w:hint="default"/>
      </w:rPr>
    </w:lvl>
    <w:lvl w:ilvl="7" w:tplc="08090003">
      <w:start w:val="1"/>
      <w:numFmt w:val="bullet"/>
      <w:lvlText w:val="o"/>
      <w:lvlJc w:val="left"/>
      <w:pPr>
        <w:ind w:left="6534" w:hanging="360"/>
      </w:pPr>
      <w:rPr>
        <w:rFonts w:ascii="Courier New" w:hAnsi="Courier New" w:cs="Courier New" w:hint="default"/>
      </w:rPr>
    </w:lvl>
    <w:lvl w:ilvl="8" w:tplc="08090005">
      <w:start w:val="1"/>
      <w:numFmt w:val="bullet"/>
      <w:lvlText w:val=""/>
      <w:lvlJc w:val="left"/>
      <w:pPr>
        <w:ind w:left="7254" w:hanging="360"/>
      </w:pPr>
      <w:rPr>
        <w:rFonts w:ascii="Wingdings" w:hAnsi="Wingdings" w:hint="default"/>
      </w:rPr>
    </w:lvl>
  </w:abstractNum>
  <w:abstractNum w:abstractNumId="3" w15:restartNumberingAfterBreak="0">
    <w:nsid w:val="1CB63033"/>
    <w:multiLevelType w:val="hybridMultilevel"/>
    <w:tmpl w:val="C5C0CC7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21F31948"/>
    <w:multiLevelType w:val="multilevel"/>
    <w:tmpl w:val="14EE32D4"/>
    <w:lvl w:ilvl="0">
      <w:start w:val="2"/>
      <w:numFmt w:val="decimal"/>
      <w:lvlText w:val="%1"/>
      <w:lvlJc w:val="left"/>
      <w:pPr>
        <w:ind w:left="390" w:hanging="390"/>
      </w:pPr>
      <w:rPr>
        <w:rFonts w:hint="default"/>
      </w:rPr>
    </w:lvl>
    <w:lvl w:ilvl="1">
      <w:start w:val="1"/>
      <w:numFmt w:val="decimal"/>
      <w:lvlText w:val="%1.%2"/>
      <w:lvlJc w:val="left"/>
      <w:pPr>
        <w:ind w:left="862" w:hanging="720"/>
      </w:pPr>
      <w:rPr>
        <w:rFonts w:hint="default"/>
        <w:sz w:val="24"/>
        <w:szCs w:val="24"/>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2A234CF6"/>
    <w:multiLevelType w:val="multilevel"/>
    <w:tmpl w:val="14EE32D4"/>
    <w:lvl w:ilvl="0">
      <w:start w:val="2"/>
      <w:numFmt w:val="decimal"/>
      <w:lvlText w:val="%1"/>
      <w:lvlJc w:val="left"/>
      <w:pPr>
        <w:ind w:left="390" w:hanging="390"/>
      </w:pPr>
      <w:rPr>
        <w:rFonts w:hint="default"/>
      </w:rPr>
    </w:lvl>
    <w:lvl w:ilvl="1">
      <w:start w:val="1"/>
      <w:numFmt w:val="decimal"/>
      <w:lvlText w:val="%1.%2"/>
      <w:lvlJc w:val="left"/>
      <w:pPr>
        <w:ind w:left="862" w:hanging="720"/>
      </w:pPr>
      <w:rPr>
        <w:rFonts w:hint="default"/>
        <w:sz w:val="24"/>
        <w:szCs w:val="24"/>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2F300451"/>
    <w:multiLevelType w:val="multilevel"/>
    <w:tmpl w:val="9496BE52"/>
    <w:lvl w:ilvl="0">
      <w:start w:val="4"/>
      <w:numFmt w:val="decimal"/>
      <w:lvlText w:val="%1"/>
      <w:lvlJc w:val="left"/>
      <w:pPr>
        <w:ind w:left="390" w:hanging="390"/>
      </w:pPr>
      <w:rPr>
        <w:rFonts w:hint="default"/>
      </w:rPr>
    </w:lvl>
    <w:lvl w:ilvl="1">
      <w:start w:val="1"/>
      <w:numFmt w:val="decimal"/>
      <w:lvlText w:val="%1.%2"/>
      <w:lvlJc w:val="left"/>
      <w:pPr>
        <w:ind w:left="862" w:hanging="720"/>
      </w:pPr>
      <w:rPr>
        <w:rFonts w:hint="default"/>
        <w:sz w:val="24"/>
        <w:szCs w:val="24"/>
      </w:rPr>
    </w:lvl>
    <w:lvl w:ilvl="2">
      <w:start w:val="1"/>
      <w:numFmt w:val="decimal"/>
      <w:lvlText w:val="%1.%2.%3"/>
      <w:lvlJc w:val="left"/>
      <w:pPr>
        <w:ind w:left="1364" w:hanging="108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3012" w:hanging="2160"/>
      </w:pPr>
      <w:rPr>
        <w:rFonts w:hint="default"/>
      </w:rPr>
    </w:lvl>
    <w:lvl w:ilvl="7">
      <w:start w:val="1"/>
      <w:numFmt w:val="decimal"/>
      <w:lvlText w:val="%1.%2.%3.%4.%5.%6.%7.%8"/>
      <w:lvlJc w:val="left"/>
      <w:pPr>
        <w:ind w:left="3514" w:hanging="2520"/>
      </w:pPr>
      <w:rPr>
        <w:rFonts w:hint="default"/>
      </w:rPr>
    </w:lvl>
    <w:lvl w:ilvl="8">
      <w:start w:val="1"/>
      <w:numFmt w:val="decimal"/>
      <w:lvlText w:val="%1.%2.%3.%4.%5.%6.%7.%8.%9"/>
      <w:lvlJc w:val="left"/>
      <w:pPr>
        <w:ind w:left="3656" w:hanging="2520"/>
      </w:pPr>
      <w:rPr>
        <w:rFonts w:hint="default"/>
      </w:rPr>
    </w:lvl>
  </w:abstractNum>
  <w:abstractNum w:abstractNumId="7" w15:restartNumberingAfterBreak="0">
    <w:nsid w:val="2F883B08"/>
    <w:multiLevelType w:val="multilevel"/>
    <w:tmpl w:val="E38857BC"/>
    <w:lvl w:ilvl="0">
      <w:start w:val="3"/>
      <w:numFmt w:val="decimal"/>
      <w:lvlText w:val="%1"/>
      <w:lvlJc w:val="left"/>
      <w:pPr>
        <w:ind w:left="390" w:hanging="390"/>
      </w:pPr>
      <w:rPr>
        <w:rFonts w:hint="default"/>
      </w:rPr>
    </w:lvl>
    <w:lvl w:ilvl="1">
      <w:start w:val="1"/>
      <w:numFmt w:val="decimal"/>
      <w:lvlText w:val="%1.%2"/>
      <w:lvlJc w:val="left"/>
      <w:pPr>
        <w:ind w:left="862" w:hanging="720"/>
      </w:pPr>
      <w:rPr>
        <w:rFonts w:hint="default"/>
        <w:sz w:val="24"/>
        <w:szCs w:val="24"/>
      </w:rPr>
    </w:lvl>
    <w:lvl w:ilvl="2">
      <w:start w:val="1"/>
      <w:numFmt w:val="decimal"/>
      <w:lvlText w:val="%1.%2.%3"/>
      <w:lvlJc w:val="left"/>
      <w:pPr>
        <w:ind w:left="1364" w:hanging="108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3012" w:hanging="2160"/>
      </w:pPr>
      <w:rPr>
        <w:rFonts w:hint="default"/>
      </w:rPr>
    </w:lvl>
    <w:lvl w:ilvl="7">
      <w:start w:val="1"/>
      <w:numFmt w:val="decimal"/>
      <w:lvlText w:val="%1.%2.%3.%4.%5.%6.%7.%8"/>
      <w:lvlJc w:val="left"/>
      <w:pPr>
        <w:ind w:left="3514" w:hanging="2520"/>
      </w:pPr>
      <w:rPr>
        <w:rFonts w:hint="default"/>
      </w:rPr>
    </w:lvl>
    <w:lvl w:ilvl="8">
      <w:start w:val="1"/>
      <w:numFmt w:val="decimal"/>
      <w:lvlText w:val="%1.%2.%3.%4.%5.%6.%7.%8.%9"/>
      <w:lvlJc w:val="left"/>
      <w:pPr>
        <w:ind w:left="3656" w:hanging="2520"/>
      </w:pPr>
      <w:rPr>
        <w:rFonts w:hint="default"/>
      </w:rPr>
    </w:lvl>
  </w:abstractNum>
  <w:abstractNum w:abstractNumId="8" w15:restartNumberingAfterBreak="0">
    <w:nsid w:val="30CA695D"/>
    <w:multiLevelType w:val="multilevel"/>
    <w:tmpl w:val="7688A9AE"/>
    <w:lvl w:ilvl="0">
      <w:start w:val="1"/>
      <w:numFmt w:val="decimal"/>
      <w:lvlText w:val="%1."/>
      <w:lvlJc w:val="left"/>
      <w:pPr>
        <w:ind w:left="360" w:hanging="360"/>
      </w:pPr>
      <w:rPr>
        <w:b w:val="0"/>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5874925"/>
    <w:multiLevelType w:val="multilevel"/>
    <w:tmpl w:val="A7E0C80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10" w15:restartNumberingAfterBreak="0">
    <w:nsid w:val="44942184"/>
    <w:multiLevelType w:val="multilevel"/>
    <w:tmpl w:val="E38857BC"/>
    <w:lvl w:ilvl="0">
      <w:start w:val="3"/>
      <w:numFmt w:val="decimal"/>
      <w:lvlText w:val="%1"/>
      <w:lvlJc w:val="left"/>
      <w:pPr>
        <w:ind w:left="390" w:hanging="390"/>
      </w:pPr>
      <w:rPr>
        <w:rFonts w:hint="default"/>
      </w:rPr>
    </w:lvl>
    <w:lvl w:ilvl="1">
      <w:start w:val="1"/>
      <w:numFmt w:val="decimal"/>
      <w:lvlText w:val="%1.%2"/>
      <w:lvlJc w:val="left"/>
      <w:pPr>
        <w:ind w:left="862" w:hanging="720"/>
      </w:pPr>
      <w:rPr>
        <w:rFonts w:hint="default"/>
        <w:sz w:val="24"/>
        <w:szCs w:val="24"/>
      </w:rPr>
    </w:lvl>
    <w:lvl w:ilvl="2">
      <w:start w:val="1"/>
      <w:numFmt w:val="decimal"/>
      <w:lvlText w:val="%1.%2.%3"/>
      <w:lvlJc w:val="left"/>
      <w:pPr>
        <w:ind w:left="1364" w:hanging="108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3012" w:hanging="2160"/>
      </w:pPr>
      <w:rPr>
        <w:rFonts w:hint="default"/>
      </w:rPr>
    </w:lvl>
    <w:lvl w:ilvl="7">
      <w:start w:val="1"/>
      <w:numFmt w:val="decimal"/>
      <w:lvlText w:val="%1.%2.%3.%4.%5.%6.%7.%8"/>
      <w:lvlJc w:val="left"/>
      <w:pPr>
        <w:ind w:left="3514" w:hanging="2520"/>
      </w:pPr>
      <w:rPr>
        <w:rFonts w:hint="default"/>
      </w:rPr>
    </w:lvl>
    <w:lvl w:ilvl="8">
      <w:start w:val="1"/>
      <w:numFmt w:val="decimal"/>
      <w:lvlText w:val="%1.%2.%3.%4.%5.%6.%7.%8.%9"/>
      <w:lvlJc w:val="left"/>
      <w:pPr>
        <w:ind w:left="3656" w:hanging="2520"/>
      </w:pPr>
      <w:rPr>
        <w:rFonts w:hint="default"/>
      </w:rPr>
    </w:lvl>
  </w:abstractNum>
  <w:abstractNum w:abstractNumId="11" w15:restartNumberingAfterBreak="0">
    <w:nsid w:val="48EF2D91"/>
    <w:multiLevelType w:val="hybridMultilevel"/>
    <w:tmpl w:val="C338F40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63E2278B"/>
    <w:multiLevelType w:val="hybridMultilevel"/>
    <w:tmpl w:val="57327D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D4103C"/>
    <w:multiLevelType w:val="hybridMultilevel"/>
    <w:tmpl w:val="0A583D72"/>
    <w:lvl w:ilvl="0" w:tplc="C040119C">
      <w:start w:val="1"/>
      <w:numFmt w:val="decimal"/>
      <w:pStyle w:val="Heading1"/>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A16699"/>
    <w:multiLevelType w:val="multilevel"/>
    <w:tmpl w:val="9496BE52"/>
    <w:lvl w:ilvl="0">
      <w:start w:val="4"/>
      <w:numFmt w:val="decimal"/>
      <w:lvlText w:val="%1"/>
      <w:lvlJc w:val="left"/>
      <w:pPr>
        <w:ind w:left="390" w:hanging="390"/>
      </w:pPr>
      <w:rPr>
        <w:rFonts w:hint="default"/>
      </w:rPr>
    </w:lvl>
    <w:lvl w:ilvl="1">
      <w:start w:val="1"/>
      <w:numFmt w:val="decimal"/>
      <w:lvlText w:val="%1.%2"/>
      <w:lvlJc w:val="left"/>
      <w:pPr>
        <w:ind w:left="862" w:hanging="720"/>
      </w:pPr>
      <w:rPr>
        <w:rFonts w:hint="default"/>
        <w:sz w:val="24"/>
        <w:szCs w:val="24"/>
      </w:rPr>
    </w:lvl>
    <w:lvl w:ilvl="2">
      <w:start w:val="1"/>
      <w:numFmt w:val="decimal"/>
      <w:lvlText w:val="%1.%2.%3"/>
      <w:lvlJc w:val="left"/>
      <w:pPr>
        <w:ind w:left="1364" w:hanging="108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3012" w:hanging="2160"/>
      </w:pPr>
      <w:rPr>
        <w:rFonts w:hint="default"/>
      </w:rPr>
    </w:lvl>
    <w:lvl w:ilvl="7">
      <w:start w:val="1"/>
      <w:numFmt w:val="decimal"/>
      <w:lvlText w:val="%1.%2.%3.%4.%5.%6.%7.%8"/>
      <w:lvlJc w:val="left"/>
      <w:pPr>
        <w:ind w:left="3514" w:hanging="2520"/>
      </w:pPr>
      <w:rPr>
        <w:rFonts w:hint="default"/>
      </w:rPr>
    </w:lvl>
    <w:lvl w:ilvl="8">
      <w:start w:val="1"/>
      <w:numFmt w:val="decimal"/>
      <w:lvlText w:val="%1.%2.%3.%4.%5.%6.%7.%8.%9"/>
      <w:lvlJc w:val="left"/>
      <w:pPr>
        <w:ind w:left="3656" w:hanging="2520"/>
      </w:pPr>
      <w:rPr>
        <w:rFonts w:hint="default"/>
      </w:rPr>
    </w:lvl>
  </w:abstractNum>
  <w:abstractNum w:abstractNumId="15" w15:restartNumberingAfterBreak="0">
    <w:nsid w:val="7D087176"/>
    <w:multiLevelType w:val="multilevel"/>
    <w:tmpl w:val="FBEADF94"/>
    <w:lvl w:ilvl="0">
      <w:start w:val="3"/>
      <w:numFmt w:val="decimal"/>
      <w:lvlText w:val="%1"/>
      <w:lvlJc w:val="left"/>
      <w:pPr>
        <w:ind w:left="390" w:hanging="390"/>
      </w:pPr>
      <w:rPr>
        <w:rFonts w:cs="Segoe UI" w:hint="default"/>
      </w:rPr>
    </w:lvl>
    <w:lvl w:ilvl="1">
      <w:start w:val="1"/>
      <w:numFmt w:val="decimal"/>
      <w:lvlText w:val="%1.%2"/>
      <w:lvlJc w:val="left"/>
      <w:pPr>
        <w:ind w:left="862" w:hanging="720"/>
      </w:pPr>
      <w:rPr>
        <w:rFonts w:cs="Segoe UI" w:hint="default"/>
      </w:rPr>
    </w:lvl>
    <w:lvl w:ilvl="2">
      <w:start w:val="1"/>
      <w:numFmt w:val="decimal"/>
      <w:lvlText w:val="%1.%2.%3"/>
      <w:lvlJc w:val="left"/>
      <w:pPr>
        <w:ind w:left="1364" w:hanging="1080"/>
      </w:pPr>
      <w:rPr>
        <w:rFonts w:cs="Segoe UI" w:hint="default"/>
      </w:rPr>
    </w:lvl>
    <w:lvl w:ilvl="3">
      <w:start w:val="1"/>
      <w:numFmt w:val="decimal"/>
      <w:lvlText w:val="%1.%2.%3.%4"/>
      <w:lvlJc w:val="left"/>
      <w:pPr>
        <w:ind w:left="1506" w:hanging="1080"/>
      </w:pPr>
      <w:rPr>
        <w:rFonts w:cs="Segoe UI" w:hint="default"/>
      </w:rPr>
    </w:lvl>
    <w:lvl w:ilvl="4">
      <w:start w:val="1"/>
      <w:numFmt w:val="decimal"/>
      <w:lvlText w:val="%1.%2.%3.%4.%5"/>
      <w:lvlJc w:val="left"/>
      <w:pPr>
        <w:ind w:left="2008" w:hanging="1440"/>
      </w:pPr>
      <w:rPr>
        <w:rFonts w:cs="Segoe UI" w:hint="default"/>
      </w:rPr>
    </w:lvl>
    <w:lvl w:ilvl="5">
      <w:start w:val="1"/>
      <w:numFmt w:val="decimal"/>
      <w:lvlText w:val="%1.%2.%3.%4.%5.%6"/>
      <w:lvlJc w:val="left"/>
      <w:pPr>
        <w:ind w:left="2510" w:hanging="1800"/>
      </w:pPr>
      <w:rPr>
        <w:rFonts w:cs="Segoe UI" w:hint="default"/>
      </w:rPr>
    </w:lvl>
    <w:lvl w:ilvl="6">
      <w:start w:val="1"/>
      <w:numFmt w:val="decimal"/>
      <w:lvlText w:val="%1.%2.%3.%4.%5.%6.%7"/>
      <w:lvlJc w:val="left"/>
      <w:pPr>
        <w:ind w:left="3012" w:hanging="2160"/>
      </w:pPr>
      <w:rPr>
        <w:rFonts w:cs="Segoe UI" w:hint="default"/>
      </w:rPr>
    </w:lvl>
    <w:lvl w:ilvl="7">
      <w:start w:val="1"/>
      <w:numFmt w:val="decimal"/>
      <w:lvlText w:val="%1.%2.%3.%4.%5.%6.%7.%8"/>
      <w:lvlJc w:val="left"/>
      <w:pPr>
        <w:ind w:left="3514" w:hanging="2520"/>
      </w:pPr>
      <w:rPr>
        <w:rFonts w:cs="Segoe UI" w:hint="default"/>
      </w:rPr>
    </w:lvl>
    <w:lvl w:ilvl="8">
      <w:start w:val="1"/>
      <w:numFmt w:val="decimal"/>
      <w:lvlText w:val="%1.%2.%3.%4.%5.%6.%7.%8.%9"/>
      <w:lvlJc w:val="left"/>
      <w:pPr>
        <w:ind w:left="3656" w:hanging="2520"/>
      </w:pPr>
      <w:rPr>
        <w:rFonts w:cs="Segoe UI" w:hint="default"/>
      </w:rPr>
    </w:lvl>
  </w:abstractNum>
  <w:abstractNum w:abstractNumId="16" w15:restartNumberingAfterBreak="0">
    <w:nsid w:val="7D9507FC"/>
    <w:multiLevelType w:val="multilevel"/>
    <w:tmpl w:val="E3AE3DE2"/>
    <w:lvl w:ilvl="0">
      <w:start w:val="4"/>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483" w:hanging="2520"/>
      </w:pPr>
      <w:rPr>
        <w:rFonts w:hint="default"/>
      </w:rPr>
    </w:lvl>
    <w:lvl w:ilvl="8">
      <w:start w:val="1"/>
      <w:numFmt w:val="decimal"/>
      <w:lvlText w:val="%1.%2.%3.%4.%5.%6.%7.%8.%9"/>
      <w:lvlJc w:val="left"/>
      <w:pPr>
        <w:ind w:left="8192" w:hanging="2520"/>
      </w:pPr>
      <w:rPr>
        <w:rFonts w:hint="default"/>
      </w:rPr>
    </w:lvl>
  </w:abstractNum>
  <w:num w:numId="1" w16cid:durableId="928150813">
    <w:abstractNumId w:val="8"/>
  </w:num>
  <w:num w:numId="2" w16cid:durableId="994794871">
    <w:abstractNumId w:val="13"/>
  </w:num>
  <w:num w:numId="3" w16cid:durableId="2006663848">
    <w:abstractNumId w:val="5"/>
  </w:num>
  <w:num w:numId="4" w16cid:durableId="1544099014">
    <w:abstractNumId w:val="2"/>
  </w:num>
  <w:num w:numId="5" w16cid:durableId="1027684725">
    <w:abstractNumId w:val="10"/>
  </w:num>
  <w:num w:numId="6" w16cid:durableId="1117019533">
    <w:abstractNumId w:val="16"/>
  </w:num>
  <w:num w:numId="7" w16cid:durableId="198009042">
    <w:abstractNumId w:val="4"/>
  </w:num>
  <w:num w:numId="8" w16cid:durableId="1429697101">
    <w:abstractNumId w:val="11"/>
  </w:num>
  <w:num w:numId="9" w16cid:durableId="251594605">
    <w:abstractNumId w:val="3"/>
  </w:num>
  <w:num w:numId="10" w16cid:durableId="1657681993">
    <w:abstractNumId w:val="1"/>
  </w:num>
  <w:num w:numId="11" w16cid:durableId="1388726258">
    <w:abstractNumId w:val="0"/>
  </w:num>
  <w:num w:numId="12" w16cid:durableId="1891766160">
    <w:abstractNumId w:val="7"/>
  </w:num>
  <w:num w:numId="13" w16cid:durableId="51124877">
    <w:abstractNumId w:val="9"/>
  </w:num>
  <w:num w:numId="14" w16cid:durableId="1437823235">
    <w:abstractNumId w:val="15"/>
  </w:num>
  <w:num w:numId="15" w16cid:durableId="2008290634">
    <w:abstractNumId w:val="6"/>
  </w:num>
  <w:num w:numId="16" w16cid:durableId="1211266146">
    <w:abstractNumId w:val="14"/>
  </w:num>
  <w:num w:numId="17" w16cid:durableId="1197737372">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formatting="1"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532"/>
    <w:rsid w:val="000005D2"/>
    <w:rsid w:val="000007D7"/>
    <w:rsid w:val="00000FC3"/>
    <w:rsid w:val="00001030"/>
    <w:rsid w:val="00002B39"/>
    <w:rsid w:val="00006DCC"/>
    <w:rsid w:val="00007B9E"/>
    <w:rsid w:val="00007C12"/>
    <w:rsid w:val="00007CB7"/>
    <w:rsid w:val="00007F03"/>
    <w:rsid w:val="0001030B"/>
    <w:rsid w:val="00010442"/>
    <w:rsid w:val="000111BC"/>
    <w:rsid w:val="00011CAD"/>
    <w:rsid w:val="000128F9"/>
    <w:rsid w:val="000131F5"/>
    <w:rsid w:val="00013E91"/>
    <w:rsid w:val="00014943"/>
    <w:rsid w:val="00015958"/>
    <w:rsid w:val="00016584"/>
    <w:rsid w:val="00017487"/>
    <w:rsid w:val="0001778E"/>
    <w:rsid w:val="00017DC5"/>
    <w:rsid w:val="00017FE8"/>
    <w:rsid w:val="000200C8"/>
    <w:rsid w:val="0002057C"/>
    <w:rsid w:val="000209EC"/>
    <w:rsid w:val="00021324"/>
    <w:rsid w:val="00021991"/>
    <w:rsid w:val="00021A14"/>
    <w:rsid w:val="00021F54"/>
    <w:rsid w:val="000221F2"/>
    <w:rsid w:val="000225E9"/>
    <w:rsid w:val="000228EE"/>
    <w:rsid w:val="00022E70"/>
    <w:rsid w:val="00023A9E"/>
    <w:rsid w:val="0002402B"/>
    <w:rsid w:val="00024525"/>
    <w:rsid w:val="0002494C"/>
    <w:rsid w:val="00024E7E"/>
    <w:rsid w:val="00025E95"/>
    <w:rsid w:val="000266E3"/>
    <w:rsid w:val="00032599"/>
    <w:rsid w:val="00032D42"/>
    <w:rsid w:val="00032EFF"/>
    <w:rsid w:val="000334AE"/>
    <w:rsid w:val="0003431E"/>
    <w:rsid w:val="00034A5A"/>
    <w:rsid w:val="00034AB6"/>
    <w:rsid w:val="00035AA5"/>
    <w:rsid w:val="00035B19"/>
    <w:rsid w:val="000361A8"/>
    <w:rsid w:val="00036AF8"/>
    <w:rsid w:val="00036EB9"/>
    <w:rsid w:val="0003775F"/>
    <w:rsid w:val="00037A83"/>
    <w:rsid w:val="00042E31"/>
    <w:rsid w:val="00043EC3"/>
    <w:rsid w:val="00044289"/>
    <w:rsid w:val="00045089"/>
    <w:rsid w:val="00046268"/>
    <w:rsid w:val="00046705"/>
    <w:rsid w:val="000500E7"/>
    <w:rsid w:val="00050101"/>
    <w:rsid w:val="00050311"/>
    <w:rsid w:val="0005156D"/>
    <w:rsid w:val="0005287B"/>
    <w:rsid w:val="00052F02"/>
    <w:rsid w:val="000532E4"/>
    <w:rsid w:val="0005379E"/>
    <w:rsid w:val="00054060"/>
    <w:rsid w:val="000547EE"/>
    <w:rsid w:val="000571D1"/>
    <w:rsid w:val="000600DF"/>
    <w:rsid w:val="000615A5"/>
    <w:rsid w:val="00065C05"/>
    <w:rsid w:val="00067044"/>
    <w:rsid w:val="00067CAB"/>
    <w:rsid w:val="00070363"/>
    <w:rsid w:val="0007084A"/>
    <w:rsid w:val="0007090C"/>
    <w:rsid w:val="00070917"/>
    <w:rsid w:val="000727C3"/>
    <w:rsid w:val="00072937"/>
    <w:rsid w:val="00072B03"/>
    <w:rsid w:val="00072BA3"/>
    <w:rsid w:val="00072D34"/>
    <w:rsid w:val="00073AD6"/>
    <w:rsid w:val="00073B9B"/>
    <w:rsid w:val="00076346"/>
    <w:rsid w:val="00077A60"/>
    <w:rsid w:val="00077CE1"/>
    <w:rsid w:val="0008009B"/>
    <w:rsid w:val="000829F1"/>
    <w:rsid w:val="000833FA"/>
    <w:rsid w:val="000834CA"/>
    <w:rsid w:val="00083B16"/>
    <w:rsid w:val="00084B32"/>
    <w:rsid w:val="00084DAB"/>
    <w:rsid w:val="00084F88"/>
    <w:rsid w:val="00085925"/>
    <w:rsid w:val="000868D6"/>
    <w:rsid w:val="000877B9"/>
    <w:rsid w:val="00091B5F"/>
    <w:rsid w:val="000927C1"/>
    <w:rsid w:val="00092851"/>
    <w:rsid w:val="00093C47"/>
    <w:rsid w:val="00094DD4"/>
    <w:rsid w:val="00096CB7"/>
    <w:rsid w:val="000970CD"/>
    <w:rsid w:val="0009752A"/>
    <w:rsid w:val="000A1D40"/>
    <w:rsid w:val="000A1F90"/>
    <w:rsid w:val="000A237E"/>
    <w:rsid w:val="000A2D9D"/>
    <w:rsid w:val="000A35B9"/>
    <w:rsid w:val="000A36B2"/>
    <w:rsid w:val="000A4470"/>
    <w:rsid w:val="000A46E7"/>
    <w:rsid w:val="000A4D61"/>
    <w:rsid w:val="000A57B1"/>
    <w:rsid w:val="000A642C"/>
    <w:rsid w:val="000A7257"/>
    <w:rsid w:val="000A73CC"/>
    <w:rsid w:val="000A748B"/>
    <w:rsid w:val="000B141D"/>
    <w:rsid w:val="000B1767"/>
    <w:rsid w:val="000B1A60"/>
    <w:rsid w:val="000B2AF3"/>
    <w:rsid w:val="000B2EE6"/>
    <w:rsid w:val="000B3EC5"/>
    <w:rsid w:val="000B3ECF"/>
    <w:rsid w:val="000B4BF3"/>
    <w:rsid w:val="000B4D45"/>
    <w:rsid w:val="000B5485"/>
    <w:rsid w:val="000B56A7"/>
    <w:rsid w:val="000B59EF"/>
    <w:rsid w:val="000B5A86"/>
    <w:rsid w:val="000B6E34"/>
    <w:rsid w:val="000B7E33"/>
    <w:rsid w:val="000B7EAB"/>
    <w:rsid w:val="000C0C1B"/>
    <w:rsid w:val="000C1162"/>
    <w:rsid w:val="000C1ED8"/>
    <w:rsid w:val="000C247D"/>
    <w:rsid w:val="000C358E"/>
    <w:rsid w:val="000C4773"/>
    <w:rsid w:val="000C5402"/>
    <w:rsid w:val="000C5AE4"/>
    <w:rsid w:val="000C75DD"/>
    <w:rsid w:val="000C789E"/>
    <w:rsid w:val="000D01A1"/>
    <w:rsid w:val="000D0446"/>
    <w:rsid w:val="000D0713"/>
    <w:rsid w:val="000D124B"/>
    <w:rsid w:val="000D12F6"/>
    <w:rsid w:val="000D1AE7"/>
    <w:rsid w:val="000D35F2"/>
    <w:rsid w:val="000D50B4"/>
    <w:rsid w:val="000D5A9C"/>
    <w:rsid w:val="000D657D"/>
    <w:rsid w:val="000D6AAF"/>
    <w:rsid w:val="000E04E7"/>
    <w:rsid w:val="000E0A41"/>
    <w:rsid w:val="000E1E15"/>
    <w:rsid w:val="000E1F61"/>
    <w:rsid w:val="000E253F"/>
    <w:rsid w:val="000E47EB"/>
    <w:rsid w:val="000E47F5"/>
    <w:rsid w:val="000E52D2"/>
    <w:rsid w:val="000E73CF"/>
    <w:rsid w:val="000E7B22"/>
    <w:rsid w:val="000E7F0C"/>
    <w:rsid w:val="000F03A3"/>
    <w:rsid w:val="000F0773"/>
    <w:rsid w:val="000F0ADF"/>
    <w:rsid w:val="000F0BF4"/>
    <w:rsid w:val="000F1075"/>
    <w:rsid w:val="000F1AF9"/>
    <w:rsid w:val="000F27FC"/>
    <w:rsid w:val="000F31EC"/>
    <w:rsid w:val="000F34BE"/>
    <w:rsid w:val="000F356B"/>
    <w:rsid w:val="000F437A"/>
    <w:rsid w:val="000F4F04"/>
    <w:rsid w:val="000F50C3"/>
    <w:rsid w:val="000F60E5"/>
    <w:rsid w:val="000F63FC"/>
    <w:rsid w:val="000F76A4"/>
    <w:rsid w:val="00100397"/>
    <w:rsid w:val="00101E23"/>
    <w:rsid w:val="001020D5"/>
    <w:rsid w:val="00102820"/>
    <w:rsid w:val="00102BC5"/>
    <w:rsid w:val="00102DC8"/>
    <w:rsid w:val="001041B6"/>
    <w:rsid w:val="00104365"/>
    <w:rsid w:val="0010496A"/>
    <w:rsid w:val="00105905"/>
    <w:rsid w:val="00105FCA"/>
    <w:rsid w:val="00107921"/>
    <w:rsid w:val="00107ECB"/>
    <w:rsid w:val="0011099B"/>
    <w:rsid w:val="00110E6F"/>
    <w:rsid w:val="00110FBD"/>
    <w:rsid w:val="00111511"/>
    <w:rsid w:val="00111F07"/>
    <w:rsid w:val="00114388"/>
    <w:rsid w:val="001149E9"/>
    <w:rsid w:val="00115A22"/>
    <w:rsid w:val="00115A2A"/>
    <w:rsid w:val="001168BE"/>
    <w:rsid w:val="00116AD2"/>
    <w:rsid w:val="00117C04"/>
    <w:rsid w:val="00121F34"/>
    <w:rsid w:val="00123195"/>
    <w:rsid w:val="00123288"/>
    <w:rsid w:val="00124FAD"/>
    <w:rsid w:val="001257DB"/>
    <w:rsid w:val="001269BE"/>
    <w:rsid w:val="0012792F"/>
    <w:rsid w:val="00127C6B"/>
    <w:rsid w:val="00130A40"/>
    <w:rsid w:val="00130D84"/>
    <w:rsid w:val="00131B85"/>
    <w:rsid w:val="0013248C"/>
    <w:rsid w:val="0013264B"/>
    <w:rsid w:val="001343A2"/>
    <w:rsid w:val="00134C66"/>
    <w:rsid w:val="00134D33"/>
    <w:rsid w:val="00134EEE"/>
    <w:rsid w:val="00134F8B"/>
    <w:rsid w:val="00135CB8"/>
    <w:rsid w:val="00135D27"/>
    <w:rsid w:val="00135D9C"/>
    <w:rsid w:val="00135FC4"/>
    <w:rsid w:val="001370DD"/>
    <w:rsid w:val="001379DF"/>
    <w:rsid w:val="00137A3D"/>
    <w:rsid w:val="00137C29"/>
    <w:rsid w:val="00137F0B"/>
    <w:rsid w:val="00140BF8"/>
    <w:rsid w:val="00140CDE"/>
    <w:rsid w:val="00141993"/>
    <w:rsid w:val="0014210F"/>
    <w:rsid w:val="001431A0"/>
    <w:rsid w:val="00144C10"/>
    <w:rsid w:val="00145336"/>
    <w:rsid w:val="001455C3"/>
    <w:rsid w:val="001460B8"/>
    <w:rsid w:val="001469EA"/>
    <w:rsid w:val="00146EA0"/>
    <w:rsid w:val="00147C9B"/>
    <w:rsid w:val="0015089C"/>
    <w:rsid w:val="00150F15"/>
    <w:rsid w:val="00151510"/>
    <w:rsid w:val="001526C1"/>
    <w:rsid w:val="00153404"/>
    <w:rsid w:val="0015352F"/>
    <w:rsid w:val="00154546"/>
    <w:rsid w:val="001545F0"/>
    <w:rsid w:val="00155C92"/>
    <w:rsid w:val="00156188"/>
    <w:rsid w:val="00156658"/>
    <w:rsid w:val="00156A9F"/>
    <w:rsid w:val="0015774D"/>
    <w:rsid w:val="00157CF3"/>
    <w:rsid w:val="001621B1"/>
    <w:rsid w:val="001628D4"/>
    <w:rsid w:val="0016312C"/>
    <w:rsid w:val="00163136"/>
    <w:rsid w:val="001632EB"/>
    <w:rsid w:val="00164582"/>
    <w:rsid w:val="00164877"/>
    <w:rsid w:val="001649BC"/>
    <w:rsid w:val="00164A36"/>
    <w:rsid w:val="00164D63"/>
    <w:rsid w:val="00165569"/>
    <w:rsid w:val="00165C84"/>
    <w:rsid w:val="00165FF5"/>
    <w:rsid w:val="00166CEC"/>
    <w:rsid w:val="00167189"/>
    <w:rsid w:val="001674E5"/>
    <w:rsid w:val="00167621"/>
    <w:rsid w:val="001706D0"/>
    <w:rsid w:val="00170773"/>
    <w:rsid w:val="00170C58"/>
    <w:rsid w:val="00171603"/>
    <w:rsid w:val="00172566"/>
    <w:rsid w:val="00172839"/>
    <w:rsid w:val="001736C5"/>
    <w:rsid w:val="001742EB"/>
    <w:rsid w:val="001753B1"/>
    <w:rsid w:val="00176068"/>
    <w:rsid w:val="0017705C"/>
    <w:rsid w:val="00177CEA"/>
    <w:rsid w:val="0018076C"/>
    <w:rsid w:val="001808BD"/>
    <w:rsid w:val="0018091C"/>
    <w:rsid w:val="00180EBF"/>
    <w:rsid w:val="00182398"/>
    <w:rsid w:val="00182970"/>
    <w:rsid w:val="001829DE"/>
    <w:rsid w:val="0018395C"/>
    <w:rsid w:val="00183C9B"/>
    <w:rsid w:val="00183E50"/>
    <w:rsid w:val="0018435F"/>
    <w:rsid w:val="00184901"/>
    <w:rsid w:val="00185C01"/>
    <w:rsid w:val="0018785A"/>
    <w:rsid w:val="0019048C"/>
    <w:rsid w:val="00191464"/>
    <w:rsid w:val="0019203F"/>
    <w:rsid w:val="001920B4"/>
    <w:rsid w:val="00194E76"/>
    <w:rsid w:val="001951C7"/>
    <w:rsid w:val="001954E9"/>
    <w:rsid w:val="00197CF5"/>
    <w:rsid w:val="00197E70"/>
    <w:rsid w:val="001A0F81"/>
    <w:rsid w:val="001A18F4"/>
    <w:rsid w:val="001A1BA1"/>
    <w:rsid w:val="001A2F18"/>
    <w:rsid w:val="001A3E83"/>
    <w:rsid w:val="001A408C"/>
    <w:rsid w:val="001A6FBF"/>
    <w:rsid w:val="001A771D"/>
    <w:rsid w:val="001A78DE"/>
    <w:rsid w:val="001A7F85"/>
    <w:rsid w:val="001B02F4"/>
    <w:rsid w:val="001B0447"/>
    <w:rsid w:val="001B0613"/>
    <w:rsid w:val="001B219F"/>
    <w:rsid w:val="001B26BB"/>
    <w:rsid w:val="001B2DE5"/>
    <w:rsid w:val="001B33ED"/>
    <w:rsid w:val="001B39AA"/>
    <w:rsid w:val="001B3FFC"/>
    <w:rsid w:val="001B4DA8"/>
    <w:rsid w:val="001B5857"/>
    <w:rsid w:val="001B69F8"/>
    <w:rsid w:val="001B6A87"/>
    <w:rsid w:val="001C07A6"/>
    <w:rsid w:val="001C0DED"/>
    <w:rsid w:val="001C172A"/>
    <w:rsid w:val="001C1D62"/>
    <w:rsid w:val="001C1FC4"/>
    <w:rsid w:val="001C3F6E"/>
    <w:rsid w:val="001C473F"/>
    <w:rsid w:val="001C4ED5"/>
    <w:rsid w:val="001C67AE"/>
    <w:rsid w:val="001C7736"/>
    <w:rsid w:val="001C77A0"/>
    <w:rsid w:val="001C7DE6"/>
    <w:rsid w:val="001D2203"/>
    <w:rsid w:val="001D260D"/>
    <w:rsid w:val="001D3010"/>
    <w:rsid w:val="001D36F0"/>
    <w:rsid w:val="001D47AB"/>
    <w:rsid w:val="001D4D3C"/>
    <w:rsid w:val="001D4F1B"/>
    <w:rsid w:val="001D5772"/>
    <w:rsid w:val="001D5897"/>
    <w:rsid w:val="001D5E51"/>
    <w:rsid w:val="001D633E"/>
    <w:rsid w:val="001D7677"/>
    <w:rsid w:val="001E142C"/>
    <w:rsid w:val="001E14C3"/>
    <w:rsid w:val="001E1CDF"/>
    <w:rsid w:val="001E22BF"/>
    <w:rsid w:val="001E4583"/>
    <w:rsid w:val="001E4DF6"/>
    <w:rsid w:val="001E6EEC"/>
    <w:rsid w:val="001E7496"/>
    <w:rsid w:val="001E79A9"/>
    <w:rsid w:val="001F0B7B"/>
    <w:rsid w:val="001F1DD7"/>
    <w:rsid w:val="001F21F9"/>
    <w:rsid w:val="001F278C"/>
    <w:rsid w:val="001F28C6"/>
    <w:rsid w:val="001F3317"/>
    <w:rsid w:val="001F3588"/>
    <w:rsid w:val="001F3A80"/>
    <w:rsid w:val="001F3F65"/>
    <w:rsid w:val="001F3FF7"/>
    <w:rsid w:val="001F4607"/>
    <w:rsid w:val="001F4A1C"/>
    <w:rsid w:val="001F4F78"/>
    <w:rsid w:val="001F4FDF"/>
    <w:rsid w:val="001F53FA"/>
    <w:rsid w:val="001F79F1"/>
    <w:rsid w:val="0020011C"/>
    <w:rsid w:val="0020013A"/>
    <w:rsid w:val="002008D9"/>
    <w:rsid w:val="00201C1D"/>
    <w:rsid w:val="0020275F"/>
    <w:rsid w:val="00202959"/>
    <w:rsid w:val="00202EB9"/>
    <w:rsid w:val="00202F0C"/>
    <w:rsid w:val="00204934"/>
    <w:rsid w:val="00205250"/>
    <w:rsid w:val="002055C2"/>
    <w:rsid w:val="002066D6"/>
    <w:rsid w:val="002067C1"/>
    <w:rsid w:val="00206B12"/>
    <w:rsid w:val="00207590"/>
    <w:rsid w:val="002102FF"/>
    <w:rsid w:val="00210FA0"/>
    <w:rsid w:val="002115E6"/>
    <w:rsid w:val="00211BA3"/>
    <w:rsid w:val="00212387"/>
    <w:rsid w:val="00213B8A"/>
    <w:rsid w:val="00213BE2"/>
    <w:rsid w:val="00214A43"/>
    <w:rsid w:val="00215674"/>
    <w:rsid w:val="00215D8E"/>
    <w:rsid w:val="00216DAA"/>
    <w:rsid w:val="002175C2"/>
    <w:rsid w:val="0021778F"/>
    <w:rsid w:val="00217928"/>
    <w:rsid w:val="00217DF4"/>
    <w:rsid w:val="00220DD9"/>
    <w:rsid w:val="00220E1A"/>
    <w:rsid w:val="00222C35"/>
    <w:rsid w:val="00222EAA"/>
    <w:rsid w:val="002232AC"/>
    <w:rsid w:val="0022411E"/>
    <w:rsid w:val="00224140"/>
    <w:rsid w:val="00224457"/>
    <w:rsid w:val="00226835"/>
    <w:rsid w:val="00226A06"/>
    <w:rsid w:val="00230284"/>
    <w:rsid w:val="00230D63"/>
    <w:rsid w:val="0023105C"/>
    <w:rsid w:val="00231191"/>
    <w:rsid w:val="002311AE"/>
    <w:rsid w:val="0023266A"/>
    <w:rsid w:val="00233BB8"/>
    <w:rsid w:val="002351CB"/>
    <w:rsid w:val="0023665C"/>
    <w:rsid w:val="0024053C"/>
    <w:rsid w:val="0024077E"/>
    <w:rsid w:val="00240BDA"/>
    <w:rsid w:val="00241C8C"/>
    <w:rsid w:val="002428EC"/>
    <w:rsid w:val="0024299E"/>
    <w:rsid w:val="00242A63"/>
    <w:rsid w:val="00243104"/>
    <w:rsid w:val="00245151"/>
    <w:rsid w:val="00246290"/>
    <w:rsid w:val="00246887"/>
    <w:rsid w:val="00247329"/>
    <w:rsid w:val="00247332"/>
    <w:rsid w:val="00247FA3"/>
    <w:rsid w:val="002522CB"/>
    <w:rsid w:val="002526C4"/>
    <w:rsid w:val="00253043"/>
    <w:rsid w:val="0025329E"/>
    <w:rsid w:val="0025338C"/>
    <w:rsid w:val="002539C4"/>
    <w:rsid w:val="00253BC0"/>
    <w:rsid w:val="00254E28"/>
    <w:rsid w:val="0025532B"/>
    <w:rsid w:val="002553DF"/>
    <w:rsid w:val="00255CFD"/>
    <w:rsid w:val="00255D90"/>
    <w:rsid w:val="0025670D"/>
    <w:rsid w:val="00256BA5"/>
    <w:rsid w:val="002576FB"/>
    <w:rsid w:val="00257A89"/>
    <w:rsid w:val="00260AB3"/>
    <w:rsid w:val="002619E2"/>
    <w:rsid w:val="00261D62"/>
    <w:rsid w:val="00262125"/>
    <w:rsid w:val="0026443A"/>
    <w:rsid w:val="002647F6"/>
    <w:rsid w:val="00264E2E"/>
    <w:rsid w:val="00265332"/>
    <w:rsid w:val="002657D0"/>
    <w:rsid w:val="00270083"/>
    <w:rsid w:val="00270C69"/>
    <w:rsid w:val="0027140E"/>
    <w:rsid w:val="00271C6E"/>
    <w:rsid w:val="00271DD7"/>
    <w:rsid w:val="00272ADE"/>
    <w:rsid w:val="00272C6A"/>
    <w:rsid w:val="00274769"/>
    <w:rsid w:val="00274A32"/>
    <w:rsid w:val="00275628"/>
    <w:rsid w:val="0027584C"/>
    <w:rsid w:val="00276FEF"/>
    <w:rsid w:val="00277031"/>
    <w:rsid w:val="00280A0B"/>
    <w:rsid w:val="00281757"/>
    <w:rsid w:val="00281D39"/>
    <w:rsid w:val="00282E9F"/>
    <w:rsid w:val="00283A29"/>
    <w:rsid w:val="00285B70"/>
    <w:rsid w:val="0028604F"/>
    <w:rsid w:val="00286395"/>
    <w:rsid w:val="002869B8"/>
    <w:rsid w:val="00286D5B"/>
    <w:rsid w:val="0028772F"/>
    <w:rsid w:val="00287E9B"/>
    <w:rsid w:val="00290E41"/>
    <w:rsid w:val="002914A3"/>
    <w:rsid w:val="0029166D"/>
    <w:rsid w:val="00291AAE"/>
    <w:rsid w:val="002923EC"/>
    <w:rsid w:val="00292C1E"/>
    <w:rsid w:val="002933F8"/>
    <w:rsid w:val="00293705"/>
    <w:rsid w:val="00293EB8"/>
    <w:rsid w:val="00293EFD"/>
    <w:rsid w:val="002945BA"/>
    <w:rsid w:val="0029580D"/>
    <w:rsid w:val="00295E2D"/>
    <w:rsid w:val="00296038"/>
    <w:rsid w:val="00296101"/>
    <w:rsid w:val="00296820"/>
    <w:rsid w:val="00297408"/>
    <w:rsid w:val="00297D04"/>
    <w:rsid w:val="002A0066"/>
    <w:rsid w:val="002A14D7"/>
    <w:rsid w:val="002A1636"/>
    <w:rsid w:val="002A2EBF"/>
    <w:rsid w:val="002A356E"/>
    <w:rsid w:val="002A3931"/>
    <w:rsid w:val="002A3A66"/>
    <w:rsid w:val="002A551A"/>
    <w:rsid w:val="002A65D8"/>
    <w:rsid w:val="002A7007"/>
    <w:rsid w:val="002A7042"/>
    <w:rsid w:val="002A725B"/>
    <w:rsid w:val="002A7876"/>
    <w:rsid w:val="002B0908"/>
    <w:rsid w:val="002B0CC7"/>
    <w:rsid w:val="002B0CD9"/>
    <w:rsid w:val="002B1272"/>
    <w:rsid w:val="002B1F57"/>
    <w:rsid w:val="002B2486"/>
    <w:rsid w:val="002B49EE"/>
    <w:rsid w:val="002B54AA"/>
    <w:rsid w:val="002B57E2"/>
    <w:rsid w:val="002B6655"/>
    <w:rsid w:val="002B741B"/>
    <w:rsid w:val="002B772A"/>
    <w:rsid w:val="002B7BB3"/>
    <w:rsid w:val="002B7C91"/>
    <w:rsid w:val="002C03E4"/>
    <w:rsid w:val="002C0891"/>
    <w:rsid w:val="002C0BC2"/>
    <w:rsid w:val="002C22F4"/>
    <w:rsid w:val="002C27C6"/>
    <w:rsid w:val="002C2D3D"/>
    <w:rsid w:val="002C2EF9"/>
    <w:rsid w:val="002C31AB"/>
    <w:rsid w:val="002C347E"/>
    <w:rsid w:val="002C6081"/>
    <w:rsid w:val="002C69D1"/>
    <w:rsid w:val="002C6A06"/>
    <w:rsid w:val="002C7322"/>
    <w:rsid w:val="002C7C1F"/>
    <w:rsid w:val="002D0663"/>
    <w:rsid w:val="002D25A0"/>
    <w:rsid w:val="002D32C1"/>
    <w:rsid w:val="002D4487"/>
    <w:rsid w:val="002D4A57"/>
    <w:rsid w:val="002D4A76"/>
    <w:rsid w:val="002D5BC5"/>
    <w:rsid w:val="002D6CC4"/>
    <w:rsid w:val="002D7257"/>
    <w:rsid w:val="002E177B"/>
    <w:rsid w:val="002E18DF"/>
    <w:rsid w:val="002E1DD0"/>
    <w:rsid w:val="002E21DE"/>
    <w:rsid w:val="002E3B35"/>
    <w:rsid w:val="002E3FDC"/>
    <w:rsid w:val="002E44F1"/>
    <w:rsid w:val="002E5332"/>
    <w:rsid w:val="002E57EA"/>
    <w:rsid w:val="002E6448"/>
    <w:rsid w:val="002E64A4"/>
    <w:rsid w:val="002E694A"/>
    <w:rsid w:val="002E7FD2"/>
    <w:rsid w:val="002F0058"/>
    <w:rsid w:val="002F0F5D"/>
    <w:rsid w:val="002F10A0"/>
    <w:rsid w:val="002F151C"/>
    <w:rsid w:val="002F19A8"/>
    <w:rsid w:val="002F2C04"/>
    <w:rsid w:val="002F371F"/>
    <w:rsid w:val="002F39B5"/>
    <w:rsid w:val="002F4288"/>
    <w:rsid w:val="002F4FC6"/>
    <w:rsid w:val="002F63C0"/>
    <w:rsid w:val="002F65B7"/>
    <w:rsid w:val="002F6BF9"/>
    <w:rsid w:val="002F75BE"/>
    <w:rsid w:val="0030051C"/>
    <w:rsid w:val="003006E2"/>
    <w:rsid w:val="00300C13"/>
    <w:rsid w:val="00302241"/>
    <w:rsid w:val="003031BA"/>
    <w:rsid w:val="00303B0B"/>
    <w:rsid w:val="00303EF1"/>
    <w:rsid w:val="003040ED"/>
    <w:rsid w:val="00304BDF"/>
    <w:rsid w:val="00304FFC"/>
    <w:rsid w:val="00305226"/>
    <w:rsid w:val="00305E89"/>
    <w:rsid w:val="00306317"/>
    <w:rsid w:val="00306616"/>
    <w:rsid w:val="00307562"/>
    <w:rsid w:val="0030760B"/>
    <w:rsid w:val="0030762B"/>
    <w:rsid w:val="00307DBB"/>
    <w:rsid w:val="003103F4"/>
    <w:rsid w:val="0031044A"/>
    <w:rsid w:val="00310D2C"/>
    <w:rsid w:val="0031118C"/>
    <w:rsid w:val="003126B6"/>
    <w:rsid w:val="00312A4F"/>
    <w:rsid w:val="00312B82"/>
    <w:rsid w:val="00312E80"/>
    <w:rsid w:val="00313014"/>
    <w:rsid w:val="003133A3"/>
    <w:rsid w:val="00314862"/>
    <w:rsid w:val="00315D29"/>
    <w:rsid w:val="00315F04"/>
    <w:rsid w:val="00316537"/>
    <w:rsid w:val="00316669"/>
    <w:rsid w:val="00316F37"/>
    <w:rsid w:val="00320CF2"/>
    <w:rsid w:val="00321794"/>
    <w:rsid w:val="003231B7"/>
    <w:rsid w:val="0032783D"/>
    <w:rsid w:val="003310AE"/>
    <w:rsid w:val="00331C61"/>
    <w:rsid w:val="00332162"/>
    <w:rsid w:val="00332300"/>
    <w:rsid w:val="003346FC"/>
    <w:rsid w:val="00334F7E"/>
    <w:rsid w:val="00335126"/>
    <w:rsid w:val="0033530F"/>
    <w:rsid w:val="003356AD"/>
    <w:rsid w:val="00336688"/>
    <w:rsid w:val="00336987"/>
    <w:rsid w:val="00337096"/>
    <w:rsid w:val="003371A5"/>
    <w:rsid w:val="003400D7"/>
    <w:rsid w:val="003410F9"/>
    <w:rsid w:val="00341BFE"/>
    <w:rsid w:val="0034263E"/>
    <w:rsid w:val="00342724"/>
    <w:rsid w:val="00344776"/>
    <w:rsid w:val="00346528"/>
    <w:rsid w:val="00347B3F"/>
    <w:rsid w:val="00350442"/>
    <w:rsid w:val="00350DC2"/>
    <w:rsid w:val="003518DC"/>
    <w:rsid w:val="00351CC9"/>
    <w:rsid w:val="00353C49"/>
    <w:rsid w:val="00354517"/>
    <w:rsid w:val="00355717"/>
    <w:rsid w:val="00355C71"/>
    <w:rsid w:val="00355D55"/>
    <w:rsid w:val="00355F59"/>
    <w:rsid w:val="003560E5"/>
    <w:rsid w:val="00356EC8"/>
    <w:rsid w:val="00357122"/>
    <w:rsid w:val="00360DF5"/>
    <w:rsid w:val="00361564"/>
    <w:rsid w:val="003617DA"/>
    <w:rsid w:val="003625FC"/>
    <w:rsid w:val="0036413D"/>
    <w:rsid w:val="00365E71"/>
    <w:rsid w:val="003661DD"/>
    <w:rsid w:val="0036662F"/>
    <w:rsid w:val="00367CCA"/>
    <w:rsid w:val="00367D13"/>
    <w:rsid w:val="0037075F"/>
    <w:rsid w:val="00370B7C"/>
    <w:rsid w:val="003743CD"/>
    <w:rsid w:val="0037465D"/>
    <w:rsid w:val="00374C48"/>
    <w:rsid w:val="00376661"/>
    <w:rsid w:val="00377EFC"/>
    <w:rsid w:val="00380831"/>
    <w:rsid w:val="00381C90"/>
    <w:rsid w:val="00385069"/>
    <w:rsid w:val="00385465"/>
    <w:rsid w:val="003857E1"/>
    <w:rsid w:val="00385E6C"/>
    <w:rsid w:val="00386792"/>
    <w:rsid w:val="00386B7E"/>
    <w:rsid w:val="00386CD1"/>
    <w:rsid w:val="00386FAD"/>
    <w:rsid w:val="00387222"/>
    <w:rsid w:val="0038782A"/>
    <w:rsid w:val="00390B9F"/>
    <w:rsid w:val="00390CE0"/>
    <w:rsid w:val="00390DC3"/>
    <w:rsid w:val="0039115B"/>
    <w:rsid w:val="00392246"/>
    <w:rsid w:val="0039226B"/>
    <w:rsid w:val="003926F4"/>
    <w:rsid w:val="00392943"/>
    <w:rsid w:val="003949DE"/>
    <w:rsid w:val="00394F35"/>
    <w:rsid w:val="00397E67"/>
    <w:rsid w:val="003A022A"/>
    <w:rsid w:val="003A0242"/>
    <w:rsid w:val="003A09DC"/>
    <w:rsid w:val="003A1FFC"/>
    <w:rsid w:val="003A202B"/>
    <w:rsid w:val="003A2CB5"/>
    <w:rsid w:val="003A585D"/>
    <w:rsid w:val="003A6337"/>
    <w:rsid w:val="003A7148"/>
    <w:rsid w:val="003A75AA"/>
    <w:rsid w:val="003B0D50"/>
    <w:rsid w:val="003B104B"/>
    <w:rsid w:val="003B1A53"/>
    <w:rsid w:val="003B3D6E"/>
    <w:rsid w:val="003B5497"/>
    <w:rsid w:val="003B5DB2"/>
    <w:rsid w:val="003B67C8"/>
    <w:rsid w:val="003B6995"/>
    <w:rsid w:val="003B7D0E"/>
    <w:rsid w:val="003C012E"/>
    <w:rsid w:val="003C0A77"/>
    <w:rsid w:val="003C1300"/>
    <w:rsid w:val="003C1DE4"/>
    <w:rsid w:val="003C243D"/>
    <w:rsid w:val="003C256B"/>
    <w:rsid w:val="003C3C63"/>
    <w:rsid w:val="003C4233"/>
    <w:rsid w:val="003C4DFA"/>
    <w:rsid w:val="003C5287"/>
    <w:rsid w:val="003C5A97"/>
    <w:rsid w:val="003C5AC9"/>
    <w:rsid w:val="003C628D"/>
    <w:rsid w:val="003C6B34"/>
    <w:rsid w:val="003C77BD"/>
    <w:rsid w:val="003D09D2"/>
    <w:rsid w:val="003D0A78"/>
    <w:rsid w:val="003D0C81"/>
    <w:rsid w:val="003D10DA"/>
    <w:rsid w:val="003D160D"/>
    <w:rsid w:val="003D2455"/>
    <w:rsid w:val="003D250F"/>
    <w:rsid w:val="003D2BA1"/>
    <w:rsid w:val="003D31E1"/>
    <w:rsid w:val="003D4281"/>
    <w:rsid w:val="003D4720"/>
    <w:rsid w:val="003D47D9"/>
    <w:rsid w:val="003D5690"/>
    <w:rsid w:val="003D62FF"/>
    <w:rsid w:val="003D655A"/>
    <w:rsid w:val="003D7662"/>
    <w:rsid w:val="003D7C53"/>
    <w:rsid w:val="003D7C58"/>
    <w:rsid w:val="003E00E7"/>
    <w:rsid w:val="003E133B"/>
    <w:rsid w:val="003E16D2"/>
    <w:rsid w:val="003E2874"/>
    <w:rsid w:val="003E4A42"/>
    <w:rsid w:val="003E52CE"/>
    <w:rsid w:val="003E55D1"/>
    <w:rsid w:val="003E6712"/>
    <w:rsid w:val="003F06DB"/>
    <w:rsid w:val="003F1649"/>
    <w:rsid w:val="003F299E"/>
    <w:rsid w:val="003F33DE"/>
    <w:rsid w:val="003F371F"/>
    <w:rsid w:val="003F4041"/>
    <w:rsid w:val="003F4531"/>
    <w:rsid w:val="003F4810"/>
    <w:rsid w:val="003F4949"/>
    <w:rsid w:val="003F5001"/>
    <w:rsid w:val="003F613D"/>
    <w:rsid w:val="003F64AA"/>
    <w:rsid w:val="00400988"/>
    <w:rsid w:val="0040122D"/>
    <w:rsid w:val="004017B8"/>
    <w:rsid w:val="00401B84"/>
    <w:rsid w:val="00401F86"/>
    <w:rsid w:val="004027D5"/>
    <w:rsid w:val="00402A58"/>
    <w:rsid w:val="00403EFB"/>
    <w:rsid w:val="00405124"/>
    <w:rsid w:val="00406C20"/>
    <w:rsid w:val="00406DF6"/>
    <w:rsid w:val="00407013"/>
    <w:rsid w:val="00407527"/>
    <w:rsid w:val="00407648"/>
    <w:rsid w:val="00407716"/>
    <w:rsid w:val="00407FC9"/>
    <w:rsid w:val="0041061C"/>
    <w:rsid w:val="00411C46"/>
    <w:rsid w:val="00411CD2"/>
    <w:rsid w:val="00412AF3"/>
    <w:rsid w:val="00413A47"/>
    <w:rsid w:val="004148E6"/>
    <w:rsid w:val="0041542B"/>
    <w:rsid w:val="00417211"/>
    <w:rsid w:val="004174AA"/>
    <w:rsid w:val="00417C90"/>
    <w:rsid w:val="00420D75"/>
    <w:rsid w:val="0042291D"/>
    <w:rsid w:val="00422CCC"/>
    <w:rsid w:val="00422E94"/>
    <w:rsid w:val="00423790"/>
    <w:rsid w:val="00424186"/>
    <w:rsid w:val="004245E9"/>
    <w:rsid w:val="004252EA"/>
    <w:rsid w:val="004259BA"/>
    <w:rsid w:val="004277E4"/>
    <w:rsid w:val="00427EF7"/>
    <w:rsid w:val="004307D3"/>
    <w:rsid w:val="00430DED"/>
    <w:rsid w:val="00431C83"/>
    <w:rsid w:val="00432690"/>
    <w:rsid w:val="00432AF4"/>
    <w:rsid w:val="004337BA"/>
    <w:rsid w:val="00435936"/>
    <w:rsid w:val="00436004"/>
    <w:rsid w:val="00437D95"/>
    <w:rsid w:val="00440041"/>
    <w:rsid w:val="00440D50"/>
    <w:rsid w:val="00441AE6"/>
    <w:rsid w:val="00441B51"/>
    <w:rsid w:val="00442812"/>
    <w:rsid w:val="004437E8"/>
    <w:rsid w:val="004439CC"/>
    <w:rsid w:val="00444791"/>
    <w:rsid w:val="004448C0"/>
    <w:rsid w:val="00444F74"/>
    <w:rsid w:val="00445097"/>
    <w:rsid w:val="004458EA"/>
    <w:rsid w:val="0044625A"/>
    <w:rsid w:val="004462C3"/>
    <w:rsid w:val="004469A2"/>
    <w:rsid w:val="00446AC2"/>
    <w:rsid w:val="00446C70"/>
    <w:rsid w:val="00447C9F"/>
    <w:rsid w:val="0045082A"/>
    <w:rsid w:val="00450ACD"/>
    <w:rsid w:val="00450F6E"/>
    <w:rsid w:val="004515D0"/>
    <w:rsid w:val="00451CC0"/>
    <w:rsid w:val="0045252A"/>
    <w:rsid w:val="00453E51"/>
    <w:rsid w:val="00455C49"/>
    <w:rsid w:val="00455C7D"/>
    <w:rsid w:val="004573BC"/>
    <w:rsid w:val="0045763C"/>
    <w:rsid w:val="00457DDD"/>
    <w:rsid w:val="00460466"/>
    <w:rsid w:val="00460566"/>
    <w:rsid w:val="00460F42"/>
    <w:rsid w:val="004619B2"/>
    <w:rsid w:val="00461E08"/>
    <w:rsid w:val="00462202"/>
    <w:rsid w:val="00463995"/>
    <w:rsid w:val="00463D6B"/>
    <w:rsid w:val="00464469"/>
    <w:rsid w:val="00465AB8"/>
    <w:rsid w:val="00466A2E"/>
    <w:rsid w:val="00466D07"/>
    <w:rsid w:val="00466F3C"/>
    <w:rsid w:val="00467197"/>
    <w:rsid w:val="004672AC"/>
    <w:rsid w:val="0046796A"/>
    <w:rsid w:val="00467A4C"/>
    <w:rsid w:val="00470B98"/>
    <w:rsid w:val="00470C0C"/>
    <w:rsid w:val="00470C74"/>
    <w:rsid w:val="00470E7B"/>
    <w:rsid w:val="00471160"/>
    <w:rsid w:val="00471D43"/>
    <w:rsid w:val="00472418"/>
    <w:rsid w:val="00472550"/>
    <w:rsid w:val="00474089"/>
    <w:rsid w:val="00474BF9"/>
    <w:rsid w:val="00475B0D"/>
    <w:rsid w:val="00477F73"/>
    <w:rsid w:val="00480A17"/>
    <w:rsid w:val="00480C2B"/>
    <w:rsid w:val="0048189A"/>
    <w:rsid w:val="004822B0"/>
    <w:rsid w:val="00482E27"/>
    <w:rsid w:val="00482E33"/>
    <w:rsid w:val="00483FC2"/>
    <w:rsid w:val="00484102"/>
    <w:rsid w:val="00484329"/>
    <w:rsid w:val="004843F4"/>
    <w:rsid w:val="0048470C"/>
    <w:rsid w:val="0048607F"/>
    <w:rsid w:val="0048739F"/>
    <w:rsid w:val="00487690"/>
    <w:rsid w:val="0048781B"/>
    <w:rsid w:val="00487E0F"/>
    <w:rsid w:val="00487F03"/>
    <w:rsid w:val="0049039A"/>
    <w:rsid w:val="004938FC"/>
    <w:rsid w:val="004947DC"/>
    <w:rsid w:val="004957AA"/>
    <w:rsid w:val="00496131"/>
    <w:rsid w:val="004976E2"/>
    <w:rsid w:val="00497A1A"/>
    <w:rsid w:val="004A040C"/>
    <w:rsid w:val="004A09D3"/>
    <w:rsid w:val="004A1E30"/>
    <w:rsid w:val="004A1E99"/>
    <w:rsid w:val="004A20BC"/>
    <w:rsid w:val="004A2E63"/>
    <w:rsid w:val="004A2FBB"/>
    <w:rsid w:val="004A4663"/>
    <w:rsid w:val="004A5A96"/>
    <w:rsid w:val="004A6805"/>
    <w:rsid w:val="004B02CB"/>
    <w:rsid w:val="004B2931"/>
    <w:rsid w:val="004B3171"/>
    <w:rsid w:val="004B41DB"/>
    <w:rsid w:val="004B5579"/>
    <w:rsid w:val="004B6BFD"/>
    <w:rsid w:val="004B794B"/>
    <w:rsid w:val="004C1024"/>
    <w:rsid w:val="004C118E"/>
    <w:rsid w:val="004C205D"/>
    <w:rsid w:val="004C39BC"/>
    <w:rsid w:val="004C57E3"/>
    <w:rsid w:val="004C584A"/>
    <w:rsid w:val="004C6C30"/>
    <w:rsid w:val="004C7609"/>
    <w:rsid w:val="004C774A"/>
    <w:rsid w:val="004C7B81"/>
    <w:rsid w:val="004D1090"/>
    <w:rsid w:val="004D2038"/>
    <w:rsid w:val="004D2055"/>
    <w:rsid w:val="004D2CB5"/>
    <w:rsid w:val="004D4588"/>
    <w:rsid w:val="004D481C"/>
    <w:rsid w:val="004D4873"/>
    <w:rsid w:val="004D5EFA"/>
    <w:rsid w:val="004D65DD"/>
    <w:rsid w:val="004D676B"/>
    <w:rsid w:val="004D7157"/>
    <w:rsid w:val="004D718D"/>
    <w:rsid w:val="004D7D7F"/>
    <w:rsid w:val="004E01AB"/>
    <w:rsid w:val="004E1240"/>
    <w:rsid w:val="004E47E1"/>
    <w:rsid w:val="004E4AFA"/>
    <w:rsid w:val="004E5E65"/>
    <w:rsid w:val="004E6C43"/>
    <w:rsid w:val="004E7803"/>
    <w:rsid w:val="004F07E1"/>
    <w:rsid w:val="004F0E1C"/>
    <w:rsid w:val="004F10F7"/>
    <w:rsid w:val="004F143B"/>
    <w:rsid w:val="004F1682"/>
    <w:rsid w:val="004F1966"/>
    <w:rsid w:val="004F1F5D"/>
    <w:rsid w:val="004F20A9"/>
    <w:rsid w:val="004F2E5C"/>
    <w:rsid w:val="004F373B"/>
    <w:rsid w:val="004F4F77"/>
    <w:rsid w:val="004F5228"/>
    <w:rsid w:val="004F5919"/>
    <w:rsid w:val="004F5C2F"/>
    <w:rsid w:val="004F5E54"/>
    <w:rsid w:val="004F5ED7"/>
    <w:rsid w:val="004F623A"/>
    <w:rsid w:val="00500228"/>
    <w:rsid w:val="005005E6"/>
    <w:rsid w:val="00501468"/>
    <w:rsid w:val="00502286"/>
    <w:rsid w:val="00502421"/>
    <w:rsid w:val="005026C9"/>
    <w:rsid w:val="00502B3C"/>
    <w:rsid w:val="00502E42"/>
    <w:rsid w:val="005051CE"/>
    <w:rsid w:val="00505633"/>
    <w:rsid w:val="00505829"/>
    <w:rsid w:val="00506373"/>
    <w:rsid w:val="005067A0"/>
    <w:rsid w:val="00506EF9"/>
    <w:rsid w:val="005075ED"/>
    <w:rsid w:val="00507BE6"/>
    <w:rsid w:val="00511227"/>
    <w:rsid w:val="0051136D"/>
    <w:rsid w:val="005113AB"/>
    <w:rsid w:val="00511986"/>
    <w:rsid w:val="00511B7F"/>
    <w:rsid w:val="00512AB5"/>
    <w:rsid w:val="005133EF"/>
    <w:rsid w:val="005138D3"/>
    <w:rsid w:val="00513E5B"/>
    <w:rsid w:val="0051419D"/>
    <w:rsid w:val="00514947"/>
    <w:rsid w:val="00517306"/>
    <w:rsid w:val="00517E6D"/>
    <w:rsid w:val="00520A5F"/>
    <w:rsid w:val="00521971"/>
    <w:rsid w:val="00522C83"/>
    <w:rsid w:val="00522DA3"/>
    <w:rsid w:val="00523B6E"/>
    <w:rsid w:val="00523BD9"/>
    <w:rsid w:val="00523F7C"/>
    <w:rsid w:val="00524144"/>
    <w:rsid w:val="00524877"/>
    <w:rsid w:val="005249A5"/>
    <w:rsid w:val="00526D27"/>
    <w:rsid w:val="00527B6D"/>
    <w:rsid w:val="00527E40"/>
    <w:rsid w:val="00530AFC"/>
    <w:rsid w:val="0053124C"/>
    <w:rsid w:val="0053205B"/>
    <w:rsid w:val="00532483"/>
    <w:rsid w:val="00536EA9"/>
    <w:rsid w:val="005370EB"/>
    <w:rsid w:val="00540D8F"/>
    <w:rsid w:val="00541292"/>
    <w:rsid w:val="0054139B"/>
    <w:rsid w:val="00541B03"/>
    <w:rsid w:val="00542AB3"/>
    <w:rsid w:val="0054304E"/>
    <w:rsid w:val="005431E7"/>
    <w:rsid w:val="005439B4"/>
    <w:rsid w:val="00544232"/>
    <w:rsid w:val="0054431D"/>
    <w:rsid w:val="005464C6"/>
    <w:rsid w:val="005478F2"/>
    <w:rsid w:val="00552293"/>
    <w:rsid w:val="00552ED6"/>
    <w:rsid w:val="00553357"/>
    <w:rsid w:val="00553503"/>
    <w:rsid w:val="00553983"/>
    <w:rsid w:val="00553C50"/>
    <w:rsid w:val="00553F1A"/>
    <w:rsid w:val="00554CB2"/>
    <w:rsid w:val="00555909"/>
    <w:rsid w:val="00555A1D"/>
    <w:rsid w:val="00555D36"/>
    <w:rsid w:val="005561D2"/>
    <w:rsid w:val="005569F0"/>
    <w:rsid w:val="00560FCD"/>
    <w:rsid w:val="00561758"/>
    <w:rsid w:val="00562F77"/>
    <w:rsid w:val="005647D0"/>
    <w:rsid w:val="005651FC"/>
    <w:rsid w:val="00565C96"/>
    <w:rsid w:val="005664A3"/>
    <w:rsid w:val="00566574"/>
    <w:rsid w:val="005667F1"/>
    <w:rsid w:val="00566DC4"/>
    <w:rsid w:val="00567B65"/>
    <w:rsid w:val="00567D27"/>
    <w:rsid w:val="0057037F"/>
    <w:rsid w:val="005711CB"/>
    <w:rsid w:val="0057171D"/>
    <w:rsid w:val="0057303F"/>
    <w:rsid w:val="00574B7B"/>
    <w:rsid w:val="00574BAD"/>
    <w:rsid w:val="0057598E"/>
    <w:rsid w:val="00575CE1"/>
    <w:rsid w:val="00577ABD"/>
    <w:rsid w:val="00580788"/>
    <w:rsid w:val="00581760"/>
    <w:rsid w:val="0058277A"/>
    <w:rsid w:val="00583700"/>
    <w:rsid w:val="00583CEB"/>
    <w:rsid w:val="005844D5"/>
    <w:rsid w:val="00584BE9"/>
    <w:rsid w:val="00585C34"/>
    <w:rsid w:val="00586275"/>
    <w:rsid w:val="00586F85"/>
    <w:rsid w:val="005876A8"/>
    <w:rsid w:val="00591D50"/>
    <w:rsid w:val="00592119"/>
    <w:rsid w:val="005924DA"/>
    <w:rsid w:val="005926FB"/>
    <w:rsid w:val="00592CEC"/>
    <w:rsid w:val="00593D53"/>
    <w:rsid w:val="00593D81"/>
    <w:rsid w:val="005941E4"/>
    <w:rsid w:val="005944B5"/>
    <w:rsid w:val="0059485C"/>
    <w:rsid w:val="0059505A"/>
    <w:rsid w:val="005964C5"/>
    <w:rsid w:val="005968FA"/>
    <w:rsid w:val="005A05D2"/>
    <w:rsid w:val="005A2B4A"/>
    <w:rsid w:val="005A31B8"/>
    <w:rsid w:val="005A3388"/>
    <w:rsid w:val="005A3BF0"/>
    <w:rsid w:val="005A3EE5"/>
    <w:rsid w:val="005A4105"/>
    <w:rsid w:val="005A4C95"/>
    <w:rsid w:val="005A55F0"/>
    <w:rsid w:val="005A6B90"/>
    <w:rsid w:val="005A6ED5"/>
    <w:rsid w:val="005A7049"/>
    <w:rsid w:val="005A7658"/>
    <w:rsid w:val="005A790F"/>
    <w:rsid w:val="005B0089"/>
    <w:rsid w:val="005B0822"/>
    <w:rsid w:val="005B0F9A"/>
    <w:rsid w:val="005B2831"/>
    <w:rsid w:val="005B2A52"/>
    <w:rsid w:val="005B2F89"/>
    <w:rsid w:val="005B6E25"/>
    <w:rsid w:val="005B723E"/>
    <w:rsid w:val="005B760E"/>
    <w:rsid w:val="005B767D"/>
    <w:rsid w:val="005B7958"/>
    <w:rsid w:val="005B7BC8"/>
    <w:rsid w:val="005C122F"/>
    <w:rsid w:val="005C25F6"/>
    <w:rsid w:val="005C55A1"/>
    <w:rsid w:val="005C5F9E"/>
    <w:rsid w:val="005C65F5"/>
    <w:rsid w:val="005C67CE"/>
    <w:rsid w:val="005C6A1E"/>
    <w:rsid w:val="005C6A3E"/>
    <w:rsid w:val="005C6F63"/>
    <w:rsid w:val="005C7688"/>
    <w:rsid w:val="005C7EA9"/>
    <w:rsid w:val="005CE03C"/>
    <w:rsid w:val="005D11AD"/>
    <w:rsid w:val="005D2B6C"/>
    <w:rsid w:val="005D4D56"/>
    <w:rsid w:val="005D52C9"/>
    <w:rsid w:val="005D5683"/>
    <w:rsid w:val="005D56FB"/>
    <w:rsid w:val="005D5DB5"/>
    <w:rsid w:val="005E00BA"/>
    <w:rsid w:val="005E110B"/>
    <w:rsid w:val="005E1979"/>
    <w:rsid w:val="005E2092"/>
    <w:rsid w:val="005E2708"/>
    <w:rsid w:val="005E38EA"/>
    <w:rsid w:val="005E3C7E"/>
    <w:rsid w:val="005E3D33"/>
    <w:rsid w:val="005E4293"/>
    <w:rsid w:val="005E507B"/>
    <w:rsid w:val="005F0D99"/>
    <w:rsid w:val="005F2AF8"/>
    <w:rsid w:val="005F2B0F"/>
    <w:rsid w:val="005F2B40"/>
    <w:rsid w:val="005F45BE"/>
    <w:rsid w:val="005F5631"/>
    <w:rsid w:val="005F5E9C"/>
    <w:rsid w:val="005F65B0"/>
    <w:rsid w:val="005F6A55"/>
    <w:rsid w:val="005F6DF3"/>
    <w:rsid w:val="005F7EDF"/>
    <w:rsid w:val="005F7F4E"/>
    <w:rsid w:val="00600C0A"/>
    <w:rsid w:val="00601660"/>
    <w:rsid w:val="00602C93"/>
    <w:rsid w:val="00602EE8"/>
    <w:rsid w:val="00603274"/>
    <w:rsid w:val="00604B45"/>
    <w:rsid w:val="00605983"/>
    <w:rsid w:val="00607012"/>
    <w:rsid w:val="006075E0"/>
    <w:rsid w:val="00607669"/>
    <w:rsid w:val="006124B3"/>
    <w:rsid w:val="00614311"/>
    <w:rsid w:val="00617686"/>
    <w:rsid w:val="006179D2"/>
    <w:rsid w:val="00617AC9"/>
    <w:rsid w:val="00620450"/>
    <w:rsid w:val="00620663"/>
    <w:rsid w:val="00620A71"/>
    <w:rsid w:val="00621814"/>
    <w:rsid w:val="00623343"/>
    <w:rsid w:val="00623CFD"/>
    <w:rsid w:val="0062407A"/>
    <w:rsid w:val="0062445F"/>
    <w:rsid w:val="006244A8"/>
    <w:rsid w:val="006245CB"/>
    <w:rsid w:val="00624C72"/>
    <w:rsid w:val="00625AA1"/>
    <w:rsid w:val="006274D3"/>
    <w:rsid w:val="0063017B"/>
    <w:rsid w:val="0063042B"/>
    <w:rsid w:val="0063143D"/>
    <w:rsid w:val="00631BD5"/>
    <w:rsid w:val="00633558"/>
    <w:rsid w:val="0063385C"/>
    <w:rsid w:val="00633C6A"/>
    <w:rsid w:val="006345C5"/>
    <w:rsid w:val="0063573C"/>
    <w:rsid w:val="006370EC"/>
    <w:rsid w:val="00640885"/>
    <w:rsid w:val="00640BA5"/>
    <w:rsid w:val="00640E4B"/>
    <w:rsid w:val="006414B1"/>
    <w:rsid w:val="00641558"/>
    <w:rsid w:val="00641867"/>
    <w:rsid w:val="0064188D"/>
    <w:rsid w:val="006418C8"/>
    <w:rsid w:val="00642575"/>
    <w:rsid w:val="0064361F"/>
    <w:rsid w:val="0064377E"/>
    <w:rsid w:val="00645052"/>
    <w:rsid w:val="006454BF"/>
    <w:rsid w:val="00646895"/>
    <w:rsid w:val="00650FFD"/>
    <w:rsid w:val="0065241D"/>
    <w:rsid w:val="00652D6C"/>
    <w:rsid w:val="00652D72"/>
    <w:rsid w:val="00652E79"/>
    <w:rsid w:val="00653FDB"/>
    <w:rsid w:val="00655858"/>
    <w:rsid w:val="00655FE7"/>
    <w:rsid w:val="006564E5"/>
    <w:rsid w:val="0065675F"/>
    <w:rsid w:val="00656ECD"/>
    <w:rsid w:val="00662D34"/>
    <w:rsid w:val="0066363F"/>
    <w:rsid w:val="00665DC5"/>
    <w:rsid w:val="00667ACD"/>
    <w:rsid w:val="00667DA5"/>
    <w:rsid w:val="00670A03"/>
    <w:rsid w:val="00670B76"/>
    <w:rsid w:val="00673562"/>
    <w:rsid w:val="00673C37"/>
    <w:rsid w:val="00675C3A"/>
    <w:rsid w:val="00675F5B"/>
    <w:rsid w:val="00676059"/>
    <w:rsid w:val="006764C7"/>
    <w:rsid w:val="00677B56"/>
    <w:rsid w:val="00680610"/>
    <w:rsid w:val="00680E51"/>
    <w:rsid w:val="00682067"/>
    <w:rsid w:val="00682858"/>
    <w:rsid w:val="006832E2"/>
    <w:rsid w:val="00683677"/>
    <w:rsid w:val="00683E51"/>
    <w:rsid w:val="006855CC"/>
    <w:rsid w:val="0068566D"/>
    <w:rsid w:val="006858BF"/>
    <w:rsid w:val="0068681B"/>
    <w:rsid w:val="00686F21"/>
    <w:rsid w:val="00687073"/>
    <w:rsid w:val="00687F2A"/>
    <w:rsid w:val="0069064A"/>
    <w:rsid w:val="0069107F"/>
    <w:rsid w:val="00692BAB"/>
    <w:rsid w:val="00693268"/>
    <w:rsid w:val="00693CFD"/>
    <w:rsid w:val="00694F69"/>
    <w:rsid w:val="00695B33"/>
    <w:rsid w:val="0069603A"/>
    <w:rsid w:val="00696285"/>
    <w:rsid w:val="00697C62"/>
    <w:rsid w:val="006A1D40"/>
    <w:rsid w:val="006A23FA"/>
    <w:rsid w:val="006A5936"/>
    <w:rsid w:val="006A6EFF"/>
    <w:rsid w:val="006A76D6"/>
    <w:rsid w:val="006B018E"/>
    <w:rsid w:val="006B0250"/>
    <w:rsid w:val="006B0406"/>
    <w:rsid w:val="006B10B6"/>
    <w:rsid w:val="006B11FC"/>
    <w:rsid w:val="006B1374"/>
    <w:rsid w:val="006B1C20"/>
    <w:rsid w:val="006B1C9E"/>
    <w:rsid w:val="006B3049"/>
    <w:rsid w:val="006B4428"/>
    <w:rsid w:val="006B53A3"/>
    <w:rsid w:val="006B5926"/>
    <w:rsid w:val="006B6665"/>
    <w:rsid w:val="006C0AD4"/>
    <w:rsid w:val="006C209B"/>
    <w:rsid w:val="006C2CCE"/>
    <w:rsid w:val="006C35E0"/>
    <w:rsid w:val="006C394D"/>
    <w:rsid w:val="006C3DB8"/>
    <w:rsid w:val="006C49C2"/>
    <w:rsid w:val="006C4C5A"/>
    <w:rsid w:val="006C60C0"/>
    <w:rsid w:val="006C66AA"/>
    <w:rsid w:val="006D0D57"/>
    <w:rsid w:val="006D1149"/>
    <w:rsid w:val="006D1E05"/>
    <w:rsid w:val="006D271D"/>
    <w:rsid w:val="006D34D3"/>
    <w:rsid w:val="006D4CE3"/>
    <w:rsid w:val="006D4E15"/>
    <w:rsid w:val="006D66A5"/>
    <w:rsid w:val="006D77EA"/>
    <w:rsid w:val="006E03FB"/>
    <w:rsid w:val="006E49A3"/>
    <w:rsid w:val="006E49E7"/>
    <w:rsid w:val="006E4ABA"/>
    <w:rsid w:val="006E4D6B"/>
    <w:rsid w:val="006E537C"/>
    <w:rsid w:val="006E6474"/>
    <w:rsid w:val="006E723D"/>
    <w:rsid w:val="006E7AC9"/>
    <w:rsid w:val="006F0C31"/>
    <w:rsid w:val="006F0FC4"/>
    <w:rsid w:val="006F2B5A"/>
    <w:rsid w:val="006F4DC5"/>
    <w:rsid w:val="006F4F7D"/>
    <w:rsid w:val="006F5547"/>
    <w:rsid w:val="006F56EE"/>
    <w:rsid w:val="006F76BE"/>
    <w:rsid w:val="006F777E"/>
    <w:rsid w:val="00701546"/>
    <w:rsid w:val="00702E7C"/>
    <w:rsid w:val="00704765"/>
    <w:rsid w:val="0070559E"/>
    <w:rsid w:val="00705737"/>
    <w:rsid w:val="00705833"/>
    <w:rsid w:val="00707DD0"/>
    <w:rsid w:val="0071074C"/>
    <w:rsid w:val="007108A8"/>
    <w:rsid w:val="00710D8E"/>
    <w:rsid w:val="00711125"/>
    <w:rsid w:val="0071234E"/>
    <w:rsid w:val="007128B2"/>
    <w:rsid w:val="00712C9D"/>
    <w:rsid w:val="0071326E"/>
    <w:rsid w:val="0071328A"/>
    <w:rsid w:val="00713EED"/>
    <w:rsid w:val="0071599A"/>
    <w:rsid w:val="00715A1A"/>
    <w:rsid w:val="00716002"/>
    <w:rsid w:val="007164CA"/>
    <w:rsid w:val="00716975"/>
    <w:rsid w:val="00716DD6"/>
    <w:rsid w:val="007175D2"/>
    <w:rsid w:val="00717A83"/>
    <w:rsid w:val="007201CE"/>
    <w:rsid w:val="007209DF"/>
    <w:rsid w:val="007217CC"/>
    <w:rsid w:val="00721A0B"/>
    <w:rsid w:val="00721BE3"/>
    <w:rsid w:val="00725C80"/>
    <w:rsid w:val="00726864"/>
    <w:rsid w:val="0072738F"/>
    <w:rsid w:val="00727EFE"/>
    <w:rsid w:val="00730616"/>
    <w:rsid w:val="00730A76"/>
    <w:rsid w:val="00731486"/>
    <w:rsid w:val="00731C30"/>
    <w:rsid w:val="007328AB"/>
    <w:rsid w:val="00732A60"/>
    <w:rsid w:val="007337E3"/>
    <w:rsid w:val="00733F70"/>
    <w:rsid w:val="007351D2"/>
    <w:rsid w:val="00735E1E"/>
    <w:rsid w:val="00735FC9"/>
    <w:rsid w:val="00736775"/>
    <w:rsid w:val="00736905"/>
    <w:rsid w:val="00736D39"/>
    <w:rsid w:val="0074072F"/>
    <w:rsid w:val="00740FAF"/>
    <w:rsid w:val="0074129C"/>
    <w:rsid w:val="0074238D"/>
    <w:rsid w:val="007455F4"/>
    <w:rsid w:val="00745B3E"/>
    <w:rsid w:val="00745FCD"/>
    <w:rsid w:val="00746879"/>
    <w:rsid w:val="007470DD"/>
    <w:rsid w:val="00747735"/>
    <w:rsid w:val="00752384"/>
    <w:rsid w:val="0075276A"/>
    <w:rsid w:val="007543B7"/>
    <w:rsid w:val="0075444C"/>
    <w:rsid w:val="00755473"/>
    <w:rsid w:val="00755829"/>
    <w:rsid w:val="007569C1"/>
    <w:rsid w:val="00756EF6"/>
    <w:rsid w:val="00757384"/>
    <w:rsid w:val="00757C22"/>
    <w:rsid w:val="00757F44"/>
    <w:rsid w:val="00761142"/>
    <w:rsid w:val="007613AC"/>
    <w:rsid w:val="00761878"/>
    <w:rsid w:val="00761EB4"/>
    <w:rsid w:val="00761F12"/>
    <w:rsid w:val="007620E3"/>
    <w:rsid w:val="0076270E"/>
    <w:rsid w:val="00762913"/>
    <w:rsid w:val="007630B9"/>
    <w:rsid w:val="00763E12"/>
    <w:rsid w:val="00766342"/>
    <w:rsid w:val="00766374"/>
    <w:rsid w:val="007666DC"/>
    <w:rsid w:val="007701E1"/>
    <w:rsid w:val="00770AAE"/>
    <w:rsid w:val="00770DB1"/>
    <w:rsid w:val="00771B27"/>
    <w:rsid w:val="007722B8"/>
    <w:rsid w:val="0077286C"/>
    <w:rsid w:val="00772BF2"/>
    <w:rsid w:val="007730DA"/>
    <w:rsid w:val="00773ABC"/>
    <w:rsid w:val="00773AE1"/>
    <w:rsid w:val="00773B08"/>
    <w:rsid w:val="00773D7C"/>
    <w:rsid w:val="0077438B"/>
    <w:rsid w:val="0077544B"/>
    <w:rsid w:val="00775603"/>
    <w:rsid w:val="007759D1"/>
    <w:rsid w:val="0077600C"/>
    <w:rsid w:val="00776950"/>
    <w:rsid w:val="00776D29"/>
    <w:rsid w:val="007773E7"/>
    <w:rsid w:val="007776C8"/>
    <w:rsid w:val="0078012E"/>
    <w:rsid w:val="00780942"/>
    <w:rsid w:val="00780F6D"/>
    <w:rsid w:val="007811FA"/>
    <w:rsid w:val="007814FF"/>
    <w:rsid w:val="007818A6"/>
    <w:rsid w:val="00782420"/>
    <w:rsid w:val="0078319B"/>
    <w:rsid w:val="0078327E"/>
    <w:rsid w:val="0078379F"/>
    <w:rsid w:val="007837DD"/>
    <w:rsid w:val="00783933"/>
    <w:rsid w:val="00783D32"/>
    <w:rsid w:val="00783DBC"/>
    <w:rsid w:val="0078452E"/>
    <w:rsid w:val="007849A7"/>
    <w:rsid w:val="007851E4"/>
    <w:rsid w:val="0078522C"/>
    <w:rsid w:val="00785C26"/>
    <w:rsid w:val="00785C2E"/>
    <w:rsid w:val="007879E4"/>
    <w:rsid w:val="00787F4B"/>
    <w:rsid w:val="007908FF"/>
    <w:rsid w:val="00792145"/>
    <w:rsid w:val="0079229D"/>
    <w:rsid w:val="007922B3"/>
    <w:rsid w:val="00792AB7"/>
    <w:rsid w:val="00792C5D"/>
    <w:rsid w:val="00792F98"/>
    <w:rsid w:val="0079356B"/>
    <w:rsid w:val="00793BAB"/>
    <w:rsid w:val="00794F34"/>
    <w:rsid w:val="00797CE7"/>
    <w:rsid w:val="007A070A"/>
    <w:rsid w:val="007A08A9"/>
    <w:rsid w:val="007A0A39"/>
    <w:rsid w:val="007A1A97"/>
    <w:rsid w:val="007A1F36"/>
    <w:rsid w:val="007A2C8E"/>
    <w:rsid w:val="007A2CFB"/>
    <w:rsid w:val="007A3895"/>
    <w:rsid w:val="007A4532"/>
    <w:rsid w:val="007A4A63"/>
    <w:rsid w:val="007A4D87"/>
    <w:rsid w:val="007A4FDB"/>
    <w:rsid w:val="007A6613"/>
    <w:rsid w:val="007A6EA1"/>
    <w:rsid w:val="007B062A"/>
    <w:rsid w:val="007B165E"/>
    <w:rsid w:val="007B1C8F"/>
    <w:rsid w:val="007B1FD6"/>
    <w:rsid w:val="007B20C5"/>
    <w:rsid w:val="007B3101"/>
    <w:rsid w:val="007B3E4E"/>
    <w:rsid w:val="007B4142"/>
    <w:rsid w:val="007B41D0"/>
    <w:rsid w:val="007B44FF"/>
    <w:rsid w:val="007B4FA7"/>
    <w:rsid w:val="007B6EEA"/>
    <w:rsid w:val="007B7AED"/>
    <w:rsid w:val="007B7B82"/>
    <w:rsid w:val="007C0641"/>
    <w:rsid w:val="007C064B"/>
    <w:rsid w:val="007C077E"/>
    <w:rsid w:val="007C0F2B"/>
    <w:rsid w:val="007C2230"/>
    <w:rsid w:val="007C2F75"/>
    <w:rsid w:val="007C3A4B"/>
    <w:rsid w:val="007C3DBE"/>
    <w:rsid w:val="007C3FAE"/>
    <w:rsid w:val="007C4F88"/>
    <w:rsid w:val="007C5E86"/>
    <w:rsid w:val="007C6811"/>
    <w:rsid w:val="007C7AD2"/>
    <w:rsid w:val="007D0C04"/>
    <w:rsid w:val="007D1894"/>
    <w:rsid w:val="007D1B1C"/>
    <w:rsid w:val="007D36B6"/>
    <w:rsid w:val="007D3CE8"/>
    <w:rsid w:val="007D5A55"/>
    <w:rsid w:val="007D6ACA"/>
    <w:rsid w:val="007D7314"/>
    <w:rsid w:val="007E0513"/>
    <w:rsid w:val="007E066F"/>
    <w:rsid w:val="007E099B"/>
    <w:rsid w:val="007E116A"/>
    <w:rsid w:val="007E1914"/>
    <w:rsid w:val="007E25E3"/>
    <w:rsid w:val="007E36E8"/>
    <w:rsid w:val="007E3796"/>
    <w:rsid w:val="007E3EA4"/>
    <w:rsid w:val="007E4C41"/>
    <w:rsid w:val="007E534E"/>
    <w:rsid w:val="007E6547"/>
    <w:rsid w:val="007E7185"/>
    <w:rsid w:val="007E7542"/>
    <w:rsid w:val="007F266D"/>
    <w:rsid w:val="007F30E5"/>
    <w:rsid w:val="007F323E"/>
    <w:rsid w:val="007F490B"/>
    <w:rsid w:val="007F4C17"/>
    <w:rsid w:val="007F5037"/>
    <w:rsid w:val="0080013E"/>
    <w:rsid w:val="008009A0"/>
    <w:rsid w:val="00800EB4"/>
    <w:rsid w:val="0080231A"/>
    <w:rsid w:val="008029CF"/>
    <w:rsid w:val="00802D72"/>
    <w:rsid w:val="00803579"/>
    <w:rsid w:val="00803686"/>
    <w:rsid w:val="00803B39"/>
    <w:rsid w:val="00804A4A"/>
    <w:rsid w:val="00804D9D"/>
    <w:rsid w:val="0080557C"/>
    <w:rsid w:val="00805741"/>
    <w:rsid w:val="00805805"/>
    <w:rsid w:val="00805DEA"/>
    <w:rsid w:val="00806C7C"/>
    <w:rsid w:val="00807BCF"/>
    <w:rsid w:val="0081077C"/>
    <w:rsid w:val="00810CF4"/>
    <w:rsid w:val="00811039"/>
    <w:rsid w:val="00812D47"/>
    <w:rsid w:val="00812E09"/>
    <w:rsid w:val="00812E92"/>
    <w:rsid w:val="00813101"/>
    <w:rsid w:val="0081332A"/>
    <w:rsid w:val="008156FF"/>
    <w:rsid w:val="008159E8"/>
    <w:rsid w:val="00815A21"/>
    <w:rsid w:val="0081687B"/>
    <w:rsid w:val="00817B03"/>
    <w:rsid w:val="00817BC5"/>
    <w:rsid w:val="008210F2"/>
    <w:rsid w:val="0082161C"/>
    <w:rsid w:val="0082171A"/>
    <w:rsid w:val="00822413"/>
    <w:rsid w:val="008226E1"/>
    <w:rsid w:val="008227C7"/>
    <w:rsid w:val="00822E25"/>
    <w:rsid w:val="0082377E"/>
    <w:rsid w:val="00823C7B"/>
    <w:rsid w:val="008242FC"/>
    <w:rsid w:val="00824AD8"/>
    <w:rsid w:val="00825044"/>
    <w:rsid w:val="008277BB"/>
    <w:rsid w:val="00827878"/>
    <w:rsid w:val="0082796A"/>
    <w:rsid w:val="0083070F"/>
    <w:rsid w:val="0083073C"/>
    <w:rsid w:val="00830D58"/>
    <w:rsid w:val="0083144B"/>
    <w:rsid w:val="008322D5"/>
    <w:rsid w:val="008330D4"/>
    <w:rsid w:val="00833416"/>
    <w:rsid w:val="0083384D"/>
    <w:rsid w:val="00833996"/>
    <w:rsid w:val="00833CB1"/>
    <w:rsid w:val="00834005"/>
    <w:rsid w:val="00834736"/>
    <w:rsid w:val="00834DB4"/>
    <w:rsid w:val="00835827"/>
    <w:rsid w:val="008375B9"/>
    <w:rsid w:val="00840062"/>
    <w:rsid w:val="00840126"/>
    <w:rsid w:val="00840974"/>
    <w:rsid w:val="00840D9D"/>
    <w:rsid w:val="0084221F"/>
    <w:rsid w:val="008426AC"/>
    <w:rsid w:val="00843982"/>
    <w:rsid w:val="008441D4"/>
    <w:rsid w:val="0084420C"/>
    <w:rsid w:val="008450A3"/>
    <w:rsid w:val="00845871"/>
    <w:rsid w:val="00845D82"/>
    <w:rsid w:val="00850BA6"/>
    <w:rsid w:val="008510FA"/>
    <w:rsid w:val="00851949"/>
    <w:rsid w:val="00851C58"/>
    <w:rsid w:val="008539FB"/>
    <w:rsid w:val="00854848"/>
    <w:rsid w:val="00854CD4"/>
    <w:rsid w:val="008550CF"/>
    <w:rsid w:val="0085561F"/>
    <w:rsid w:val="00855754"/>
    <w:rsid w:val="0085586E"/>
    <w:rsid w:val="008558E6"/>
    <w:rsid w:val="008561EE"/>
    <w:rsid w:val="008566A7"/>
    <w:rsid w:val="00856867"/>
    <w:rsid w:val="008576D0"/>
    <w:rsid w:val="00857F50"/>
    <w:rsid w:val="00860D6F"/>
    <w:rsid w:val="00862172"/>
    <w:rsid w:val="0086221B"/>
    <w:rsid w:val="0086293D"/>
    <w:rsid w:val="00862B89"/>
    <w:rsid w:val="008633E0"/>
    <w:rsid w:val="0086411F"/>
    <w:rsid w:val="008643D9"/>
    <w:rsid w:val="00864994"/>
    <w:rsid w:val="00864CA3"/>
    <w:rsid w:val="00864D9C"/>
    <w:rsid w:val="0086502F"/>
    <w:rsid w:val="008668C9"/>
    <w:rsid w:val="00866A3D"/>
    <w:rsid w:val="00870184"/>
    <w:rsid w:val="0087161B"/>
    <w:rsid w:val="00872187"/>
    <w:rsid w:val="00872E45"/>
    <w:rsid w:val="00874D7D"/>
    <w:rsid w:val="00875731"/>
    <w:rsid w:val="00875E68"/>
    <w:rsid w:val="00876DD3"/>
    <w:rsid w:val="008770AF"/>
    <w:rsid w:val="008779CD"/>
    <w:rsid w:val="008812F5"/>
    <w:rsid w:val="008829D5"/>
    <w:rsid w:val="00883A93"/>
    <w:rsid w:val="00891117"/>
    <w:rsid w:val="00891E90"/>
    <w:rsid w:val="00892AC6"/>
    <w:rsid w:val="00893C11"/>
    <w:rsid w:val="00893C35"/>
    <w:rsid w:val="00894783"/>
    <w:rsid w:val="008961E3"/>
    <w:rsid w:val="00897641"/>
    <w:rsid w:val="008A1274"/>
    <w:rsid w:val="008A13D3"/>
    <w:rsid w:val="008A1C67"/>
    <w:rsid w:val="008A2DFE"/>
    <w:rsid w:val="008A3B73"/>
    <w:rsid w:val="008A4C43"/>
    <w:rsid w:val="008A6D12"/>
    <w:rsid w:val="008A718F"/>
    <w:rsid w:val="008A73BB"/>
    <w:rsid w:val="008B000B"/>
    <w:rsid w:val="008B0AAB"/>
    <w:rsid w:val="008B0B1E"/>
    <w:rsid w:val="008B22AD"/>
    <w:rsid w:val="008B2BA0"/>
    <w:rsid w:val="008B3FE9"/>
    <w:rsid w:val="008B4497"/>
    <w:rsid w:val="008B4585"/>
    <w:rsid w:val="008B5B6D"/>
    <w:rsid w:val="008B7318"/>
    <w:rsid w:val="008C02B9"/>
    <w:rsid w:val="008C034E"/>
    <w:rsid w:val="008C0BA1"/>
    <w:rsid w:val="008C10DB"/>
    <w:rsid w:val="008C1612"/>
    <w:rsid w:val="008C34B5"/>
    <w:rsid w:val="008C402E"/>
    <w:rsid w:val="008C45FD"/>
    <w:rsid w:val="008C47ED"/>
    <w:rsid w:val="008C4A89"/>
    <w:rsid w:val="008C7518"/>
    <w:rsid w:val="008C7AF3"/>
    <w:rsid w:val="008D0134"/>
    <w:rsid w:val="008D0A9C"/>
    <w:rsid w:val="008D14A3"/>
    <w:rsid w:val="008D35E8"/>
    <w:rsid w:val="008D37B5"/>
    <w:rsid w:val="008D5242"/>
    <w:rsid w:val="008D55E9"/>
    <w:rsid w:val="008D6146"/>
    <w:rsid w:val="008D796B"/>
    <w:rsid w:val="008D7C32"/>
    <w:rsid w:val="008E0E75"/>
    <w:rsid w:val="008E0F6A"/>
    <w:rsid w:val="008E19AD"/>
    <w:rsid w:val="008E1C78"/>
    <w:rsid w:val="008E21C8"/>
    <w:rsid w:val="008E2812"/>
    <w:rsid w:val="008E56CF"/>
    <w:rsid w:val="008F0773"/>
    <w:rsid w:val="008F18A8"/>
    <w:rsid w:val="008F2006"/>
    <w:rsid w:val="008F20F5"/>
    <w:rsid w:val="008F21C4"/>
    <w:rsid w:val="008F22CD"/>
    <w:rsid w:val="008F367C"/>
    <w:rsid w:val="008F464C"/>
    <w:rsid w:val="008F468D"/>
    <w:rsid w:val="008F5DA1"/>
    <w:rsid w:val="008F6488"/>
    <w:rsid w:val="00900E56"/>
    <w:rsid w:val="00902013"/>
    <w:rsid w:val="009024FA"/>
    <w:rsid w:val="00904C42"/>
    <w:rsid w:val="00904F09"/>
    <w:rsid w:val="00905575"/>
    <w:rsid w:val="00905C82"/>
    <w:rsid w:val="00906F7B"/>
    <w:rsid w:val="009072A8"/>
    <w:rsid w:val="00907432"/>
    <w:rsid w:val="00907C63"/>
    <w:rsid w:val="00907F11"/>
    <w:rsid w:val="0091091E"/>
    <w:rsid w:val="00910A96"/>
    <w:rsid w:val="00910ADC"/>
    <w:rsid w:val="009128C0"/>
    <w:rsid w:val="00912A42"/>
    <w:rsid w:val="00913CB4"/>
    <w:rsid w:val="00916132"/>
    <w:rsid w:val="00920046"/>
    <w:rsid w:val="00920BA7"/>
    <w:rsid w:val="009217AB"/>
    <w:rsid w:val="00922091"/>
    <w:rsid w:val="009226FA"/>
    <w:rsid w:val="0092651C"/>
    <w:rsid w:val="00927509"/>
    <w:rsid w:val="00927C4B"/>
    <w:rsid w:val="00931006"/>
    <w:rsid w:val="009312DB"/>
    <w:rsid w:val="00931F1A"/>
    <w:rsid w:val="009322BB"/>
    <w:rsid w:val="009325E3"/>
    <w:rsid w:val="00932BD7"/>
    <w:rsid w:val="0093300D"/>
    <w:rsid w:val="0093323F"/>
    <w:rsid w:val="009339EB"/>
    <w:rsid w:val="00934189"/>
    <w:rsid w:val="009344CE"/>
    <w:rsid w:val="00934E31"/>
    <w:rsid w:val="009361E9"/>
    <w:rsid w:val="0093634B"/>
    <w:rsid w:val="00936885"/>
    <w:rsid w:val="00936FA7"/>
    <w:rsid w:val="00937AFF"/>
    <w:rsid w:val="00937DAA"/>
    <w:rsid w:val="00943B65"/>
    <w:rsid w:val="009442E7"/>
    <w:rsid w:val="00944D79"/>
    <w:rsid w:val="00944EC2"/>
    <w:rsid w:val="00945959"/>
    <w:rsid w:val="00945A1E"/>
    <w:rsid w:val="00945FD7"/>
    <w:rsid w:val="00946B13"/>
    <w:rsid w:val="00946DDA"/>
    <w:rsid w:val="0094743E"/>
    <w:rsid w:val="0094785B"/>
    <w:rsid w:val="0095061D"/>
    <w:rsid w:val="00950BE6"/>
    <w:rsid w:val="00951050"/>
    <w:rsid w:val="009515DF"/>
    <w:rsid w:val="00951A0E"/>
    <w:rsid w:val="009534F1"/>
    <w:rsid w:val="00955259"/>
    <w:rsid w:val="009562CD"/>
    <w:rsid w:val="00957725"/>
    <w:rsid w:val="0096099E"/>
    <w:rsid w:val="00961480"/>
    <w:rsid w:val="0096173C"/>
    <w:rsid w:val="00961E18"/>
    <w:rsid w:val="0096239B"/>
    <w:rsid w:val="00962448"/>
    <w:rsid w:val="00962B2B"/>
    <w:rsid w:val="00962E19"/>
    <w:rsid w:val="0096407F"/>
    <w:rsid w:val="0096459E"/>
    <w:rsid w:val="009656FC"/>
    <w:rsid w:val="00967C2D"/>
    <w:rsid w:val="0097076D"/>
    <w:rsid w:val="009712A8"/>
    <w:rsid w:val="0097196D"/>
    <w:rsid w:val="00972E34"/>
    <w:rsid w:val="00973208"/>
    <w:rsid w:val="00973592"/>
    <w:rsid w:val="00973A2D"/>
    <w:rsid w:val="00974FE6"/>
    <w:rsid w:val="00975541"/>
    <w:rsid w:val="009756DB"/>
    <w:rsid w:val="009758FB"/>
    <w:rsid w:val="00976083"/>
    <w:rsid w:val="00976119"/>
    <w:rsid w:val="00976E6E"/>
    <w:rsid w:val="00977005"/>
    <w:rsid w:val="009773AC"/>
    <w:rsid w:val="00977933"/>
    <w:rsid w:val="00977CC6"/>
    <w:rsid w:val="0098077C"/>
    <w:rsid w:val="00980DE7"/>
    <w:rsid w:val="009810C1"/>
    <w:rsid w:val="0098110C"/>
    <w:rsid w:val="009815C8"/>
    <w:rsid w:val="0098320F"/>
    <w:rsid w:val="009836FB"/>
    <w:rsid w:val="00983F0E"/>
    <w:rsid w:val="00984AA0"/>
    <w:rsid w:val="00985255"/>
    <w:rsid w:val="00985E88"/>
    <w:rsid w:val="00986B2E"/>
    <w:rsid w:val="00990C4B"/>
    <w:rsid w:val="00990E52"/>
    <w:rsid w:val="00991CF3"/>
    <w:rsid w:val="00991F97"/>
    <w:rsid w:val="009923F6"/>
    <w:rsid w:val="00992443"/>
    <w:rsid w:val="0099310B"/>
    <w:rsid w:val="00994C8A"/>
    <w:rsid w:val="00995EF6"/>
    <w:rsid w:val="00996EA2"/>
    <w:rsid w:val="00997E92"/>
    <w:rsid w:val="00997EB6"/>
    <w:rsid w:val="009A00FF"/>
    <w:rsid w:val="009A0C6A"/>
    <w:rsid w:val="009A0EDB"/>
    <w:rsid w:val="009A19F3"/>
    <w:rsid w:val="009A314B"/>
    <w:rsid w:val="009A3412"/>
    <w:rsid w:val="009A42F3"/>
    <w:rsid w:val="009A5FFE"/>
    <w:rsid w:val="009A632E"/>
    <w:rsid w:val="009A646B"/>
    <w:rsid w:val="009A6DAC"/>
    <w:rsid w:val="009A757F"/>
    <w:rsid w:val="009A77A1"/>
    <w:rsid w:val="009A79B2"/>
    <w:rsid w:val="009B0A2A"/>
    <w:rsid w:val="009B19C3"/>
    <w:rsid w:val="009B20AA"/>
    <w:rsid w:val="009B2F80"/>
    <w:rsid w:val="009B38C2"/>
    <w:rsid w:val="009B3FBC"/>
    <w:rsid w:val="009B42D3"/>
    <w:rsid w:val="009B4ABD"/>
    <w:rsid w:val="009B7E3A"/>
    <w:rsid w:val="009C12F4"/>
    <w:rsid w:val="009C1863"/>
    <w:rsid w:val="009C1C97"/>
    <w:rsid w:val="009C1D59"/>
    <w:rsid w:val="009C25A3"/>
    <w:rsid w:val="009C2ABB"/>
    <w:rsid w:val="009C2C7A"/>
    <w:rsid w:val="009C4025"/>
    <w:rsid w:val="009C46CC"/>
    <w:rsid w:val="009C495E"/>
    <w:rsid w:val="009C6B4F"/>
    <w:rsid w:val="009C72CD"/>
    <w:rsid w:val="009C79C9"/>
    <w:rsid w:val="009C7FA3"/>
    <w:rsid w:val="009D12C8"/>
    <w:rsid w:val="009D26DB"/>
    <w:rsid w:val="009D348C"/>
    <w:rsid w:val="009D491B"/>
    <w:rsid w:val="009D4F11"/>
    <w:rsid w:val="009D52BD"/>
    <w:rsid w:val="009D64E3"/>
    <w:rsid w:val="009D6763"/>
    <w:rsid w:val="009D6E6B"/>
    <w:rsid w:val="009D74C8"/>
    <w:rsid w:val="009D7DF2"/>
    <w:rsid w:val="009E02F1"/>
    <w:rsid w:val="009E0771"/>
    <w:rsid w:val="009E21A4"/>
    <w:rsid w:val="009E22BD"/>
    <w:rsid w:val="009E2532"/>
    <w:rsid w:val="009E3ED6"/>
    <w:rsid w:val="009E667E"/>
    <w:rsid w:val="009E7BEC"/>
    <w:rsid w:val="009E7C20"/>
    <w:rsid w:val="009E7DC6"/>
    <w:rsid w:val="009F02BA"/>
    <w:rsid w:val="009F13D3"/>
    <w:rsid w:val="009F2EEC"/>
    <w:rsid w:val="009F451A"/>
    <w:rsid w:val="009F473D"/>
    <w:rsid w:val="009F499E"/>
    <w:rsid w:val="009F4D5F"/>
    <w:rsid w:val="009F4EA9"/>
    <w:rsid w:val="009F7314"/>
    <w:rsid w:val="009F762C"/>
    <w:rsid w:val="009F7768"/>
    <w:rsid w:val="00A0016D"/>
    <w:rsid w:val="00A00ED8"/>
    <w:rsid w:val="00A01D64"/>
    <w:rsid w:val="00A0214D"/>
    <w:rsid w:val="00A031C5"/>
    <w:rsid w:val="00A040DC"/>
    <w:rsid w:val="00A059B9"/>
    <w:rsid w:val="00A061F6"/>
    <w:rsid w:val="00A06F5E"/>
    <w:rsid w:val="00A07111"/>
    <w:rsid w:val="00A07E2B"/>
    <w:rsid w:val="00A1000B"/>
    <w:rsid w:val="00A10301"/>
    <w:rsid w:val="00A12048"/>
    <w:rsid w:val="00A12325"/>
    <w:rsid w:val="00A1329D"/>
    <w:rsid w:val="00A13865"/>
    <w:rsid w:val="00A1497D"/>
    <w:rsid w:val="00A14EC3"/>
    <w:rsid w:val="00A15108"/>
    <w:rsid w:val="00A153FF"/>
    <w:rsid w:val="00A1575B"/>
    <w:rsid w:val="00A16324"/>
    <w:rsid w:val="00A16FA4"/>
    <w:rsid w:val="00A16FD8"/>
    <w:rsid w:val="00A20F18"/>
    <w:rsid w:val="00A224BD"/>
    <w:rsid w:val="00A22BB1"/>
    <w:rsid w:val="00A23FDD"/>
    <w:rsid w:val="00A2447A"/>
    <w:rsid w:val="00A24A07"/>
    <w:rsid w:val="00A305BF"/>
    <w:rsid w:val="00A32625"/>
    <w:rsid w:val="00A33337"/>
    <w:rsid w:val="00A34020"/>
    <w:rsid w:val="00A349F7"/>
    <w:rsid w:val="00A364BD"/>
    <w:rsid w:val="00A3662B"/>
    <w:rsid w:val="00A36A68"/>
    <w:rsid w:val="00A37290"/>
    <w:rsid w:val="00A379C0"/>
    <w:rsid w:val="00A37B7B"/>
    <w:rsid w:val="00A407C9"/>
    <w:rsid w:val="00A40B21"/>
    <w:rsid w:val="00A40BCA"/>
    <w:rsid w:val="00A40E3B"/>
    <w:rsid w:val="00A40E6E"/>
    <w:rsid w:val="00A42329"/>
    <w:rsid w:val="00A42EFB"/>
    <w:rsid w:val="00A42F4B"/>
    <w:rsid w:val="00A43CDE"/>
    <w:rsid w:val="00A43EB7"/>
    <w:rsid w:val="00A44343"/>
    <w:rsid w:val="00A44535"/>
    <w:rsid w:val="00A44D1B"/>
    <w:rsid w:val="00A453EF"/>
    <w:rsid w:val="00A46231"/>
    <w:rsid w:val="00A46887"/>
    <w:rsid w:val="00A47C2C"/>
    <w:rsid w:val="00A5055E"/>
    <w:rsid w:val="00A50723"/>
    <w:rsid w:val="00A508DF"/>
    <w:rsid w:val="00A50E02"/>
    <w:rsid w:val="00A520A9"/>
    <w:rsid w:val="00A520C0"/>
    <w:rsid w:val="00A53850"/>
    <w:rsid w:val="00A546BB"/>
    <w:rsid w:val="00A54D2A"/>
    <w:rsid w:val="00A5597B"/>
    <w:rsid w:val="00A55AB3"/>
    <w:rsid w:val="00A562BA"/>
    <w:rsid w:val="00A567EE"/>
    <w:rsid w:val="00A56ACF"/>
    <w:rsid w:val="00A57667"/>
    <w:rsid w:val="00A603CA"/>
    <w:rsid w:val="00A61D31"/>
    <w:rsid w:val="00A62B56"/>
    <w:rsid w:val="00A62EFF"/>
    <w:rsid w:val="00A63133"/>
    <w:rsid w:val="00A637C6"/>
    <w:rsid w:val="00A6409F"/>
    <w:rsid w:val="00A65099"/>
    <w:rsid w:val="00A65135"/>
    <w:rsid w:val="00A653B1"/>
    <w:rsid w:val="00A653BC"/>
    <w:rsid w:val="00A65531"/>
    <w:rsid w:val="00A67596"/>
    <w:rsid w:val="00A67665"/>
    <w:rsid w:val="00A67EB7"/>
    <w:rsid w:val="00A70731"/>
    <w:rsid w:val="00A71644"/>
    <w:rsid w:val="00A720DE"/>
    <w:rsid w:val="00A73459"/>
    <w:rsid w:val="00A7393F"/>
    <w:rsid w:val="00A762F4"/>
    <w:rsid w:val="00A76504"/>
    <w:rsid w:val="00A7670C"/>
    <w:rsid w:val="00A7778B"/>
    <w:rsid w:val="00A8030F"/>
    <w:rsid w:val="00A80A86"/>
    <w:rsid w:val="00A817F3"/>
    <w:rsid w:val="00A82369"/>
    <w:rsid w:val="00A8241C"/>
    <w:rsid w:val="00A84656"/>
    <w:rsid w:val="00A8478F"/>
    <w:rsid w:val="00A848B5"/>
    <w:rsid w:val="00A84F61"/>
    <w:rsid w:val="00A8530B"/>
    <w:rsid w:val="00A853F1"/>
    <w:rsid w:val="00A85874"/>
    <w:rsid w:val="00A86CD0"/>
    <w:rsid w:val="00A87B3B"/>
    <w:rsid w:val="00A90F0C"/>
    <w:rsid w:val="00A91D82"/>
    <w:rsid w:val="00A926D7"/>
    <w:rsid w:val="00A92A51"/>
    <w:rsid w:val="00A92DF5"/>
    <w:rsid w:val="00A943C3"/>
    <w:rsid w:val="00A94CC7"/>
    <w:rsid w:val="00A95CF3"/>
    <w:rsid w:val="00A96B97"/>
    <w:rsid w:val="00A96DDD"/>
    <w:rsid w:val="00AA1959"/>
    <w:rsid w:val="00AA3AB2"/>
    <w:rsid w:val="00AA51F3"/>
    <w:rsid w:val="00AA70A5"/>
    <w:rsid w:val="00AA78B8"/>
    <w:rsid w:val="00AB3923"/>
    <w:rsid w:val="00AB3C46"/>
    <w:rsid w:val="00AB42E5"/>
    <w:rsid w:val="00AB53EB"/>
    <w:rsid w:val="00AB540B"/>
    <w:rsid w:val="00AB6045"/>
    <w:rsid w:val="00AB66A4"/>
    <w:rsid w:val="00AB68A6"/>
    <w:rsid w:val="00AB6B2C"/>
    <w:rsid w:val="00AB72F2"/>
    <w:rsid w:val="00AC039F"/>
    <w:rsid w:val="00AC0D25"/>
    <w:rsid w:val="00AC246F"/>
    <w:rsid w:val="00AC25EF"/>
    <w:rsid w:val="00AC2A9E"/>
    <w:rsid w:val="00AC2DC0"/>
    <w:rsid w:val="00AC398E"/>
    <w:rsid w:val="00AC3A69"/>
    <w:rsid w:val="00AC3E0F"/>
    <w:rsid w:val="00AC3E52"/>
    <w:rsid w:val="00AC4103"/>
    <w:rsid w:val="00AC5899"/>
    <w:rsid w:val="00AC5A82"/>
    <w:rsid w:val="00AC5E28"/>
    <w:rsid w:val="00AC6AEB"/>
    <w:rsid w:val="00AD0054"/>
    <w:rsid w:val="00AD07C7"/>
    <w:rsid w:val="00AD0A4D"/>
    <w:rsid w:val="00AD0BB4"/>
    <w:rsid w:val="00AD0BC2"/>
    <w:rsid w:val="00AD1BF1"/>
    <w:rsid w:val="00AD30FF"/>
    <w:rsid w:val="00AD3B26"/>
    <w:rsid w:val="00AD41DC"/>
    <w:rsid w:val="00AD46DC"/>
    <w:rsid w:val="00AD5D67"/>
    <w:rsid w:val="00AD5F66"/>
    <w:rsid w:val="00AD67C2"/>
    <w:rsid w:val="00AD7346"/>
    <w:rsid w:val="00AD74B0"/>
    <w:rsid w:val="00AE0FAE"/>
    <w:rsid w:val="00AE1BC5"/>
    <w:rsid w:val="00AE3D0D"/>
    <w:rsid w:val="00AE4498"/>
    <w:rsid w:val="00AE4DFC"/>
    <w:rsid w:val="00AE4EF4"/>
    <w:rsid w:val="00AE53FB"/>
    <w:rsid w:val="00AE5452"/>
    <w:rsid w:val="00AE5A7C"/>
    <w:rsid w:val="00AE6B18"/>
    <w:rsid w:val="00AE6E25"/>
    <w:rsid w:val="00AF0951"/>
    <w:rsid w:val="00AF0DE2"/>
    <w:rsid w:val="00AF1D6D"/>
    <w:rsid w:val="00AF3B89"/>
    <w:rsid w:val="00AF47A8"/>
    <w:rsid w:val="00AF4D9D"/>
    <w:rsid w:val="00AF4DE1"/>
    <w:rsid w:val="00AF52E5"/>
    <w:rsid w:val="00AF5B6D"/>
    <w:rsid w:val="00AF6906"/>
    <w:rsid w:val="00B00975"/>
    <w:rsid w:val="00B00A09"/>
    <w:rsid w:val="00B01776"/>
    <w:rsid w:val="00B03A83"/>
    <w:rsid w:val="00B03EFA"/>
    <w:rsid w:val="00B03F77"/>
    <w:rsid w:val="00B041CE"/>
    <w:rsid w:val="00B04B78"/>
    <w:rsid w:val="00B050FE"/>
    <w:rsid w:val="00B063B3"/>
    <w:rsid w:val="00B06C65"/>
    <w:rsid w:val="00B07385"/>
    <w:rsid w:val="00B07F2B"/>
    <w:rsid w:val="00B10085"/>
    <w:rsid w:val="00B12222"/>
    <w:rsid w:val="00B126B9"/>
    <w:rsid w:val="00B15667"/>
    <w:rsid w:val="00B15A9D"/>
    <w:rsid w:val="00B1627C"/>
    <w:rsid w:val="00B165F1"/>
    <w:rsid w:val="00B17642"/>
    <w:rsid w:val="00B17C82"/>
    <w:rsid w:val="00B22804"/>
    <w:rsid w:val="00B22A03"/>
    <w:rsid w:val="00B22FD5"/>
    <w:rsid w:val="00B235F3"/>
    <w:rsid w:val="00B23C7E"/>
    <w:rsid w:val="00B25101"/>
    <w:rsid w:val="00B25813"/>
    <w:rsid w:val="00B258A0"/>
    <w:rsid w:val="00B263F0"/>
    <w:rsid w:val="00B26A11"/>
    <w:rsid w:val="00B27D5D"/>
    <w:rsid w:val="00B30074"/>
    <w:rsid w:val="00B341F9"/>
    <w:rsid w:val="00B34F4C"/>
    <w:rsid w:val="00B35A69"/>
    <w:rsid w:val="00B35B41"/>
    <w:rsid w:val="00B3642B"/>
    <w:rsid w:val="00B3699C"/>
    <w:rsid w:val="00B36B3A"/>
    <w:rsid w:val="00B371B5"/>
    <w:rsid w:val="00B378CB"/>
    <w:rsid w:val="00B40738"/>
    <w:rsid w:val="00B41C3F"/>
    <w:rsid w:val="00B42022"/>
    <w:rsid w:val="00B423BB"/>
    <w:rsid w:val="00B4344F"/>
    <w:rsid w:val="00B43AB4"/>
    <w:rsid w:val="00B43FEA"/>
    <w:rsid w:val="00B44473"/>
    <w:rsid w:val="00B44A62"/>
    <w:rsid w:val="00B44B3B"/>
    <w:rsid w:val="00B44CDB"/>
    <w:rsid w:val="00B45ED9"/>
    <w:rsid w:val="00B464C1"/>
    <w:rsid w:val="00B46A9E"/>
    <w:rsid w:val="00B47D82"/>
    <w:rsid w:val="00B505AA"/>
    <w:rsid w:val="00B50FFA"/>
    <w:rsid w:val="00B51637"/>
    <w:rsid w:val="00B52ABA"/>
    <w:rsid w:val="00B54E3B"/>
    <w:rsid w:val="00B55314"/>
    <w:rsid w:val="00B56F47"/>
    <w:rsid w:val="00B578C9"/>
    <w:rsid w:val="00B60E06"/>
    <w:rsid w:val="00B63F9F"/>
    <w:rsid w:val="00B645F1"/>
    <w:rsid w:val="00B64C8B"/>
    <w:rsid w:val="00B64E94"/>
    <w:rsid w:val="00B64FE2"/>
    <w:rsid w:val="00B65E77"/>
    <w:rsid w:val="00B65F8D"/>
    <w:rsid w:val="00B66141"/>
    <w:rsid w:val="00B66516"/>
    <w:rsid w:val="00B710EC"/>
    <w:rsid w:val="00B7358A"/>
    <w:rsid w:val="00B7497B"/>
    <w:rsid w:val="00B74BAF"/>
    <w:rsid w:val="00B75B99"/>
    <w:rsid w:val="00B75E10"/>
    <w:rsid w:val="00B760C4"/>
    <w:rsid w:val="00B7622F"/>
    <w:rsid w:val="00B770F2"/>
    <w:rsid w:val="00B77E5E"/>
    <w:rsid w:val="00B8086D"/>
    <w:rsid w:val="00B80C8E"/>
    <w:rsid w:val="00B81525"/>
    <w:rsid w:val="00B82405"/>
    <w:rsid w:val="00B82445"/>
    <w:rsid w:val="00B825BD"/>
    <w:rsid w:val="00B825F9"/>
    <w:rsid w:val="00B827DD"/>
    <w:rsid w:val="00B83154"/>
    <w:rsid w:val="00B83642"/>
    <w:rsid w:val="00B8484E"/>
    <w:rsid w:val="00B85D35"/>
    <w:rsid w:val="00B9023B"/>
    <w:rsid w:val="00B90397"/>
    <w:rsid w:val="00B9075D"/>
    <w:rsid w:val="00B90AB4"/>
    <w:rsid w:val="00B90FA6"/>
    <w:rsid w:val="00B92A81"/>
    <w:rsid w:val="00B94993"/>
    <w:rsid w:val="00B954ED"/>
    <w:rsid w:val="00B9664F"/>
    <w:rsid w:val="00B96D34"/>
    <w:rsid w:val="00B97986"/>
    <w:rsid w:val="00B97EF5"/>
    <w:rsid w:val="00BA0120"/>
    <w:rsid w:val="00BA108B"/>
    <w:rsid w:val="00BA21FD"/>
    <w:rsid w:val="00BA331C"/>
    <w:rsid w:val="00BA3668"/>
    <w:rsid w:val="00BA4461"/>
    <w:rsid w:val="00BA46A5"/>
    <w:rsid w:val="00BA47A0"/>
    <w:rsid w:val="00BA555F"/>
    <w:rsid w:val="00BA563C"/>
    <w:rsid w:val="00BA6113"/>
    <w:rsid w:val="00BA66A1"/>
    <w:rsid w:val="00BA6D9E"/>
    <w:rsid w:val="00BA72DA"/>
    <w:rsid w:val="00BA7308"/>
    <w:rsid w:val="00BA7499"/>
    <w:rsid w:val="00BA768D"/>
    <w:rsid w:val="00BA76D1"/>
    <w:rsid w:val="00BA7984"/>
    <w:rsid w:val="00BA7EA4"/>
    <w:rsid w:val="00BB267A"/>
    <w:rsid w:val="00BB3D27"/>
    <w:rsid w:val="00BB5492"/>
    <w:rsid w:val="00BB5A72"/>
    <w:rsid w:val="00BB6318"/>
    <w:rsid w:val="00BB6539"/>
    <w:rsid w:val="00BB7E6C"/>
    <w:rsid w:val="00BB8D53"/>
    <w:rsid w:val="00BC03B2"/>
    <w:rsid w:val="00BC163E"/>
    <w:rsid w:val="00BC23CB"/>
    <w:rsid w:val="00BC535B"/>
    <w:rsid w:val="00BC5C5A"/>
    <w:rsid w:val="00BC7E5B"/>
    <w:rsid w:val="00BD040A"/>
    <w:rsid w:val="00BD04E4"/>
    <w:rsid w:val="00BD0B3B"/>
    <w:rsid w:val="00BD0DD4"/>
    <w:rsid w:val="00BD1E34"/>
    <w:rsid w:val="00BD200B"/>
    <w:rsid w:val="00BD2816"/>
    <w:rsid w:val="00BD4F87"/>
    <w:rsid w:val="00BD533E"/>
    <w:rsid w:val="00BD615A"/>
    <w:rsid w:val="00BD6607"/>
    <w:rsid w:val="00BD6D11"/>
    <w:rsid w:val="00BD7220"/>
    <w:rsid w:val="00BE18C7"/>
    <w:rsid w:val="00BE1EDF"/>
    <w:rsid w:val="00BE1F68"/>
    <w:rsid w:val="00BE5180"/>
    <w:rsid w:val="00BE5849"/>
    <w:rsid w:val="00BE5E12"/>
    <w:rsid w:val="00BE779F"/>
    <w:rsid w:val="00BE7C69"/>
    <w:rsid w:val="00BF0440"/>
    <w:rsid w:val="00BF1CB9"/>
    <w:rsid w:val="00BF253A"/>
    <w:rsid w:val="00BF4031"/>
    <w:rsid w:val="00BF6510"/>
    <w:rsid w:val="00BF6975"/>
    <w:rsid w:val="00BF6A19"/>
    <w:rsid w:val="00BF6F84"/>
    <w:rsid w:val="00BF741A"/>
    <w:rsid w:val="00BF78CC"/>
    <w:rsid w:val="00C00A71"/>
    <w:rsid w:val="00C01672"/>
    <w:rsid w:val="00C02BAE"/>
    <w:rsid w:val="00C047B4"/>
    <w:rsid w:val="00C051DC"/>
    <w:rsid w:val="00C05343"/>
    <w:rsid w:val="00C05669"/>
    <w:rsid w:val="00C062CD"/>
    <w:rsid w:val="00C06A0B"/>
    <w:rsid w:val="00C10A39"/>
    <w:rsid w:val="00C12D42"/>
    <w:rsid w:val="00C138D8"/>
    <w:rsid w:val="00C143B7"/>
    <w:rsid w:val="00C14630"/>
    <w:rsid w:val="00C14A08"/>
    <w:rsid w:val="00C15095"/>
    <w:rsid w:val="00C158DA"/>
    <w:rsid w:val="00C159CD"/>
    <w:rsid w:val="00C167A8"/>
    <w:rsid w:val="00C1738D"/>
    <w:rsid w:val="00C17663"/>
    <w:rsid w:val="00C202D3"/>
    <w:rsid w:val="00C2075E"/>
    <w:rsid w:val="00C20DC8"/>
    <w:rsid w:val="00C21805"/>
    <w:rsid w:val="00C21FC3"/>
    <w:rsid w:val="00C2257E"/>
    <w:rsid w:val="00C22B3A"/>
    <w:rsid w:val="00C26494"/>
    <w:rsid w:val="00C26AF5"/>
    <w:rsid w:val="00C26FCD"/>
    <w:rsid w:val="00C27166"/>
    <w:rsid w:val="00C2725D"/>
    <w:rsid w:val="00C2770D"/>
    <w:rsid w:val="00C27CF1"/>
    <w:rsid w:val="00C300E4"/>
    <w:rsid w:val="00C30173"/>
    <w:rsid w:val="00C308E7"/>
    <w:rsid w:val="00C30BD9"/>
    <w:rsid w:val="00C30D5E"/>
    <w:rsid w:val="00C318C3"/>
    <w:rsid w:val="00C36ADB"/>
    <w:rsid w:val="00C370AF"/>
    <w:rsid w:val="00C3715C"/>
    <w:rsid w:val="00C40EA8"/>
    <w:rsid w:val="00C41D55"/>
    <w:rsid w:val="00C41D80"/>
    <w:rsid w:val="00C42149"/>
    <w:rsid w:val="00C42697"/>
    <w:rsid w:val="00C43371"/>
    <w:rsid w:val="00C4362B"/>
    <w:rsid w:val="00C43647"/>
    <w:rsid w:val="00C437A5"/>
    <w:rsid w:val="00C43E56"/>
    <w:rsid w:val="00C44BF5"/>
    <w:rsid w:val="00C45109"/>
    <w:rsid w:val="00C454F0"/>
    <w:rsid w:val="00C462FD"/>
    <w:rsid w:val="00C46384"/>
    <w:rsid w:val="00C47F80"/>
    <w:rsid w:val="00C5050B"/>
    <w:rsid w:val="00C51077"/>
    <w:rsid w:val="00C5375C"/>
    <w:rsid w:val="00C53C52"/>
    <w:rsid w:val="00C54F19"/>
    <w:rsid w:val="00C552F6"/>
    <w:rsid w:val="00C56EC5"/>
    <w:rsid w:val="00C5759D"/>
    <w:rsid w:val="00C60B99"/>
    <w:rsid w:val="00C632D1"/>
    <w:rsid w:val="00C63B51"/>
    <w:rsid w:val="00C64075"/>
    <w:rsid w:val="00C65D2A"/>
    <w:rsid w:val="00C65E2B"/>
    <w:rsid w:val="00C66FAC"/>
    <w:rsid w:val="00C67300"/>
    <w:rsid w:val="00C67860"/>
    <w:rsid w:val="00C70F49"/>
    <w:rsid w:val="00C71400"/>
    <w:rsid w:val="00C71CEA"/>
    <w:rsid w:val="00C71FB2"/>
    <w:rsid w:val="00C72CCB"/>
    <w:rsid w:val="00C73A19"/>
    <w:rsid w:val="00C740F9"/>
    <w:rsid w:val="00C74942"/>
    <w:rsid w:val="00C74CFB"/>
    <w:rsid w:val="00C767D4"/>
    <w:rsid w:val="00C76E49"/>
    <w:rsid w:val="00C76FCD"/>
    <w:rsid w:val="00C773D7"/>
    <w:rsid w:val="00C777CC"/>
    <w:rsid w:val="00C77A1F"/>
    <w:rsid w:val="00C77B70"/>
    <w:rsid w:val="00C77B90"/>
    <w:rsid w:val="00C77C72"/>
    <w:rsid w:val="00C805EB"/>
    <w:rsid w:val="00C80BC4"/>
    <w:rsid w:val="00C80C77"/>
    <w:rsid w:val="00C8120A"/>
    <w:rsid w:val="00C8158D"/>
    <w:rsid w:val="00C81843"/>
    <w:rsid w:val="00C81D1E"/>
    <w:rsid w:val="00C81EEE"/>
    <w:rsid w:val="00C820FA"/>
    <w:rsid w:val="00C8257B"/>
    <w:rsid w:val="00C83618"/>
    <w:rsid w:val="00C83B30"/>
    <w:rsid w:val="00C86A12"/>
    <w:rsid w:val="00C86E82"/>
    <w:rsid w:val="00C90869"/>
    <w:rsid w:val="00C90A63"/>
    <w:rsid w:val="00C92F60"/>
    <w:rsid w:val="00C93425"/>
    <w:rsid w:val="00C938CB"/>
    <w:rsid w:val="00C954A9"/>
    <w:rsid w:val="00C95623"/>
    <w:rsid w:val="00C9589F"/>
    <w:rsid w:val="00C96BFC"/>
    <w:rsid w:val="00C97043"/>
    <w:rsid w:val="00C975F4"/>
    <w:rsid w:val="00CA0758"/>
    <w:rsid w:val="00CA1BFD"/>
    <w:rsid w:val="00CA1F61"/>
    <w:rsid w:val="00CA2638"/>
    <w:rsid w:val="00CA29B9"/>
    <w:rsid w:val="00CA2F47"/>
    <w:rsid w:val="00CA3211"/>
    <w:rsid w:val="00CA3A45"/>
    <w:rsid w:val="00CA45FE"/>
    <w:rsid w:val="00CA495C"/>
    <w:rsid w:val="00CA58FD"/>
    <w:rsid w:val="00CA5B9B"/>
    <w:rsid w:val="00CA5F2C"/>
    <w:rsid w:val="00CA6206"/>
    <w:rsid w:val="00CA658A"/>
    <w:rsid w:val="00CA69E5"/>
    <w:rsid w:val="00CA6F52"/>
    <w:rsid w:val="00CA70FB"/>
    <w:rsid w:val="00CA71DE"/>
    <w:rsid w:val="00CA7DF1"/>
    <w:rsid w:val="00CB0104"/>
    <w:rsid w:val="00CB14A7"/>
    <w:rsid w:val="00CB17FE"/>
    <w:rsid w:val="00CB1A1C"/>
    <w:rsid w:val="00CB1CDB"/>
    <w:rsid w:val="00CB248C"/>
    <w:rsid w:val="00CB31D9"/>
    <w:rsid w:val="00CB3DED"/>
    <w:rsid w:val="00CB60E9"/>
    <w:rsid w:val="00CB6A55"/>
    <w:rsid w:val="00CB6AD1"/>
    <w:rsid w:val="00CB7087"/>
    <w:rsid w:val="00CB73FB"/>
    <w:rsid w:val="00CB7D7B"/>
    <w:rsid w:val="00CC0D48"/>
    <w:rsid w:val="00CC1CC7"/>
    <w:rsid w:val="00CC1EA5"/>
    <w:rsid w:val="00CC1EDF"/>
    <w:rsid w:val="00CC2576"/>
    <w:rsid w:val="00CC2E22"/>
    <w:rsid w:val="00CC2ED3"/>
    <w:rsid w:val="00CC3A14"/>
    <w:rsid w:val="00CC3FA0"/>
    <w:rsid w:val="00CC45C5"/>
    <w:rsid w:val="00CC58A5"/>
    <w:rsid w:val="00CC5971"/>
    <w:rsid w:val="00CC599B"/>
    <w:rsid w:val="00CC6E47"/>
    <w:rsid w:val="00CD0015"/>
    <w:rsid w:val="00CD08A0"/>
    <w:rsid w:val="00CD08A2"/>
    <w:rsid w:val="00CD15CC"/>
    <w:rsid w:val="00CD23ED"/>
    <w:rsid w:val="00CD2DDA"/>
    <w:rsid w:val="00CD3021"/>
    <w:rsid w:val="00CD3B19"/>
    <w:rsid w:val="00CD5DA8"/>
    <w:rsid w:val="00CD5FE9"/>
    <w:rsid w:val="00CD6098"/>
    <w:rsid w:val="00CD65A0"/>
    <w:rsid w:val="00CD6B04"/>
    <w:rsid w:val="00CD70A3"/>
    <w:rsid w:val="00CD72A4"/>
    <w:rsid w:val="00CE0201"/>
    <w:rsid w:val="00CE0934"/>
    <w:rsid w:val="00CE1ECF"/>
    <w:rsid w:val="00CE250B"/>
    <w:rsid w:val="00CE3039"/>
    <w:rsid w:val="00CE3402"/>
    <w:rsid w:val="00CE36B1"/>
    <w:rsid w:val="00CE4390"/>
    <w:rsid w:val="00CE4CBC"/>
    <w:rsid w:val="00CE4F73"/>
    <w:rsid w:val="00CE65C5"/>
    <w:rsid w:val="00CF0261"/>
    <w:rsid w:val="00CF0F2E"/>
    <w:rsid w:val="00CF1D9E"/>
    <w:rsid w:val="00CF1EEC"/>
    <w:rsid w:val="00CF3C01"/>
    <w:rsid w:val="00CF3DFA"/>
    <w:rsid w:val="00CF4112"/>
    <w:rsid w:val="00CF41F1"/>
    <w:rsid w:val="00CF45E8"/>
    <w:rsid w:val="00CF5539"/>
    <w:rsid w:val="00CF5901"/>
    <w:rsid w:val="00CF6D57"/>
    <w:rsid w:val="00CF6F87"/>
    <w:rsid w:val="00D01826"/>
    <w:rsid w:val="00D01D18"/>
    <w:rsid w:val="00D025E5"/>
    <w:rsid w:val="00D0281F"/>
    <w:rsid w:val="00D02856"/>
    <w:rsid w:val="00D02B1B"/>
    <w:rsid w:val="00D02EE3"/>
    <w:rsid w:val="00D02FFD"/>
    <w:rsid w:val="00D038BC"/>
    <w:rsid w:val="00D03BE9"/>
    <w:rsid w:val="00D03F8C"/>
    <w:rsid w:val="00D046EF"/>
    <w:rsid w:val="00D04AA4"/>
    <w:rsid w:val="00D04DFD"/>
    <w:rsid w:val="00D06E21"/>
    <w:rsid w:val="00D0788A"/>
    <w:rsid w:val="00D07C28"/>
    <w:rsid w:val="00D1005E"/>
    <w:rsid w:val="00D1074A"/>
    <w:rsid w:val="00D10B9D"/>
    <w:rsid w:val="00D110E2"/>
    <w:rsid w:val="00D11F1A"/>
    <w:rsid w:val="00D12916"/>
    <w:rsid w:val="00D12B51"/>
    <w:rsid w:val="00D12D7D"/>
    <w:rsid w:val="00D12D80"/>
    <w:rsid w:val="00D12EF8"/>
    <w:rsid w:val="00D13346"/>
    <w:rsid w:val="00D13D57"/>
    <w:rsid w:val="00D149E5"/>
    <w:rsid w:val="00D14F9C"/>
    <w:rsid w:val="00D150EC"/>
    <w:rsid w:val="00D16532"/>
    <w:rsid w:val="00D17189"/>
    <w:rsid w:val="00D1732C"/>
    <w:rsid w:val="00D17C24"/>
    <w:rsid w:val="00D21617"/>
    <w:rsid w:val="00D21CB7"/>
    <w:rsid w:val="00D21CEB"/>
    <w:rsid w:val="00D23EDE"/>
    <w:rsid w:val="00D24252"/>
    <w:rsid w:val="00D242CC"/>
    <w:rsid w:val="00D244DF"/>
    <w:rsid w:val="00D249E3"/>
    <w:rsid w:val="00D25627"/>
    <w:rsid w:val="00D25C06"/>
    <w:rsid w:val="00D25C55"/>
    <w:rsid w:val="00D262F9"/>
    <w:rsid w:val="00D26A53"/>
    <w:rsid w:val="00D26E45"/>
    <w:rsid w:val="00D274F5"/>
    <w:rsid w:val="00D2770F"/>
    <w:rsid w:val="00D30011"/>
    <w:rsid w:val="00D30E3C"/>
    <w:rsid w:val="00D31C4C"/>
    <w:rsid w:val="00D33A9A"/>
    <w:rsid w:val="00D33E21"/>
    <w:rsid w:val="00D33ED7"/>
    <w:rsid w:val="00D34458"/>
    <w:rsid w:val="00D34867"/>
    <w:rsid w:val="00D34DF0"/>
    <w:rsid w:val="00D35BFB"/>
    <w:rsid w:val="00D35D0D"/>
    <w:rsid w:val="00D3733D"/>
    <w:rsid w:val="00D377C0"/>
    <w:rsid w:val="00D40361"/>
    <w:rsid w:val="00D40D72"/>
    <w:rsid w:val="00D41A68"/>
    <w:rsid w:val="00D430B8"/>
    <w:rsid w:val="00D44333"/>
    <w:rsid w:val="00D447BE"/>
    <w:rsid w:val="00D452DA"/>
    <w:rsid w:val="00D459F8"/>
    <w:rsid w:val="00D46D16"/>
    <w:rsid w:val="00D47841"/>
    <w:rsid w:val="00D51378"/>
    <w:rsid w:val="00D5224C"/>
    <w:rsid w:val="00D52509"/>
    <w:rsid w:val="00D52595"/>
    <w:rsid w:val="00D52DD1"/>
    <w:rsid w:val="00D54EE5"/>
    <w:rsid w:val="00D554FA"/>
    <w:rsid w:val="00D55D8F"/>
    <w:rsid w:val="00D566F8"/>
    <w:rsid w:val="00D5689B"/>
    <w:rsid w:val="00D573FA"/>
    <w:rsid w:val="00D57858"/>
    <w:rsid w:val="00D57A3F"/>
    <w:rsid w:val="00D61B14"/>
    <w:rsid w:val="00D62424"/>
    <w:rsid w:val="00D62740"/>
    <w:rsid w:val="00D64849"/>
    <w:rsid w:val="00D64896"/>
    <w:rsid w:val="00D64ED3"/>
    <w:rsid w:val="00D65ED5"/>
    <w:rsid w:val="00D672CB"/>
    <w:rsid w:val="00D70300"/>
    <w:rsid w:val="00D704FB"/>
    <w:rsid w:val="00D71086"/>
    <w:rsid w:val="00D71ABC"/>
    <w:rsid w:val="00D72535"/>
    <w:rsid w:val="00D727A0"/>
    <w:rsid w:val="00D72866"/>
    <w:rsid w:val="00D7444C"/>
    <w:rsid w:val="00D74520"/>
    <w:rsid w:val="00D74904"/>
    <w:rsid w:val="00D74A12"/>
    <w:rsid w:val="00D7585D"/>
    <w:rsid w:val="00D779FC"/>
    <w:rsid w:val="00D77C28"/>
    <w:rsid w:val="00D8023A"/>
    <w:rsid w:val="00D804CA"/>
    <w:rsid w:val="00D80676"/>
    <w:rsid w:val="00D81617"/>
    <w:rsid w:val="00D81A17"/>
    <w:rsid w:val="00D837F9"/>
    <w:rsid w:val="00D83EC7"/>
    <w:rsid w:val="00D846F7"/>
    <w:rsid w:val="00D85C05"/>
    <w:rsid w:val="00D85F51"/>
    <w:rsid w:val="00D8611A"/>
    <w:rsid w:val="00D87571"/>
    <w:rsid w:val="00D87603"/>
    <w:rsid w:val="00D90FBF"/>
    <w:rsid w:val="00D92315"/>
    <w:rsid w:val="00D92C82"/>
    <w:rsid w:val="00D92FF5"/>
    <w:rsid w:val="00D93E85"/>
    <w:rsid w:val="00D94009"/>
    <w:rsid w:val="00D94972"/>
    <w:rsid w:val="00D94DB0"/>
    <w:rsid w:val="00D94F96"/>
    <w:rsid w:val="00D94FF0"/>
    <w:rsid w:val="00D9539A"/>
    <w:rsid w:val="00D9558C"/>
    <w:rsid w:val="00D958CB"/>
    <w:rsid w:val="00D95B5C"/>
    <w:rsid w:val="00D961D2"/>
    <w:rsid w:val="00D96D71"/>
    <w:rsid w:val="00DA1E2A"/>
    <w:rsid w:val="00DA290F"/>
    <w:rsid w:val="00DA2935"/>
    <w:rsid w:val="00DA3BCB"/>
    <w:rsid w:val="00DA48D6"/>
    <w:rsid w:val="00DA4ED3"/>
    <w:rsid w:val="00DA6091"/>
    <w:rsid w:val="00DA62BA"/>
    <w:rsid w:val="00DA74DE"/>
    <w:rsid w:val="00DA787D"/>
    <w:rsid w:val="00DA79EE"/>
    <w:rsid w:val="00DB0B0A"/>
    <w:rsid w:val="00DB1F36"/>
    <w:rsid w:val="00DB2234"/>
    <w:rsid w:val="00DB3394"/>
    <w:rsid w:val="00DB36A2"/>
    <w:rsid w:val="00DB3752"/>
    <w:rsid w:val="00DB3906"/>
    <w:rsid w:val="00DB406F"/>
    <w:rsid w:val="00DB4597"/>
    <w:rsid w:val="00DB56C9"/>
    <w:rsid w:val="00DB5AF6"/>
    <w:rsid w:val="00DB66F6"/>
    <w:rsid w:val="00DB76BA"/>
    <w:rsid w:val="00DC01A7"/>
    <w:rsid w:val="00DC2A53"/>
    <w:rsid w:val="00DC4260"/>
    <w:rsid w:val="00DC7FBE"/>
    <w:rsid w:val="00DD026B"/>
    <w:rsid w:val="00DD12E7"/>
    <w:rsid w:val="00DD2B77"/>
    <w:rsid w:val="00DD3071"/>
    <w:rsid w:val="00DD3B73"/>
    <w:rsid w:val="00DD40B6"/>
    <w:rsid w:val="00DD4695"/>
    <w:rsid w:val="00DD4A48"/>
    <w:rsid w:val="00DD590C"/>
    <w:rsid w:val="00DD69A9"/>
    <w:rsid w:val="00DD6C3E"/>
    <w:rsid w:val="00DD6C56"/>
    <w:rsid w:val="00DD7445"/>
    <w:rsid w:val="00DE02F5"/>
    <w:rsid w:val="00DE0FEE"/>
    <w:rsid w:val="00DE14A3"/>
    <w:rsid w:val="00DE1B82"/>
    <w:rsid w:val="00DE24D8"/>
    <w:rsid w:val="00DE35A7"/>
    <w:rsid w:val="00DE3FDA"/>
    <w:rsid w:val="00DE421C"/>
    <w:rsid w:val="00DE4F28"/>
    <w:rsid w:val="00DE5999"/>
    <w:rsid w:val="00DE6B78"/>
    <w:rsid w:val="00DE71B9"/>
    <w:rsid w:val="00DE78C5"/>
    <w:rsid w:val="00DF013F"/>
    <w:rsid w:val="00DF02AD"/>
    <w:rsid w:val="00DF07B2"/>
    <w:rsid w:val="00DF1978"/>
    <w:rsid w:val="00DF23ED"/>
    <w:rsid w:val="00DF29CB"/>
    <w:rsid w:val="00DF3383"/>
    <w:rsid w:val="00DF3AEB"/>
    <w:rsid w:val="00DF4636"/>
    <w:rsid w:val="00DF4674"/>
    <w:rsid w:val="00DF4A4B"/>
    <w:rsid w:val="00DF4BB5"/>
    <w:rsid w:val="00DF4F49"/>
    <w:rsid w:val="00DF57E7"/>
    <w:rsid w:val="00DF59D0"/>
    <w:rsid w:val="00DF6179"/>
    <w:rsid w:val="00DF63E6"/>
    <w:rsid w:val="00DF69A7"/>
    <w:rsid w:val="00DF7307"/>
    <w:rsid w:val="00E03C56"/>
    <w:rsid w:val="00E04A30"/>
    <w:rsid w:val="00E062E4"/>
    <w:rsid w:val="00E0696D"/>
    <w:rsid w:val="00E0780F"/>
    <w:rsid w:val="00E07952"/>
    <w:rsid w:val="00E10B6F"/>
    <w:rsid w:val="00E117DE"/>
    <w:rsid w:val="00E12945"/>
    <w:rsid w:val="00E14469"/>
    <w:rsid w:val="00E151EC"/>
    <w:rsid w:val="00E157C4"/>
    <w:rsid w:val="00E1601A"/>
    <w:rsid w:val="00E1735B"/>
    <w:rsid w:val="00E20593"/>
    <w:rsid w:val="00E20C74"/>
    <w:rsid w:val="00E20CC4"/>
    <w:rsid w:val="00E2370B"/>
    <w:rsid w:val="00E2480F"/>
    <w:rsid w:val="00E24F6B"/>
    <w:rsid w:val="00E259F5"/>
    <w:rsid w:val="00E2632F"/>
    <w:rsid w:val="00E3012A"/>
    <w:rsid w:val="00E30312"/>
    <w:rsid w:val="00E30459"/>
    <w:rsid w:val="00E3075D"/>
    <w:rsid w:val="00E30AFC"/>
    <w:rsid w:val="00E31669"/>
    <w:rsid w:val="00E31C05"/>
    <w:rsid w:val="00E31C30"/>
    <w:rsid w:val="00E31E3E"/>
    <w:rsid w:val="00E32712"/>
    <w:rsid w:val="00E3283A"/>
    <w:rsid w:val="00E3334A"/>
    <w:rsid w:val="00E33FC1"/>
    <w:rsid w:val="00E34994"/>
    <w:rsid w:val="00E34A6D"/>
    <w:rsid w:val="00E356E2"/>
    <w:rsid w:val="00E363CD"/>
    <w:rsid w:val="00E3724A"/>
    <w:rsid w:val="00E403FD"/>
    <w:rsid w:val="00E41172"/>
    <w:rsid w:val="00E41E55"/>
    <w:rsid w:val="00E41FC7"/>
    <w:rsid w:val="00E428F7"/>
    <w:rsid w:val="00E42D65"/>
    <w:rsid w:val="00E4336F"/>
    <w:rsid w:val="00E44A53"/>
    <w:rsid w:val="00E45455"/>
    <w:rsid w:val="00E46286"/>
    <w:rsid w:val="00E4712B"/>
    <w:rsid w:val="00E50DCA"/>
    <w:rsid w:val="00E5110D"/>
    <w:rsid w:val="00E51A06"/>
    <w:rsid w:val="00E520AF"/>
    <w:rsid w:val="00E522B8"/>
    <w:rsid w:val="00E53D46"/>
    <w:rsid w:val="00E53E6B"/>
    <w:rsid w:val="00E54245"/>
    <w:rsid w:val="00E54CDD"/>
    <w:rsid w:val="00E605D3"/>
    <w:rsid w:val="00E611BF"/>
    <w:rsid w:val="00E621E6"/>
    <w:rsid w:val="00E6350D"/>
    <w:rsid w:val="00E63777"/>
    <w:rsid w:val="00E63A0F"/>
    <w:rsid w:val="00E63A70"/>
    <w:rsid w:val="00E65127"/>
    <w:rsid w:val="00E65A3F"/>
    <w:rsid w:val="00E65DB9"/>
    <w:rsid w:val="00E662A8"/>
    <w:rsid w:val="00E66823"/>
    <w:rsid w:val="00E66870"/>
    <w:rsid w:val="00E66EF0"/>
    <w:rsid w:val="00E6726C"/>
    <w:rsid w:val="00E67830"/>
    <w:rsid w:val="00E67A77"/>
    <w:rsid w:val="00E70D68"/>
    <w:rsid w:val="00E71ED7"/>
    <w:rsid w:val="00E720D5"/>
    <w:rsid w:val="00E722E7"/>
    <w:rsid w:val="00E72866"/>
    <w:rsid w:val="00E7317A"/>
    <w:rsid w:val="00E739FD"/>
    <w:rsid w:val="00E752F7"/>
    <w:rsid w:val="00E776DD"/>
    <w:rsid w:val="00E817CF"/>
    <w:rsid w:val="00E82A2A"/>
    <w:rsid w:val="00E82F58"/>
    <w:rsid w:val="00E844E4"/>
    <w:rsid w:val="00E847B3"/>
    <w:rsid w:val="00E84B46"/>
    <w:rsid w:val="00E8570C"/>
    <w:rsid w:val="00E85AB5"/>
    <w:rsid w:val="00E85E18"/>
    <w:rsid w:val="00E86009"/>
    <w:rsid w:val="00E86362"/>
    <w:rsid w:val="00E87032"/>
    <w:rsid w:val="00E873DC"/>
    <w:rsid w:val="00E87937"/>
    <w:rsid w:val="00E87CCF"/>
    <w:rsid w:val="00E87F84"/>
    <w:rsid w:val="00E87FF7"/>
    <w:rsid w:val="00E929BF"/>
    <w:rsid w:val="00E931F9"/>
    <w:rsid w:val="00E9322A"/>
    <w:rsid w:val="00E96A68"/>
    <w:rsid w:val="00E97262"/>
    <w:rsid w:val="00EA12CE"/>
    <w:rsid w:val="00EA152E"/>
    <w:rsid w:val="00EA20DB"/>
    <w:rsid w:val="00EA2243"/>
    <w:rsid w:val="00EA2B4C"/>
    <w:rsid w:val="00EA2EB7"/>
    <w:rsid w:val="00EA3E6C"/>
    <w:rsid w:val="00EA4063"/>
    <w:rsid w:val="00EA4FC0"/>
    <w:rsid w:val="00EA5BB0"/>
    <w:rsid w:val="00EA7F5D"/>
    <w:rsid w:val="00EB0524"/>
    <w:rsid w:val="00EB0D36"/>
    <w:rsid w:val="00EB1AF8"/>
    <w:rsid w:val="00EB247D"/>
    <w:rsid w:val="00EB34C2"/>
    <w:rsid w:val="00EB3DFF"/>
    <w:rsid w:val="00EB4879"/>
    <w:rsid w:val="00EB5802"/>
    <w:rsid w:val="00EB61BC"/>
    <w:rsid w:val="00EB6BF4"/>
    <w:rsid w:val="00EB7FB4"/>
    <w:rsid w:val="00EC0C8C"/>
    <w:rsid w:val="00EC20A7"/>
    <w:rsid w:val="00EC30C7"/>
    <w:rsid w:val="00EC3AA8"/>
    <w:rsid w:val="00EC4089"/>
    <w:rsid w:val="00EC5FC6"/>
    <w:rsid w:val="00ED0629"/>
    <w:rsid w:val="00ED1324"/>
    <w:rsid w:val="00ED311B"/>
    <w:rsid w:val="00ED3374"/>
    <w:rsid w:val="00ED3836"/>
    <w:rsid w:val="00ED3863"/>
    <w:rsid w:val="00ED40E9"/>
    <w:rsid w:val="00ED6E18"/>
    <w:rsid w:val="00ED75D2"/>
    <w:rsid w:val="00EE0578"/>
    <w:rsid w:val="00EE05FF"/>
    <w:rsid w:val="00EE08F5"/>
    <w:rsid w:val="00EE0A18"/>
    <w:rsid w:val="00EE1BF0"/>
    <w:rsid w:val="00EE21D9"/>
    <w:rsid w:val="00EE24E6"/>
    <w:rsid w:val="00EE2F2E"/>
    <w:rsid w:val="00EE3F2F"/>
    <w:rsid w:val="00EE4A31"/>
    <w:rsid w:val="00EE502A"/>
    <w:rsid w:val="00EE59F6"/>
    <w:rsid w:val="00EE7155"/>
    <w:rsid w:val="00EE722D"/>
    <w:rsid w:val="00EF0778"/>
    <w:rsid w:val="00EF1382"/>
    <w:rsid w:val="00EF2148"/>
    <w:rsid w:val="00EF3782"/>
    <w:rsid w:val="00EF427F"/>
    <w:rsid w:val="00EF5190"/>
    <w:rsid w:val="00EF7608"/>
    <w:rsid w:val="00F0003A"/>
    <w:rsid w:val="00F009CC"/>
    <w:rsid w:val="00F00DB8"/>
    <w:rsid w:val="00F01E5E"/>
    <w:rsid w:val="00F02948"/>
    <w:rsid w:val="00F02E94"/>
    <w:rsid w:val="00F02FC0"/>
    <w:rsid w:val="00F0425B"/>
    <w:rsid w:val="00F067B0"/>
    <w:rsid w:val="00F06923"/>
    <w:rsid w:val="00F06DF9"/>
    <w:rsid w:val="00F07A4C"/>
    <w:rsid w:val="00F101F9"/>
    <w:rsid w:val="00F12DA8"/>
    <w:rsid w:val="00F1380B"/>
    <w:rsid w:val="00F138A7"/>
    <w:rsid w:val="00F1410E"/>
    <w:rsid w:val="00F15ACA"/>
    <w:rsid w:val="00F16D68"/>
    <w:rsid w:val="00F2029B"/>
    <w:rsid w:val="00F20A88"/>
    <w:rsid w:val="00F20B0E"/>
    <w:rsid w:val="00F20F6E"/>
    <w:rsid w:val="00F20FD5"/>
    <w:rsid w:val="00F2174E"/>
    <w:rsid w:val="00F21BFF"/>
    <w:rsid w:val="00F21F0B"/>
    <w:rsid w:val="00F220DF"/>
    <w:rsid w:val="00F222AB"/>
    <w:rsid w:val="00F2246C"/>
    <w:rsid w:val="00F225E7"/>
    <w:rsid w:val="00F22C2B"/>
    <w:rsid w:val="00F22DA9"/>
    <w:rsid w:val="00F2346E"/>
    <w:rsid w:val="00F26B5B"/>
    <w:rsid w:val="00F27A27"/>
    <w:rsid w:val="00F301C6"/>
    <w:rsid w:val="00F31387"/>
    <w:rsid w:val="00F31791"/>
    <w:rsid w:val="00F331FD"/>
    <w:rsid w:val="00F332B3"/>
    <w:rsid w:val="00F33DB1"/>
    <w:rsid w:val="00F34DE0"/>
    <w:rsid w:val="00F35BDE"/>
    <w:rsid w:val="00F3616D"/>
    <w:rsid w:val="00F37B20"/>
    <w:rsid w:val="00F40E41"/>
    <w:rsid w:val="00F4187C"/>
    <w:rsid w:val="00F42033"/>
    <w:rsid w:val="00F43659"/>
    <w:rsid w:val="00F43CE4"/>
    <w:rsid w:val="00F44725"/>
    <w:rsid w:val="00F50002"/>
    <w:rsid w:val="00F501AB"/>
    <w:rsid w:val="00F50BB9"/>
    <w:rsid w:val="00F51480"/>
    <w:rsid w:val="00F52B58"/>
    <w:rsid w:val="00F52C8A"/>
    <w:rsid w:val="00F52DFF"/>
    <w:rsid w:val="00F53561"/>
    <w:rsid w:val="00F53C60"/>
    <w:rsid w:val="00F53F01"/>
    <w:rsid w:val="00F56C78"/>
    <w:rsid w:val="00F578DB"/>
    <w:rsid w:val="00F57DFB"/>
    <w:rsid w:val="00F6045F"/>
    <w:rsid w:val="00F6057A"/>
    <w:rsid w:val="00F60A06"/>
    <w:rsid w:val="00F60E4F"/>
    <w:rsid w:val="00F62B1D"/>
    <w:rsid w:val="00F641F9"/>
    <w:rsid w:val="00F65667"/>
    <w:rsid w:val="00F65785"/>
    <w:rsid w:val="00F6591A"/>
    <w:rsid w:val="00F65BC2"/>
    <w:rsid w:val="00F65DBB"/>
    <w:rsid w:val="00F668A6"/>
    <w:rsid w:val="00F66A84"/>
    <w:rsid w:val="00F66E58"/>
    <w:rsid w:val="00F6749D"/>
    <w:rsid w:val="00F702CE"/>
    <w:rsid w:val="00F7037F"/>
    <w:rsid w:val="00F707EE"/>
    <w:rsid w:val="00F7354F"/>
    <w:rsid w:val="00F73CB5"/>
    <w:rsid w:val="00F74E27"/>
    <w:rsid w:val="00F75140"/>
    <w:rsid w:val="00F75AC1"/>
    <w:rsid w:val="00F75C92"/>
    <w:rsid w:val="00F769D0"/>
    <w:rsid w:val="00F77132"/>
    <w:rsid w:val="00F77CA4"/>
    <w:rsid w:val="00F77E5C"/>
    <w:rsid w:val="00F8039A"/>
    <w:rsid w:val="00F80D3F"/>
    <w:rsid w:val="00F80DAA"/>
    <w:rsid w:val="00F80FD9"/>
    <w:rsid w:val="00F813C2"/>
    <w:rsid w:val="00F8178A"/>
    <w:rsid w:val="00F81813"/>
    <w:rsid w:val="00F81BFC"/>
    <w:rsid w:val="00F83991"/>
    <w:rsid w:val="00F83B14"/>
    <w:rsid w:val="00F85055"/>
    <w:rsid w:val="00F85097"/>
    <w:rsid w:val="00F865EB"/>
    <w:rsid w:val="00F86E2B"/>
    <w:rsid w:val="00F8700A"/>
    <w:rsid w:val="00F8746F"/>
    <w:rsid w:val="00F87A5A"/>
    <w:rsid w:val="00F9062C"/>
    <w:rsid w:val="00F91A87"/>
    <w:rsid w:val="00F9233D"/>
    <w:rsid w:val="00F927C6"/>
    <w:rsid w:val="00F92A2F"/>
    <w:rsid w:val="00F92D9A"/>
    <w:rsid w:val="00F937BF"/>
    <w:rsid w:val="00F93B27"/>
    <w:rsid w:val="00F93D73"/>
    <w:rsid w:val="00F94BCF"/>
    <w:rsid w:val="00F950D1"/>
    <w:rsid w:val="00F96B54"/>
    <w:rsid w:val="00F97C50"/>
    <w:rsid w:val="00F97FB7"/>
    <w:rsid w:val="00FA0D67"/>
    <w:rsid w:val="00FA153F"/>
    <w:rsid w:val="00FA1CB1"/>
    <w:rsid w:val="00FA2364"/>
    <w:rsid w:val="00FA27AF"/>
    <w:rsid w:val="00FA29F5"/>
    <w:rsid w:val="00FA2E85"/>
    <w:rsid w:val="00FA3211"/>
    <w:rsid w:val="00FA51DD"/>
    <w:rsid w:val="00FA57D2"/>
    <w:rsid w:val="00FA5D21"/>
    <w:rsid w:val="00FA6DCF"/>
    <w:rsid w:val="00FA6DF9"/>
    <w:rsid w:val="00FB029A"/>
    <w:rsid w:val="00FB03DB"/>
    <w:rsid w:val="00FB0A8E"/>
    <w:rsid w:val="00FB1EE1"/>
    <w:rsid w:val="00FB222B"/>
    <w:rsid w:val="00FB4CA7"/>
    <w:rsid w:val="00FB56C4"/>
    <w:rsid w:val="00FB5AA8"/>
    <w:rsid w:val="00FB6D48"/>
    <w:rsid w:val="00FB7A71"/>
    <w:rsid w:val="00FC26A3"/>
    <w:rsid w:val="00FC3409"/>
    <w:rsid w:val="00FC3CA6"/>
    <w:rsid w:val="00FC4ECD"/>
    <w:rsid w:val="00FC526E"/>
    <w:rsid w:val="00FC52B6"/>
    <w:rsid w:val="00FC6807"/>
    <w:rsid w:val="00FC7815"/>
    <w:rsid w:val="00FD04B9"/>
    <w:rsid w:val="00FD1CB9"/>
    <w:rsid w:val="00FD2C88"/>
    <w:rsid w:val="00FD34CE"/>
    <w:rsid w:val="00FD445A"/>
    <w:rsid w:val="00FD44F2"/>
    <w:rsid w:val="00FD6918"/>
    <w:rsid w:val="00FD7A9E"/>
    <w:rsid w:val="00FD7AF6"/>
    <w:rsid w:val="00FD7CF4"/>
    <w:rsid w:val="00FD7F20"/>
    <w:rsid w:val="00FE0B16"/>
    <w:rsid w:val="00FE1168"/>
    <w:rsid w:val="00FE11E1"/>
    <w:rsid w:val="00FE137B"/>
    <w:rsid w:val="00FE1806"/>
    <w:rsid w:val="00FE2F1E"/>
    <w:rsid w:val="00FE3379"/>
    <w:rsid w:val="00FE33CC"/>
    <w:rsid w:val="00FE37AE"/>
    <w:rsid w:val="00FE3D3C"/>
    <w:rsid w:val="00FE693E"/>
    <w:rsid w:val="00FE6CF7"/>
    <w:rsid w:val="00FE7B90"/>
    <w:rsid w:val="00FE7BDF"/>
    <w:rsid w:val="00FF0DB8"/>
    <w:rsid w:val="00FF0EEE"/>
    <w:rsid w:val="00FF1634"/>
    <w:rsid w:val="00FF1E0E"/>
    <w:rsid w:val="00FF3C0F"/>
    <w:rsid w:val="00FF3CBA"/>
    <w:rsid w:val="00FF45FC"/>
    <w:rsid w:val="00FF4656"/>
    <w:rsid w:val="00FF4904"/>
    <w:rsid w:val="00FF5412"/>
    <w:rsid w:val="00FF6762"/>
    <w:rsid w:val="00FF6D06"/>
    <w:rsid w:val="00FF7869"/>
    <w:rsid w:val="00FF7BCE"/>
    <w:rsid w:val="01AC95AB"/>
    <w:rsid w:val="01ECBF63"/>
    <w:rsid w:val="02FE6FA7"/>
    <w:rsid w:val="0415CDBF"/>
    <w:rsid w:val="043AA31B"/>
    <w:rsid w:val="05B14A99"/>
    <w:rsid w:val="0738D1D7"/>
    <w:rsid w:val="08DF6932"/>
    <w:rsid w:val="098C6B56"/>
    <w:rsid w:val="0B3B8FDD"/>
    <w:rsid w:val="0B868804"/>
    <w:rsid w:val="0E94A0BE"/>
    <w:rsid w:val="0EAE38BF"/>
    <w:rsid w:val="10834FEA"/>
    <w:rsid w:val="111D5ACA"/>
    <w:rsid w:val="1457A2AC"/>
    <w:rsid w:val="167469D5"/>
    <w:rsid w:val="169B9764"/>
    <w:rsid w:val="169FC118"/>
    <w:rsid w:val="187748AC"/>
    <w:rsid w:val="19586E62"/>
    <w:rsid w:val="198BDCED"/>
    <w:rsid w:val="1A45C484"/>
    <w:rsid w:val="201E0CE9"/>
    <w:rsid w:val="20ACA4D1"/>
    <w:rsid w:val="2178E5F9"/>
    <w:rsid w:val="21AF6FB5"/>
    <w:rsid w:val="236FD89C"/>
    <w:rsid w:val="25EC559F"/>
    <w:rsid w:val="261F71B0"/>
    <w:rsid w:val="27068FEF"/>
    <w:rsid w:val="27CE38BD"/>
    <w:rsid w:val="2A01717A"/>
    <w:rsid w:val="2A09FD59"/>
    <w:rsid w:val="2A497AF5"/>
    <w:rsid w:val="2AF05F01"/>
    <w:rsid w:val="2CC03175"/>
    <w:rsid w:val="2CC9BF28"/>
    <w:rsid w:val="2CFFF116"/>
    <w:rsid w:val="2D02BAD4"/>
    <w:rsid w:val="2D5DE8B8"/>
    <w:rsid w:val="2E9C9A00"/>
    <w:rsid w:val="2EF3BE7D"/>
    <w:rsid w:val="2F4C2ACA"/>
    <w:rsid w:val="302B3836"/>
    <w:rsid w:val="3062B8F5"/>
    <w:rsid w:val="31CE3021"/>
    <w:rsid w:val="3781DB99"/>
    <w:rsid w:val="38DC34A7"/>
    <w:rsid w:val="394F96DF"/>
    <w:rsid w:val="3A21C1F0"/>
    <w:rsid w:val="3AD2FD5A"/>
    <w:rsid w:val="3EBA6CE0"/>
    <w:rsid w:val="3FC880D9"/>
    <w:rsid w:val="3FF01D49"/>
    <w:rsid w:val="40FF4167"/>
    <w:rsid w:val="468D06B7"/>
    <w:rsid w:val="486C0369"/>
    <w:rsid w:val="49B57F6C"/>
    <w:rsid w:val="4AA78AE1"/>
    <w:rsid w:val="4BB7A9D8"/>
    <w:rsid w:val="4D0505B9"/>
    <w:rsid w:val="4E4FE323"/>
    <w:rsid w:val="50BADD4D"/>
    <w:rsid w:val="517DC3C1"/>
    <w:rsid w:val="5199A683"/>
    <w:rsid w:val="51ECEF89"/>
    <w:rsid w:val="52061421"/>
    <w:rsid w:val="52B28283"/>
    <w:rsid w:val="52DB6DE3"/>
    <w:rsid w:val="5308722D"/>
    <w:rsid w:val="531F7D66"/>
    <w:rsid w:val="54009F24"/>
    <w:rsid w:val="5487B277"/>
    <w:rsid w:val="5558F5BA"/>
    <w:rsid w:val="5614CE31"/>
    <w:rsid w:val="5762A046"/>
    <w:rsid w:val="5A0002E4"/>
    <w:rsid w:val="5B64E05F"/>
    <w:rsid w:val="5C8CA9BC"/>
    <w:rsid w:val="5CD68C5B"/>
    <w:rsid w:val="5D41C547"/>
    <w:rsid w:val="5F7CEA2C"/>
    <w:rsid w:val="60F34F87"/>
    <w:rsid w:val="61980652"/>
    <w:rsid w:val="62319BB7"/>
    <w:rsid w:val="628F1FE8"/>
    <w:rsid w:val="62DFFF72"/>
    <w:rsid w:val="649675F9"/>
    <w:rsid w:val="64ABB782"/>
    <w:rsid w:val="654434BC"/>
    <w:rsid w:val="65D3C279"/>
    <w:rsid w:val="65E7DE7F"/>
    <w:rsid w:val="6A3D278A"/>
    <w:rsid w:val="6A7E16EC"/>
    <w:rsid w:val="6C07EA5C"/>
    <w:rsid w:val="6CC69C3A"/>
    <w:rsid w:val="6DC4B623"/>
    <w:rsid w:val="6EF17D5F"/>
    <w:rsid w:val="6F9B5069"/>
    <w:rsid w:val="702ECDBB"/>
    <w:rsid w:val="70A91F59"/>
    <w:rsid w:val="72F28027"/>
    <w:rsid w:val="738BDFD1"/>
    <w:rsid w:val="739DD883"/>
    <w:rsid w:val="73A22331"/>
    <w:rsid w:val="7484C2E3"/>
    <w:rsid w:val="7580193C"/>
    <w:rsid w:val="75C669F2"/>
    <w:rsid w:val="76B0C18A"/>
    <w:rsid w:val="7ADDC68C"/>
    <w:rsid w:val="7B29061C"/>
    <w:rsid w:val="7BAE6E22"/>
    <w:rsid w:val="7CF67322"/>
    <w:rsid w:val="7D29DD49"/>
    <w:rsid w:val="7E8D8BFB"/>
    <w:rsid w:val="7FA4FE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38222B"/>
  <w14:defaultImageDpi w14:val="300"/>
  <w15:docId w15:val="{6F0E46BD-3500-4B35-933A-657C8B2D4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9B"/>
    <w:rPr>
      <w:rFonts w:ascii="Verdana" w:hAnsi="Verdana"/>
    </w:rPr>
  </w:style>
  <w:style w:type="paragraph" w:styleId="Heading1">
    <w:name w:val="heading 1"/>
    <w:basedOn w:val="Normal"/>
    <w:next w:val="Normal"/>
    <w:link w:val="Heading1Char"/>
    <w:uiPriority w:val="9"/>
    <w:qFormat/>
    <w:rsid w:val="00CD0015"/>
    <w:pPr>
      <w:keepNext/>
      <w:keepLines/>
      <w:numPr>
        <w:numId w:val="2"/>
      </w:numPr>
      <w:spacing w:before="240"/>
      <w:outlineLvl w:val="0"/>
    </w:pPr>
    <w:rPr>
      <w:rFonts w:eastAsiaTheme="majorEastAsia" w:cstheme="majorBidi"/>
      <w:b/>
      <w:color w:val="77328A"/>
      <w:sz w:val="30"/>
      <w:szCs w:val="32"/>
    </w:rPr>
  </w:style>
  <w:style w:type="paragraph" w:styleId="Heading2">
    <w:name w:val="heading 2"/>
    <w:basedOn w:val="Normal"/>
    <w:next w:val="Normal"/>
    <w:link w:val="Heading2Char"/>
    <w:uiPriority w:val="9"/>
    <w:unhideWhenUsed/>
    <w:qFormat/>
    <w:rsid w:val="00CC6E47"/>
    <w:pPr>
      <w:keepNext/>
      <w:keepLines/>
      <w:spacing w:before="40"/>
      <w:outlineLvl w:val="1"/>
    </w:pPr>
    <w:rPr>
      <w:rFonts w:eastAsiaTheme="majorEastAsia" w:cstheme="majorBidi"/>
      <w:b/>
      <w:szCs w:val="26"/>
    </w:rPr>
  </w:style>
  <w:style w:type="paragraph" w:styleId="Heading6">
    <w:name w:val="heading 6"/>
    <w:basedOn w:val="Normal"/>
    <w:next w:val="Normal"/>
    <w:link w:val="Heading6Char"/>
    <w:uiPriority w:val="9"/>
    <w:semiHidden/>
    <w:unhideWhenUsed/>
    <w:qFormat/>
    <w:rsid w:val="0022414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B2B"/>
    <w:pPr>
      <w:tabs>
        <w:tab w:val="center" w:pos="4320"/>
        <w:tab w:val="right" w:pos="8640"/>
      </w:tabs>
    </w:pPr>
  </w:style>
  <w:style w:type="character" w:customStyle="1" w:styleId="HeaderChar">
    <w:name w:val="Header Char"/>
    <w:basedOn w:val="DefaultParagraphFont"/>
    <w:link w:val="Header"/>
    <w:uiPriority w:val="99"/>
    <w:rsid w:val="00962B2B"/>
  </w:style>
  <w:style w:type="paragraph" w:styleId="Footer">
    <w:name w:val="footer"/>
    <w:basedOn w:val="Normal"/>
    <w:link w:val="FooterChar"/>
    <w:uiPriority w:val="99"/>
    <w:unhideWhenUsed/>
    <w:rsid w:val="00962B2B"/>
    <w:pPr>
      <w:tabs>
        <w:tab w:val="center" w:pos="4320"/>
        <w:tab w:val="right" w:pos="8640"/>
      </w:tabs>
    </w:pPr>
  </w:style>
  <w:style w:type="character" w:customStyle="1" w:styleId="FooterChar">
    <w:name w:val="Footer Char"/>
    <w:basedOn w:val="DefaultParagraphFont"/>
    <w:link w:val="Footer"/>
    <w:uiPriority w:val="99"/>
    <w:rsid w:val="00962B2B"/>
  </w:style>
  <w:style w:type="paragraph" w:styleId="BalloonText">
    <w:name w:val="Balloon Text"/>
    <w:basedOn w:val="Normal"/>
    <w:link w:val="BalloonTextChar"/>
    <w:uiPriority w:val="99"/>
    <w:semiHidden/>
    <w:unhideWhenUsed/>
    <w:rsid w:val="00962B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B2B"/>
    <w:rPr>
      <w:rFonts w:ascii="Lucida Grande" w:hAnsi="Lucida Grande" w:cs="Lucida Grande"/>
      <w:sz w:val="18"/>
      <w:szCs w:val="18"/>
    </w:rPr>
  </w:style>
  <w:style w:type="paragraph" w:customStyle="1" w:styleId="BasicParagraph">
    <w:name w:val="[Basic Paragraph]"/>
    <w:basedOn w:val="Normal"/>
    <w:uiPriority w:val="99"/>
    <w:rsid w:val="00962B2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Normal"/>
    <w:rsid w:val="007F266D"/>
    <w:rPr>
      <w:rFonts w:ascii="Helvetica" w:eastAsiaTheme="minorHAnsi" w:hAnsi="Helvetica" w:cs="Helvetica"/>
      <w:color w:val="000000"/>
      <w:sz w:val="22"/>
      <w:szCs w:val="22"/>
      <w:lang w:eastAsia="en-GB"/>
    </w:rPr>
  </w:style>
  <w:style w:type="paragraph" w:styleId="FootnoteText">
    <w:name w:val="footnote text"/>
    <w:basedOn w:val="Normal"/>
    <w:link w:val="FootnoteTextChar"/>
    <w:uiPriority w:val="99"/>
    <w:unhideWhenUsed/>
    <w:rsid w:val="00224140"/>
  </w:style>
  <w:style w:type="character" w:customStyle="1" w:styleId="FootnoteTextChar">
    <w:name w:val="Footnote Text Char"/>
    <w:basedOn w:val="DefaultParagraphFont"/>
    <w:link w:val="FootnoteText"/>
    <w:uiPriority w:val="99"/>
    <w:rsid w:val="00224140"/>
  </w:style>
  <w:style w:type="character" w:styleId="FootnoteReference">
    <w:name w:val="footnote reference"/>
    <w:aliases w:val="4_G,4_G Char Char,Footnote Reference1 Char Char,Footnotes refss Char Char,ftref Char Char,BVI fnr Char Char,BVI fnr Car Car Char Char,BVI fnr Car Char Char,BVI fnr Car Car Car Car Char Char1,BVI fnr Char Car Car Car Char Char,Black"/>
    <w:basedOn w:val="DefaultParagraphFont"/>
    <w:link w:val="4GChar"/>
    <w:uiPriority w:val="99"/>
    <w:unhideWhenUsed/>
    <w:qFormat/>
    <w:rsid w:val="00224140"/>
    <w:rPr>
      <w:vertAlign w:val="superscript"/>
    </w:rPr>
  </w:style>
  <w:style w:type="character" w:styleId="PageNumber">
    <w:name w:val="page number"/>
    <w:basedOn w:val="DefaultParagraphFont"/>
    <w:uiPriority w:val="99"/>
    <w:semiHidden/>
    <w:unhideWhenUsed/>
    <w:rsid w:val="00D12EF8"/>
  </w:style>
  <w:style w:type="character" w:customStyle="1" w:styleId="Heading6Char">
    <w:name w:val="Heading 6 Char"/>
    <w:basedOn w:val="DefaultParagraphFont"/>
    <w:link w:val="Heading6"/>
    <w:uiPriority w:val="9"/>
    <w:semiHidden/>
    <w:rsid w:val="00224140"/>
    <w:rPr>
      <w:rFonts w:asciiTheme="majorHAnsi" w:eastAsiaTheme="majorEastAsia" w:hAnsiTheme="majorHAnsi" w:cstheme="majorBidi"/>
      <w:i/>
      <w:iCs/>
      <w:color w:val="243F60" w:themeColor="accent1" w:themeShade="7F"/>
    </w:rPr>
  </w:style>
  <w:style w:type="paragraph" w:customStyle="1" w:styleId="Default">
    <w:name w:val="Default"/>
    <w:rsid w:val="00552293"/>
    <w:pPr>
      <w:widowControl w:val="0"/>
      <w:autoSpaceDE w:val="0"/>
      <w:autoSpaceDN w:val="0"/>
      <w:adjustRightInd w:val="0"/>
    </w:pPr>
    <w:rPr>
      <w:rFonts w:ascii="Verdana" w:hAnsi="Verdana" w:cs="Verdana"/>
      <w:color w:val="000000"/>
      <w:lang w:val="en-US"/>
    </w:rPr>
  </w:style>
  <w:style w:type="paragraph" w:styleId="NormalWeb">
    <w:name w:val="Normal (Web)"/>
    <w:basedOn w:val="Normal"/>
    <w:uiPriority w:val="99"/>
    <w:unhideWhenUsed/>
    <w:rsid w:val="005B723E"/>
    <w:pPr>
      <w:spacing w:before="100" w:beforeAutospacing="1" w:after="100" w:afterAutospacing="1"/>
    </w:pPr>
    <w:rPr>
      <w:rFonts w:ascii="Times" w:hAnsi="Times" w:cs="Times New Roman"/>
      <w:sz w:val="20"/>
      <w:szCs w:val="20"/>
    </w:rPr>
  </w:style>
  <w:style w:type="paragraph" w:customStyle="1" w:styleId="NIHRCFootnotes">
    <w:name w:val="NIHRC Footnotes"/>
    <w:basedOn w:val="Normal"/>
    <w:qFormat/>
    <w:rsid w:val="004672AC"/>
    <w:pPr>
      <w:tabs>
        <w:tab w:val="left" w:pos="284"/>
      </w:tabs>
    </w:pPr>
    <w:rPr>
      <w:rFonts w:cs="Arial"/>
      <w:color w:val="77328A"/>
      <w:sz w:val="16"/>
      <w:szCs w:val="16"/>
    </w:rPr>
  </w:style>
  <w:style w:type="character" w:styleId="Hyperlink">
    <w:name w:val="Hyperlink"/>
    <w:basedOn w:val="DefaultParagraphFont"/>
    <w:uiPriority w:val="99"/>
    <w:unhideWhenUsed/>
    <w:rsid w:val="00331C61"/>
    <w:rPr>
      <w:color w:val="0000FF" w:themeColor="hyperlink"/>
      <w:u w:val="single"/>
    </w:rPr>
  </w:style>
  <w:style w:type="paragraph" w:styleId="ListParagraph">
    <w:name w:val="List Paragraph"/>
    <w:basedOn w:val="Normal"/>
    <w:uiPriority w:val="34"/>
    <w:qFormat/>
    <w:rsid w:val="008A4C43"/>
    <w:pPr>
      <w:ind w:left="720"/>
      <w:contextualSpacing/>
    </w:pPr>
  </w:style>
  <w:style w:type="character" w:customStyle="1" w:styleId="Heading1Char">
    <w:name w:val="Heading 1 Char"/>
    <w:basedOn w:val="DefaultParagraphFont"/>
    <w:link w:val="Heading1"/>
    <w:uiPriority w:val="9"/>
    <w:rsid w:val="00CD0015"/>
    <w:rPr>
      <w:rFonts w:ascii="Verdana" w:eastAsiaTheme="majorEastAsia" w:hAnsi="Verdana" w:cstheme="majorBidi"/>
      <w:b/>
      <w:color w:val="77328A"/>
      <w:sz w:val="30"/>
      <w:szCs w:val="32"/>
    </w:rPr>
  </w:style>
  <w:style w:type="character" w:styleId="CommentReference">
    <w:name w:val="annotation reference"/>
    <w:basedOn w:val="DefaultParagraphFont"/>
    <w:uiPriority w:val="99"/>
    <w:semiHidden/>
    <w:unhideWhenUsed/>
    <w:rsid w:val="00EA5BB0"/>
    <w:rPr>
      <w:sz w:val="16"/>
      <w:szCs w:val="16"/>
    </w:rPr>
  </w:style>
  <w:style w:type="paragraph" w:styleId="CommentText">
    <w:name w:val="annotation text"/>
    <w:basedOn w:val="Normal"/>
    <w:link w:val="CommentTextChar"/>
    <w:uiPriority w:val="99"/>
    <w:semiHidden/>
    <w:unhideWhenUsed/>
    <w:rsid w:val="00EA5BB0"/>
    <w:rPr>
      <w:sz w:val="20"/>
      <w:szCs w:val="20"/>
    </w:rPr>
  </w:style>
  <w:style w:type="character" w:customStyle="1" w:styleId="CommentTextChar">
    <w:name w:val="Comment Text Char"/>
    <w:basedOn w:val="DefaultParagraphFont"/>
    <w:link w:val="CommentText"/>
    <w:uiPriority w:val="99"/>
    <w:semiHidden/>
    <w:rsid w:val="00EA5BB0"/>
    <w:rPr>
      <w:sz w:val="20"/>
      <w:szCs w:val="20"/>
    </w:rPr>
  </w:style>
  <w:style w:type="paragraph" w:styleId="CommentSubject">
    <w:name w:val="annotation subject"/>
    <w:basedOn w:val="CommentText"/>
    <w:next w:val="CommentText"/>
    <w:link w:val="CommentSubjectChar"/>
    <w:uiPriority w:val="99"/>
    <w:semiHidden/>
    <w:unhideWhenUsed/>
    <w:rsid w:val="00EA5BB0"/>
    <w:rPr>
      <w:b/>
      <w:bCs/>
    </w:rPr>
  </w:style>
  <w:style w:type="character" w:customStyle="1" w:styleId="CommentSubjectChar">
    <w:name w:val="Comment Subject Char"/>
    <w:basedOn w:val="CommentTextChar"/>
    <w:link w:val="CommentSubject"/>
    <w:uiPriority w:val="99"/>
    <w:semiHidden/>
    <w:rsid w:val="00EA5BB0"/>
    <w:rPr>
      <w:b/>
      <w:bCs/>
      <w:sz w:val="20"/>
      <w:szCs w:val="20"/>
    </w:rPr>
  </w:style>
  <w:style w:type="paragraph" w:styleId="TOCHeading">
    <w:name w:val="TOC Heading"/>
    <w:basedOn w:val="Heading1"/>
    <w:next w:val="Normal"/>
    <w:uiPriority w:val="39"/>
    <w:unhideWhenUsed/>
    <w:qFormat/>
    <w:rsid w:val="00CC6E47"/>
    <w:pPr>
      <w:numPr>
        <w:numId w:val="0"/>
      </w:numPr>
      <w:spacing w:line="259" w:lineRule="auto"/>
      <w:outlineLvl w:val="9"/>
    </w:pPr>
    <w:rPr>
      <w:rFonts w:asciiTheme="majorHAnsi" w:hAnsiTheme="majorHAnsi"/>
      <w:b w:val="0"/>
      <w:color w:val="365F91" w:themeColor="accent1" w:themeShade="BF"/>
      <w:sz w:val="32"/>
      <w:lang w:val="en-US"/>
    </w:rPr>
  </w:style>
  <w:style w:type="paragraph" w:styleId="TOC2">
    <w:name w:val="toc 2"/>
    <w:basedOn w:val="Normal"/>
    <w:next w:val="Normal"/>
    <w:autoRedefine/>
    <w:uiPriority w:val="39"/>
    <w:unhideWhenUsed/>
    <w:rsid w:val="00CC6E47"/>
    <w:pPr>
      <w:spacing w:after="100" w:line="259" w:lineRule="auto"/>
      <w:ind w:left="220"/>
    </w:pPr>
    <w:rPr>
      <w:rFonts w:cs="Times New Roman"/>
      <w:sz w:val="22"/>
      <w:szCs w:val="22"/>
      <w:lang w:val="en-US"/>
    </w:rPr>
  </w:style>
  <w:style w:type="paragraph" w:styleId="TOC1">
    <w:name w:val="toc 1"/>
    <w:basedOn w:val="Normal"/>
    <w:next w:val="Normal"/>
    <w:autoRedefine/>
    <w:uiPriority w:val="39"/>
    <w:unhideWhenUsed/>
    <w:rsid w:val="00707DD0"/>
    <w:pPr>
      <w:tabs>
        <w:tab w:val="left" w:pos="660"/>
        <w:tab w:val="right" w:leader="dot" w:pos="9848"/>
      </w:tabs>
      <w:spacing w:after="100" w:line="259" w:lineRule="auto"/>
    </w:pPr>
    <w:rPr>
      <w:rFonts w:cs="Times New Roman"/>
      <w:b/>
      <w:bCs/>
      <w:noProof/>
      <w:sz w:val="22"/>
      <w:szCs w:val="22"/>
      <w:lang w:val="en-US"/>
    </w:rPr>
  </w:style>
  <w:style w:type="paragraph" w:styleId="TOC3">
    <w:name w:val="toc 3"/>
    <w:basedOn w:val="Normal"/>
    <w:next w:val="Normal"/>
    <w:autoRedefine/>
    <w:uiPriority w:val="39"/>
    <w:unhideWhenUsed/>
    <w:rsid w:val="00CC6E47"/>
    <w:pPr>
      <w:spacing w:after="100" w:line="259" w:lineRule="auto"/>
      <w:ind w:left="440"/>
    </w:pPr>
    <w:rPr>
      <w:rFonts w:cs="Times New Roman"/>
      <w:sz w:val="22"/>
      <w:szCs w:val="22"/>
      <w:lang w:val="en-US"/>
    </w:rPr>
  </w:style>
  <w:style w:type="character" w:customStyle="1" w:styleId="Heading2Char">
    <w:name w:val="Heading 2 Char"/>
    <w:basedOn w:val="DefaultParagraphFont"/>
    <w:link w:val="Heading2"/>
    <w:uiPriority w:val="9"/>
    <w:rsid w:val="00CC6E47"/>
    <w:rPr>
      <w:rFonts w:ascii="Verdana" w:eastAsiaTheme="majorEastAsia" w:hAnsi="Verdana" w:cstheme="majorBidi"/>
      <w:b/>
      <w:szCs w:val="26"/>
    </w:rPr>
  </w:style>
  <w:style w:type="paragraph" w:customStyle="1" w:styleId="4GChar">
    <w:name w:val="4_G Char"/>
    <w:aliases w:val="Footnote Reference1 Char,Footnotes refss Char,ftref Char,BVI fnr Char,BVI fnr Car Car Char,BVI fnr Car Char,BVI fnr Car Car Car Car Char,BVI fnr Char Car Car Car Char,ftref,BVI fnr Car Car,BVI fnr Car"/>
    <w:basedOn w:val="Normal"/>
    <w:link w:val="FootnoteReference"/>
    <w:uiPriority w:val="99"/>
    <w:rsid w:val="00D92FF5"/>
    <w:pPr>
      <w:spacing w:line="240" w:lineRule="exact"/>
      <w:jc w:val="both"/>
    </w:pPr>
    <w:rPr>
      <w:rFonts w:asciiTheme="minorHAnsi" w:hAnsiTheme="minorHAnsi"/>
      <w:vertAlign w:val="superscript"/>
    </w:rPr>
  </w:style>
  <w:style w:type="character" w:customStyle="1" w:styleId="normaltextrun">
    <w:name w:val="normaltextrun"/>
    <w:basedOn w:val="DefaultParagraphFont"/>
    <w:rsid w:val="00F6057A"/>
  </w:style>
  <w:style w:type="character" w:customStyle="1" w:styleId="superscript">
    <w:name w:val="superscript"/>
    <w:basedOn w:val="DefaultParagraphFont"/>
    <w:rsid w:val="00F6057A"/>
  </w:style>
  <w:style w:type="character" w:customStyle="1" w:styleId="eop">
    <w:name w:val="eop"/>
    <w:basedOn w:val="DefaultParagraphFont"/>
    <w:rsid w:val="00A15108"/>
  </w:style>
  <w:style w:type="character" w:styleId="UnresolvedMention">
    <w:name w:val="Unresolved Mention"/>
    <w:basedOn w:val="DefaultParagraphFont"/>
    <w:uiPriority w:val="99"/>
    <w:semiHidden/>
    <w:unhideWhenUsed/>
    <w:rsid w:val="00F937BF"/>
    <w:rPr>
      <w:color w:val="605E5C"/>
      <w:shd w:val="clear" w:color="auto" w:fill="E1DFDD"/>
    </w:rPr>
  </w:style>
  <w:style w:type="character" w:customStyle="1" w:styleId="sb8d990e2">
    <w:name w:val="sb8d990e2"/>
    <w:basedOn w:val="DefaultParagraphFont"/>
    <w:rsid w:val="004D2CB5"/>
  </w:style>
  <w:style w:type="paragraph" w:styleId="Revision">
    <w:name w:val="Revision"/>
    <w:hidden/>
    <w:uiPriority w:val="99"/>
    <w:semiHidden/>
    <w:rsid w:val="00105905"/>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44760">
      <w:bodyDiv w:val="1"/>
      <w:marLeft w:val="0"/>
      <w:marRight w:val="0"/>
      <w:marTop w:val="0"/>
      <w:marBottom w:val="0"/>
      <w:divBdr>
        <w:top w:val="none" w:sz="0" w:space="0" w:color="auto"/>
        <w:left w:val="none" w:sz="0" w:space="0" w:color="auto"/>
        <w:bottom w:val="none" w:sz="0" w:space="0" w:color="auto"/>
        <w:right w:val="none" w:sz="0" w:space="0" w:color="auto"/>
      </w:divBdr>
    </w:div>
    <w:div w:id="590969278">
      <w:bodyDiv w:val="1"/>
      <w:marLeft w:val="0"/>
      <w:marRight w:val="0"/>
      <w:marTop w:val="0"/>
      <w:marBottom w:val="0"/>
      <w:divBdr>
        <w:top w:val="none" w:sz="0" w:space="0" w:color="auto"/>
        <w:left w:val="none" w:sz="0" w:space="0" w:color="auto"/>
        <w:bottom w:val="none" w:sz="0" w:space="0" w:color="auto"/>
        <w:right w:val="none" w:sz="0" w:space="0" w:color="auto"/>
      </w:divBdr>
    </w:div>
    <w:div w:id="663437131">
      <w:bodyDiv w:val="1"/>
      <w:marLeft w:val="0"/>
      <w:marRight w:val="0"/>
      <w:marTop w:val="0"/>
      <w:marBottom w:val="0"/>
      <w:divBdr>
        <w:top w:val="none" w:sz="0" w:space="0" w:color="auto"/>
        <w:left w:val="none" w:sz="0" w:space="0" w:color="auto"/>
        <w:bottom w:val="none" w:sz="0" w:space="0" w:color="auto"/>
        <w:right w:val="none" w:sz="0" w:space="0" w:color="auto"/>
      </w:divBdr>
    </w:div>
    <w:div w:id="686055017">
      <w:bodyDiv w:val="1"/>
      <w:marLeft w:val="0"/>
      <w:marRight w:val="0"/>
      <w:marTop w:val="0"/>
      <w:marBottom w:val="0"/>
      <w:divBdr>
        <w:top w:val="none" w:sz="0" w:space="0" w:color="auto"/>
        <w:left w:val="none" w:sz="0" w:space="0" w:color="auto"/>
        <w:bottom w:val="none" w:sz="0" w:space="0" w:color="auto"/>
        <w:right w:val="none" w:sz="0" w:space="0" w:color="auto"/>
      </w:divBdr>
    </w:div>
    <w:div w:id="708455167">
      <w:bodyDiv w:val="1"/>
      <w:marLeft w:val="0"/>
      <w:marRight w:val="0"/>
      <w:marTop w:val="0"/>
      <w:marBottom w:val="0"/>
      <w:divBdr>
        <w:top w:val="none" w:sz="0" w:space="0" w:color="auto"/>
        <w:left w:val="none" w:sz="0" w:space="0" w:color="auto"/>
        <w:bottom w:val="none" w:sz="0" w:space="0" w:color="auto"/>
        <w:right w:val="none" w:sz="0" w:space="0" w:color="auto"/>
      </w:divBdr>
    </w:div>
    <w:div w:id="763458416">
      <w:bodyDiv w:val="1"/>
      <w:marLeft w:val="0"/>
      <w:marRight w:val="0"/>
      <w:marTop w:val="0"/>
      <w:marBottom w:val="0"/>
      <w:divBdr>
        <w:top w:val="none" w:sz="0" w:space="0" w:color="auto"/>
        <w:left w:val="none" w:sz="0" w:space="0" w:color="auto"/>
        <w:bottom w:val="none" w:sz="0" w:space="0" w:color="auto"/>
        <w:right w:val="none" w:sz="0" w:space="0" w:color="auto"/>
      </w:divBdr>
    </w:div>
    <w:div w:id="937979940">
      <w:bodyDiv w:val="1"/>
      <w:marLeft w:val="0"/>
      <w:marRight w:val="0"/>
      <w:marTop w:val="0"/>
      <w:marBottom w:val="0"/>
      <w:divBdr>
        <w:top w:val="none" w:sz="0" w:space="0" w:color="auto"/>
        <w:left w:val="none" w:sz="0" w:space="0" w:color="auto"/>
        <w:bottom w:val="none" w:sz="0" w:space="0" w:color="auto"/>
        <w:right w:val="none" w:sz="0" w:space="0" w:color="auto"/>
      </w:divBdr>
    </w:div>
    <w:div w:id="1153988160">
      <w:bodyDiv w:val="1"/>
      <w:marLeft w:val="0"/>
      <w:marRight w:val="0"/>
      <w:marTop w:val="0"/>
      <w:marBottom w:val="0"/>
      <w:divBdr>
        <w:top w:val="none" w:sz="0" w:space="0" w:color="auto"/>
        <w:left w:val="none" w:sz="0" w:space="0" w:color="auto"/>
        <w:bottom w:val="none" w:sz="0" w:space="0" w:color="auto"/>
        <w:right w:val="none" w:sz="0" w:space="0" w:color="auto"/>
      </w:divBdr>
      <w:divsChild>
        <w:div w:id="1028986289">
          <w:marLeft w:val="0"/>
          <w:marRight w:val="0"/>
          <w:marTop w:val="0"/>
          <w:marBottom w:val="0"/>
          <w:divBdr>
            <w:top w:val="none" w:sz="0" w:space="0" w:color="auto"/>
            <w:left w:val="none" w:sz="0" w:space="0" w:color="auto"/>
            <w:bottom w:val="none" w:sz="0" w:space="0" w:color="auto"/>
            <w:right w:val="none" w:sz="0" w:space="0" w:color="auto"/>
          </w:divBdr>
          <w:divsChild>
            <w:div w:id="1795251692">
              <w:marLeft w:val="0"/>
              <w:marRight w:val="0"/>
              <w:marTop w:val="0"/>
              <w:marBottom w:val="0"/>
              <w:divBdr>
                <w:top w:val="none" w:sz="0" w:space="0" w:color="auto"/>
                <w:left w:val="none" w:sz="0" w:space="0" w:color="auto"/>
                <w:bottom w:val="none" w:sz="0" w:space="0" w:color="auto"/>
                <w:right w:val="none" w:sz="0" w:space="0" w:color="auto"/>
              </w:divBdr>
              <w:divsChild>
                <w:div w:id="146692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85121">
      <w:bodyDiv w:val="1"/>
      <w:marLeft w:val="0"/>
      <w:marRight w:val="0"/>
      <w:marTop w:val="0"/>
      <w:marBottom w:val="0"/>
      <w:divBdr>
        <w:top w:val="none" w:sz="0" w:space="0" w:color="auto"/>
        <w:left w:val="none" w:sz="0" w:space="0" w:color="auto"/>
        <w:bottom w:val="none" w:sz="0" w:space="0" w:color="auto"/>
        <w:right w:val="none" w:sz="0" w:space="0" w:color="auto"/>
      </w:divBdr>
    </w:div>
    <w:div w:id="1936281195">
      <w:bodyDiv w:val="1"/>
      <w:marLeft w:val="0"/>
      <w:marRight w:val="0"/>
      <w:marTop w:val="0"/>
      <w:marBottom w:val="0"/>
      <w:divBdr>
        <w:top w:val="none" w:sz="0" w:space="0" w:color="auto"/>
        <w:left w:val="none" w:sz="0" w:space="0" w:color="auto"/>
        <w:bottom w:val="none" w:sz="0" w:space="0" w:color="auto"/>
        <w:right w:val="none" w:sz="0" w:space="0" w:color="auto"/>
      </w:divBdr>
    </w:div>
    <w:div w:id="1950235691">
      <w:bodyDiv w:val="1"/>
      <w:marLeft w:val="0"/>
      <w:marRight w:val="0"/>
      <w:marTop w:val="0"/>
      <w:marBottom w:val="0"/>
      <w:divBdr>
        <w:top w:val="none" w:sz="0" w:space="0" w:color="auto"/>
        <w:left w:val="none" w:sz="0" w:space="0" w:color="auto"/>
        <w:bottom w:val="none" w:sz="0" w:space="0" w:color="auto"/>
        <w:right w:val="none" w:sz="0" w:space="0" w:color="auto"/>
      </w:divBdr>
    </w:div>
    <w:div w:id="2006592875">
      <w:bodyDiv w:val="1"/>
      <w:marLeft w:val="0"/>
      <w:marRight w:val="0"/>
      <w:marTop w:val="0"/>
      <w:marBottom w:val="0"/>
      <w:divBdr>
        <w:top w:val="none" w:sz="0" w:space="0" w:color="auto"/>
        <w:left w:val="none" w:sz="0" w:space="0" w:color="auto"/>
        <w:bottom w:val="none" w:sz="0" w:space="0" w:color="auto"/>
        <w:right w:val="none" w:sz="0" w:space="0" w:color="auto"/>
      </w:divBdr>
    </w:div>
    <w:div w:id="2129470764">
      <w:bodyDiv w:val="1"/>
      <w:marLeft w:val="0"/>
      <w:marRight w:val="0"/>
      <w:marTop w:val="0"/>
      <w:marBottom w:val="0"/>
      <w:divBdr>
        <w:top w:val="none" w:sz="0" w:space="0" w:color="auto"/>
        <w:left w:val="none" w:sz="0" w:space="0" w:color="auto"/>
        <w:bottom w:val="none" w:sz="0" w:space="0" w:color="auto"/>
        <w:right w:val="none" w:sz="0" w:space="0" w:color="auto"/>
      </w:divBdr>
      <w:divsChild>
        <w:div w:id="608201235">
          <w:marLeft w:val="0"/>
          <w:marRight w:val="0"/>
          <w:marTop w:val="0"/>
          <w:marBottom w:val="0"/>
          <w:divBdr>
            <w:top w:val="none" w:sz="0" w:space="0" w:color="auto"/>
            <w:left w:val="none" w:sz="0" w:space="0" w:color="auto"/>
            <w:bottom w:val="none" w:sz="0" w:space="0" w:color="auto"/>
            <w:right w:val="none" w:sz="0" w:space="0" w:color="auto"/>
          </w:divBdr>
          <w:divsChild>
            <w:div w:id="248193691">
              <w:marLeft w:val="0"/>
              <w:marRight w:val="0"/>
              <w:marTop w:val="0"/>
              <w:marBottom w:val="0"/>
              <w:divBdr>
                <w:top w:val="none" w:sz="0" w:space="0" w:color="auto"/>
                <w:left w:val="none" w:sz="0" w:space="0" w:color="auto"/>
                <w:bottom w:val="none" w:sz="0" w:space="0" w:color="auto"/>
                <w:right w:val="none" w:sz="0" w:space="0" w:color="auto"/>
              </w:divBdr>
              <w:divsChild>
                <w:div w:id="91771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nihrc.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ihrc.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_x002f_Time xmlns="12479bdc-b58c-44ab-9f0f-fa5baefb3da2" xsi:nil="true"/>
    <lcf76f155ced4ddcb4097134ff3c332f xmlns="12479bdc-b58c-44ab-9f0f-fa5baefb3da2">
      <Terms xmlns="http://schemas.microsoft.com/office/infopath/2007/PartnerControls"/>
    </lcf76f155ced4ddcb4097134ff3c332f>
    <TaxCatchAll xmlns="806d6863-a85d-4a14-ba5d-ada9e5b222dd"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41320E77E35C644A511CBC5C12B0A0B" ma:contentTypeVersion="15" ma:contentTypeDescription="Create a new document." ma:contentTypeScope="" ma:versionID="90a1614633501ec1343f4d7b86bc3aa7">
  <xsd:schema xmlns:xsd="http://www.w3.org/2001/XMLSchema" xmlns:xs="http://www.w3.org/2001/XMLSchema" xmlns:p="http://schemas.microsoft.com/office/2006/metadata/properties" xmlns:ns2="12479bdc-b58c-44ab-9f0f-fa5baefb3da2" xmlns:ns3="806d6863-a85d-4a14-ba5d-ada9e5b222dd" targetNamespace="http://schemas.microsoft.com/office/2006/metadata/properties" ma:root="true" ma:fieldsID="f0cbf7324fedd348347fef82f34de55c" ns2:_="" ns3:_="">
    <xsd:import namespace="12479bdc-b58c-44ab-9f0f-fa5baefb3da2"/>
    <xsd:import namespace="806d6863-a85d-4a14-ba5d-ada9e5b222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Date_x002f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79bdc-b58c-44ab-9f0f-fa5baefb3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45f4dd7-5f98-4d70-8c56-0bc13f09c8b1"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Date_x002f_Time" ma:index="22" nillable="true" ma:displayName="Date/Time" ma:format="DateOnly" ma:internalName="Date_x002f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6d6863-a85d-4a14-ba5d-ada9e5b222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3dadd1eb-4809-467b-a4c7-9f8b25a82955}" ma:internalName="TaxCatchAll" ma:showField="CatchAllData" ma:web="806d6863-a85d-4a14-ba5d-ada9e5b222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0ED68-C404-436C-B05C-6EE126E16C27}">
  <ds:schemaRefs>
    <ds:schemaRef ds:uri="http://schemas.microsoft.com/sharepoint/v3/contenttype/forms"/>
  </ds:schemaRefs>
</ds:datastoreItem>
</file>

<file path=customXml/itemProps2.xml><?xml version="1.0" encoding="utf-8"?>
<ds:datastoreItem xmlns:ds="http://schemas.openxmlformats.org/officeDocument/2006/customXml" ds:itemID="{7C217F69-0647-4D35-B341-19EA4EB87BF4}">
  <ds:schemaRefs>
    <ds:schemaRef ds:uri="http://schemas.microsoft.com/office/2006/metadata/properties"/>
    <ds:schemaRef ds:uri="http://schemas.microsoft.com/office/infopath/2007/PartnerControls"/>
    <ds:schemaRef ds:uri="12479bdc-b58c-44ab-9f0f-fa5baefb3da2"/>
    <ds:schemaRef ds:uri="806d6863-a85d-4a14-ba5d-ada9e5b222dd"/>
  </ds:schemaRefs>
</ds:datastoreItem>
</file>

<file path=customXml/itemProps3.xml><?xml version="1.0" encoding="utf-8"?>
<ds:datastoreItem xmlns:ds="http://schemas.openxmlformats.org/officeDocument/2006/customXml" ds:itemID="{4D817A7D-CAD5-4A1C-9D35-D99A8504C54A}">
  <ds:schemaRefs>
    <ds:schemaRef ds:uri="http://schemas.openxmlformats.org/officeDocument/2006/bibliography"/>
  </ds:schemaRefs>
</ds:datastoreItem>
</file>

<file path=customXml/itemProps4.xml><?xml version="1.0" encoding="utf-8"?>
<ds:datastoreItem xmlns:ds="http://schemas.openxmlformats.org/officeDocument/2006/customXml" ds:itemID="{450ADA9B-2821-49A9-A8C3-FE8870A62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79bdc-b58c-44ab-9f0f-fa5baefb3da2"/>
    <ds:schemaRef ds:uri="806d6863-a85d-4a14-ba5d-ada9e5b22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5738</Words>
  <Characters>32710</Characters>
  <Application>Microsoft Office Word</Application>
  <DocSecurity>0</DocSecurity>
  <Lines>272</Lines>
  <Paragraphs>76</Paragraphs>
  <ScaleCrop>false</ScaleCrop>
  <Company>Whitenoise</Company>
  <LinksUpToDate>false</LinksUpToDate>
  <CharactersWithSpaces>38372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McKeown</dc:creator>
  <cp:keywords/>
  <dc:description/>
  <cp:lastModifiedBy>Emily Mills</cp:lastModifiedBy>
  <cp:revision>2755</cp:revision>
  <cp:lastPrinted>2018-04-20T19:30:00Z</cp:lastPrinted>
  <dcterms:created xsi:type="dcterms:W3CDTF">2023-06-08T19:22:00Z</dcterms:created>
  <dcterms:modified xsi:type="dcterms:W3CDTF">2023-07-24T09:48:00Z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0x010100F41320E77E35C644A511CBC5C12B0A0B</vt:lpwstr>
  </property>
  <property fmtid="{D5CDD505-2E9C-101B-9397-08002B2CF9AE}" pid="3" name="MediaServiceImageTags">
    <vt:lpwstr/>
  </property>
</Properties>
</file>