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A43C" w14:textId="77777777" w:rsidR="00F31387" w:rsidRDefault="00F31387" w:rsidP="003B7D0E">
      <w:pPr>
        <w:pStyle w:val="BasicParagraph"/>
        <w:suppressAutoHyphens/>
        <w:jc w:val="center"/>
        <w:rPr>
          <w:rFonts w:ascii="Verdana" w:hAnsi="Verdana" w:cs="Arial"/>
          <w:b/>
          <w:bCs/>
          <w:color w:val="734791"/>
          <w:sz w:val="36"/>
          <w:szCs w:val="36"/>
        </w:rPr>
      </w:pPr>
      <w:r w:rsidRPr="00644FDD">
        <w:rPr>
          <w:rFonts w:ascii="Verdana" w:hAnsi="Verdana" w:cs="Arial"/>
          <w:b/>
          <w:bCs/>
          <w:noProof/>
          <w:color w:val="734791"/>
          <w:lang w:eastAsia="en-GB"/>
        </w:rPr>
        <w:drawing>
          <wp:inline distT="0" distB="0" distL="0" distR="0" wp14:anchorId="52DF081E" wp14:editId="5147438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8BA160F" w14:textId="77777777" w:rsidR="004821A9" w:rsidRDefault="004821A9" w:rsidP="00CF2FBC">
      <w:pPr>
        <w:pStyle w:val="BasicParagraph"/>
        <w:suppressAutoHyphens/>
        <w:rPr>
          <w:rFonts w:ascii="Verdana" w:hAnsi="Verdana" w:cs="Arial"/>
          <w:b/>
          <w:bCs/>
          <w:color w:val="734791"/>
          <w:sz w:val="36"/>
          <w:szCs w:val="36"/>
        </w:rPr>
      </w:pPr>
    </w:p>
    <w:p w14:paraId="456C4F24" w14:textId="77777777" w:rsidR="004821A9" w:rsidRDefault="004821A9" w:rsidP="003B7D0E">
      <w:pPr>
        <w:pStyle w:val="BasicParagraph"/>
        <w:suppressAutoHyphens/>
        <w:jc w:val="center"/>
        <w:rPr>
          <w:rFonts w:ascii="Verdana" w:hAnsi="Verdana" w:cs="Arial"/>
          <w:b/>
          <w:bCs/>
          <w:color w:val="734791"/>
          <w:sz w:val="36"/>
          <w:szCs w:val="36"/>
        </w:rPr>
      </w:pPr>
    </w:p>
    <w:p w14:paraId="485EF1E8" w14:textId="7F72AD0A" w:rsidR="00BE33F0" w:rsidRPr="00387C3F" w:rsidRDefault="00BE33F0" w:rsidP="00BE33F0">
      <w:pPr>
        <w:pStyle w:val="BasicParagraph"/>
        <w:suppressAutoHyphens/>
        <w:rPr>
          <w:rFonts w:ascii="Verdana" w:hAnsi="Verdana" w:cs="Arial"/>
          <w:b/>
          <w:bCs/>
          <w:color w:val="734791"/>
          <w:sz w:val="36"/>
          <w:szCs w:val="36"/>
        </w:rPr>
      </w:pPr>
    </w:p>
    <w:p w14:paraId="7D733934" w14:textId="2B87753B" w:rsidR="00BE33F0" w:rsidRPr="008B1884" w:rsidRDefault="00BE33F0" w:rsidP="00BE33F0">
      <w:pPr>
        <w:pStyle w:val="BasicParagraph"/>
        <w:suppressAutoHyphens/>
        <w:jc w:val="center"/>
        <w:rPr>
          <w:rFonts w:ascii="Verdana" w:hAnsi="Verdana" w:cs="Arial"/>
          <w:b/>
          <w:color w:val="77328A"/>
        </w:rPr>
      </w:pPr>
      <w:r w:rsidRPr="008B1884">
        <w:rPr>
          <w:rFonts w:ascii="Verdana" w:hAnsi="Verdana" w:cs="Arial"/>
          <w:b/>
          <w:bCs/>
          <w:color w:val="77328A"/>
        </w:rPr>
        <w:t xml:space="preserve">Submission to the </w:t>
      </w:r>
      <w:r w:rsidR="00622F93" w:rsidRPr="008B1884">
        <w:rPr>
          <w:rFonts w:ascii="Verdana" w:hAnsi="Verdana" w:cs="Arial"/>
          <w:b/>
          <w:bCs/>
          <w:color w:val="77328A"/>
        </w:rPr>
        <w:t xml:space="preserve">Northern </w:t>
      </w:r>
      <w:r w:rsidR="00B73C82" w:rsidRPr="008B1884">
        <w:rPr>
          <w:rFonts w:ascii="Verdana" w:hAnsi="Verdana" w:cs="Arial"/>
          <w:b/>
          <w:bCs/>
          <w:color w:val="77328A"/>
        </w:rPr>
        <w:t xml:space="preserve">Ireland </w:t>
      </w:r>
      <w:r w:rsidR="00565BCF" w:rsidRPr="008B1884">
        <w:rPr>
          <w:rFonts w:ascii="Verdana" w:hAnsi="Verdana" w:cs="Arial"/>
          <w:b/>
          <w:bCs/>
          <w:color w:val="77328A"/>
        </w:rPr>
        <w:t xml:space="preserve">Assembly </w:t>
      </w:r>
      <w:r w:rsidR="00385605" w:rsidRPr="008B1884">
        <w:rPr>
          <w:rFonts w:ascii="Verdana" w:hAnsi="Verdana" w:cs="Arial"/>
          <w:b/>
          <w:bCs/>
          <w:color w:val="77328A"/>
        </w:rPr>
        <w:t>on</w:t>
      </w:r>
      <w:r w:rsidR="005911A4" w:rsidRPr="008B1884">
        <w:rPr>
          <w:rFonts w:ascii="Verdana" w:hAnsi="Verdana" w:cs="Arial"/>
          <w:b/>
          <w:bCs/>
          <w:color w:val="77328A"/>
        </w:rPr>
        <w:t xml:space="preserve"> </w:t>
      </w:r>
      <w:r w:rsidR="0042137E" w:rsidRPr="008B1884">
        <w:rPr>
          <w:rFonts w:ascii="Verdana" w:hAnsi="Verdana" w:cs="Arial"/>
          <w:b/>
          <w:bCs/>
          <w:color w:val="77328A"/>
        </w:rPr>
        <w:t>the</w:t>
      </w:r>
      <w:r w:rsidR="009B1453">
        <w:rPr>
          <w:rFonts w:ascii="Verdana" w:hAnsi="Verdana" w:cs="Arial"/>
          <w:b/>
          <w:bCs/>
          <w:color w:val="77328A"/>
        </w:rPr>
        <w:t xml:space="preserve"> List </w:t>
      </w:r>
      <w:r w:rsidR="000D5018">
        <w:rPr>
          <w:rFonts w:ascii="Verdana" w:hAnsi="Verdana" w:cs="Arial"/>
          <w:b/>
          <w:bCs/>
          <w:color w:val="77328A"/>
        </w:rPr>
        <w:t xml:space="preserve">of </w:t>
      </w:r>
      <w:r w:rsidR="000D5018" w:rsidRPr="008B1884">
        <w:rPr>
          <w:rFonts w:ascii="Verdana" w:hAnsi="Verdana" w:cs="Arial"/>
          <w:b/>
          <w:bCs/>
          <w:color w:val="77328A"/>
        </w:rPr>
        <w:t>Amendments</w:t>
      </w:r>
      <w:r w:rsidR="002F23EF">
        <w:rPr>
          <w:rFonts w:ascii="Verdana" w:hAnsi="Verdana" w:cs="Arial"/>
          <w:b/>
          <w:bCs/>
          <w:color w:val="77328A"/>
        </w:rPr>
        <w:t xml:space="preserve"> to </w:t>
      </w:r>
      <w:r w:rsidR="00000A0D">
        <w:rPr>
          <w:rFonts w:ascii="Verdana" w:hAnsi="Verdana" w:cs="Arial"/>
          <w:b/>
          <w:bCs/>
          <w:color w:val="77328A"/>
        </w:rPr>
        <w:t>the Justice</w:t>
      </w:r>
      <w:r w:rsidR="0042137E" w:rsidRPr="008B1884">
        <w:rPr>
          <w:rFonts w:ascii="Verdana" w:hAnsi="Verdana" w:cs="Arial"/>
          <w:b/>
          <w:bCs/>
          <w:color w:val="77328A"/>
        </w:rPr>
        <w:t xml:space="preserve"> Bill</w:t>
      </w:r>
    </w:p>
    <w:p w14:paraId="7F0A0709" w14:textId="48667D9F" w:rsidR="00F31387" w:rsidRDefault="00F31387" w:rsidP="008342C7">
      <w:pPr>
        <w:pStyle w:val="BasicParagraph"/>
        <w:suppressAutoHyphens/>
        <w:jc w:val="center"/>
        <w:rPr>
          <w:rFonts w:cs="Arial"/>
          <w:color w:val="232120"/>
          <w:sz w:val="36"/>
          <w:szCs w:val="36"/>
        </w:rPr>
      </w:pPr>
    </w:p>
    <w:p w14:paraId="6A06195F" w14:textId="77777777" w:rsidR="004821A9" w:rsidRDefault="004821A9" w:rsidP="003B7D0E">
      <w:pPr>
        <w:pStyle w:val="Default"/>
        <w:spacing w:line="288" w:lineRule="auto"/>
        <w:jc w:val="center"/>
        <w:rPr>
          <w:rFonts w:cs="Arial"/>
          <w:color w:val="232120"/>
          <w:sz w:val="36"/>
          <w:szCs w:val="36"/>
        </w:rPr>
      </w:pPr>
    </w:p>
    <w:p w14:paraId="6478D38E" w14:textId="77777777" w:rsidR="004821A9" w:rsidRDefault="004821A9" w:rsidP="003B7D0E">
      <w:pPr>
        <w:pStyle w:val="Default"/>
        <w:spacing w:line="288" w:lineRule="auto"/>
        <w:jc w:val="center"/>
        <w:rPr>
          <w:rFonts w:cs="Arial"/>
          <w:color w:val="232120"/>
          <w:sz w:val="36"/>
          <w:szCs w:val="36"/>
        </w:rPr>
      </w:pPr>
    </w:p>
    <w:p w14:paraId="10A26EFF" w14:textId="77777777" w:rsidR="004821A9" w:rsidRDefault="004821A9" w:rsidP="003B7D0E">
      <w:pPr>
        <w:pStyle w:val="Default"/>
        <w:spacing w:line="288" w:lineRule="auto"/>
        <w:jc w:val="center"/>
        <w:rPr>
          <w:rFonts w:cs="Arial"/>
          <w:color w:val="232120"/>
          <w:sz w:val="36"/>
          <w:szCs w:val="36"/>
        </w:rPr>
      </w:pPr>
    </w:p>
    <w:p w14:paraId="1B7D0282" w14:textId="77777777" w:rsidR="004821A9" w:rsidRDefault="004821A9" w:rsidP="003B7D0E">
      <w:pPr>
        <w:pStyle w:val="Default"/>
        <w:spacing w:line="288" w:lineRule="auto"/>
        <w:jc w:val="center"/>
        <w:rPr>
          <w:rFonts w:cs="Arial"/>
          <w:color w:val="232120"/>
          <w:sz w:val="36"/>
          <w:szCs w:val="36"/>
        </w:rPr>
      </w:pPr>
    </w:p>
    <w:p w14:paraId="3EBCE1B3" w14:textId="0D394E09" w:rsidR="008159E8" w:rsidRPr="008B1884" w:rsidRDefault="00262A6C" w:rsidP="008515C2">
      <w:pPr>
        <w:jc w:val="center"/>
        <w:rPr>
          <w:rFonts w:cs="Arial"/>
          <w:b/>
          <w:color w:val="232120"/>
        </w:rPr>
      </w:pPr>
      <w:r w:rsidRPr="008B1884">
        <w:rPr>
          <w:rFonts w:cs="Arial"/>
          <w:b/>
          <w:color w:val="232120"/>
        </w:rPr>
        <w:t>June 2026</w:t>
      </w:r>
    </w:p>
    <w:p w14:paraId="67CD8153" w14:textId="77777777" w:rsidR="00CF2FBC" w:rsidRPr="008B1884" w:rsidRDefault="00CF2FBC" w:rsidP="008515C2">
      <w:pPr>
        <w:jc w:val="center"/>
        <w:rPr>
          <w:rFonts w:cs="Arial"/>
          <w:b/>
          <w:color w:val="232120"/>
        </w:rPr>
      </w:pPr>
    </w:p>
    <w:p w14:paraId="313B5927" w14:textId="77777777" w:rsidR="003A285D" w:rsidRPr="00331C61" w:rsidRDefault="003A285D" w:rsidP="003B7D0E">
      <w:pPr>
        <w:jc w:val="center"/>
        <w:rPr>
          <w:rFonts w:cs="Arial"/>
          <w:b/>
          <w:color w:val="232120"/>
          <w:sz w:val="30"/>
          <w:szCs w:val="30"/>
        </w:rPr>
      </w:pPr>
    </w:p>
    <w:p w14:paraId="6F2B6C90" w14:textId="77777777" w:rsidR="00046705" w:rsidRDefault="00046705" w:rsidP="003B7D0E">
      <w:pPr>
        <w:jc w:val="center"/>
        <w:rPr>
          <w:rFonts w:cs="Arial"/>
          <w:b/>
          <w:color w:val="232120"/>
          <w:sz w:val="28"/>
          <w:szCs w:val="28"/>
        </w:rPr>
      </w:pPr>
    </w:p>
    <w:p w14:paraId="578C7A71" w14:textId="77777777" w:rsidR="008B1884" w:rsidRDefault="008B1884" w:rsidP="003B7D0E">
      <w:pPr>
        <w:jc w:val="center"/>
        <w:rPr>
          <w:rFonts w:cs="Arial"/>
          <w:b/>
          <w:color w:val="232120"/>
          <w:sz w:val="28"/>
          <w:szCs w:val="28"/>
        </w:rPr>
      </w:pPr>
    </w:p>
    <w:p w14:paraId="5BBD9B1A" w14:textId="77777777" w:rsidR="008B1884" w:rsidRPr="00331C61" w:rsidRDefault="008B1884" w:rsidP="003B7D0E">
      <w:pPr>
        <w:jc w:val="center"/>
        <w:rPr>
          <w:rFonts w:cs="Arial"/>
          <w:b/>
          <w:color w:val="232120"/>
          <w:sz w:val="28"/>
          <w:szCs w:val="28"/>
        </w:rPr>
      </w:pPr>
    </w:p>
    <w:p w14:paraId="6FF0B6A9" w14:textId="77777777" w:rsidR="00046705" w:rsidRDefault="00046705" w:rsidP="003B7D0E">
      <w:pPr>
        <w:jc w:val="center"/>
        <w:rPr>
          <w:rFonts w:cs="Arial"/>
          <w:b/>
          <w:color w:val="232120"/>
          <w:sz w:val="28"/>
          <w:szCs w:val="28"/>
        </w:rPr>
      </w:pPr>
    </w:p>
    <w:sdt>
      <w:sdtPr>
        <w:rPr>
          <w:rFonts w:ascii="Verdana" w:eastAsiaTheme="minorEastAsia" w:hAnsi="Verdana" w:cstheme="minorBidi"/>
          <w:color w:val="77328A"/>
          <w:sz w:val="24"/>
          <w:szCs w:val="24"/>
          <w:lang w:val="en-GB"/>
        </w:rPr>
        <w:id w:val="358175830"/>
        <w:docPartObj>
          <w:docPartGallery w:val="Table of Contents"/>
          <w:docPartUnique/>
        </w:docPartObj>
      </w:sdtPr>
      <w:sdtEndPr>
        <w:rPr>
          <w:b/>
          <w:bCs/>
          <w:noProof/>
          <w:color w:val="auto"/>
        </w:rPr>
      </w:sdtEndPr>
      <w:sdtContent>
        <w:p w14:paraId="79A175F5" w14:textId="2A24CB63" w:rsidR="00B56194" w:rsidRPr="00D30473" w:rsidRDefault="00B56194">
          <w:pPr>
            <w:pStyle w:val="TOCHeading"/>
            <w:rPr>
              <w:rFonts w:ascii="Verdana" w:hAnsi="Verdana"/>
              <w:b/>
              <w:bCs/>
              <w:color w:val="77328A"/>
              <w:sz w:val="24"/>
              <w:szCs w:val="24"/>
            </w:rPr>
          </w:pPr>
          <w:r w:rsidRPr="00D30473">
            <w:rPr>
              <w:rFonts w:ascii="Verdana" w:hAnsi="Verdana"/>
              <w:b/>
              <w:bCs/>
              <w:color w:val="77328A"/>
              <w:sz w:val="24"/>
              <w:szCs w:val="24"/>
            </w:rPr>
            <w:t>Table of Contents</w:t>
          </w:r>
        </w:p>
        <w:p w14:paraId="426D4640" w14:textId="77777777" w:rsidR="00B56194" w:rsidRPr="00B56194" w:rsidRDefault="00B56194" w:rsidP="00B56194">
          <w:pPr>
            <w:rPr>
              <w:lang w:val="en-US"/>
            </w:rPr>
          </w:pPr>
        </w:p>
        <w:p w14:paraId="0C0FD9E9" w14:textId="40C53181" w:rsidR="009426AE" w:rsidRDefault="00B56194">
          <w:pPr>
            <w:pStyle w:val="TOC1"/>
            <w:rPr>
              <w:rFonts w:asciiTheme="minorHAnsi" w:hAnsiTheme="minorHAnsi"/>
              <w:b w:val="0"/>
              <w:bCs w:val="0"/>
              <w:kern w:val="2"/>
              <w:lang w:eastAsia="en-GB"/>
              <w14:ligatures w14:val="standardContextual"/>
            </w:rPr>
          </w:pPr>
          <w:r>
            <w:fldChar w:fldCharType="begin"/>
          </w:r>
          <w:r>
            <w:instrText xml:space="preserve"> TOC \o "1-3" \h \z \u </w:instrText>
          </w:r>
          <w:r>
            <w:fldChar w:fldCharType="separate"/>
          </w:r>
          <w:hyperlink w:anchor="_Toc231921024" w:history="1">
            <w:r w:rsidR="009426AE" w:rsidRPr="00E33662">
              <w:rPr>
                <w:rStyle w:val="Hyperlink"/>
              </w:rPr>
              <w:t>1.0</w:t>
            </w:r>
            <w:r w:rsidR="009426AE">
              <w:rPr>
                <w:rFonts w:asciiTheme="minorHAnsi" w:hAnsiTheme="minorHAnsi"/>
                <w:b w:val="0"/>
                <w:bCs w:val="0"/>
                <w:kern w:val="2"/>
                <w:lang w:eastAsia="en-GB"/>
                <w14:ligatures w14:val="standardContextual"/>
              </w:rPr>
              <w:tab/>
            </w:r>
            <w:r w:rsidR="009426AE" w:rsidRPr="00E33662">
              <w:rPr>
                <w:rStyle w:val="Hyperlink"/>
              </w:rPr>
              <w:t>Introduction</w:t>
            </w:r>
            <w:r w:rsidR="009426AE">
              <w:rPr>
                <w:webHidden/>
              </w:rPr>
              <w:tab/>
            </w:r>
            <w:r w:rsidR="009426AE">
              <w:rPr>
                <w:webHidden/>
              </w:rPr>
              <w:fldChar w:fldCharType="begin"/>
            </w:r>
            <w:r w:rsidR="009426AE">
              <w:rPr>
                <w:webHidden/>
              </w:rPr>
              <w:instrText xml:space="preserve"> PAGEREF _Toc231921024 \h </w:instrText>
            </w:r>
            <w:r w:rsidR="009426AE">
              <w:rPr>
                <w:webHidden/>
              </w:rPr>
            </w:r>
            <w:r w:rsidR="009426AE">
              <w:rPr>
                <w:webHidden/>
              </w:rPr>
              <w:fldChar w:fldCharType="separate"/>
            </w:r>
            <w:r w:rsidR="009426AE">
              <w:rPr>
                <w:webHidden/>
              </w:rPr>
              <w:t>3</w:t>
            </w:r>
            <w:r w:rsidR="009426AE">
              <w:rPr>
                <w:webHidden/>
              </w:rPr>
              <w:fldChar w:fldCharType="end"/>
            </w:r>
          </w:hyperlink>
        </w:p>
        <w:p w14:paraId="572778F7" w14:textId="3CA14F12" w:rsidR="009426AE" w:rsidRDefault="009426AE">
          <w:pPr>
            <w:pStyle w:val="TOC1"/>
            <w:rPr>
              <w:rFonts w:asciiTheme="minorHAnsi" w:hAnsiTheme="minorHAnsi"/>
              <w:b w:val="0"/>
              <w:bCs w:val="0"/>
              <w:kern w:val="2"/>
              <w:lang w:eastAsia="en-GB"/>
              <w14:ligatures w14:val="standardContextual"/>
            </w:rPr>
          </w:pPr>
          <w:hyperlink w:anchor="_Toc231921025" w:history="1">
            <w:r w:rsidRPr="00E33662">
              <w:rPr>
                <w:rStyle w:val="Hyperlink"/>
              </w:rPr>
              <w:t>2.0</w:t>
            </w:r>
            <w:r>
              <w:rPr>
                <w:rFonts w:asciiTheme="minorHAnsi" w:hAnsiTheme="minorHAnsi"/>
                <w:b w:val="0"/>
                <w:bCs w:val="0"/>
                <w:kern w:val="2"/>
                <w:lang w:eastAsia="en-GB"/>
                <w14:ligatures w14:val="standardContextual"/>
              </w:rPr>
              <w:tab/>
            </w:r>
            <w:r w:rsidRPr="00E33662">
              <w:rPr>
                <w:rStyle w:val="Hyperlink"/>
              </w:rPr>
              <w:t>Part 1: Proposed Amendments to Current Minimum Age of Criminal Responsibility</w:t>
            </w:r>
            <w:r>
              <w:rPr>
                <w:webHidden/>
              </w:rPr>
              <w:tab/>
            </w:r>
            <w:r>
              <w:rPr>
                <w:webHidden/>
              </w:rPr>
              <w:fldChar w:fldCharType="begin"/>
            </w:r>
            <w:r>
              <w:rPr>
                <w:webHidden/>
              </w:rPr>
              <w:instrText xml:space="preserve"> PAGEREF _Toc231921025 \h </w:instrText>
            </w:r>
            <w:r>
              <w:rPr>
                <w:webHidden/>
              </w:rPr>
            </w:r>
            <w:r>
              <w:rPr>
                <w:webHidden/>
              </w:rPr>
              <w:fldChar w:fldCharType="separate"/>
            </w:r>
            <w:r>
              <w:rPr>
                <w:webHidden/>
              </w:rPr>
              <w:t>5</w:t>
            </w:r>
            <w:r>
              <w:rPr>
                <w:webHidden/>
              </w:rPr>
              <w:fldChar w:fldCharType="end"/>
            </w:r>
          </w:hyperlink>
        </w:p>
        <w:p w14:paraId="20587F5A" w14:textId="60B16759" w:rsidR="009426AE" w:rsidRDefault="009426AE">
          <w:pPr>
            <w:pStyle w:val="TOC1"/>
            <w:rPr>
              <w:rFonts w:asciiTheme="minorHAnsi" w:hAnsiTheme="minorHAnsi"/>
              <w:b w:val="0"/>
              <w:bCs w:val="0"/>
              <w:kern w:val="2"/>
              <w:lang w:eastAsia="en-GB"/>
              <w14:ligatures w14:val="standardContextual"/>
            </w:rPr>
          </w:pPr>
          <w:hyperlink w:anchor="_Toc231921026" w:history="1">
            <w:r w:rsidRPr="00E33662">
              <w:rPr>
                <w:rStyle w:val="Hyperlink"/>
              </w:rPr>
              <w:t>3.0</w:t>
            </w:r>
            <w:r>
              <w:rPr>
                <w:rFonts w:asciiTheme="minorHAnsi" w:hAnsiTheme="minorHAnsi"/>
                <w:b w:val="0"/>
                <w:bCs w:val="0"/>
                <w:kern w:val="2"/>
                <w:lang w:eastAsia="en-GB"/>
                <w14:ligatures w14:val="standardContextual"/>
              </w:rPr>
              <w:tab/>
            </w:r>
            <w:r w:rsidRPr="00E33662">
              <w:rPr>
                <w:rStyle w:val="Hyperlink"/>
              </w:rPr>
              <w:t>International and Regional Human Rights Standards Relevant to the Minimum Age of Criminal Responsibility</w:t>
            </w:r>
            <w:r>
              <w:rPr>
                <w:webHidden/>
              </w:rPr>
              <w:tab/>
            </w:r>
            <w:r>
              <w:rPr>
                <w:webHidden/>
              </w:rPr>
              <w:fldChar w:fldCharType="begin"/>
            </w:r>
            <w:r>
              <w:rPr>
                <w:webHidden/>
              </w:rPr>
              <w:instrText xml:space="preserve"> PAGEREF _Toc231921026 \h </w:instrText>
            </w:r>
            <w:r>
              <w:rPr>
                <w:webHidden/>
              </w:rPr>
            </w:r>
            <w:r>
              <w:rPr>
                <w:webHidden/>
              </w:rPr>
              <w:fldChar w:fldCharType="separate"/>
            </w:r>
            <w:r>
              <w:rPr>
                <w:webHidden/>
              </w:rPr>
              <w:t>6</w:t>
            </w:r>
            <w:r>
              <w:rPr>
                <w:webHidden/>
              </w:rPr>
              <w:fldChar w:fldCharType="end"/>
            </w:r>
          </w:hyperlink>
        </w:p>
        <w:p w14:paraId="7E1A52CB" w14:textId="18D161B2" w:rsidR="009426AE" w:rsidRDefault="009426AE">
          <w:pPr>
            <w:pStyle w:val="TOC2"/>
            <w:tabs>
              <w:tab w:val="right" w:leader="dot" w:pos="9848"/>
            </w:tabs>
            <w:rPr>
              <w:rFonts w:asciiTheme="minorHAnsi" w:hAnsiTheme="minorHAnsi"/>
              <w:noProof/>
              <w:kern w:val="2"/>
              <w:lang w:eastAsia="en-GB"/>
              <w14:ligatures w14:val="standardContextual"/>
            </w:rPr>
          </w:pPr>
          <w:hyperlink w:anchor="_Toc231921027" w:history="1">
            <w:r w:rsidRPr="00E33662">
              <w:rPr>
                <w:rStyle w:val="Hyperlink"/>
                <w:noProof/>
              </w:rPr>
              <w:t>Council of Europe Standards and Guidance</w:t>
            </w:r>
            <w:r>
              <w:rPr>
                <w:noProof/>
                <w:webHidden/>
              </w:rPr>
              <w:tab/>
            </w:r>
            <w:r>
              <w:rPr>
                <w:noProof/>
                <w:webHidden/>
              </w:rPr>
              <w:fldChar w:fldCharType="begin"/>
            </w:r>
            <w:r>
              <w:rPr>
                <w:noProof/>
                <w:webHidden/>
              </w:rPr>
              <w:instrText xml:space="preserve"> PAGEREF _Toc231921027 \h </w:instrText>
            </w:r>
            <w:r>
              <w:rPr>
                <w:noProof/>
                <w:webHidden/>
              </w:rPr>
            </w:r>
            <w:r>
              <w:rPr>
                <w:noProof/>
                <w:webHidden/>
              </w:rPr>
              <w:fldChar w:fldCharType="separate"/>
            </w:r>
            <w:r>
              <w:rPr>
                <w:noProof/>
                <w:webHidden/>
              </w:rPr>
              <w:t>6</w:t>
            </w:r>
            <w:r>
              <w:rPr>
                <w:noProof/>
                <w:webHidden/>
              </w:rPr>
              <w:fldChar w:fldCharType="end"/>
            </w:r>
          </w:hyperlink>
        </w:p>
        <w:p w14:paraId="52E7314D" w14:textId="428DC9A3" w:rsidR="009426AE" w:rsidRDefault="009426AE">
          <w:pPr>
            <w:pStyle w:val="TOC2"/>
            <w:tabs>
              <w:tab w:val="right" w:leader="dot" w:pos="9848"/>
            </w:tabs>
            <w:rPr>
              <w:rFonts w:asciiTheme="minorHAnsi" w:hAnsiTheme="minorHAnsi"/>
              <w:noProof/>
              <w:kern w:val="2"/>
              <w:lang w:eastAsia="en-GB"/>
              <w14:ligatures w14:val="standardContextual"/>
            </w:rPr>
          </w:pPr>
          <w:hyperlink w:anchor="_Toc231921028" w:history="1">
            <w:r w:rsidRPr="00E33662">
              <w:rPr>
                <w:rStyle w:val="Hyperlink"/>
                <w:noProof/>
              </w:rPr>
              <w:t>European Convention on Human Rights and the European Court of Human Rights Jurisprudence</w:t>
            </w:r>
            <w:r>
              <w:rPr>
                <w:noProof/>
                <w:webHidden/>
              </w:rPr>
              <w:tab/>
            </w:r>
            <w:r>
              <w:rPr>
                <w:noProof/>
                <w:webHidden/>
              </w:rPr>
              <w:fldChar w:fldCharType="begin"/>
            </w:r>
            <w:r>
              <w:rPr>
                <w:noProof/>
                <w:webHidden/>
              </w:rPr>
              <w:instrText xml:space="preserve"> PAGEREF _Toc231921028 \h </w:instrText>
            </w:r>
            <w:r>
              <w:rPr>
                <w:noProof/>
                <w:webHidden/>
              </w:rPr>
            </w:r>
            <w:r>
              <w:rPr>
                <w:noProof/>
                <w:webHidden/>
              </w:rPr>
              <w:fldChar w:fldCharType="separate"/>
            </w:r>
            <w:r>
              <w:rPr>
                <w:noProof/>
                <w:webHidden/>
              </w:rPr>
              <w:t>9</w:t>
            </w:r>
            <w:r>
              <w:rPr>
                <w:noProof/>
                <w:webHidden/>
              </w:rPr>
              <w:fldChar w:fldCharType="end"/>
            </w:r>
          </w:hyperlink>
        </w:p>
        <w:p w14:paraId="0A5B450C" w14:textId="63AAFFF9" w:rsidR="009426AE" w:rsidRDefault="009426AE">
          <w:pPr>
            <w:pStyle w:val="TOC2"/>
            <w:tabs>
              <w:tab w:val="right" w:leader="dot" w:pos="9848"/>
            </w:tabs>
            <w:rPr>
              <w:rFonts w:asciiTheme="minorHAnsi" w:hAnsiTheme="minorHAnsi"/>
              <w:noProof/>
              <w:kern w:val="2"/>
              <w:lang w:eastAsia="en-GB"/>
              <w14:ligatures w14:val="standardContextual"/>
            </w:rPr>
          </w:pPr>
          <w:hyperlink w:anchor="_Toc231921029" w:history="1">
            <w:r w:rsidRPr="00E33662">
              <w:rPr>
                <w:rStyle w:val="Hyperlink"/>
                <w:noProof/>
              </w:rPr>
              <w:t>United Nations Standards and Treaty Body Guidance</w:t>
            </w:r>
            <w:r>
              <w:rPr>
                <w:noProof/>
                <w:webHidden/>
              </w:rPr>
              <w:tab/>
            </w:r>
            <w:r>
              <w:rPr>
                <w:noProof/>
                <w:webHidden/>
              </w:rPr>
              <w:fldChar w:fldCharType="begin"/>
            </w:r>
            <w:r>
              <w:rPr>
                <w:noProof/>
                <w:webHidden/>
              </w:rPr>
              <w:instrText xml:space="preserve"> PAGEREF _Toc231921029 \h </w:instrText>
            </w:r>
            <w:r>
              <w:rPr>
                <w:noProof/>
                <w:webHidden/>
              </w:rPr>
            </w:r>
            <w:r>
              <w:rPr>
                <w:noProof/>
                <w:webHidden/>
              </w:rPr>
              <w:fldChar w:fldCharType="separate"/>
            </w:r>
            <w:r>
              <w:rPr>
                <w:noProof/>
                <w:webHidden/>
              </w:rPr>
              <w:t>11</w:t>
            </w:r>
            <w:r>
              <w:rPr>
                <w:noProof/>
                <w:webHidden/>
              </w:rPr>
              <w:fldChar w:fldCharType="end"/>
            </w:r>
          </w:hyperlink>
        </w:p>
        <w:p w14:paraId="6A748A50" w14:textId="34739056" w:rsidR="009426AE" w:rsidRDefault="009426AE">
          <w:pPr>
            <w:pStyle w:val="TOC1"/>
            <w:rPr>
              <w:rFonts w:asciiTheme="minorHAnsi" w:hAnsiTheme="minorHAnsi"/>
              <w:b w:val="0"/>
              <w:bCs w:val="0"/>
              <w:kern w:val="2"/>
              <w:lang w:eastAsia="en-GB"/>
              <w14:ligatures w14:val="standardContextual"/>
            </w:rPr>
          </w:pPr>
          <w:hyperlink w:anchor="_Toc231921030" w:history="1">
            <w:r w:rsidRPr="00E33662">
              <w:rPr>
                <w:rStyle w:val="Hyperlink"/>
              </w:rPr>
              <w:t>4.0</w:t>
            </w:r>
            <w:r>
              <w:rPr>
                <w:rFonts w:asciiTheme="minorHAnsi" w:hAnsiTheme="minorHAnsi"/>
                <w:b w:val="0"/>
                <w:bCs w:val="0"/>
                <w:kern w:val="2"/>
                <w:lang w:eastAsia="en-GB"/>
                <w14:ligatures w14:val="standardContextual"/>
              </w:rPr>
              <w:tab/>
            </w:r>
            <w:r w:rsidRPr="00E33662">
              <w:rPr>
                <w:rStyle w:val="Hyperlink"/>
              </w:rPr>
              <w:t>Conclusion</w:t>
            </w:r>
            <w:r>
              <w:rPr>
                <w:webHidden/>
              </w:rPr>
              <w:tab/>
            </w:r>
            <w:r>
              <w:rPr>
                <w:webHidden/>
              </w:rPr>
              <w:fldChar w:fldCharType="begin"/>
            </w:r>
            <w:r>
              <w:rPr>
                <w:webHidden/>
              </w:rPr>
              <w:instrText xml:space="preserve"> PAGEREF _Toc231921030 \h </w:instrText>
            </w:r>
            <w:r>
              <w:rPr>
                <w:webHidden/>
              </w:rPr>
            </w:r>
            <w:r>
              <w:rPr>
                <w:webHidden/>
              </w:rPr>
              <w:fldChar w:fldCharType="separate"/>
            </w:r>
            <w:r>
              <w:rPr>
                <w:webHidden/>
              </w:rPr>
              <w:t>15</w:t>
            </w:r>
            <w:r>
              <w:rPr>
                <w:webHidden/>
              </w:rPr>
              <w:fldChar w:fldCharType="end"/>
            </w:r>
          </w:hyperlink>
        </w:p>
        <w:p w14:paraId="42373E80" w14:textId="13EB1EAB" w:rsidR="00B56194" w:rsidRDefault="00B56194">
          <w:r>
            <w:rPr>
              <w:b/>
              <w:bCs/>
              <w:noProof/>
            </w:rPr>
            <w:fldChar w:fldCharType="end"/>
          </w:r>
        </w:p>
      </w:sdtContent>
    </w:sdt>
    <w:p w14:paraId="6F5FBCC0" w14:textId="7D68D595" w:rsidR="00506310" w:rsidRPr="00CF2FBC" w:rsidRDefault="00B56194" w:rsidP="00CF2FBC">
      <w:pPr>
        <w:spacing w:line="240" w:lineRule="auto"/>
        <w:rPr>
          <w:rFonts w:cs="Arial"/>
          <w:b/>
          <w:color w:val="232120"/>
          <w:sz w:val="28"/>
          <w:szCs w:val="28"/>
        </w:rPr>
      </w:pPr>
      <w:r>
        <w:rPr>
          <w:rFonts w:cs="Arial"/>
          <w:b/>
          <w:color w:val="232120"/>
          <w:sz w:val="28"/>
          <w:szCs w:val="28"/>
        </w:rPr>
        <w:br w:type="page"/>
      </w:r>
    </w:p>
    <w:p w14:paraId="1F577CFA" w14:textId="1F337D17" w:rsidR="00BD567E" w:rsidRPr="009426AE" w:rsidRDefault="00ED40E9" w:rsidP="00B56194">
      <w:pPr>
        <w:pStyle w:val="Heading1"/>
        <w:rPr>
          <w:sz w:val="24"/>
          <w:szCs w:val="24"/>
        </w:rPr>
      </w:pPr>
      <w:bookmarkStart w:id="0" w:name="_Toc231921024"/>
      <w:r w:rsidRPr="009426AE">
        <w:rPr>
          <w:sz w:val="24"/>
          <w:szCs w:val="24"/>
        </w:rPr>
        <w:lastRenderedPageBreak/>
        <w:t>Introduction</w:t>
      </w:r>
      <w:bookmarkEnd w:id="0"/>
    </w:p>
    <w:p w14:paraId="33DB8A1E" w14:textId="12EC681F" w:rsidR="007A128C" w:rsidRDefault="007A128C" w:rsidP="007A128C">
      <w:pPr>
        <w:pStyle w:val="ListParagraph"/>
        <w:widowControl w:val="0"/>
        <w:numPr>
          <w:ilvl w:val="1"/>
          <w:numId w:val="1"/>
        </w:numPr>
        <w:suppressAutoHyphens/>
        <w:autoSpaceDE w:val="0"/>
        <w:autoSpaceDN w:val="0"/>
        <w:adjustRightInd w:val="0"/>
        <w:contextualSpacing w:val="0"/>
        <w:textAlignment w:val="center"/>
      </w:pPr>
      <w:r w:rsidRPr="00387C3F">
        <w:t xml:space="preserve">The Northern Ireland Human Rights Commission (NIHRC), pursuant to </w:t>
      </w:r>
      <w:r w:rsidRPr="0087760E">
        <w:t>sections 69(1)</w:t>
      </w:r>
      <w:r w:rsidR="0087760E">
        <w:t xml:space="preserve"> </w:t>
      </w:r>
      <w:r w:rsidRPr="009D19BD">
        <w:t>and 69(4)</w:t>
      </w:r>
      <w:r w:rsidR="00507099">
        <w:t xml:space="preserve"> </w:t>
      </w:r>
      <w:r w:rsidRPr="00387C3F">
        <w:t xml:space="preserve">of the </w:t>
      </w:r>
      <w:r w:rsidR="00BA7DE6">
        <w:t>Northern Ireland A</w:t>
      </w:r>
      <w:r w:rsidR="00C625D0">
        <w:t>ct</w:t>
      </w:r>
      <w:r w:rsidR="00BA7DE6">
        <w:t xml:space="preserve"> 1998</w:t>
      </w:r>
      <w:r w:rsidRPr="00387C3F">
        <w:t>, reviews the adequacy and effectiveness of law and practice relating to the protection of human rights in NI.</w:t>
      </w:r>
      <w:r w:rsidR="0087760E">
        <w:t xml:space="preserve"> </w:t>
      </w:r>
      <w:r w:rsidRPr="00387C3F">
        <w:t xml:space="preserve">The NIHRC is also </w:t>
      </w:r>
      <w:r>
        <w:t>required</w:t>
      </w:r>
      <w:r w:rsidRPr="00387C3F">
        <w:t xml:space="preserve"> under </w:t>
      </w:r>
      <w:r w:rsidRPr="0087760E">
        <w:t>section 78</w:t>
      </w:r>
      <w:proofErr w:type="gramStart"/>
      <w:r w:rsidRPr="0087760E">
        <w:t>A(</w:t>
      </w:r>
      <w:proofErr w:type="gramEnd"/>
      <w:r w:rsidRPr="0087760E">
        <w:t>1),</w:t>
      </w:r>
      <w:r>
        <w:t xml:space="preserve"> 78</w:t>
      </w:r>
      <w:proofErr w:type="gramStart"/>
      <w:r>
        <w:t>A(</w:t>
      </w:r>
      <w:proofErr w:type="gramEnd"/>
      <w:r>
        <w:t>5) and 78</w:t>
      </w:r>
      <w:proofErr w:type="gramStart"/>
      <w:r>
        <w:t>A(</w:t>
      </w:r>
      <w:proofErr w:type="gramEnd"/>
      <w:r>
        <w:t>6)</w:t>
      </w:r>
      <w:r w:rsidRPr="00387C3F">
        <w:t xml:space="preserve"> to monitor the implementation of Article 2(1) of the </w:t>
      </w:r>
      <w:r>
        <w:t>Windsor Framework</w:t>
      </w:r>
      <w:r>
        <w:rPr>
          <w:rStyle w:val="FootnoteReference"/>
        </w:rPr>
        <w:footnoteReference w:id="2"/>
      </w:r>
      <w:r>
        <w:t xml:space="preserve">. </w:t>
      </w:r>
      <w:r w:rsidRPr="00576462">
        <w:rPr>
          <w:rFonts w:eastAsia="MS Mincho" w:cs="Times New Roman"/>
        </w:rPr>
        <w:t>Windsor Framework Article 2 is given effect in UK law by section 7A of the EU (Withdrawal) Act 2018.</w:t>
      </w:r>
      <w:r w:rsidRPr="00576462">
        <w:t xml:space="preserve"> </w:t>
      </w:r>
    </w:p>
    <w:p w14:paraId="08B1BA7B" w14:textId="77777777" w:rsidR="006143DD" w:rsidRDefault="006143DD" w:rsidP="00134849">
      <w:pPr>
        <w:pStyle w:val="ListParagraph"/>
        <w:widowControl w:val="0"/>
        <w:suppressAutoHyphens/>
        <w:autoSpaceDE w:val="0"/>
        <w:autoSpaceDN w:val="0"/>
        <w:adjustRightInd w:val="0"/>
        <w:contextualSpacing w:val="0"/>
        <w:textAlignment w:val="center"/>
      </w:pPr>
    </w:p>
    <w:p w14:paraId="1C9B0A10" w14:textId="0473F779" w:rsidR="00BA7DE6" w:rsidRDefault="008803A4" w:rsidP="007A128C">
      <w:pPr>
        <w:pStyle w:val="ListParagraph"/>
        <w:widowControl w:val="0"/>
        <w:numPr>
          <w:ilvl w:val="1"/>
          <w:numId w:val="1"/>
        </w:numPr>
        <w:suppressAutoHyphens/>
        <w:autoSpaceDE w:val="0"/>
        <w:autoSpaceDN w:val="0"/>
        <w:adjustRightInd w:val="0"/>
        <w:contextualSpacing w:val="0"/>
        <w:textAlignment w:val="center"/>
      </w:pPr>
      <w:r>
        <w:t xml:space="preserve">The </w:t>
      </w:r>
      <w:r w:rsidR="006143DD" w:rsidRPr="006143DD">
        <w:t>Northern Ireland (Ministers, Elections and Petitions of Concern) Act 2022</w:t>
      </w:r>
      <w:r w:rsidR="00FB7DA5">
        <w:t xml:space="preserve"> amended the Northern Ireland Act 1998 </w:t>
      </w:r>
      <w:r w:rsidR="00B875A2">
        <w:t>following</w:t>
      </w:r>
      <w:r w:rsidR="003C54A3">
        <w:t xml:space="preserve"> the New Decade New Approach </w:t>
      </w:r>
      <w:r w:rsidR="003E5C1E">
        <w:t>a</w:t>
      </w:r>
      <w:r w:rsidR="003C54A3">
        <w:t>greement. Th</w:t>
      </w:r>
      <w:r w:rsidR="00B875A2">
        <w:t>is requires the</w:t>
      </w:r>
      <w:r w:rsidR="003C54A3">
        <w:t xml:space="preserve"> Standing Orders of the NI Assembly to be changed in order to </w:t>
      </w:r>
      <w:r w:rsidR="00FB1CF3">
        <w:t>make provision for</w:t>
      </w:r>
      <w:r w:rsidR="007461BD">
        <w:t xml:space="preserve"> the implementation of paragraph 2.2.7 NDNA, which allows for a 14-day consideration period, including reports on conformity with the ECHR and advice under Standing </w:t>
      </w:r>
      <w:r w:rsidR="00B875A2">
        <w:t>O</w:t>
      </w:r>
      <w:r w:rsidR="007461BD">
        <w:t>rder 30(6)</w:t>
      </w:r>
      <w:r w:rsidR="007461BD">
        <w:rPr>
          <w:rStyle w:val="FootnoteReference"/>
        </w:rPr>
        <w:footnoteReference w:id="3"/>
      </w:r>
      <w:r w:rsidR="007461BD">
        <w:t>.</w:t>
      </w:r>
    </w:p>
    <w:p w14:paraId="2B50A84F" w14:textId="77777777" w:rsidR="00592093" w:rsidRDefault="00592093" w:rsidP="00592093">
      <w:pPr>
        <w:pStyle w:val="ListParagraph"/>
        <w:widowControl w:val="0"/>
        <w:suppressAutoHyphens/>
        <w:autoSpaceDE w:val="0"/>
        <w:autoSpaceDN w:val="0"/>
        <w:adjustRightInd w:val="0"/>
        <w:contextualSpacing w:val="0"/>
        <w:textAlignment w:val="center"/>
      </w:pPr>
    </w:p>
    <w:p w14:paraId="7AB931DB" w14:textId="2294EDA6" w:rsidR="0039654F" w:rsidRPr="005817A9" w:rsidRDefault="000A069B" w:rsidP="0039654F">
      <w:pPr>
        <w:pStyle w:val="ListParagraph"/>
        <w:widowControl w:val="0"/>
        <w:numPr>
          <w:ilvl w:val="1"/>
          <w:numId w:val="1"/>
        </w:numPr>
        <w:suppressAutoHyphens/>
        <w:autoSpaceDE w:val="0"/>
        <w:autoSpaceDN w:val="0"/>
        <w:adjustRightInd w:val="0"/>
        <w:contextualSpacing w:val="0"/>
        <w:textAlignment w:val="center"/>
      </w:pPr>
      <w:r>
        <w:t xml:space="preserve">The NIHRC is not aware of any amendments to the Assembly Standing Orders, and so presents </w:t>
      </w:r>
      <w:r w:rsidR="00F85D77">
        <w:t xml:space="preserve">this advice </w:t>
      </w:r>
      <w:r w:rsidR="00B83129">
        <w:t>pre-emptively,</w:t>
      </w:r>
      <w:r w:rsidR="007F3EF6">
        <w:t xml:space="preserve"> </w:t>
      </w:r>
      <w:r w:rsidR="00B83129">
        <w:t xml:space="preserve">in order to assist </w:t>
      </w:r>
      <w:r w:rsidR="0039654F" w:rsidRPr="005817A9">
        <w:t>the</w:t>
      </w:r>
      <w:r w:rsidR="00BF0295" w:rsidRPr="005817A9">
        <w:t xml:space="preserve"> N</w:t>
      </w:r>
      <w:r w:rsidR="003667CD" w:rsidRPr="005817A9">
        <w:t xml:space="preserve">orthern </w:t>
      </w:r>
      <w:r w:rsidR="007D745B" w:rsidRPr="005817A9">
        <w:t>I</w:t>
      </w:r>
      <w:r w:rsidR="003667CD" w:rsidRPr="005817A9">
        <w:t>reland</w:t>
      </w:r>
      <w:r w:rsidR="00BF0295" w:rsidRPr="005817A9">
        <w:t xml:space="preserve"> Assembl</w:t>
      </w:r>
      <w:r w:rsidR="003667CD" w:rsidRPr="005817A9">
        <w:t>y</w:t>
      </w:r>
      <w:r w:rsidR="000D63AD" w:rsidRPr="005817A9">
        <w:t xml:space="preserve"> </w:t>
      </w:r>
      <w:r w:rsidR="003667CD" w:rsidRPr="005817A9">
        <w:t xml:space="preserve">in </w:t>
      </w:r>
      <w:r w:rsidR="000D63AD" w:rsidRPr="005817A9">
        <w:t>relation to the</w:t>
      </w:r>
      <w:r w:rsidR="00092DA1" w:rsidRPr="005817A9">
        <w:t xml:space="preserve"> </w:t>
      </w:r>
      <w:r w:rsidR="00EC0E33" w:rsidRPr="005817A9">
        <w:t xml:space="preserve">Amendments to the </w:t>
      </w:r>
      <w:r w:rsidR="00C0724B" w:rsidRPr="005817A9">
        <w:t xml:space="preserve">Justice Bill </w:t>
      </w:r>
      <w:r w:rsidR="000C664B" w:rsidRPr="005817A9">
        <w:t xml:space="preserve">(the Bill) </w:t>
      </w:r>
      <w:r w:rsidR="00C0724B" w:rsidRPr="005817A9">
        <w:t>Marshalled List of Amendments Consideration Stage</w:t>
      </w:r>
      <w:r w:rsidR="00B67096" w:rsidRPr="005817A9">
        <w:t xml:space="preserve"> which were published on </w:t>
      </w:r>
      <w:r w:rsidR="003C7650" w:rsidRPr="005817A9">
        <w:t>2 June 2026</w:t>
      </w:r>
      <w:r w:rsidR="001F2789" w:rsidRPr="005817A9">
        <w:t>.</w:t>
      </w:r>
      <w:r w:rsidR="001F2789" w:rsidRPr="005817A9">
        <w:rPr>
          <w:rStyle w:val="FootnoteReference"/>
        </w:rPr>
        <w:footnoteReference w:id="4"/>
      </w:r>
      <w:r w:rsidR="003C7650" w:rsidRPr="005817A9">
        <w:t xml:space="preserve"> </w:t>
      </w:r>
    </w:p>
    <w:p w14:paraId="030E3494" w14:textId="77777777" w:rsidR="00DC244E" w:rsidRPr="00DC244E" w:rsidRDefault="00DC244E" w:rsidP="00DC244E">
      <w:pPr>
        <w:pStyle w:val="ListParagraph"/>
        <w:rPr>
          <w:highlight w:val="green"/>
        </w:rPr>
      </w:pPr>
    </w:p>
    <w:p w14:paraId="12BE16E0" w14:textId="138DCD66" w:rsidR="003069BE" w:rsidRPr="000D2AC2" w:rsidRDefault="00DC244E" w:rsidP="0039654F">
      <w:pPr>
        <w:pStyle w:val="ListParagraph"/>
        <w:widowControl w:val="0"/>
        <w:numPr>
          <w:ilvl w:val="1"/>
          <w:numId w:val="1"/>
        </w:numPr>
        <w:suppressAutoHyphens/>
        <w:autoSpaceDE w:val="0"/>
        <w:autoSpaceDN w:val="0"/>
        <w:adjustRightInd w:val="0"/>
        <w:contextualSpacing w:val="0"/>
        <w:textAlignment w:val="center"/>
      </w:pPr>
      <w:r w:rsidRPr="000D2AC2">
        <w:t xml:space="preserve">The Commission bases its advice on the full range of internationally accepted human rights standards, including the European Convention on Human Rights (ECHR), as incorporated by the Human Rights Act 1998, and the treaty obligations of the Council of Europe (CoE) and United Nations (UN) systems. </w:t>
      </w:r>
      <w:r w:rsidR="0065126F" w:rsidRPr="000D2AC2">
        <w:t xml:space="preserve">The relevant </w:t>
      </w:r>
      <w:r w:rsidR="003069BE" w:rsidRPr="000D2AC2">
        <w:t>regional and international treaties in this context include:</w:t>
      </w:r>
    </w:p>
    <w:p w14:paraId="2798DD32" w14:textId="77777777" w:rsidR="003069BE" w:rsidRPr="00A7458F" w:rsidRDefault="003069BE" w:rsidP="003069BE">
      <w:pPr>
        <w:pStyle w:val="ListParagraph"/>
      </w:pPr>
    </w:p>
    <w:p w14:paraId="653C39C5" w14:textId="19AA8C1C" w:rsidR="009C5444" w:rsidRPr="00A7458F" w:rsidRDefault="009C5444" w:rsidP="00A7458F">
      <w:pPr>
        <w:pStyle w:val="ListParagraph"/>
        <w:widowControl w:val="0"/>
        <w:numPr>
          <w:ilvl w:val="1"/>
          <w:numId w:val="19"/>
        </w:numPr>
        <w:suppressAutoHyphens/>
        <w:autoSpaceDE w:val="0"/>
        <w:autoSpaceDN w:val="0"/>
        <w:adjustRightInd w:val="0"/>
        <w:textAlignment w:val="center"/>
      </w:pPr>
      <w:r w:rsidRPr="00A7458F">
        <w:t>CoE European Convention on Human Rights 1950</w:t>
      </w:r>
      <w:r w:rsidR="00972D6E" w:rsidRPr="00A7458F">
        <w:t xml:space="preserve"> </w:t>
      </w:r>
      <w:r w:rsidR="00972D6E" w:rsidRPr="00A7458F">
        <w:rPr>
          <w:color w:val="000000"/>
          <w:sz w:val="27"/>
          <w:szCs w:val="27"/>
        </w:rPr>
        <w:t>(ECHR);</w:t>
      </w:r>
      <w:r w:rsidR="00972D6E" w:rsidRPr="00A7458F">
        <w:rPr>
          <w:rStyle w:val="FootnoteReference"/>
          <w:color w:val="000000"/>
          <w:sz w:val="27"/>
          <w:szCs w:val="27"/>
        </w:rPr>
        <w:footnoteReference w:id="5"/>
      </w:r>
    </w:p>
    <w:p w14:paraId="528118AD" w14:textId="31075371" w:rsidR="009C5444" w:rsidRPr="00A7458F" w:rsidRDefault="009C5444" w:rsidP="00A7458F">
      <w:pPr>
        <w:pStyle w:val="ListParagraph"/>
        <w:widowControl w:val="0"/>
        <w:numPr>
          <w:ilvl w:val="1"/>
          <w:numId w:val="19"/>
        </w:numPr>
        <w:suppressAutoHyphens/>
        <w:autoSpaceDE w:val="0"/>
        <w:autoSpaceDN w:val="0"/>
        <w:adjustRightInd w:val="0"/>
        <w:textAlignment w:val="center"/>
      </w:pPr>
      <w:r w:rsidRPr="00A7458F">
        <w:lastRenderedPageBreak/>
        <w:t>CoE European Social Charter 1961;</w:t>
      </w:r>
      <w:r w:rsidR="00972D6E" w:rsidRPr="00A7458F">
        <w:rPr>
          <w:rStyle w:val="FootnoteReference"/>
        </w:rPr>
        <w:footnoteReference w:id="6"/>
      </w:r>
    </w:p>
    <w:p w14:paraId="21803CA2" w14:textId="61516FCA" w:rsidR="003069BE" w:rsidRDefault="008E51CD" w:rsidP="006E0CBF">
      <w:pPr>
        <w:pStyle w:val="ListParagraph"/>
        <w:widowControl w:val="0"/>
        <w:numPr>
          <w:ilvl w:val="1"/>
          <w:numId w:val="19"/>
        </w:numPr>
        <w:suppressAutoHyphens/>
        <w:autoSpaceDE w:val="0"/>
        <w:autoSpaceDN w:val="0"/>
        <w:adjustRightInd w:val="0"/>
        <w:textAlignment w:val="center"/>
      </w:pPr>
      <w:r w:rsidRPr="00A7458F">
        <w:t>UN Convention on the Rights of the Child 1989 (UN CRC);</w:t>
      </w:r>
      <w:r w:rsidR="002C3D59" w:rsidRPr="00A7458F">
        <w:rPr>
          <w:rStyle w:val="FootnoteReference"/>
        </w:rPr>
        <w:footnoteReference w:id="7"/>
      </w:r>
    </w:p>
    <w:p w14:paraId="3CA97EEF" w14:textId="77777777" w:rsidR="006E0CBF" w:rsidRDefault="006E0CBF" w:rsidP="006E0CBF">
      <w:pPr>
        <w:pStyle w:val="ListParagraph"/>
        <w:widowControl w:val="0"/>
        <w:suppressAutoHyphens/>
        <w:autoSpaceDE w:val="0"/>
        <w:autoSpaceDN w:val="0"/>
        <w:adjustRightInd w:val="0"/>
        <w:ind w:left="1440"/>
        <w:textAlignment w:val="center"/>
      </w:pPr>
    </w:p>
    <w:p w14:paraId="41FC31C5" w14:textId="6798A5BE" w:rsidR="007B5DA9" w:rsidRDefault="00DC244E" w:rsidP="007B5DA9">
      <w:pPr>
        <w:pStyle w:val="ListParagraph"/>
        <w:widowControl w:val="0"/>
        <w:numPr>
          <w:ilvl w:val="1"/>
          <w:numId w:val="1"/>
        </w:numPr>
        <w:suppressAutoHyphens/>
        <w:autoSpaceDE w:val="0"/>
        <w:autoSpaceDN w:val="0"/>
        <w:adjustRightInd w:val="0"/>
        <w:contextualSpacing w:val="0"/>
        <w:textAlignment w:val="center"/>
      </w:pPr>
      <w:r w:rsidRPr="000F7E7D">
        <w:t>In addition to these treaty standards, there exists a body of ‘soft law’ developed by the human rights bodies of the CoE and UN. These declarations and principles are non-binding but provide further guidance in respect of specific areas</w:t>
      </w:r>
      <w:r w:rsidR="0087625E" w:rsidRPr="000F7E7D">
        <w:t>:</w:t>
      </w:r>
    </w:p>
    <w:p w14:paraId="64631779" w14:textId="77777777" w:rsidR="007B5DA9" w:rsidRPr="000F7E7D" w:rsidRDefault="007B5DA9" w:rsidP="007B5DA9">
      <w:pPr>
        <w:pStyle w:val="ListParagraph"/>
        <w:widowControl w:val="0"/>
        <w:suppressAutoHyphens/>
        <w:autoSpaceDE w:val="0"/>
        <w:autoSpaceDN w:val="0"/>
        <w:adjustRightInd w:val="0"/>
        <w:contextualSpacing w:val="0"/>
        <w:textAlignment w:val="center"/>
      </w:pPr>
    </w:p>
    <w:p w14:paraId="2346582D" w14:textId="00A5E4D9" w:rsidR="001724DC" w:rsidRPr="003C1009" w:rsidRDefault="001724DC" w:rsidP="001724DC">
      <w:pPr>
        <w:pStyle w:val="ListParagraph"/>
        <w:widowControl w:val="0"/>
        <w:numPr>
          <w:ilvl w:val="0"/>
          <w:numId w:val="18"/>
        </w:numPr>
        <w:suppressAutoHyphens/>
        <w:autoSpaceDE w:val="0"/>
        <w:autoSpaceDN w:val="0"/>
        <w:adjustRightInd w:val="0"/>
        <w:contextualSpacing w:val="0"/>
        <w:textAlignment w:val="center"/>
      </w:pPr>
      <w:r w:rsidRPr="003C1009">
        <w:t xml:space="preserve">UN Committee on the Rights of the Child (UN CRC Committee) General Comment No </w:t>
      </w:r>
      <w:r w:rsidR="00B84B55" w:rsidRPr="003C1009">
        <w:t>10</w:t>
      </w:r>
      <w:r w:rsidR="00F40427" w:rsidRPr="003C1009">
        <w:t>;</w:t>
      </w:r>
      <w:r w:rsidR="00CA5B3E" w:rsidRPr="003C1009">
        <w:rPr>
          <w:rStyle w:val="FootnoteReference"/>
        </w:rPr>
        <w:footnoteReference w:id="8"/>
      </w:r>
    </w:p>
    <w:p w14:paraId="1F051D99" w14:textId="47A1FB03" w:rsidR="00BD2DDF" w:rsidRPr="003C1009" w:rsidRDefault="00BD2DDF" w:rsidP="001724DC">
      <w:pPr>
        <w:pStyle w:val="ListParagraph"/>
        <w:widowControl w:val="0"/>
        <w:numPr>
          <w:ilvl w:val="0"/>
          <w:numId w:val="18"/>
        </w:numPr>
        <w:suppressAutoHyphens/>
        <w:autoSpaceDE w:val="0"/>
        <w:autoSpaceDN w:val="0"/>
        <w:adjustRightInd w:val="0"/>
        <w:contextualSpacing w:val="0"/>
        <w:textAlignment w:val="center"/>
      </w:pPr>
      <w:r w:rsidRPr="003C1009">
        <w:t>UN Committee on the Rights of the Child General Comment No</w:t>
      </w:r>
      <w:r w:rsidR="00F40427" w:rsidRPr="003C1009">
        <w:t xml:space="preserve"> </w:t>
      </w:r>
      <w:r w:rsidRPr="003C1009">
        <w:t>20</w:t>
      </w:r>
      <w:r w:rsidR="00F40427" w:rsidRPr="003C1009">
        <w:t>;</w:t>
      </w:r>
      <w:r w:rsidR="0093476B" w:rsidRPr="003C1009">
        <w:rPr>
          <w:rStyle w:val="FootnoteReference"/>
        </w:rPr>
        <w:footnoteReference w:id="9"/>
      </w:r>
    </w:p>
    <w:p w14:paraId="59894132" w14:textId="6D6AC078" w:rsidR="00CA5B3E" w:rsidRPr="003C1009" w:rsidRDefault="00CA5B3E" w:rsidP="001724DC">
      <w:pPr>
        <w:pStyle w:val="ListParagraph"/>
        <w:widowControl w:val="0"/>
        <w:numPr>
          <w:ilvl w:val="0"/>
          <w:numId w:val="18"/>
        </w:numPr>
        <w:suppressAutoHyphens/>
        <w:autoSpaceDE w:val="0"/>
        <w:autoSpaceDN w:val="0"/>
        <w:adjustRightInd w:val="0"/>
        <w:contextualSpacing w:val="0"/>
        <w:textAlignment w:val="center"/>
      </w:pPr>
      <w:r w:rsidRPr="003C1009">
        <w:t>UN CRC Committee General Comment No</w:t>
      </w:r>
      <w:r w:rsidR="00F40427" w:rsidRPr="003C1009">
        <w:t xml:space="preserve"> </w:t>
      </w:r>
      <w:r w:rsidRPr="003C1009">
        <w:t>24</w:t>
      </w:r>
      <w:r w:rsidR="00F40427" w:rsidRPr="003C1009">
        <w:t>;</w:t>
      </w:r>
      <w:r w:rsidR="005E373B" w:rsidRPr="003C1009">
        <w:rPr>
          <w:rStyle w:val="FootnoteReference"/>
        </w:rPr>
        <w:footnoteReference w:id="10"/>
      </w:r>
    </w:p>
    <w:p w14:paraId="2B129555" w14:textId="62046078" w:rsidR="005B04B9" w:rsidRPr="003C1009" w:rsidRDefault="005B04B9" w:rsidP="001724DC">
      <w:pPr>
        <w:pStyle w:val="ListParagraph"/>
        <w:widowControl w:val="0"/>
        <w:numPr>
          <w:ilvl w:val="0"/>
          <w:numId w:val="18"/>
        </w:numPr>
        <w:suppressAutoHyphens/>
        <w:autoSpaceDE w:val="0"/>
        <w:autoSpaceDN w:val="0"/>
        <w:adjustRightInd w:val="0"/>
        <w:contextualSpacing w:val="0"/>
        <w:textAlignment w:val="center"/>
      </w:pPr>
      <w:r w:rsidRPr="003C1009">
        <w:t>UN CRC Committee Concluding Observations on the UK 2016;</w:t>
      </w:r>
      <w:r w:rsidRPr="003C1009">
        <w:rPr>
          <w:rStyle w:val="FootnoteReference"/>
        </w:rPr>
        <w:footnoteReference w:id="11"/>
      </w:r>
    </w:p>
    <w:p w14:paraId="0C2090E6" w14:textId="19FDCFCC" w:rsidR="003428D5" w:rsidRPr="003C1009" w:rsidRDefault="003428D5" w:rsidP="001724DC">
      <w:pPr>
        <w:pStyle w:val="ListParagraph"/>
        <w:widowControl w:val="0"/>
        <w:numPr>
          <w:ilvl w:val="0"/>
          <w:numId w:val="18"/>
        </w:numPr>
        <w:suppressAutoHyphens/>
        <w:autoSpaceDE w:val="0"/>
        <w:autoSpaceDN w:val="0"/>
        <w:adjustRightInd w:val="0"/>
        <w:contextualSpacing w:val="0"/>
        <w:textAlignment w:val="center"/>
      </w:pPr>
      <w:r w:rsidRPr="003C1009">
        <w:t>UN C</w:t>
      </w:r>
      <w:r w:rsidR="00B10605" w:rsidRPr="003C1009">
        <w:t xml:space="preserve">RC Committee </w:t>
      </w:r>
      <w:r w:rsidRPr="003C1009">
        <w:t>Concluding observations on the</w:t>
      </w:r>
      <w:r w:rsidR="00B10605" w:rsidRPr="003C1009">
        <w:t xml:space="preserve"> UK 2023;</w:t>
      </w:r>
      <w:r w:rsidR="00B10605" w:rsidRPr="003C1009">
        <w:rPr>
          <w:rStyle w:val="FootnoteReference"/>
        </w:rPr>
        <w:footnoteReference w:id="12"/>
      </w:r>
    </w:p>
    <w:p w14:paraId="720316BA" w14:textId="0EDEA527" w:rsidR="008939CD" w:rsidRPr="003C1009" w:rsidRDefault="008939CD" w:rsidP="001724DC">
      <w:pPr>
        <w:pStyle w:val="ListParagraph"/>
        <w:widowControl w:val="0"/>
        <w:numPr>
          <w:ilvl w:val="0"/>
          <w:numId w:val="18"/>
        </w:numPr>
        <w:suppressAutoHyphens/>
        <w:autoSpaceDE w:val="0"/>
        <w:autoSpaceDN w:val="0"/>
        <w:adjustRightInd w:val="0"/>
        <w:contextualSpacing w:val="0"/>
        <w:textAlignment w:val="center"/>
      </w:pPr>
      <w:r w:rsidRPr="003C1009">
        <w:t xml:space="preserve">UN Human Rights Committee Concluding Observations on the Eighth Periodic Report of the UK </w:t>
      </w:r>
      <w:r w:rsidR="008A7599" w:rsidRPr="003C1009">
        <w:t>2024;</w:t>
      </w:r>
      <w:r w:rsidR="008A7599" w:rsidRPr="003C1009">
        <w:rPr>
          <w:rStyle w:val="FootnoteReference"/>
        </w:rPr>
        <w:footnoteReference w:id="13"/>
      </w:r>
    </w:p>
    <w:p w14:paraId="67F30D76" w14:textId="611A0EED" w:rsidR="00E94E4B" w:rsidRPr="003C1009" w:rsidRDefault="00E94E4B" w:rsidP="001724DC">
      <w:pPr>
        <w:pStyle w:val="ListParagraph"/>
        <w:widowControl w:val="0"/>
        <w:numPr>
          <w:ilvl w:val="0"/>
          <w:numId w:val="18"/>
        </w:numPr>
        <w:suppressAutoHyphens/>
        <w:autoSpaceDE w:val="0"/>
        <w:autoSpaceDN w:val="0"/>
        <w:adjustRightInd w:val="0"/>
        <w:contextualSpacing w:val="0"/>
        <w:textAlignment w:val="center"/>
      </w:pPr>
      <w:r w:rsidRPr="003C1009">
        <w:t>UN C</w:t>
      </w:r>
      <w:r w:rsidR="00566129">
        <w:t xml:space="preserve">ommittee </w:t>
      </w:r>
      <w:r w:rsidRPr="003C1009">
        <w:t>A</w:t>
      </w:r>
      <w:r w:rsidR="00566129">
        <w:t xml:space="preserve">gainst </w:t>
      </w:r>
      <w:r w:rsidRPr="003C1009">
        <w:t>T</w:t>
      </w:r>
      <w:r w:rsidR="00566129">
        <w:t>orture</w:t>
      </w:r>
      <w:r w:rsidRPr="003C1009">
        <w:t xml:space="preserve"> Committee Concluding Observations on the Sixth Periodic Report of the UK</w:t>
      </w:r>
      <w:r w:rsidR="00174A34" w:rsidRPr="003C1009">
        <w:t xml:space="preserve"> 2019</w:t>
      </w:r>
      <w:r w:rsidR="000D036A" w:rsidRPr="003C1009">
        <w:t>;</w:t>
      </w:r>
      <w:r w:rsidR="000D036A" w:rsidRPr="003C1009">
        <w:rPr>
          <w:rStyle w:val="FootnoteReference"/>
        </w:rPr>
        <w:footnoteReference w:id="14"/>
      </w:r>
    </w:p>
    <w:p w14:paraId="456BC3F3" w14:textId="49D6A211" w:rsidR="00697054" w:rsidRDefault="00697054" w:rsidP="001724DC">
      <w:pPr>
        <w:pStyle w:val="ListParagraph"/>
        <w:widowControl w:val="0"/>
        <w:numPr>
          <w:ilvl w:val="0"/>
          <w:numId w:val="18"/>
        </w:numPr>
        <w:suppressAutoHyphens/>
        <w:autoSpaceDE w:val="0"/>
        <w:autoSpaceDN w:val="0"/>
        <w:adjustRightInd w:val="0"/>
        <w:contextualSpacing w:val="0"/>
        <w:textAlignment w:val="center"/>
      </w:pPr>
      <w:r w:rsidRPr="003C1009">
        <w:t>CoE’s European Committee of Social Rights</w:t>
      </w:r>
      <w:r w:rsidR="00A87B89" w:rsidRPr="003C1009">
        <w:t xml:space="preserve"> </w:t>
      </w:r>
      <w:r w:rsidRPr="003C1009">
        <w:t>2019 Conclusions</w:t>
      </w:r>
      <w:r w:rsidR="00816AFC">
        <w:t xml:space="preserve"> on UK</w:t>
      </w:r>
      <w:r w:rsidR="00A87B89" w:rsidRPr="003C1009">
        <w:t>;</w:t>
      </w:r>
      <w:r w:rsidRPr="003C1009">
        <w:rPr>
          <w:rStyle w:val="FootnoteReference"/>
        </w:rPr>
        <w:footnoteReference w:id="15"/>
      </w:r>
    </w:p>
    <w:p w14:paraId="069CEF05" w14:textId="2DB14228" w:rsidR="00CC4B72" w:rsidRPr="003C1009" w:rsidRDefault="00CC4B72" w:rsidP="001724DC">
      <w:pPr>
        <w:pStyle w:val="ListParagraph"/>
        <w:widowControl w:val="0"/>
        <w:numPr>
          <w:ilvl w:val="0"/>
          <w:numId w:val="18"/>
        </w:numPr>
        <w:suppressAutoHyphens/>
        <w:autoSpaceDE w:val="0"/>
        <w:autoSpaceDN w:val="0"/>
        <w:adjustRightInd w:val="0"/>
        <w:contextualSpacing w:val="0"/>
        <w:textAlignment w:val="center"/>
      </w:pPr>
      <w:r>
        <w:t xml:space="preserve">CoE’s </w:t>
      </w:r>
      <w:r w:rsidRPr="003C1009">
        <w:t>European Committee of Social Rights 201</w:t>
      </w:r>
      <w:r w:rsidR="00816AFC">
        <w:t xml:space="preserve">6 </w:t>
      </w:r>
      <w:r w:rsidRPr="003C1009">
        <w:t>Conclusions</w:t>
      </w:r>
      <w:r w:rsidR="00816AFC">
        <w:t xml:space="preserve"> on UK</w:t>
      </w:r>
      <w:r>
        <w:t>;</w:t>
      </w:r>
      <w:r>
        <w:rPr>
          <w:rStyle w:val="FootnoteReference"/>
        </w:rPr>
        <w:footnoteReference w:id="16"/>
      </w:r>
    </w:p>
    <w:p w14:paraId="262A1F05" w14:textId="02A6DF8D" w:rsidR="000770BF" w:rsidRPr="003C1009" w:rsidRDefault="000770BF" w:rsidP="001724DC">
      <w:pPr>
        <w:pStyle w:val="ListParagraph"/>
        <w:widowControl w:val="0"/>
        <w:numPr>
          <w:ilvl w:val="0"/>
          <w:numId w:val="18"/>
        </w:numPr>
        <w:suppressAutoHyphens/>
        <w:autoSpaceDE w:val="0"/>
        <w:autoSpaceDN w:val="0"/>
        <w:adjustRightInd w:val="0"/>
        <w:contextualSpacing w:val="0"/>
        <w:textAlignment w:val="center"/>
      </w:pPr>
      <w:r w:rsidRPr="003C1009">
        <w:t>Guidelines of the Committee of Ministers of the CoE</w:t>
      </w:r>
      <w:r w:rsidR="008A4C40" w:rsidRPr="003C1009">
        <w:t xml:space="preserve"> </w:t>
      </w:r>
      <w:r w:rsidRPr="003C1009">
        <w:t>on child-friendly justice</w:t>
      </w:r>
      <w:r w:rsidR="008A4C40" w:rsidRPr="003C1009">
        <w:t>;</w:t>
      </w:r>
      <w:r w:rsidR="008A4C40" w:rsidRPr="003C1009">
        <w:rPr>
          <w:rStyle w:val="FootnoteReference"/>
        </w:rPr>
        <w:footnoteReference w:id="17"/>
      </w:r>
    </w:p>
    <w:p w14:paraId="3CC12805" w14:textId="700D2B84" w:rsidR="00291520" w:rsidRPr="003C1009" w:rsidRDefault="00291520" w:rsidP="001724DC">
      <w:pPr>
        <w:pStyle w:val="ListParagraph"/>
        <w:widowControl w:val="0"/>
        <w:numPr>
          <w:ilvl w:val="0"/>
          <w:numId w:val="18"/>
        </w:numPr>
        <w:suppressAutoHyphens/>
        <w:autoSpaceDE w:val="0"/>
        <w:autoSpaceDN w:val="0"/>
        <w:adjustRightInd w:val="0"/>
        <w:contextualSpacing w:val="0"/>
        <w:textAlignment w:val="center"/>
      </w:pPr>
      <w:r w:rsidRPr="003C1009">
        <w:t xml:space="preserve">United Nations Standard Minimum Rules for the Administration of </w:t>
      </w:r>
      <w:r w:rsidRPr="003C1009">
        <w:lastRenderedPageBreak/>
        <w:t>Juvenile Justice</w:t>
      </w:r>
      <w:r w:rsidR="001438E5" w:rsidRPr="003C1009">
        <w:t>.</w:t>
      </w:r>
      <w:r w:rsidR="00BD2DDF" w:rsidRPr="003C1009">
        <w:rPr>
          <w:rStyle w:val="FootnoteReference"/>
        </w:rPr>
        <w:footnoteReference w:id="18"/>
      </w:r>
    </w:p>
    <w:p w14:paraId="212EDBEA" w14:textId="77777777" w:rsidR="00D02126" w:rsidRDefault="00D02126" w:rsidP="00D02126">
      <w:pPr>
        <w:pStyle w:val="ListParagraph"/>
      </w:pPr>
    </w:p>
    <w:p w14:paraId="177AC4C9" w14:textId="57D70DF8" w:rsidR="00813BC7" w:rsidRDefault="00CA72AE" w:rsidP="00C427B6">
      <w:pPr>
        <w:pStyle w:val="ListParagraph"/>
        <w:widowControl w:val="0"/>
        <w:numPr>
          <w:ilvl w:val="1"/>
          <w:numId w:val="1"/>
        </w:numPr>
        <w:suppressAutoHyphens/>
        <w:autoSpaceDE w:val="0"/>
        <w:autoSpaceDN w:val="0"/>
        <w:adjustRightInd w:val="0"/>
        <w:contextualSpacing w:val="0"/>
        <w:textAlignment w:val="center"/>
      </w:pPr>
      <w:r>
        <w:t xml:space="preserve">The NIHRC’s </w:t>
      </w:r>
      <w:r w:rsidR="00EC24DC">
        <w:t>advice</w:t>
      </w:r>
      <w:r>
        <w:t xml:space="preserve"> focuses on the amendments </w:t>
      </w:r>
      <w:r w:rsidR="00522701">
        <w:t xml:space="preserve">concerning </w:t>
      </w:r>
      <w:r>
        <w:t xml:space="preserve">the </w:t>
      </w:r>
      <w:r w:rsidR="00EC24DC">
        <w:t>m</w:t>
      </w:r>
      <w:r>
        <w:t>ini</w:t>
      </w:r>
      <w:r w:rsidR="00010BCE">
        <w:t xml:space="preserve">mum </w:t>
      </w:r>
      <w:r w:rsidR="00EC24DC">
        <w:t>a</w:t>
      </w:r>
      <w:r w:rsidR="00010BCE">
        <w:t xml:space="preserve">ge of </w:t>
      </w:r>
      <w:r w:rsidR="00EC24DC">
        <w:t>c</w:t>
      </w:r>
      <w:r w:rsidR="00010BCE">
        <w:t xml:space="preserve">riminal </w:t>
      </w:r>
      <w:r w:rsidR="00EC24DC">
        <w:t>r</w:t>
      </w:r>
      <w:r w:rsidR="00010BCE">
        <w:t>esponsibility</w:t>
      </w:r>
      <w:r w:rsidR="00BC24BC">
        <w:t xml:space="preserve">, </w:t>
      </w:r>
      <w:r w:rsidR="009B6042">
        <w:t xml:space="preserve">specifically </w:t>
      </w:r>
      <w:r w:rsidR="00F81655">
        <w:t>a</w:t>
      </w:r>
      <w:r w:rsidR="00096607">
        <w:t>mendment</w:t>
      </w:r>
      <w:r w:rsidR="00936301">
        <w:t>s</w:t>
      </w:r>
      <w:r w:rsidR="00096607">
        <w:t xml:space="preserve"> 79,</w:t>
      </w:r>
      <w:r w:rsidR="00936301">
        <w:t xml:space="preserve"> </w:t>
      </w:r>
      <w:r w:rsidR="00DD48D5">
        <w:t>81,</w:t>
      </w:r>
      <w:r w:rsidR="00936301">
        <w:t>82, 8</w:t>
      </w:r>
      <w:r w:rsidR="00C427B6">
        <w:t>6</w:t>
      </w:r>
      <w:r w:rsidR="00F818AF">
        <w:t>.</w:t>
      </w:r>
    </w:p>
    <w:p w14:paraId="5AF4AF54" w14:textId="77777777" w:rsidR="00C427B6" w:rsidRPr="00C427B6" w:rsidRDefault="00C427B6" w:rsidP="00C427B6">
      <w:pPr>
        <w:pStyle w:val="ListParagraph"/>
        <w:widowControl w:val="0"/>
        <w:suppressAutoHyphens/>
        <w:autoSpaceDE w:val="0"/>
        <w:autoSpaceDN w:val="0"/>
        <w:adjustRightInd w:val="0"/>
        <w:contextualSpacing w:val="0"/>
        <w:textAlignment w:val="center"/>
      </w:pPr>
    </w:p>
    <w:p w14:paraId="2A9C192A" w14:textId="2120BA98" w:rsidR="00276DEA" w:rsidRPr="00E57EC3" w:rsidRDefault="006E636A" w:rsidP="000D4107">
      <w:pPr>
        <w:pStyle w:val="Heading1"/>
        <w:numPr>
          <w:ilvl w:val="0"/>
          <w:numId w:val="3"/>
        </w:numPr>
        <w:rPr>
          <w:sz w:val="24"/>
          <w:szCs w:val="24"/>
        </w:rPr>
      </w:pPr>
      <w:bookmarkStart w:id="1" w:name="_Toc231921025"/>
      <w:r w:rsidRPr="0012317A">
        <w:rPr>
          <w:sz w:val="24"/>
          <w:szCs w:val="24"/>
        </w:rPr>
        <w:t xml:space="preserve">Part 1: </w:t>
      </w:r>
      <w:r w:rsidR="00393E0E">
        <w:rPr>
          <w:sz w:val="24"/>
          <w:szCs w:val="24"/>
        </w:rPr>
        <w:t xml:space="preserve">Proposed Amendments to Current </w:t>
      </w:r>
      <w:r w:rsidR="00F818AF" w:rsidRPr="0012317A">
        <w:rPr>
          <w:sz w:val="24"/>
          <w:szCs w:val="24"/>
        </w:rPr>
        <w:t>Minimum Age of Criminal Respons</w:t>
      </w:r>
      <w:r w:rsidR="0012317A" w:rsidRPr="0012317A">
        <w:rPr>
          <w:sz w:val="24"/>
          <w:szCs w:val="24"/>
        </w:rPr>
        <w:t>ibility</w:t>
      </w:r>
      <w:bookmarkEnd w:id="1"/>
    </w:p>
    <w:p w14:paraId="3BB206C5" w14:textId="77777777" w:rsidR="00511A4B" w:rsidRPr="00511A4B" w:rsidRDefault="00511A4B" w:rsidP="003060FD">
      <w:pPr>
        <w:pStyle w:val="ListParagraph"/>
        <w:widowControl w:val="0"/>
        <w:numPr>
          <w:ilvl w:val="0"/>
          <w:numId w:val="1"/>
        </w:numPr>
        <w:suppressAutoHyphens/>
        <w:autoSpaceDE w:val="0"/>
        <w:autoSpaceDN w:val="0"/>
        <w:adjustRightInd w:val="0"/>
        <w:contextualSpacing w:val="0"/>
        <w:textAlignment w:val="center"/>
        <w:rPr>
          <w:rFonts w:cs="MinionPro-Regular"/>
          <w:vanish/>
          <w:color w:val="000000"/>
          <w:lang w:val="en-US"/>
        </w:rPr>
      </w:pPr>
    </w:p>
    <w:p w14:paraId="4D6797F8" w14:textId="271D5DD7" w:rsidR="00B22067" w:rsidRPr="00CA5DEA" w:rsidRDefault="00951A04" w:rsidP="003060FD">
      <w:pPr>
        <w:pStyle w:val="BasicParagraph"/>
        <w:numPr>
          <w:ilvl w:val="1"/>
          <w:numId w:val="1"/>
        </w:numPr>
        <w:suppressAutoHyphens/>
        <w:ind w:left="709"/>
        <w:rPr>
          <w:rFonts w:ascii="Verdana" w:hAnsi="Verdana"/>
          <w:lang w:val="en-US"/>
        </w:rPr>
      </w:pPr>
      <w:r>
        <w:rPr>
          <w:rFonts w:ascii="Verdana" w:hAnsi="Verdana"/>
        </w:rPr>
        <w:t>Amendment</w:t>
      </w:r>
      <w:r w:rsidR="00A66C3D">
        <w:rPr>
          <w:rFonts w:ascii="Verdana" w:hAnsi="Verdana"/>
        </w:rPr>
        <w:t>s</w:t>
      </w:r>
      <w:r>
        <w:rPr>
          <w:rFonts w:ascii="Verdana" w:hAnsi="Verdana"/>
        </w:rPr>
        <w:t xml:space="preserve"> 79, 81, 82 and 8</w:t>
      </w:r>
      <w:r w:rsidR="008F2288">
        <w:rPr>
          <w:rFonts w:ascii="Verdana" w:hAnsi="Verdana"/>
        </w:rPr>
        <w:t>6</w:t>
      </w:r>
      <w:r>
        <w:rPr>
          <w:rFonts w:ascii="Verdana" w:hAnsi="Verdana"/>
        </w:rPr>
        <w:t xml:space="preserve"> </w:t>
      </w:r>
      <w:r w:rsidR="00EE6EEA">
        <w:rPr>
          <w:rFonts w:ascii="Verdana" w:hAnsi="Verdana"/>
        </w:rPr>
        <w:t xml:space="preserve">each </w:t>
      </w:r>
      <w:r w:rsidR="00B53907">
        <w:rPr>
          <w:rFonts w:ascii="Verdana" w:hAnsi="Verdana"/>
        </w:rPr>
        <w:t>propose amendments to</w:t>
      </w:r>
      <w:r w:rsidR="00533E11">
        <w:rPr>
          <w:rFonts w:ascii="Verdana" w:hAnsi="Verdana"/>
        </w:rPr>
        <w:t xml:space="preserve"> </w:t>
      </w:r>
      <w:r w:rsidR="00B22067" w:rsidRPr="00B22067">
        <w:rPr>
          <w:rFonts w:ascii="Verdana" w:hAnsi="Verdana"/>
        </w:rPr>
        <w:t>Article 3 of the Criminal Justice (Children) (Northern Ireland) Order 1998</w:t>
      </w:r>
      <w:r w:rsidR="00B53907">
        <w:rPr>
          <w:rFonts w:ascii="Verdana" w:hAnsi="Verdana"/>
        </w:rPr>
        <w:t>,</w:t>
      </w:r>
      <w:r w:rsidR="00324CB4">
        <w:rPr>
          <w:rFonts w:ascii="Verdana" w:hAnsi="Verdana"/>
        </w:rPr>
        <w:t xml:space="preserve"> which provides that </w:t>
      </w:r>
      <w:r w:rsidR="009439BE">
        <w:rPr>
          <w:rFonts w:ascii="Verdana" w:hAnsi="Verdana"/>
        </w:rPr>
        <w:t>“</w:t>
      </w:r>
      <w:r w:rsidR="0087760E">
        <w:rPr>
          <w:rFonts w:ascii="Verdana" w:hAnsi="Verdana"/>
        </w:rPr>
        <w:t>i</w:t>
      </w:r>
      <w:r w:rsidR="009439BE" w:rsidRPr="009439BE">
        <w:rPr>
          <w:rFonts w:ascii="Verdana" w:hAnsi="Verdana"/>
        </w:rPr>
        <w:t>t shall be conclusively presumed that no child under the age of 10 can be guilty of an offence</w:t>
      </w:r>
      <w:r w:rsidR="00532B63">
        <w:rPr>
          <w:rFonts w:ascii="Verdana" w:hAnsi="Verdana"/>
        </w:rPr>
        <w:t>.”</w:t>
      </w:r>
      <w:r w:rsidR="00761800">
        <w:rPr>
          <w:rStyle w:val="FootnoteReference"/>
          <w:rFonts w:ascii="Verdana" w:hAnsi="Verdana"/>
        </w:rPr>
        <w:footnoteReference w:id="19"/>
      </w:r>
    </w:p>
    <w:p w14:paraId="677531B8" w14:textId="77777777" w:rsidR="0023342F" w:rsidRPr="00B22067" w:rsidRDefault="0023342F" w:rsidP="0087760E">
      <w:pPr>
        <w:pStyle w:val="BasicParagraph"/>
        <w:suppressAutoHyphens/>
        <w:rPr>
          <w:rFonts w:ascii="Verdana" w:hAnsi="Verdana"/>
          <w:lang w:val="en-US"/>
        </w:rPr>
      </w:pPr>
    </w:p>
    <w:p w14:paraId="188B1ABF" w14:textId="795D0228" w:rsidR="00E20CD5" w:rsidRPr="0023342F" w:rsidRDefault="00952206" w:rsidP="003060FD">
      <w:pPr>
        <w:pStyle w:val="BasicParagraph"/>
        <w:numPr>
          <w:ilvl w:val="1"/>
          <w:numId w:val="1"/>
        </w:numPr>
        <w:suppressAutoHyphens/>
        <w:ind w:left="709"/>
        <w:rPr>
          <w:rFonts w:ascii="Verdana" w:hAnsi="Verdana"/>
          <w:lang w:val="en-US"/>
        </w:rPr>
      </w:pPr>
      <w:r w:rsidRPr="006F29D0">
        <w:rPr>
          <w:rFonts w:ascii="Verdana" w:hAnsi="Verdana"/>
        </w:rPr>
        <w:t>Amendment 79</w:t>
      </w:r>
      <w:r w:rsidR="00EB2F69" w:rsidRPr="006F29D0">
        <w:rPr>
          <w:rFonts w:ascii="Verdana" w:hAnsi="Verdana"/>
        </w:rPr>
        <w:t xml:space="preserve"> </w:t>
      </w:r>
      <w:r w:rsidR="00615689" w:rsidRPr="006F29D0">
        <w:rPr>
          <w:rFonts w:ascii="Verdana" w:hAnsi="Verdana"/>
        </w:rPr>
        <w:t>raise</w:t>
      </w:r>
      <w:r w:rsidR="00055DE5" w:rsidRPr="006F29D0">
        <w:rPr>
          <w:rFonts w:ascii="Verdana" w:hAnsi="Verdana"/>
        </w:rPr>
        <w:t>s</w:t>
      </w:r>
      <w:r w:rsidR="00615689" w:rsidRPr="006F29D0">
        <w:rPr>
          <w:rFonts w:ascii="Verdana" w:hAnsi="Verdana"/>
        </w:rPr>
        <w:t xml:space="preserve"> the </w:t>
      </w:r>
      <w:r w:rsidR="00B558A4" w:rsidRPr="006F29D0">
        <w:rPr>
          <w:rFonts w:ascii="Verdana" w:hAnsi="Verdana"/>
        </w:rPr>
        <w:t xml:space="preserve">minimum age at which a child may be charged with an offence to </w:t>
      </w:r>
      <w:r w:rsidR="00331FA3" w:rsidRPr="006F29D0">
        <w:rPr>
          <w:rFonts w:ascii="Verdana" w:hAnsi="Verdana"/>
        </w:rPr>
        <w:t xml:space="preserve">14, with the exception that a child 10 or over may still be charged </w:t>
      </w:r>
      <w:r w:rsidR="00542DDB" w:rsidRPr="006F29D0">
        <w:rPr>
          <w:rFonts w:ascii="Verdana" w:hAnsi="Verdana"/>
        </w:rPr>
        <w:t>with</w:t>
      </w:r>
      <w:r w:rsidR="001D4508" w:rsidRPr="006F29D0">
        <w:rPr>
          <w:rFonts w:ascii="Verdana" w:hAnsi="Verdana"/>
        </w:rPr>
        <w:t xml:space="preserve"> murder, manslaughter, rape or assault by penetration.</w:t>
      </w:r>
    </w:p>
    <w:p w14:paraId="359426BB" w14:textId="77777777" w:rsidR="0023342F" w:rsidRPr="00E20CD5" w:rsidRDefault="0023342F" w:rsidP="00687C49">
      <w:pPr>
        <w:pStyle w:val="BasicParagraph"/>
        <w:suppressAutoHyphens/>
        <w:rPr>
          <w:rFonts w:ascii="Verdana" w:hAnsi="Verdana"/>
          <w:lang w:val="en-US"/>
        </w:rPr>
      </w:pPr>
    </w:p>
    <w:p w14:paraId="2415D6F4" w14:textId="755521EE" w:rsidR="006F2BAE" w:rsidRPr="0023342F" w:rsidRDefault="00E20CD5" w:rsidP="003060FD">
      <w:pPr>
        <w:pStyle w:val="BasicParagraph"/>
        <w:numPr>
          <w:ilvl w:val="1"/>
          <w:numId w:val="1"/>
        </w:numPr>
        <w:suppressAutoHyphens/>
        <w:ind w:left="709"/>
        <w:rPr>
          <w:rFonts w:ascii="Verdana" w:hAnsi="Verdana"/>
          <w:lang w:val="en-US"/>
        </w:rPr>
      </w:pPr>
      <w:r w:rsidRPr="006F29D0">
        <w:rPr>
          <w:rFonts w:ascii="Verdana" w:hAnsi="Verdana"/>
        </w:rPr>
        <w:t>Amendment 81</w:t>
      </w:r>
      <w:r w:rsidR="00AF00E5" w:rsidRPr="006F29D0">
        <w:rPr>
          <w:rFonts w:ascii="Verdana" w:hAnsi="Verdana"/>
        </w:rPr>
        <w:t xml:space="preserve"> </w:t>
      </w:r>
      <w:r w:rsidR="00055DE5" w:rsidRPr="006F29D0">
        <w:rPr>
          <w:rFonts w:ascii="Verdana" w:hAnsi="Verdana"/>
        </w:rPr>
        <w:t>raises</w:t>
      </w:r>
      <w:r w:rsidR="00AF00E5" w:rsidRPr="006F29D0">
        <w:rPr>
          <w:rFonts w:ascii="Verdana" w:hAnsi="Verdana"/>
        </w:rPr>
        <w:t xml:space="preserve"> the minimum age </w:t>
      </w:r>
      <w:r w:rsidR="00055DE5" w:rsidRPr="006F29D0">
        <w:rPr>
          <w:rFonts w:ascii="Verdana" w:hAnsi="Verdana"/>
        </w:rPr>
        <w:t>at which a child may be charged with an offence to</w:t>
      </w:r>
      <w:r w:rsidR="00AF00E5" w:rsidRPr="006F29D0">
        <w:rPr>
          <w:rFonts w:ascii="Verdana" w:hAnsi="Verdana"/>
        </w:rPr>
        <w:t xml:space="preserve"> 16. </w:t>
      </w:r>
    </w:p>
    <w:p w14:paraId="74E41166" w14:textId="77777777" w:rsidR="006F2BAE" w:rsidRDefault="006F2BAE" w:rsidP="00E9222E"/>
    <w:p w14:paraId="09C5967D" w14:textId="5CF035F7" w:rsidR="0023342F" w:rsidRPr="00E9222E" w:rsidRDefault="003657E5" w:rsidP="00E9222E">
      <w:pPr>
        <w:pStyle w:val="BasicParagraph"/>
        <w:numPr>
          <w:ilvl w:val="1"/>
          <w:numId w:val="1"/>
        </w:numPr>
        <w:suppressAutoHyphens/>
        <w:ind w:left="709"/>
        <w:rPr>
          <w:rFonts w:ascii="Verdana" w:hAnsi="Verdana"/>
        </w:rPr>
      </w:pPr>
      <w:r w:rsidRPr="00413ACA">
        <w:rPr>
          <w:rFonts w:ascii="Verdana" w:hAnsi="Verdana"/>
        </w:rPr>
        <w:t>A</w:t>
      </w:r>
      <w:r w:rsidRPr="00070ED1">
        <w:rPr>
          <w:rFonts w:ascii="Verdana" w:hAnsi="Verdana"/>
        </w:rPr>
        <w:t>mendment 82</w:t>
      </w:r>
      <w:r w:rsidR="00F235BF" w:rsidRPr="00070ED1">
        <w:rPr>
          <w:rFonts w:ascii="Verdana" w:hAnsi="Verdana"/>
        </w:rPr>
        <w:t xml:space="preserve"> raises the minimum age at which a child may be charged with an offence</w:t>
      </w:r>
      <w:r w:rsidR="00AA28FF" w:rsidRPr="00070ED1">
        <w:rPr>
          <w:rFonts w:ascii="Verdana" w:hAnsi="Verdana"/>
        </w:rPr>
        <w:t xml:space="preserve"> </w:t>
      </w:r>
      <w:r w:rsidR="00501A89" w:rsidRPr="00070ED1">
        <w:rPr>
          <w:rFonts w:ascii="Verdana" w:hAnsi="Verdana"/>
        </w:rPr>
        <w:t xml:space="preserve">to </w:t>
      </w:r>
      <w:r w:rsidR="006359F5" w:rsidRPr="00070ED1">
        <w:rPr>
          <w:rFonts w:ascii="Verdana" w:hAnsi="Verdana"/>
        </w:rPr>
        <w:t>12</w:t>
      </w:r>
      <w:r w:rsidR="0075495D" w:rsidRPr="00070ED1">
        <w:rPr>
          <w:rFonts w:ascii="Verdana" w:hAnsi="Verdana"/>
        </w:rPr>
        <w:t xml:space="preserve">. In </w:t>
      </w:r>
      <w:r w:rsidR="008F2288" w:rsidRPr="00070ED1">
        <w:rPr>
          <w:rFonts w:ascii="Verdana" w:hAnsi="Verdana"/>
        </w:rPr>
        <w:t>addition,</w:t>
      </w:r>
      <w:r w:rsidR="0075495D" w:rsidRPr="00070ED1">
        <w:rPr>
          <w:rFonts w:ascii="Verdana" w:hAnsi="Verdana"/>
        </w:rPr>
        <w:t xml:space="preserve"> </w:t>
      </w:r>
      <w:r w:rsidR="00CD5770" w:rsidRPr="00070ED1">
        <w:rPr>
          <w:rFonts w:ascii="Verdana" w:hAnsi="Verdana"/>
        </w:rPr>
        <w:t>amendment 82 proposes an exception in relation to children aged 12 or 13</w:t>
      </w:r>
      <w:r w:rsidR="00DF567A" w:rsidRPr="00070ED1">
        <w:rPr>
          <w:rFonts w:ascii="Verdana" w:hAnsi="Verdana"/>
        </w:rPr>
        <w:t xml:space="preserve">. It </w:t>
      </w:r>
      <w:r w:rsidR="00501A89" w:rsidRPr="00070ED1">
        <w:rPr>
          <w:rFonts w:ascii="Verdana" w:hAnsi="Verdana"/>
        </w:rPr>
        <w:t>propose</w:t>
      </w:r>
      <w:r w:rsidR="00DF567A" w:rsidRPr="00070ED1">
        <w:rPr>
          <w:rFonts w:ascii="Verdana" w:hAnsi="Verdana"/>
        </w:rPr>
        <w:t>s</w:t>
      </w:r>
      <w:r w:rsidR="00501A89" w:rsidRPr="00070ED1">
        <w:rPr>
          <w:rFonts w:ascii="Verdana" w:hAnsi="Verdana"/>
        </w:rPr>
        <w:t xml:space="preserve"> that </w:t>
      </w:r>
      <w:r w:rsidR="0025205F" w:rsidRPr="00070ED1">
        <w:rPr>
          <w:rFonts w:ascii="Verdana" w:hAnsi="Verdana"/>
        </w:rPr>
        <w:t>no child aged 12 or 13</w:t>
      </w:r>
      <w:r w:rsidR="00F7510F" w:rsidRPr="00070ED1">
        <w:rPr>
          <w:rFonts w:ascii="Verdana" w:hAnsi="Verdana"/>
        </w:rPr>
        <w:t xml:space="preserve"> can be guilty of an offence </w:t>
      </w:r>
      <w:r w:rsidR="0019267F" w:rsidRPr="00070ED1">
        <w:rPr>
          <w:rFonts w:ascii="Verdana" w:hAnsi="Verdana"/>
        </w:rPr>
        <w:t>other than</w:t>
      </w:r>
      <w:r w:rsidR="00CF4C86" w:rsidRPr="00070ED1">
        <w:rPr>
          <w:rFonts w:ascii="Verdana" w:hAnsi="Verdana"/>
        </w:rPr>
        <w:t xml:space="preserve"> </w:t>
      </w:r>
      <w:r w:rsidR="009A7BD1" w:rsidRPr="00070ED1">
        <w:rPr>
          <w:rFonts w:ascii="Verdana" w:hAnsi="Verdana"/>
        </w:rPr>
        <w:t>murder, attempted</w:t>
      </w:r>
      <w:r w:rsidR="00F7510F" w:rsidRPr="00070ED1">
        <w:rPr>
          <w:rFonts w:ascii="Verdana" w:hAnsi="Verdana"/>
        </w:rPr>
        <w:t xml:space="preserve"> murder, </w:t>
      </w:r>
      <w:r w:rsidR="009040FA" w:rsidRPr="00070ED1">
        <w:rPr>
          <w:rFonts w:ascii="Verdana" w:hAnsi="Verdana"/>
        </w:rPr>
        <w:t>manslaughter, rape</w:t>
      </w:r>
      <w:r w:rsidR="00F7510F" w:rsidRPr="00070ED1">
        <w:rPr>
          <w:rFonts w:ascii="Verdana" w:hAnsi="Verdana"/>
        </w:rPr>
        <w:t xml:space="preserve"> assault by penetration.</w:t>
      </w:r>
      <w:r w:rsidR="006359F5" w:rsidRPr="00070ED1">
        <w:rPr>
          <w:rFonts w:ascii="Verdana" w:hAnsi="Verdana"/>
        </w:rPr>
        <w:t xml:space="preserve"> </w:t>
      </w:r>
    </w:p>
    <w:p w14:paraId="08B18437" w14:textId="77777777" w:rsidR="00AF00E5" w:rsidRDefault="00AF00E5" w:rsidP="00AF00E5">
      <w:pPr>
        <w:pStyle w:val="ListParagraph"/>
      </w:pPr>
    </w:p>
    <w:p w14:paraId="09802B32" w14:textId="6E5DF35F" w:rsidR="00F777FA" w:rsidRPr="00687C49" w:rsidRDefault="000812DF" w:rsidP="00F777FA">
      <w:pPr>
        <w:pStyle w:val="BasicParagraph"/>
        <w:numPr>
          <w:ilvl w:val="1"/>
          <w:numId w:val="1"/>
        </w:numPr>
        <w:suppressAutoHyphens/>
        <w:ind w:left="709"/>
      </w:pPr>
      <w:r w:rsidRPr="00907AE0">
        <w:rPr>
          <w:rFonts w:ascii="Verdana" w:hAnsi="Verdana"/>
        </w:rPr>
        <w:t xml:space="preserve">Amendment </w:t>
      </w:r>
      <w:r w:rsidR="00BB213F" w:rsidRPr="00907AE0">
        <w:rPr>
          <w:rFonts w:ascii="Verdana" w:hAnsi="Verdana"/>
        </w:rPr>
        <w:t xml:space="preserve">86 </w:t>
      </w:r>
      <w:r w:rsidR="00E27BB5" w:rsidRPr="00907AE0">
        <w:rPr>
          <w:rFonts w:ascii="Verdana" w:hAnsi="Verdana"/>
        </w:rPr>
        <w:t xml:space="preserve">raises the minimum age at which a child may be charged with an offence to </w:t>
      </w:r>
      <w:r w:rsidR="008623DF" w:rsidRPr="00907AE0">
        <w:rPr>
          <w:rFonts w:ascii="Verdana" w:hAnsi="Verdana"/>
        </w:rPr>
        <w:t>12 years</w:t>
      </w:r>
      <w:r w:rsidR="00E27BB5" w:rsidRPr="00907AE0">
        <w:rPr>
          <w:rFonts w:ascii="Verdana" w:hAnsi="Verdana"/>
        </w:rPr>
        <w:t xml:space="preserve"> and that a child aged 10 or 11 may be prosecuted where the Director of Public Prosecutions decides that there is a compelling reason to require prosecution in the public interest, having regard to the seriousness of the alleged offence, the risk of harm to the public, and the best interests of the child.</w:t>
      </w:r>
    </w:p>
    <w:p w14:paraId="09697E7C" w14:textId="77777777" w:rsidR="00687C49" w:rsidRDefault="00687C49" w:rsidP="00687C49">
      <w:pPr>
        <w:pStyle w:val="ListParagraph"/>
      </w:pPr>
    </w:p>
    <w:p w14:paraId="7FE4D919" w14:textId="77777777" w:rsidR="00687C49" w:rsidRPr="00C50428" w:rsidRDefault="00687C49" w:rsidP="00687C49">
      <w:pPr>
        <w:pStyle w:val="BasicParagraph"/>
        <w:suppressAutoHyphens/>
        <w:ind w:left="709"/>
      </w:pPr>
    </w:p>
    <w:p w14:paraId="06E1B193" w14:textId="35D5C290" w:rsidR="00DF4F0E" w:rsidRPr="00DF4F0E" w:rsidRDefault="00B36320" w:rsidP="00DF4F0E">
      <w:pPr>
        <w:pStyle w:val="BasicParagraph"/>
        <w:suppressAutoHyphens/>
        <w:ind w:left="709"/>
        <w:rPr>
          <w:rFonts w:ascii="Verdana" w:hAnsi="Verdana"/>
          <w:lang w:val="en-US"/>
        </w:rPr>
      </w:pPr>
      <w:r w:rsidRPr="00B36320">
        <w:rPr>
          <w:rFonts w:ascii="Verdana" w:hAnsi="Verdana"/>
        </w:rPr>
        <w:t xml:space="preserve">  </w:t>
      </w:r>
    </w:p>
    <w:p w14:paraId="635FD12D" w14:textId="1C863B6E" w:rsidR="009B202A" w:rsidRDefault="009B202A" w:rsidP="002037A4">
      <w:pPr>
        <w:pStyle w:val="BasicParagraph"/>
        <w:numPr>
          <w:ilvl w:val="1"/>
          <w:numId w:val="1"/>
        </w:numPr>
        <w:suppressAutoHyphens/>
        <w:ind w:left="709"/>
        <w:rPr>
          <w:rFonts w:ascii="Verdana" w:hAnsi="Verdana"/>
        </w:rPr>
      </w:pPr>
      <w:r w:rsidRPr="009B202A">
        <w:rPr>
          <w:rFonts w:ascii="Verdana" w:hAnsi="Verdana"/>
        </w:rPr>
        <w:lastRenderedPageBreak/>
        <w:t>Northern Ireland has one of the lowest ages of criminal responsibility in the world and the lowest in Europe, the same as in England and Wales. By contrast, Scotland raised its age from 8 to 12.  Aside from the UK jurisdictions, Switzerland is the only other country in Europe with the age set as low as 10.</w:t>
      </w:r>
    </w:p>
    <w:p w14:paraId="072E6FD3" w14:textId="77777777" w:rsidR="009B202A" w:rsidRDefault="009B202A" w:rsidP="009B202A">
      <w:pPr>
        <w:pStyle w:val="BasicParagraph"/>
        <w:suppressAutoHyphens/>
        <w:ind w:left="709"/>
        <w:rPr>
          <w:rFonts w:ascii="Verdana" w:hAnsi="Verdana"/>
        </w:rPr>
      </w:pPr>
    </w:p>
    <w:p w14:paraId="06066F79" w14:textId="0EFB8D13" w:rsidR="00381F7A" w:rsidRPr="00EA2B1D" w:rsidRDefault="00381F7A" w:rsidP="002037A4">
      <w:pPr>
        <w:pStyle w:val="BasicParagraph"/>
        <w:numPr>
          <w:ilvl w:val="1"/>
          <w:numId w:val="1"/>
        </w:numPr>
        <w:suppressAutoHyphens/>
        <w:ind w:left="709"/>
        <w:rPr>
          <w:rFonts w:ascii="Verdana" w:hAnsi="Verdana"/>
        </w:rPr>
      </w:pPr>
      <w:r w:rsidRPr="00EA2B1D">
        <w:rPr>
          <w:rFonts w:ascii="Verdana" w:hAnsi="Verdana"/>
        </w:rPr>
        <w:t xml:space="preserve">Given the robust evidence accumulated on cognitive </w:t>
      </w:r>
      <w:r w:rsidR="00167A5A" w:rsidRPr="00EA2B1D">
        <w:rPr>
          <w:rFonts w:ascii="Verdana" w:hAnsi="Verdana"/>
        </w:rPr>
        <w:t>development, the</w:t>
      </w:r>
      <w:r w:rsidRPr="00EA2B1D">
        <w:rPr>
          <w:rFonts w:ascii="Verdana" w:hAnsi="Verdana"/>
        </w:rPr>
        <w:t xml:space="preserve"> susceptibility to acquire a criminal record at 10 years old is very difficult to justify. That is particularly so “bearing in mind the facts of emotional, mental and intellectual</w:t>
      </w:r>
      <w:r w:rsidR="00E07061" w:rsidRPr="00EA2B1D">
        <w:rPr>
          <w:rFonts w:ascii="Verdana" w:hAnsi="Verdana"/>
        </w:rPr>
        <w:t xml:space="preserve"> maturity”.</w:t>
      </w:r>
      <w:r w:rsidR="00E07061" w:rsidRPr="00EA2B1D">
        <w:rPr>
          <w:rStyle w:val="FootnoteReference"/>
          <w:rFonts w:ascii="Verdana" w:hAnsi="Verdana"/>
        </w:rPr>
        <w:footnoteReference w:id="20"/>
      </w:r>
    </w:p>
    <w:p w14:paraId="280E5718" w14:textId="5B359042" w:rsidR="00D915BD" w:rsidRDefault="00C21130" w:rsidP="00927675">
      <w:pPr>
        <w:pStyle w:val="BasicParagraph"/>
        <w:suppressAutoHyphens/>
        <w:ind w:left="709"/>
        <w:rPr>
          <w:rFonts w:ascii="Verdana" w:hAnsi="Verdana"/>
        </w:rPr>
      </w:pPr>
      <w:r>
        <w:rPr>
          <w:rFonts w:ascii="Verdana" w:hAnsi="Verdana"/>
        </w:rPr>
        <w:t xml:space="preserve"> </w:t>
      </w:r>
    </w:p>
    <w:p w14:paraId="256D4881" w14:textId="6D813E13" w:rsidR="00927675" w:rsidRDefault="00927675" w:rsidP="002037A4">
      <w:pPr>
        <w:pStyle w:val="BasicParagraph"/>
        <w:numPr>
          <w:ilvl w:val="1"/>
          <w:numId w:val="1"/>
        </w:numPr>
        <w:suppressAutoHyphens/>
        <w:ind w:left="709"/>
        <w:rPr>
          <w:rFonts w:ascii="Verdana" w:hAnsi="Verdana"/>
        </w:rPr>
      </w:pPr>
      <w:r w:rsidRPr="00927675">
        <w:rPr>
          <w:rFonts w:ascii="Verdana" w:hAnsi="Verdana"/>
        </w:rPr>
        <w:t>In 2011, a Department of Justice review concluded that “the minimum age should be increased to 12 [years old] forthwith and, following a period of review and preparation, perhaps to 14 [years old], which has some historical and current significance for criminal law in NI”.</w:t>
      </w:r>
      <w:r>
        <w:rPr>
          <w:rStyle w:val="FootnoteReference"/>
          <w:rFonts w:ascii="Verdana" w:hAnsi="Verdana"/>
        </w:rPr>
        <w:footnoteReference w:id="21"/>
      </w:r>
    </w:p>
    <w:p w14:paraId="54A7463F" w14:textId="77777777" w:rsidR="00895D20" w:rsidRDefault="00895D20" w:rsidP="00895D20">
      <w:pPr>
        <w:pStyle w:val="ListParagraph"/>
      </w:pPr>
    </w:p>
    <w:p w14:paraId="12AB6751" w14:textId="75244B8D" w:rsidR="00895D20" w:rsidRDefault="00895D20" w:rsidP="002037A4">
      <w:pPr>
        <w:pStyle w:val="BasicParagraph"/>
        <w:numPr>
          <w:ilvl w:val="1"/>
          <w:numId w:val="1"/>
        </w:numPr>
        <w:suppressAutoHyphens/>
        <w:ind w:left="709"/>
        <w:rPr>
          <w:rFonts w:ascii="Verdana" w:hAnsi="Verdana"/>
        </w:rPr>
      </w:pPr>
      <w:r w:rsidRPr="00895D20">
        <w:rPr>
          <w:rFonts w:ascii="Verdana" w:hAnsi="Verdana"/>
        </w:rPr>
        <w:t>In 2022, the Department of Justice consulted on raising the age of criminal responsibility to 14 years old.</w:t>
      </w:r>
      <w:r w:rsidR="00D77240">
        <w:rPr>
          <w:rStyle w:val="FootnoteReference"/>
          <w:rFonts w:ascii="Verdana" w:hAnsi="Verdana"/>
        </w:rPr>
        <w:footnoteReference w:id="22"/>
      </w:r>
      <w:r w:rsidRPr="00895D20">
        <w:rPr>
          <w:rFonts w:ascii="Verdana" w:hAnsi="Verdana"/>
        </w:rPr>
        <w:t xml:space="preserve"> Over 83 per cent of respondents to the consultation supported an increase to the minimum age of criminal responsibility beyond ten years old, with the majority supporting an increase to 14 years old.</w:t>
      </w:r>
      <w:r w:rsidR="00442351">
        <w:rPr>
          <w:rStyle w:val="FootnoteReference"/>
          <w:rFonts w:ascii="Verdana" w:hAnsi="Verdana"/>
        </w:rPr>
        <w:footnoteReference w:id="23"/>
      </w:r>
    </w:p>
    <w:p w14:paraId="348BEC55" w14:textId="77777777" w:rsidR="00A75F6C" w:rsidRDefault="00A75F6C" w:rsidP="00A75F6C">
      <w:pPr>
        <w:pStyle w:val="ListParagraph"/>
      </w:pPr>
    </w:p>
    <w:p w14:paraId="7BFBE1B6" w14:textId="07BF41BC" w:rsidR="00C21130" w:rsidRPr="00901330" w:rsidRDefault="002231D1" w:rsidP="00901330">
      <w:pPr>
        <w:pStyle w:val="BasicParagraph"/>
        <w:numPr>
          <w:ilvl w:val="1"/>
          <w:numId w:val="1"/>
        </w:numPr>
        <w:suppressAutoHyphens/>
        <w:ind w:left="709"/>
        <w:rPr>
          <w:rFonts w:ascii="Verdana" w:hAnsi="Verdana"/>
        </w:rPr>
      </w:pPr>
      <w:r>
        <w:rPr>
          <w:rFonts w:ascii="Verdana" w:hAnsi="Verdana"/>
        </w:rPr>
        <w:t>While the NIHRC welcomes the proposal to raise the minimum age, it recommends that any reform should align with the applicable human rights standards.</w:t>
      </w:r>
    </w:p>
    <w:p w14:paraId="2C8D5BAD" w14:textId="77777777" w:rsidR="00194624" w:rsidRPr="002037A4" w:rsidRDefault="00194624" w:rsidP="00B03F3A">
      <w:pPr>
        <w:pStyle w:val="BasicParagraph"/>
        <w:suppressAutoHyphens/>
        <w:rPr>
          <w:rFonts w:ascii="Verdana" w:hAnsi="Verdana"/>
        </w:rPr>
      </w:pPr>
    </w:p>
    <w:p w14:paraId="64BAAA6B" w14:textId="6E26808C" w:rsidR="005414AE" w:rsidRDefault="00816A08" w:rsidP="00194624">
      <w:pPr>
        <w:pStyle w:val="Heading1"/>
        <w:numPr>
          <w:ilvl w:val="0"/>
          <w:numId w:val="3"/>
        </w:numPr>
        <w:spacing w:before="0" w:line="288" w:lineRule="auto"/>
        <w:rPr>
          <w:sz w:val="24"/>
          <w:szCs w:val="24"/>
        </w:rPr>
      </w:pPr>
      <w:bookmarkStart w:id="2" w:name="_Toc231921026"/>
      <w:r w:rsidRPr="00194624">
        <w:rPr>
          <w:sz w:val="24"/>
          <w:szCs w:val="24"/>
        </w:rPr>
        <w:t xml:space="preserve">International and Regional Human Rights Standards </w:t>
      </w:r>
      <w:r w:rsidR="00194624" w:rsidRPr="00194624">
        <w:rPr>
          <w:sz w:val="24"/>
          <w:szCs w:val="24"/>
        </w:rPr>
        <w:t>Relevant to the Minimum Age of Criminal Responsibility</w:t>
      </w:r>
      <w:bookmarkEnd w:id="2"/>
    </w:p>
    <w:p w14:paraId="593F7585" w14:textId="77777777" w:rsidR="00194624" w:rsidRPr="00194624" w:rsidRDefault="00194624" w:rsidP="00194624"/>
    <w:p w14:paraId="1DEBD977" w14:textId="364189B0" w:rsidR="00D622D7" w:rsidRDefault="005414AE" w:rsidP="005414AE">
      <w:pPr>
        <w:pStyle w:val="Heading2"/>
      </w:pPr>
      <w:bookmarkStart w:id="3" w:name="_Toc231921027"/>
      <w:r>
        <w:t xml:space="preserve">Council of Europe </w:t>
      </w:r>
      <w:r w:rsidR="00194624">
        <w:t>Standards and Guidance</w:t>
      </w:r>
      <w:bookmarkEnd w:id="3"/>
      <w:r w:rsidR="00194624">
        <w:t xml:space="preserve"> </w:t>
      </w:r>
      <w:r w:rsidR="00FC7037">
        <w:t xml:space="preserve"> </w:t>
      </w:r>
    </w:p>
    <w:p w14:paraId="2D637E25" w14:textId="77777777" w:rsidR="00B50D6A" w:rsidRPr="00B50D6A" w:rsidRDefault="00B50D6A" w:rsidP="00023EA1">
      <w:pPr>
        <w:pStyle w:val="ListParagraph"/>
        <w:widowControl w:val="0"/>
        <w:suppressAutoHyphens/>
        <w:autoSpaceDE w:val="0"/>
        <w:autoSpaceDN w:val="0"/>
        <w:adjustRightInd w:val="0"/>
        <w:contextualSpacing w:val="0"/>
        <w:textAlignment w:val="center"/>
        <w:rPr>
          <w:rFonts w:cs="MinionPro-Regular"/>
          <w:vanish/>
          <w:color w:val="000000"/>
        </w:rPr>
      </w:pPr>
    </w:p>
    <w:p w14:paraId="436FABC5" w14:textId="77777777" w:rsidR="00B50D6A" w:rsidRPr="00B50D6A" w:rsidRDefault="00B50D6A" w:rsidP="003060FD">
      <w:pPr>
        <w:pStyle w:val="ListParagraph"/>
        <w:widowControl w:val="0"/>
        <w:numPr>
          <w:ilvl w:val="0"/>
          <w:numId w:val="1"/>
        </w:numPr>
        <w:suppressAutoHyphens/>
        <w:autoSpaceDE w:val="0"/>
        <w:autoSpaceDN w:val="0"/>
        <w:adjustRightInd w:val="0"/>
        <w:contextualSpacing w:val="0"/>
        <w:textAlignment w:val="center"/>
        <w:rPr>
          <w:rFonts w:cs="MinionPro-Regular"/>
          <w:vanish/>
          <w:color w:val="000000"/>
        </w:rPr>
      </w:pPr>
    </w:p>
    <w:p w14:paraId="4A0F2C89" w14:textId="0DCEF497" w:rsidR="00654BF9" w:rsidRDefault="00C60DBC" w:rsidP="003060FD">
      <w:pPr>
        <w:pStyle w:val="BasicParagraph"/>
        <w:numPr>
          <w:ilvl w:val="1"/>
          <w:numId w:val="1"/>
        </w:numPr>
        <w:suppressAutoHyphens/>
        <w:ind w:left="709"/>
        <w:rPr>
          <w:rFonts w:ascii="Verdana" w:hAnsi="Verdana"/>
        </w:rPr>
      </w:pPr>
      <w:r>
        <w:rPr>
          <w:rFonts w:ascii="Verdana" w:hAnsi="Verdana"/>
        </w:rPr>
        <w:t>Across the States in the Council of Europe</w:t>
      </w:r>
      <w:r w:rsidR="004F02B6">
        <w:rPr>
          <w:rFonts w:ascii="Verdana" w:hAnsi="Verdana"/>
        </w:rPr>
        <w:t xml:space="preserve"> (CoE)</w:t>
      </w:r>
      <w:r>
        <w:rPr>
          <w:rFonts w:ascii="Verdana" w:hAnsi="Verdana"/>
        </w:rPr>
        <w:t xml:space="preserve"> the</w:t>
      </w:r>
      <w:r w:rsidR="00B03F3A">
        <w:rPr>
          <w:rFonts w:ascii="Verdana" w:hAnsi="Verdana"/>
        </w:rPr>
        <w:t xml:space="preserve"> minimum age of </w:t>
      </w:r>
      <w:r w:rsidR="00B03F3A">
        <w:rPr>
          <w:rFonts w:ascii="Verdana" w:hAnsi="Verdana"/>
        </w:rPr>
        <w:lastRenderedPageBreak/>
        <w:t xml:space="preserve">criminal responsibility </w:t>
      </w:r>
      <w:r w:rsidR="008B7E1D">
        <w:rPr>
          <w:rFonts w:ascii="Verdana" w:hAnsi="Verdana"/>
        </w:rPr>
        <w:t xml:space="preserve">is </w:t>
      </w:r>
      <w:r w:rsidR="001C6D85">
        <w:rPr>
          <w:rFonts w:ascii="Verdana" w:hAnsi="Verdana"/>
        </w:rPr>
        <w:t>diverse.</w:t>
      </w:r>
      <w:r w:rsidR="0052038E">
        <w:rPr>
          <w:rFonts w:ascii="Verdana" w:hAnsi="Verdana"/>
        </w:rPr>
        <w:t xml:space="preserve"> Most of the </w:t>
      </w:r>
      <w:r w:rsidR="001D057F">
        <w:rPr>
          <w:rFonts w:ascii="Verdana" w:hAnsi="Verdana"/>
        </w:rPr>
        <w:t>States</w:t>
      </w:r>
      <w:r w:rsidR="0052038E">
        <w:rPr>
          <w:rFonts w:ascii="Verdana" w:hAnsi="Verdana"/>
        </w:rPr>
        <w:t xml:space="preserve"> have set</w:t>
      </w:r>
      <w:r w:rsidR="004535DE">
        <w:rPr>
          <w:rFonts w:ascii="Verdana" w:hAnsi="Verdana"/>
        </w:rPr>
        <w:t xml:space="preserve"> relatively higher </w:t>
      </w:r>
      <w:r w:rsidR="00087185">
        <w:rPr>
          <w:rFonts w:ascii="Verdana" w:hAnsi="Verdana"/>
        </w:rPr>
        <w:t xml:space="preserve">minimum ages than </w:t>
      </w:r>
      <w:r w:rsidR="006136AF">
        <w:rPr>
          <w:rFonts w:ascii="Verdana" w:hAnsi="Verdana"/>
        </w:rPr>
        <w:t>NI</w:t>
      </w:r>
      <w:r w:rsidR="00087185">
        <w:rPr>
          <w:rFonts w:ascii="Verdana" w:hAnsi="Verdana"/>
        </w:rPr>
        <w:t xml:space="preserve"> with more than half of the countries setting it</w:t>
      </w:r>
      <w:r w:rsidR="00064121">
        <w:rPr>
          <w:rFonts w:ascii="Verdana" w:hAnsi="Verdana"/>
        </w:rPr>
        <w:t xml:space="preserve"> </w:t>
      </w:r>
      <w:r w:rsidR="0052038E">
        <w:rPr>
          <w:rFonts w:ascii="Verdana" w:hAnsi="Verdana"/>
        </w:rPr>
        <w:t xml:space="preserve">at 14. </w:t>
      </w:r>
    </w:p>
    <w:p w14:paraId="29A31817" w14:textId="77777777" w:rsidR="00CF207C" w:rsidRDefault="00CF207C" w:rsidP="00CF207C">
      <w:pPr>
        <w:pStyle w:val="BasicParagraph"/>
        <w:suppressAutoHyphens/>
        <w:ind w:left="709"/>
        <w:rPr>
          <w:rFonts w:ascii="Verdana" w:hAnsi="Verdana"/>
        </w:rPr>
      </w:pPr>
    </w:p>
    <w:p w14:paraId="7667CC00" w14:textId="7E3C4F48" w:rsidR="00ED715D" w:rsidRPr="00100058" w:rsidRDefault="00637D0E" w:rsidP="00100058">
      <w:pPr>
        <w:pStyle w:val="BasicParagraph"/>
        <w:numPr>
          <w:ilvl w:val="1"/>
          <w:numId w:val="1"/>
        </w:numPr>
        <w:suppressAutoHyphens/>
        <w:ind w:left="709"/>
        <w:rPr>
          <w:rFonts w:ascii="Verdana" w:hAnsi="Verdana"/>
        </w:rPr>
      </w:pPr>
      <w:r>
        <w:rPr>
          <w:rFonts w:ascii="Verdana" w:hAnsi="Verdana"/>
        </w:rPr>
        <w:t>A minimum age of</w:t>
      </w:r>
      <w:r w:rsidR="00144BA9">
        <w:rPr>
          <w:rFonts w:ascii="Verdana" w:hAnsi="Verdana"/>
        </w:rPr>
        <w:t xml:space="preserve"> 12</w:t>
      </w:r>
      <w:r w:rsidR="002A5A54">
        <w:rPr>
          <w:rFonts w:ascii="Verdana" w:hAnsi="Verdana"/>
        </w:rPr>
        <w:t xml:space="preserve"> </w:t>
      </w:r>
      <w:r>
        <w:rPr>
          <w:rFonts w:ascii="Verdana" w:hAnsi="Verdana"/>
        </w:rPr>
        <w:t xml:space="preserve">is found </w:t>
      </w:r>
      <w:r w:rsidR="00D90CB2">
        <w:rPr>
          <w:rFonts w:ascii="Verdana" w:hAnsi="Verdana"/>
        </w:rPr>
        <w:t xml:space="preserve">in </w:t>
      </w:r>
      <w:r w:rsidR="001D057F">
        <w:rPr>
          <w:rFonts w:ascii="Verdana" w:hAnsi="Verdana"/>
        </w:rPr>
        <w:t>States</w:t>
      </w:r>
      <w:r w:rsidR="00D90CB2">
        <w:rPr>
          <w:rFonts w:ascii="Verdana" w:hAnsi="Verdana"/>
        </w:rPr>
        <w:t xml:space="preserve"> such as </w:t>
      </w:r>
      <w:r w:rsidR="002A5A54">
        <w:rPr>
          <w:rFonts w:ascii="Verdana" w:hAnsi="Verdana"/>
        </w:rPr>
        <w:t>Ireland</w:t>
      </w:r>
      <w:r w:rsidR="002A5A54">
        <w:rPr>
          <w:rStyle w:val="FootnoteReference"/>
          <w:rFonts w:ascii="Verdana" w:hAnsi="Verdana"/>
        </w:rPr>
        <w:footnoteReference w:id="24"/>
      </w:r>
      <w:r w:rsidR="002A5A54">
        <w:rPr>
          <w:rFonts w:ascii="Verdana" w:hAnsi="Verdana"/>
        </w:rPr>
        <w:t xml:space="preserve">, </w:t>
      </w:r>
      <w:r w:rsidR="00C02BA5">
        <w:rPr>
          <w:rFonts w:ascii="Verdana" w:hAnsi="Verdana"/>
        </w:rPr>
        <w:t>Scotland</w:t>
      </w:r>
      <w:r w:rsidR="003658D7">
        <w:rPr>
          <w:rStyle w:val="FootnoteReference"/>
          <w:rFonts w:ascii="Verdana" w:hAnsi="Verdana"/>
        </w:rPr>
        <w:footnoteReference w:id="25"/>
      </w:r>
      <w:r w:rsidR="00C02BA5">
        <w:rPr>
          <w:rFonts w:ascii="Verdana" w:hAnsi="Verdana"/>
        </w:rPr>
        <w:t xml:space="preserve">, </w:t>
      </w:r>
      <w:r w:rsidR="00671501">
        <w:rPr>
          <w:rFonts w:ascii="Verdana" w:hAnsi="Verdana"/>
        </w:rPr>
        <w:t>Netherlands</w:t>
      </w:r>
      <w:r w:rsidR="00125032">
        <w:rPr>
          <w:rStyle w:val="FootnoteReference"/>
          <w:rFonts w:ascii="Verdana" w:hAnsi="Verdana"/>
        </w:rPr>
        <w:footnoteReference w:id="26"/>
      </w:r>
      <w:r w:rsidR="00B867BB">
        <w:rPr>
          <w:rFonts w:ascii="Verdana" w:hAnsi="Verdana"/>
        </w:rPr>
        <w:t>,</w:t>
      </w:r>
      <w:r w:rsidR="006B28EB">
        <w:rPr>
          <w:rFonts w:ascii="Verdana" w:hAnsi="Verdana"/>
        </w:rPr>
        <w:t xml:space="preserve"> </w:t>
      </w:r>
      <w:r w:rsidR="003A6654">
        <w:rPr>
          <w:rFonts w:ascii="Verdana" w:hAnsi="Verdana"/>
        </w:rPr>
        <w:t>Turkey</w:t>
      </w:r>
      <w:r w:rsidR="003A6654">
        <w:rPr>
          <w:rStyle w:val="FootnoteReference"/>
          <w:rFonts w:ascii="Verdana" w:hAnsi="Verdana"/>
        </w:rPr>
        <w:footnoteReference w:id="27"/>
      </w:r>
      <w:r w:rsidR="00F00BD1">
        <w:rPr>
          <w:rFonts w:ascii="Verdana" w:hAnsi="Verdana"/>
        </w:rPr>
        <w:t xml:space="preserve"> and Andorra</w:t>
      </w:r>
      <w:r w:rsidR="006438EA">
        <w:rPr>
          <w:rFonts w:ascii="Verdana" w:hAnsi="Verdana"/>
        </w:rPr>
        <w:t>.</w:t>
      </w:r>
      <w:r w:rsidR="00DC51CB">
        <w:rPr>
          <w:rStyle w:val="FootnoteReference"/>
          <w:rFonts w:ascii="Verdana" w:hAnsi="Verdana"/>
        </w:rPr>
        <w:footnoteReference w:id="28"/>
      </w:r>
      <w:r w:rsidR="001812DD">
        <w:rPr>
          <w:rFonts w:ascii="Verdana" w:hAnsi="Verdana"/>
        </w:rPr>
        <w:t xml:space="preserve">  Several</w:t>
      </w:r>
      <w:r w:rsidR="006438EA">
        <w:rPr>
          <w:rFonts w:ascii="Verdana" w:hAnsi="Verdana"/>
        </w:rPr>
        <w:t xml:space="preserve"> </w:t>
      </w:r>
      <w:r w:rsidR="001D057F">
        <w:rPr>
          <w:rFonts w:ascii="Verdana" w:hAnsi="Verdana"/>
        </w:rPr>
        <w:t>States</w:t>
      </w:r>
      <w:r w:rsidR="001812DD">
        <w:rPr>
          <w:rFonts w:ascii="Verdana" w:hAnsi="Verdana"/>
        </w:rPr>
        <w:t xml:space="preserve"> including</w:t>
      </w:r>
      <w:r w:rsidR="006438EA">
        <w:rPr>
          <w:rFonts w:ascii="Verdana" w:hAnsi="Verdana"/>
        </w:rPr>
        <w:t xml:space="preserve"> </w:t>
      </w:r>
      <w:r w:rsidR="00B867BB">
        <w:rPr>
          <w:rFonts w:ascii="Verdana" w:hAnsi="Verdana"/>
        </w:rPr>
        <w:t>Italy</w:t>
      </w:r>
      <w:r w:rsidR="00B867BB">
        <w:rPr>
          <w:rStyle w:val="FootnoteReference"/>
          <w:rFonts w:ascii="Verdana" w:hAnsi="Verdana"/>
        </w:rPr>
        <w:footnoteReference w:id="29"/>
      </w:r>
      <w:r w:rsidR="00144BA9">
        <w:rPr>
          <w:rFonts w:ascii="Verdana" w:hAnsi="Verdana"/>
        </w:rPr>
        <w:t>,</w:t>
      </w:r>
      <w:r w:rsidR="00852092">
        <w:rPr>
          <w:rFonts w:ascii="Verdana" w:hAnsi="Verdana"/>
        </w:rPr>
        <w:t xml:space="preserve"> Hungary</w:t>
      </w:r>
      <w:r w:rsidR="00852092">
        <w:rPr>
          <w:rStyle w:val="FootnoteReference"/>
          <w:rFonts w:ascii="Verdana" w:hAnsi="Verdana"/>
        </w:rPr>
        <w:footnoteReference w:id="30"/>
      </w:r>
      <w:r w:rsidR="007F2E7F">
        <w:rPr>
          <w:rFonts w:ascii="Verdana" w:hAnsi="Verdana"/>
        </w:rPr>
        <w:t>,</w:t>
      </w:r>
      <w:r w:rsidR="00F96A60">
        <w:rPr>
          <w:rFonts w:ascii="Verdana" w:hAnsi="Verdana"/>
        </w:rPr>
        <w:t xml:space="preserve"> Spain</w:t>
      </w:r>
      <w:r w:rsidR="00F96A60">
        <w:rPr>
          <w:rStyle w:val="FootnoteReference"/>
          <w:rFonts w:ascii="Verdana" w:hAnsi="Verdana"/>
        </w:rPr>
        <w:footnoteReference w:id="31"/>
      </w:r>
      <w:r w:rsidR="002A7158">
        <w:rPr>
          <w:rFonts w:ascii="Verdana" w:hAnsi="Verdana"/>
        </w:rPr>
        <w:t>, Germany</w:t>
      </w:r>
      <w:r w:rsidR="002A7158">
        <w:rPr>
          <w:rStyle w:val="FootnoteReference"/>
          <w:rFonts w:ascii="Verdana" w:hAnsi="Verdana"/>
        </w:rPr>
        <w:footnoteReference w:id="32"/>
      </w:r>
      <w:r w:rsidR="00897B14">
        <w:rPr>
          <w:rFonts w:ascii="Verdana" w:hAnsi="Verdana"/>
        </w:rPr>
        <w:t xml:space="preserve">, </w:t>
      </w:r>
      <w:r w:rsidR="00CD5496">
        <w:rPr>
          <w:rFonts w:ascii="Verdana" w:hAnsi="Verdana"/>
        </w:rPr>
        <w:t>Austria</w:t>
      </w:r>
      <w:r w:rsidR="00F34F86">
        <w:rPr>
          <w:rStyle w:val="FootnoteReference"/>
          <w:rFonts w:ascii="Verdana" w:hAnsi="Verdana"/>
        </w:rPr>
        <w:footnoteReference w:id="33"/>
      </w:r>
      <w:r w:rsidR="00167A5A">
        <w:rPr>
          <w:rFonts w:ascii="Verdana" w:hAnsi="Verdana"/>
        </w:rPr>
        <w:t>, Bulgaria</w:t>
      </w:r>
      <w:r w:rsidR="002B5098">
        <w:rPr>
          <w:rStyle w:val="FootnoteReference"/>
          <w:rFonts w:ascii="Verdana" w:hAnsi="Verdana"/>
        </w:rPr>
        <w:footnoteReference w:id="34"/>
      </w:r>
      <w:r w:rsidR="008719A3">
        <w:rPr>
          <w:rFonts w:ascii="Verdana" w:hAnsi="Verdana"/>
        </w:rPr>
        <w:t xml:space="preserve"> ,</w:t>
      </w:r>
      <w:r w:rsidR="00B73E67">
        <w:rPr>
          <w:rFonts w:ascii="Verdana" w:hAnsi="Verdana"/>
        </w:rPr>
        <w:t xml:space="preserve"> Bosnia and </w:t>
      </w:r>
      <w:r w:rsidR="00396572">
        <w:rPr>
          <w:rFonts w:ascii="Verdana" w:hAnsi="Verdana"/>
        </w:rPr>
        <w:t>Herzegovina</w:t>
      </w:r>
      <w:r w:rsidR="00396572">
        <w:rPr>
          <w:rStyle w:val="FootnoteReference"/>
          <w:rFonts w:ascii="Verdana" w:hAnsi="Verdana"/>
        </w:rPr>
        <w:footnoteReference w:id="35"/>
      </w:r>
      <w:r w:rsidR="008719A3">
        <w:rPr>
          <w:rFonts w:ascii="Verdana" w:hAnsi="Verdana"/>
        </w:rPr>
        <w:t xml:space="preserve"> Croatia</w:t>
      </w:r>
      <w:r w:rsidR="00756105">
        <w:rPr>
          <w:rStyle w:val="FootnoteReference"/>
          <w:rFonts w:ascii="Verdana" w:hAnsi="Verdana"/>
        </w:rPr>
        <w:footnoteReference w:id="36"/>
      </w:r>
      <w:r w:rsidR="009D44F8">
        <w:rPr>
          <w:rFonts w:ascii="Verdana" w:hAnsi="Verdana"/>
        </w:rPr>
        <w:t>, set the age of 14</w:t>
      </w:r>
      <w:r w:rsidR="007510AF">
        <w:rPr>
          <w:rFonts w:ascii="Verdana" w:hAnsi="Verdana"/>
        </w:rPr>
        <w:t xml:space="preserve">. The following </w:t>
      </w:r>
      <w:r w:rsidR="001D057F">
        <w:rPr>
          <w:rFonts w:ascii="Verdana" w:hAnsi="Verdana"/>
        </w:rPr>
        <w:t>States</w:t>
      </w:r>
      <w:r w:rsidR="007510AF">
        <w:rPr>
          <w:rFonts w:ascii="Verdana" w:hAnsi="Verdana"/>
        </w:rPr>
        <w:t xml:space="preserve"> </w:t>
      </w:r>
      <w:r w:rsidR="00273877">
        <w:rPr>
          <w:rFonts w:ascii="Verdana" w:hAnsi="Verdana"/>
        </w:rPr>
        <w:t>set their minimum age of responsibility at 15,</w:t>
      </w:r>
      <w:r w:rsidR="00DB0A3D">
        <w:rPr>
          <w:rFonts w:ascii="Verdana" w:hAnsi="Verdana"/>
        </w:rPr>
        <w:t xml:space="preserve"> </w:t>
      </w:r>
      <w:r w:rsidR="0090211E">
        <w:rPr>
          <w:rFonts w:ascii="Verdana" w:hAnsi="Verdana"/>
        </w:rPr>
        <w:t>De</w:t>
      </w:r>
      <w:r w:rsidR="00161A60">
        <w:rPr>
          <w:rFonts w:ascii="Verdana" w:hAnsi="Verdana"/>
        </w:rPr>
        <w:t>n</w:t>
      </w:r>
      <w:r w:rsidR="0090211E">
        <w:rPr>
          <w:rFonts w:ascii="Verdana" w:hAnsi="Verdana"/>
        </w:rPr>
        <w:t>mark</w:t>
      </w:r>
      <w:r w:rsidR="0090211E">
        <w:rPr>
          <w:rStyle w:val="FootnoteReference"/>
          <w:rFonts w:ascii="Verdana" w:hAnsi="Verdana"/>
        </w:rPr>
        <w:footnoteReference w:id="37"/>
      </w:r>
      <w:r w:rsidR="0090211E">
        <w:rPr>
          <w:rFonts w:ascii="Verdana" w:hAnsi="Verdana"/>
        </w:rPr>
        <w:t xml:space="preserve">, </w:t>
      </w:r>
      <w:r w:rsidR="006A1E06">
        <w:rPr>
          <w:rFonts w:ascii="Verdana" w:hAnsi="Verdana"/>
        </w:rPr>
        <w:t>Sweden</w:t>
      </w:r>
      <w:r w:rsidR="009C0C9C">
        <w:rPr>
          <w:rStyle w:val="FootnoteReference"/>
          <w:rFonts w:ascii="Verdana" w:hAnsi="Verdana"/>
        </w:rPr>
        <w:footnoteReference w:id="38"/>
      </w:r>
      <w:r w:rsidR="00273877">
        <w:rPr>
          <w:rFonts w:ascii="Verdana" w:hAnsi="Verdana"/>
        </w:rPr>
        <w:t>,</w:t>
      </w:r>
      <w:r w:rsidR="0067498C">
        <w:rPr>
          <w:rFonts w:ascii="Verdana" w:hAnsi="Verdana"/>
        </w:rPr>
        <w:t xml:space="preserve"> Finland</w:t>
      </w:r>
      <w:r w:rsidR="0067498C">
        <w:rPr>
          <w:rStyle w:val="FootnoteReference"/>
          <w:rFonts w:ascii="Verdana" w:hAnsi="Verdana"/>
        </w:rPr>
        <w:footnoteReference w:id="39"/>
      </w:r>
      <w:r w:rsidR="00572679">
        <w:rPr>
          <w:rFonts w:ascii="Verdana" w:hAnsi="Verdana"/>
        </w:rPr>
        <w:t>, Iceland</w:t>
      </w:r>
      <w:r w:rsidR="00572679">
        <w:rPr>
          <w:rStyle w:val="FootnoteReference"/>
          <w:rFonts w:ascii="Verdana" w:hAnsi="Verdana"/>
        </w:rPr>
        <w:footnoteReference w:id="40"/>
      </w:r>
      <w:r w:rsidR="00273877">
        <w:rPr>
          <w:rFonts w:ascii="Verdana" w:hAnsi="Verdana"/>
        </w:rPr>
        <w:t xml:space="preserve"> Czech Republic</w:t>
      </w:r>
      <w:r w:rsidR="00273877">
        <w:rPr>
          <w:rStyle w:val="FootnoteReference"/>
          <w:rFonts w:ascii="Verdana" w:hAnsi="Verdana"/>
        </w:rPr>
        <w:footnoteReference w:id="41"/>
      </w:r>
      <w:r w:rsidR="00581397">
        <w:rPr>
          <w:rFonts w:ascii="Verdana" w:hAnsi="Verdana"/>
        </w:rPr>
        <w:t xml:space="preserve"> and </w:t>
      </w:r>
      <w:r w:rsidR="00A744CA">
        <w:rPr>
          <w:rFonts w:ascii="Verdana" w:hAnsi="Verdana"/>
        </w:rPr>
        <w:t>Norway</w:t>
      </w:r>
      <w:r w:rsidR="00A744CA">
        <w:rPr>
          <w:rStyle w:val="FootnoteReference"/>
          <w:rFonts w:ascii="Verdana" w:hAnsi="Verdana"/>
        </w:rPr>
        <w:footnoteReference w:id="42"/>
      </w:r>
      <w:r w:rsidR="009A5C48">
        <w:rPr>
          <w:rFonts w:ascii="Verdana" w:hAnsi="Verdana"/>
        </w:rPr>
        <w:t>.</w:t>
      </w:r>
      <w:r w:rsidR="00021352">
        <w:rPr>
          <w:rFonts w:ascii="Verdana" w:hAnsi="Verdana"/>
        </w:rPr>
        <w:t xml:space="preserve"> </w:t>
      </w:r>
      <w:r w:rsidR="00BB4D8D">
        <w:rPr>
          <w:rFonts w:ascii="Verdana" w:hAnsi="Verdana"/>
        </w:rPr>
        <w:t>Portugal</w:t>
      </w:r>
      <w:r w:rsidR="00A534C1">
        <w:rPr>
          <w:rStyle w:val="FootnoteReference"/>
          <w:rFonts w:ascii="Verdana" w:hAnsi="Verdana"/>
        </w:rPr>
        <w:footnoteReference w:id="43"/>
      </w:r>
      <w:r w:rsidR="006036BB">
        <w:rPr>
          <w:rFonts w:ascii="Verdana" w:hAnsi="Verdana"/>
        </w:rPr>
        <w:t xml:space="preserve"> </w:t>
      </w:r>
      <w:r w:rsidR="008C3034">
        <w:rPr>
          <w:rFonts w:ascii="Verdana" w:hAnsi="Verdana"/>
        </w:rPr>
        <w:t>sets the</w:t>
      </w:r>
      <w:r w:rsidR="00855E42">
        <w:rPr>
          <w:rFonts w:ascii="Verdana" w:hAnsi="Verdana"/>
        </w:rPr>
        <w:t xml:space="preserve"> </w:t>
      </w:r>
      <w:r w:rsidR="008C3034">
        <w:rPr>
          <w:rFonts w:ascii="Verdana" w:hAnsi="Verdana"/>
        </w:rPr>
        <w:t>age at 16</w:t>
      </w:r>
      <w:r w:rsidR="006036BB">
        <w:rPr>
          <w:rFonts w:ascii="Verdana" w:hAnsi="Verdana"/>
        </w:rPr>
        <w:t>,</w:t>
      </w:r>
      <w:r w:rsidR="00855E42">
        <w:rPr>
          <w:rFonts w:ascii="Verdana" w:hAnsi="Verdana"/>
        </w:rPr>
        <w:t xml:space="preserve"> a position broadly shared by states such as </w:t>
      </w:r>
      <w:r w:rsidR="006036BB">
        <w:rPr>
          <w:rFonts w:ascii="Verdana" w:hAnsi="Verdana"/>
        </w:rPr>
        <w:t>Armenia</w:t>
      </w:r>
      <w:r w:rsidR="006036BB">
        <w:rPr>
          <w:rStyle w:val="FootnoteReference"/>
          <w:rFonts w:ascii="Verdana" w:hAnsi="Verdana"/>
        </w:rPr>
        <w:footnoteReference w:id="44"/>
      </w:r>
      <w:r w:rsidR="00C11BA7">
        <w:rPr>
          <w:rFonts w:ascii="Verdana" w:hAnsi="Verdana"/>
        </w:rPr>
        <w:t>, Moldova</w:t>
      </w:r>
      <w:r w:rsidR="00A105A7">
        <w:rPr>
          <w:rStyle w:val="FootnoteReference"/>
          <w:rFonts w:ascii="Verdana" w:hAnsi="Verdana"/>
        </w:rPr>
        <w:footnoteReference w:id="45"/>
      </w:r>
      <w:r w:rsidR="00C11BA7">
        <w:rPr>
          <w:rFonts w:ascii="Verdana" w:hAnsi="Verdana"/>
        </w:rPr>
        <w:t xml:space="preserve">, </w:t>
      </w:r>
      <w:r w:rsidR="00057DFA">
        <w:rPr>
          <w:rFonts w:ascii="Verdana" w:hAnsi="Verdana"/>
        </w:rPr>
        <w:t>Azerba</w:t>
      </w:r>
      <w:r w:rsidR="007F722C">
        <w:rPr>
          <w:rFonts w:ascii="Verdana" w:hAnsi="Verdana"/>
        </w:rPr>
        <w:t>i</w:t>
      </w:r>
      <w:r w:rsidR="00057DFA">
        <w:rPr>
          <w:rFonts w:ascii="Verdana" w:hAnsi="Verdana"/>
        </w:rPr>
        <w:t>jan</w:t>
      </w:r>
      <w:r w:rsidR="00057DFA">
        <w:rPr>
          <w:rStyle w:val="FootnoteReference"/>
          <w:rFonts w:ascii="Verdana" w:hAnsi="Verdana"/>
        </w:rPr>
        <w:footnoteReference w:id="46"/>
      </w:r>
      <w:r w:rsidR="007F722C">
        <w:rPr>
          <w:rFonts w:ascii="Verdana" w:hAnsi="Verdana"/>
        </w:rPr>
        <w:t>, Armenia</w:t>
      </w:r>
      <w:r w:rsidR="007F722C">
        <w:rPr>
          <w:rStyle w:val="FootnoteReference"/>
          <w:rFonts w:ascii="Verdana" w:hAnsi="Verdana"/>
        </w:rPr>
        <w:footnoteReference w:id="47"/>
      </w:r>
      <w:r w:rsidR="00B047BD">
        <w:rPr>
          <w:rFonts w:ascii="Verdana" w:hAnsi="Verdana"/>
        </w:rPr>
        <w:t>, Lithuania</w:t>
      </w:r>
      <w:r w:rsidR="00B047BD">
        <w:rPr>
          <w:rStyle w:val="FootnoteReference"/>
          <w:rFonts w:ascii="Verdana" w:hAnsi="Verdana"/>
        </w:rPr>
        <w:footnoteReference w:id="48"/>
      </w:r>
      <w:r w:rsidR="00CF7758">
        <w:rPr>
          <w:rFonts w:ascii="Verdana" w:hAnsi="Verdana"/>
        </w:rPr>
        <w:t>, which apply some exceptions</w:t>
      </w:r>
      <w:r w:rsidR="00753664">
        <w:rPr>
          <w:rFonts w:ascii="Verdana" w:hAnsi="Verdana"/>
        </w:rPr>
        <w:t>.</w:t>
      </w:r>
      <w:r w:rsidR="00581397">
        <w:rPr>
          <w:rFonts w:ascii="Verdana" w:hAnsi="Verdana"/>
        </w:rPr>
        <w:t xml:space="preserve"> </w:t>
      </w:r>
      <w:r w:rsidR="003A2428">
        <w:rPr>
          <w:rFonts w:ascii="Verdana" w:hAnsi="Verdana"/>
        </w:rPr>
        <w:t>France</w:t>
      </w:r>
      <w:r w:rsidR="003A2428">
        <w:rPr>
          <w:rStyle w:val="FootnoteReference"/>
          <w:rFonts w:ascii="Verdana" w:hAnsi="Verdana"/>
        </w:rPr>
        <w:footnoteReference w:id="49"/>
      </w:r>
      <w:r w:rsidR="00EA79FD">
        <w:rPr>
          <w:rFonts w:ascii="Verdana" w:hAnsi="Verdana"/>
        </w:rPr>
        <w:t xml:space="preserve"> and Luxembo</w:t>
      </w:r>
      <w:r w:rsidR="002B55AA">
        <w:rPr>
          <w:rFonts w:ascii="Verdana" w:hAnsi="Verdana"/>
        </w:rPr>
        <w:t>u</w:t>
      </w:r>
      <w:r w:rsidR="00EA79FD">
        <w:rPr>
          <w:rFonts w:ascii="Verdana" w:hAnsi="Verdana"/>
        </w:rPr>
        <w:t>rg</w:t>
      </w:r>
      <w:r w:rsidR="002B55AA">
        <w:rPr>
          <w:rStyle w:val="FootnoteReference"/>
          <w:rFonts w:ascii="Verdana" w:hAnsi="Verdana"/>
        </w:rPr>
        <w:footnoteReference w:id="50"/>
      </w:r>
      <w:r w:rsidR="00753664">
        <w:rPr>
          <w:rFonts w:ascii="Verdana" w:hAnsi="Verdana"/>
        </w:rPr>
        <w:t xml:space="preserve"> sets the minimum age</w:t>
      </w:r>
      <w:r w:rsidR="003A2428">
        <w:rPr>
          <w:rFonts w:ascii="Verdana" w:hAnsi="Verdana"/>
        </w:rPr>
        <w:t xml:space="preserve"> </w:t>
      </w:r>
      <w:r w:rsidR="00CF207C">
        <w:rPr>
          <w:rFonts w:ascii="Verdana" w:hAnsi="Verdana"/>
        </w:rPr>
        <w:t>at 18</w:t>
      </w:r>
      <w:r w:rsidR="003A2428">
        <w:rPr>
          <w:rFonts w:ascii="Verdana" w:hAnsi="Verdana"/>
        </w:rPr>
        <w:t xml:space="preserve"> with some exceptions</w:t>
      </w:r>
      <w:r w:rsidR="00EC0AB7">
        <w:rPr>
          <w:rFonts w:ascii="Verdana" w:hAnsi="Verdana"/>
        </w:rPr>
        <w:t>.</w:t>
      </w:r>
    </w:p>
    <w:p w14:paraId="070A1324" w14:textId="77777777" w:rsidR="00ED715D" w:rsidRDefault="00ED715D" w:rsidP="00ED715D">
      <w:pPr>
        <w:pStyle w:val="ListParagraph"/>
      </w:pPr>
    </w:p>
    <w:p w14:paraId="400D2245" w14:textId="77777777" w:rsidR="007E43F8" w:rsidRDefault="007E43F8" w:rsidP="007E43F8">
      <w:pPr>
        <w:pStyle w:val="ListParagraph"/>
      </w:pPr>
    </w:p>
    <w:p w14:paraId="255DFBE8" w14:textId="77777777" w:rsidR="00145A20" w:rsidRDefault="00145A20" w:rsidP="00145A20">
      <w:pPr>
        <w:pStyle w:val="BasicParagraph"/>
        <w:suppressAutoHyphens/>
        <w:ind w:left="709"/>
        <w:rPr>
          <w:rFonts w:ascii="Verdana" w:hAnsi="Verdana"/>
        </w:rPr>
      </w:pPr>
    </w:p>
    <w:p w14:paraId="3D84D8F5" w14:textId="19EB4087" w:rsidR="0072426A" w:rsidRPr="000251CD" w:rsidRDefault="00B1132C" w:rsidP="000251CD">
      <w:pPr>
        <w:pStyle w:val="BasicParagraph"/>
        <w:numPr>
          <w:ilvl w:val="1"/>
          <w:numId w:val="1"/>
        </w:numPr>
        <w:suppressAutoHyphens/>
        <w:ind w:left="709"/>
        <w:rPr>
          <w:rFonts w:ascii="Verdana" w:hAnsi="Verdana"/>
        </w:rPr>
      </w:pPr>
      <w:r w:rsidRPr="00B1132C">
        <w:rPr>
          <w:rFonts w:ascii="Verdana" w:hAnsi="Verdana"/>
        </w:rPr>
        <w:lastRenderedPageBreak/>
        <w:t xml:space="preserve">It is important to note that Denmark lowered the age of criminal responsibility from 15 to 14 in July 2010 in an effort to deter </w:t>
      </w:r>
      <w:r w:rsidR="002C0007">
        <w:rPr>
          <w:rFonts w:ascii="Verdana" w:hAnsi="Verdana"/>
        </w:rPr>
        <w:t xml:space="preserve">children from committing </w:t>
      </w:r>
      <w:r w:rsidR="00D670DA">
        <w:rPr>
          <w:rFonts w:ascii="Verdana" w:hAnsi="Verdana"/>
        </w:rPr>
        <w:t>crimes</w:t>
      </w:r>
      <w:r w:rsidRPr="00B1132C">
        <w:rPr>
          <w:rFonts w:ascii="Verdana" w:hAnsi="Verdana"/>
        </w:rPr>
        <w:t>. However,</w:t>
      </w:r>
      <w:r w:rsidR="001B1A44">
        <w:rPr>
          <w:rFonts w:ascii="Verdana" w:hAnsi="Verdana"/>
        </w:rPr>
        <w:t xml:space="preserve"> i</w:t>
      </w:r>
      <w:r w:rsidRPr="00B1132C">
        <w:rPr>
          <w:rFonts w:ascii="Verdana" w:hAnsi="Verdana"/>
        </w:rPr>
        <w:t>n March 2012,</w:t>
      </w:r>
      <w:r w:rsidR="001B1A44">
        <w:rPr>
          <w:rFonts w:ascii="Verdana" w:hAnsi="Verdana"/>
        </w:rPr>
        <w:t xml:space="preserve"> the age was raised to </w:t>
      </w:r>
      <w:r w:rsidR="00F44CFE">
        <w:rPr>
          <w:rFonts w:ascii="Verdana" w:hAnsi="Verdana"/>
        </w:rPr>
        <w:t>15</w:t>
      </w:r>
      <w:r w:rsidRPr="00B1132C">
        <w:rPr>
          <w:rFonts w:ascii="Verdana" w:hAnsi="Verdana"/>
        </w:rPr>
        <w:t xml:space="preserve"> and subsequent research found no evidence of either general or individual deterrent effects among </w:t>
      </w:r>
      <w:proofErr w:type="gramStart"/>
      <w:r w:rsidRPr="00B1132C">
        <w:rPr>
          <w:rFonts w:ascii="Verdana" w:hAnsi="Verdana"/>
        </w:rPr>
        <w:t>14</w:t>
      </w:r>
      <w:r w:rsidR="00F44CFE">
        <w:rPr>
          <w:rFonts w:ascii="Verdana" w:hAnsi="Verdana"/>
        </w:rPr>
        <w:t xml:space="preserve"> </w:t>
      </w:r>
      <w:r w:rsidRPr="00B1132C">
        <w:rPr>
          <w:rFonts w:ascii="Verdana" w:hAnsi="Verdana"/>
        </w:rPr>
        <w:t>year</w:t>
      </w:r>
      <w:r w:rsidR="00BB379D">
        <w:rPr>
          <w:rFonts w:ascii="Verdana" w:hAnsi="Verdana"/>
        </w:rPr>
        <w:t xml:space="preserve"> </w:t>
      </w:r>
      <w:r w:rsidRPr="00B1132C">
        <w:rPr>
          <w:rFonts w:ascii="Verdana" w:hAnsi="Verdana"/>
        </w:rPr>
        <w:t>olds</w:t>
      </w:r>
      <w:proofErr w:type="gramEnd"/>
      <w:r w:rsidRPr="00B1132C">
        <w:rPr>
          <w:rFonts w:ascii="Verdana" w:hAnsi="Verdana"/>
        </w:rPr>
        <w:t>, while also indicating poorer educational outcomes for those whose cases were processed through the criminal justice system</w:t>
      </w:r>
      <w:r w:rsidR="002C0007">
        <w:rPr>
          <w:rFonts w:ascii="Verdana" w:hAnsi="Verdana"/>
        </w:rPr>
        <w:t>.</w:t>
      </w:r>
      <w:r w:rsidR="009A4BBA">
        <w:rPr>
          <w:rStyle w:val="FootnoteReference"/>
          <w:rFonts w:ascii="Verdana" w:hAnsi="Verdana"/>
        </w:rPr>
        <w:footnoteReference w:id="51"/>
      </w:r>
    </w:p>
    <w:p w14:paraId="2C83FC7B" w14:textId="77777777" w:rsidR="0072426A" w:rsidRDefault="0072426A" w:rsidP="0072426A">
      <w:pPr>
        <w:pStyle w:val="ListParagraph"/>
      </w:pPr>
    </w:p>
    <w:p w14:paraId="092EA5C8" w14:textId="5645596F" w:rsidR="00BF603C" w:rsidRPr="007E43F8" w:rsidRDefault="00BF603C" w:rsidP="00BF603C">
      <w:pPr>
        <w:pStyle w:val="BasicParagraph"/>
        <w:numPr>
          <w:ilvl w:val="1"/>
          <w:numId w:val="1"/>
        </w:numPr>
        <w:suppressAutoHyphens/>
        <w:ind w:left="709"/>
        <w:rPr>
          <w:rFonts w:ascii="Verdana" w:hAnsi="Verdana"/>
        </w:rPr>
      </w:pPr>
      <w:r w:rsidRPr="007E43F8">
        <w:rPr>
          <w:rFonts w:ascii="Verdana" w:hAnsi="Verdana"/>
        </w:rPr>
        <w:t xml:space="preserve">The Guidelines of the Committee of Ministers of the Council of Europe  </w:t>
      </w:r>
    </w:p>
    <w:p w14:paraId="06FE1D1E" w14:textId="77777777" w:rsidR="00C809AA" w:rsidRDefault="00BF603C" w:rsidP="00C809AA">
      <w:pPr>
        <w:pStyle w:val="BasicParagraph"/>
        <w:suppressAutoHyphens/>
        <w:ind w:left="720"/>
        <w:rPr>
          <w:rFonts w:ascii="Verdana" w:hAnsi="Verdana"/>
        </w:rPr>
      </w:pPr>
      <w:r w:rsidRPr="004F02B6">
        <w:rPr>
          <w:rFonts w:ascii="Verdana" w:hAnsi="Verdana"/>
        </w:rPr>
        <w:t>on child-friendly justice</w:t>
      </w:r>
      <w:r>
        <w:rPr>
          <w:rFonts w:ascii="Verdana" w:hAnsi="Verdana"/>
        </w:rPr>
        <w:t xml:space="preserve"> state that t</w:t>
      </w:r>
      <w:r w:rsidRPr="003D2C39">
        <w:rPr>
          <w:rFonts w:ascii="Verdana" w:hAnsi="Verdana"/>
        </w:rPr>
        <w:t>he minimum age of criminal responsibility should not be too low and should be determined by law</w:t>
      </w:r>
      <w:r>
        <w:rPr>
          <w:rFonts w:ascii="Verdana" w:hAnsi="Verdana"/>
        </w:rPr>
        <w:t>.</w:t>
      </w:r>
      <w:r>
        <w:rPr>
          <w:rStyle w:val="FootnoteReference"/>
          <w:rFonts w:ascii="Verdana" w:hAnsi="Verdana"/>
        </w:rPr>
        <w:footnoteReference w:id="52"/>
      </w:r>
      <w:r w:rsidR="007230EE" w:rsidRPr="007230EE">
        <w:rPr>
          <w:rFonts w:ascii="Open Sans" w:hAnsi="Open Sans" w:cs="Open Sans"/>
          <w:color w:val="161616"/>
          <w:sz w:val="23"/>
          <w:szCs w:val="23"/>
          <w:shd w:val="clear" w:color="auto" w:fill="FFFFFF"/>
        </w:rPr>
        <w:t xml:space="preserve"> </w:t>
      </w:r>
      <w:r w:rsidR="007230EE" w:rsidRPr="007230EE">
        <w:rPr>
          <w:rFonts w:ascii="Verdana" w:hAnsi="Verdana"/>
        </w:rPr>
        <w:t> </w:t>
      </w:r>
    </w:p>
    <w:p w14:paraId="2649B7F6" w14:textId="77777777" w:rsidR="00C809AA" w:rsidRDefault="00C809AA" w:rsidP="00C809AA">
      <w:pPr>
        <w:pStyle w:val="BasicParagraph"/>
        <w:suppressAutoHyphens/>
        <w:rPr>
          <w:rFonts w:ascii="Verdana" w:hAnsi="Verdana"/>
        </w:rPr>
      </w:pPr>
    </w:p>
    <w:p w14:paraId="11A565EC" w14:textId="16F1CB08" w:rsidR="00B73093" w:rsidRDefault="00C809AA">
      <w:pPr>
        <w:pStyle w:val="BasicParagraph"/>
        <w:numPr>
          <w:ilvl w:val="1"/>
          <w:numId w:val="1"/>
        </w:numPr>
        <w:suppressAutoHyphens/>
        <w:ind w:left="709"/>
        <w:rPr>
          <w:rFonts w:ascii="Verdana" w:hAnsi="Verdana"/>
        </w:rPr>
      </w:pPr>
      <w:r w:rsidRPr="00C809AA">
        <w:rPr>
          <w:rFonts w:ascii="Verdana" w:hAnsi="Verdana"/>
        </w:rPr>
        <w:t xml:space="preserve">The </w:t>
      </w:r>
      <w:proofErr w:type="spellStart"/>
      <w:r w:rsidR="00EE618F">
        <w:rPr>
          <w:rFonts w:ascii="Verdana" w:hAnsi="Verdana"/>
        </w:rPr>
        <w:t>CoE’s</w:t>
      </w:r>
      <w:proofErr w:type="spellEnd"/>
      <w:r w:rsidR="00EE618F" w:rsidRPr="00C809AA">
        <w:rPr>
          <w:rFonts w:ascii="Verdana" w:hAnsi="Verdana"/>
        </w:rPr>
        <w:t xml:space="preserve"> </w:t>
      </w:r>
      <w:r w:rsidRPr="00C809AA">
        <w:rPr>
          <w:rFonts w:ascii="Verdana" w:hAnsi="Verdana"/>
        </w:rPr>
        <w:t>European Committee of Social Rights</w:t>
      </w:r>
      <w:r w:rsidR="00655A69">
        <w:rPr>
          <w:rFonts w:ascii="Verdana" w:hAnsi="Verdana"/>
        </w:rPr>
        <w:t>, w</w:t>
      </w:r>
      <w:r w:rsidR="00655A69" w:rsidRPr="007230EE">
        <w:rPr>
          <w:rFonts w:ascii="Verdana" w:hAnsi="Verdana"/>
        </w:rPr>
        <w:t>hich monitors State compliance with the European Social Charter</w:t>
      </w:r>
      <w:r w:rsidRPr="00C809AA">
        <w:rPr>
          <w:rFonts w:ascii="Verdana" w:hAnsi="Verdana"/>
        </w:rPr>
        <w:t xml:space="preserve"> has addressed the issue of the</w:t>
      </w:r>
      <w:r w:rsidR="007B11F8">
        <w:rPr>
          <w:rFonts w:ascii="Verdana" w:hAnsi="Verdana"/>
        </w:rPr>
        <w:t xml:space="preserve"> minimum age of criminal responsibility</w:t>
      </w:r>
      <w:r w:rsidR="00EE618F">
        <w:rPr>
          <w:rFonts w:ascii="Verdana" w:hAnsi="Verdana"/>
        </w:rPr>
        <w:t xml:space="preserve"> </w:t>
      </w:r>
      <w:r w:rsidRPr="00C809AA">
        <w:rPr>
          <w:rFonts w:ascii="Verdana" w:hAnsi="Verdana"/>
        </w:rPr>
        <w:t>through its interpretation of</w:t>
      </w:r>
      <w:r w:rsidR="00EE618F">
        <w:rPr>
          <w:rFonts w:ascii="Verdana" w:hAnsi="Verdana"/>
        </w:rPr>
        <w:t xml:space="preserve"> </w:t>
      </w:r>
      <w:r w:rsidRPr="00C809AA">
        <w:rPr>
          <w:rFonts w:ascii="Verdana" w:hAnsi="Verdana"/>
        </w:rPr>
        <w:t>Article 17.</w:t>
      </w:r>
      <w:r w:rsidR="00EE618F">
        <w:rPr>
          <w:rStyle w:val="FootnoteReference"/>
          <w:rFonts w:ascii="Verdana" w:hAnsi="Verdana"/>
        </w:rPr>
        <w:footnoteReference w:id="53"/>
      </w:r>
      <w:r w:rsidR="002B67E2">
        <w:rPr>
          <w:rFonts w:ascii="Verdana" w:hAnsi="Verdana"/>
        </w:rPr>
        <w:t xml:space="preserve"> It has repeatedly found that the age of 10 </w:t>
      </w:r>
      <w:r w:rsidR="006B50C2">
        <w:rPr>
          <w:rFonts w:ascii="Verdana" w:hAnsi="Verdana"/>
        </w:rPr>
        <w:t>is low and not in conformity with Article 17.</w:t>
      </w:r>
      <w:r w:rsidRPr="00C809AA">
        <w:rPr>
          <w:rFonts w:ascii="Verdana" w:hAnsi="Verdana"/>
        </w:rPr>
        <w:t xml:space="preserve"> </w:t>
      </w:r>
      <w:r w:rsidR="0057105A">
        <w:rPr>
          <w:rFonts w:ascii="Verdana" w:hAnsi="Verdana"/>
        </w:rPr>
        <w:t xml:space="preserve">In its </w:t>
      </w:r>
      <w:r w:rsidR="00763336">
        <w:rPr>
          <w:rFonts w:ascii="Verdana" w:hAnsi="Verdana"/>
        </w:rPr>
        <w:t>201</w:t>
      </w:r>
      <w:r w:rsidR="007A5C9D">
        <w:rPr>
          <w:rFonts w:ascii="Verdana" w:hAnsi="Verdana"/>
        </w:rPr>
        <w:t>5</w:t>
      </w:r>
      <w:r w:rsidR="00111DDA">
        <w:rPr>
          <w:rFonts w:ascii="Verdana" w:hAnsi="Verdana"/>
        </w:rPr>
        <w:t xml:space="preserve"> conclusions</w:t>
      </w:r>
      <w:r w:rsidR="00763336">
        <w:rPr>
          <w:rFonts w:ascii="Verdana" w:hAnsi="Verdana"/>
        </w:rPr>
        <w:t xml:space="preserve"> </w:t>
      </w:r>
      <w:r w:rsidR="00C5209F">
        <w:rPr>
          <w:rFonts w:ascii="Verdana" w:hAnsi="Verdana"/>
        </w:rPr>
        <w:t xml:space="preserve">on the United Kingdom, </w:t>
      </w:r>
      <w:r w:rsidR="00C5209F" w:rsidRPr="00C5209F">
        <w:rPr>
          <w:rFonts w:ascii="Verdana" w:hAnsi="Verdana"/>
        </w:rPr>
        <w:t>the</w:t>
      </w:r>
      <w:r w:rsidR="00111DDA">
        <w:rPr>
          <w:rFonts w:ascii="Verdana" w:hAnsi="Verdana"/>
        </w:rPr>
        <w:t xml:space="preserve"> Committee</w:t>
      </w:r>
      <w:r w:rsidR="007A5C9D">
        <w:rPr>
          <w:rFonts w:ascii="Verdana" w:hAnsi="Verdana"/>
        </w:rPr>
        <w:t xml:space="preserve"> reiterated its </w:t>
      </w:r>
      <w:r w:rsidR="0075153D">
        <w:rPr>
          <w:rFonts w:ascii="Verdana" w:hAnsi="Verdana"/>
        </w:rPr>
        <w:t>previous finding of non-conformity</w:t>
      </w:r>
      <w:r w:rsidR="00845349">
        <w:rPr>
          <w:rFonts w:ascii="Verdana" w:hAnsi="Verdana"/>
        </w:rPr>
        <w:t xml:space="preserve"> where it </w:t>
      </w:r>
      <w:r w:rsidR="00C36E02">
        <w:rPr>
          <w:rFonts w:ascii="Verdana" w:hAnsi="Verdana"/>
        </w:rPr>
        <w:t>stated</w:t>
      </w:r>
      <w:r w:rsidR="00C5209F" w:rsidRPr="00C5209F">
        <w:rPr>
          <w:rFonts w:ascii="Verdana" w:hAnsi="Verdana"/>
        </w:rPr>
        <w:t xml:space="preserve"> that the age of criminal </w:t>
      </w:r>
      <w:r w:rsidR="007B66CE" w:rsidRPr="00C5209F">
        <w:rPr>
          <w:rFonts w:ascii="Verdana" w:hAnsi="Verdana"/>
        </w:rPr>
        <w:t xml:space="preserve">responsibility </w:t>
      </w:r>
      <w:r w:rsidR="007B66CE">
        <w:rPr>
          <w:rFonts w:ascii="Verdana" w:hAnsi="Verdana"/>
        </w:rPr>
        <w:t>is</w:t>
      </w:r>
      <w:r w:rsidR="00C36E02">
        <w:rPr>
          <w:rFonts w:ascii="Verdana" w:hAnsi="Verdana"/>
        </w:rPr>
        <w:t xml:space="preserve"> ‘</w:t>
      </w:r>
      <w:r w:rsidR="00C5209F" w:rsidRPr="00C5209F">
        <w:rPr>
          <w:rFonts w:ascii="Verdana" w:hAnsi="Verdana"/>
        </w:rPr>
        <w:t>manifestly</w:t>
      </w:r>
      <w:r w:rsidR="00C36E02">
        <w:rPr>
          <w:rFonts w:ascii="Verdana" w:hAnsi="Verdana"/>
        </w:rPr>
        <w:t xml:space="preserve"> </w:t>
      </w:r>
      <w:r w:rsidR="00C5209F" w:rsidRPr="00C5209F">
        <w:rPr>
          <w:rFonts w:ascii="Verdana" w:hAnsi="Verdana"/>
        </w:rPr>
        <w:t>low</w:t>
      </w:r>
      <w:r w:rsidR="00C36E02">
        <w:rPr>
          <w:rFonts w:ascii="Verdana" w:hAnsi="Verdana"/>
        </w:rPr>
        <w:t>’</w:t>
      </w:r>
      <w:r w:rsidR="00791615">
        <w:rPr>
          <w:rFonts w:ascii="Verdana" w:hAnsi="Verdana"/>
        </w:rPr>
        <w:t>.</w:t>
      </w:r>
      <w:r w:rsidR="00161748">
        <w:rPr>
          <w:rStyle w:val="FootnoteReference"/>
          <w:rFonts w:ascii="Verdana" w:hAnsi="Verdana"/>
        </w:rPr>
        <w:footnoteReference w:id="54"/>
      </w:r>
    </w:p>
    <w:p w14:paraId="4C9F0155" w14:textId="77777777" w:rsidR="00B73093" w:rsidRDefault="00B73093" w:rsidP="00B73093">
      <w:pPr>
        <w:pStyle w:val="BasicParagraph"/>
        <w:suppressAutoHyphens/>
        <w:ind w:left="709"/>
        <w:rPr>
          <w:rFonts w:ascii="Verdana" w:hAnsi="Verdana"/>
        </w:rPr>
      </w:pPr>
    </w:p>
    <w:p w14:paraId="5EE61A25" w14:textId="28335183" w:rsidR="00BF603C" w:rsidRDefault="00013CB5">
      <w:pPr>
        <w:pStyle w:val="BasicParagraph"/>
        <w:numPr>
          <w:ilvl w:val="1"/>
          <w:numId w:val="1"/>
        </w:numPr>
        <w:suppressAutoHyphens/>
        <w:ind w:left="709"/>
        <w:rPr>
          <w:rFonts w:ascii="Verdana" w:hAnsi="Verdana"/>
        </w:rPr>
      </w:pPr>
      <w:r>
        <w:rPr>
          <w:rFonts w:ascii="Verdana" w:hAnsi="Verdana"/>
        </w:rPr>
        <w:t>In 2018, t</w:t>
      </w:r>
      <w:r w:rsidR="005F7313" w:rsidRPr="005F7313">
        <w:rPr>
          <w:rFonts w:ascii="Verdana" w:hAnsi="Verdana"/>
        </w:rPr>
        <w:t xml:space="preserve">he United Kingdom submitted its 38th report under </w:t>
      </w:r>
      <w:r w:rsidR="00BB4E55">
        <w:rPr>
          <w:rFonts w:ascii="Verdana" w:hAnsi="Verdana"/>
        </w:rPr>
        <w:t xml:space="preserve">the </w:t>
      </w:r>
      <w:r w:rsidR="005F7313" w:rsidRPr="005F7313">
        <w:rPr>
          <w:rFonts w:ascii="Verdana" w:hAnsi="Verdana"/>
        </w:rPr>
        <w:t>European Social Charter, which was assessed by the</w:t>
      </w:r>
      <w:r w:rsidR="007230EE">
        <w:rPr>
          <w:rFonts w:ascii="Verdana" w:hAnsi="Verdana"/>
        </w:rPr>
        <w:t xml:space="preserve"> </w:t>
      </w:r>
      <w:proofErr w:type="spellStart"/>
      <w:r w:rsidR="007230EE">
        <w:rPr>
          <w:rFonts w:ascii="Verdana" w:hAnsi="Verdana"/>
        </w:rPr>
        <w:t>CoE</w:t>
      </w:r>
      <w:r w:rsidR="00AF1670">
        <w:rPr>
          <w:rFonts w:ascii="Verdana" w:hAnsi="Verdana"/>
        </w:rPr>
        <w:t>’s</w:t>
      </w:r>
      <w:proofErr w:type="spellEnd"/>
      <w:r w:rsidR="005F7313" w:rsidRPr="005F7313">
        <w:rPr>
          <w:rFonts w:ascii="Verdana" w:hAnsi="Verdana"/>
        </w:rPr>
        <w:t xml:space="preserve"> European Committee of </w:t>
      </w:r>
      <w:r w:rsidR="005F7313" w:rsidRPr="003B3634">
        <w:rPr>
          <w:rFonts w:ascii="Verdana" w:hAnsi="Verdana"/>
        </w:rPr>
        <w:t xml:space="preserve">Social Rights in </w:t>
      </w:r>
      <w:r w:rsidR="00470CFE" w:rsidRPr="003B3634">
        <w:rPr>
          <w:rFonts w:ascii="Verdana" w:hAnsi="Verdana"/>
        </w:rPr>
        <w:t>its 2019</w:t>
      </w:r>
      <w:r w:rsidR="005F299E" w:rsidRPr="003B3634">
        <w:rPr>
          <w:rFonts w:ascii="Verdana" w:hAnsi="Verdana"/>
        </w:rPr>
        <w:t xml:space="preserve"> </w:t>
      </w:r>
      <w:r w:rsidR="00F70ABC" w:rsidRPr="003B3634">
        <w:rPr>
          <w:rFonts w:ascii="Verdana" w:hAnsi="Verdana"/>
        </w:rPr>
        <w:t>C</w:t>
      </w:r>
      <w:r w:rsidR="005F7313" w:rsidRPr="003B3634">
        <w:rPr>
          <w:rFonts w:ascii="Verdana" w:hAnsi="Verdana"/>
        </w:rPr>
        <w:t>onclusions</w:t>
      </w:r>
      <w:r w:rsidRPr="003B3634">
        <w:rPr>
          <w:rFonts w:ascii="Verdana" w:hAnsi="Verdana"/>
        </w:rPr>
        <w:t>.</w:t>
      </w:r>
      <w:r w:rsidR="005F299E" w:rsidRPr="003B3634">
        <w:rPr>
          <w:rStyle w:val="FootnoteReference"/>
          <w:rFonts w:ascii="Verdana" w:hAnsi="Verdana"/>
        </w:rPr>
        <w:footnoteReference w:id="55"/>
      </w:r>
      <w:r w:rsidR="005F7313" w:rsidRPr="003B3634">
        <w:rPr>
          <w:rFonts w:ascii="Verdana" w:hAnsi="Verdana"/>
        </w:rPr>
        <w:t xml:space="preserve"> </w:t>
      </w:r>
      <w:r w:rsidR="00F70ABC" w:rsidRPr="003B3634">
        <w:rPr>
          <w:rFonts w:ascii="Verdana" w:hAnsi="Verdana"/>
        </w:rPr>
        <w:t>The Committee</w:t>
      </w:r>
      <w:r w:rsidR="00856E21" w:rsidRPr="003B3634">
        <w:rPr>
          <w:rFonts w:ascii="Verdana" w:hAnsi="Verdana"/>
        </w:rPr>
        <w:t xml:space="preserve"> </w:t>
      </w:r>
      <w:r w:rsidR="005F7313" w:rsidRPr="003B3634">
        <w:rPr>
          <w:rFonts w:ascii="Verdana" w:hAnsi="Verdana"/>
        </w:rPr>
        <w:t>found the UK not to be in conformity due to its low age of criminal responsibility</w:t>
      </w:r>
      <w:r w:rsidR="00EC6839" w:rsidRPr="003B3634">
        <w:rPr>
          <w:rFonts w:ascii="Verdana" w:hAnsi="Verdana"/>
        </w:rPr>
        <w:t>, which it had previously noted in 2015</w:t>
      </w:r>
      <w:r w:rsidR="005F7313" w:rsidRPr="003B3634">
        <w:rPr>
          <w:rFonts w:ascii="Verdana" w:hAnsi="Verdana"/>
        </w:rPr>
        <w:t>.</w:t>
      </w:r>
      <w:r w:rsidR="00FB577E" w:rsidRPr="003B3634">
        <w:rPr>
          <w:rFonts w:ascii="Verdana" w:hAnsi="Verdana"/>
        </w:rPr>
        <w:t xml:space="preserve"> </w:t>
      </w:r>
      <w:r w:rsidR="00501FC6" w:rsidRPr="003B3634">
        <w:rPr>
          <w:rFonts w:ascii="Verdana" w:hAnsi="Verdana"/>
        </w:rPr>
        <w:t>I</w:t>
      </w:r>
      <w:r w:rsidR="0033526B" w:rsidRPr="003B3634">
        <w:rPr>
          <w:rFonts w:ascii="Verdana" w:hAnsi="Verdana"/>
        </w:rPr>
        <w:t>t stated that</w:t>
      </w:r>
      <w:r w:rsidR="00EC6839" w:rsidRPr="003B3634">
        <w:rPr>
          <w:rFonts w:ascii="Verdana" w:hAnsi="Verdana"/>
        </w:rPr>
        <w:t>, “the</w:t>
      </w:r>
      <w:r w:rsidR="00BB3FF0" w:rsidRPr="003B3634">
        <w:rPr>
          <w:rFonts w:ascii="Verdana" w:hAnsi="Verdana"/>
        </w:rPr>
        <w:t xml:space="preserve"> Committee recalls that the</w:t>
      </w:r>
      <w:r w:rsidR="00EC6839" w:rsidRPr="003B3634">
        <w:rPr>
          <w:rFonts w:ascii="Verdana" w:hAnsi="Verdana"/>
        </w:rPr>
        <w:t xml:space="preserve"> age of criminal responsibility should not be too low and in any event</w:t>
      </w:r>
      <w:r w:rsidR="0067366D">
        <w:rPr>
          <w:rFonts w:ascii="Verdana" w:hAnsi="Verdana"/>
        </w:rPr>
        <w:t>,</w:t>
      </w:r>
      <w:r w:rsidR="00EC6839" w:rsidRPr="003B3634">
        <w:rPr>
          <w:rFonts w:ascii="Verdana" w:hAnsi="Verdana"/>
        </w:rPr>
        <w:t xml:space="preserve"> it should not be lower than 14 years.</w:t>
      </w:r>
      <w:r w:rsidR="00DC20B7" w:rsidRPr="003B3634">
        <w:rPr>
          <w:rFonts w:ascii="Verdana" w:hAnsi="Verdana"/>
        </w:rPr>
        <w:t>”</w:t>
      </w:r>
      <w:r w:rsidR="00DC20B7" w:rsidRPr="003B3634">
        <w:rPr>
          <w:rStyle w:val="FootnoteReference"/>
          <w:rFonts w:ascii="Verdana" w:hAnsi="Verdana"/>
        </w:rPr>
        <w:footnoteReference w:id="56"/>
      </w:r>
      <w:r w:rsidR="00EC6839" w:rsidRPr="00EC6839">
        <w:rPr>
          <w:rFonts w:ascii="Verdana" w:hAnsi="Verdana"/>
        </w:rPr>
        <w:t xml:space="preserve"> </w:t>
      </w:r>
    </w:p>
    <w:p w14:paraId="505A28BC" w14:textId="77777777" w:rsidR="009A7BD1" w:rsidRDefault="009A7BD1" w:rsidP="009A7BD1">
      <w:pPr>
        <w:pStyle w:val="BasicParagraph"/>
        <w:suppressAutoHyphens/>
        <w:rPr>
          <w:rFonts w:ascii="Verdana" w:hAnsi="Verdana"/>
        </w:rPr>
      </w:pPr>
    </w:p>
    <w:p w14:paraId="31555650" w14:textId="55D06549" w:rsidR="00B6771A" w:rsidRDefault="00E76760" w:rsidP="007E43F8">
      <w:pPr>
        <w:pStyle w:val="BasicParagraph"/>
        <w:numPr>
          <w:ilvl w:val="1"/>
          <w:numId w:val="1"/>
        </w:numPr>
        <w:suppressAutoHyphens/>
        <w:ind w:left="709"/>
        <w:rPr>
          <w:rFonts w:ascii="Verdana" w:hAnsi="Verdana"/>
        </w:rPr>
      </w:pPr>
      <w:r>
        <w:rPr>
          <w:rFonts w:ascii="Verdana" w:hAnsi="Verdana"/>
        </w:rPr>
        <w:t xml:space="preserve">In its </w:t>
      </w:r>
      <w:r w:rsidR="003A09B4">
        <w:rPr>
          <w:rFonts w:ascii="Verdana" w:hAnsi="Verdana"/>
        </w:rPr>
        <w:t>c</w:t>
      </w:r>
      <w:r>
        <w:rPr>
          <w:rFonts w:ascii="Verdana" w:hAnsi="Verdana"/>
        </w:rPr>
        <w:t xml:space="preserve">onclusions on France in </w:t>
      </w:r>
      <w:r w:rsidR="00A46F91">
        <w:rPr>
          <w:rFonts w:ascii="Verdana" w:hAnsi="Verdana"/>
        </w:rPr>
        <w:t>2019</w:t>
      </w:r>
      <w:r w:rsidR="00BF6D1A">
        <w:rPr>
          <w:rFonts w:ascii="Verdana" w:hAnsi="Verdana"/>
        </w:rPr>
        <w:t xml:space="preserve">, </w:t>
      </w:r>
      <w:r w:rsidR="00B64B09">
        <w:rPr>
          <w:rFonts w:ascii="Verdana" w:hAnsi="Verdana"/>
        </w:rPr>
        <w:t>t</w:t>
      </w:r>
      <w:r w:rsidRPr="00E76760">
        <w:rPr>
          <w:rFonts w:ascii="Verdana" w:hAnsi="Verdana"/>
        </w:rPr>
        <w:t>he</w:t>
      </w:r>
      <w:r w:rsidR="003A09B4">
        <w:rPr>
          <w:rFonts w:ascii="Verdana" w:hAnsi="Verdana"/>
        </w:rPr>
        <w:t xml:space="preserve"> </w:t>
      </w:r>
      <w:proofErr w:type="spellStart"/>
      <w:r w:rsidR="003A09B4">
        <w:rPr>
          <w:rFonts w:ascii="Verdana" w:hAnsi="Verdana"/>
        </w:rPr>
        <w:t>CoE’s</w:t>
      </w:r>
      <w:proofErr w:type="spellEnd"/>
      <w:r w:rsidR="003A09B4" w:rsidRPr="005F7313">
        <w:rPr>
          <w:rFonts w:ascii="Verdana" w:hAnsi="Verdana"/>
        </w:rPr>
        <w:t xml:space="preserve"> European Committee of Social Rights</w:t>
      </w:r>
      <w:r w:rsidR="00544CFB">
        <w:rPr>
          <w:rFonts w:ascii="Verdana" w:hAnsi="Verdana"/>
        </w:rPr>
        <w:t xml:space="preserve"> stated that</w:t>
      </w:r>
      <w:r w:rsidR="00B6771A">
        <w:rPr>
          <w:rFonts w:ascii="Verdana" w:hAnsi="Verdana"/>
        </w:rPr>
        <w:t>:</w:t>
      </w:r>
    </w:p>
    <w:p w14:paraId="31DD0697" w14:textId="77777777" w:rsidR="00B6771A" w:rsidRDefault="00B6771A" w:rsidP="00B6771A">
      <w:pPr>
        <w:pStyle w:val="ListParagraph"/>
      </w:pPr>
    </w:p>
    <w:p w14:paraId="108904BA" w14:textId="77777777" w:rsidR="00B6771A" w:rsidRDefault="00B6771A" w:rsidP="00B6771A">
      <w:pPr>
        <w:pStyle w:val="BasicParagraph"/>
        <w:suppressAutoHyphens/>
        <w:ind w:left="720" w:firstLine="720"/>
        <w:rPr>
          <w:rFonts w:ascii="Verdana" w:hAnsi="Verdana"/>
        </w:rPr>
      </w:pPr>
      <w:r w:rsidRPr="00B6771A">
        <w:rPr>
          <w:rFonts w:ascii="Verdana" w:hAnsi="Verdana"/>
        </w:rPr>
        <w:t xml:space="preserve">There is no minimum age legally set below which children cannot be </w:t>
      </w:r>
    </w:p>
    <w:p w14:paraId="20598FB0" w14:textId="77777777" w:rsidR="00B6771A" w:rsidRDefault="00B6771A" w:rsidP="00B6771A">
      <w:pPr>
        <w:pStyle w:val="BasicParagraph"/>
        <w:suppressAutoHyphens/>
        <w:ind w:left="720" w:firstLine="720"/>
        <w:rPr>
          <w:rFonts w:ascii="Verdana" w:hAnsi="Verdana"/>
        </w:rPr>
      </w:pPr>
      <w:r w:rsidRPr="00B6771A">
        <w:rPr>
          <w:rFonts w:ascii="Verdana" w:hAnsi="Verdana"/>
        </w:rPr>
        <w:t xml:space="preserve">held criminally responsible. Young persons under the age of 18 “able </w:t>
      </w:r>
    </w:p>
    <w:p w14:paraId="36B73CD8" w14:textId="77777777" w:rsidR="00281CD4" w:rsidRDefault="00B6771A" w:rsidP="00B6771A">
      <w:pPr>
        <w:pStyle w:val="BasicParagraph"/>
        <w:suppressAutoHyphens/>
        <w:ind w:left="720" w:firstLine="720"/>
        <w:rPr>
          <w:rFonts w:ascii="Verdana" w:hAnsi="Verdana"/>
        </w:rPr>
      </w:pPr>
      <w:r w:rsidRPr="00B6771A">
        <w:rPr>
          <w:rFonts w:ascii="Verdana" w:hAnsi="Verdana"/>
        </w:rPr>
        <w:t xml:space="preserve">to understand what they are doing” are criminally responsible for the </w:t>
      </w:r>
    </w:p>
    <w:p w14:paraId="2F93384F" w14:textId="77777777" w:rsidR="00281CD4" w:rsidRDefault="00B6771A" w:rsidP="00B6771A">
      <w:pPr>
        <w:pStyle w:val="BasicParagraph"/>
        <w:suppressAutoHyphens/>
        <w:ind w:left="720" w:firstLine="720"/>
        <w:rPr>
          <w:rFonts w:ascii="Verdana" w:hAnsi="Verdana"/>
        </w:rPr>
      </w:pPr>
      <w:r w:rsidRPr="00B6771A">
        <w:rPr>
          <w:rFonts w:ascii="Verdana" w:hAnsi="Verdana"/>
        </w:rPr>
        <w:t xml:space="preserve">felonies, misdemeanours or petty offences which they have been </w:t>
      </w:r>
    </w:p>
    <w:p w14:paraId="6B825D58" w14:textId="77777777" w:rsidR="00281CD4" w:rsidRDefault="00B6771A" w:rsidP="00B6771A">
      <w:pPr>
        <w:pStyle w:val="BasicParagraph"/>
        <w:suppressAutoHyphens/>
        <w:ind w:left="720" w:firstLine="720"/>
        <w:rPr>
          <w:rFonts w:ascii="Verdana" w:hAnsi="Verdana"/>
        </w:rPr>
      </w:pPr>
      <w:r w:rsidRPr="00B6771A">
        <w:rPr>
          <w:rFonts w:ascii="Verdana" w:hAnsi="Verdana"/>
        </w:rPr>
        <w:t xml:space="preserve">found guilty of. The Committee recalls that the age of criminal </w:t>
      </w:r>
    </w:p>
    <w:p w14:paraId="5EA1826C" w14:textId="77777777" w:rsidR="00281CD4" w:rsidRDefault="00B6771A" w:rsidP="00B6771A">
      <w:pPr>
        <w:pStyle w:val="BasicParagraph"/>
        <w:suppressAutoHyphens/>
        <w:ind w:left="720" w:firstLine="720"/>
        <w:rPr>
          <w:rFonts w:ascii="Verdana" w:hAnsi="Verdana"/>
        </w:rPr>
      </w:pPr>
      <w:r w:rsidRPr="00B6771A">
        <w:rPr>
          <w:rFonts w:ascii="Verdana" w:hAnsi="Verdana"/>
        </w:rPr>
        <w:t xml:space="preserve">responsibility should not be too low and in any rate, it should not be </w:t>
      </w:r>
    </w:p>
    <w:p w14:paraId="506F8264" w14:textId="77777777" w:rsidR="00281CD4" w:rsidRDefault="00B6771A" w:rsidP="00B6771A">
      <w:pPr>
        <w:pStyle w:val="BasicParagraph"/>
        <w:suppressAutoHyphens/>
        <w:ind w:left="720" w:firstLine="720"/>
        <w:rPr>
          <w:rFonts w:ascii="Verdana" w:hAnsi="Verdana"/>
        </w:rPr>
      </w:pPr>
      <w:r w:rsidRPr="00B6771A">
        <w:rPr>
          <w:rFonts w:ascii="Verdana" w:hAnsi="Verdana"/>
        </w:rPr>
        <w:t>lower than 14 years of age. States should seek to progressively raise</w:t>
      </w:r>
    </w:p>
    <w:p w14:paraId="7EF6A8CD" w14:textId="1337B25E" w:rsidR="006A2550" w:rsidRDefault="00B6771A" w:rsidP="00B6771A">
      <w:pPr>
        <w:pStyle w:val="BasicParagraph"/>
        <w:suppressAutoHyphens/>
        <w:ind w:left="720" w:firstLine="720"/>
        <w:rPr>
          <w:rFonts w:ascii="Verdana" w:hAnsi="Verdana"/>
        </w:rPr>
      </w:pPr>
      <w:r w:rsidRPr="00B6771A">
        <w:rPr>
          <w:rFonts w:ascii="Verdana" w:hAnsi="Verdana"/>
        </w:rPr>
        <w:t>the minimum age of criminal responsibility.</w:t>
      </w:r>
      <w:r w:rsidR="00281CD4">
        <w:rPr>
          <w:rStyle w:val="FootnoteReference"/>
          <w:rFonts w:ascii="Verdana" w:hAnsi="Verdana"/>
        </w:rPr>
        <w:footnoteReference w:id="57"/>
      </w:r>
      <w:r w:rsidRPr="00B6771A">
        <w:rPr>
          <w:rFonts w:ascii="Verdana" w:hAnsi="Verdana"/>
        </w:rPr>
        <w:t xml:space="preserve">  </w:t>
      </w:r>
    </w:p>
    <w:p w14:paraId="156930C9" w14:textId="77777777" w:rsidR="00B73093" w:rsidRPr="00B73093" w:rsidRDefault="00B73093" w:rsidP="005D4811">
      <w:pPr>
        <w:pStyle w:val="BasicParagraph"/>
        <w:suppressAutoHyphens/>
        <w:rPr>
          <w:rFonts w:ascii="Verdana" w:hAnsi="Verdana"/>
        </w:rPr>
      </w:pPr>
    </w:p>
    <w:p w14:paraId="00E442E1" w14:textId="46342E46" w:rsidR="00045163" w:rsidRDefault="00045163" w:rsidP="00045163">
      <w:pPr>
        <w:pStyle w:val="Heading2"/>
      </w:pPr>
      <w:bookmarkStart w:id="4" w:name="_Toc231921028"/>
      <w:r>
        <w:t xml:space="preserve">European Convention on Human Rights and the European Court of Human Rights </w:t>
      </w:r>
      <w:r w:rsidR="002214A0">
        <w:t>Jurisprudence</w:t>
      </w:r>
      <w:bookmarkEnd w:id="4"/>
    </w:p>
    <w:p w14:paraId="31FD795E" w14:textId="77777777" w:rsidR="009E71A0" w:rsidRDefault="009E71A0" w:rsidP="00045163"/>
    <w:p w14:paraId="12C5E319" w14:textId="01900261" w:rsidR="004C4B0F" w:rsidRDefault="007512DE" w:rsidP="004C4B0F">
      <w:pPr>
        <w:pStyle w:val="BasicParagraph"/>
        <w:numPr>
          <w:ilvl w:val="1"/>
          <w:numId w:val="1"/>
        </w:numPr>
        <w:suppressAutoHyphens/>
        <w:rPr>
          <w:rFonts w:ascii="Verdana" w:hAnsi="Verdana"/>
        </w:rPr>
      </w:pPr>
      <w:r w:rsidRPr="007512DE">
        <w:rPr>
          <w:rFonts w:ascii="Verdana" w:hAnsi="Verdana"/>
        </w:rPr>
        <w:t>The European Convention on Human Rights (ECHR)</w:t>
      </w:r>
      <w:r>
        <w:rPr>
          <w:rFonts w:ascii="Verdana" w:hAnsi="Verdana"/>
        </w:rPr>
        <w:t xml:space="preserve"> </w:t>
      </w:r>
      <w:r w:rsidRPr="007512DE">
        <w:rPr>
          <w:rFonts w:ascii="Verdana" w:hAnsi="Verdana"/>
        </w:rPr>
        <w:t xml:space="preserve">does </w:t>
      </w:r>
      <w:r w:rsidR="004C4B0F">
        <w:rPr>
          <w:rFonts w:ascii="Verdana" w:hAnsi="Verdana"/>
        </w:rPr>
        <w:t>not</w:t>
      </w:r>
      <w:r w:rsidRPr="007512DE">
        <w:rPr>
          <w:rFonts w:ascii="Verdana" w:hAnsi="Verdana"/>
        </w:rPr>
        <w:t xml:space="preserve"> </w:t>
      </w:r>
      <w:r w:rsidR="00936C53">
        <w:rPr>
          <w:rFonts w:ascii="Verdana" w:hAnsi="Verdana"/>
        </w:rPr>
        <w:t xml:space="preserve">prescribe a </w:t>
      </w:r>
      <w:r w:rsidRPr="007512DE">
        <w:rPr>
          <w:rFonts w:ascii="Verdana" w:hAnsi="Verdana"/>
        </w:rPr>
        <w:t xml:space="preserve">minimum age of </w:t>
      </w:r>
      <w:r>
        <w:rPr>
          <w:rFonts w:ascii="Verdana" w:hAnsi="Verdana"/>
        </w:rPr>
        <w:t>criminal responsibility.</w:t>
      </w:r>
    </w:p>
    <w:p w14:paraId="14AD3CBC" w14:textId="77777777" w:rsidR="004C4B0F" w:rsidRDefault="004C4B0F" w:rsidP="00AF41F7">
      <w:pPr>
        <w:pStyle w:val="BasicParagraph"/>
        <w:suppressAutoHyphens/>
        <w:ind w:left="720"/>
        <w:rPr>
          <w:rFonts w:ascii="Verdana" w:hAnsi="Verdana"/>
        </w:rPr>
      </w:pPr>
    </w:p>
    <w:p w14:paraId="02B7E82E" w14:textId="4F498923" w:rsidR="00D56B17" w:rsidRDefault="003C5C82" w:rsidP="007607FD">
      <w:pPr>
        <w:pStyle w:val="BasicParagraph"/>
        <w:numPr>
          <w:ilvl w:val="1"/>
          <w:numId w:val="1"/>
        </w:numPr>
        <w:suppressAutoHyphens/>
        <w:rPr>
          <w:rFonts w:ascii="Verdana" w:hAnsi="Verdana"/>
        </w:rPr>
      </w:pPr>
      <w:r>
        <w:rPr>
          <w:rFonts w:ascii="Verdana" w:hAnsi="Verdana"/>
        </w:rPr>
        <w:t xml:space="preserve">In </w:t>
      </w:r>
      <w:proofErr w:type="gramStart"/>
      <w:r>
        <w:rPr>
          <w:rFonts w:ascii="Verdana" w:hAnsi="Verdana"/>
        </w:rPr>
        <w:t>1999,the</w:t>
      </w:r>
      <w:proofErr w:type="gramEnd"/>
      <w:r w:rsidR="00A91ACB">
        <w:rPr>
          <w:rFonts w:ascii="Verdana" w:hAnsi="Verdana"/>
        </w:rPr>
        <w:t xml:space="preserve"> issue was considered by </w:t>
      </w:r>
      <w:r w:rsidR="00AF41F7">
        <w:rPr>
          <w:rFonts w:ascii="Verdana" w:hAnsi="Verdana"/>
        </w:rPr>
        <w:t xml:space="preserve">the </w:t>
      </w:r>
      <w:r w:rsidR="00AF41F7" w:rsidRPr="00AF41F7">
        <w:rPr>
          <w:rFonts w:ascii="Verdana" w:hAnsi="Verdana"/>
        </w:rPr>
        <w:t>European Court of Human Rights</w:t>
      </w:r>
      <w:r w:rsidR="00AF41F7">
        <w:rPr>
          <w:rFonts w:ascii="Verdana" w:hAnsi="Verdana"/>
        </w:rPr>
        <w:t xml:space="preserve"> (</w:t>
      </w:r>
      <w:r w:rsidR="00AF41F7" w:rsidRPr="004C4B0F">
        <w:rPr>
          <w:rFonts w:ascii="Verdana" w:hAnsi="Verdana"/>
        </w:rPr>
        <w:t>ECtHR</w:t>
      </w:r>
      <w:r w:rsidR="00AE5CCC">
        <w:rPr>
          <w:rFonts w:ascii="Verdana" w:hAnsi="Verdana"/>
        </w:rPr>
        <w:t>)</w:t>
      </w:r>
      <w:r w:rsidR="00936C53">
        <w:rPr>
          <w:rFonts w:ascii="Verdana" w:hAnsi="Verdana"/>
        </w:rPr>
        <w:t xml:space="preserve"> </w:t>
      </w:r>
      <w:r w:rsidR="00A91ACB">
        <w:rPr>
          <w:rFonts w:ascii="Verdana" w:hAnsi="Verdana"/>
        </w:rPr>
        <w:t>i</w:t>
      </w:r>
      <w:r w:rsidR="00A91ACB" w:rsidRPr="004C4B0F">
        <w:rPr>
          <w:rFonts w:ascii="Verdana" w:hAnsi="Verdana"/>
        </w:rPr>
        <w:t>n</w:t>
      </w:r>
      <w:r w:rsidR="00C54167" w:rsidRPr="004C4B0F">
        <w:rPr>
          <w:rFonts w:ascii="Verdana" w:hAnsi="Verdana"/>
        </w:rPr>
        <w:t xml:space="preserve"> </w:t>
      </w:r>
      <w:r w:rsidR="00C54167" w:rsidRPr="00AC2463">
        <w:rPr>
          <w:rFonts w:ascii="Verdana" w:hAnsi="Verdana"/>
          <w:i/>
        </w:rPr>
        <w:t>T v United Kingdom</w:t>
      </w:r>
      <w:r w:rsidR="00C54167">
        <w:rPr>
          <w:rStyle w:val="FootnoteReference"/>
          <w:rFonts w:ascii="Verdana" w:hAnsi="Verdana"/>
        </w:rPr>
        <w:footnoteReference w:id="58"/>
      </w:r>
      <w:r w:rsidR="00C54167" w:rsidRPr="004C4B0F">
        <w:rPr>
          <w:rFonts w:ascii="Verdana" w:hAnsi="Verdana"/>
        </w:rPr>
        <w:t xml:space="preserve">, </w:t>
      </w:r>
      <w:r w:rsidR="00A91ACB">
        <w:rPr>
          <w:rFonts w:ascii="Verdana" w:hAnsi="Verdana"/>
        </w:rPr>
        <w:t xml:space="preserve">confirming </w:t>
      </w:r>
      <w:r w:rsidR="00C54167" w:rsidRPr="004C4B0F">
        <w:rPr>
          <w:rFonts w:ascii="Verdana" w:hAnsi="Verdana"/>
        </w:rPr>
        <w:t xml:space="preserve">that there </w:t>
      </w:r>
      <w:r w:rsidR="00A91ACB">
        <w:rPr>
          <w:rFonts w:ascii="Verdana" w:hAnsi="Verdana"/>
        </w:rPr>
        <w:t>was</w:t>
      </w:r>
      <w:r w:rsidR="00C54167" w:rsidRPr="004C4B0F">
        <w:rPr>
          <w:rFonts w:ascii="Verdana" w:hAnsi="Verdana"/>
        </w:rPr>
        <w:t xml:space="preserve"> no common European standard on the age of criminal responsibility</w:t>
      </w:r>
      <w:r w:rsidR="00A91ACB">
        <w:rPr>
          <w:rFonts w:ascii="Verdana" w:hAnsi="Verdana"/>
        </w:rPr>
        <w:t xml:space="preserve"> at the time of judgment</w:t>
      </w:r>
      <w:r w:rsidR="005E5321" w:rsidRPr="004C4B0F">
        <w:rPr>
          <w:rFonts w:ascii="Verdana" w:hAnsi="Verdana"/>
        </w:rPr>
        <w:t>.</w:t>
      </w:r>
      <w:r w:rsidR="007C3DA8">
        <w:rPr>
          <w:rStyle w:val="FootnoteReference"/>
          <w:rFonts w:ascii="Verdana" w:hAnsi="Verdana"/>
        </w:rPr>
        <w:footnoteReference w:id="59"/>
      </w:r>
      <w:r w:rsidR="00C54167" w:rsidRPr="004C4B0F">
        <w:rPr>
          <w:rFonts w:ascii="Verdana" w:hAnsi="Verdana"/>
        </w:rPr>
        <w:t xml:space="preserve"> </w:t>
      </w:r>
      <w:r w:rsidR="005E5321" w:rsidRPr="004C4B0F">
        <w:rPr>
          <w:rFonts w:ascii="Verdana" w:hAnsi="Verdana"/>
        </w:rPr>
        <w:t>It state</w:t>
      </w:r>
      <w:r w:rsidR="00AE5CCC">
        <w:rPr>
          <w:rFonts w:ascii="Verdana" w:hAnsi="Verdana"/>
        </w:rPr>
        <w:t>d that</w:t>
      </w:r>
      <w:r w:rsidR="00D56B17" w:rsidRPr="004C4B0F">
        <w:rPr>
          <w:rFonts w:ascii="Verdana" w:hAnsi="Verdana"/>
        </w:rPr>
        <w:t>:</w:t>
      </w:r>
      <w:r w:rsidR="005E5321" w:rsidRPr="004C4B0F">
        <w:rPr>
          <w:rFonts w:ascii="Verdana" w:hAnsi="Verdana"/>
        </w:rPr>
        <w:t xml:space="preserve"> </w:t>
      </w:r>
    </w:p>
    <w:p w14:paraId="1846DD03" w14:textId="77777777" w:rsidR="00BE05A0" w:rsidRPr="00BE05A0" w:rsidRDefault="00BE05A0" w:rsidP="007607FD">
      <w:pPr>
        <w:pStyle w:val="BasicParagraph"/>
        <w:suppressAutoHyphens/>
        <w:rPr>
          <w:rFonts w:ascii="Verdana" w:hAnsi="Verdana"/>
        </w:rPr>
      </w:pPr>
    </w:p>
    <w:p w14:paraId="5841BC33" w14:textId="77777777" w:rsidR="00D56B17" w:rsidRDefault="00D56B17" w:rsidP="007607FD">
      <w:pPr>
        <w:pStyle w:val="BasicParagraph"/>
        <w:suppressAutoHyphens/>
        <w:ind w:left="720" w:firstLine="720"/>
        <w:rPr>
          <w:rFonts w:ascii="Verdana" w:hAnsi="Verdana"/>
        </w:rPr>
      </w:pPr>
      <w:r w:rsidRPr="00D56B17">
        <w:rPr>
          <w:rFonts w:ascii="Verdana" w:hAnsi="Verdana"/>
        </w:rPr>
        <w:t xml:space="preserve">the Court observes </w:t>
      </w:r>
      <w:proofErr w:type="gramStart"/>
      <w:r w:rsidRPr="00D56B17">
        <w:rPr>
          <w:rFonts w:ascii="Verdana" w:hAnsi="Verdana"/>
        </w:rPr>
        <w:t>that,</w:t>
      </w:r>
      <w:proofErr w:type="gramEnd"/>
      <w:r w:rsidRPr="00D56B17">
        <w:rPr>
          <w:rFonts w:ascii="Verdana" w:hAnsi="Verdana"/>
        </w:rPr>
        <w:t xml:space="preserve"> at the present time there is not yet a</w:t>
      </w:r>
    </w:p>
    <w:p w14:paraId="36BE6CCF" w14:textId="77777777" w:rsidR="00D56B17" w:rsidRDefault="00D56B17" w:rsidP="007607FD">
      <w:pPr>
        <w:pStyle w:val="BasicParagraph"/>
        <w:suppressAutoHyphens/>
        <w:ind w:left="720" w:firstLine="720"/>
        <w:rPr>
          <w:rFonts w:ascii="Verdana" w:hAnsi="Verdana"/>
        </w:rPr>
      </w:pPr>
      <w:r w:rsidRPr="00D56B17">
        <w:rPr>
          <w:rFonts w:ascii="Verdana" w:hAnsi="Verdana"/>
        </w:rPr>
        <w:t xml:space="preserve">commonly accepted minimum age for the imposition of criminal </w:t>
      </w:r>
    </w:p>
    <w:p w14:paraId="2270FF25" w14:textId="77777777" w:rsidR="00D56B17" w:rsidRDefault="00D56B17" w:rsidP="007607FD">
      <w:pPr>
        <w:pStyle w:val="BasicParagraph"/>
        <w:suppressAutoHyphens/>
        <w:ind w:left="720" w:firstLine="720"/>
        <w:rPr>
          <w:rFonts w:ascii="Verdana" w:hAnsi="Verdana"/>
        </w:rPr>
      </w:pPr>
      <w:r w:rsidRPr="00D56B17">
        <w:rPr>
          <w:rFonts w:ascii="Verdana" w:hAnsi="Verdana"/>
        </w:rPr>
        <w:t>responsibility in Europe. While most of the Contracting States have</w:t>
      </w:r>
    </w:p>
    <w:p w14:paraId="5E1F649E" w14:textId="68C8F8F9" w:rsidR="00D56B17" w:rsidRDefault="00D56B17" w:rsidP="007607FD">
      <w:pPr>
        <w:pStyle w:val="BasicParagraph"/>
        <w:suppressAutoHyphens/>
        <w:ind w:left="720" w:firstLine="720"/>
        <w:rPr>
          <w:rFonts w:ascii="Verdana" w:hAnsi="Verdana"/>
        </w:rPr>
      </w:pPr>
      <w:r w:rsidRPr="00D56B17">
        <w:rPr>
          <w:rFonts w:ascii="Verdana" w:hAnsi="Verdana"/>
        </w:rPr>
        <w:t xml:space="preserve">adopted an age-limit which is higher than that in force in England </w:t>
      </w:r>
    </w:p>
    <w:p w14:paraId="1781AF6C" w14:textId="77777777" w:rsidR="00D56B17" w:rsidRDefault="00D56B17" w:rsidP="007607FD">
      <w:pPr>
        <w:pStyle w:val="BasicParagraph"/>
        <w:suppressAutoHyphens/>
        <w:ind w:left="720" w:firstLine="720"/>
        <w:rPr>
          <w:rFonts w:ascii="Verdana" w:hAnsi="Verdana"/>
        </w:rPr>
      </w:pPr>
      <w:r w:rsidRPr="00D56B17">
        <w:rPr>
          <w:rFonts w:ascii="Verdana" w:hAnsi="Verdana"/>
        </w:rPr>
        <w:t>and Wales, other States, such as Cyprus, Ireland, Liechtenstein and</w:t>
      </w:r>
    </w:p>
    <w:p w14:paraId="05CF6F69" w14:textId="376D42D3" w:rsidR="00D56B17" w:rsidRDefault="00D56B17" w:rsidP="007607FD">
      <w:pPr>
        <w:pStyle w:val="BasicParagraph"/>
        <w:suppressAutoHyphens/>
        <w:ind w:left="720" w:firstLine="720"/>
        <w:rPr>
          <w:rFonts w:ascii="Verdana" w:hAnsi="Verdana"/>
        </w:rPr>
      </w:pPr>
      <w:r w:rsidRPr="00D56B17">
        <w:rPr>
          <w:rFonts w:ascii="Verdana" w:hAnsi="Verdana"/>
        </w:rPr>
        <w:t xml:space="preserve">Switzerland, attribute criminal responsibility from a younger age. </w:t>
      </w:r>
    </w:p>
    <w:p w14:paraId="308AF90B" w14:textId="77777777" w:rsidR="00D56B17" w:rsidRDefault="00D56B17" w:rsidP="007607FD">
      <w:pPr>
        <w:pStyle w:val="BasicParagraph"/>
        <w:suppressAutoHyphens/>
        <w:ind w:left="720" w:firstLine="720"/>
        <w:rPr>
          <w:rFonts w:ascii="Verdana" w:hAnsi="Verdana"/>
        </w:rPr>
      </w:pPr>
      <w:r w:rsidRPr="00D56B17">
        <w:rPr>
          <w:rFonts w:ascii="Verdana" w:hAnsi="Verdana"/>
        </w:rPr>
        <w:t xml:space="preserve">Moreover, no clear tendency can be ascertained from examination of </w:t>
      </w:r>
    </w:p>
    <w:p w14:paraId="0FF94F90" w14:textId="77777777" w:rsidR="00D56B17" w:rsidRDefault="00D56B17" w:rsidP="007607FD">
      <w:pPr>
        <w:pStyle w:val="BasicParagraph"/>
        <w:suppressAutoHyphens/>
        <w:ind w:left="720" w:firstLine="720"/>
        <w:rPr>
          <w:rFonts w:ascii="Verdana" w:hAnsi="Verdana"/>
        </w:rPr>
      </w:pPr>
      <w:r w:rsidRPr="00D56B17">
        <w:rPr>
          <w:rFonts w:ascii="Verdana" w:hAnsi="Verdana"/>
        </w:rPr>
        <w:t>the relevant international texts and instruments (see paragraphs 43-</w:t>
      </w:r>
    </w:p>
    <w:p w14:paraId="1B85232A" w14:textId="0E06933B" w:rsidR="00D56B17" w:rsidRDefault="00D56B17" w:rsidP="007607FD">
      <w:pPr>
        <w:pStyle w:val="BasicParagraph"/>
        <w:suppressAutoHyphens/>
        <w:ind w:left="720" w:firstLine="720"/>
        <w:rPr>
          <w:rFonts w:ascii="Verdana" w:hAnsi="Verdana"/>
        </w:rPr>
      </w:pPr>
      <w:r w:rsidRPr="00D56B17">
        <w:rPr>
          <w:rFonts w:ascii="Verdana" w:hAnsi="Verdana"/>
        </w:rPr>
        <w:t xml:space="preserve">44 above). Rule 4 of the Beijing Rules which, although not legally </w:t>
      </w:r>
    </w:p>
    <w:p w14:paraId="315CF03A" w14:textId="77777777" w:rsidR="00D56B17" w:rsidRDefault="00D56B17" w:rsidP="007607FD">
      <w:pPr>
        <w:pStyle w:val="BasicParagraph"/>
        <w:suppressAutoHyphens/>
        <w:ind w:left="720" w:firstLine="720"/>
        <w:rPr>
          <w:rFonts w:ascii="Verdana" w:hAnsi="Verdana"/>
        </w:rPr>
      </w:pPr>
      <w:r w:rsidRPr="00D56B17">
        <w:rPr>
          <w:rFonts w:ascii="Verdana" w:hAnsi="Verdana"/>
        </w:rPr>
        <w:t xml:space="preserve">binding, might provide some indication of the existence of an </w:t>
      </w:r>
    </w:p>
    <w:p w14:paraId="1481C47E" w14:textId="77777777" w:rsidR="00D56B17" w:rsidRDefault="00D56B17" w:rsidP="007607FD">
      <w:pPr>
        <w:pStyle w:val="BasicParagraph"/>
        <w:suppressAutoHyphens/>
        <w:ind w:left="720" w:firstLine="720"/>
        <w:rPr>
          <w:rFonts w:ascii="Verdana" w:hAnsi="Verdana"/>
        </w:rPr>
      </w:pPr>
      <w:r w:rsidRPr="00D56B17">
        <w:rPr>
          <w:rFonts w:ascii="Verdana" w:hAnsi="Verdana"/>
        </w:rPr>
        <w:t xml:space="preserve">international consensus, does not specify the age at which criminal </w:t>
      </w:r>
    </w:p>
    <w:p w14:paraId="0F6FB6B5" w14:textId="77777777" w:rsidR="000B4097" w:rsidRPr="003B3634" w:rsidRDefault="00D56B17" w:rsidP="007607FD">
      <w:pPr>
        <w:pStyle w:val="BasicParagraph"/>
        <w:suppressAutoHyphens/>
        <w:ind w:left="720" w:firstLine="720"/>
        <w:rPr>
          <w:rFonts w:ascii="Verdana" w:hAnsi="Verdana"/>
        </w:rPr>
      </w:pPr>
      <w:r w:rsidRPr="003B3634">
        <w:rPr>
          <w:rFonts w:ascii="Verdana" w:hAnsi="Verdana"/>
        </w:rPr>
        <w:t xml:space="preserve">responsibility should be fixed but merely invites States not to </w:t>
      </w:r>
    </w:p>
    <w:p w14:paraId="63898BB0" w14:textId="77777777" w:rsidR="000B4097" w:rsidRPr="003B3634" w:rsidRDefault="00D56B17" w:rsidP="007607FD">
      <w:pPr>
        <w:pStyle w:val="BasicParagraph"/>
        <w:suppressAutoHyphens/>
        <w:ind w:left="720" w:firstLine="720"/>
        <w:rPr>
          <w:rFonts w:ascii="Verdana" w:hAnsi="Verdana"/>
        </w:rPr>
      </w:pPr>
      <w:r w:rsidRPr="003B3634">
        <w:rPr>
          <w:rFonts w:ascii="Verdana" w:hAnsi="Verdana"/>
        </w:rPr>
        <w:t xml:space="preserve">fix it too low, and Article 40(3)(a) of the UN Convention requires </w:t>
      </w:r>
    </w:p>
    <w:p w14:paraId="399127B3" w14:textId="77777777" w:rsidR="000B4097" w:rsidRDefault="00D56B17" w:rsidP="007607FD">
      <w:pPr>
        <w:pStyle w:val="BasicParagraph"/>
        <w:suppressAutoHyphens/>
        <w:ind w:left="720" w:firstLine="720"/>
        <w:rPr>
          <w:rFonts w:ascii="Verdana" w:hAnsi="Verdana"/>
        </w:rPr>
      </w:pPr>
      <w:r w:rsidRPr="003B3634">
        <w:rPr>
          <w:rFonts w:ascii="Verdana" w:hAnsi="Verdana"/>
        </w:rPr>
        <w:t>States Parties to establish</w:t>
      </w:r>
      <w:r w:rsidRPr="00D56B17">
        <w:rPr>
          <w:rFonts w:ascii="Verdana" w:hAnsi="Verdana"/>
        </w:rPr>
        <w:t xml:space="preserve"> a minimum age below which children shall </w:t>
      </w:r>
    </w:p>
    <w:p w14:paraId="45D7CAB7" w14:textId="07BBB1F2" w:rsidR="00D56B17" w:rsidRPr="0041505D" w:rsidRDefault="00D56B17" w:rsidP="007607FD">
      <w:pPr>
        <w:pStyle w:val="BasicParagraph"/>
        <w:suppressAutoHyphens/>
        <w:ind w:left="1440"/>
        <w:rPr>
          <w:rFonts w:ascii="Verdana" w:hAnsi="Verdana"/>
          <w:b/>
          <w:bCs/>
        </w:rPr>
      </w:pPr>
      <w:r w:rsidRPr="00D56B17">
        <w:rPr>
          <w:rFonts w:ascii="Verdana" w:hAnsi="Verdana"/>
        </w:rPr>
        <w:lastRenderedPageBreak/>
        <w:t xml:space="preserve">be presumed not to have the capacity to infringe the criminal </w:t>
      </w:r>
      <w:proofErr w:type="gramStart"/>
      <w:r w:rsidRPr="00D56B17">
        <w:rPr>
          <w:rFonts w:ascii="Verdana" w:hAnsi="Verdana"/>
        </w:rPr>
        <w:t>law,</w:t>
      </w:r>
      <w:r w:rsidR="0041505D">
        <w:rPr>
          <w:rFonts w:ascii="Verdana" w:hAnsi="Verdana"/>
        </w:rPr>
        <w:t xml:space="preserve"> </w:t>
      </w:r>
      <w:r w:rsidRPr="00D56B17">
        <w:rPr>
          <w:rFonts w:ascii="Verdana" w:hAnsi="Verdana"/>
        </w:rPr>
        <w:t>but</w:t>
      </w:r>
      <w:proofErr w:type="gramEnd"/>
      <w:r w:rsidRPr="00D56B17">
        <w:rPr>
          <w:rFonts w:ascii="Verdana" w:hAnsi="Verdana"/>
        </w:rPr>
        <w:t xml:space="preserve"> contains no provision as to what that age should be.</w:t>
      </w:r>
      <w:r>
        <w:rPr>
          <w:rStyle w:val="FootnoteReference"/>
          <w:rFonts w:ascii="Verdana" w:hAnsi="Verdana"/>
        </w:rPr>
        <w:footnoteReference w:id="60"/>
      </w:r>
    </w:p>
    <w:p w14:paraId="7D61228F" w14:textId="77777777" w:rsidR="004714B3" w:rsidRDefault="004714B3" w:rsidP="00D56B17">
      <w:pPr>
        <w:pStyle w:val="BasicParagraph"/>
        <w:suppressAutoHyphens/>
        <w:ind w:left="720" w:firstLine="720"/>
        <w:rPr>
          <w:rFonts w:ascii="Verdana" w:hAnsi="Verdana"/>
        </w:rPr>
      </w:pPr>
    </w:p>
    <w:p w14:paraId="376169BF" w14:textId="10381EA0" w:rsidR="006E6D3A" w:rsidRDefault="0062693B" w:rsidP="00B73093">
      <w:pPr>
        <w:pStyle w:val="BasicParagraph"/>
        <w:numPr>
          <w:ilvl w:val="1"/>
          <w:numId w:val="1"/>
        </w:numPr>
        <w:suppressAutoHyphens/>
        <w:ind w:left="709"/>
        <w:rPr>
          <w:rFonts w:ascii="Verdana" w:hAnsi="Verdana"/>
        </w:rPr>
      </w:pPr>
      <w:r>
        <w:rPr>
          <w:rFonts w:ascii="Verdana" w:hAnsi="Verdana"/>
        </w:rPr>
        <w:t xml:space="preserve">In </w:t>
      </w:r>
      <w:r w:rsidR="00665FD4">
        <w:rPr>
          <w:rFonts w:ascii="Verdana" w:hAnsi="Verdana"/>
        </w:rPr>
        <w:t>addition,</w:t>
      </w:r>
      <w:r>
        <w:rPr>
          <w:rFonts w:ascii="Verdana" w:hAnsi="Verdana"/>
        </w:rPr>
        <w:t xml:space="preserve"> the </w:t>
      </w:r>
      <w:r w:rsidR="00383D8A" w:rsidRPr="004C4B0F">
        <w:rPr>
          <w:rFonts w:ascii="Verdana" w:hAnsi="Verdana"/>
        </w:rPr>
        <w:t>ECtHR</w:t>
      </w:r>
      <w:r>
        <w:rPr>
          <w:rFonts w:ascii="Verdana" w:hAnsi="Verdana"/>
        </w:rPr>
        <w:t xml:space="preserve"> went on to state the following:</w:t>
      </w:r>
    </w:p>
    <w:p w14:paraId="51C7B9C1" w14:textId="77777777" w:rsidR="00295518" w:rsidRDefault="00295518" w:rsidP="00295518">
      <w:pPr>
        <w:pStyle w:val="BasicParagraph"/>
        <w:suppressAutoHyphens/>
        <w:ind w:left="709"/>
        <w:rPr>
          <w:rFonts w:ascii="Verdana" w:hAnsi="Verdana"/>
        </w:rPr>
      </w:pPr>
    </w:p>
    <w:p w14:paraId="189066B4" w14:textId="77777777" w:rsidR="00295518" w:rsidRPr="00295518" w:rsidRDefault="00295518" w:rsidP="00295518">
      <w:pPr>
        <w:pStyle w:val="BasicParagraph"/>
        <w:suppressAutoHyphens/>
        <w:ind w:left="720" w:firstLine="720"/>
        <w:rPr>
          <w:rFonts w:ascii="Verdana" w:hAnsi="Verdana"/>
        </w:rPr>
      </w:pPr>
      <w:r w:rsidRPr="00295518">
        <w:rPr>
          <w:rFonts w:ascii="Verdana" w:hAnsi="Verdana"/>
        </w:rPr>
        <w:t xml:space="preserve">The Court does not consider that there is at this stage any clear </w:t>
      </w:r>
    </w:p>
    <w:p w14:paraId="76C0D311" w14:textId="77777777" w:rsidR="00295518" w:rsidRPr="00295518" w:rsidRDefault="00295518" w:rsidP="00295518">
      <w:pPr>
        <w:pStyle w:val="BasicParagraph"/>
        <w:suppressAutoHyphens/>
        <w:ind w:left="720" w:firstLine="720"/>
        <w:rPr>
          <w:rFonts w:ascii="Verdana" w:hAnsi="Verdana"/>
        </w:rPr>
      </w:pPr>
      <w:r w:rsidRPr="00295518">
        <w:rPr>
          <w:rFonts w:ascii="Verdana" w:hAnsi="Verdana"/>
        </w:rPr>
        <w:t xml:space="preserve">common standard amongst the member States of the Council of </w:t>
      </w:r>
    </w:p>
    <w:p w14:paraId="5E6E1E8C" w14:textId="77777777" w:rsidR="00295518" w:rsidRPr="00295518" w:rsidRDefault="00295518" w:rsidP="00295518">
      <w:pPr>
        <w:pStyle w:val="BasicParagraph"/>
        <w:suppressAutoHyphens/>
        <w:ind w:left="720" w:firstLine="720"/>
        <w:rPr>
          <w:rFonts w:ascii="Verdana" w:hAnsi="Verdana"/>
        </w:rPr>
      </w:pPr>
      <w:r w:rsidRPr="00295518">
        <w:rPr>
          <w:rFonts w:ascii="Verdana" w:hAnsi="Verdana"/>
        </w:rPr>
        <w:t>Europe as to the minimum age of criminal responsibility. Even if</w:t>
      </w:r>
    </w:p>
    <w:p w14:paraId="4196C5F0" w14:textId="77777777" w:rsidR="00295518" w:rsidRPr="00295518" w:rsidRDefault="00295518" w:rsidP="00295518">
      <w:pPr>
        <w:pStyle w:val="BasicParagraph"/>
        <w:suppressAutoHyphens/>
        <w:ind w:left="720" w:firstLine="720"/>
        <w:rPr>
          <w:rFonts w:ascii="Verdana" w:hAnsi="Verdana"/>
        </w:rPr>
      </w:pPr>
      <w:r w:rsidRPr="00295518">
        <w:rPr>
          <w:rFonts w:ascii="Verdana" w:hAnsi="Verdana"/>
        </w:rPr>
        <w:t xml:space="preserve">England and Wales </w:t>
      </w:r>
      <w:proofErr w:type="gramStart"/>
      <w:r w:rsidRPr="00295518">
        <w:rPr>
          <w:rFonts w:ascii="Verdana" w:hAnsi="Verdana"/>
        </w:rPr>
        <w:t>is</w:t>
      </w:r>
      <w:proofErr w:type="gramEnd"/>
      <w:r w:rsidRPr="00295518">
        <w:rPr>
          <w:rFonts w:ascii="Verdana" w:hAnsi="Verdana"/>
        </w:rPr>
        <w:t xml:space="preserve"> among the few European jurisdictions to retain</w:t>
      </w:r>
    </w:p>
    <w:p w14:paraId="358F3007" w14:textId="5034634D" w:rsidR="00EC7762" w:rsidRDefault="00295518" w:rsidP="00295518">
      <w:pPr>
        <w:pStyle w:val="BasicParagraph"/>
        <w:suppressAutoHyphens/>
        <w:ind w:left="1440"/>
        <w:rPr>
          <w:rFonts w:ascii="Verdana" w:hAnsi="Verdana"/>
        </w:rPr>
      </w:pPr>
      <w:r w:rsidRPr="00295518">
        <w:rPr>
          <w:rFonts w:ascii="Verdana" w:hAnsi="Verdana"/>
        </w:rPr>
        <w:t xml:space="preserve">a low age of criminal responsibility, the age of ten cannot be said to be so young as to differ disproportionately from the age-limit followed by other European States. The Court concludes that the attribution of criminal responsibility to the applicant does not in itself give rise to a breach of Article 3 of the Convention.  </w:t>
      </w:r>
    </w:p>
    <w:p w14:paraId="60067186" w14:textId="77777777" w:rsidR="00295518" w:rsidRDefault="00295518" w:rsidP="00295518">
      <w:pPr>
        <w:pStyle w:val="BasicParagraph"/>
        <w:suppressAutoHyphens/>
        <w:ind w:left="1440"/>
        <w:rPr>
          <w:rFonts w:ascii="Verdana" w:hAnsi="Verdana"/>
        </w:rPr>
      </w:pPr>
    </w:p>
    <w:p w14:paraId="46B5117F" w14:textId="507A9996" w:rsidR="00DF2B29" w:rsidRDefault="00194F31" w:rsidP="00DF2B29">
      <w:pPr>
        <w:pStyle w:val="BasicParagraph"/>
        <w:numPr>
          <w:ilvl w:val="1"/>
          <w:numId w:val="1"/>
        </w:numPr>
        <w:suppressAutoHyphens/>
        <w:rPr>
          <w:rFonts w:ascii="Verdana" w:hAnsi="Verdana"/>
        </w:rPr>
      </w:pPr>
      <w:r>
        <w:rPr>
          <w:rFonts w:ascii="Verdana" w:hAnsi="Verdana"/>
        </w:rPr>
        <w:t xml:space="preserve">In essence the </w:t>
      </w:r>
      <w:r w:rsidR="00383D8A" w:rsidRPr="004C4B0F">
        <w:rPr>
          <w:rFonts w:ascii="Verdana" w:hAnsi="Verdana"/>
        </w:rPr>
        <w:t>ECtHR</w:t>
      </w:r>
      <w:r w:rsidR="00383D8A">
        <w:rPr>
          <w:rFonts w:ascii="Verdana" w:hAnsi="Verdana"/>
        </w:rPr>
        <w:t xml:space="preserve"> </w:t>
      </w:r>
      <w:r w:rsidR="005F7B4F">
        <w:rPr>
          <w:rFonts w:ascii="Verdana" w:hAnsi="Verdana"/>
        </w:rPr>
        <w:t>recognis</w:t>
      </w:r>
      <w:r w:rsidR="001F13D2">
        <w:rPr>
          <w:rFonts w:ascii="Verdana" w:hAnsi="Verdana"/>
        </w:rPr>
        <w:t>e</w:t>
      </w:r>
      <w:r w:rsidR="00580623">
        <w:rPr>
          <w:rFonts w:ascii="Verdana" w:hAnsi="Verdana"/>
        </w:rPr>
        <w:t>d</w:t>
      </w:r>
      <w:r w:rsidR="005F7B4F">
        <w:rPr>
          <w:rFonts w:ascii="Verdana" w:hAnsi="Verdana"/>
        </w:rPr>
        <w:t xml:space="preserve"> </w:t>
      </w:r>
      <w:r>
        <w:rPr>
          <w:rFonts w:ascii="Verdana" w:hAnsi="Verdana"/>
        </w:rPr>
        <w:t xml:space="preserve">that States have a </w:t>
      </w:r>
      <w:r w:rsidR="008329BD">
        <w:rPr>
          <w:rFonts w:ascii="Verdana" w:hAnsi="Verdana"/>
        </w:rPr>
        <w:t>margin of appreciation w</w:t>
      </w:r>
      <w:r w:rsidR="000240A9">
        <w:rPr>
          <w:rFonts w:ascii="Verdana" w:hAnsi="Verdana"/>
        </w:rPr>
        <w:t xml:space="preserve">hen determining the </w:t>
      </w:r>
      <w:r w:rsidR="00847206">
        <w:rPr>
          <w:rFonts w:ascii="Verdana" w:hAnsi="Verdana"/>
        </w:rPr>
        <w:t>age of criminal responsibility.</w:t>
      </w:r>
      <w:r w:rsidR="008329BD">
        <w:rPr>
          <w:rFonts w:ascii="Verdana" w:hAnsi="Verdana"/>
        </w:rPr>
        <w:t xml:space="preserve"> </w:t>
      </w:r>
      <w:r w:rsidR="00295518">
        <w:rPr>
          <w:rFonts w:ascii="Verdana" w:hAnsi="Verdana"/>
        </w:rPr>
        <w:t>Whil</w:t>
      </w:r>
      <w:r w:rsidR="000240A9">
        <w:rPr>
          <w:rFonts w:ascii="Verdana" w:hAnsi="Verdana"/>
        </w:rPr>
        <w:t>e</w:t>
      </w:r>
      <w:r w:rsidR="00295518">
        <w:rPr>
          <w:rFonts w:ascii="Verdana" w:hAnsi="Verdana"/>
        </w:rPr>
        <w:t xml:space="preserve"> this </w:t>
      </w:r>
      <w:r w:rsidR="000240A9">
        <w:rPr>
          <w:rFonts w:ascii="Verdana" w:hAnsi="Verdana"/>
        </w:rPr>
        <w:t xml:space="preserve">case </w:t>
      </w:r>
      <w:r w:rsidR="00295518">
        <w:rPr>
          <w:rFonts w:ascii="Verdana" w:hAnsi="Verdana"/>
        </w:rPr>
        <w:t>is</w:t>
      </w:r>
      <w:r w:rsidR="000240A9">
        <w:rPr>
          <w:rFonts w:ascii="Verdana" w:hAnsi="Verdana"/>
        </w:rPr>
        <w:t xml:space="preserve"> an important reference point, it should be noted that</w:t>
      </w:r>
      <w:r w:rsidR="00D345C4">
        <w:rPr>
          <w:rFonts w:ascii="Verdana" w:hAnsi="Verdana"/>
        </w:rPr>
        <w:t xml:space="preserve">, since </w:t>
      </w:r>
      <w:r w:rsidR="003515D9">
        <w:rPr>
          <w:rFonts w:ascii="Verdana" w:hAnsi="Verdana"/>
        </w:rPr>
        <w:t>1999,</w:t>
      </w:r>
      <w:r w:rsidR="0011561F">
        <w:rPr>
          <w:rFonts w:ascii="Verdana" w:hAnsi="Verdana"/>
        </w:rPr>
        <w:t xml:space="preserve"> </w:t>
      </w:r>
      <w:r w:rsidR="003515D9">
        <w:rPr>
          <w:rFonts w:ascii="Verdana" w:hAnsi="Verdana"/>
        </w:rPr>
        <w:t>Europe</w:t>
      </w:r>
      <w:r w:rsidR="00D345C4">
        <w:rPr>
          <w:rFonts w:ascii="Verdana" w:hAnsi="Verdana"/>
        </w:rPr>
        <w:t>an</w:t>
      </w:r>
      <w:r w:rsidR="0011561F">
        <w:rPr>
          <w:rFonts w:ascii="Verdana" w:hAnsi="Verdana"/>
        </w:rPr>
        <w:t xml:space="preserve"> </w:t>
      </w:r>
      <w:r w:rsidR="001D057F">
        <w:rPr>
          <w:rFonts w:ascii="Verdana" w:hAnsi="Verdana"/>
        </w:rPr>
        <w:t>States</w:t>
      </w:r>
      <w:r w:rsidR="0011561F">
        <w:rPr>
          <w:rFonts w:ascii="Verdana" w:hAnsi="Verdana"/>
        </w:rPr>
        <w:t xml:space="preserve"> have generally </w:t>
      </w:r>
      <w:r w:rsidR="003515D9">
        <w:rPr>
          <w:rFonts w:ascii="Verdana" w:hAnsi="Verdana"/>
        </w:rPr>
        <w:t xml:space="preserve">set </w:t>
      </w:r>
      <w:r w:rsidR="00D76B83">
        <w:rPr>
          <w:rFonts w:ascii="Verdana" w:hAnsi="Verdana"/>
        </w:rPr>
        <w:t>ages of criminal</w:t>
      </w:r>
      <w:r w:rsidR="004465CE">
        <w:rPr>
          <w:rFonts w:ascii="Verdana" w:hAnsi="Verdana"/>
        </w:rPr>
        <w:t xml:space="preserve"> responsibility </w:t>
      </w:r>
      <w:r w:rsidR="00C01484">
        <w:rPr>
          <w:rFonts w:ascii="Verdana" w:hAnsi="Verdana"/>
        </w:rPr>
        <w:t xml:space="preserve">above 10 years. </w:t>
      </w:r>
    </w:p>
    <w:p w14:paraId="5C8852FB" w14:textId="77777777" w:rsidR="00DF2B29" w:rsidRPr="00DF2B29" w:rsidRDefault="00DF2B29" w:rsidP="009C7515">
      <w:pPr>
        <w:pStyle w:val="BasicParagraph"/>
        <w:suppressAutoHyphens/>
        <w:rPr>
          <w:rFonts w:ascii="Verdana" w:hAnsi="Verdana"/>
        </w:rPr>
      </w:pPr>
    </w:p>
    <w:p w14:paraId="671027A2" w14:textId="3F1C50B4" w:rsidR="005D151C" w:rsidRDefault="005D151C" w:rsidP="005D151C">
      <w:pPr>
        <w:pStyle w:val="BasicParagraph"/>
        <w:numPr>
          <w:ilvl w:val="1"/>
          <w:numId w:val="1"/>
        </w:numPr>
        <w:suppressAutoHyphens/>
        <w:rPr>
          <w:rFonts w:ascii="Verdana" w:hAnsi="Verdana"/>
        </w:rPr>
      </w:pPr>
      <w:r>
        <w:rPr>
          <w:rFonts w:ascii="Verdana" w:hAnsi="Verdana"/>
        </w:rPr>
        <w:t>This concept of</w:t>
      </w:r>
      <w:r w:rsidRPr="00597C7A">
        <w:rPr>
          <w:rFonts w:ascii="Verdana" w:hAnsi="Verdana"/>
        </w:rPr>
        <w:t xml:space="preserve"> </w:t>
      </w:r>
      <w:r w:rsidR="007E2A12">
        <w:rPr>
          <w:rFonts w:ascii="Verdana" w:hAnsi="Verdana"/>
        </w:rPr>
        <w:t>‘</w:t>
      </w:r>
      <w:r w:rsidRPr="00597C7A">
        <w:rPr>
          <w:rFonts w:ascii="Verdana" w:hAnsi="Verdana"/>
        </w:rPr>
        <w:t>margin of appreciation</w:t>
      </w:r>
      <w:r w:rsidR="007E2A12">
        <w:rPr>
          <w:rFonts w:ascii="Verdana" w:hAnsi="Verdana"/>
        </w:rPr>
        <w:t xml:space="preserve">’ </w:t>
      </w:r>
      <w:r w:rsidRPr="00597C7A">
        <w:rPr>
          <w:rFonts w:ascii="Verdana" w:hAnsi="Verdana"/>
        </w:rPr>
        <w:t xml:space="preserve">of the </w:t>
      </w:r>
      <w:r>
        <w:rPr>
          <w:rFonts w:ascii="Verdana" w:hAnsi="Verdana"/>
        </w:rPr>
        <w:t>S</w:t>
      </w:r>
      <w:r w:rsidRPr="00597C7A">
        <w:rPr>
          <w:rFonts w:ascii="Verdana" w:hAnsi="Verdana"/>
        </w:rPr>
        <w:t>tate</w:t>
      </w:r>
      <w:r>
        <w:rPr>
          <w:rFonts w:ascii="Verdana" w:hAnsi="Verdana"/>
        </w:rPr>
        <w:t xml:space="preserve">s </w:t>
      </w:r>
      <w:r w:rsidRPr="00597C7A">
        <w:rPr>
          <w:rFonts w:ascii="Verdana" w:hAnsi="Verdana"/>
        </w:rPr>
        <w:t xml:space="preserve">refers to the operating space which the national authorities enjoy in fulfilling their obligations under the </w:t>
      </w:r>
      <w:r>
        <w:rPr>
          <w:rFonts w:ascii="Verdana" w:hAnsi="Verdana"/>
        </w:rPr>
        <w:t>ECHR</w:t>
      </w:r>
      <w:r w:rsidRPr="00345B03">
        <w:rPr>
          <w:rFonts w:ascii="Verdana" w:hAnsi="Verdana"/>
        </w:rPr>
        <w:t>.</w:t>
      </w:r>
      <w:r w:rsidR="00F354BB" w:rsidRPr="00345B03">
        <w:rPr>
          <w:rStyle w:val="FootnoteReference"/>
          <w:rFonts w:ascii="Verdana" w:hAnsi="Verdana"/>
        </w:rPr>
        <w:footnoteReference w:id="61"/>
      </w:r>
      <w:r w:rsidRPr="00345B03">
        <w:rPr>
          <w:rFonts w:ascii="Verdana" w:hAnsi="Verdana"/>
        </w:rPr>
        <w:t xml:space="preserve"> </w:t>
      </w:r>
    </w:p>
    <w:p w14:paraId="6F3484A4" w14:textId="77777777" w:rsidR="00F354BB" w:rsidRDefault="00F354BB" w:rsidP="00F354BB">
      <w:pPr>
        <w:pStyle w:val="BasicParagraph"/>
        <w:suppressAutoHyphens/>
        <w:rPr>
          <w:rFonts w:ascii="Verdana" w:hAnsi="Verdana"/>
        </w:rPr>
      </w:pPr>
    </w:p>
    <w:p w14:paraId="2B6CFF18" w14:textId="52497DDD" w:rsidR="00DF2B29" w:rsidRPr="00CE377E" w:rsidRDefault="00F354BB" w:rsidP="00CE377E">
      <w:pPr>
        <w:pStyle w:val="BasicParagraph"/>
        <w:numPr>
          <w:ilvl w:val="1"/>
          <w:numId w:val="1"/>
        </w:numPr>
        <w:suppressAutoHyphens/>
        <w:rPr>
          <w:rFonts w:ascii="Verdana" w:hAnsi="Verdana"/>
        </w:rPr>
      </w:pPr>
      <w:r>
        <w:rPr>
          <w:rFonts w:ascii="Verdana" w:hAnsi="Verdana"/>
        </w:rPr>
        <w:t xml:space="preserve">Closely related to </w:t>
      </w:r>
      <w:r w:rsidR="007E2A12">
        <w:rPr>
          <w:rFonts w:ascii="Verdana" w:hAnsi="Verdana"/>
        </w:rPr>
        <w:t xml:space="preserve">this concept </w:t>
      </w:r>
      <w:r>
        <w:rPr>
          <w:rFonts w:ascii="Verdana" w:hAnsi="Verdana"/>
        </w:rPr>
        <w:t xml:space="preserve">is </w:t>
      </w:r>
      <w:r w:rsidR="005233A1">
        <w:rPr>
          <w:rFonts w:ascii="Verdana" w:hAnsi="Verdana"/>
        </w:rPr>
        <w:t xml:space="preserve">the concept of </w:t>
      </w:r>
      <w:r w:rsidR="00D26F2D">
        <w:rPr>
          <w:rFonts w:ascii="Verdana" w:hAnsi="Verdana"/>
        </w:rPr>
        <w:t>‘</w:t>
      </w:r>
      <w:r w:rsidR="005233A1">
        <w:rPr>
          <w:rFonts w:ascii="Verdana" w:hAnsi="Verdana"/>
        </w:rPr>
        <w:t>European consensus</w:t>
      </w:r>
      <w:r w:rsidR="00D26F2D">
        <w:rPr>
          <w:rFonts w:ascii="Verdana" w:hAnsi="Verdana"/>
        </w:rPr>
        <w:t xml:space="preserve">’, </w:t>
      </w:r>
      <w:r w:rsidR="00CD3931">
        <w:rPr>
          <w:rFonts w:ascii="Verdana" w:hAnsi="Verdana"/>
        </w:rPr>
        <w:t xml:space="preserve">which </w:t>
      </w:r>
      <w:r w:rsidR="00D26F2D" w:rsidRPr="002A4EB5">
        <w:rPr>
          <w:rFonts w:ascii="Verdana" w:hAnsi="Verdana"/>
        </w:rPr>
        <w:t xml:space="preserve">refers to the level of uniformity present in the legal frameworks of the member States of the </w:t>
      </w:r>
      <w:proofErr w:type="spellStart"/>
      <w:r w:rsidR="00D26F2D" w:rsidRPr="002A4EB5">
        <w:rPr>
          <w:rFonts w:ascii="Verdana" w:hAnsi="Verdana"/>
        </w:rPr>
        <w:t>C</w:t>
      </w:r>
      <w:r w:rsidR="001B63DD">
        <w:rPr>
          <w:rFonts w:ascii="Verdana" w:hAnsi="Verdana"/>
        </w:rPr>
        <w:t>oE</w:t>
      </w:r>
      <w:proofErr w:type="spellEnd"/>
      <w:r w:rsidR="00D26F2D" w:rsidRPr="002A4EB5">
        <w:rPr>
          <w:rFonts w:ascii="Verdana" w:hAnsi="Verdana"/>
        </w:rPr>
        <w:t xml:space="preserve"> on a particular topic</w:t>
      </w:r>
      <w:r w:rsidR="00D26F2D">
        <w:rPr>
          <w:rFonts w:ascii="Verdana" w:hAnsi="Verdana"/>
        </w:rPr>
        <w:t>.</w:t>
      </w:r>
      <w:r w:rsidR="00D26F2D">
        <w:rPr>
          <w:rStyle w:val="FootnoteReference"/>
          <w:rFonts w:ascii="Verdana" w:hAnsi="Verdana"/>
        </w:rPr>
        <w:footnoteReference w:id="62"/>
      </w:r>
      <w:r w:rsidR="00D26F2D" w:rsidRPr="00194F31">
        <w:rPr>
          <w:rFonts w:ascii="Open Sans" w:hAnsi="Open Sans" w:cs="Open Sans"/>
          <w:color w:val="161616"/>
          <w:sz w:val="23"/>
          <w:szCs w:val="23"/>
          <w:shd w:val="clear" w:color="auto" w:fill="FFFFFF"/>
        </w:rPr>
        <w:t xml:space="preserve"> </w:t>
      </w:r>
      <w:r w:rsidR="005233A1">
        <w:rPr>
          <w:rFonts w:ascii="Verdana" w:hAnsi="Verdana"/>
        </w:rPr>
        <w:t xml:space="preserve">This </w:t>
      </w:r>
      <w:r w:rsidR="00DF2B29" w:rsidRPr="00CE377E">
        <w:rPr>
          <w:rFonts w:ascii="Verdana" w:hAnsi="Verdana"/>
        </w:rPr>
        <w:t>concept</w:t>
      </w:r>
      <w:r w:rsidR="005233A1">
        <w:rPr>
          <w:rFonts w:ascii="Verdana" w:hAnsi="Verdana"/>
        </w:rPr>
        <w:t xml:space="preserve"> is</w:t>
      </w:r>
      <w:r w:rsidR="00DF2B29" w:rsidRPr="00CE377E">
        <w:rPr>
          <w:rFonts w:ascii="Verdana" w:hAnsi="Verdana"/>
        </w:rPr>
        <w:t xml:space="preserve"> used by the</w:t>
      </w:r>
      <w:r w:rsidR="005233A1">
        <w:rPr>
          <w:rFonts w:ascii="Verdana" w:hAnsi="Verdana"/>
        </w:rPr>
        <w:t xml:space="preserve"> </w:t>
      </w:r>
      <w:r w:rsidR="005233A1" w:rsidRPr="004C4B0F">
        <w:rPr>
          <w:rFonts w:ascii="Verdana" w:hAnsi="Verdana"/>
        </w:rPr>
        <w:t>ECtHR</w:t>
      </w:r>
      <w:r w:rsidR="00DF2B29" w:rsidRPr="00CE377E">
        <w:rPr>
          <w:rFonts w:ascii="Verdana" w:hAnsi="Verdana"/>
        </w:rPr>
        <w:t xml:space="preserve"> stemming from the evolving nature of the interpretation of the E</w:t>
      </w:r>
      <w:r w:rsidR="00547742">
        <w:rPr>
          <w:rFonts w:ascii="Verdana" w:hAnsi="Verdana"/>
        </w:rPr>
        <w:t>CHR</w:t>
      </w:r>
      <w:r w:rsidR="00DF2B29" w:rsidRPr="00CE377E">
        <w:rPr>
          <w:rFonts w:ascii="Verdana" w:hAnsi="Verdana"/>
        </w:rPr>
        <w:t>.</w:t>
      </w:r>
      <w:r w:rsidR="00924A57">
        <w:rPr>
          <w:rStyle w:val="FootnoteReference"/>
          <w:rFonts w:ascii="Verdana" w:hAnsi="Verdana"/>
        </w:rPr>
        <w:footnoteReference w:id="63"/>
      </w:r>
      <w:r w:rsidR="00DF2B29" w:rsidRPr="00CE377E">
        <w:rPr>
          <w:rFonts w:ascii="Verdana" w:hAnsi="Verdana"/>
        </w:rPr>
        <w:t xml:space="preserve"> As repeatedly stated by the </w:t>
      </w:r>
      <w:r w:rsidR="00547742" w:rsidRPr="004C4B0F">
        <w:rPr>
          <w:rFonts w:ascii="Verdana" w:hAnsi="Verdana"/>
        </w:rPr>
        <w:t>ECtHR</w:t>
      </w:r>
      <w:r w:rsidR="00DF2B29" w:rsidRPr="00CE377E">
        <w:rPr>
          <w:rFonts w:ascii="Verdana" w:hAnsi="Verdana"/>
        </w:rPr>
        <w:t xml:space="preserve">, the </w:t>
      </w:r>
      <w:r w:rsidR="00547742">
        <w:rPr>
          <w:rFonts w:ascii="Verdana" w:hAnsi="Verdana"/>
        </w:rPr>
        <w:t>ECHR</w:t>
      </w:r>
      <w:r w:rsidR="00DF2B29" w:rsidRPr="00CE377E">
        <w:rPr>
          <w:rFonts w:ascii="Verdana" w:hAnsi="Verdana"/>
        </w:rPr>
        <w:t xml:space="preserve"> is a living instrument</w:t>
      </w:r>
      <w:r w:rsidR="00B60091" w:rsidRPr="00CE377E">
        <w:rPr>
          <w:rFonts w:ascii="Verdana" w:hAnsi="Verdana"/>
        </w:rPr>
        <w:t xml:space="preserve"> which mu</w:t>
      </w:r>
      <w:r w:rsidR="00896193" w:rsidRPr="00CE377E">
        <w:rPr>
          <w:rFonts w:ascii="Verdana" w:hAnsi="Verdana"/>
        </w:rPr>
        <w:t>st be interpreted in the light of present-day conditions.</w:t>
      </w:r>
      <w:r w:rsidR="00E63FA2">
        <w:rPr>
          <w:rStyle w:val="FootnoteReference"/>
          <w:rFonts w:ascii="Verdana" w:hAnsi="Verdana"/>
        </w:rPr>
        <w:footnoteReference w:id="64"/>
      </w:r>
    </w:p>
    <w:p w14:paraId="701EB6A0" w14:textId="77777777" w:rsidR="002A4EB5" w:rsidRDefault="002A4EB5" w:rsidP="002A4EB5">
      <w:pPr>
        <w:pStyle w:val="ListParagraph"/>
      </w:pPr>
    </w:p>
    <w:p w14:paraId="0F82F9EA" w14:textId="7494C599" w:rsidR="00DF2B29" w:rsidRDefault="00194F31" w:rsidP="002A4EB5">
      <w:pPr>
        <w:pStyle w:val="BasicParagraph"/>
        <w:numPr>
          <w:ilvl w:val="1"/>
          <w:numId w:val="1"/>
        </w:numPr>
        <w:suppressAutoHyphens/>
        <w:rPr>
          <w:rFonts w:ascii="Verdana" w:hAnsi="Verdana"/>
        </w:rPr>
      </w:pPr>
      <w:r w:rsidRPr="00194F31">
        <w:rPr>
          <w:rFonts w:ascii="Verdana" w:hAnsi="Verdana"/>
        </w:rPr>
        <w:t xml:space="preserve">The </w:t>
      </w:r>
      <w:r w:rsidR="00E367C4" w:rsidRPr="004C4B0F">
        <w:rPr>
          <w:rFonts w:ascii="Verdana" w:hAnsi="Verdana"/>
        </w:rPr>
        <w:t>ECtHR</w:t>
      </w:r>
      <w:r w:rsidR="00885866">
        <w:rPr>
          <w:rFonts w:ascii="Verdana" w:hAnsi="Verdana"/>
        </w:rPr>
        <w:t>, “</w:t>
      </w:r>
      <w:r w:rsidRPr="00194F31">
        <w:rPr>
          <w:rFonts w:ascii="Verdana" w:hAnsi="Verdana"/>
        </w:rPr>
        <w:t xml:space="preserve">uses this principle both to justify a wide margin of </w:t>
      </w:r>
      <w:r w:rsidRPr="00194F31">
        <w:rPr>
          <w:rFonts w:ascii="Verdana" w:hAnsi="Verdana"/>
        </w:rPr>
        <w:lastRenderedPageBreak/>
        <w:t>appreciation given to the Member States in the absence of consensus, thus stagnating the development of case law, and to impose new standards, where there is a clear trend in most Member States, thus advancing the interpretation of the Conventio</w:t>
      </w:r>
      <w:r w:rsidR="00885866">
        <w:rPr>
          <w:rFonts w:ascii="Verdana" w:hAnsi="Verdana"/>
        </w:rPr>
        <w:t>n.”</w:t>
      </w:r>
      <w:r w:rsidR="00CB3F93">
        <w:rPr>
          <w:rStyle w:val="FootnoteReference"/>
          <w:rFonts w:ascii="Verdana" w:hAnsi="Verdana"/>
        </w:rPr>
        <w:footnoteReference w:id="65"/>
      </w:r>
      <w:r w:rsidR="00423034">
        <w:rPr>
          <w:rFonts w:ascii="Verdana" w:hAnsi="Verdana"/>
        </w:rPr>
        <w:t xml:space="preserve"> </w:t>
      </w:r>
    </w:p>
    <w:p w14:paraId="0A4FEC71" w14:textId="77777777" w:rsidR="00597C7A" w:rsidRDefault="00597C7A" w:rsidP="00EB410B"/>
    <w:p w14:paraId="181E97E0" w14:textId="0E3A497F" w:rsidR="00C2321E" w:rsidRPr="0018669E" w:rsidRDefault="00C2321E" w:rsidP="00EB410B">
      <w:pPr>
        <w:pStyle w:val="BasicParagraph"/>
        <w:numPr>
          <w:ilvl w:val="1"/>
          <w:numId w:val="1"/>
        </w:numPr>
        <w:suppressAutoHyphens/>
        <w:rPr>
          <w:rFonts w:ascii="Verdana" w:hAnsi="Verdana"/>
        </w:rPr>
      </w:pPr>
      <w:r w:rsidRPr="0018669E">
        <w:rPr>
          <w:rFonts w:ascii="Verdana" w:hAnsi="Verdana"/>
        </w:rPr>
        <w:t xml:space="preserve">The </w:t>
      </w:r>
      <w:r w:rsidR="00C87478" w:rsidRPr="0018669E">
        <w:rPr>
          <w:rFonts w:ascii="Verdana" w:hAnsi="Verdana"/>
        </w:rPr>
        <w:t>ECtHR</w:t>
      </w:r>
      <w:r w:rsidRPr="0018669E">
        <w:rPr>
          <w:rFonts w:ascii="Verdana" w:hAnsi="Verdana"/>
        </w:rPr>
        <w:t xml:space="preserve"> determines whether there is a “European consensus” by examining developments and trends across States on the issue in question.</w:t>
      </w:r>
      <w:r w:rsidR="0043499C" w:rsidRPr="0018669E">
        <w:rPr>
          <w:rStyle w:val="FootnoteReference"/>
          <w:rFonts w:ascii="Verdana" w:hAnsi="Verdana"/>
        </w:rPr>
        <w:footnoteReference w:id="66"/>
      </w:r>
      <w:r w:rsidRPr="0018669E">
        <w:rPr>
          <w:rFonts w:ascii="Verdana" w:hAnsi="Verdana"/>
        </w:rPr>
        <w:t xml:space="preserve"> Where there is no uniform approach at the European level, States are granted a wide margin of appreciation, allowing them greater discretion in regulating the matter.</w:t>
      </w:r>
      <w:r w:rsidR="00595D16" w:rsidRPr="0018669E">
        <w:rPr>
          <w:rStyle w:val="FootnoteReference"/>
          <w:rFonts w:ascii="Verdana" w:hAnsi="Verdana"/>
        </w:rPr>
        <w:footnoteReference w:id="67"/>
      </w:r>
      <w:r w:rsidR="007B4BF2" w:rsidRPr="0018669E">
        <w:rPr>
          <w:rFonts w:ascii="Verdana" w:hAnsi="Verdana"/>
        </w:rPr>
        <w:t xml:space="preserve"> </w:t>
      </w:r>
      <w:r w:rsidRPr="0018669E">
        <w:rPr>
          <w:rFonts w:ascii="Verdana" w:hAnsi="Verdana"/>
        </w:rPr>
        <w:t>However, if some degree of consensus is identified, this may justify narrowing that margin.</w:t>
      </w:r>
      <w:r w:rsidR="00D6270F" w:rsidRPr="0018669E">
        <w:rPr>
          <w:rStyle w:val="FootnoteReference"/>
          <w:rFonts w:ascii="Verdana" w:hAnsi="Verdana"/>
        </w:rPr>
        <w:footnoteReference w:id="68"/>
      </w:r>
      <w:r w:rsidRPr="0018669E">
        <w:rPr>
          <w:rFonts w:ascii="Verdana" w:hAnsi="Verdana"/>
        </w:rPr>
        <w:t xml:space="preserve"> Where a clear and strong consensus exists, any State that departs from the prevailing approach must provide particularly strong and well-reasoned justification for doing so.</w:t>
      </w:r>
      <w:r w:rsidR="002D3D72">
        <w:rPr>
          <w:rStyle w:val="FootnoteReference"/>
          <w:rFonts w:ascii="Verdana" w:hAnsi="Verdana"/>
        </w:rPr>
        <w:footnoteReference w:id="69"/>
      </w:r>
      <w:r w:rsidR="007E2A12" w:rsidRPr="0018669E">
        <w:rPr>
          <w:rFonts w:ascii="Verdana" w:hAnsi="Verdana"/>
        </w:rPr>
        <w:t xml:space="preserve"> </w:t>
      </w:r>
    </w:p>
    <w:p w14:paraId="68B53AE6" w14:textId="77777777" w:rsidR="00C2321E" w:rsidRDefault="00C2321E" w:rsidP="00C2321E">
      <w:pPr>
        <w:pStyle w:val="ListParagraph"/>
      </w:pPr>
    </w:p>
    <w:p w14:paraId="2EBA3058" w14:textId="263AF46D" w:rsidR="00DF2B29" w:rsidRPr="00DF2B29" w:rsidRDefault="005B2974" w:rsidP="00DF2B29">
      <w:pPr>
        <w:pStyle w:val="BasicParagraph"/>
        <w:numPr>
          <w:ilvl w:val="1"/>
          <w:numId w:val="1"/>
        </w:numPr>
        <w:suppressAutoHyphens/>
        <w:rPr>
          <w:rFonts w:ascii="Verdana" w:hAnsi="Verdana"/>
        </w:rPr>
      </w:pPr>
      <w:r>
        <w:rPr>
          <w:rFonts w:ascii="Verdana" w:hAnsi="Verdana"/>
        </w:rPr>
        <w:t>Therefore,</w:t>
      </w:r>
      <w:r w:rsidR="007E2A12">
        <w:rPr>
          <w:rFonts w:ascii="Verdana" w:hAnsi="Verdana"/>
        </w:rPr>
        <w:t xml:space="preserve"> in</w:t>
      </w:r>
      <w:r w:rsidR="007E2A12" w:rsidRPr="00CE377E">
        <w:rPr>
          <w:rFonts w:ascii="Verdana" w:hAnsi="Verdana"/>
        </w:rPr>
        <w:t xml:space="preserve"> </w:t>
      </w:r>
      <w:r w:rsidR="007F43B2">
        <w:rPr>
          <w:rFonts w:ascii="Verdana" w:hAnsi="Verdana"/>
        </w:rPr>
        <w:t>determining</w:t>
      </w:r>
      <w:r w:rsidR="007E2A12" w:rsidRPr="00CE377E">
        <w:rPr>
          <w:rFonts w:ascii="Verdana" w:hAnsi="Verdana"/>
        </w:rPr>
        <w:t xml:space="preserve"> the minimum age of criminal responsibility, </w:t>
      </w:r>
      <w:r w:rsidR="007E2A12">
        <w:rPr>
          <w:rFonts w:ascii="Verdana" w:hAnsi="Verdana"/>
        </w:rPr>
        <w:t xml:space="preserve">it </w:t>
      </w:r>
      <w:r w:rsidR="004B5461">
        <w:rPr>
          <w:rFonts w:ascii="Verdana" w:hAnsi="Verdana"/>
        </w:rPr>
        <w:t xml:space="preserve">is important for the NI Assembly </w:t>
      </w:r>
      <w:r w:rsidR="007E2A12">
        <w:rPr>
          <w:rFonts w:ascii="Verdana" w:hAnsi="Verdana"/>
        </w:rPr>
        <w:t xml:space="preserve">to consider whether </w:t>
      </w:r>
      <w:r w:rsidR="004B5461">
        <w:rPr>
          <w:rFonts w:ascii="Verdana" w:hAnsi="Verdana"/>
        </w:rPr>
        <w:t xml:space="preserve">a </w:t>
      </w:r>
      <w:r w:rsidR="007E2A12">
        <w:rPr>
          <w:rFonts w:ascii="Verdana" w:hAnsi="Verdana"/>
        </w:rPr>
        <w:t>cons</w:t>
      </w:r>
      <w:r w:rsidR="00EB410B">
        <w:rPr>
          <w:rFonts w:ascii="Verdana" w:hAnsi="Verdana"/>
        </w:rPr>
        <w:t>ensus</w:t>
      </w:r>
      <w:r w:rsidR="007E2A12">
        <w:rPr>
          <w:rFonts w:ascii="Verdana" w:hAnsi="Verdana"/>
        </w:rPr>
        <w:t xml:space="preserve"> </w:t>
      </w:r>
      <w:r w:rsidR="004B5461">
        <w:rPr>
          <w:rFonts w:ascii="Verdana" w:hAnsi="Verdana"/>
        </w:rPr>
        <w:t xml:space="preserve">exists </w:t>
      </w:r>
      <w:r w:rsidR="007E2A12">
        <w:rPr>
          <w:rFonts w:ascii="Verdana" w:hAnsi="Verdana"/>
        </w:rPr>
        <w:t xml:space="preserve">amongst European </w:t>
      </w:r>
      <w:r w:rsidR="001D057F">
        <w:rPr>
          <w:rFonts w:ascii="Verdana" w:hAnsi="Verdana"/>
        </w:rPr>
        <w:t>States</w:t>
      </w:r>
      <w:r w:rsidR="00745CCE">
        <w:rPr>
          <w:rFonts w:ascii="Verdana" w:hAnsi="Verdana"/>
        </w:rPr>
        <w:t>.</w:t>
      </w:r>
      <w:r>
        <w:rPr>
          <w:rFonts w:ascii="Verdana" w:hAnsi="Verdana"/>
        </w:rPr>
        <w:t xml:space="preserve"> </w:t>
      </w:r>
      <w:r w:rsidR="00745CCE" w:rsidRPr="00DF2B29">
        <w:rPr>
          <w:rFonts w:ascii="Verdana" w:hAnsi="Verdana"/>
        </w:rPr>
        <w:t>The</w:t>
      </w:r>
      <w:r w:rsidR="00745CCE">
        <w:rPr>
          <w:rFonts w:ascii="Verdana" w:hAnsi="Verdana"/>
        </w:rPr>
        <w:t xml:space="preserve"> ages outlined</w:t>
      </w:r>
      <w:r w:rsidR="00DF2B29" w:rsidRPr="00DF2B29">
        <w:rPr>
          <w:rFonts w:ascii="Verdana" w:hAnsi="Verdana"/>
        </w:rPr>
        <w:t xml:space="preserve"> above </w:t>
      </w:r>
      <w:r w:rsidR="00745CCE">
        <w:rPr>
          <w:rFonts w:ascii="Verdana" w:hAnsi="Verdana"/>
        </w:rPr>
        <w:t>suggest that there is a general European</w:t>
      </w:r>
      <w:r w:rsidR="00DF2B29" w:rsidRPr="00DF2B29">
        <w:rPr>
          <w:rFonts w:ascii="Verdana" w:hAnsi="Verdana"/>
        </w:rPr>
        <w:t xml:space="preserve"> consensus</w:t>
      </w:r>
      <w:r w:rsidR="000112A2">
        <w:rPr>
          <w:rFonts w:ascii="Verdana" w:hAnsi="Verdana"/>
        </w:rPr>
        <w:t xml:space="preserve"> of a minimum age </w:t>
      </w:r>
      <w:r w:rsidR="0081201C">
        <w:rPr>
          <w:rFonts w:ascii="Verdana" w:hAnsi="Verdana"/>
        </w:rPr>
        <w:t>of at least 12</w:t>
      </w:r>
      <w:r w:rsidR="00E5070F">
        <w:rPr>
          <w:rFonts w:ascii="Verdana" w:hAnsi="Verdana"/>
        </w:rPr>
        <w:t>, with only parts of the UK</w:t>
      </w:r>
      <w:r w:rsidR="008A7710">
        <w:rPr>
          <w:rFonts w:ascii="Verdana" w:hAnsi="Verdana"/>
        </w:rPr>
        <w:t xml:space="preserve"> and Switzerland</w:t>
      </w:r>
      <w:r w:rsidR="00E5070F">
        <w:rPr>
          <w:rFonts w:ascii="Verdana" w:hAnsi="Verdana"/>
        </w:rPr>
        <w:t xml:space="preserve"> </w:t>
      </w:r>
      <w:r w:rsidR="000872BF">
        <w:rPr>
          <w:rFonts w:ascii="Verdana" w:hAnsi="Verdana"/>
        </w:rPr>
        <w:t>setting it as low as 10</w:t>
      </w:r>
      <w:r w:rsidR="008A7710">
        <w:rPr>
          <w:rFonts w:ascii="Verdana" w:hAnsi="Verdana"/>
        </w:rPr>
        <w:t>.</w:t>
      </w:r>
      <w:r w:rsidR="00F93F32">
        <w:rPr>
          <w:rFonts w:ascii="Verdana" w:hAnsi="Verdana"/>
        </w:rPr>
        <w:t xml:space="preserve"> In addition</w:t>
      </w:r>
      <w:r>
        <w:rPr>
          <w:rFonts w:ascii="Verdana" w:hAnsi="Verdana"/>
        </w:rPr>
        <w:t>,</w:t>
      </w:r>
      <w:r w:rsidR="000872BF" w:rsidRPr="000872BF">
        <w:t xml:space="preserve"> </w:t>
      </w:r>
      <w:r w:rsidR="00B75937">
        <w:t>t</w:t>
      </w:r>
      <w:r w:rsidR="000872BF" w:rsidRPr="000872BF">
        <w:rPr>
          <w:rFonts w:ascii="Verdana" w:hAnsi="Verdana"/>
        </w:rPr>
        <w:t xml:space="preserve">he majority of European </w:t>
      </w:r>
      <w:r w:rsidR="001D057F">
        <w:rPr>
          <w:rFonts w:ascii="Verdana" w:hAnsi="Verdana"/>
        </w:rPr>
        <w:t>States</w:t>
      </w:r>
      <w:r w:rsidR="000872BF" w:rsidRPr="000872BF">
        <w:rPr>
          <w:rFonts w:ascii="Verdana" w:hAnsi="Verdana"/>
        </w:rPr>
        <w:t xml:space="preserve"> have established a higher</w:t>
      </w:r>
      <w:r w:rsidR="00B75937">
        <w:rPr>
          <w:rFonts w:ascii="Verdana" w:hAnsi="Verdana"/>
        </w:rPr>
        <w:t xml:space="preserve"> </w:t>
      </w:r>
      <w:r>
        <w:rPr>
          <w:rFonts w:ascii="Verdana" w:hAnsi="Verdana"/>
        </w:rPr>
        <w:t>age of 14 years</w:t>
      </w:r>
      <w:r w:rsidR="002B1083">
        <w:rPr>
          <w:rFonts w:ascii="Verdana" w:hAnsi="Verdana"/>
        </w:rPr>
        <w:t>.</w:t>
      </w:r>
    </w:p>
    <w:p w14:paraId="24F65D73" w14:textId="17620EF2" w:rsidR="0062693B" w:rsidRPr="009B17D1" w:rsidRDefault="0062693B" w:rsidP="009B17D1">
      <w:pPr>
        <w:pStyle w:val="BasicParagraph"/>
        <w:suppressAutoHyphens/>
        <w:ind w:left="709"/>
        <w:rPr>
          <w:rFonts w:ascii="Verdana" w:hAnsi="Verdana"/>
        </w:rPr>
      </w:pPr>
    </w:p>
    <w:p w14:paraId="43F1F539" w14:textId="46D92412" w:rsidR="00B73093" w:rsidRPr="00B73093" w:rsidRDefault="00B73093" w:rsidP="00B73093">
      <w:pPr>
        <w:pStyle w:val="Heading2"/>
      </w:pPr>
      <w:bookmarkStart w:id="5" w:name="_Toc231921029"/>
      <w:r w:rsidRPr="00B73093">
        <w:t>United Nations Standards</w:t>
      </w:r>
      <w:r w:rsidR="002214A0">
        <w:t xml:space="preserve"> and Treaty Body Guidance</w:t>
      </w:r>
      <w:bookmarkEnd w:id="5"/>
      <w:r w:rsidR="002214A0">
        <w:t xml:space="preserve"> </w:t>
      </w:r>
    </w:p>
    <w:p w14:paraId="34595CA1" w14:textId="77777777" w:rsidR="00B73093" w:rsidRDefault="00B73093" w:rsidP="00B73093">
      <w:pPr>
        <w:pStyle w:val="ListParagraph"/>
        <w:rPr>
          <w:highlight w:val="green"/>
        </w:rPr>
      </w:pPr>
    </w:p>
    <w:p w14:paraId="5653AEB2" w14:textId="770AC4F0" w:rsidR="00B73093" w:rsidRPr="004C4255" w:rsidRDefault="00B73093" w:rsidP="00B73093">
      <w:pPr>
        <w:pStyle w:val="BasicParagraph"/>
        <w:numPr>
          <w:ilvl w:val="1"/>
          <w:numId w:val="1"/>
        </w:numPr>
        <w:suppressAutoHyphens/>
        <w:ind w:left="709"/>
        <w:rPr>
          <w:rFonts w:ascii="Verdana" w:hAnsi="Verdana"/>
        </w:rPr>
      </w:pPr>
      <w:r w:rsidRPr="004C4255">
        <w:rPr>
          <w:rFonts w:ascii="Verdana" w:hAnsi="Verdana"/>
        </w:rPr>
        <w:t xml:space="preserve">Article 40(3)(a) of the United Nations Convention on the Rights of the Child </w:t>
      </w:r>
      <w:r w:rsidR="000148BB">
        <w:rPr>
          <w:rFonts w:ascii="Verdana" w:hAnsi="Verdana"/>
        </w:rPr>
        <w:t xml:space="preserve">(UNCRC) </w:t>
      </w:r>
      <w:r w:rsidRPr="004C4255">
        <w:rPr>
          <w:rFonts w:ascii="Verdana" w:hAnsi="Verdana"/>
        </w:rPr>
        <w:t>imposes an obligation on States to establish a minimum age below which children shall be presumed not to have the capacity to infringe the penal law.</w:t>
      </w:r>
      <w:r w:rsidRPr="004C4255">
        <w:rPr>
          <w:rStyle w:val="FootnoteReference"/>
          <w:rFonts w:ascii="Verdana" w:hAnsi="Verdana"/>
        </w:rPr>
        <w:footnoteReference w:id="70"/>
      </w:r>
      <w:r w:rsidRPr="004C4255">
        <w:rPr>
          <w:rFonts w:ascii="Verdana" w:hAnsi="Verdana"/>
        </w:rPr>
        <w:t xml:space="preserve"> This provision does not mention a specific minimum age in this regard.</w:t>
      </w:r>
    </w:p>
    <w:p w14:paraId="6361CD49" w14:textId="77777777" w:rsidR="00B73093" w:rsidRDefault="00B73093" w:rsidP="00B73093">
      <w:pPr>
        <w:pStyle w:val="ListParagraph"/>
      </w:pPr>
    </w:p>
    <w:p w14:paraId="694D5A18" w14:textId="6B3DF9C4" w:rsidR="00B73093" w:rsidRDefault="00B73093" w:rsidP="00B73093">
      <w:pPr>
        <w:pStyle w:val="BasicParagraph"/>
        <w:numPr>
          <w:ilvl w:val="1"/>
          <w:numId w:val="1"/>
        </w:numPr>
        <w:suppressAutoHyphens/>
        <w:ind w:left="709"/>
        <w:rPr>
          <w:rFonts w:ascii="Verdana" w:hAnsi="Verdana"/>
        </w:rPr>
      </w:pPr>
      <w:r w:rsidRPr="00B73093">
        <w:rPr>
          <w:rFonts w:ascii="Verdana" w:hAnsi="Verdana"/>
        </w:rPr>
        <w:t>According to the United Nations Standard Minimum Rules for the Administration of Juvenile Justice ("The Beijing Rules"),“</w:t>
      </w:r>
      <w:r w:rsidR="001E4BDB">
        <w:rPr>
          <w:rFonts w:ascii="Verdana" w:hAnsi="Verdana"/>
        </w:rPr>
        <w:t>i</w:t>
      </w:r>
      <w:r w:rsidRPr="00B73093">
        <w:rPr>
          <w:rFonts w:ascii="Verdana" w:hAnsi="Verdana"/>
        </w:rPr>
        <w:t xml:space="preserve">n those legal </w:t>
      </w:r>
      <w:r w:rsidRPr="00B73093">
        <w:rPr>
          <w:rFonts w:ascii="Verdana" w:hAnsi="Verdana"/>
        </w:rPr>
        <w:lastRenderedPageBreak/>
        <w:t>systems recognizing the concept of the age of criminal responsibility for juveniles, the beginning of that age shall not be fixed at too low an age level, bearing in mind the facts of emotional, mental and intellectual maturity”.</w:t>
      </w:r>
      <w:r>
        <w:rPr>
          <w:rStyle w:val="FootnoteReference"/>
          <w:rFonts w:ascii="Verdana" w:hAnsi="Verdana"/>
        </w:rPr>
        <w:footnoteReference w:id="71"/>
      </w:r>
      <w:r w:rsidRPr="00B73093">
        <w:rPr>
          <w:rFonts w:ascii="Verdana" w:hAnsi="Verdana"/>
        </w:rPr>
        <w:t xml:space="preserve"> </w:t>
      </w:r>
    </w:p>
    <w:p w14:paraId="5786459A" w14:textId="77777777" w:rsidR="00B73093" w:rsidRDefault="00B73093" w:rsidP="00B73093">
      <w:pPr>
        <w:pStyle w:val="ListParagraph"/>
      </w:pPr>
    </w:p>
    <w:p w14:paraId="694B14CF" w14:textId="6AAF7CA3" w:rsidR="00B73093" w:rsidRPr="00B73093" w:rsidRDefault="00B73093" w:rsidP="00B73093">
      <w:pPr>
        <w:pStyle w:val="BasicParagraph"/>
        <w:numPr>
          <w:ilvl w:val="1"/>
          <w:numId w:val="1"/>
        </w:numPr>
        <w:suppressAutoHyphens/>
        <w:ind w:left="709"/>
        <w:rPr>
          <w:rFonts w:ascii="Verdana" w:hAnsi="Verdana"/>
        </w:rPr>
      </w:pPr>
      <w:r w:rsidRPr="00B73093">
        <w:rPr>
          <w:rFonts w:ascii="Verdana" w:hAnsi="Verdana"/>
        </w:rPr>
        <w:t>The Beijing Rules have gone further to elaborate that:</w:t>
      </w:r>
    </w:p>
    <w:p w14:paraId="006A4A88" w14:textId="77777777" w:rsidR="00B73093" w:rsidRPr="003618C4" w:rsidRDefault="00B73093" w:rsidP="00B73093">
      <w:pPr>
        <w:pStyle w:val="BasicParagraph"/>
        <w:suppressAutoHyphens/>
        <w:ind w:left="709"/>
      </w:pPr>
    </w:p>
    <w:p w14:paraId="69BA3139" w14:textId="77777777" w:rsidR="00B73093" w:rsidRDefault="00B73093" w:rsidP="00B73093">
      <w:pPr>
        <w:pStyle w:val="BasicParagraph"/>
        <w:suppressAutoHyphens/>
        <w:ind w:left="1440"/>
        <w:rPr>
          <w:rFonts w:ascii="Verdana" w:hAnsi="Verdana"/>
        </w:rPr>
      </w:pPr>
      <w:r w:rsidRPr="00AB42FF">
        <w:rPr>
          <w:rFonts w:ascii="Verdana" w:hAnsi="Verdana"/>
        </w:rPr>
        <w:t>The minimum age of criminal responsibility differs widely owing to history and culture. The modern approach would be to consider whether a child can live up to the moral and psychological components of criminal responsibility; that is, whether a child, by virtue of her or his individual discernment and understanding, can be held responsible for essentially antisocial behaviour. If the age of criminal responsibility is fixed too low or if there is no lower age limit at all, the notion of responsibility would become meaningless.</w:t>
      </w:r>
      <w:r>
        <w:rPr>
          <w:rStyle w:val="FootnoteReference"/>
          <w:rFonts w:ascii="Verdana" w:hAnsi="Verdana"/>
        </w:rPr>
        <w:footnoteReference w:id="72"/>
      </w:r>
    </w:p>
    <w:p w14:paraId="073B213F" w14:textId="77777777" w:rsidR="00B73093" w:rsidRDefault="00B73093" w:rsidP="0000313B">
      <w:pPr>
        <w:pStyle w:val="BasicParagraph"/>
        <w:suppressAutoHyphens/>
        <w:rPr>
          <w:rFonts w:ascii="Verdana" w:hAnsi="Verdana"/>
        </w:rPr>
      </w:pPr>
    </w:p>
    <w:p w14:paraId="7551CB39" w14:textId="41556E52" w:rsidR="00B73093" w:rsidRPr="009F50FC" w:rsidRDefault="00B73093" w:rsidP="009F50FC">
      <w:pPr>
        <w:pStyle w:val="BasicParagraph"/>
        <w:numPr>
          <w:ilvl w:val="1"/>
          <w:numId w:val="1"/>
        </w:numPr>
        <w:suppressAutoHyphens/>
        <w:rPr>
          <w:rFonts w:ascii="Verdana" w:hAnsi="Verdana"/>
        </w:rPr>
      </w:pPr>
      <w:r w:rsidRPr="00B73093">
        <w:rPr>
          <w:rFonts w:ascii="Verdana" w:hAnsi="Verdana"/>
        </w:rPr>
        <w:t xml:space="preserve">A </w:t>
      </w:r>
      <w:r w:rsidR="0007194E">
        <w:rPr>
          <w:rFonts w:ascii="Verdana" w:hAnsi="Verdana"/>
        </w:rPr>
        <w:t>minimum age of criminal respon</w:t>
      </w:r>
      <w:r w:rsidR="009F50FC">
        <w:rPr>
          <w:rFonts w:ascii="Verdana" w:hAnsi="Verdana"/>
        </w:rPr>
        <w:t xml:space="preserve">sibility </w:t>
      </w:r>
      <w:r w:rsidRPr="009F50FC">
        <w:rPr>
          <w:rFonts w:ascii="Verdana" w:hAnsi="Verdana"/>
        </w:rPr>
        <w:t>below the age of 12 years is considered by the UN CRC Committee not to be internationally acceptable.</w:t>
      </w:r>
      <w:r w:rsidR="00AF52D7">
        <w:rPr>
          <w:rStyle w:val="FootnoteReference"/>
          <w:rFonts w:ascii="Verdana" w:hAnsi="Verdana"/>
        </w:rPr>
        <w:footnoteReference w:id="73"/>
      </w:r>
      <w:r w:rsidRPr="009F50FC">
        <w:rPr>
          <w:rFonts w:ascii="Verdana" w:hAnsi="Verdana"/>
        </w:rPr>
        <w:t xml:space="preserve"> </w:t>
      </w:r>
      <w:r w:rsidR="00815769" w:rsidRPr="00815769">
        <w:rPr>
          <w:rFonts w:ascii="Verdana" w:hAnsi="Verdana"/>
        </w:rPr>
        <w:t xml:space="preserve">The </w:t>
      </w:r>
      <w:r w:rsidR="00815769">
        <w:rPr>
          <w:rFonts w:ascii="Verdana" w:hAnsi="Verdana"/>
        </w:rPr>
        <w:t>UNCRC Commit</w:t>
      </w:r>
      <w:r w:rsidR="00941C7D">
        <w:rPr>
          <w:rFonts w:ascii="Verdana" w:hAnsi="Verdana"/>
        </w:rPr>
        <w:t>t</w:t>
      </w:r>
      <w:r w:rsidR="00815769">
        <w:rPr>
          <w:rFonts w:ascii="Verdana" w:hAnsi="Verdana"/>
        </w:rPr>
        <w:t>ee</w:t>
      </w:r>
      <w:r w:rsidR="00815769" w:rsidRPr="00815769">
        <w:rPr>
          <w:rFonts w:ascii="Verdana" w:hAnsi="Verdana"/>
        </w:rPr>
        <w:t xml:space="preserve"> has made </w:t>
      </w:r>
      <w:r w:rsidR="00815769">
        <w:rPr>
          <w:rFonts w:ascii="Verdana" w:hAnsi="Verdana"/>
        </w:rPr>
        <w:t xml:space="preserve">it </w:t>
      </w:r>
      <w:r w:rsidR="00815769" w:rsidRPr="00815769">
        <w:rPr>
          <w:rFonts w:ascii="Verdana" w:hAnsi="Verdana"/>
        </w:rPr>
        <w:t>clear that 12</w:t>
      </w:r>
      <w:r w:rsidR="003D55B7">
        <w:rPr>
          <w:rFonts w:ascii="Verdana" w:hAnsi="Verdana"/>
        </w:rPr>
        <w:t xml:space="preserve"> years</w:t>
      </w:r>
      <w:r w:rsidR="00815769" w:rsidRPr="00815769">
        <w:rPr>
          <w:rFonts w:ascii="Verdana" w:hAnsi="Verdana"/>
        </w:rPr>
        <w:t xml:space="preserve"> should be treated as the absolute minimum age, encouraging States not only to meet this threshold but to continue raising it to a higher level.</w:t>
      </w:r>
      <w:r w:rsidR="00AF52D7">
        <w:rPr>
          <w:rStyle w:val="FootnoteReference"/>
          <w:rFonts w:ascii="Verdana" w:hAnsi="Verdana"/>
        </w:rPr>
        <w:footnoteReference w:id="74"/>
      </w:r>
      <w:r w:rsidR="00941C7D">
        <w:rPr>
          <w:rFonts w:ascii="Verdana" w:hAnsi="Verdana"/>
        </w:rPr>
        <w:t xml:space="preserve"> It </w:t>
      </w:r>
      <w:r w:rsidRPr="009F50FC">
        <w:rPr>
          <w:rFonts w:ascii="Verdana" w:hAnsi="Verdana"/>
        </w:rPr>
        <w:t>has stated that:</w:t>
      </w:r>
    </w:p>
    <w:p w14:paraId="5DEE469C" w14:textId="77777777" w:rsidR="00B73093" w:rsidRPr="00B73093" w:rsidRDefault="00B73093" w:rsidP="00B73093">
      <w:pPr>
        <w:pStyle w:val="BasicParagraph"/>
        <w:suppressAutoHyphens/>
        <w:ind w:left="720"/>
        <w:rPr>
          <w:rFonts w:ascii="Verdana" w:hAnsi="Verdana"/>
        </w:rPr>
      </w:pPr>
    </w:p>
    <w:p w14:paraId="1917C716" w14:textId="77777777" w:rsidR="00B73093" w:rsidRPr="00B73093" w:rsidRDefault="00B73093" w:rsidP="00B73093">
      <w:pPr>
        <w:pStyle w:val="BasicParagraph"/>
        <w:suppressAutoHyphens/>
        <w:ind w:left="720" w:firstLine="720"/>
        <w:rPr>
          <w:rFonts w:ascii="Verdana" w:hAnsi="Verdana"/>
        </w:rPr>
      </w:pPr>
      <w:r w:rsidRPr="00B73093">
        <w:rPr>
          <w:rFonts w:ascii="Verdana" w:hAnsi="Verdana"/>
        </w:rPr>
        <w:t xml:space="preserve">A higher MACR, for instance 14 or 16 years of age, contributes to a </w:t>
      </w:r>
    </w:p>
    <w:p w14:paraId="403D467F" w14:textId="553F5E23" w:rsidR="00B73093" w:rsidRPr="00B73093" w:rsidRDefault="00B73093" w:rsidP="00B73093">
      <w:pPr>
        <w:pStyle w:val="BasicParagraph"/>
        <w:suppressAutoHyphens/>
        <w:ind w:left="720" w:firstLine="720"/>
        <w:rPr>
          <w:rFonts w:ascii="Verdana" w:hAnsi="Verdana"/>
        </w:rPr>
      </w:pPr>
      <w:r w:rsidRPr="00B73093">
        <w:rPr>
          <w:rFonts w:ascii="Verdana" w:hAnsi="Verdana"/>
        </w:rPr>
        <w:t xml:space="preserve">juvenile justice system which, in accordance with article 40(3)(b) of </w:t>
      </w:r>
    </w:p>
    <w:p w14:paraId="09C65620" w14:textId="77777777" w:rsidR="00B73093" w:rsidRPr="00B73093" w:rsidRDefault="00B73093" w:rsidP="00B73093">
      <w:pPr>
        <w:pStyle w:val="BasicParagraph"/>
        <w:suppressAutoHyphens/>
        <w:ind w:left="720" w:firstLine="720"/>
        <w:rPr>
          <w:rFonts w:ascii="Verdana" w:hAnsi="Verdana"/>
        </w:rPr>
      </w:pPr>
      <w:r w:rsidRPr="00B73093">
        <w:rPr>
          <w:rFonts w:ascii="Verdana" w:hAnsi="Verdana"/>
        </w:rPr>
        <w:t>CRC, deals with children in conflict with the law without resorting to</w:t>
      </w:r>
    </w:p>
    <w:p w14:paraId="18E2B0E4" w14:textId="77777777" w:rsidR="00B73093" w:rsidRPr="00B73093" w:rsidRDefault="00B73093" w:rsidP="00B73093">
      <w:pPr>
        <w:pStyle w:val="BasicParagraph"/>
        <w:suppressAutoHyphens/>
        <w:ind w:left="720" w:firstLine="720"/>
        <w:rPr>
          <w:rFonts w:ascii="Verdana" w:hAnsi="Verdana"/>
        </w:rPr>
      </w:pPr>
      <w:r w:rsidRPr="00B73093">
        <w:rPr>
          <w:rFonts w:ascii="Verdana" w:hAnsi="Verdana"/>
        </w:rPr>
        <w:t xml:space="preserve">judicial proceedings, providing that the child’s human rights and </w:t>
      </w:r>
    </w:p>
    <w:p w14:paraId="2799568A" w14:textId="14628859" w:rsidR="00B73093" w:rsidRPr="001914AC" w:rsidRDefault="00B73093" w:rsidP="00091478">
      <w:pPr>
        <w:pStyle w:val="BasicParagraph"/>
        <w:suppressAutoHyphens/>
        <w:ind w:left="720" w:firstLine="720"/>
        <w:rPr>
          <w:rFonts w:ascii="Verdana" w:hAnsi="Verdana"/>
        </w:rPr>
      </w:pPr>
      <w:r w:rsidRPr="001914AC">
        <w:rPr>
          <w:rFonts w:ascii="Verdana" w:hAnsi="Verdana"/>
        </w:rPr>
        <w:t>legal safeguards are fully respected.</w:t>
      </w:r>
      <w:r w:rsidR="00091478" w:rsidRPr="001914AC">
        <w:rPr>
          <w:rStyle w:val="FootnoteReference"/>
          <w:rFonts w:ascii="Verdana" w:hAnsi="Verdana"/>
        </w:rPr>
        <w:footnoteReference w:id="75"/>
      </w:r>
    </w:p>
    <w:p w14:paraId="0CD62F73" w14:textId="77777777" w:rsidR="00091478" w:rsidRPr="001914AC" w:rsidRDefault="00091478" w:rsidP="00091478">
      <w:pPr>
        <w:pStyle w:val="BasicParagraph"/>
        <w:suppressAutoHyphens/>
        <w:ind w:left="720" w:firstLine="720"/>
        <w:rPr>
          <w:rFonts w:ascii="Verdana" w:hAnsi="Verdana"/>
        </w:rPr>
      </w:pPr>
    </w:p>
    <w:p w14:paraId="0277178D" w14:textId="52D48CB7" w:rsidR="00B73093" w:rsidRPr="001914AC" w:rsidRDefault="00B73093" w:rsidP="00B73093">
      <w:pPr>
        <w:pStyle w:val="BasicParagraph"/>
        <w:numPr>
          <w:ilvl w:val="1"/>
          <w:numId w:val="1"/>
        </w:numPr>
        <w:suppressAutoHyphens/>
        <w:rPr>
          <w:rFonts w:ascii="Verdana" w:hAnsi="Verdana"/>
        </w:rPr>
      </w:pPr>
      <w:r w:rsidRPr="001914AC">
        <w:rPr>
          <w:rFonts w:ascii="Verdana" w:hAnsi="Verdana"/>
        </w:rPr>
        <w:t xml:space="preserve">The UN CRC Committee has on several occasions stated that the UK raise the </w:t>
      </w:r>
      <w:r w:rsidR="007E598C" w:rsidRPr="001914AC">
        <w:rPr>
          <w:rFonts w:ascii="Verdana" w:hAnsi="Verdana"/>
        </w:rPr>
        <w:t>age of criminal responsibility</w:t>
      </w:r>
      <w:r w:rsidRPr="001914AC">
        <w:rPr>
          <w:rFonts w:ascii="Verdana" w:hAnsi="Verdana"/>
        </w:rPr>
        <w:t xml:space="preserve">. In 2016 it </w:t>
      </w:r>
      <w:r w:rsidR="00CA7043" w:rsidRPr="001914AC">
        <w:rPr>
          <w:rFonts w:ascii="Verdana" w:hAnsi="Verdana"/>
        </w:rPr>
        <w:t>recommended</w:t>
      </w:r>
      <w:r w:rsidRPr="001914AC">
        <w:rPr>
          <w:rFonts w:ascii="Verdana" w:hAnsi="Verdana"/>
        </w:rPr>
        <w:t xml:space="preserve"> that the State </w:t>
      </w:r>
      <w:r w:rsidR="00B318F1" w:rsidRPr="001914AC">
        <w:rPr>
          <w:rFonts w:ascii="Verdana" w:hAnsi="Verdana"/>
        </w:rPr>
        <w:t>r</w:t>
      </w:r>
      <w:r w:rsidRPr="001914AC">
        <w:rPr>
          <w:rFonts w:ascii="Verdana" w:hAnsi="Verdana"/>
        </w:rPr>
        <w:t xml:space="preserve">aise the minimum age of criminal responsibility in accordance with </w:t>
      </w:r>
      <w:r w:rsidRPr="001914AC">
        <w:rPr>
          <w:rFonts w:ascii="Verdana" w:hAnsi="Verdana"/>
        </w:rPr>
        <w:lastRenderedPageBreak/>
        <w:t>acceptable international standards.</w:t>
      </w:r>
      <w:r w:rsidRPr="001914AC">
        <w:rPr>
          <w:rStyle w:val="FootnoteReference"/>
          <w:rFonts w:ascii="Verdana" w:hAnsi="Verdana"/>
        </w:rPr>
        <w:footnoteReference w:id="76"/>
      </w:r>
      <w:r w:rsidRPr="001914AC">
        <w:rPr>
          <w:rFonts w:ascii="Verdana" w:hAnsi="Verdana"/>
        </w:rPr>
        <w:t xml:space="preserve"> In 2019, the UN Committee against Torture (UN CAT) echoed this recommendation.</w:t>
      </w:r>
      <w:r w:rsidRPr="001914AC">
        <w:rPr>
          <w:rStyle w:val="FootnoteReference"/>
          <w:rFonts w:ascii="Verdana" w:hAnsi="Verdana"/>
        </w:rPr>
        <w:footnoteReference w:id="77"/>
      </w:r>
    </w:p>
    <w:p w14:paraId="2A2C21DC" w14:textId="77777777" w:rsidR="00091478" w:rsidRDefault="00091478" w:rsidP="00091478">
      <w:pPr>
        <w:pStyle w:val="BasicParagraph"/>
        <w:suppressAutoHyphens/>
        <w:ind w:left="720"/>
        <w:rPr>
          <w:rFonts w:ascii="Verdana" w:hAnsi="Verdana"/>
        </w:rPr>
      </w:pPr>
    </w:p>
    <w:p w14:paraId="2DCF2F66" w14:textId="77777777" w:rsidR="00B73093" w:rsidRPr="00B47D9E" w:rsidRDefault="00B73093" w:rsidP="00B73093">
      <w:pPr>
        <w:pStyle w:val="BasicParagraph"/>
        <w:numPr>
          <w:ilvl w:val="1"/>
          <w:numId w:val="1"/>
        </w:numPr>
        <w:suppressAutoHyphens/>
        <w:rPr>
          <w:rFonts w:ascii="Verdana" w:hAnsi="Verdana"/>
        </w:rPr>
      </w:pPr>
      <w:r w:rsidRPr="00B47D9E">
        <w:rPr>
          <w:rFonts w:ascii="Verdana" w:hAnsi="Verdana"/>
        </w:rPr>
        <w:t>Additionally, the UN CRC Committee recommended all States set the minimum age of criminal responsibility to at least 14 years old, in accordance with:</w:t>
      </w:r>
    </w:p>
    <w:p w14:paraId="005A3839" w14:textId="77777777" w:rsidR="00B73093" w:rsidRPr="00B47D9E" w:rsidRDefault="00B73093" w:rsidP="00B73093">
      <w:pPr>
        <w:pStyle w:val="BasicParagraph"/>
        <w:suppressAutoHyphens/>
        <w:ind w:left="720"/>
        <w:rPr>
          <w:rFonts w:ascii="Verdana" w:hAnsi="Verdana"/>
        </w:rPr>
      </w:pPr>
    </w:p>
    <w:p w14:paraId="202B96DC" w14:textId="47704A5E" w:rsidR="00B73093" w:rsidRDefault="00B73093" w:rsidP="00B73093">
      <w:pPr>
        <w:pStyle w:val="BasicParagraph"/>
        <w:suppressAutoHyphens/>
        <w:ind w:left="720" w:firstLine="720"/>
        <w:rPr>
          <w:rFonts w:ascii="Verdana" w:hAnsi="Verdana"/>
        </w:rPr>
      </w:pPr>
      <w:r w:rsidRPr="00B47D9E">
        <w:rPr>
          <w:rFonts w:ascii="Verdana" w:hAnsi="Verdana"/>
        </w:rPr>
        <w:t xml:space="preserve">documented evidence in the fields of child development and </w:t>
      </w:r>
    </w:p>
    <w:p w14:paraId="43473995" w14:textId="77777777" w:rsidR="00B73093" w:rsidRDefault="00B73093" w:rsidP="00B73093">
      <w:pPr>
        <w:pStyle w:val="BasicParagraph"/>
        <w:suppressAutoHyphens/>
        <w:ind w:left="720" w:firstLine="720"/>
        <w:rPr>
          <w:rFonts w:ascii="Verdana" w:hAnsi="Verdana"/>
        </w:rPr>
      </w:pPr>
      <w:r w:rsidRPr="00B47D9E">
        <w:rPr>
          <w:rFonts w:ascii="Verdana" w:hAnsi="Verdana"/>
        </w:rPr>
        <w:t xml:space="preserve">neuroscience [which] indicates that maturity and the capacity for </w:t>
      </w:r>
    </w:p>
    <w:p w14:paraId="1E78F22E" w14:textId="77777777" w:rsidR="00B73093" w:rsidRDefault="00B73093" w:rsidP="00B73093">
      <w:pPr>
        <w:pStyle w:val="BasicParagraph"/>
        <w:suppressAutoHyphens/>
        <w:ind w:left="720" w:firstLine="720"/>
        <w:rPr>
          <w:rFonts w:ascii="Verdana" w:hAnsi="Verdana"/>
        </w:rPr>
      </w:pPr>
      <w:r w:rsidRPr="00B47D9E">
        <w:rPr>
          <w:rFonts w:ascii="Verdana" w:hAnsi="Verdana"/>
        </w:rPr>
        <w:t xml:space="preserve">abstract reasoning is still evolving in children aged 12 to 13 years </w:t>
      </w:r>
    </w:p>
    <w:p w14:paraId="20EF9B84" w14:textId="77777777" w:rsidR="00B73093" w:rsidRDefault="00B73093" w:rsidP="00B73093">
      <w:pPr>
        <w:pStyle w:val="BasicParagraph"/>
        <w:suppressAutoHyphens/>
        <w:ind w:left="720" w:firstLine="720"/>
        <w:rPr>
          <w:rFonts w:ascii="Verdana" w:hAnsi="Verdana"/>
        </w:rPr>
      </w:pPr>
      <w:r w:rsidRPr="00B47D9E">
        <w:rPr>
          <w:rFonts w:ascii="Verdana" w:hAnsi="Verdana"/>
        </w:rPr>
        <w:t xml:space="preserve">due to the fact that their frontal cortex is still developing. Therefore, </w:t>
      </w:r>
    </w:p>
    <w:p w14:paraId="232DD166" w14:textId="77777777" w:rsidR="00B73093" w:rsidRDefault="00B73093" w:rsidP="00B73093">
      <w:pPr>
        <w:pStyle w:val="BasicParagraph"/>
        <w:suppressAutoHyphens/>
        <w:ind w:left="720" w:firstLine="720"/>
        <w:rPr>
          <w:rFonts w:ascii="Verdana" w:hAnsi="Verdana"/>
        </w:rPr>
      </w:pPr>
      <w:r w:rsidRPr="00B47D9E">
        <w:rPr>
          <w:rFonts w:ascii="Verdana" w:hAnsi="Verdana"/>
        </w:rPr>
        <w:t xml:space="preserve">they are unlikely to understand the impact of their actions or to </w:t>
      </w:r>
    </w:p>
    <w:p w14:paraId="2FC7039B" w14:textId="2425DE68" w:rsidR="00B73093" w:rsidRPr="00EE4B6A" w:rsidRDefault="00B73093" w:rsidP="00B73093">
      <w:pPr>
        <w:pStyle w:val="BasicParagraph"/>
        <w:suppressAutoHyphens/>
        <w:ind w:left="720" w:firstLine="720"/>
        <w:rPr>
          <w:rFonts w:ascii="Verdana" w:hAnsi="Verdana"/>
        </w:rPr>
      </w:pPr>
      <w:r w:rsidRPr="00B47D9E">
        <w:rPr>
          <w:rFonts w:ascii="Verdana" w:hAnsi="Verdana"/>
        </w:rPr>
        <w:t xml:space="preserve">comprehend criminal </w:t>
      </w:r>
      <w:r w:rsidRPr="008A10A2">
        <w:rPr>
          <w:rFonts w:ascii="Verdana" w:hAnsi="Verdana"/>
          <w:lang w:val="en-US"/>
        </w:rPr>
        <w:t>proceedings.</w:t>
      </w:r>
      <w:r>
        <w:rPr>
          <w:rStyle w:val="FootnoteReference"/>
          <w:rFonts w:ascii="Verdana" w:hAnsi="Verdana"/>
          <w:lang w:val="en-US"/>
        </w:rPr>
        <w:footnoteReference w:id="78"/>
      </w:r>
    </w:p>
    <w:p w14:paraId="025711D3" w14:textId="77777777" w:rsidR="00B73093" w:rsidRDefault="00B73093" w:rsidP="00B73093">
      <w:pPr>
        <w:pStyle w:val="BasicParagraph"/>
        <w:suppressAutoHyphens/>
        <w:rPr>
          <w:rFonts w:ascii="Verdana" w:hAnsi="Verdana"/>
        </w:rPr>
      </w:pPr>
    </w:p>
    <w:p w14:paraId="61537EAD" w14:textId="5B3E06E1" w:rsidR="00B73093" w:rsidRPr="00AA331E" w:rsidRDefault="00B73093" w:rsidP="00B73093">
      <w:pPr>
        <w:pStyle w:val="BasicParagraph"/>
        <w:numPr>
          <w:ilvl w:val="1"/>
          <w:numId w:val="1"/>
        </w:numPr>
        <w:suppressAutoHyphens/>
        <w:rPr>
          <w:rFonts w:ascii="Verdana" w:hAnsi="Verdana"/>
        </w:rPr>
      </w:pPr>
      <w:r w:rsidRPr="00AA331E">
        <w:rPr>
          <w:rFonts w:ascii="Verdana" w:hAnsi="Verdana"/>
        </w:rPr>
        <w:t>In 2023, the UN CRC Committee, in its Concluding observations on the combined sixth and seventh periodic reports of the United Kingdom of Great Britain and Northern Ireland, urged the State to bring its child justice system fully into line with the Convention and other relevant standards and to raise the minimum age of criminal responsibility to at least 14 years of age.</w:t>
      </w:r>
      <w:r w:rsidRPr="00AA331E">
        <w:rPr>
          <w:rStyle w:val="FootnoteReference"/>
          <w:rFonts w:ascii="Verdana" w:hAnsi="Verdana"/>
        </w:rPr>
        <w:footnoteReference w:id="79"/>
      </w:r>
    </w:p>
    <w:p w14:paraId="2CE485E7" w14:textId="77777777" w:rsidR="00F133A5" w:rsidRDefault="00F133A5" w:rsidP="00F133A5">
      <w:pPr>
        <w:pStyle w:val="ListParagraph"/>
      </w:pPr>
    </w:p>
    <w:p w14:paraId="24821175" w14:textId="32E81B07" w:rsidR="00F133A5" w:rsidRPr="00182FBA" w:rsidRDefault="00F133A5" w:rsidP="00182FBA">
      <w:pPr>
        <w:pStyle w:val="BasicParagraph"/>
        <w:numPr>
          <w:ilvl w:val="1"/>
          <w:numId w:val="1"/>
        </w:numPr>
        <w:suppressAutoHyphens/>
        <w:rPr>
          <w:rFonts w:ascii="Verdana" w:hAnsi="Verdana"/>
        </w:rPr>
      </w:pPr>
      <w:r w:rsidRPr="00EE4B6A">
        <w:rPr>
          <w:rFonts w:ascii="Verdana" w:hAnsi="Verdana"/>
        </w:rPr>
        <w:t>In 2024, the UN Human Rights Committee recommended that the UK Government and NI Executive “raise the minimum age of criminal responsibility, in accordance with internationally accepted standards, throughout the UK”.</w:t>
      </w:r>
      <w:r>
        <w:rPr>
          <w:rStyle w:val="FootnoteReference"/>
          <w:rFonts w:ascii="Verdana" w:hAnsi="Verdana"/>
        </w:rPr>
        <w:footnoteReference w:id="80"/>
      </w:r>
    </w:p>
    <w:p w14:paraId="5B2FA770" w14:textId="77777777" w:rsidR="00B73093" w:rsidRDefault="00B73093" w:rsidP="00B73093">
      <w:pPr>
        <w:pStyle w:val="BasicParagraph"/>
        <w:suppressAutoHyphens/>
        <w:rPr>
          <w:rFonts w:ascii="Verdana" w:hAnsi="Verdana"/>
        </w:rPr>
      </w:pPr>
    </w:p>
    <w:p w14:paraId="4E375671" w14:textId="23EBBA4F" w:rsidR="00B73093" w:rsidRDefault="00B73093" w:rsidP="00B73093">
      <w:pPr>
        <w:pStyle w:val="BasicParagraph"/>
        <w:numPr>
          <w:ilvl w:val="1"/>
          <w:numId w:val="1"/>
        </w:numPr>
        <w:suppressAutoHyphens/>
        <w:rPr>
          <w:rFonts w:ascii="Verdana" w:hAnsi="Verdana"/>
        </w:rPr>
      </w:pPr>
      <w:r w:rsidRPr="00674F38">
        <w:rPr>
          <w:rFonts w:ascii="Verdana" w:hAnsi="Verdana"/>
        </w:rPr>
        <w:t>The</w:t>
      </w:r>
      <w:r>
        <w:rPr>
          <w:rFonts w:ascii="Verdana" w:hAnsi="Verdana"/>
        </w:rPr>
        <w:t xml:space="preserve"> UN CRC Committee has </w:t>
      </w:r>
      <w:r w:rsidRPr="00674F38">
        <w:rPr>
          <w:rFonts w:ascii="Verdana" w:hAnsi="Verdana"/>
        </w:rPr>
        <w:t>express</w:t>
      </w:r>
      <w:r>
        <w:rPr>
          <w:rFonts w:ascii="Verdana" w:hAnsi="Verdana"/>
        </w:rPr>
        <w:t>ed</w:t>
      </w:r>
      <w:r w:rsidRPr="00674F38">
        <w:rPr>
          <w:rFonts w:ascii="Verdana" w:hAnsi="Verdana"/>
        </w:rPr>
        <w:t xml:space="preserve"> its concern</w:t>
      </w:r>
      <w:r>
        <w:rPr>
          <w:rFonts w:ascii="Verdana" w:hAnsi="Verdana"/>
        </w:rPr>
        <w:t>, “</w:t>
      </w:r>
      <w:r w:rsidRPr="00674F38">
        <w:rPr>
          <w:rFonts w:ascii="Verdana" w:hAnsi="Verdana"/>
        </w:rPr>
        <w:t xml:space="preserve">about the practice of allowing exceptions to a </w:t>
      </w:r>
      <w:r w:rsidRPr="00833C02">
        <w:rPr>
          <w:rFonts w:ascii="Verdana" w:hAnsi="Verdana"/>
        </w:rPr>
        <w:t>MACR which permit the use of a lower minimum age of criminal responsibility in cases where</w:t>
      </w:r>
      <w:r>
        <w:rPr>
          <w:rFonts w:ascii="Verdana" w:hAnsi="Verdana"/>
        </w:rPr>
        <w:t xml:space="preserve"> </w:t>
      </w:r>
      <w:r w:rsidRPr="004C36C1">
        <w:rPr>
          <w:rFonts w:ascii="Verdana" w:hAnsi="Verdana"/>
        </w:rPr>
        <w:t xml:space="preserve">the child, for example, is accused of committing a serious offence or where the child is considered mature enough to be held criminally responsible. The Committee strongly </w:t>
      </w:r>
      <w:r w:rsidRPr="004C36C1">
        <w:rPr>
          <w:rFonts w:ascii="Verdana" w:hAnsi="Verdana"/>
        </w:rPr>
        <w:lastRenderedPageBreak/>
        <w:t>recommends that States parties set a MACR that does not allow, by way of exception, the use of a lower age.</w:t>
      </w:r>
      <w:r>
        <w:rPr>
          <w:rFonts w:ascii="Verdana" w:hAnsi="Verdana"/>
        </w:rPr>
        <w:t>”</w:t>
      </w:r>
      <w:r>
        <w:rPr>
          <w:rStyle w:val="FootnoteReference"/>
          <w:rFonts w:ascii="Verdana" w:hAnsi="Verdana"/>
        </w:rPr>
        <w:footnoteReference w:id="81"/>
      </w:r>
    </w:p>
    <w:p w14:paraId="48EDF6F5" w14:textId="77777777" w:rsidR="00FA5E2D" w:rsidRDefault="00FA5E2D" w:rsidP="00FA5E2D">
      <w:pPr>
        <w:pStyle w:val="ListParagraph"/>
      </w:pPr>
    </w:p>
    <w:p w14:paraId="57A0A530" w14:textId="3D74AF15" w:rsidR="00FA5E2D" w:rsidRDefault="00FA5E2D" w:rsidP="00B73093">
      <w:pPr>
        <w:pStyle w:val="BasicParagraph"/>
        <w:numPr>
          <w:ilvl w:val="1"/>
          <w:numId w:val="1"/>
        </w:numPr>
        <w:suppressAutoHyphens/>
        <w:rPr>
          <w:rFonts w:ascii="Verdana" w:hAnsi="Verdana"/>
        </w:rPr>
      </w:pPr>
      <w:r>
        <w:rPr>
          <w:rFonts w:ascii="Verdana" w:hAnsi="Verdana"/>
        </w:rPr>
        <w:t xml:space="preserve">The UN CRC Committee has stated that, </w:t>
      </w:r>
      <w:r w:rsidR="004539A6">
        <w:rPr>
          <w:rFonts w:ascii="Verdana" w:hAnsi="Verdana"/>
        </w:rPr>
        <w:t>“</w:t>
      </w:r>
      <w:r>
        <w:rPr>
          <w:rFonts w:ascii="Verdana" w:hAnsi="Verdana"/>
        </w:rPr>
        <w:t>t</w:t>
      </w:r>
      <w:r w:rsidRPr="00FA5E2D">
        <w:rPr>
          <w:rFonts w:ascii="Verdana" w:hAnsi="Verdana"/>
        </w:rPr>
        <w:t>he system of two minimum ages is often not only confusing, but leaves much to the discretion of the court/judge and may result in discriminatory practices.</w:t>
      </w:r>
      <w:r w:rsidR="004539A6">
        <w:rPr>
          <w:rFonts w:ascii="Verdana" w:hAnsi="Verdana"/>
        </w:rPr>
        <w:t>”</w:t>
      </w:r>
      <w:r w:rsidR="004539A6">
        <w:rPr>
          <w:rStyle w:val="FootnoteReference"/>
          <w:rFonts w:ascii="Verdana" w:hAnsi="Verdana"/>
        </w:rPr>
        <w:footnoteReference w:id="82"/>
      </w:r>
      <w:r w:rsidR="001A4561">
        <w:rPr>
          <w:rFonts w:ascii="Verdana" w:hAnsi="Verdana"/>
        </w:rPr>
        <w:t xml:space="preserve"> In addition it has stated that, “s</w:t>
      </w:r>
      <w:r w:rsidR="001A4561" w:rsidRPr="001A4561">
        <w:rPr>
          <w:rFonts w:ascii="Verdana" w:hAnsi="Verdana"/>
        </w:rPr>
        <w:t>uch practices are usually created to respond to public pressure and are not based on a rational understanding of children’s development.</w:t>
      </w:r>
      <w:r w:rsidR="001A4561">
        <w:rPr>
          <w:rFonts w:ascii="Verdana" w:hAnsi="Verdana"/>
        </w:rPr>
        <w:t>”</w:t>
      </w:r>
      <w:r w:rsidR="001A4561">
        <w:rPr>
          <w:rStyle w:val="FootnoteReference"/>
          <w:rFonts w:ascii="Verdana" w:hAnsi="Verdana"/>
        </w:rPr>
        <w:footnoteReference w:id="83"/>
      </w:r>
    </w:p>
    <w:p w14:paraId="3BFC1653" w14:textId="77777777" w:rsidR="00B73093" w:rsidRDefault="00B73093" w:rsidP="00B73093">
      <w:pPr>
        <w:pStyle w:val="ListParagraph"/>
      </w:pPr>
    </w:p>
    <w:p w14:paraId="6A4A0A8E" w14:textId="4BE941F5" w:rsidR="00D84994" w:rsidRDefault="001104C1" w:rsidP="00B73093">
      <w:pPr>
        <w:pStyle w:val="BasicParagraph"/>
        <w:numPr>
          <w:ilvl w:val="1"/>
          <w:numId w:val="1"/>
        </w:numPr>
        <w:suppressAutoHyphens/>
        <w:rPr>
          <w:rFonts w:ascii="Verdana" w:hAnsi="Verdana"/>
        </w:rPr>
      </w:pPr>
      <w:r>
        <w:rPr>
          <w:rFonts w:ascii="Verdana" w:hAnsi="Verdana"/>
        </w:rPr>
        <w:t xml:space="preserve">Article 40 (3) b </w:t>
      </w:r>
      <w:r w:rsidR="00917080">
        <w:rPr>
          <w:rFonts w:ascii="Verdana" w:hAnsi="Verdana"/>
        </w:rPr>
        <w:t xml:space="preserve">of the UNCRC states </w:t>
      </w:r>
      <w:r w:rsidR="004C6223" w:rsidRPr="00934E2D">
        <w:rPr>
          <w:rFonts w:ascii="Verdana" w:hAnsi="Verdana"/>
        </w:rPr>
        <w:t>that</w:t>
      </w:r>
      <w:r w:rsidR="004C6223">
        <w:rPr>
          <w:rFonts w:ascii="Verdana" w:hAnsi="Verdana"/>
        </w:rPr>
        <w:t xml:space="preserve">, </w:t>
      </w:r>
      <w:r w:rsidR="004C6223" w:rsidRPr="00934E2D">
        <w:rPr>
          <w:rFonts w:ascii="Verdana" w:hAnsi="Verdana"/>
        </w:rPr>
        <w:t>children</w:t>
      </w:r>
      <w:r w:rsidR="00934E2D" w:rsidRPr="00934E2D">
        <w:rPr>
          <w:rFonts w:ascii="Verdana" w:hAnsi="Verdana"/>
        </w:rPr>
        <w:t xml:space="preserve"> in conflict with the law should, wherever possible, be dealt with outside the formal court system, using diversion and supportive measures</w:t>
      </w:r>
      <w:r w:rsidR="00D107E4">
        <w:rPr>
          <w:rFonts w:ascii="Verdana" w:hAnsi="Verdana"/>
        </w:rPr>
        <w:t xml:space="preserve"> such as </w:t>
      </w:r>
      <w:r w:rsidR="00D107E4" w:rsidRPr="00D107E4">
        <w:rPr>
          <w:rFonts w:ascii="Verdana" w:hAnsi="Verdana"/>
        </w:rPr>
        <w:t>care, guidance and supervision orders</w:t>
      </w:r>
      <w:r w:rsidR="00D107E4">
        <w:rPr>
          <w:rFonts w:ascii="Verdana" w:hAnsi="Verdana"/>
        </w:rPr>
        <w:t xml:space="preserve">, </w:t>
      </w:r>
      <w:r w:rsidR="00D107E4" w:rsidRPr="00D107E4">
        <w:rPr>
          <w:rFonts w:ascii="Verdana" w:hAnsi="Verdana"/>
        </w:rPr>
        <w:t>counselling</w:t>
      </w:r>
      <w:r w:rsidR="00D107E4">
        <w:rPr>
          <w:rFonts w:ascii="Verdana" w:hAnsi="Verdana"/>
        </w:rPr>
        <w:t>,</w:t>
      </w:r>
      <w:r w:rsidR="00D107E4" w:rsidRPr="00D107E4">
        <w:rPr>
          <w:rFonts w:ascii="Verdana" w:hAnsi="Verdana"/>
        </w:rPr>
        <w:t xml:space="preserve"> probation</w:t>
      </w:r>
      <w:r w:rsidR="00D107E4">
        <w:rPr>
          <w:rFonts w:ascii="Verdana" w:hAnsi="Verdana"/>
        </w:rPr>
        <w:t>,</w:t>
      </w:r>
      <w:r w:rsidR="00D107E4" w:rsidRPr="00D107E4">
        <w:rPr>
          <w:rFonts w:ascii="Verdana" w:hAnsi="Verdana"/>
        </w:rPr>
        <w:t xml:space="preserve"> foster care</w:t>
      </w:r>
      <w:r w:rsidR="00D107E4">
        <w:rPr>
          <w:rFonts w:ascii="Verdana" w:hAnsi="Verdana"/>
        </w:rPr>
        <w:t>,</w:t>
      </w:r>
      <w:r w:rsidR="00D107E4" w:rsidRPr="00D107E4">
        <w:rPr>
          <w:rFonts w:ascii="Verdana" w:hAnsi="Verdana"/>
        </w:rPr>
        <w:t xml:space="preserve"> education and vocational training programm</w:t>
      </w:r>
      <w:r w:rsidR="00D107E4">
        <w:rPr>
          <w:rFonts w:ascii="Verdana" w:hAnsi="Verdana"/>
        </w:rPr>
        <w:t>es</w:t>
      </w:r>
      <w:r w:rsidR="00934E2D" w:rsidRPr="00934E2D">
        <w:rPr>
          <w:rFonts w:ascii="Verdana" w:hAnsi="Verdana"/>
        </w:rPr>
        <w:t>, rather than punishment.</w:t>
      </w:r>
      <w:r w:rsidR="00D107E4">
        <w:rPr>
          <w:rStyle w:val="FootnoteReference"/>
          <w:rFonts w:ascii="Verdana" w:hAnsi="Verdana"/>
        </w:rPr>
        <w:footnoteReference w:id="84"/>
      </w:r>
    </w:p>
    <w:p w14:paraId="3583D9D4" w14:textId="77777777" w:rsidR="00D84994" w:rsidRDefault="00D84994" w:rsidP="00D84994">
      <w:pPr>
        <w:pStyle w:val="ListParagraph"/>
      </w:pPr>
    </w:p>
    <w:p w14:paraId="50F14FDC" w14:textId="594C9702" w:rsidR="00B73093" w:rsidRDefault="00B73093" w:rsidP="00B73093">
      <w:pPr>
        <w:pStyle w:val="BasicParagraph"/>
        <w:numPr>
          <w:ilvl w:val="1"/>
          <w:numId w:val="1"/>
        </w:numPr>
        <w:suppressAutoHyphens/>
        <w:rPr>
          <w:rFonts w:ascii="Verdana" w:hAnsi="Verdana"/>
        </w:rPr>
      </w:pPr>
      <w:r w:rsidRPr="00AE59DD">
        <w:rPr>
          <w:rFonts w:ascii="Verdana" w:hAnsi="Verdana"/>
        </w:rPr>
        <w:t>The evidence demonstrates that the most effective means of protecting others is not by criminalisation and punishment.</w:t>
      </w:r>
      <w:r w:rsidR="001E2B82">
        <w:rPr>
          <w:rFonts w:ascii="Verdana" w:hAnsi="Verdana"/>
        </w:rPr>
        <w:t xml:space="preserve"> </w:t>
      </w:r>
      <w:r w:rsidRPr="00AE59DD">
        <w:rPr>
          <w:rFonts w:ascii="Verdana" w:hAnsi="Verdana"/>
        </w:rPr>
        <w:t xml:space="preserve">Quite the contrary; the impact of criminalisation from a young age is more likely to result in a child developing a “criminal identity”, leading to stigma, discrimination, and differential treatment from peers, schools, the police, and the judiciary.  As a result, children can experience disruption to education, loss of positive relationships, thereby increasing their exposure to offending communities and drug use. All in all, the evidence is that it leads to an increased likelihood of reoffending, putting others and themselves at greater </w:t>
      </w:r>
      <w:r>
        <w:rPr>
          <w:rFonts w:ascii="Verdana" w:hAnsi="Verdana"/>
        </w:rPr>
        <w:t>risk.</w:t>
      </w:r>
      <w:r>
        <w:rPr>
          <w:rStyle w:val="FootnoteReference"/>
          <w:rFonts w:ascii="Verdana" w:hAnsi="Verdana"/>
        </w:rPr>
        <w:footnoteReference w:id="85"/>
      </w:r>
    </w:p>
    <w:p w14:paraId="16B1F612" w14:textId="77777777" w:rsidR="003103A7" w:rsidRDefault="003103A7" w:rsidP="003103A7">
      <w:pPr>
        <w:pStyle w:val="ListParagraph"/>
      </w:pPr>
    </w:p>
    <w:p w14:paraId="1A465184" w14:textId="7463AA6A" w:rsidR="003103A7" w:rsidRDefault="003103A7" w:rsidP="00B73093">
      <w:pPr>
        <w:pStyle w:val="BasicParagraph"/>
        <w:numPr>
          <w:ilvl w:val="1"/>
          <w:numId w:val="1"/>
        </w:numPr>
        <w:suppressAutoHyphens/>
        <w:rPr>
          <w:rFonts w:ascii="Verdana" w:hAnsi="Verdana"/>
        </w:rPr>
      </w:pPr>
      <w:r w:rsidRPr="003103A7">
        <w:rPr>
          <w:rFonts w:ascii="Verdana" w:hAnsi="Verdana"/>
        </w:rPr>
        <w:t xml:space="preserve">The difficulty in identifying an age at which children achieve these capacities is well </w:t>
      </w:r>
      <w:proofErr w:type="gramStart"/>
      <w:r w:rsidRPr="003103A7">
        <w:rPr>
          <w:rFonts w:ascii="Verdana" w:hAnsi="Verdana"/>
        </w:rPr>
        <w:t>recognised</w:t>
      </w:r>
      <w:proofErr w:type="gramEnd"/>
      <w:r w:rsidRPr="003103A7">
        <w:rPr>
          <w:rFonts w:ascii="Verdana" w:hAnsi="Verdana"/>
        </w:rPr>
        <w:t xml:space="preserve"> </w:t>
      </w:r>
      <w:r w:rsidR="00783D27">
        <w:rPr>
          <w:rFonts w:ascii="Verdana" w:hAnsi="Verdana"/>
        </w:rPr>
        <w:t xml:space="preserve">but </w:t>
      </w:r>
      <w:r w:rsidRPr="003103A7">
        <w:rPr>
          <w:rFonts w:ascii="Verdana" w:hAnsi="Verdana"/>
        </w:rPr>
        <w:t>10 years has been considered too low. In general research indicates that</w:t>
      </w:r>
      <w:r w:rsidR="00211D97">
        <w:rPr>
          <w:rFonts w:ascii="Verdana" w:hAnsi="Verdana"/>
        </w:rPr>
        <w:t xml:space="preserve">, </w:t>
      </w:r>
      <w:r w:rsidRPr="003103A7">
        <w:rPr>
          <w:rFonts w:ascii="Verdana" w:hAnsi="Verdana"/>
        </w:rPr>
        <w:t>conventional morality, including “law and order” morality is generally not achieved until mid-teens</w:t>
      </w:r>
      <w:r w:rsidR="00783D27">
        <w:rPr>
          <w:rFonts w:ascii="Verdana" w:hAnsi="Verdana"/>
        </w:rPr>
        <w:t xml:space="preserve"> whilst </w:t>
      </w:r>
      <w:r w:rsidRPr="003103A7">
        <w:rPr>
          <w:rFonts w:ascii="Verdana" w:hAnsi="Verdana"/>
        </w:rPr>
        <w:t xml:space="preserve">logical thinking and </w:t>
      </w:r>
      <w:r w:rsidR="00423873" w:rsidRPr="003103A7">
        <w:rPr>
          <w:rFonts w:ascii="Verdana" w:hAnsi="Verdana"/>
        </w:rPr>
        <w:t>problem</w:t>
      </w:r>
      <w:r w:rsidR="00423873">
        <w:rPr>
          <w:rFonts w:ascii="Verdana" w:hAnsi="Verdana"/>
        </w:rPr>
        <w:t>-</w:t>
      </w:r>
      <w:r w:rsidRPr="003103A7">
        <w:rPr>
          <w:rFonts w:ascii="Verdana" w:hAnsi="Verdana"/>
        </w:rPr>
        <w:t>solving abilities develop considerably between 11–15 years</w:t>
      </w:r>
      <w:r w:rsidR="003F20CF">
        <w:rPr>
          <w:rFonts w:ascii="Verdana" w:hAnsi="Verdana"/>
        </w:rPr>
        <w:t>, whilst a</w:t>
      </w:r>
      <w:r w:rsidRPr="003103A7">
        <w:rPr>
          <w:rFonts w:ascii="Verdana" w:hAnsi="Verdana"/>
        </w:rPr>
        <w:t xml:space="preserve">dolescent intellectual abilities are thought to reach adult </w:t>
      </w:r>
      <w:r w:rsidRPr="003103A7">
        <w:rPr>
          <w:rFonts w:ascii="Verdana" w:hAnsi="Verdana"/>
        </w:rPr>
        <w:lastRenderedPageBreak/>
        <w:t>levels only by the age of 17 years.</w:t>
      </w:r>
      <w:r w:rsidR="003F20CF">
        <w:rPr>
          <w:rStyle w:val="FootnoteReference"/>
          <w:rFonts w:ascii="Verdana" w:hAnsi="Verdana"/>
        </w:rPr>
        <w:footnoteReference w:id="86"/>
      </w:r>
    </w:p>
    <w:p w14:paraId="27FBA648" w14:textId="77777777" w:rsidR="009141CC" w:rsidRDefault="009141CC" w:rsidP="009141CC">
      <w:pPr>
        <w:pStyle w:val="ListParagraph"/>
      </w:pPr>
    </w:p>
    <w:p w14:paraId="5C544583" w14:textId="1EF74BD8" w:rsidR="009141CC" w:rsidRDefault="009141CC" w:rsidP="00B73093">
      <w:pPr>
        <w:pStyle w:val="BasicParagraph"/>
        <w:numPr>
          <w:ilvl w:val="1"/>
          <w:numId w:val="1"/>
        </w:numPr>
        <w:suppressAutoHyphens/>
        <w:rPr>
          <w:rFonts w:ascii="Verdana" w:hAnsi="Verdana"/>
        </w:rPr>
      </w:pPr>
      <w:r>
        <w:rPr>
          <w:rFonts w:ascii="Verdana" w:hAnsi="Verdana"/>
        </w:rPr>
        <w:t xml:space="preserve">The UN CRC Committee has emphasised that: </w:t>
      </w:r>
    </w:p>
    <w:p w14:paraId="1C5AD774" w14:textId="77777777" w:rsidR="009141CC" w:rsidRDefault="009141CC" w:rsidP="009141CC">
      <w:pPr>
        <w:pStyle w:val="ListParagraph"/>
      </w:pPr>
    </w:p>
    <w:p w14:paraId="5783959E" w14:textId="77777777" w:rsidR="00F332CE" w:rsidRDefault="009141CC" w:rsidP="009141CC">
      <w:pPr>
        <w:pStyle w:val="BasicParagraph"/>
        <w:suppressAutoHyphens/>
        <w:ind w:left="720" w:firstLine="720"/>
        <w:rPr>
          <w:rFonts w:ascii="Verdana" w:hAnsi="Verdana"/>
        </w:rPr>
      </w:pPr>
      <w:r w:rsidRPr="009141CC">
        <w:rPr>
          <w:rFonts w:ascii="Verdana" w:hAnsi="Verdana"/>
        </w:rPr>
        <w:t>adolescence is a unique defining stage of human development</w:t>
      </w:r>
    </w:p>
    <w:p w14:paraId="117F405E" w14:textId="77777777" w:rsidR="00F332CE" w:rsidRDefault="009141CC" w:rsidP="009141CC">
      <w:pPr>
        <w:pStyle w:val="BasicParagraph"/>
        <w:suppressAutoHyphens/>
        <w:ind w:left="720" w:firstLine="720"/>
        <w:rPr>
          <w:rFonts w:ascii="Verdana" w:hAnsi="Verdana"/>
        </w:rPr>
      </w:pPr>
      <w:r w:rsidRPr="009141CC">
        <w:rPr>
          <w:rFonts w:ascii="Verdana" w:hAnsi="Verdana"/>
        </w:rPr>
        <w:t>characterized by rapid brain development, and this affects risk-</w:t>
      </w:r>
    </w:p>
    <w:p w14:paraId="5FF58D3B"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taking, certain kinds of decision-making and the ability to control </w:t>
      </w:r>
    </w:p>
    <w:p w14:paraId="00B5937D"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impulses. States parties are encouraged to take note of recent </w:t>
      </w:r>
    </w:p>
    <w:p w14:paraId="6B413D66" w14:textId="77777777" w:rsidR="00F332CE" w:rsidRDefault="009141CC" w:rsidP="009141CC">
      <w:pPr>
        <w:pStyle w:val="BasicParagraph"/>
        <w:suppressAutoHyphens/>
        <w:ind w:left="720" w:firstLine="720"/>
        <w:rPr>
          <w:rFonts w:ascii="Verdana" w:hAnsi="Verdana"/>
        </w:rPr>
      </w:pPr>
      <w:r w:rsidRPr="009141CC">
        <w:rPr>
          <w:rFonts w:ascii="Verdana" w:hAnsi="Verdana"/>
        </w:rPr>
        <w:t>scientific findings, and to increase their minimum age accordingly, to</w:t>
      </w:r>
    </w:p>
    <w:p w14:paraId="79A7D597"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at least 14 years of age. Moreover, the developmental and </w:t>
      </w:r>
    </w:p>
    <w:p w14:paraId="19BCC1E3"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neuroscience evidence indicates that adolescent brains continue to </w:t>
      </w:r>
    </w:p>
    <w:p w14:paraId="7B84F661"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mature even beyond the teenage years, affecting certain kinds of </w:t>
      </w:r>
    </w:p>
    <w:p w14:paraId="39AB6978"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decision-making. Therefore, the Committee commends States </w:t>
      </w:r>
    </w:p>
    <w:p w14:paraId="35651659"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parties that have a higher minimum age, for instance 15 or 16 years </w:t>
      </w:r>
    </w:p>
    <w:p w14:paraId="4E47A02C"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of age, and urges States parties not to reduce the minimum age of </w:t>
      </w:r>
    </w:p>
    <w:p w14:paraId="0DC658A8" w14:textId="77777777" w:rsidR="00F332CE" w:rsidRDefault="009141CC" w:rsidP="009141CC">
      <w:pPr>
        <w:pStyle w:val="BasicParagraph"/>
        <w:suppressAutoHyphens/>
        <w:ind w:left="720" w:firstLine="720"/>
        <w:rPr>
          <w:rFonts w:ascii="Verdana" w:hAnsi="Verdana"/>
        </w:rPr>
      </w:pPr>
      <w:r w:rsidRPr="009141CC">
        <w:rPr>
          <w:rFonts w:ascii="Verdana" w:hAnsi="Verdana"/>
        </w:rPr>
        <w:t xml:space="preserve">criminal responsibility under any circumstances, in accordance with </w:t>
      </w:r>
    </w:p>
    <w:p w14:paraId="5555349C" w14:textId="22F54FB1" w:rsidR="00EA2B1D" w:rsidRDefault="009141CC" w:rsidP="006F521D">
      <w:pPr>
        <w:pStyle w:val="BasicParagraph"/>
        <w:suppressAutoHyphens/>
        <w:ind w:left="720" w:firstLine="720"/>
        <w:rPr>
          <w:rFonts w:ascii="Verdana" w:hAnsi="Verdana"/>
        </w:rPr>
      </w:pPr>
      <w:r w:rsidRPr="009141CC">
        <w:rPr>
          <w:rFonts w:ascii="Verdana" w:hAnsi="Verdana"/>
        </w:rPr>
        <w:t>article 41 of the Convention.</w:t>
      </w:r>
      <w:r w:rsidR="00F332CE">
        <w:rPr>
          <w:rStyle w:val="FootnoteReference"/>
          <w:rFonts w:ascii="Verdana" w:hAnsi="Verdana"/>
        </w:rPr>
        <w:footnoteReference w:id="87"/>
      </w:r>
    </w:p>
    <w:p w14:paraId="54917F5D" w14:textId="77777777" w:rsidR="00B73093" w:rsidRDefault="00B73093" w:rsidP="00B73093">
      <w:pPr>
        <w:pStyle w:val="ListParagraph"/>
      </w:pPr>
    </w:p>
    <w:p w14:paraId="1900D3D4" w14:textId="51B22852" w:rsidR="006152A3" w:rsidRPr="006124FE" w:rsidRDefault="006152A3" w:rsidP="00E34D4C">
      <w:pPr>
        <w:pStyle w:val="Heading1"/>
        <w:numPr>
          <w:ilvl w:val="0"/>
          <w:numId w:val="23"/>
        </w:numPr>
        <w:rPr>
          <w:sz w:val="24"/>
          <w:szCs w:val="24"/>
        </w:rPr>
      </w:pPr>
      <w:bookmarkStart w:id="6" w:name="_Toc231921030"/>
      <w:r w:rsidRPr="006124FE">
        <w:rPr>
          <w:sz w:val="24"/>
          <w:szCs w:val="24"/>
        </w:rPr>
        <w:t>Conclusion</w:t>
      </w:r>
      <w:bookmarkEnd w:id="6"/>
      <w:r w:rsidRPr="006124FE">
        <w:rPr>
          <w:sz w:val="24"/>
          <w:szCs w:val="24"/>
        </w:rPr>
        <w:t xml:space="preserve"> </w:t>
      </w:r>
    </w:p>
    <w:p w14:paraId="6892DBFF" w14:textId="77777777" w:rsidR="002177EF" w:rsidRPr="009C1948" w:rsidRDefault="00E34D4C" w:rsidP="002177EF">
      <w:pPr>
        <w:ind w:left="720" w:hanging="720"/>
      </w:pPr>
      <w:r w:rsidRPr="006124FE">
        <w:t>4.1</w:t>
      </w:r>
      <w:r>
        <w:rPr>
          <w:b/>
          <w:bCs/>
        </w:rPr>
        <w:tab/>
      </w:r>
      <w:r w:rsidR="002177EF" w:rsidRPr="009C1948">
        <w:t xml:space="preserve">The Commission advises that proposed amendments to the Justice Bill will bring the law in Northern Ireland on the minimum age of criminal responsibility into closer alignment with international human rights standards. There appears to be a general consensus among Council of Europe member States; on balance favouring a minimum age of 12 years. A significant number have however introduced minimum ages higher than 12 years. </w:t>
      </w:r>
    </w:p>
    <w:p w14:paraId="650EABFD" w14:textId="77777777" w:rsidR="002177EF" w:rsidRPr="009C1948" w:rsidRDefault="002177EF" w:rsidP="002177EF"/>
    <w:p w14:paraId="7EE8E764" w14:textId="2F778EB0" w:rsidR="002177EF" w:rsidRPr="009C1948" w:rsidRDefault="002177EF" w:rsidP="007468AD">
      <w:pPr>
        <w:ind w:left="720" w:hanging="720"/>
      </w:pPr>
      <w:r w:rsidRPr="009C1948">
        <w:t xml:space="preserve">4.2 </w:t>
      </w:r>
      <w:r w:rsidRPr="009C1948">
        <w:tab/>
        <w:t xml:space="preserve">The Commission further advises that while the proposed amendments will raise the age to at least 12 years, there are also a number of exceptions being considered that </w:t>
      </w:r>
      <w:r w:rsidRPr="009C1948">
        <w:t>may</w:t>
      </w:r>
      <w:r w:rsidR="007B5795">
        <w:t xml:space="preserve"> </w:t>
      </w:r>
      <w:r w:rsidRPr="009C1948">
        <w:t xml:space="preserve">result </w:t>
      </w:r>
      <w:r w:rsidRPr="009C1948">
        <w:t xml:space="preserve">in children as young as 10 years still being criminalised. These exceptions do not sit easily alongside human rights standards which attach to the age of the child, rather than the nature of the offending. At the United Nations, the UN CRC Committee has advised that 12 years should be the absolute minimum age, without </w:t>
      </w:r>
      <w:r w:rsidRPr="009C1948">
        <w:lastRenderedPageBreak/>
        <w:t>exceptions even for the most serious offences. Member States have a wide margin of appreciation when determining criminal justice legislation in this area, so long as the law and any subsequent policies do not offend against standards prescribed by the ECHR, interpreted where relevant using other international Treaties. One such other treaty is the UN CRC.</w:t>
      </w:r>
    </w:p>
    <w:p w14:paraId="4801E967" w14:textId="77777777" w:rsidR="002177EF" w:rsidRPr="009C1948" w:rsidRDefault="002177EF" w:rsidP="002177EF"/>
    <w:p w14:paraId="0C63FAD9" w14:textId="56579432" w:rsidR="002177EF" w:rsidRPr="009C1948" w:rsidRDefault="007468AD" w:rsidP="007468AD">
      <w:pPr>
        <w:ind w:left="720" w:hanging="720"/>
      </w:pPr>
      <w:r w:rsidRPr="009C1948">
        <w:t xml:space="preserve">4.3 </w:t>
      </w:r>
      <w:r w:rsidRPr="009C1948">
        <w:tab/>
      </w:r>
      <w:r w:rsidR="002177EF" w:rsidRPr="009C1948">
        <w:t xml:space="preserve">The Commission notes </w:t>
      </w:r>
      <w:r w:rsidR="002177EF" w:rsidRPr="009C1948">
        <w:t xml:space="preserve">that raising </w:t>
      </w:r>
      <w:r w:rsidR="002177EF" w:rsidRPr="009C1948">
        <w:t xml:space="preserve">the minimum age of criminal responsibility will have operational consequences. Further advice should be taken therefore from relevant partners such as the PSNI and the PPS prior to any changes coming into force. Moreover, the impact of those changes should also be assessed from a victims' perspective and using safeguarding principles. It is clear that there are interests to be balanced; those of the child and those of victims and potential victims. </w:t>
      </w:r>
    </w:p>
    <w:p w14:paraId="729B15EB" w14:textId="77777777" w:rsidR="002177EF" w:rsidRPr="009C1948" w:rsidRDefault="002177EF" w:rsidP="002177EF"/>
    <w:p w14:paraId="42A4D653" w14:textId="3B0FBC43" w:rsidR="002177EF" w:rsidRPr="009C1948" w:rsidRDefault="007468AD" w:rsidP="007468AD">
      <w:pPr>
        <w:ind w:left="720" w:hanging="720"/>
      </w:pPr>
      <w:r w:rsidRPr="009C1948">
        <w:t xml:space="preserve">4.4 </w:t>
      </w:r>
      <w:r w:rsidRPr="009C1948">
        <w:tab/>
      </w:r>
      <w:r w:rsidR="002177EF" w:rsidRPr="009C1948">
        <w:t xml:space="preserve">Evidence and the general consensus across the Council of Europe is that a minimum age of criminal responsibility of 10 years is too low because it is ineffective; is counterproductive to the interests of victims and potential victims; </w:t>
      </w:r>
      <w:r w:rsidR="006F0054" w:rsidRPr="009C1948">
        <w:t>and</w:t>
      </w:r>
      <w:r w:rsidR="002177EF" w:rsidRPr="009C1948">
        <w:t xml:space="preserve"> is never in the best interests of the child. The proposed amendments to the Justice Bill would not remove powers to deal with children who present a risk to others, but rather, would adopt an approach which is human rights compliant for both the children involved and society.</w:t>
      </w:r>
    </w:p>
    <w:p w14:paraId="0ABF048D" w14:textId="73E86C11" w:rsidR="009426AE" w:rsidRPr="009C1948" w:rsidRDefault="002C0E16" w:rsidP="009C1948">
      <w:r>
        <w:t xml:space="preserve"> </w:t>
      </w:r>
    </w:p>
    <w:p w14:paraId="712206CE" w14:textId="77777777" w:rsidR="009426AE" w:rsidRDefault="009426AE" w:rsidP="003B7D0E">
      <w:pPr>
        <w:pStyle w:val="BasicParagraph"/>
        <w:suppressAutoHyphens/>
        <w:jc w:val="center"/>
        <w:rPr>
          <w:rFonts w:ascii="Verdana" w:hAnsi="Verdana" w:cs="Arial"/>
          <w:color w:val="3C3C3B"/>
          <w:sz w:val="20"/>
          <w:szCs w:val="20"/>
        </w:rPr>
      </w:pPr>
    </w:p>
    <w:p w14:paraId="66714AA8" w14:textId="77777777" w:rsidR="009426AE" w:rsidRDefault="009426AE" w:rsidP="003B7D0E">
      <w:pPr>
        <w:pStyle w:val="BasicParagraph"/>
        <w:suppressAutoHyphens/>
        <w:jc w:val="center"/>
        <w:rPr>
          <w:rFonts w:ascii="Verdana" w:hAnsi="Verdana" w:cs="Arial"/>
          <w:color w:val="3C3C3B"/>
          <w:sz w:val="20"/>
          <w:szCs w:val="20"/>
        </w:rPr>
      </w:pPr>
    </w:p>
    <w:p w14:paraId="36B57C68" w14:textId="77777777" w:rsidR="00991ACA" w:rsidRDefault="00991ACA" w:rsidP="005A6C88">
      <w:pPr>
        <w:pStyle w:val="BasicParagraph"/>
        <w:suppressAutoHyphens/>
        <w:rPr>
          <w:rFonts w:ascii="Verdana" w:hAnsi="Verdana" w:cs="Arial"/>
          <w:color w:val="3C3C3B"/>
          <w:sz w:val="20"/>
          <w:szCs w:val="20"/>
        </w:rPr>
      </w:pPr>
    </w:p>
    <w:p w14:paraId="1FE6AC7E" w14:textId="77777777" w:rsidR="00991ACA" w:rsidRDefault="00991ACA" w:rsidP="003B7D0E">
      <w:pPr>
        <w:pStyle w:val="BasicParagraph"/>
        <w:suppressAutoHyphens/>
        <w:jc w:val="center"/>
        <w:rPr>
          <w:rFonts w:ascii="Verdana" w:hAnsi="Verdana" w:cs="Arial"/>
          <w:color w:val="3C3C3B"/>
          <w:sz w:val="20"/>
          <w:szCs w:val="20"/>
        </w:rPr>
      </w:pPr>
    </w:p>
    <w:p w14:paraId="33EC4E59" w14:textId="77777777" w:rsidR="00991ACA" w:rsidRDefault="00991ACA" w:rsidP="009C1948">
      <w:pPr>
        <w:pStyle w:val="BasicParagraph"/>
        <w:suppressAutoHyphens/>
        <w:rPr>
          <w:rFonts w:ascii="Verdana" w:hAnsi="Verdana" w:cs="Arial"/>
          <w:color w:val="3C3C3B"/>
          <w:sz w:val="20"/>
          <w:szCs w:val="20"/>
        </w:rPr>
      </w:pPr>
    </w:p>
    <w:p w14:paraId="422F5F28" w14:textId="77777777" w:rsidR="00991ACA" w:rsidRDefault="00991ACA" w:rsidP="003B7D0E">
      <w:pPr>
        <w:pStyle w:val="BasicParagraph"/>
        <w:suppressAutoHyphens/>
        <w:jc w:val="center"/>
        <w:rPr>
          <w:rFonts w:ascii="Verdana" w:hAnsi="Verdana" w:cs="Arial"/>
          <w:color w:val="3C3C3B"/>
          <w:sz w:val="20"/>
          <w:szCs w:val="20"/>
        </w:rPr>
      </w:pPr>
    </w:p>
    <w:p w14:paraId="0F9A0EB4" w14:textId="77777777" w:rsidR="00991ACA" w:rsidRDefault="00991ACA" w:rsidP="003B7D0E">
      <w:pPr>
        <w:pStyle w:val="BasicParagraph"/>
        <w:suppressAutoHyphens/>
        <w:jc w:val="center"/>
        <w:rPr>
          <w:rFonts w:ascii="Verdana" w:hAnsi="Verdana" w:cs="Arial"/>
          <w:color w:val="3C3C3B"/>
          <w:sz w:val="20"/>
          <w:szCs w:val="20"/>
        </w:rPr>
      </w:pPr>
    </w:p>
    <w:p w14:paraId="180B9279" w14:textId="77777777" w:rsidR="00954D1A" w:rsidRDefault="00954D1A" w:rsidP="003B7D0E">
      <w:pPr>
        <w:pStyle w:val="BasicParagraph"/>
        <w:suppressAutoHyphens/>
        <w:jc w:val="center"/>
        <w:rPr>
          <w:rFonts w:ascii="Verdana" w:hAnsi="Verdana" w:cs="Arial"/>
          <w:color w:val="3C3C3B"/>
          <w:sz w:val="20"/>
          <w:szCs w:val="20"/>
        </w:rPr>
      </w:pPr>
    </w:p>
    <w:p w14:paraId="45B6149A" w14:textId="6F1A2A6B" w:rsidR="00705833" w:rsidRPr="00644FDD" w:rsidRDefault="00705833" w:rsidP="00331C61">
      <w:pPr>
        <w:pStyle w:val="BasicParagraph"/>
        <w:suppressAutoHyphens/>
        <w:jc w:val="center"/>
        <w:rPr>
          <w:rFonts w:ascii="Verdana" w:hAnsi="Verdana" w:cs="Arial"/>
          <w:b/>
          <w:bCs/>
          <w:color w:val="77328A"/>
        </w:rPr>
      </w:pPr>
      <w:r w:rsidRPr="00644FDD">
        <w:rPr>
          <w:rFonts w:ascii="Verdana" w:hAnsi="Verdana" w:cs="Arial"/>
          <w:b/>
          <w:bCs/>
          <w:color w:val="77328A"/>
        </w:rPr>
        <w:t>Co</w:t>
      </w:r>
      <w:r w:rsidR="0096459E" w:rsidRPr="00644FDD">
        <w:rPr>
          <w:rFonts w:ascii="Verdana" w:hAnsi="Verdana" w:cs="Arial"/>
          <w:b/>
          <w:bCs/>
          <w:color w:val="77328A"/>
        </w:rPr>
        <w:t xml:space="preserve">ntact us </w:t>
      </w:r>
    </w:p>
    <w:p w14:paraId="75412E7C" w14:textId="77777777" w:rsidR="00331C61" w:rsidRPr="00644FDD" w:rsidRDefault="00331C61" w:rsidP="00331C61">
      <w:pPr>
        <w:pStyle w:val="BasicParagraph"/>
        <w:suppressAutoHyphens/>
        <w:jc w:val="center"/>
        <w:rPr>
          <w:rFonts w:ascii="Verdana" w:hAnsi="Verdana" w:cs="Arial"/>
          <w:b/>
          <w:color w:val="77328A"/>
        </w:rPr>
      </w:pPr>
    </w:p>
    <w:p w14:paraId="587A51CD" w14:textId="580317EC" w:rsidR="0023004A" w:rsidRPr="00644FDD" w:rsidRDefault="001D03E7" w:rsidP="0023004A">
      <w:pPr>
        <w:jc w:val="center"/>
        <w:rPr>
          <w:rFonts w:cs="Arial"/>
          <w:b/>
          <w:color w:val="0000FF" w:themeColor="hyperlink"/>
          <w:u w:val="single"/>
        </w:rPr>
      </w:pPr>
      <w:r w:rsidRPr="00644FDD">
        <w:rPr>
          <w:rFonts w:cs="Arial"/>
          <w:b/>
          <w:color w:val="232120"/>
        </w:rPr>
        <w:t xml:space="preserve">Queries to: </w:t>
      </w:r>
      <w:hyperlink r:id="rId12" w:history="1">
        <w:r w:rsidR="003C5C82">
          <w:rPr>
            <w:rStyle w:val="Hyperlink"/>
            <w:rFonts w:cs="Arial"/>
            <w:b/>
          </w:rPr>
          <w:t>rhyannon.blythe</w:t>
        </w:r>
        <w:r w:rsidR="003C5C82" w:rsidRPr="00644FDD">
          <w:rPr>
            <w:rStyle w:val="Hyperlink"/>
            <w:rFonts w:cs="Arial"/>
            <w:b/>
          </w:rPr>
          <w:t>@nihrc.org</w:t>
        </w:r>
      </w:hyperlink>
      <w:r w:rsidR="0023004A" w:rsidRPr="00644FDD">
        <w:rPr>
          <w:rStyle w:val="Hyperlink"/>
          <w:rFonts w:cs="Arial"/>
          <w:b/>
        </w:rPr>
        <w:t xml:space="preserve"> </w:t>
      </w:r>
    </w:p>
    <w:p w14:paraId="52260765" w14:textId="77777777" w:rsidR="001D03E7" w:rsidRPr="00644FDD" w:rsidRDefault="001D03E7" w:rsidP="003B7D0E">
      <w:pPr>
        <w:jc w:val="center"/>
        <w:rPr>
          <w:rFonts w:cs="Arial"/>
          <w:b/>
          <w:color w:val="232120"/>
        </w:rPr>
      </w:pPr>
    </w:p>
    <w:p w14:paraId="25A2D5A7" w14:textId="77777777" w:rsidR="00331C61" w:rsidRPr="00644FDD" w:rsidRDefault="00331C61" w:rsidP="003B7D0E">
      <w:pPr>
        <w:jc w:val="center"/>
        <w:rPr>
          <w:rFonts w:cs="Arial"/>
          <w:b/>
          <w:color w:val="232120"/>
        </w:rPr>
      </w:pPr>
    </w:p>
    <w:p w14:paraId="72EB3358" w14:textId="77777777" w:rsidR="00331C61" w:rsidRPr="00644FDD" w:rsidRDefault="00331C61" w:rsidP="003B7D0E">
      <w:pPr>
        <w:jc w:val="center"/>
        <w:rPr>
          <w:rFonts w:cs="Arial"/>
          <w:b/>
          <w:color w:val="232120"/>
        </w:rPr>
      </w:pPr>
    </w:p>
    <w:p w14:paraId="441DA257" w14:textId="77777777" w:rsidR="00331C61" w:rsidRPr="00644FDD" w:rsidRDefault="00331C61" w:rsidP="00331C61">
      <w:pPr>
        <w:jc w:val="center"/>
        <w:rPr>
          <w:rFonts w:cs="Arial"/>
          <w:color w:val="232120"/>
        </w:rPr>
      </w:pPr>
      <w:hyperlink r:id="rId13" w:history="1">
        <w:r w:rsidRPr="00644FDD">
          <w:rPr>
            <w:rStyle w:val="Hyperlink"/>
            <w:rFonts w:cs="Arial"/>
            <w:color w:val="232120"/>
            <w:u w:val="none"/>
            <w:lang w:val="en-US"/>
          </w:rPr>
          <w:t>www.nihrc.org</w:t>
        </w:r>
      </w:hyperlink>
      <w:r w:rsidRPr="00644FDD">
        <w:rPr>
          <w:rFonts w:cs="Arial"/>
          <w:color w:val="232120"/>
          <w:lang w:val="en-US"/>
        </w:rPr>
        <w:t xml:space="preserve">  |  </w:t>
      </w:r>
      <w:hyperlink r:id="rId14" w:history="1">
        <w:r w:rsidRPr="00644FDD">
          <w:rPr>
            <w:rStyle w:val="Hyperlink"/>
            <w:rFonts w:cs="Arial"/>
            <w:color w:val="232120"/>
            <w:u w:val="none"/>
            <w:lang w:val="en-US"/>
          </w:rPr>
          <w:t>info@nihrc.org</w:t>
        </w:r>
      </w:hyperlink>
      <w:r w:rsidRPr="00644FDD">
        <w:rPr>
          <w:rFonts w:cs="Arial"/>
          <w:color w:val="232120"/>
          <w:lang w:val="en-US"/>
        </w:rPr>
        <w:t xml:space="preserve">  |  +44 (0)28 9024 3987</w:t>
      </w:r>
    </w:p>
    <w:p w14:paraId="3FE9C8AF" w14:textId="77777777" w:rsidR="00F56C78" w:rsidRPr="00644FDD" w:rsidRDefault="00D16532" w:rsidP="00331C61">
      <w:pPr>
        <w:jc w:val="center"/>
        <w:rPr>
          <w:rFonts w:cs="Arial"/>
          <w:color w:val="232120"/>
        </w:rPr>
      </w:pPr>
      <w:r w:rsidRPr="00644FDD">
        <w:rPr>
          <w:rFonts w:cs="Arial"/>
          <w:color w:val="232120"/>
          <w:lang w:val="en-US"/>
        </w:rPr>
        <w:t>4</w:t>
      </w:r>
      <w:r w:rsidRPr="00644FDD">
        <w:rPr>
          <w:rFonts w:cs="Arial"/>
          <w:color w:val="232120"/>
          <w:vertAlign w:val="superscript"/>
          <w:lang w:val="en-US"/>
        </w:rPr>
        <w:t>th</w:t>
      </w:r>
      <w:r w:rsidRPr="00644FDD">
        <w:rPr>
          <w:rFonts w:cs="Arial"/>
          <w:color w:val="232120"/>
          <w:lang w:val="en-US"/>
        </w:rPr>
        <w:t xml:space="preserve"> Floor, Alfred House, 19-21 Alfred Street, Belfast, BT2 8ED</w:t>
      </w:r>
    </w:p>
    <w:p w14:paraId="06C4BCB1" w14:textId="77777777" w:rsidR="00F56C78" w:rsidRPr="00331C61" w:rsidRDefault="00F56C78" w:rsidP="003B7D0E">
      <w:pPr>
        <w:jc w:val="center"/>
        <w:rPr>
          <w:rFonts w:cs="Arial"/>
          <w:b/>
          <w:color w:val="232120"/>
          <w:sz w:val="28"/>
          <w:szCs w:val="28"/>
        </w:rPr>
      </w:pPr>
    </w:p>
    <w:p w14:paraId="448780FB" w14:textId="77777777" w:rsidR="00F56C78" w:rsidRPr="00331C61" w:rsidRDefault="00F56C78" w:rsidP="003B7D0E">
      <w:pPr>
        <w:jc w:val="center"/>
        <w:rPr>
          <w:rFonts w:cs="Arial"/>
          <w:color w:val="232120"/>
          <w:sz w:val="20"/>
          <w:szCs w:val="20"/>
        </w:rPr>
      </w:pPr>
    </w:p>
    <w:p w14:paraId="1D6BFD3E"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5F5BF8C" wp14:editId="2FC23839">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6F76" w14:textId="77777777" w:rsidR="00EA5B27" w:rsidRDefault="00EA5B27" w:rsidP="00962B2B">
      <w:r>
        <w:separator/>
      </w:r>
    </w:p>
  </w:endnote>
  <w:endnote w:type="continuationSeparator" w:id="0">
    <w:p w14:paraId="5399D466" w14:textId="77777777" w:rsidR="00EA5B27" w:rsidRDefault="00EA5B27" w:rsidP="00962B2B">
      <w:r>
        <w:continuationSeparator/>
      </w:r>
    </w:p>
  </w:endnote>
  <w:endnote w:type="continuationNotice" w:id="1">
    <w:p w14:paraId="02BC10FF" w14:textId="77777777" w:rsidR="00EA5B27" w:rsidRDefault="00EA5B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F1B" w14:textId="77777777" w:rsidR="00D2770F" w:rsidRDefault="00D2770F" w:rsidP="00656ECD">
    <w:pPr>
      <w:pStyle w:val="Footer"/>
      <w:jc w:val="right"/>
      <w:rPr>
        <w:rStyle w:val="PageNumber"/>
        <w:rFonts w:ascii="Arial" w:hAnsi="Arial" w:cs="Arial"/>
        <w:b/>
        <w:sz w:val="16"/>
        <w:szCs w:val="16"/>
      </w:rPr>
    </w:pPr>
  </w:p>
  <w:p w14:paraId="2765316C" w14:textId="77777777" w:rsidR="00D2770F" w:rsidRPr="00216572" w:rsidRDefault="00D2770F" w:rsidP="00656ECD">
    <w:pPr>
      <w:pStyle w:val="Footer"/>
      <w:jc w:val="right"/>
      <w:rPr>
        <w:rFonts w:cs="Arial"/>
        <w:bCs/>
        <w:color w:val="77328A"/>
      </w:rPr>
    </w:pPr>
    <w:r w:rsidRPr="00216572">
      <w:rPr>
        <w:rStyle w:val="PageNumber"/>
        <w:rFonts w:cs="Arial"/>
        <w:bCs/>
        <w:color w:val="77328A"/>
      </w:rPr>
      <w:fldChar w:fldCharType="begin"/>
    </w:r>
    <w:r w:rsidRPr="00216572">
      <w:rPr>
        <w:rStyle w:val="PageNumber"/>
        <w:rFonts w:cs="Arial"/>
        <w:bCs/>
        <w:color w:val="77328A"/>
      </w:rPr>
      <w:instrText xml:space="preserve"> PAGE </w:instrText>
    </w:r>
    <w:r w:rsidRPr="00216572">
      <w:rPr>
        <w:rStyle w:val="PageNumber"/>
        <w:rFonts w:cs="Arial"/>
        <w:bCs/>
        <w:color w:val="77328A"/>
      </w:rPr>
      <w:fldChar w:fldCharType="separate"/>
    </w:r>
    <w:r w:rsidR="00801600" w:rsidRPr="00216572">
      <w:rPr>
        <w:rStyle w:val="PageNumber"/>
        <w:rFonts w:cs="Arial"/>
        <w:bCs/>
        <w:noProof/>
        <w:color w:val="77328A"/>
      </w:rPr>
      <w:t>2</w:t>
    </w:r>
    <w:r w:rsidRPr="00216572">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EB1A" w14:textId="77777777" w:rsidR="00D2770F" w:rsidRDefault="00D2770F" w:rsidP="00046705">
    <w:pPr>
      <w:pStyle w:val="Footer"/>
      <w:jc w:val="right"/>
      <w:rPr>
        <w:rStyle w:val="PageNumber"/>
        <w:rFonts w:ascii="Arial" w:hAnsi="Arial" w:cs="Arial"/>
        <w:b/>
        <w:sz w:val="16"/>
        <w:szCs w:val="16"/>
      </w:rPr>
    </w:pPr>
  </w:p>
  <w:p w14:paraId="6652380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7C86" w14:textId="77777777" w:rsidR="00EA5B27" w:rsidRDefault="00EA5B27" w:rsidP="00B96D34">
      <w:r>
        <w:continuationSeparator/>
      </w:r>
    </w:p>
    <w:p w14:paraId="6D4CDFC4" w14:textId="77777777" w:rsidR="00EA5B27" w:rsidRPr="00B96D34" w:rsidRDefault="00EA5B27" w:rsidP="00B96D34">
      <w:pPr>
        <w:pStyle w:val="Footer"/>
      </w:pPr>
    </w:p>
  </w:footnote>
  <w:footnote w:type="continuationSeparator" w:id="0">
    <w:p w14:paraId="3642C569" w14:textId="77777777" w:rsidR="00EA5B27" w:rsidRDefault="00EA5B27" w:rsidP="00962B2B">
      <w:r>
        <w:continuationSeparator/>
      </w:r>
    </w:p>
  </w:footnote>
  <w:footnote w:type="continuationNotice" w:id="1">
    <w:p w14:paraId="10126B71" w14:textId="77777777" w:rsidR="00EA5B27" w:rsidRDefault="00EA5B27"/>
  </w:footnote>
  <w:footnote w:id="2">
    <w:p w14:paraId="084E7426" w14:textId="77777777" w:rsidR="007A128C" w:rsidRPr="00425C4C" w:rsidRDefault="007A128C" w:rsidP="002C3D59">
      <w:pPr>
        <w:pStyle w:val="NIHRCFootnotes"/>
      </w:pPr>
      <w:r w:rsidRPr="00BD272A">
        <w:rPr>
          <w:rStyle w:val="FootnoteReference"/>
        </w:rPr>
        <w:footnoteRef/>
      </w:r>
      <w:r w:rsidRPr="00BD272A">
        <w:t xml:space="preserve"> </w:t>
      </w:r>
      <w:r w:rsidRPr="00404CBF">
        <w:t xml:space="preserve">The Windsor Framework was formerly known as the Protocol on Ireland/Northern Ireland to the UK-EU Withdrawal Agreement and all references to the Protocol in this document have been updated to reflect this change. </w:t>
      </w:r>
      <w:r w:rsidRPr="00404CBF">
        <w:rPr>
          <w:i/>
          <w:iCs/>
        </w:rPr>
        <w:t xml:space="preserve">See </w:t>
      </w:r>
      <w:r w:rsidRPr="00404CBF">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6AE8DDF7" w14:textId="1B9174B8" w:rsidR="007461BD" w:rsidRPr="000C77C6" w:rsidRDefault="007461BD">
      <w:pPr>
        <w:pStyle w:val="FootnoteText"/>
        <w:rPr>
          <w:color w:val="77328A"/>
          <w:sz w:val="16"/>
          <w:szCs w:val="16"/>
        </w:rPr>
      </w:pPr>
      <w:r w:rsidRPr="000C77C6">
        <w:rPr>
          <w:rStyle w:val="FootnoteReference"/>
          <w:color w:val="77328A"/>
          <w:sz w:val="16"/>
          <w:szCs w:val="16"/>
        </w:rPr>
        <w:footnoteRef/>
      </w:r>
      <w:r w:rsidRPr="000C77C6">
        <w:rPr>
          <w:color w:val="77328A"/>
          <w:sz w:val="16"/>
          <w:szCs w:val="16"/>
        </w:rPr>
        <w:t xml:space="preserve"> </w:t>
      </w:r>
      <w:r w:rsidR="00B875A2" w:rsidRPr="000C77C6">
        <w:rPr>
          <w:color w:val="77328A"/>
          <w:sz w:val="16"/>
          <w:szCs w:val="16"/>
        </w:rPr>
        <w:t xml:space="preserve">Section 42(6)(d), Northern Ireland Act 1998. </w:t>
      </w:r>
    </w:p>
  </w:footnote>
  <w:footnote w:id="4">
    <w:p w14:paraId="7819FE94" w14:textId="12AD4D7F" w:rsidR="001F2789" w:rsidRDefault="001F2789" w:rsidP="002C3D59">
      <w:pPr>
        <w:pStyle w:val="NIHRCFootnotes"/>
      </w:pPr>
      <w:r w:rsidRPr="00BD4D99">
        <w:rPr>
          <w:rStyle w:val="FootnoteReference"/>
          <w:vertAlign w:val="baseline"/>
        </w:rPr>
        <w:footnoteRef/>
      </w:r>
      <w:r w:rsidR="00BD4D99">
        <w:t xml:space="preserve"> </w:t>
      </w:r>
      <w:r w:rsidR="00B75B16" w:rsidRPr="00B75B16">
        <w:t xml:space="preserve">Northern Ireland </w:t>
      </w:r>
      <w:r w:rsidR="0024298C" w:rsidRPr="00B75B16">
        <w:t>Assembly</w:t>
      </w:r>
      <w:r w:rsidR="0024298C">
        <w:t xml:space="preserve">, </w:t>
      </w:r>
      <w:r w:rsidR="0024298C" w:rsidRPr="00B75B16">
        <w:t>‘Justice</w:t>
      </w:r>
      <w:r w:rsidR="00B75B16" w:rsidRPr="00B75B16">
        <w:t xml:space="preserve"> Bill Marshalled List of Amendments Consideration Stage</w:t>
      </w:r>
      <w:r w:rsidR="0024298C">
        <w:t>’</w:t>
      </w:r>
      <w:r w:rsidR="00337600">
        <w:t xml:space="preserve">, 2 June 2026 </w:t>
      </w:r>
      <w:hyperlink r:id="rId1" w:history="1">
        <w:r w:rsidR="00EB32A7" w:rsidRPr="00987C98">
          <w:rPr>
            <w:rStyle w:val="Hyperlink"/>
          </w:rPr>
          <w:t>https://www.niassembly.gov.uk/globalassets/documents/legislation/bills/executive-bills/mandate-2022-2027/justice-bill/ml-1---fpv.pdf</w:t>
        </w:r>
      </w:hyperlink>
      <w:r w:rsidR="009921CF">
        <w:t xml:space="preserve">. </w:t>
      </w:r>
    </w:p>
  </w:footnote>
  <w:footnote w:id="5">
    <w:p w14:paraId="3CE66C59" w14:textId="3F9E444B" w:rsidR="00972D6E" w:rsidRDefault="00972D6E" w:rsidP="002C3D59">
      <w:pPr>
        <w:pStyle w:val="NIHRCFootnotes"/>
      </w:pPr>
      <w:r>
        <w:rPr>
          <w:rStyle w:val="FootnoteReference"/>
        </w:rPr>
        <w:footnoteRef/>
      </w:r>
      <w:r>
        <w:t xml:space="preserve"> </w:t>
      </w:r>
      <w:r w:rsidR="00243ADD" w:rsidRPr="00243ADD">
        <w:t>UK ratification 1951 and given further domestic effect by the Human Rights Act 1998.</w:t>
      </w:r>
    </w:p>
  </w:footnote>
  <w:footnote w:id="6">
    <w:p w14:paraId="53CC5311" w14:textId="48B5986B" w:rsidR="00972D6E" w:rsidRDefault="00972D6E" w:rsidP="002C3D59">
      <w:pPr>
        <w:pStyle w:val="NIHRCFootnotes"/>
      </w:pPr>
      <w:r>
        <w:rPr>
          <w:rStyle w:val="FootnoteReference"/>
        </w:rPr>
        <w:footnoteRef/>
      </w:r>
      <w:r>
        <w:t xml:space="preserve"> </w:t>
      </w:r>
      <w:r w:rsidR="00846630" w:rsidRPr="00846630">
        <w:t xml:space="preserve">UK ratification 1962. The UK has signed, but not ratified, the </w:t>
      </w:r>
      <w:proofErr w:type="spellStart"/>
      <w:r w:rsidR="00846630" w:rsidRPr="00846630">
        <w:t>CoE</w:t>
      </w:r>
      <w:proofErr w:type="spellEnd"/>
      <w:r w:rsidR="00846630" w:rsidRPr="00846630">
        <w:t xml:space="preserve"> Revised European Social Charter 1991.</w:t>
      </w:r>
    </w:p>
  </w:footnote>
  <w:footnote w:id="7">
    <w:p w14:paraId="2F027885" w14:textId="42807DD0" w:rsidR="002C3D59" w:rsidRDefault="002C3D59" w:rsidP="002C3D59">
      <w:pPr>
        <w:pStyle w:val="NIHRCFootnotes"/>
      </w:pPr>
      <w:r>
        <w:rPr>
          <w:rStyle w:val="FootnoteReference"/>
        </w:rPr>
        <w:footnoteRef/>
      </w:r>
      <w:r>
        <w:t xml:space="preserve"> </w:t>
      </w:r>
      <w:r w:rsidRPr="002C3D59">
        <w:t>UK ratification 1991</w:t>
      </w:r>
      <w:r>
        <w:t>.</w:t>
      </w:r>
    </w:p>
  </w:footnote>
  <w:footnote w:id="8">
    <w:p w14:paraId="3B59A03A" w14:textId="37FE28E9" w:rsidR="00CA5B3E" w:rsidRDefault="00CA5B3E" w:rsidP="007B7A2B">
      <w:pPr>
        <w:pStyle w:val="NIHRCFootnotes"/>
      </w:pPr>
      <w:r>
        <w:rPr>
          <w:rStyle w:val="FootnoteReference"/>
        </w:rPr>
        <w:footnoteRef/>
      </w:r>
      <w:r w:rsidR="001438E5">
        <w:t xml:space="preserve"> </w:t>
      </w:r>
      <w:r w:rsidRPr="00067F12">
        <w:t>CRC/C/GC/10</w:t>
      </w:r>
      <w:r>
        <w:t>,</w:t>
      </w:r>
      <w:r w:rsidR="003F4065">
        <w:t xml:space="preserve"> ’</w:t>
      </w:r>
      <w:r>
        <w:t>UN</w:t>
      </w:r>
      <w:r w:rsidR="00163241">
        <w:t xml:space="preserve"> CRC</w:t>
      </w:r>
      <w:r w:rsidR="008905D8">
        <w:t xml:space="preserve"> Committee </w:t>
      </w:r>
      <w:r w:rsidRPr="00067F12">
        <w:t>General Comment No. 10</w:t>
      </w:r>
      <w:r w:rsidR="003F4065">
        <w:t xml:space="preserve">: </w:t>
      </w:r>
      <w:r w:rsidRPr="00067F12">
        <w:t>Children’s rights in juvenile justice</w:t>
      </w:r>
      <w:r w:rsidR="008905D8">
        <w:t>’</w:t>
      </w:r>
      <w:r>
        <w:t>, 25 April 2007.</w:t>
      </w:r>
    </w:p>
  </w:footnote>
  <w:footnote w:id="9">
    <w:p w14:paraId="6D830A55" w14:textId="38550058" w:rsidR="0093476B" w:rsidRDefault="0093476B" w:rsidP="007B7A2B">
      <w:pPr>
        <w:pStyle w:val="NIHRCFootnotes"/>
      </w:pPr>
      <w:r>
        <w:rPr>
          <w:rStyle w:val="FootnoteReference"/>
        </w:rPr>
        <w:footnoteRef/>
      </w:r>
      <w:r>
        <w:t xml:space="preserve"> </w:t>
      </w:r>
      <w:r w:rsidRPr="00545735">
        <w:rPr>
          <w:shd w:val="clear" w:color="auto" w:fill="F9F9F9"/>
        </w:rPr>
        <w:t>CRC/C/GC/20, ‘UN</w:t>
      </w:r>
      <w:r w:rsidR="00B24F9A">
        <w:rPr>
          <w:shd w:val="clear" w:color="auto" w:fill="F9F9F9"/>
        </w:rPr>
        <w:t xml:space="preserve"> CRC </w:t>
      </w:r>
      <w:r w:rsidRPr="00545735">
        <w:rPr>
          <w:shd w:val="clear" w:color="auto" w:fill="F9F9F9"/>
        </w:rPr>
        <w:t>Committee</w:t>
      </w:r>
      <w:r w:rsidR="00B24F9A">
        <w:rPr>
          <w:shd w:val="clear" w:color="auto" w:fill="F9F9F9"/>
        </w:rPr>
        <w:t xml:space="preserve"> </w:t>
      </w:r>
      <w:r w:rsidRPr="00E32BAA">
        <w:rPr>
          <w:shd w:val="clear" w:color="auto" w:fill="F9F9F9"/>
        </w:rPr>
        <w:t xml:space="preserve">General </w:t>
      </w:r>
      <w:r>
        <w:rPr>
          <w:shd w:val="clear" w:color="auto" w:fill="F9F9F9"/>
        </w:rPr>
        <w:t>C</w:t>
      </w:r>
      <w:r w:rsidRPr="00E32BAA">
        <w:rPr>
          <w:shd w:val="clear" w:color="auto" w:fill="F9F9F9"/>
        </w:rPr>
        <w:t xml:space="preserve">omment No. 20: </w:t>
      </w:r>
      <w:r w:rsidR="00B24F9A">
        <w:rPr>
          <w:shd w:val="clear" w:color="auto" w:fill="F9F9F9"/>
        </w:rPr>
        <w:t>T</w:t>
      </w:r>
      <w:r w:rsidRPr="00E32BAA">
        <w:rPr>
          <w:shd w:val="clear" w:color="auto" w:fill="F9F9F9"/>
        </w:rPr>
        <w:t>he implementation of the rights of the child during adolescence</w:t>
      </w:r>
      <w:r>
        <w:rPr>
          <w:shd w:val="clear" w:color="auto" w:fill="F9F9F9"/>
        </w:rPr>
        <w:t>’</w:t>
      </w:r>
      <w:r w:rsidR="007C3F39">
        <w:rPr>
          <w:shd w:val="clear" w:color="auto" w:fill="F9F9F9"/>
        </w:rPr>
        <w:t>,</w:t>
      </w:r>
      <w:r>
        <w:rPr>
          <w:shd w:val="clear" w:color="auto" w:fill="F9F9F9"/>
        </w:rPr>
        <w:t xml:space="preserve"> </w:t>
      </w:r>
      <w:r w:rsidRPr="00E32BAA">
        <w:rPr>
          <w:shd w:val="clear" w:color="auto" w:fill="F9F9F9"/>
        </w:rPr>
        <w:t>6 December 2016</w:t>
      </w:r>
      <w:r w:rsidR="00B24F9A">
        <w:rPr>
          <w:shd w:val="clear" w:color="auto" w:fill="F9F9F9"/>
        </w:rPr>
        <w:t>.</w:t>
      </w:r>
    </w:p>
  </w:footnote>
  <w:footnote w:id="10">
    <w:p w14:paraId="4951E95B" w14:textId="31F63C7D" w:rsidR="005E373B" w:rsidRDefault="005E373B" w:rsidP="007B7A2B">
      <w:pPr>
        <w:pStyle w:val="NIHRCFootnotes"/>
      </w:pPr>
      <w:r>
        <w:rPr>
          <w:rStyle w:val="FootnoteReference"/>
        </w:rPr>
        <w:footnoteRef/>
      </w:r>
      <w:r w:rsidR="0012237C">
        <w:t xml:space="preserve"> </w:t>
      </w:r>
      <w:r w:rsidRPr="00E32BAA">
        <w:t>CRC/C/GC</w:t>
      </w:r>
      <w:r w:rsidRPr="00545735">
        <w:t>/24, 'UN CRC Committee General Comment No 24: Children's Rights in the Child Justice System'</w:t>
      </w:r>
      <w:r w:rsidR="007C3F39">
        <w:t xml:space="preserve">, </w:t>
      </w:r>
      <w:r w:rsidRPr="00545735">
        <w:t>18 September 2019</w:t>
      </w:r>
      <w:r w:rsidR="007C3F39">
        <w:t>.</w:t>
      </w:r>
    </w:p>
  </w:footnote>
  <w:footnote w:id="11">
    <w:p w14:paraId="5CF5D859" w14:textId="45B3B685" w:rsidR="005B04B9" w:rsidRDefault="005B04B9" w:rsidP="007B7A2B">
      <w:pPr>
        <w:pStyle w:val="NIHRCFootnotes"/>
      </w:pPr>
      <w:r>
        <w:rPr>
          <w:rStyle w:val="FootnoteReference"/>
        </w:rPr>
        <w:footnoteRef/>
      </w:r>
      <w:r w:rsidR="00956E83">
        <w:t xml:space="preserve"> </w:t>
      </w:r>
      <w:r w:rsidR="00FE2CCC" w:rsidRPr="00FE2CCC">
        <w:t>CRC/C/GBR/CO/5, 'UN CRC Committee Concluding Observations on the Fifth Periodic Report of the UK of Great Britain and NI', 12 July 2016.</w:t>
      </w:r>
    </w:p>
  </w:footnote>
  <w:footnote w:id="12">
    <w:p w14:paraId="3919725E" w14:textId="69D0D9A6" w:rsidR="00B10605" w:rsidRDefault="00B10605" w:rsidP="00063926">
      <w:pPr>
        <w:pStyle w:val="NIHRCFootnotes"/>
      </w:pPr>
      <w:r>
        <w:rPr>
          <w:rStyle w:val="FootnoteReference"/>
        </w:rPr>
        <w:footnoteRef/>
      </w:r>
      <w:r w:rsidR="0012237C">
        <w:t xml:space="preserve"> </w:t>
      </w:r>
      <w:r w:rsidR="00063926" w:rsidRPr="005C4A28">
        <w:t>CRC/C/GBR/CO/6-7</w:t>
      </w:r>
      <w:r w:rsidR="00063926">
        <w:t>, ‘UN Committee on the Rights of the Child, ‘</w:t>
      </w:r>
      <w:r w:rsidR="00063926" w:rsidRPr="00AF5483">
        <w:t>Concluding observations on the combined sixth and seventh periodic reports of the United Kingdom of Great Britain and Northern Ireland</w:t>
      </w:r>
      <w:r w:rsidR="00063926">
        <w:t>’, 2 June 2023.</w:t>
      </w:r>
    </w:p>
  </w:footnote>
  <w:footnote w:id="13">
    <w:p w14:paraId="0E726F62" w14:textId="4312D0BE" w:rsidR="008A7599" w:rsidRDefault="008A7599" w:rsidP="000D036A">
      <w:pPr>
        <w:pStyle w:val="NIHRCFootnotes"/>
      </w:pPr>
      <w:r>
        <w:rPr>
          <w:rStyle w:val="FootnoteReference"/>
        </w:rPr>
        <w:footnoteRef/>
      </w:r>
      <w:r w:rsidR="0012237C">
        <w:t xml:space="preserve"> </w:t>
      </w:r>
      <w:r>
        <w:t>C</w:t>
      </w:r>
      <w:r w:rsidRPr="00C407B8">
        <w:t>CPR/C/GBR/CO/8, ‘UN Human Rights Committee Concluding Observations on the Eighth Periodic Report of the UK of Great Britain and NI’, 3 May 2024</w:t>
      </w:r>
      <w:r w:rsidR="00E14727">
        <w:t>.</w:t>
      </w:r>
    </w:p>
  </w:footnote>
  <w:footnote w:id="14">
    <w:p w14:paraId="74688219" w14:textId="184D3774" w:rsidR="000D036A" w:rsidRDefault="000D036A" w:rsidP="000D036A">
      <w:pPr>
        <w:pStyle w:val="NIHRCFootnotes"/>
      </w:pPr>
      <w:r>
        <w:rPr>
          <w:rStyle w:val="FootnoteReference"/>
        </w:rPr>
        <w:footnoteRef/>
      </w:r>
      <w:r>
        <w:t xml:space="preserve"> </w:t>
      </w:r>
      <w:r w:rsidRPr="00D432AA">
        <w:t>CAT/C/GBR/CO/6, 'UN CAT Committee Concluding Observations on the Sixth Periodic Report of the UK of Great Britain and NI', 7 June 2019</w:t>
      </w:r>
      <w:r>
        <w:t>.</w:t>
      </w:r>
    </w:p>
  </w:footnote>
  <w:footnote w:id="15">
    <w:p w14:paraId="5AF56750" w14:textId="23230124" w:rsidR="00697054" w:rsidRDefault="00697054" w:rsidP="00816AFC">
      <w:pPr>
        <w:pStyle w:val="NIHRCFootnotes"/>
      </w:pPr>
      <w:r>
        <w:rPr>
          <w:rStyle w:val="FootnoteReference"/>
        </w:rPr>
        <w:footnoteRef/>
      </w:r>
      <w:r w:rsidR="00816AFC">
        <w:t xml:space="preserve"> </w:t>
      </w:r>
      <w:r w:rsidR="00DD7602">
        <w:t xml:space="preserve">Council </w:t>
      </w:r>
      <w:r w:rsidR="00816AFC">
        <w:t xml:space="preserve">Of </w:t>
      </w:r>
      <w:r w:rsidR="00DD7602">
        <w:t>Europe</w:t>
      </w:r>
      <w:r w:rsidR="00816AFC">
        <w:t>, ‘</w:t>
      </w:r>
      <w:r w:rsidR="007C3F39">
        <w:t>European Comm</w:t>
      </w:r>
      <w:r w:rsidR="00094255">
        <w:t xml:space="preserve">ittee </w:t>
      </w:r>
      <w:r w:rsidR="001F1626">
        <w:t>of</w:t>
      </w:r>
      <w:r w:rsidR="00816AFC">
        <w:t xml:space="preserve"> </w:t>
      </w:r>
      <w:r w:rsidR="00094255">
        <w:t>Social Rights</w:t>
      </w:r>
      <w:r w:rsidR="00816AFC">
        <w:t xml:space="preserve">, </w:t>
      </w:r>
      <w:r w:rsidR="00094255">
        <w:t>Conclusions</w:t>
      </w:r>
      <w:r w:rsidR="00DD7602">
        <w:t xml:space="preserve"> </w:t>
      </w:r>
      <w:r w:rsidR="001F1626">
        <w:t>on</w:t>
      </w:r>
      <w:r w:rsidR="00816AFC">
        <w:t xml:space="preserve"> </w:t>
      </w:r>
      <w:r w:rsidR="00DD7602">
        <w:t>United King</w:t>
      </w:r>
      <w:r w:rsidR="00571D2E">
        <w:t>dom</w:t>
      </w:r>
      <w:r w:rsidR="00094255">
        <w:t xml:space="preserve"> </w:t>
      </w:r>
      <w:r w:rsidR="00816AFC">
        <w:t xml:space="preserve">2019,’ </w:t>
      </w:r>
      <w:r w:rsidR="00571D2E">
        <w:t xml:space="preserve">March </w:t>
      </w:r>
      <w:r w:rsidR="00816AFC">
        <w:t>2019.</w:t>
      </w:r>
    </w:p>
  </w:footnote>
  <w:footnote w:id="16">
    <w:p w14:paraId="7C7F452B" w14:textId="37669567" w:rsidR="00CC4B72" w:rsidRDefault="00CC4B72" w:rsidP="00816AFC">
      <w:pPr>
        <w:pStyle w:val="NIHRCFootnotes"/>
      </w:pPr>
      <w:r>
        <w:rPr>
          <w:rStyle w:val="FootnoteReference"/>
        </w:rPr>
        <w:footnoteRef/>
      </w:r>
      <w:r w:rsidR="00816AFC">
        <w:t xml:space="preserve"> </w:t>
      </w:r>
      <w:r w:rsidR="00816AFC" w:rsidRPr="00816AFC">
        <w:t>Conclusions XX-4 (2015)</w:t>
      </w:r>
      <w:r w:rsidR="00816AFC">
        <w:t xml:space="preserve">, </w:t>
      </w:r>
      <w:r>
        <w:t xml:space="preserve">Council </w:t>
      </w:r>
      <w:r w:rsidR="00816AFC">
        <w:t xml:space="preserve">of </w:t>
      </w:r>
      <w:r>
        <w:t>Europe</w:t>
      </w:r>
      <w:r w:rsidR="00816AFC">
        <w:t>, ‘</w:t>
      </w:r>
      <w:r>
        <w:t xml:space="preserve">European Committee </w:t>
      </w:r>
      <w:r w:rsidR="001F1626">
        <w:t>of</w:t>
      </w:r>
      <w:r w:rsidR="00816AFC">
        <w:t xml:space="preserve"> </w:t>
      </w:r>
      <w:r>
        <w:t>Social Rights</w:t>
      </w:r>
      <w:r w:rsidR="00816AFC">
        <w:t xml:space="preserve">, </w:t>
      </w:r>
      <w:r>
        <w:t xml:space="preserve">Conclusions </w:t>
      </w:r>
      <w:r w:rsidR="001F1626">
        <w:t>o</w:t>
      </w:r>
      <w:r w:rsidR="00816AFC">
        <w:t xml:space="preserve">n </w:t>
      </w:r>
      <w:r w:rsidR="00816AFC" w:rsidRPr="00816AFC">
        <w:t>Czech Republic, Denmark, Germany, Greece, Poland, Spain, United Kingdom</w:t>
      </w:r>
      <w:r>
        <w:t>,’ January 2016</w:t>
      </w:r>
      <w:r w:rsidR="00816AFC">
        <w:t>.</w:t>
      </w:r>
    </w:p>
  </w:footnote>
  <w:footnote w:id="17">
    <w:p w14:paraId="56DACFFB" w14:textId="2356F02A" w:rsidR="008A4C40" w:rsidRDefault="008A4C40" w:rsidP="007B7A2B">
      <w:pPr>
        <w:pStyle w:val="NIHRCFootnotes"/>
      </w:pPr>
      <w:r>
        <w:rPr>
          <w:rStyle w:val="FootnoteReference"/>
        </w:rPr>
        <w:footnoteRef/>
      </w:r>
      <w:r>
        <w:t xml:space="preserve"> </w:t>
      </w:r>
      <w:r w:rsidR="00816944" w:rsidRPr="00816944">
        <w:t>Council of Europe</w:t>
      </w:r>
      <w:r w:rsidR="00816944">
        <w:t>,</w:t>
      </w:r>
      <w:r w:rsidR="00A8133B">
        <w:t xml:space="preserve"> C</w:t>
      </w:r>
      <w:r w:rsidR="007B7A2B" w:rsidRPr="007B7A2B">
        <w:t xml:space="preserve">ommittee of Ministers, </w:t>
      </w:r>
      <w:r w:rsidR="00A8133B">
        <w:t>‘</w:t>
      </w:r>
      <w:r w:rsidR="007B7A2B" w:rsidRPr="007B7A2B">
        <w:t>Guidelines on Child-Friendly Justice</w:t>
      </w:r>
      <w:r w:rsidR="00A8133B">
        <w:t>’,</w:t>
      </w:r>
      <w:r w:rsidR="007B7A2B" w:rsidRPr="007B7A2B">
        <w:t xml:space="preserve"> adopted 17 November 2010</w:t>
      </w:r>
      <w:r w:rsidR="00A8133B">
        <w:t>.</w:t>
      </w:r>
    </w:p>
  </w:footnote>
  <w:footnote w:id="18">
    <w:p w14:paraId="51CFED3C" w14:textId="0487BB6B" w:rsidR="00BD2DDF" w:rsidRDefault="00BD2DDF" w:rsidP="007B7A2B">
      <w:pPr>
        <w:pStyle w:val="NIHRCFootnotes"/>
      </w:pPr>
      <w:r>
        <w:rPr>
          <w:rStyle w:val="FootnoteReference"/>
        </w:rPr>
        <w:footnoteRef/>
      </w:r>
      <w:r>
        <w:t xml:space="preserve"> </w:t>
      </w:r>
      <w:r w:rsidR="00956E83" w:rsidRPr="00EE2156">
        <w:rPr>
          <w:rFonts w:cs="Open Sans"/>
          <w:shd w:val="clear" w:color="auto" w:fill="FFFFFF"/>
        </w:rPr>
        <w:t>A/RES/40/33, ‘</w:t>
      </w:r>
      <w:r w:rsidR="00956E83" w:rsidRPr="00EE2156">
        <w:t>UN Standard Minimum Rules for the Administration of Juvenile Justice ("The Beijing Rules"): adopted by General Assembly</w:t>
      </w:r>
      <w:r w:rsidR="006C7A2D">
        <w:t xml:space="preserve">, </w:t>
      </w:r>
      <w:r w:rsidR="00956E83" w:rsidRPr="00EE2156">
        <w:t>29 November 1985</w:t>
      </w:r>
      <w:r w:rsidR="006C7A2D">
        <w:t>.</w:t>
      </w:r>
    </w:p>
  </w:footnote>
  <w:footnote w:id="19">
    <w:p w14:paraId="4C7CB460" w14:textId="291253CA" w:rsidR="00761800" w:rsidRDefault="00761800" w:rsidP="00761800">
      <w:pPr>
        <w:pStyle w:val="NIHRCFootnotes"/>
      </w:pPr>
      <w:r>
        <w:rPr>
          <w:rStyle w:val="FootnoteReference"/>
        </w:rPr>
        <w:footnoteRef/>
      </w:r>
      <w:r>
        <w:t xml:space="preserve"> </w:t>
      </w:r>
      <w:r w:rsidRPr="00B22067">
        <w:t>Criminal Justice (Children) (Northern Ireland) Order 1998</w:t>
      </w:r>
      <w:r>
        <w:t>.</w:t>
      </w:r>
    </w:p>
  </w:footnote>
  <w:footnote w:id="20">
    <w:p w14:paraId="1F14383D" w14:textId="51ACA5E3" w:rsidR="00E07061" w:rsidRPr="00A90D2C" w:rsidRDefault="00E07061" w:rsidP="00A90D2C">
      <w:pPr>
        <w:pStyle w:val="NIHRCFootnotes"/>
      </w:pPr>
      <w:r w:rsidRPr="00A90D2C">
        <w:rPr>
          <w:rStyle w:val="FootnoteReference"/>
          <w:vertAlign w:val="baseline"/>
        </w:rPr>
        <w:footnoteRef/>
      </w:r>
      <w:r w:rsidRPr="00A90D2C">
        <w:t xml:space="preserve"> A/RES/40/33, ‘UN Standard Minimum Rules for the Administration of Juvenile Justice ("The Beijing Rules")</w:t>
      </w:r>
      <w:r w:rsidR="00C92A0B" w:rsidRPr="00A90D2C">
        <w:t>’,</w:t>
      </w:r>
      <w:r w:rsidRPr="00A90D2C">
        <w:t xml:space="preserve"> adopted by </w:t>
      </w:r>
      <w:r w:rsidR="00C92A0B" w:rsidRPr="00A90D2C">
        <w:t xml:space="preserve">the </w:t>
      </w:r>
      <w:r w:rsidRPr="00A90D2C">
        <w:t>General Assembly</w:t>
      </w:r>
      <w:r w:rsidR="00C92A0B" w:rsidRPr="00A90D2C">
        <w:t xml:space="preserve">, </w:t>
      </w:r>
      <w:r w:rsidRPr="00A90D2C">
        <w:t>29 November 1985.</w:t>
      </w:r>
    </w:p>
  </w:footnote>
  <w:footnote w:id="21">
    <w:p w14:paraId="1237512C" w14:textId="3720C15A" w:rsidR="00927675" w:rsidRPr="00A90D2C" w:rsidRDefault="00927675" w:rsidP="00A90D2C">
      <w:pPr>
        <w:pStyle w:val="NIHRCFootnotes"/>
      </w:pPr>
      <w:r w:rsidRPr="00A90D2C">
        <w:rPr>
          <w:rStyle w:val="FootnoteReference"/>
          <w:vertAlign w:val="baseline"/>
        </w:rPr>
        <w:footnoteRef/>
      </w:r>
      <w:r w:rsidRPr="00A90D2C">
        <w:t xml:space="preserve"> </w:t>
      </w:r>
      <w:r w:rsidR="00E93EE9" w:rsidRPr="00A90D2C">
        <w:t>Department of Justice, ‘Public Consultation on Increasing the Minimum Age of Criminal Responsibility in NI from 10 Years to 14 Years’ (</w:t>
      </w:r>
      <w:proofErr w:type="spellStart"/>
      <w:r w:rsidR="00E93EE9" w:rsidRPr="00A90D2C">
        <w:t>DoJ</w:t>
      </w:r>
      <w:proofErr w:type="spellEnd"/>
      <w:r w:rsidR="00E93EE9" w:rsidRPr="00A90D2C">
        <w:t>, 2022). See also Department of Justice, ‘Strategic Framework for Youth Justice 2022-2027’ (</w:t>
      </w:r>
      <w:proofErr w:type="spellStart"/>
      <w:r w:rsidR="00E93EE9" w:rsidRPr="00A90D2C">
        <w:t>DoJ</w:t>
      </w:r>
      <w:proofErr w:type="spellEnd"/>
      <w:r w:rsidR="00E93EE9" w:rsidRPr="00A90D2C">
        <w:t>, 2022), at 47.</w:t>
      </w:r>
    </w:p>
  </w:footnote>
  <w:footnote w:id="22">
    <w:p w14:paraId="0C73550A" w14:textId="499341F3" w:rsidR="00D77240" w:rsidRPr="00A90D2C" w:rsidRDefault="00D77240" w:rsidP="00A90D2C">
      <w:pPr>
        <w:pStyle w:val="NIHRCFootnotes"/>
      </w:pPr>
      <w:r w:rsidRPr="00A90D2C">
        <w:rPr>
          <w:rStyle w:val="FootnoteReference"/>
          <w:vertAlign w:val="baseline"/>
        </w:rPr>
        <w:footnoteRef/>
      </w:r>
      <w:r w:rsidRPr="00A90D2C">
        <w:t xml:space="preserve"> Department of Justice, ‘Public Consultation on Increasing the Minimum Age of Criminal Responsibility in NI from 10 Years to 14 Years’ (DoJ, 2022). See also Department of Justice, ‘Strategic Framework for Youth Justice 2022-2027’ (DoJ, 2022), at 47.</w:t>
      </w:r>
    </w:p>
  </w:footnote>
  <w:footnote w:id="23">
    <w:p w14:paraId="6E63CCB0" w14:textId="025D60AF" w:rsidR="00442351" w:rsidRDefault="00442351" w:rsidP="00A90D2C">
      <w:pPr>
        <w:pStyle w:val="NIHRCFootnotes"/>
      </w:pPr>
      <w:r w:rsidRPr="00A90D2C">
        <w:rPr>
          <w:rStyle w:val="FootnoteReference"/>
          <w:vertAlign w:val="baseline"/>
        </w:rPr>
        <w:footnoteRef/>
      </w:r>
      <w:r w:rsidRPr="00A90D2C">
        <w:t xml:space="preserve"> </w:t>
      </w:r>
      <w:r w:rsidR="00305A5D" w:rsidRPr="00A90D2C">
        <w:t>Department of Justice, ‘Increasing the Minimum Age of Criminal Responsibility in NI from 10 Years to 14 Years: Summary of Consultation Responses’ (DoJ, 2023), at 25</w:t>
      </w:r>
      <w:r w:rsidR="005878FE" w:rsidRPr="00A90D2C">
        <w:t>.</w:t>
      </w:r>
    </w:p>
  </w:footnote>
  <w:footnote w:id="24">
    <w:p w14:paraId="1B90B0B3" w14:textId="1B29BE11" w:rsidR="002A5A54" w:rsidRPr="00593819" w:rsidRDefault="002A5A54" w:rsidP="00593819">
      <w:pPr>
        <w:pStyle w:val="NIHRCFootnotes"/>
      </w:pPr>
      <w:r w:rsidRPr="00593819">
        <w:rPr>
          <w:rStyle w:val="FootnoteReference"/>
          <w:vertAlign w:val="baseline"/>
        </w:rPr>
        <w:footnoteRef/>
      </w:r>
      <w:r w:rsidRPr="00593819">
        <w:t xml:space="preserve"> </w:t>
      </w:r>
      <w:r w:rsidR="00411E29" w:rsidRPr="00593819">
        <w:t>World Health Organisation</w:t>
      </w:r>
      <w:r w:rsidR="001B41AD" w:rsidRPr="00593819">
        <w:t xml:space="preserve">, European Region, </w:t>
      </w:r>
      <w:hyperlink r:id="rId2" w:anchor="id=27488" w:history="1">
        <w:r w:rsidR="00411E29" w:rsidRPr="00593819">
          <w:rPr>
            <w:rStyle w:val="Hyperlink"/>
            <w:color w:val="77328A"/>
            <w:u w:val="none"/>
          </w:rPr>
          <w:t>Minimum age of criminal responsibility - European Health Information Gateway</w:t>
        </w:r>
      </w:hyperlink>
      <w:r w:rsidR="0053777B" w:rsidRPr="00593819">
        <w:t xml:space="preserve"> Persons under the age of 12 cannot generally be held liable for any criminal offence, but children aged 10 or 11 can be held criminally liable for murder, manslaughter, rape, rape under section 4 of the Criminal Law (Rape) (Amendment) Act 1990 or aggravated sexual assault.</w:t>
      </w:r>
    </w:p>
  </w:footnote>
  <w:footnote w:id="25">
    <w:p w14:paraId="7BCB2148" w14:textId="1D6AFEE0" w:rsidR="003658D7" w:rsidRPr="00593819" w:rsidRDefault="003658D7" w:rsidP="00593819">
      <w:pPr>
        <w:pStyle w:val="NIHRCFootnotes"/>
      </w:pPr>
      <w:r w:rsidRPr="00593819">
        <w:rPr>
          <w:rStyle w:val="FootnoteReference"/>
          <w:vertAlign w:val="baseline"/>
        </w:rPr>
        <w:footnoteRef/>
      </w:r>
      <w:r w:rsidRPr="00593819">
        <w:t xml:space="preserve"> </w:t>
      </w:r>
      <w:hyperlink r:id="rId3" w:tgtFrame="_blank" w:history="1">
        <w:r w:rsidRPr="00593819">
          <w:rPr>
            <w:rStyle w:val="Hyperlink"/>
            <w:color w:val="77328A"/>
            <w:u w:val="none"/>
          </w:rPr>
          <w:t>Age of Criminal Responsibility (Scotland) Act 2019</w:t>
        </w:r>
      </w:hyperlink>
      <w:r w:rsidR="00593819">
        <w:t>.</w:t>
      </w:r>
    </w:p>
  </w:footnote>
  <w:footnote w:id="26">
    <w:p w14:paraId="28286F94" w14:textId="2CC09352" w:rsidR="00125032" w:rsidRPr="00593819" w:rsidRDefault="00125032" w:rsidP="00593819">
      <w:pPr>
        <w:pStyle w:val="NIHRCFootnotes"/>
      </w:pPr>
      <w:r w:rsidRPr="00593819">
        <w:rPr>
          <w:rStyle w:val="FootnoteReference"/>
          <w:vertAlign w:val="baseline"/>
        </w:rPr>
        <w:footnoteRef/>
      </w:r>
      <w:r w:rsidRPr="00593819">
        <w:t xml:space="preserve"> </w:t>
      </w:r>
      <w:hyperlink r:id="rId4" w:history="1">
        <w:r w:rsidRPr="00593819">
          <w:rPr>
            <w:rStyle w:val="Hyperlink"/>
            <w:color w:val="77328A"/>
            <w:u w:val="none"/>
          </w:rPr>
          <w:t>Code of Criminal Procedure</w:t>
        </w:r>
      </w:hyperlink>
      <w:r w:rsidRPr="00593819">
        <w:t>, Section 486</w:t>
      </w:r>
      <w:r w:rsidR="00593819">
        <w:t>.</w:t>
      </w:r>
    </w:p>
  </w:footnote>
  <w:footnote w:id="27">
    <w:p w14:paraId="2C074182" w14:textId="72E07040" w:rsidR="003A6654" w:rsidRPr="00593819" w:rsidRDefault="003A6654" w:rsidP="00593819">
      <w:pPr>
        <w:pStyle w:val="NIHRCFootnotes"/>
      </w:pPr>
      <w:r w:rsidRPr="00593819">
        <w:rPr>
          <w:rStyle w:val="FootnoteReference"/>
          <w:vertAlign w:val="baseline"/>
        </w:rPr>
        <w:footnoteRef/>
      </w:r>
      <w:r w:rsidRPr="00593819">
        <w:t xml:space="preserve"> </w:t>
      </w:r>
      <w:hyperlink r:id="rId5" w:history="1">
        <w:r w:rsidRPr="00593819">
          <w:rPr>
            <w:rStyle w:val="Hyperlink"/>
            <w:color w:val="77328A"/>
            <w:u w:val="none"/>
          </w:rPr>
          <w:t>Criminal Code</w:t>
        </w:r>
      </w:hyperlink>
      <w:r w:rsidRPr="00593819">
        <w:t>, Article 31(1) and (2)</w:t>
      </w:r>
      <w:r w:rsidR="00593819">
        <w:t>.</w:t>
      </w:r>
    </w:p>
  </w:footnote>
  <w:footnote w:id="28">
    <w:p w14:paraId="3745D80F" w14:textId="273F41AF" w:rsidR="00DC51CB" w:rsidRPr="00593819" w:rsidRDefault="00DC51CB" w:rsidP="00593819">
      <w:pPr>
        <w:pStyle w:val="NIHRCFootnotes"/>
      </w:pPr>
      <w:r w:rsidRPr="00593819">
        <w:rPr>
          <w:rStyle w:val="FootnoteReference"/>
          <w:vertAlign w:val="baseline"/>
        </w:rPr>
        <w:footnoteRef/>
      </w:r>
      <w:r w:rsidR="00A46DD4" w:rsidRPr="00593819">
        <w:t xml:space="preserve"> </w:t>
      </w:r>
      <w:hyperlink r:id="rId6" w:history="1">
        <w:r w:rsidRPr="00593819">
          <w:rPr>
            <w:rStyle w:val="Hyperlink"/>
            <w:color w:val="77328A"/>
            <w:u w:val="none"/>
          </w:rPr>
          <w:t>Qualified Law on Juvenile Justice 1999</w:t>
        </w:r>
      </w:hyperlink>
      <w:r w:rsidRPr="00593819">
        <w:t>, Article 3</w:t>
      </w:r>
      <w:r w:rsidR="00593819">
        <w:t>.</w:t>
      </w:r>
    </w:p>
  </w:footnote>
  <w:footnote w:id="29">
    <w:p w14:paraId="2DD896DC" w14:textId="40C7A8EC" w:rsidR="00B867BB" w:rsidRPr="00593819" w:rsidRDefault="00B867BB" w:rsidP="00593819">
      <w:pPr>
        <w:pStyle w:val="NIHRCFootnotes"/>
      </w:pPr>
      <w:r w:rsidRPr="00593819">
        <w:rPr>
          <w:rStyle w:val="FootnoteReference"/>
          <w:vertAlign w:val="baseline"/>
        </w:rPr>
        <w:footnoteRef/>
      </w:r>
      <w:r w:rsidR="00A46DD4" w:rsidRPr="00593819">
        <w:t xml:space="preserve"> </w:t>
      </w:r>
      <w:hyperlink r:id="rId7" w:history="1">
        <w:r w:rsidR="00A46DD4" w:rsidRPr="00593819">
          <w:rPr>
            <w:rStyle w:val="Hyperlink"/>
            <w:color w:val="77328A"/>
            <w:u w:val="none"/>
          </w:rPr>
          <w:t>Criminal Code</w:t>
        </w:r>
      </w:hyperlink>
      <w:r w:rsidR="00A46DD4" w:rsidRPr="00593819">
        <w:t>, Articles 97 and 98</w:t>
      </w:r>
      <w:r w:rsidR="00593819">
        <w:t>.</w:t>
      </w:r>
    </w:p>
  </w:footnote>
  <w:footnote w:id="30">
    <w:p w14:paraId="71DF5649" w14:textId="46A8311D" w:rsidR="00852092" w:rsidRPr="00593819" w:rsidRDefault="00852092" w:rsidP="00593819">
      <w:pPr>
        <w:pStyle w:val="NIHRCFootnotes"/>
      </w:pPr>
      <w:r w:rsidRPr="00593819">
        <w:rPr>
          <w:rStyle w:val="FootnoteReference"/>
          <w:vertAlign w:val="baseline"/>
        </w:rPr>
        <w:footnoteRef/>
      </w:r>
      <w:r w:rsidRPr="00593819">
        <w:t xml:space="preserve"> </w:t>
      </w:r>
      <w:r w:rsidR="001B15FD" w:rsidRPr="00593819">
        <w:t xml:space="preserve"> From the age of 12 for homicide, voluntary manslaughter, battery, robbery and plundering, provided that the child had the capacity to understand the nature and consequences of his or her act. </w:t>
      </w:r>
      <w:hyperlink r:id="rId8" w:history="1">
        <w:r w:rsidR="001B15FD" w:rsidRPr="00593819">
          <w:rPr>
            <w:rStyle w:val="Hyperlink"/>
            <w:color w:val="77328A"/>
            <w:u w:val="none"/>
          </w:rPr>
          <w:t>Criminal Code</w:t>
        </w:r>
      </w:hyperlink>
      <w:r w:rsidR="001B15FD" w:rsidRPr="00593819">
        <w:t>, Section 16</w:t>
      </w:r>
      <w:r w:rsidR="00593819">
        <w:t>.</w:t>
      </w:r>
    </w:p>
  </w:footnote>
  <w:footnote w:id="31">
    <w:p w14:paraId="45456ABC" w14:textId="3D70F509" w:rsidR="00F96A60" w:rsidRPr="00593819" w:rsidRDefault="00F96A60" w:rsidP="00593819">
      <w:pPr>
        <w:pStyle w:val="NIHRCFootnotes"/>
      </w:pPr>
      <w:r w:rsidRPr="00593819">
        <w:rPr>
          <w:rStyle w:val="FootnoteReference"/>
          <w:vertAlign w:val="baseline"/>
        </w:rPr>
        <w:footnoteRef/>
      </w:r>
      <w:r w:rsidR="00284A04" w:rsidRPr="00593819">
        <w:t xml:space="preserve"> </w:t>
      </w:r>
      <w:hyperlink r:id="rId9" w:history="1">
        <w:r w:rsidR="00284A04" w:rsidRPr="00593819">
          <w:rPr>
            <w:rStyle w:val="Hyperlink"/>
            <w:color w:val="77328A"/>
            <w:u w:val="none"/>
          </w:rPr>
          <w:t>Organic Law 5/2000 of 12 January</w:t>
        </w:r>
      </w:hyperlink>
      <w:r w:rsidR="00284A04" w:rsidRPr="00593819">
        <w:t>, on the criminal responsibility of minors, Articles1(1) and 3</w:t>
      </w:r>
      <w:r w:rsidR="00593819">
        <w:t>.</w:t>
      </w:r>
    </w:p>
  </w:footnote>
  <w:footnote w:id="32">
    <w:p w14:paraId="399E5DBA" w14:textId="31752965" w:rsidR="002A7158" w:rsidRPr="00593819" w:rsidRDefault="002A7158" w:rsidP="00593819">
      <w:pPr>
        <w:pStyle w:val="NIHRCFootnotes"/>
      </w:pPr>
      <w:r w:rsidRPr="00593819">
        <w:rPr>
          <w:rStyle w:val="FootnoteReference"/>
          <w:vertAlign w:val="baseline"/>
        </w:rPr>
        <w:footnoteRef/>
      </w:r>
      <w:r w:rsidRPr="00593819">
        <w:t xml:space="preserve"> </w:t>
      </w:r>
      <w:hyperlink r:id="rId10" w:history="1">
        <w:r w:rsidR="00E913D6" w:rsidRPr="00593819">
          <w:rPr>
            <w:rStyle w:val="Hyperlink"/>
            <w:color w:val="77328A"/>
            <w:u w:val="none"/>
          </w:rPr>
          <w:t>Criminal Code</w:t>
        </w:r>
      </w:hyperlink>
      <w:r w:rsidR="00E913D6" w:rsidRPr="00593819">
        <w:t>, Section 19</w:t>
      </w:r>
      <w:r w:rsidR="00593819">
        <w:t>.</w:t>
      </w:r>
    </w:p>
  </w:footnote>
  <w:footnote w:id="33">
    <w:p w14:paraId="12EC7DAB" w14:textId="05E1FC7F" w:rsidR="00F34F86" w:rsidRPr="00593819" w:rsidRDefault="00F34F86" w:rsidP="00593819">
      <w:pPr>
        <w:pStyle w:val="NIHRCFootnotes"/>
      </w:pPr>
      <w:r w:rsidRPr="00593819">
        <w:rPr>
          <w:rStyle w:val="FootnoteReference"/>
          <w:vertAlign w:val="baseline"/>
        </w:rPr>
        <w:footnoteRef/>
      </w:r>
      <w:r w:rsidR="00593819">
        <w:t xml:space="preserve"> </w:t>
      </w:r>
      <w:hyperlink r:id="rId11" w:history="1">
        <w:r w:rsidRPr="00593819">
          <w:rPr>
            <w:rStyle w:val="Hyperlink"/>
            <w:color w:val="77328A"/>
            <w:u w:val="none"/>
          </w:rPr>
          <w:t>Jugendgerichtsgesetz</w:t>
        </w:r>
      </w:hyperlink>
      <w:r w:rsidRPr="00593819">
        <w:t> (Youth Court Act), Sections 1(1)-(2) and 4(2)</w:t>
      </w:r>
      <w:r w:rsidR="00593819">
        <w:t>.</w:t>
      </w:r>
    </w:p>
  </w:footnote>
  <w:footnote w:id="34">
    <w:p w14:paraId="2EC1B74F" w14:textId="49A0534D" w:rsidR="002B5098" w:rsidRPr="00593819" w:rsidRDefault="002B5098" w:rsidP="00593819">
      <w:pPr>
        <w:pStyle w:val="NIHRCFootnotes"/>
      </w:pPr>
      <w:r w:rsidRPr="00593819">
        <w:rPr>
          <w:rStyle w:val="FootnoteReference"/>
          <w:vertAlign w:val="baseline"/>
        </w:rPr>
        <w:footnoteRef/>
      </w:r>
      <w:r w:rsidRPr="00593819">
        <w:t xml:space="preserve"> </w:t>
      </w:r>
      <w:hyperlink r:id="rId12" w:history="1">
        <w:r w:rsidRPr="00593819">
          <w:rPr>
            <w:rStyle w:val="Hyperlink"/>
            <w:color w:val="77328A"/>
            <w:u w:val="none"/>
          </w:rPr>
          <w:t>Criminal Code</w:t>
        </w:r>
      </w:hyperlink>
      <w:r w:rsidRPr="00593819">
        <w:t>, Articles 31(2) and 32(1)-(2)</w:t>
      </w:r>
      <w:r w:rsidR="00593819">
        <w:t>.</w:t>
      </w:r>
    </w:p>
  </w:footnote>
  <w:footnote w:id="35">
    <w:p w14:paraId="76007706" w14:textId="635C52C1" w:rsidR="00396572" w:rsidRPr="00593819" w:rsidRDefault="00396572" w:rsidP="00593819">
      <w:pPr>
        <w:pStyle w:val="NIHRCFootnotes"/>
      </w:pPr>
      <w:r w:rsidRPr="00593819">
        <w:rPr>
          <w:rStyle w:val="FootnoteReference"/>
          <w:vertAlign w:val="baseline"/>
        </w:rPr>
        <w:footnoteRef/>
      </w:r>
      <w:r w:rsidR="00593819">
        <w:t xml:space="preserve"> </w:t>
      </w:r>
      <w:hyperlink r:id="rId13" w:history="1">
        <w:r w:rsidRPr="00593819">
          <w:rPr>
            <w:rStyle w:val="Hyperlink"/>
            <w:color w:val="77328A"/>
            <w:u w:val="none"/>
          </w:rPr>
          <w:t>Criminal Code</w:t>
        </w:r>
      </w:hyperlink>
      <w:r w:rsidRPr="00593819">
        <w:t>, Article 8</w:t>
      </w:r>
      <w:r w:rsidR="00593819">
        <w:t>.</w:t>
      </w:r>
    </w:p>
  </w:footnote>
  <w:footnote w:id="36">
    <w:p w14:paraId="3DF3CBF1" w14:textId="67DFAEAC" w:rsidR="00756105" w:rsidRPr="00593819" w:rsidRDefault="00756105" w:rsidP="00593819">
      <w:pPr>
        <w:pStyle w:val="NIHRCFootnotes"/>
      </w:pPr>
      <w:r w:rsidRPr="00593819">
        <w:rPr>
          <w:rStyle w:val="FootnoteReference"/>
          <w:vertAlign w:val="baseline"/>
        </w:rPr>
        <w:footnoteRef/>
      </w:r>
      <w:r w:rsidRPr="00593819">
        <w:t xml:space="preserve"> </w:t>
      </w:r>
      <w:hyperlink r:id="rId14" w:history="1">
        <w:r w:rsidRPr="00593819">
          <w:rPr>
            <w:rStyle w:val="Hyperlink"/>
            <w:color w:val="77328A"/>
            <w:u w:val="none"/>
          </w:rPr>
          <w:t>Juvenile Courts Act</w:t>
        </w:r>
      </w:hyperlink>
      <w:r w:rsidRPr="00593819">
        <w:t>, Article 44; </w:t>
      </w:r>
      <w:hyperlink r:id="rId15" w:history="1">
        <w:r w:rsidRPr="00593819">
          <w:rPr>
            <w:rStyle w:val="Hyperlink"/>
            <w:color w:val="77328A"/>
            <w:u w:val="none"/>
          </w:rPr>
          <w:t>Criminal Code</w:t>
        </w:r>
      </w:hyperlink>
      <w:r w:rsidRPr="00593819">
        <w:t>, Article 10</w:t>
      </w:r>
      <w:r w:rsidR="00593819">
        <w:t>.</w:t>
      </w:r>
    </w:p>
  </w:footnote>
  <w:footnote w:id="37">
    <w:p w14:paraId="03400055" w14:textId="39754EA0" w:rsidR="0090211E" w:rsidRPr="00845349" w:rsidRDefault="0090211E" w:rsidP="00845349">
      <w:pPr>
        <w:pStyle w:val="NIHRCFootnotes"/>
      </w:pPr>
      <w:r w:rsidRPr="00845349">
        <w:rPr>
          <w:rStyle w:val="FootnoteReference"/>
          <w:vertAlign w:val="baseline"/>
        </w:rPr>
        <w:footnoteRef/>
      </w:r>
      <w:r w:rsidRPr="00845349">
        <w:t xml:space="preserve"> </w:t>
      </w:r>
      <w:hyperlink r:id="rId16" w:history="1">
        <w:r w:rsidRPr="00845349">
          <w:rPr>
            <w:rStyle w:val="Hyperlink"/>
            <w:color w:val="77328A"/>
            <w:u w:val="none"/>
          </w:rPr>
          <w:t>Criminal Code</w:t>
        </w:r>
      </w:hyperlink>
      <w:r w:rsidRPr="00845349">
        <w:t>, Section 15. Please note, the Code has been amended since this translation was produced</w:t>
      </w:r>
      <w:r w:rsidR="00593819" w:rsidRPr="00845349">
        <w:t>.</w:t>
      </w:r>
    </w:p>
  </w:footnote>
  <w:footnote w:id="38">
    <w:p w14:paraId="36B6AD90" w14:textId="4622E13A" w:rsidR="009C0C9C" w:rsidRPr="00845349" w:rsidRDefault="009C0C9C" w:rsidP="00845349">
      <w:pPr>
        <w:pStyle w:val="NIHRCFootnotes"/>
      </w:pPr>
      <w:r w:rsidRPr="00845349">
        <w:rPr>
          <w:rStyle w:val="FootnoteReference"/>
          <w:vertAlign w:val="baseline"/>
        </w:rPr>
        <w:footnoteRef/>
      </w:r>
      <w:r w:rsidRPr="00845349">
        <w:t xml:space="preserve"> </w:t>
      </w:r>
      <w:hyperlink r:id="rId17" w:history="1">
        <w:r w:rsidRPr="00845349">
          <w:rPr>
            <w:rStyle w:val="Hyperlink"/>
            <w:color w:val="77328A"/>
            <w:u w:val="none"/>
          </w:rPr>
          <w:t>Criminal Code</w:t>
        </w:r>
      </w:hyperlink>
      <w:r w:rsidRPr="00845349">
        <w:t>, Ch. 1, Section 6. </w:t>
      </w:r>
      <w:r w:rsidR="00933DDD" w:rsidRPr="00845349">
        <w:t>Note, this legislation has been amended since this translation was produced</w:t>
      </w:r>
      <w:r w:rsidR="00791615" w:rsidRPr="00845349">
        <w:t>.</w:t>
      </w:r>
    </w:p>
  </w:footnote>
  <w:footnote w:id="39">
    <w:p w14:paraId="7A000D71" w14:textId="43273E9E" w:rsidR="0067498C" w:rsidRPr="00845349" w:rsidRDefault="0067498C" w:rsidP="00845349">
      <w:pPr>
        <w:pStyle w:val="NIHRCFootnotes"/>
      </w:pPr>
      <w:r w:rsidRPr="00845349">
        <w:rPr>
          <w:rStyle w:val="FootnoteReference"/>
          <w:vertAlign w:val="baseline"/>
        </w:rPr>
        <w:footnoteRef/>
      </w:r>
      <w:r w:rsidRPr="00845349">
        <w:t xml:space="preserve"> Penal Code, Ch. 3, Section 4(1); Ch. 6, Section 12</w:t>
      </w:r>
      <w:r w:rsidR="00791615" w:rsidRPr="00845349">
        <w:t>.</w:t>
      </w:r>
    </w:p>
  </w:footnote>
  <w:footnote w:id="40">
    <w:p w14:paraId="00B3DC6E" w14:textId="6E33D201" w:rsidR="00572679" w:rsidRPr="00845349" w:rsidRDefault="00572679" w:rsidP="00845349">
      <w:pPr>
        <w:pStyle w:val="NIHRCFootnotes"/>
      </w:pPr>
      <w:r w:rsidRPr="00845349">
        <w:rPr>
          <w:rStyle w:val="FootnoteReference"/>
          <w:vertAlign w:val="baseline"/>
        </w:rPr>
        <w:footnoteRef/>
      </w:r>
      <w:r w:rsidRPr="00845349">
        <w:t xml:space="preserve"> </w:t>
      </w:r>
      <w:hyperlink r:id="rId18" w:history="1">
        <w:r w:rsidRPr="00845349">
          <w:rPr>
            <w:rStyle w:val="Hyperlink"/>
            <w:color w:val="77328A"/>
            <w:u w:val="none"/>
          </w:rPr>
          <w:t>Penal Code</w:t>
        </w:r>
      </w:hyperlink>
      <w:r w:rsidRPr="00845349">
        <w:t>, Article 14</w:t>
      </w:r>
      <w:r w:rsidR="00791615" w:rsidRPr="00845349">
        <w:t>.</w:t>
      </w:r>
    </w:p>
  </w:footnote>
  <w:footnote w:id="41">
    <w:p w14:paraId="0369A193" w14:textId="550C712A" w:rsidR="00273877" w:rsidRPr="00845349" w:rsidRDefault="00273877" w:rsidP="00845349">
      <w:pPr>
        <w:pStyle w:val="NIHRCFootnotes"/>
      </w:pPr>
      <w:r w:rsidRPr="00845349">
        <w:rPr>
          <w:rStyle w:val="FootnoteReference"/>
          <w:vertAlign w:val="baseline"/>
        </w:rPr>
        <w:footnoteRef/>
      </w:r>
      <w:r w:rsidRPr="00845349">
        <w:t xml:space="preserve"> </w:t>
      </w:r>
      <w:r w:rsidR="00D20E09" w:rsidRPr="00845349">
        <w:t>Criminal Code, Provision 11</w:t>
      </w:r>
      <w:r w:rsidR="00791615" w:rsidRPr="00845349">
        <w:t>.</w:t>
      </w:r>
    </w:p>
  </w:footnote>
  <w:footnote w:id="42">
    <w:p w14:paraId="63184E9A" w14:textId="595E3B63" w:rsidR="00A744CA" w:rsidRPr="00845349" w:rsidRDefault="00A744CA" w:rsidP="00845349">
      <w:pPr>
        <w:pStyle w:val="NIHRCFootnotes"/>
      </w:pPr>
      <w:r w:rsidRPr="00845349">
        <w:rPr>
          <w:rStyle w:val="FootnoteReference"/>
          <w:vertAlign w:val="baseline"/>
        </w:rPr>
        <w:footnoteRef/>
      </w:r>
      <w:r w:rsidRPr="00845349">
        <w:t xml:space="preserve"> </w:t>
      </w:r>
      <w:hyperlink r:id="rId19" w:history="1">
        <w:r w:rsidRPr="00845349">
          <w:rPr>
            <w:rStyle w:val="Hyperlink"/>
            <w:color w:val="77328A"/>
            <w:u w:val="none"/>
          </w:rPr>
          <w:t>General Civil Penal Code</w:t>
        </w:r>
      </w:hyperlink>
      <w:r w:rsidRPr="00845349">
        <w:t>, Section 46</w:t>
      </w:r>
      <w:r w:rsidR="00791615" w:rsidRPr="00845349">
        <w:t>.</w:t>
      </w:r>
    </w:p>
  </w:footnote>
  <w:footnote w:id="43">
    <w:p w14:paraId="2E54DD14" w14:textId="0F192AB9" w:rsidR="00A534C1" w:rsidRPr="00845349" w:rsidRDefault="00A534C1" w:rsidP="00845349">
      <w:pPr>
        <w:pStyle w:val="NIHRCFootnotes"/>
      </w:pPr>
      <w:r w:rsidRPr="00845349">
        <w:rPr>
          <w:rStyle w:val="FootnoteReference"/>
          <w:vertAlign w:val="baseline"/>
        </w:rPr>
        <w:footnoteRef/>
      </w:r>
      <w:r w:rsidRPr="00845349">
        <w:t xml:space="preserve"> Criminal Code, Article 19; Lei Tutelar Educativa 1999 (Guardianship and Education Law), Articles 1 and 4</w:t>
      </w:r>
      <w:r w:rsidR="00791615" w:rsidRPr="00845349">
        <w:t>.</w:t>
      </w:r>
    </w:p>
  </w:footnote>
  <w:footnote w:id="44">
    <w:p w14:paraId="58DA2BFE" w14:textId="5388A1F2" w:rsidR="006036BB" w:rsidRPr="00845349" w:rsidRDefault="006036BB" w:rsidP="00845349">
      <w:pPr>
        <w:pStyle w:val="NIHRCFootnotes"/>
      </w:pPr>
      <w:r w:rsidRPr="00845349">
        <w:rPr>
          <w:rStyle w:val="FootnoteReference"/>
          <w:vertAlign w:val="baseline"/>
        </w:rPr>
        <w:footnoteRef/>
      </w:r>
      <w:r w:rsidR="00F1242F" w:rsidRPr="00845349">
        <w:t xml:space="preserve"> </w:t>
      </w:r>
      <w:r w:rsidRPr="00845349">
        <w:t>Criminal Code, Article 24(1) and (2)</w:t>
      </w:r>
      <w:r w:rsidR="00791615" w:rsidRPr="00845349">
        <w:t>.</w:t>
      </w:r>
    </w:p>
  </w:footnote>
  <w:footnote w:id="45">
    <w:p w14:paraId="7E513297" w14:textId="3BB9973B" w:rsidR="00A105A7" w:rsidRPr="00845349" w:rsidRDefault="00A105A7" w:rsidP="00845349">
      <w:pPr>
        <w:pStyle w:val="NIHRCFootnotes"/>
      </w:pPr>
      <w:r w:rsidRPr="00845349">
        <w:rPr>
          <w:rStyle w:val="FootnoteReference"/>
          <w:vertAlign w:val="baseline"/>
        </w:rPr>
        <w:footnoteRef/>
      </w:r>
      <w:r w:rsidRPr="00845349">
        <w:t xml:space="preserve"> </w:t>
      </w:r>
      <w:hyperlink r:id="rId20" w:history="1">
        <w:r w:rsidRPr="00845349">
          <w:rPr>
            <w:rStyle w:val="Hyperlink"/>
            <w:color w:val="77328A"/>
            <w:u w:val="none"/>
          </w:rPr>
          <w:t>Criminal Code</w:t>
        </w:r>
      </w:hyperlink>
      <w:r w:rsidRPr="00845349">
        <w:t>, Article 21(1) and (2)</w:t>
      </w:r>
      <w:r w:rsidR="00791615" w:rsidRPr="00845349">
        <w:t>.</w:t>
      </w:r>
    </w:p>
  </w:footnote>
  <w:footnote w:id="46">
    <w:p w14:paraId="2114E348" w14:textId="59EB95DD" w:rsidR="00057DFA" w:rsidRPr="00845349" w:rsidRDefault="00057DFA" w:rsidP="00845349">
      <w:pPr>
        <w:pStyle w:val="NIHRCFootnotes"/>
      </w:pPr>
      <w:r w:rsidRPr="00845349">
        <w:rPr>
          <w:rStyle w:val="FootnoteReference"/>
          <w:vertAlign w:val="baseline"/>
        </w:rPr>
        <w:footnoteRef/>
      </w:r>
      <w:r w:rsidRPr="00845349">
        <w:t xml:space="preserve"> </w:t>
      </w:r>
      <w:hyperlink r:id="rId21" w:history="1">
        <w:r w:rsidRPr="00845349">
          <w:rPr>
            <w:rStyle w:val="Hyperlink"/>
            <w:color w:val="77328A"/>
            <w:u w:val="none"/>
          </w:rPr>
          <w:t>Criminal Code</w:t>
        </w:r>
      </w:hyperlink>
      <w:r w:rsidRPr="00845349">
        <w:t>, Article 20(1) and (2) and Cipriani, Criminal Liability and the Minimum Age of Criminal Responsibility: A Global Perspective, 2009, p. 98</w:t>
      </w:r>
      <w:r w:rsidR="00791615" w:rsidRPr="00845349">
        <w:t>.</w:t>
      </w:r>
    </w:p>
  </w:footnote>
  <w:footnote w:id="47">
    <w:p w14:paraId="29D13033" w14:textId="3BDCCB09" w:rsidR="007F722C" w:rsidRPr="00845349" w:rsidRDefault="007F722C" w:rsidP="00845349">
      <w:pPr>
        <w:pStyle w:val="NIHRCFootnotes"/>
      </w:pPr>
      <w:r w:rsidRPr="00845349">
        <w:rPr>
          <w:rStyle w:val="FootnoteReference"/>
          <w:vertAlign w:val="baseline"/>
        </w:rPr>
        <w:footnoteRef/>
      </w:r>
      <w:r w:rsidRPr="00845349">
        <w:t xml:space="preserve"> Criminal Code, Article 24(1) and (2)</w:t>
      </w:r>
      <w:r w:rsidR="00321A8D" w:rsidRPr="00845349">
        <w:t>.</w:t>
      </w:r>
    </w:p>
  </w:footnote>
  <w:footnote w:id="48">
    <w:p w14:paraId="1476A47D" w14:textId="2065E6FC" w:rsidR="00B047BD" w:rsidRPr="00845349" w:rsidRDefault="00B047BD" w:rsidP="00845349">
      <w:pPr>
        <w:pStyle w:val="NIHRCFootnotes"/>
      </w:pPr>
      <w:r w:rsidRPr="00845349">
        <w:rPr>
          <w:rStyle w:val="FootnoteReference"/>
          <w:vertAlign w:val="baseline"/>
        </w:rPr>
        <w:footnoteRef/>
      </w:r>
      <w:r w:rsidRPr="00845349">
        <w:t xml:space="preserve"> </w:t>
      </w:r>
      <w:hyperlink r:id="rId22" w:history="1">
        <w:r w:rsidRPr="00845349">
          <w:rPr>
            <w:rStyle w:val="Hyperlink"/>
            <w:color w:val="77328A"/>
            <w:u w:val="none"/>
          </w:rPr>
          <w:t>Criminal Code</w:t>
        </w:r>
      </w:hyperlink>
      <w:r w:rsidRPr="00845349">
        <w:t>, Article 13(1) and (2)</w:t>
      </w:r>
      <w:r w:rsidR="00321A8D" w:rsidRPr="00845349">
        <w:t>.</w:t>
      </w:r>
    </w:p>
  </w:footnote>
  <w:footnote w:id="49">
    <w:p w14:paraId="5E51B20B" w14:textId="005B1117" w:rsidR="003A2428" w:rsidRPr="00845349" w:rsidRDefault="003A2428" w:rsidP="00845349">
      <w:pPr>
        <w:pStyle w:val="NIHRCFootnotes"/>
      </w:pPr>
      <w:r w:rsidRPr="00845349">
        <w:rPr>
          <w:rStyle w:val="FootnoteReference"/>
          <w:vertAlign w:val="baseline"/>
        </w:rPr>
        <w:footnoteRef/>
      </w:r>
      <w:r w:rsidRPr="00845349">
        <w:t xml:space="preserve"> </w:t>
      </w:r>
      <w:hyperlink r:id="rId23" w:history="1">
        <w:r w:rsidRPr="00845349">
          <w:rPr>
            <w:rStyle w:val="Hyperlink"/>
            <w:color w:val="77328A"/>
            <w:u w:val="none"/>
          </w:rPr>
          <w:t>Criminal Code</w:t>
        </w:r>
      </w:hyperlink>
      <w:r w:rsidRPr="00845349">
        <w:t>, Article 122-8; Ministry of Foreign and European Affairs, “</w:t>
      </w:r>
      <w:hyperlink r:id="rId24" w:history="1">
        <w:r w:rsidRPr="00845349">
          <w:rPr>
            <w:rStyle w:val="Hyperlink"/>
            <w:color w:val="77328A"/>
            <w:u w:val="none"/>
          </w:rPr>
          <w:t>Juvenile Justice in France</w:t>
        </w:r>
      </w:hyperlink>
      <w:r w:rsidRPr="00845349">
        <w:t>” May 2008</w:t>
      </w:r>
      <w:r w:rsidR="00321A8D" w:rsidRPr="00845349">
        <w:t>.</w:t>
      </w:r>
    </w:p>
  </w:footnote>
  <w:footnote w:id="50">
    <w:p w14:paraId="1B5CDB11" w14:textId="40AB5408" w:rsidR="002B55AA" w:rsidRPr="00845349" w:rsidRDefault="002B55AA" w:rsidP="00845349">
      <w:pPr>
        <w:pStyle w:val="NIHRCFootnotes"/>
      </w:pPr>
      <w:r w:rsidRPr="00845349">
        <w:rPr>
          <w:rStyle w:val="FootnoteReference"/>
          <w:vertAlign w:val="baseline"/>
        </w:rPr>
        <w:footnoteRef/>
      </w:r>
      <w:r w:rsidRPr="00845349">
        <w:t xml:space="preserve"> </w:t>
      </w:r>
      <w:hyperlink r:id="rId25" w:history="1">
        <w:r w:rsidRPr="00845349">
          <w:rPr>
            <w:rStyle w:val="Hyperlink"/>
            <w:color w:val="77328A"/>
            <w:u w:val="none"/>
          </w:rPr>
          <w:t>Loi du 10 août 1992 relative à la protection de la jeunesse</w:t>
        </w:r>
      </w:hyperlink>
      <w:r w:rsidRPr="00845349">
        <w:t>, Articles 1 and 2</w:t>
      </w:r>
      <w:r w:rsidR="00321A8D" w:rsidRPr="00845349">
        <w:t>.</w:t>
      </w:r>
    </w:p>
  </w:footnote>
  <w:footnote w:id="51">
    <w:p w14:paraId="2B76CB81" w14:textId="41E5407D" w:rsidR="009A4BBA" w:rsidRPr="001E59DF" w:rsidRDefault="009A4BBA" w:rsidP="001E59DF">
      <w:pPr>
        <w:pStyle w:val="NIHRCFootnotes"/>
      </w:pPr>
      <w:r w:rsidRPr="001E59DF">
        <w:rPr>
          <w:rStyle w:val="FootnoteReference"/>
          <w:vertAlign w:val="baseline"/>
        </w:rPr>
        <w:footnoteRef/>
      </w:r>
      <w:r w:rsidR="00B25651" w:rsidRPr="001E59DF">
        <w:t xml:space="preserve"> </w:t>
      </w:r>
      <w:r w:rsidR="00B81158" w:rsidRPr="001E59DF">
        <w:t xml:space="preserve">Anna Piil Damm and </w:t>
      </w:r>
      <w:r w:rsidR="000870B8" w:rsidRPr="001E59DF">
        <w:t>Østergaard Larsen</w:t>
      </w:r>
      <w:r w:rsidRPr="001E59DF">
        <w:t>, ‘Lowering the minimum age of criminal responsibility has no deterrent effects,’</w:t>
      </w:r>
      <w:r w:rsidR="00B25651" w:rsidRPr="001E59DF">
        <w:t xml:space="preserve"> Aarhus BSS</w:t>
      </w:r>
      <w:r w:rsidR="001E59DF" w:rsidRPr="001E59DF">
        <w:t>, Aarhus University,</w:t>
      </w:r>
      <w:r w:rsidRPr="001E59DF">
        <w:t xml:space="preserve"> 19 October 2017.</w:t>
      </w:r>
    </w:p>
  </w:footnote>
  <w:footnote w:id="52">
    <w:p w14:paraId="0E997DE4" w14:textId="7C6B41B7" w:rsidR="00BF603C" w:rsidRPr="001E59DF" w:rsidRDefault="00BF603C" w:rsidP="001E59DF">
      <w:pPr>
        <w:pStyle w:val="NIHRCFootnotes"/>
      </w:pPr>
      <w:r w:rsidRPr="001E59DF">
        <w:rPr>
          <w:rStyle w:val="FootnoteReference"/>
          <w:vertAlign w:val="baseline"/>
        </w:rPr>
        <w:footnoteRef/>
      </w:r>
      <w:r w:rsidRPr="001E59DF">
        <w:t xml:space="preserve"> Guideline 23.</w:t>
      </w:r>
    </w:p>
  </w:footnote>
  <w:footnote w:id="53">
    <w:p w14:paraId="7E8805E7" w14:textId="636BD9A1" w:rsidR="00EE618F" w:rsidRPr="001E59DF" w:rsidRDefault="00EE618F" w:rsidP="001E59DF">
      <w:pPr>
        <w:pStyle w:val="NIHRCFootnotes"/>
      </w:pPr>
      <w:r w:rsidRPr="001E59DF">
        <w:rPr>
          <w:rStyle w:val="FootnoteReference"/>
          <w:vertAlign w:val="baseline"/>
        </w:rPr>
        <w:footnoteRef/>
      </w:r>
      <w:r w:rsidRPr="001E59DF">
        <w:t xml:space="preserve"> </w:t>
      </w:r>
      <w:r w:rsidR="00C1236E" w:rsidRPr="001E59DF">
        <w:t>Ratified by the United Kingdom on 11 July 1962</w:t>
      </w:r>
      <w:r w:rsidR="00260497" w:rsidRPr="001E59DF">
        <w:t>.</w:t>
      </w:r>
    </w:p>
  </w:footnote>
  <w:footnote w:id="54">
    <w:p w14:paraId="60BB6303" w14:textId="07698EC2" w:rsidR="00161748" w:rsidRPr="001E59DF" w:rsidRDefault="00161748" w:rsidP="001E59DF">
      <w:pPr>
        <w:pStyle w:val="NIHRCFootnotes"/>
      </w:pPr>
      <w:r w:rsidRPr="001E59DF">
        <w:rPr>
          <w:rStyle w:val="FootnoteReference"/>
          <w:vertAlign w:val="baseline"/>
        </w:rPr>
        <w:footnoteRef/>
      </w:r>
      <w:r w:rsidRPr="001E59DF">
        <w:t xml:space="preserve"> Article 17</w:t>
      </w:r>
      <w:r w:rsidR="00260497" w:rsidRPr="001E59DF">
        <w:t xml:space="preserve"> </w:t>
      </w:r>
      <w:r w:rsidRPr="001E59DF">
        <w:t>Right of mothers and children to social and economic protection</w:t>
      </w:r>
      <w:r w:rsidR="008103CE" w:rsidRPr="001E59DF">
        <w:t xml:space="preserve"> (previously and now Article 17 - Right of children and young persons to social, legal and economic protection</w:t>
      </w:r>
      <w:r w:rsidR="00A877DB" w:rsidRPr="001E59DF">
        <w:t>)</w:t>
      </w:r>
      <w:r w:rsidR="00321A8D" w:rsidRPr="001E59DF">
        <w:t>.</w:t>
      </w:r>
      <w:r w:rsidR="00845349" w:rsidRPr="001E59DF">
        <w:t xml:space="preserve"> </w:t>
      </w:r>
      <w:r w:rsidR="00816AFC" w:rsidRPr="001E59DF">
        <w:t xml:space="preserve">Conclusions XX-4 (2015), Council of Europe, ‘European Committee </w:t>
      </w:r>
      <w:r w:rsidR="00FA2567" w:rsidRPr="001E59DF">
        <w:t>o</w:t>
      </w:r>
      <w:r w:rsidR="00816AFC" w:rsidRPr="001E59DF">
        <w:t xml:space="preserve">f Social Rights, Conclusions </w:t>
      </w:r>
      <w:r w:rsidR="00FA2567" w:rsidRPr="001E59DF">
        <w:t>o</w:t>
      </w:r>
      <w:r w:rsidR="00816AFC" w:rsidRPr="001E59DF">
        <w:t>n Czech Republic, Denmark, Germany, Greece, Poland, Spain, United Kingdom,’ January 2016</w:t>
      </w:r>
      <w:r w:rsidR="00845349" w:rsidRPr="001E59DF">
        <w:t xml:space="preserve"> at page </w:t>
      </w:r>
      <w:r w:rsidR="00C36E02" w:rsidRPr="001E59DF">
        <w:t>28.</w:t>
      </w:r>
    </w:p>
  </w:footnote>
  <w:footnote w:id="55">
    <w:p w14:paraId="1352DE8D" w14:textId="64BC6492" w:rsidR="005F299E" w:rsidRPr="001E59DF" w:rsidRDefault="005F299E" w:rsidP="001E59DF">
      <w:pPr>
        <w:pStyle w:val="NIHRCFootnotes"/>
      </w:pPr>
      <w:r w:rsidRPr="001E59DF">
        <w:rPr>
          <w:rStyle w:val="FootnoteReference"/>
          <w:vertAlign w:val="baseline"/>
        </w:rPr>
        <w:footnoteRef/>
      </w:r>
      <w:r w:rsidRPr="001E59DF">
        <w:t xml:space="preserve"> </w:t>
      </w:r>
      <w:r w:rsidR="003A4B3A" w:rsidRPr="001E59DF">
        <w:t>T</w:t>
      </w:r>
      <w:r w:rsidR="00A54DB9" w:rsidRPr="001E59DF">
        <w:t>he United Kingdom submitted it on 19 December 2018</w:t>
      </w:r>
      <w:r w:rsidR="00AA0702" w:rsidRPr="001E59DF">
        <w:t xml:space="preserve"> covering </w:t>
      </w:r>
      <w:r w:rsidR="006E7279" w:rsidRPr="001E59DF">
        <w:t>2014–2017</w:t>
      </w:r>
      <w:r w:rsidR="002D5B92" w:rsidRPr="001E59DF">
        <w:t>.</w:t>
      </w:r>
      <w:r w:rsidR="003A4B3A" w:rsidRPr="001E59DF">
        <w:t xml:space="preserve"> Council Of Europe, ‘European Committee </w:t>
      </w:r>
      <w:r w:rsidR="00EB0824" w:rsidRPr="001E59DF">
        <w:t>o</w:t>
      </w:r>
      <w:r w:rsidR="003A4B3A" w:rsidRPr="001E59DF">
        <w:t xml:space="preserve">f Social Rights, Conclusions </w:t>
      </w:r>
      <w:r w:rsidR="00EB0824" w:rsidRPr="001E59DF">
        <w:t>o</w:t>
      </w:r>
      <w:r w:rsidR="003A4B3A" w:rsidRPr="001E59DF">
        <w:t>n United Kingdom 2019,’ March 2019</w:t>
      </w:r>
      <w:r w:rsidR="00EB0824" w:rsidRPr="001E59DF">
        <w:t xml:space="preserve"> at pages 26 to 27</w:t>
      </w:r>
    </w:p>
  </w:footnote>
  <w:footnote w:id="56">
    <w:p w14:paraId="508D3894" w14:textId="14ADAE25" w:rsidR="00D537C9" w:rsidRPr="001E59DF" w:rsidRDefault="00DC20B7" w:rsidP="001E59DF">
      <w:pPr>
        <w:pStyle w:val="NIHRCFootnotes"/>
      </w:pPr>
      <w:r w:rsidRPr="001E59DF">
        <w:rPr>
          <w:rStyle w:val="FootnoteReference"/>
          <w:vertAlign w:val="baseline"/>
        </w:rPr>
        <w:footnoteRef/>
      </w:r>
      <w:r w:rsidR="00C305CF" w:rsidRPr="001E59DF">
        <w:t xml:space="preserve"> </w:t>
      </w:r>
      <w:r w:rsidR="00EB0824" w:rsidRPr="001E59DF">
        <w:t xml:space="preserve">Council Of Europe, ‘European Committee </w:t>
      </w:r>
      <w:r w:rsidR="001F1626" w:rsidRPr="001E59DF">
        <w:t>of</w:t>
      </w:r>
      <w:r w:rsidR="00EB0824" w:rsidRPr="001E59DF">
        <w:t xml:space="preserve"> Social Rights, Conclusions </w:t>
      </w:r>
      <w:r w:rsidR="00030C0C" w:rsidRPr="001E59DF">
        <w:t>o</w:t>
      </w:r>
      <w:r w:rsidR="00EB0824" w:rsidRPr="001E59DF">
        <w:t>n United Kingdom 2019,’ March 20</w:t>
      </w:r>
      <w:r w:rsidR="00030C0C" w:rsidRPr="001E59DF">
        <w:t>20</w:t>
      </w:r>
    </w:p>
    <w:p w14:paraId="4583DFA2" w14:textId="54C078B4" w:rsidR="00DC20B7" w:rsidRPr="00404217" w:rsidRDefault="00A10197" w:rsidP="001E59DF">
      <w:pPr>
        <w:pStyle w:val="NIHRCFootnotes"/>
      </w:pPr>
      <w:r w:rsidRPr="001E59DF">
        <w:t>at</w:t>
      </w:r>
      <w:r w:rsidR="00A30816" w:rsidRPr="001E59DF">
        <w:t xml:space="preserve"> </w:t>
      </w:r>
      <w:r w:rsidRPr="001E59DF">
        <w:t xml:space="preserve">page </w:t>
      </w:r>
      <w:r w:rsidR="00307F02" w:rsidRPr="001E59DF">
        <w:t>27</w:t>
      </w:r>
      <w:r w:rsidRPr="001E59DF">
        <w:t>.</w:t>
      </w:r>
      <w:r w:rsidR="00307F02" w:rsidRPr="00404217">
        <w:t xml:space="preserve"> </w:t>
      </w:r>
    </w:p>
  </w:footnote>
  <w:footnote w:id="57">
    <w:p w14:paraId="46516411" w14:textId="6B271B80" w:rsidR="00281CD4" w:rsidRPr="00466BF4" w:rsidRDefault="00281CD4" w:rsidP="00260497">
      <w:pPr>
        <w:pStyle w:val="NIHRCFootnotes"/>
        <w:rPr>
          <w:b/>
          <w:bCs/>
        </w:rPr>
      </w:pPr>
      <w:r w:rsidRPr="00404217">
        <w:rPr>
          <w:rStyle w:val="FootnoteReference"/>
        </w:rPr>
        <w:footnoteRef/>
      </w:r>
      <w:r w:rsidRPr="00404217">
        <w:t xml:space="preserve"> </w:t>
      </w:r>
      <w:r w:rsidR="00D910B8" w:rsidRPr="00404217">
        <w:t xml:space="preserve">Conclusions 2019 sur l'application de la Charte sociale européenne révisée par la </w:t>
      </w:r>
      <w:proofErr w:type="gramStart"/>
      <w:r w:rsidR="00D910B8" w:rsidRPr="00404217">
        <w:t xml:space="preserve">France </w:t>
      </w:r>
      <w:r w:rsidR="009B2E84" w:rsidRPr="00404217">
        <w:t>,</w:t>
      </w:r>
      <w:proofErr w:type="gramEnd"/>
      <w:r w:rsidR="009B2E84" w:rsidRPr="00404217">
        <w:t xml:space="preserve"> March 2020. </w:t>
      </w:r>
      <w:r w:rsidR="002B3551" w:rsidRPr="00404217">
        <w:t>2019/def/FRA/17/1/EN</w:t>
      </w:r>
      <w:r w:rsidR="007F1096" w:rsidRPr="00404217">
        <w:t xml:space="preserve"> </w:t>
      </w:r>
      <w:r w:rsidR="007F1096" w:rsidRPr="00404217">
        <w:rPr>
          <w:rFonts w:cstheme="minorBidi"/>
          <w:szCs w:val="24"/>
        </w:rPr>
        <w:t>Conclusions 2019 - France - Article 17-1</w:t>
      </w:r>
      <w:r w:rsidR="007F1096" w:rsidRPr="00404217">
        <w:t xml:space="preserve"> </w:t>
      </w:r>
      <w:hyperlink r:id="rId26" w:anchor="{%22sort%22:[%22escpublicationdate%20descending%22],%22escdcidentifier%22:[%222019/def/FRA/17/1/EN%22]}" w:history="1">
        <w:r w:rsidR="007F1096" w:rsidRPr="00404217">
          <w:rPr>
            <w:rStyle w:val="Hyperlink"/>
          </w:rPr>
          <w:t>Conclusions 2019 - France - Article 17-1</w:t>
        </w:r>
      </w:hyperlink>
    </w:p>
  </w:footnote>
  <w:footnote w:id="58">
    <w:p w14:paraId="413E16CF" w14:textId="7B954A4A" w:rsidR="00C54167" w:rsidRDefault="00C54167" w:rsidP="00915430">
      <w:pPr>
        <w:pStyle w:val="NIHRCFootnotes"/>
      </w:pPr>
      <w:r>
        <w:rPr>
          <w:rStyle w:val="FootnoteReference"/>
        </w:rPr>
        <w:footnoteRef/>
      </w:r>
      <w:r>
        <w:t xml:space="preserve"> </w:t>
      </w:r>
      <w:r w:rsidR="00E54200" w:rsidRPr="00C15D37">
        <w:rPr>
          <w:i/>
          <w:iCs/>
        </w:rPr>
        <w:t>T v United Kingdom</w:t>
      </w:r>
      <w:r w:rsidR="000A60CA">
        <w:t>, a</w:t>
      </w:r>
      <w:r w:rsidR="00E54200" w:rsidRPr="00E54200">
        <w:t>p</w:t>
      </w:r>
      <w:r w:rsidR="000A60CA">
        <w:t>plication N</w:t>
      </w:r>
      <w:r w:rsidR="00E54200" w:rsidRPr="00E54200">
        <w:t>o 24724/94</w:t>
      </w:r>
      <w:r w:rsidR="009631D7">
        <w:t>, judgement of</w:t>
      </w:r>
      <w:r w:rsidR="00CE34E1">
        <w:t xml:space="preserve"> </w:t>
      </w:r>
      <w:r w:rsidR="00CE34E1" w:rsidRPr="00CE34E1">
        <w:t>16 December 1999</w:t>
      </w:r>
      <w:r w:rsidR="00915430">
        <w:t>.</w:t>
      </w:r>
    </w:p>
  </w:footnote>
  <w:footnote w:id="59">
    <w:p w14:paraId="742C5E2D" w14:textId="0A1B042F" w:rsidR="007C3DA8" w:rsidRDefault="007C3DA8" w:rsidP="00915430">
      <w:pPr>
        <w:pStyle w:val="NIHRCFootnotes"/>
      </w:pPr>
      <w:r>
        <w:rPr>
          <w:rStyle w:val="FootnoteReference"/>
        </w:rPr>
        <w:footnoteRef/>
      </w:r>
      <w:r>
        <w:t xml:space="preserve"> </w:t>
      </w:r>
      <w:r w:rsidR="00C308C3" w:rsidRPr="00C15D37">
        <w:rPr>
          <w:i/>
          <w:iCs/>
        </w:rPr>
        <w:t>T v United Kingdom</w:t>
      </w:r>
      <w:r w:rsidR="00C15D37">
        <w:rPr>
          <w:i/>
          <w:iCs/>
        </w:rPr>
        <w:t xml:space="preserve">, </w:t>
      </w:r>
      <w:r w:rsidR="00C308C3">
        <w:t xml:space="preserve">at </w:t>
      </w:r>
      <w:r w:rsidR="00C308C3" w:rsidRPr="00C308C3">
        <w:t>para 7</w:t>
      </w:r>
      <w:r w:rsidR="00B31DD9">
        <w:t>1</w:t>
      </w:r>
      <w:r w:rsidR="00C15D37">
        <w:t>.</w:t>
      </w:r>
    </w:p>
  </w:footnote>
  <w:footnote w:id="60">
    <w:p w14:paraId="21ED75E2" w14:textId="3F7DE131" w:rsidR="00D56B17" w:rsidRDefault="00D56B17" w:rsidP="006156C3">
      <w:pPr>
        <w:pStyle w:val="NIHRCFootnotes"/>
      </w:pPr>
      <w:r>
        <w:rPr>
          <w:rStyle w:val="FootnoteReference"/>
        </w:rPr>
        <w:footnoteRef/>
      </w:r>
      <w:r w:rsidR="0045527C">
        <w:t xml:space="preserve"> </w:t>
      </w:r>
      <w:r w:rsidR="00C15D37" w:rsidRPr="00C15D37">
        <w:t>T v United Kingdom</w:t>
      </w:r>
      <w:r w:rsidR="00C15D37">
        <w:t xml:space="preserve"> </w:t>
      </w:r>
      <w:r w:rsidR="0083113D">
        <w:t>at para 7</w:t>
      </w:r>
      <w:r w:rsidR="00C15D37">
        <w:t>2.</w:t>
      </w:r>
    </w:p>
  </w:footnote>
  <w:footnote w:id="61">
    <w:p w14:paraId="5D47CD78" w14:textId="67F2898E" w:rsidR="00F354BB" w:rsidRDefault="00F354BB" w:rsidP="006156C3">
      <w:pPr>
        <w:pStyle w:val="NIHRCFootnotes"/>
      </w:pPr>
      <w:r>
        <w:rPr>
          <w:rStyle w:val="FootnoteReference"/>
        </w:rPr>
        <w:footnoteRef/>
      </w:r>
      <w:r>
        <w:t xml:space="preserve"> Council of Europe, Human Rights Education for Legal Professionals, ’</w:t>
      </w:r>
      <w:r w:rsidRPr="00924A57">
        <w:t>Interpretative mechanisms in the ECHR case-law: the concept of European consensus</w:t>
      </w:r>
      <w:r>
        <w:t>’, 2015.</w:t>
      </w:r>
    </w:p>
  </w:footnote>
  <w:footnote w:id="62">
    <w:p w14:paraId="24EAC7FF" w14:textId="77777777" w:rsidR="00D26F2D" w:rsidRDefault="00D26F2D" w:rsidP="00D26F2D">
      <w:pPr>
        <w:pStyle w:val="NIHRCFootnotes"/>
      </w:pPr>
      <w:r>
        <w:rPr>
          <w:rStyle w:val="FootnoteReference"/>
        </w:rPr>
        <w:footnoteRef/>
      </w:r>
      <w:r>
        <w:t xml:space="preserve"> Council of Europe, Human Rights Education for Legal Professionals, ’</w:t>
      </w:r>
      <w:r w:rsidRPr="00924A57">
        <w:t>Interpretative mechanisms in the ECHR case-law: the concept of European consensus</w:t>
      </w:r>
      <w:r>
        <w:t>’, 2015.</w:t>
      </w:r>
    </w:p>
  </w:footnote>
  <w:footnote w:id="63">
    <w:p w14:paraId="02C8D5C0" w14:textId="7788C239" w:rsidR="00924A57" w:rsidRDefault="00924A57" w:rsidP="006156C3">
      <w:pPr>
        <w:pStyle w:val="NIHRCFootnotes"/>
      </w:pPr>
      <w:r>
        <w:rPr>
          <w:rStyle w:val="FootnoteReference"/>
        </w:rPr>
        <w:footnoteRef/>
      </w:r>
      <w:r>
        <w:t xml:space="preserve"> Council of Europe,</w:t>
      </w:r>
      <w:r w:rsidR="00D83089">
        <w:t xml:space="preserve"> Human Rights Education for Legal Professional</w:t>
      </w:r>
      <w:r w:rsidR="006C6834">
        <w:t>s,</w:t>
      </w:r>
      <w:r w:rsidR="00CB3F93">
        <w:t xml:space="preserve"> </w:t>
      </w:r>
      <w:r>
        <w:t>’</w:t>
      </w:r>
      <w:r w:rsidRPr="00924A57">
        <w:t>Interpretative mechanisms in the ECHR case-law: the concept of European consensus</w:t>
      </w:r>
      <w:r w:rsidR="00E0114A">
        <w:t>’</w:t>
      </w:r>
      <w:r w:rsidR="00885866">
        <w:t xml:space="preserve">, </w:t>
      </w:r>
      <w:r w:rsidR="00627EF0">
        <w:t>2015</w:t>
      </w:r>
      <w:r w:rsidR="006C6834">
        <w:t>.</w:t>
      </w:r>
    </w:p>
  </w:footnote>
  <w:footnote w:id="64">
    <w:p w14:paraId="6E8469D5" w14:textId="7F1333F3" w:rsidR="00E63FA2" w:rsidRDefault="00E63FA2" w:rsidP="00E63FA2">
      <w:pPr>
        <w:pStyle w:val="NIHRCFootnotes"/>
      </w:pPr>
      <w:r>
        <w:rPr>
          <w:rStyle w:val="FootnoteReference"/>
        </w:rPr>
        <w:footnoteRef/>
      </w:r>
      <w:r>
        <w:t xml:space="preserve"> </w:t>
      </w:r>
      <w:r w:rsidR="00C7466E" w:rsidRPr="00C7466E">
        <w:rPr>
          <w:i/>
          <w:iCs/>
        </w:rPr>
        <w:t xml:space="preserve">Tyrer </w:t>
      </w:r>
      <w:r w:rsidR="00C7466E">
        <w:rPr>
          <w:i/>
          <w:iCs/>
        </w:rPr>
        <w:t>v</w:t>
      </w:r>
      <w:r w:rsidR="00C7466E" w:rsidRPr="00C7466E">
        <w:rPr>
          <w:i/>
          <w:iCs/>
        </w:rPr>
        <w:t xml:space="preserve"> The United Kingdom</w:t>
      </w:r>
      <w:r>
        <w:t xml:space="preserve">, application </w:t>
      </w:r>
      <w:r w:rsidR="00580623">
        <w:t>No 5856</w:t>
      </w:r>
      <w:r>
        <w:t>/72, judgement</w:t>
      </w:r>
      <w:r w:rsidR="00C7466E">
        <w:t xml:space="preserve"> on 25 April 1978</w:t>
      </w:r>
      <w:r w:rsidR="005B4F31">
        <w:t xml:space="preserve"> at para 31.</w:t>
      </w:r>
    </w:p>
  </w:footnote>
  <w:footnote w:id="65">
    <w:p w14:paraId="32E1F4D1" w14:textId="54900A3A" w:rsidR="00CB3F93" w:rsidRDefault="00CB3F93" w:rsidP="00CB3F93">
      <w:pPr>
        <w:pStyle w:val="NIHRCFootnotes"/>
      </w:pPr>
      <w:r>
        <w:rPr>
          <w:rStyle w:val="FootnoteReference"/>
        </w:rPr>
        <w:footnoteRef/>
      </w:r>
      <w:r>
        <w:t xml:space="preserve"> </w:t>
      </w:r>
      <w:r w:rsidRPr="00CB3F93">
        <w:t>Council of Europe, Human Rights Education for Legal Professionals,</w:t>
      </w:r>
      <w:r>
        <w:t xml:space="preserve"> </w:t>
      </w:r>
      <w:r w:rsidRPr="00CB3F93">
        <w:t>’Interpretative mechanisms in the ECHR case-law: the concept of European consensus’, 2015.</w:t>
      </w:r>
    </w:p>
  </w:footnote>
  <w:footnote w:id="66">
    <w:p w14:paraId="3D4764FF" w14:textId="32F582B2" w:rsidR="0043499C" w:rsidRDefault="0043499C" w:rsidP="002A3657">
      <w:pPr>
        <w:pStyle w:val="NIHRCFootnotes"/>
      </w:pPr>
      <w:r>
        <w:rPr>
          <w:rStyle w:val="FootnoteReference"/>
        </w:rPr>
        <w:footnoteRef/>
      </w:r>
      <w:r>
        <w:t xml:space="preserve"> </w:t>
      </w:r>
      <w:r w:rsidRPr="00DD49F8">
        <w:rPr>
          <w:i/>
          <w:iCs/>
        </w:rPr>
        <w:t>Fabris v. France</w:t>
      </w:r>
      <w:r w:rsidRPr="0043499C">
        <w:t>,</w:t>
      </w:r>
      <w:r>
        <w:t xml:space="preserve"> application number </w:t>
      </w:r>
      <w:r w:rsidR="009B17D1">
        <w:t xml:space="preserve">No </w:t>
      </w:r>
      <w:r w:rsidRPr="0043499C">
        <w:t>16574/08,</w:t>
      </w:r>
      <w:r>
        <w:t xml:space="preserve"> judgement delivere</w:t>
      </w:r>
      <w:r w:rsidR="009B17D1">
        <w:t>d</w:t>
      </w:r>
      <w:r w:rsidRPr="0043499C">
        <w:t xml:space="preserve"> 7 February 2013</w:t>
      </w:r>
      <w:r w:rsidR="00D42A31">
        <w:t>.</w:t>
      </w:r>
    </w:p>
  </w:footnote>
  <w:footnote w:id="67">
    <w:p w14:paraId="319CB847" w14:textId="085AE824" w:rsidR="00595D16" w:rsidRDefault="00595D16" w:rsidP="002A3657">
      <w:pPr>
        <w:pStyle w:val="NIHRCFootnotes"/>
      </w:pPr>
      <w:r>
        <w:rPr>
          <w:rStyle w:val="FootnoteReference"/>
        </w:rPr>
        <w:footnoteRef/>
      </w:r>
      <w:r>
        <w:t xml:space="preserve"> </w:t>
      </w:r>
      <w:r w:rsidR="00B66133" w:rsidRPr="00DD49F8">
        <w:rPr>
          <w:i/>
          <w:iCs/>
        </w:rPr>
        <w:t>Lautsi v. Italy</w:t>
      </w:r>
      <w:r w:rsidR="00B66133">
        <w:t>, application number N</w:t>
      </w:r>
      <w:r w:rsidR="00B66133" w:rsidRPr="00657655">
        <w:t>o 30814/0</w:t>
      </w:r>
      <w:r w:rsidR="00B66133">
        <w:t>6</w:t>
      </w:r>
      <w:r w:rsidR="00B66133" w:rsidRPr="00657655">
        <w:t>,</w:t>
      </w:r>
      <w:r w:rsidR="00B66133">
        <w:t xml:space="preserve"> judgement delivered</w:t>
      </w:r>
      <w:r w:rsidR="00B66133" w:rsidRPr="00657655">
        <w:t xml:space="preserve"> 18 March 2011</w:t>
      </w:r>
      <w:r w:rsidR="00B66133">
        <w:t xml:space="preserve"> at para 70.</w:t>
      </w:r>
    </w:p>
  </w:footnote>
  <w:footnote w:id="68">
    <w:p w14:paraId="35EAF9E4" w14:textId="4BF8D90B" w:rsidR="00D6270F" w:rsidRDefault="00D6270F" w:rsidP="002A3657">
      <w:pPr>
        <w:pStyle w:val="NIHRCFootnotes"/>
      </w:pPr>
      <w:r>
        <w:rPr>
          <w:rStyle w:val="FootnoteReference"/>
        </w:rPr>
        <w:footnoteRef/>
      </w:r>
      <w:r>
        <w:t xml:space="preserve"> </w:t>
      </w:r>
      <w:proofErr w:type="spellStart"/>
      <w:r w:rsidR="0062591F" w:rsidRPr="00DD49F8">
        <w:rPr>
          <w:i/>
          <w:iCs/>
        </w:rPr>
        <w:t>Lautsi</w:t>
      </w:r>
      <w:proofErr w:type="spellEnd"/>
      <w:r w:rsidR="0062591F" w:rsidRPr="00DD49F8">
        <w:rPr>
          <w:i/>
          <w:iCs/>
        </w:rPr>
        <w:t xml:space="preserve"> v. Italy</w:t>
      </w:r>
      <w:r w:rsidR="0062591F">
        <w:t>, application number N</w:t>
      </w:r>
      <w:r w:rsidR="0062591F" w:rsidRPr="00657655">
        <w:t>o 30814/0</w:t>
      </w:r>
      <w:r w:rsidR="0062591F">
        <w:t>6</w:t>
      </w:r>
      <w:r w:rsidR="0062591F" w:rsidRPr="00657655">
        <w:t>,</w:t>
      </w:r>
      <w:r w:rsidR="0062591F">
        <w:t xml:space="preserve"> judgement delivered</w:t>
      </w:r>
      <w:r w:rsidR="0062591F" w:rsidRPr="00657655">
        <w:t xml:space="preserve"> 18 March 2011</w:t>
      </w:r>
      <w:r w:rsidR="002A3657">
        <w:t>.</w:t>
      </w:r>
    </w:p>
  </w:footnote>
  <w:footnote w:id="69">
    <w:p w14:paraId="6D223944" w14:textId="172FBAD3" w:rsidR="002D3D72" w:rsidRDefault="002D3D72" w:rsidP="002D3D72">
      <w:pPr>
        <w:pStyle w:val="NIHRCFootnotes"/>
      </w:pPr>
      <w:r>
        <w:rPr>
          <w:rStyle w:val="FootnoteReference"/>
        </w:rPr>
        <w:footnoteRef/>
      </w:r>
      <w:r>
        <w:t xml:space="preserve"> </w:t>
      </w:r>
      <w:r w:rsidRPr="00CB3F93">
        <w:t>Council of Europe, Human Rights Education for Legal Professionals,</w:t>
      </w:r>
      <w:r>
        <w:t xml:space="preserve"> </w:t>
      </w:r>
      <w:r w:rsidRPr="00CB3F93">
        <w:t>’Interpretative mechanisms in the ECHR case-law: the concept of European consensus’, 2015.</w:t>
      </w:r>
    </w:p>
  </w:footnote>
  <w:footnote w:id="70">
    <w:p w14:paraId="36FB3B21" w14:textId="77777777" w:rsidR="00B73093" w:rsidRDefault="00B73093" w:rsidP="00915430">
      <w:pPr>
        <w:pStyle w:val="NIHRCFootnotes"/>
      </w:pPr>
      <w:r>
        <w:rPr>
          <w:rStyle w:val="FootnoteReference"/>
        </w:rPr>
        <w:footnoteRef/>
      </w:r>
      <w:r>
        <w:t xml:space="preserve"> UNCRC, Article 40 (3) a.</w:t>
      </w:r>
    </w:p>
  </w:footnote>
  <w:footnote w:id="71">
    <w:p w14:paraId="5F18404C" w14:textId="41EADE73" w:rsidR="00B73093" w:rsidRDefault="00B73093" w:rsidP="00915430">
      <w:pPr>
        <w:pStyle w:val="NIHRCFootnotes"/>
      </w:pPr>
      <w:r>
        <w:rPr>
          <w:rStyle w:val="FootnoteReference"/>
        </w:rPr>
        <w:footnoteRef/>
      </w:r>
      <w:r>
        <w:t xml:space="preserve"> </w:t>
      </w:r>
      <w:r w:rsidR="005F2C88">
        <w:t xml:space="preserve">A Res </w:t>
      </w:r>
      <w:r w:rsidRPr="008F03C2">
        <w:t>40/33 of 29 November 1985</w:t>
      </w:r>
      <w:r>
        <w:t>, ‘</w:t>
      </w:r>
      <w:r w:rsidRPr="008F03C2">
        <w:t>United Nations Standard Minimum Rules for the Administration of Juvenile Justice ("The Beijing Rules")</w:t>
      </w:r>
      <w:r>
        <w:t>’</w:t>
      </w:r>
      <w:r w:rsidR="00915430">
        <w:t xml:space="preserve">, </w:t>
      </w:r>
      <w:r w:rsidRPr="008F03C2">
        <w:t>29 November 1985</w:t>
      </w:r>
      <w:r>
        <w:t xml:space="preserve">, </w:t>
      </w:r>
      <w:r w:rsidR="009F50FC">
        <w:t>Rule 4.1.</w:t>
      </w:r>
    </w:p>
  </w:footnote>
  <w:footnote w:id="72">
    <w:p w14:paraId="57C1FAC4" w14:textId="34115E7F" w:rsidR="00915430" w:rsidRDefault="00B73093" w:rsidP="00915430">
      <w:pPr>
        <w:pStyle w:val="NIHRCFootnotes"/>
      </w:pPr>
      <w:r>
        <w:rPr>
          <w:rStyle w:val="FootnoteReference"/>
        </w:rPr>
        <w:footnoteRef/>
      </w:r>
      <w:r w:rsidR="00915430">
        <w:t xml:space="preserve"> A Res </w:t>
      </w:r>
      <w:r w:rsidR="00915430" w:rsidRPr="008F03C2">
        <w:t>40/33 of 29 November 1985</w:t>
      </w:r>
      <w:r w:rsidR="00915430">
        <w:t>, ‘</w:t>
      </w:r>
      <w:r w:rsidR="00915430" w:rsidRPr="008F03C2">
        <w:t>United Nations Standard Minimum Rules for the Administration of Juvenile Justice ("The Beijing Rules")</w:t>
      </w:r>
      <w:r w:rsidR="00915430">
        <w:t xml:space="preserve">’, </w:t>
      </w:r>
      <w:r w:rsidR="00915430" w:rsidRPr="008F03C2">
        <w:t>29 November 1985</w:t>
      </w:r>
      <w:r w:rsidR="00915430">
        <w:t xml:space="preserve">, </w:t>
      </w:r>
      <w:r w:rsidR="009F50FC">
        <w:t>Rule 4.1</w:t>
      </w:r>
    </w:p>
  </w:footnote>
  <w:footnote w:id="73">
    <w:p w14:paraId="198322DC" w14:textId="540D8446" w:rsidR="00AF52D7" w:rsidRDefault="00AF52D7" w:rsidP="00D251BD">
      <w:pPr>
        <w:pStyle w:val="NIHRCFootnotes"/>
      </w:pPr>
      <w:r>
        <w:rPr>
          <w:rStyle w:val="FootnoteReference"/>
        </w:rPr>
        <w:footnoteRef/>
      </w:r>
      <w:r>
        <w:t xml:space="preserve"> </w:t>
      </w:r>
      <w:r w:rsidRPr="00067F12">
        <w:t>CRC/C/GC/10</w:t>
      </w:r>
      <w:r>
        <w:t>,</w:t>
      </w:r>
      <w:r w:rsidRPr="00067F12">
        <w:t xml:space="preserve"> </w:t>
      </w:r>
      <w:r w:rsidR="001F1626">
        <w:t>‘</w:t>
      </w:r>
      <w:r>
        <w:t xml:space="preserve">UN </w:t>
      </w:r>
      <w:r w:rsidR="001F1626">
        <w:t xml:space="preserve">CRC Committee </w:t>
      </w:r>
      <w:r w:rsidRPr="00067F12">
        <w:t>General Comment No. 10</w:t>
      </w:r>
      <w:r w:rsidR="001F1626">
        <w:t xml:space="preserve">: </w:t>
      </w:r>
      <w:r w:rsidRPr="00067F12">
        <w:t>Children’s rights in juvenile justice</w:t>
      </w:r>
      <w:r w:rsidR="001F1626">
        <w:t>’</w:t>
      </w:r>
      <w:r>
        <w:t>, 25 April 2007 at para 32.</w:t>
      </w:r>
    </w:p>
  </w:footnote>
  <w:footnote w:id="74">
    <w:p w14:paraId="01D26F4C" w14:textId="3358433B" w:rsidR="00AF52D7" w:rsidRDefault="00AF52D7" w:rsidP="00D251BD">
      <w:pPr>
        <w:pStyle w:val="NIHRCFootnotes"/>
      </w:pPr>
      <w:r>
        <w:rPr>
          <w:rStyle w:val="FootnoteReference"/>
        </w:rPr>
        <w:footnoteRef/>
      </w:r>
      <w:r>
        <w:t xml:space="preserve"> </w:t>
      </w:r>
      <w:r w:rsidRPr="00067F12">
        <w:t>CRC/C/GC/10</w:t>
      </w:r>
      <w:r>
        <w:t>,</w:t>
      </w:r>
      <w:r w:rsidRPr="00067F12">
        <w:t xml:space="preserve"> </w:t>
      </w:r>
      <w:r w:rsidR="001F1626">
        <w:t>‘</w:t>
      </w:r>
      <w:r>
        <w:t>UN</w:t>
      </w:r>
      <w:r w:rsidR="00B11646">
        <w:t xml:space="preserve"> CRC Committee</w:t>
      </w:r>
      <w:r>
        <w:t xml:space="preserve"> </w:t>
      </w:r>
      <w:r w:rsidRPr="00067F12">
        <w:t>General Comment No. 10</w:t>
      </w:r>
      <w:r w:rsidR="001F1626">
        <w:t>:</w:t>
      </w:r>
      <w:r w:rsidRPr="00067F12">
        <w:t xml:space="preserve"> Children’s rights in juvenile justice</w:t>
      </w:r>
      <w:r w:rsidR="001F1626">
        <w:t>’</w:t>
      </w:r>
      <w:r>
        <w:t>, 25 April 2007 at para 32.</w:t>
      </w:r>
    </w:p>
  </w:footnote>
  <w:footnote w:id="75">
    <w:p w14:paraId="231574CF" w14:textId="59A4FC94" w:rsidR="00091478" w:rsidRDefault="00091478" w:rsidP="00D251BD">
      <w:pPr>
        <w:pStyle w:val="NIHRCFootnotes"/>
      </w:pPr>
      <w:r>
        <w:rPr>
          <w:rStyle w:val="FootnoteReference"/>
        </w:rPr>
        <w:footnoteRef/>
      </w:r>
      <w:r>
        <w:t xml:space="preserve"> </w:t>
      </w:r>
      <w:r w:rsidRPr="00067F12">
        <w:t>CRC/C/GC/10</w:t>
      </w:r>
      <w:r>
        <w:t>,</w:t>
      </w:r>
      <w:r w:rsidRPr="00067F12">
        <w:t xml:space="preserve"> </w:t>
      </w:r>
      <w:r w:rsidR="00353A2C">
        <w:t>‘</w:t>
      </w:r>
      <w:r w:rsidR="00EC37D1">
        <w:t>UN CRC</w:t>
      </w:r>
      <w:r w:rsidR="00B11646">
        <w:t xml:space="preserve"> Committee </w:t>
      </w:r>
      <w:r w:rsidRPr="00067F12">
        <w:t>Comment No</w:t>
      </w:r>
      <w:r w:rsidR="00353A2C">
        <w:t xml:space="preserve"> </w:t>
      </w:r>
      <w:r w:rsidRPr="00067F12">
        <w:t>10</w:t>
      </w:r>
      <w:r w:rsidR="00353A2C">
        <w:t xml:space="preserve">: </w:t>
      </w:r>
      <w:r w:rsidRPr="00067F12">
        <w:t xml:space="preserve">Children’s rights in juvenile </w:t>
      </w:r>
      <w:r w:rsidR="00EC37D1" w:rsidRPr="00067F12">
        <w:t>justice</w:t>
      </w:r>
      <w:r w:rsidR="00EC37D1">
        <w:t xml:space="preserve"> ‘</w:t>
      </w:r>
      <w:r>
        <w:t>, 25 April 2007 at para 33.</w:t>
      </w:r>
    </w:p>
  </w:footnote>
  <w:footnote w:id="76">
    <w:p w14:paraId="18A46C9A" w14:textId="684711A7" w:rsidR="00B73093" w:rsidRDefault="00B73093" w:rsidP="00B73093">
      <w:pPr>
        <w:pStyle w:val="NIHRCFootnotes"/>
      </w:pPr>
      <w:r>
        <w:rPr>
          <w:rStyle w:val="FootnoteReference"/>
        </w:rPr>
        <w:footnoteRef/>
      </w:r>
      <w:r>
        <w:t xml:space="preserve"> </w:t>
      </w:r>
      <w:r w:rsidRPr="00ED1A69">
        <w:t>CRC/C/GBR/CO/</w:t>
      </w:r>
      <w:r w:rsidR="00353A2C" w:rsidRPr="00ED1A69">
        <w:t>5</w:t>
      </w:r>
      <w:r w:rsidR="00353A2C">
        <w:t>, ‘</w:t>
      </w:r>
      <w:r>
        <w:t xml:space="preserve">UN Committee on the Rights of the Child </w:t>
      </w:r>
      <w:r w:rsidRPr="003D24DD">
        <w:t xml:space="preserve">Concluding observations on the fifth periodic report of the United Kingdom of Great Britain and Northern </w:t>
      </w:r>
      <w:r w:rsidR="00EC37D1" w:rsidRPr="003D24DD">
        <w:t>Ireland</w:t>
      </w:r>
      <w:r w:rsidR="00EC37D1" w:rsidRPr="003D24DD">
        <w:rPr>
          <w:vertAlign w:val="superscript"/>
        </w:rPr>
        <w:t>’</w:t>
      </w:r>
      <w:r w:rsidRPr="003D24DD">
        <w:t>,</w:t>
      </w:r>
      <w:r>
        <w:t xml:space="preserve"> 3 June 2016 at para 7</w:t>
      </w:r>
      <w:r w:rsidR="001914AC">
        <w:t>9</w:t>
      </w:r>
      <w:r>
        <w:t>(a).</w:t>
      </w:r>
    </w:p>
  </w:footnote>
  <w:footnote w:id="77">
    <w:p w14:paraId="76E70DAF" w14:textId="77777777" w:rsidR="00B73093" w:rsidRPr="00D432AA" w:rsidRDefault="00B73093" w:rsidP="00B73093">
      <w:pPr>
        <w:pStyle w:val="FootnoteText"/>
        <w:rPr>
          <w:color w:val="77328A"/>
          <w:sz w:val="16"/>
          <w:szCs w:val="16"/>
        </w:rPr>
      </w:pPr>
      <w:r w:rsidRPr="00D432AA">
        <w:rPr>
          <w:rStyle w:val="FootnoteReference"/>
          <w:color w:val="77328A"/>
          <w:sz w:val="16"/>
          <w:szCs w:val="16"/>
        </w:rPr>
        <w:footnoteRef/>
      </w:r>
      <w:r w:rsidRPr="00D432AA">
        <w:rPr>
          <w:color w:val="77328A"/>
          <w:sz w:val="16"/>
          <w:szCs w:val="16"/>
        </w:rPr>
        <w:t xml:space="preserve"> CAT/C/GBR/CO/6, 'UN CAT Committee Concluding Observations on the Sixth Periodic Report of the UK of Great Britain and NI', 7 June 2019, at para 23.</w:t>
      </w:r>
    </w:p>
  </w:footnote>
  <w:footnote w:id="78">
    <w:p w14:paraId="1904E631" w14:textId="77777777" w:rsidR="00B73093" w:rsidRPr="00545735" w:rsidRDefault="00B73093" w:rsidP="005F38D1">
      <w:pPr>
        <w:pStyle w:val="NIHRCFootnotes"/>
      </w:pPr>
      <w:r w:rsidRPr="00E32BAA">
        <w:rPr>
          <w:rStyle w:val="FootnoteReference"/>
        </w:rPr>
        <w:footnoteRef/>
      </w:r>
      <w:r w:rsidRPr="00E32BAA">
        <w:t xml:space="preserve"> CRC/C/GC</w:t>
      </w:r>
      <w:r w:rsidRPr="00545735">
        <w:t>/24, 'UN CRC Committee General Comment No 24: Children's Rights in the Child Justice System' 18 September 2019, at para 22.</w:t>
      </w:r>
    </w:p>
  </w:footnote>
  <w:footnote w:id="79">
    <w:p w14:paraId="493A785C" w14:textId="01BB94EA" w:rsidR="00B73093" w:rsidRDefault="00B73093" w:rsidP="005F38D1">
      <w:pPr>
        <w:pStyle w:val="NIHRCFootnotes"/>
      </w:pPr>
      <w:r>
        <w:rPr>
          <w:rStyle w:val="FootnoteReference"/>
        </w:rPr>
        <w:footnoteRef/>
      </w:r>
      <w:r>
        <w:t xml:space="preserve"> </w:t>
      </w:r>
      <w:r w:rsidRPr="005C4A28">
        <w:t>CRC/C/GBR/CO/6-7</w:t>
      </w:r>
      <w:r>
        <w:t>, UN Committee on the Rights of the Child, ‘</w:t>
      </w:r>
      <w:r w:rsidRPr="00AF5483">
        <w:t>Concluding observations on the combined sixth and seventh periodic reports of the United Kingdom of Great Britain and Northern Ireland*</w:t>
      </w:r>
      <w:r>
        <w:t>’,</w:t>
      </w:r>
      <w:r w:rsidR="00E5170B">
        <w:t xml:space="preserve"> 2 June </w:t>
      </w:r>
      <w:r w:rsidR="004C0A9A">
        <w:t>2023, at</w:t>
      </w:r>
      <w:r>
        <w:t xml:space="preserve"> para 54 (a).</w:t>
      </w:r>
    </w:p>
  </w:footnote>
  <w:footnote w:id="80">
    <w:p w14:paraId="371CF2BF" w14:textId="77777777" w:rsidR="00F133A5" w:rsidRDefault="00F133A5" w:rsidP="002565E9">
      <w:pPr>
        <w:pStyle w:val="NIHRCFootnotes"/>
      </w:pPr>
      <w:r>
        <w:rPr>
          <w:rStyle w:val="FootnoteReference"/>
        </w:rPr>
        <w:footnoteRef/>
      </w:r>
      <w:r>
        <w:t xml:space="preserve"> C</w:t>
      </w:r>
      <w:r w:rsidRPr="00C407B8">
        <w:t>CPR/C/GBR/CO/8, ‘UN Human Rights Committee Concluding Observations on the Eighth Periodic Report of the UK of Great Britain and NI’, 3 May 2024, at para 55(b).</w:t>
      </w:r>
    </w:p>
  </w:footnote>
  <w:footnote w:id="81">
    <w:p w14:paraId="63283976" w14:textId="78614BF7" w:rsidR="00B73093" w:rsidRDefault="00B73093" w:rsidP="00850783">
      <w:pPr>
        <w:pStyle w:val="NIHRCFootnotes"/>
      </w:pPr>
      <w:r>
        <w:rPr>
          <w:rStyle w:val="FootnoteReference"/>
        </w:rPr>
        <w:footnoteRef/>
      </w:r>
      <w:r>
        <w:t xml:space="preserve"> </w:t>
      </w:r>
      <w:r w:rsidRPr="00067F12">
        <w:t>CRC/C/GC/10</w:t>
      </w:r>
      <w:r>
        <w:t>,</w:t>
      </w:r>
      <w:r w:rsidRPr="00067F12">
        <w:t xml:space="preserve"> </w:t>
      </w:r>
      <w:r w:rsidR="009A1967">
        <w:t>‘</w:t>
      </w:r>
      <w:r>
        <w:t>UN</w:t>
      </w:r>
      <w:r w:rsidR="009A1967">
        <w:t xml:space="preserve"> CRC </w:t>
      </w:r>
      <w:r w:rsidRPr="00067F12">
        <w:t>General Comment No 10</w:t>
      </w:r>
      <w:r w:rsidR="009A1967">
        <w:t xml:space="preserve">: </w:t>
      </w:r>
      <w:r w:rsidRPr="00067F12">
        <w:t>Children’s rights in juvenile justice</w:t>
      </w:r>
      <w:r>
        <w:t>, 25 April 2007 at para 34.</w:t>
      </w:r>
    </w:p>
  </w:footnote>
  <w:footnote w:id="82">
    <w:p w14:paraId="37C6867C" w14:textId="4A0A904C" w:rsidR="004539A6" w:rsidRDefault="004539A6" w:rsidP="00850783">
      <w:pPr>
        <w:pStyle w:val="NIHRCFootnotes"/>
      </w:pPr>
      <w:r>
        <w:rPr>
          <w:rStyle w:val="FootnoteReference"/>
        </w:rPr>
        <w:footnoteRef/>
      </w:r>
      <w:r w:rsidR="009A1967">
        <w:t xml:space="preserve"> </w:t>
      </w:r>
      <w:r w:rsidR="002565E9" w:rsidRPr="00067F12">
        <w:t>CRC/C/GC/10</w:t>
      </w:r>
      <w:r w:rsidR="002565E9">
        <w:t>,</w:t>
      </w:r>
      <w:r w:rsidR="002565E9" w:rsidRPr="00067F12">
        <w:t xml:space="preserve"> </w:t>
      </w:r>
      <w:r w:rsidR="009A1967">
        <w:t xml:space="preserve">UN CRC </w:t>
      </w:r>
      <w:r w:rsidR="002565E9" w:rsidRPr="00067F12">
        <w:t>General Comment No.10</w:t>
      </w:r>
      <w:r w:rsidR="009A1967">
        <w:t xml:space="preserve">: </w:t>
      </w:r>
      <w:r w:rsidR="002565E9" w:rsidRPr="00067F12">
        <w:t>Children’s rights in juvenile justice</w:t>
      </w:r>
      <w:r w:rsidR="002565E9">
        <w:t>, 25 April,</w:t>
      </w:r>
      <w:r>
        <w:t xml:space="preserve"> </w:t>
      </w:r>
      <w:r w:rsidR="002565E9">
        <w:t>a</w:t>
      </w:r>
      <w:r>
        <w:t>t para 30</w:t>
      </w:r>
      <w:r w:rsidR="002565E9">
        <w:t>.</w:t>
      </w:r>
    </w:p>
  </w:footnote>
  <w:footnote w:id="83">
    <w:p w14:paraId="406D7B51" w14:textId="124E7FE4" w:rsidR="001A4561" w:rsidRDefault="001A4561" w:rsidP="004C6223">
      <w:pPr>
        <w:pStyle w:val="NIHRCFootnotes"/>
      </w:pPr>
      <w:r>
        <w:rPr>
          <w:rStyle w:val="FootnoteReference"/>
        </w:rPr>
        <w:footnoteRef/>
      </w:r>
      <w:r w:rsidR="009A1967">
        <w:t xml:space="preserve"> </w:t>
      </w:r>
      <w:r w:rsidRPr="00E32BAA">
        <w:t>CRC/C/GC</w:t>
      </w:r>
      <w:r w:rsidRPr="00545735">
        <w:t>/24, 'UN CRC Committee General Comment No 24: Children's Rights in the Child Justice System' 18 September 2019, at para</w:t>
      </w:r>
      <w:r>
        <w:t xml:space="preserve"> 25.</w:t>
      </w:r>
    </w:p>
  </w:footnote>
  <w:footnote w:id="84">
    <w:p w14:paraId="1DBE1937" w14:textId="561F27C9" w:rsidR="00D107E4" w:rsidRDefault="00D107E4" w:rsidP="004C6223">
      <w:pPr>
        <w:pStyle w:val="NIHRCFootnotes"/>
      </w:pPr>
      <w:r>
        <w:rPr>
          <w:rStyle w:val="FootnoteReference"/>
        </w:rPr>
        <w:footnoteRef/>
      </w:r>
      <w:r>
        <w:t xml:space="preserve"> Article 40(3)</w:t>
      </w:r>
      <w:r w:rsidR="004C6223">
        <w:t xml:space="preserve"> </w:t>
      </w:r>
      <w:r>
        <w:t>b.</w:t>
      </w:r>
    </w:p>
  </w:footnote>
  <w:footnote w:id="85">
    <w:p w14:paraId="19314E1E" w14:textId="77777777" w:rsidR="00B73093" w:rsidRPr="00B75A22" w:rsidRDefault="00B73093" w:rsidP="00850783">
      <w:pPr>
        <w:pStyle w:val="NIHRCFootnotes"/>
      </w:pPr>
      <w:r w:rsidRPr="00B75A22">
        <w:rPr>
          <w:rStyle w:val="FootnoteReference"/>
        </w:rPr>
        <w:footnoteRef/>
      </w:r>
      <w:r w:rsidRPr="00B75A22">
        <w:t xml:space="preserve"> Local Government Association, ‘Supporting the youngest children in the youth justice system: what works to reduce offending and improve outcomes?’ (LGA, 2022).</w:t>
      </w:r>
    </w:p>
  </w:footnote>
  <w:footnote w:id="86">
    <w:p w14:paraId="505B7D05" w14:textId="7E1C68BD" w:rsidR="003F20CF" w:rsidRDefault="003F20CF" w:rsidP="00850783">
      <w:pPr>
        <w:pStyle w:val="NIHRCFootnotes"/>
      </w:pPr>
      <w:r>
        <w:rPr>
          <w:rStyle w:val="FootnoteReference"/>
        </w:rPr>
        <w:footnoteRef/>
      </w:r>
      <w:r>
        <w:t xml:space="preserve"> </w:t>
      </w:r>
      <w:r w:rsidRPr="003F20CF">
        <w:t>UK Parliament, Parliamentary Office of Science and Technology (POST</w:t>
      </w:r>
      <w:r w:rsidRPr="00667BA0">
        <w:t xml:space="preserve">), </w:t>
      </w:r>
      <w:r w:rsidR="00667BA0">
        <w:t>‘</w:t>
      </w:r>
      <w:r w:rsidRPr="00667BA0">
        <w:t>Age of Criminal Responsibility,</w:t>
      </w:r>
      <w:r w:rsidR="00667BA0">
        <w:t>’</w:t>
      </w:r>
      <w:r w:rsidRPr="003F20CF">
        <w:t xml:space="preserve"> POSTnote No. 577,</w:t>
      </w:r>
      <w:r>
        <w:t xml:space="preserve"> </w:t>
      </w:r>
      <w:r w:rsidR="004159D9">
        <w:t>2</w:t>
      </w:r>
      <w:r w:rsidRPr="003F20CF">
        <w:t xml:space="preserve"> June 2018</w:t>
      </w:r>
      <w:r w:rsidR="00850783">
        <w:t>.</w:t>
      </w:r>
    </w:p>
  </w:footnote>
  <w:footnote w:id="87">
    <w:p w14:paraId="7D79F48B" w14:textId="5578EE06" w:rsidR="00F332CE" w:rsidRDefault="00F332CE" w:rsidP="00E57EC3">
      <w:pPr>
        <w:pStyle w:val="NIHRCFootnotes"/>
      </w:pPr>
      <w:r>
        <w:rPr>
          <w:rStyle w:val="FootnoteReference"/>
        </w:rPr>
        <w:footnoteRef/>
      </w:r>
      <w:r>
        <w:t xml:space="preserve"> </w:t>
      </w:r>
      <w:r w:rsidR="0043792C" w:rsidRPr="00E32BAA">
        <w:t>CRC/C/GC</w:t>
      </w:r>
      <w:r w:rsidR="0043792C" w:rsidRPr="00545735">
        <w:t>/24, 'UN CRC Committee General Comment No 24: Children's Rights in the Child Justice System'</w:t>
      </w:r>
      <w:r w:rsidR="0043792C">
        <w:t xml:space="preserve">, </w:t>
      </w:r>
      <w:r w:rsidR="0043792C" w:rsidRPr="00545735">
        <w:t>18 September 2019</w:t>
      </w:r>
      <w:r w:rsidR="004379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A7"/>
    <w:multiLevelType w:val="multilevel"/>
    <w:tmpl w:val="B21A3EA8"/>
    <w:lvl w:ilvl="0">
      <w:start w:val="3"/>
      <w:numFmt w:val="decimal"/>
      <w:lvlText w:val="%1"/>
      <w:lvlJc w:val="left"/>
      <w:pPr>
        <w:ind w:left="588" w:hanging="588"/>
      </w:pPr>
      <w:rPr>
        <w:rFonts w:hint="default"/>
        <w:b/>
      </w:rPr>
    </w:lvl>
    <w:lvl w:ilvl="1">
      <w:start w:val="5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13055F4A"/>
    <w:multiLevelType w:val="multilevel"/>
    <w:tmpl w:val="CF5C930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62073D3"/>
    <w:multiLevelType w:val="multilevel"/>
    <w:tmpl w:val="7EFE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0203"/>
    <w:multiLevelType w:val="multilevel"/>
    <w:tmpl w:val="BA7E13F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299C768C"/>
    <w:multiLevelType w:val="multilevel"/>
    <w:tmpl w:val="32960E00"/>
    <w:lvl w:ilvl="0">
      <w:start w:val="4"/>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5" w15:restartNumberingAfterBreak="0">
    <w:nsid w:val="31EA097C"/>
    <w:multiLevelType w:val="multilevel"/>
    <w:tmpl w:val="4AEE1CA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1C15D0"/>
    <w:multiLevelType w:val="hybridMultilevel"/>
    <w:tmpl w:val="0DDC2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F1E69"/>
    <w:multiLevelType w:val="multilevel"/>
    <w:tmpl w:val="9A94B160"/>
    <w:lvl w:ilvl="0">
      <w:start w:val="4"/>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8" w15:restartNumberingAfterBreak="0">
    <w:nsid w:val="421B3A52"/>
    <w:multiLevelType w:val="hybridMultilevel"/>
    <w:tmpl w:val="302A01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360A21"/>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10" w15:restartNumberingAfterBreak="0">
    <w:nsid w:val="466001FF"/>
    <w:multiLevelType w:val="multilevel"/>
    <w:tmpl w:val="702E1306"/>
    <w:lvl w:ilvl="0">
      <w:start w:val="3"/>
      <w:numFmt w:val="decimal"/>
      <w:lvlText w:val="%1."/>
      <w:lvlJc w:val="left"/>
      <w:pPr>
        <w:ind w:left="672" w:hanging="672"/>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8330BCA"/>
    <w:multiLevelType w:val="multilevel"/>
    <w:tmpl w:val="CBA039F6"/>
    <w:lvl w:ilvl="0">
      <w:start w:val="3"/>
      <w:numFmt w:val="decimal"/>
      <w:lvlText w:val="%1"/>
      <w:lvlJc w:val="left"/>
      <w:pPr>
        <w:ind w:left="588" w:hanging="588"/>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73214A"/>
    <w:multiLevelType w:val="hybridMultilevel"/>
    <w:tmpl w:val="6838A1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041590"/>
    <w:multiLevelType w:val="multilevel"/>
    <w:tmpl w:val="ED626C38"/>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5750619B"/>
    <w:multiLevelType w:val="multilevel"/>
    <w:tmpl w:val="AA62EF68"/>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8A04C1D"/>
    <w:multiLevelType w:val="multilevel"/>
    <w:tmpl w:val="86F00E76"/>
    <w:lvl w:ilvl="0">
      <w:start w:val="3"/>
      <w:numFmt w:val="decimal"/>
      <w:lvlText w:val="%1"/>
      <w:lvlJc w:val="left"/>
      <w:pPr>
        <w:ind w:left="588" w:hanging="588"/>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62C72ACB"/>
    <w:multiLevelType w:val="multilevel"/>
    <w:tmpl w:val="F742384C"/>
    <w:lvl w:ilvl="0">
      <w:start w:val="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66D4103C"/>
    <w:multiLevelType w:val="hybridMultilevel"/>
    <w:tmpl w:val="480AFE40"/>
    <w:lvl w:ilvl="0" w:tplc="C040119C">
      <w:start w:val="1"/>
      <w:numFmt w:val="decimal"/>
      <w:pStyle w:val="Heading1"/>
      <w:lvlText w:val="%1.0"/>
      <w:lvlJc w:val="left"/>
      <w:pPr>
        <w:ind w:left="720" w:hanging="360"/>
      </w:pPr>
      <w:rPr>
        <w:rFonts w:hint="default"/>
      </w:rPr>
    </w:lvl>
    <w:lvl w:ilvl="1" w:tplc="68C6D7F4">
      <w:numFmt w:val="bullet"/>
      <w:lvlText w:val="·"/>
      <w:lvlJc w:val="left"/>
      <w:pPr>
        <w:ind w:left="1440" w:hanging="360"/>
      </w:pPr>
      <w:rPr>
        <w:rFonts w:ascii="Verdana" w:eastAsiaTheme="minorEastAsia"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90A48"/>
    <w:multiLevelType w:val="multilevel"/>
    <w:tmpl w:val="396C7152"/>
    <w:lvl w:ilvl="0">
      <w:start w:val="2"/>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73282750"/>
    <w:multiLevelType w:val="multilevel"/>
    <w:tmpl w:val="D1C4E74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0" w15:restartNumberingAfterBreak="0">
    <w:nsid w:val="733A4C65"/>
    <w:multiLevelType w:val="hybridMultilevel"/>
    <w:tmpl w:val="FD8C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87186"/>
    <w:multiLevelType w:val="multilevel"/>
    <w:tmpl w:val="C2221240"/>
    <w:lvl w:ilvl="0">
      <w:start w:val="3"/>
      <w:numFmt w:val="decimal"/>
      <w:lvlText w:val="%1"/>
      <w:lvlJc w:val="left"/>
      <w:pPr>
        <w:ind w:left="588" w:hanging="588"/>
      </w:pPr>
      <w:rPr>
        <w:rFonts w:eastAsia="Times New Roman" w:cs="Segoe UI" w:hint="default"/>
      </w:rPr>
    </w:lvl>
    <w:lvl w:ilvl="1">
      <w:start w:val="86"/>
      <w:numFmt w:val="decimal"/>
      <w:lvlText w:val="%1.%2"/>
      <w:lvlJc w:val="left"/>
      <w:pPr>
        <w:ind w:left="720" w:hanging="720"/>
      </w:pPr>
      <w:rPr>
        <w:rFonts w:eastAsia="Times New Roman" w:cs="Segoe UI" w:hint="default"/>
      </w:rPr>
    </w:lvl>
    <w:lvl w:ilvl="2">
      <w:start w:val="1"/>
      <w:numFmt w:val="decimal"/>
      <w:lvlText w:val="%1.%2.%3"/>
      <w:lvlJc w:val="left"/>
      <w:pPr>
        <w:ind w:left="1080" w:hanging="1080"/>
      </w:pPr>
      <w:rPr>
        <w:rFonts w:eastAsia="Times New Roman" w:cs="Segoe UI" w:hint="default"/>
      </w:rPr>
    </w:lvl>
    <w:lvl w:ilvl="3">
      <w:start w:val="1"/>
      <w:numFmt w:val="decimal"/>
      <w:lvlText w:val="%1.%2.%3.%4"/>
      <w:lvlJc w:val="left"/>
      <w:pPr>
        <w:ind w:left="1440" w:hanging="1440"/>
      </w:pPr>
      <w:rPr>
        <w:rFonts w:eastAsia="Times New Roman" w:cs="Segoe UI" w:hint="default"/>
      </w:rPr>
    </w:lvl>
    <w:lvl w:ilvl="4">
      <w:start w:val="1"/>
      <w:numFmt w:val="decimal"/>
      <w:lvlText w:val="%1.%2.%3.%4.%5"/>
      <w:lvlJc w:val="left"/>
      <w:pPr>
        <w:ind w:left="1440" w:hanging="1440"/>
      </w:pPr>
      <w:rPr>
        <w:rFonts w:eastAsia="Times New Roman" w:cs="Segoe UI" w:hint="default"/>
      </w:rPr>
    </w:lvl>
    <w:lvl w:ilvl="5">
      <w:start w:val="1"/>
      <w:numFmt w:val="decimal"/>
      <w:lvlText w:val="%1.%2.%3.%4.%5.%6"/>
      <w:lvlJc w:val="left"/>
      <w:pPr>
        <w:ind w:left="1800" w:hanging="1800"/>
      </w:pPr>
      <w:rPr>
        <w:rFonts w:eastAsia="Times New Roman" w:cs="Segoe UI" w:hint="default"/>
      </w:rPr>
    </w:lvl>
    <w:lvl w:ilvl="6">
      <w:start w:val="1"/>
      <w:numFmt w:val="decimal"/>
      <w:lvlText w:val="%1.%2.%3.%4.%5.%6.%7"/>
      <w:lvlJc w:val="left"/>
      <w:pPr>
        <w:ind w:left="2160" w:hanging="2160"/>
      </w:pPr>
      <w:rPr>
        <w:rFonts w:eastAsia="Times New Roman" w:cs="Segoe UI" w:hint="default"/>
      </w:rPr>
    </w:lvl>
    <w:lvl w:ilvl="7">
      <w:start w:val="1"/>
      <w:numFmt w:val="decimal"/>
      <w:lvlText w:val="%1.%2.%3.%4.%5.%6.%7.%8"/>
      <w:lvlJc w:val="left"/>
      <w:pPr>
        <w:ind w:left="2520" w:hanging="2520"/>
      </w:pPr>
      <w:rPr>
        <w:rFonts w:eastAsia="Times New Roman" w:cs="Segoe UI" w:hint="default"/>
      </w:rPr>
    </w:lvl>
    <w:lvl w:ilvl="8">
      <w:start w:val="1"/>
      <w:numFmt w:val="decimal"/>
      <w:lvlText w:val="%1.%2.%3.%4.%5.%6.%7.%8.%9"/>
      <w:lvlJc w:val="left"/>
      <w:pPr>
        <w:ind w:left="2880" w:hanging="2880"/>
      </w:pPr>
      <w:rPr>
        <w:rFonts w:eastAsia="Times New Roman" w:cs="Segoe UI" w:hint="default"/>
      </w:rPr>
    </w:lvl>
  </w:abstractNum>
  <w:abstractNum w:abstractNumId="22" w15:restartNumberingAfterBreak="0">
    <w:nsid w:val="7DB30DB1"/>
    <w:multiLevelType w:val="hybridMultilevel"/>
    <w:tmpl w:val="FEAC9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7E7E6A"/>
    <w:multiLevelType w:val="multilevel"/>
    <w:tmpl w:val="9D0EBEF0"/>
    <w:lvl w:ilvl="0">
      <w:start w:val="1"/>
      <w:numFmt w:val="decimal"/>
      <w:lvlText w:val="%1.0"/>
      <w:lvlJc w:val="left"/>
      <w:pPr>
        <w:ind w:left="720" w:hanging="720"/>
      </w:pPr>
      <w:rPr>
        <w:b/>
      </w:rPr>
    </w:lvl>
    <w:lvl w:ilvl="1">
      <w:start w:val="1"/>
      <w:numFmt w:val="decimal"/>
      <w:lvlText w:val="%1.%2"/>
      <w:lvlJc w:val="left"/>
      <w:pPr>
        <w:ind w:left="720" w:hanging="720"/>
      </w:pPr>
      <w:rPr>
        <w:rFonts w:ascii="Verdana" w:hAnsi="Verdana"/>
        <w:b w:val="0"/>
        <w:bCs/>
        <w:color w:val="auto"/>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num w:numId="1" w16cid:durableId="1640382528">
    <w:abstractNumId w:val="9"/>
  </w:num>
  <w:num w:numId="2" w16cid:durableId="971406211">
    <w:abstractNumId w:val="17"/>
  </w:num>
  <w:num w:numId="3" w16cid:durableId="1929346994">
    <w:abstractNumId w:val="1"/>
  </w:num>
  <w:num w:numId="4" w16cid:durableId="1274705908">
    <w:abstractNumId w:val="20"/>
  </w:num>
  <w:num w:numId="5" w16cid:durableId="131335465">
    <w:abstractNumId w:val="5"/>
  </w:num>
  <w:num w:numId="6" w16cid:durableId="204371891">
    <w:abstractNumId w:val="16"/>
  </w:num>
  <w:num w:numId="7" w16cid:durableId="1858733085">
    <w:abstractNumId w:val="18"/>
  </w:num>
  <w:num w:numId="8" w16cid:durableId="2102407331">
    <w:abstractNumId w:val="14"/>
  </w:num>
  <w:num w:numId="9" w16cid:durableId="199822832">
    <w:abstractNumId w:val="10"/>
  </w:num>
  <w:num w:numId="10" w16cid:durableId="306518570">
    <w:abstractNumId w:val="15"/>
  </w:num>
  <w:num w:numId="11" w16cid:durableId="262223063">
    <w:abstractNumId w:val="11"/>
  </w:num>
  <w:num w:numId="12" w16cid:durableId="254217730">
    <w:abstractNumId w:val="0"/>
  </w:num>
  <w:num w:numId="13" w16cid:durableId="890186838">
    <w:abstractNumId w:val="21"/>
  </w:num>
  <w:num w:numId="14" w16cid:durableId="556278565">
    <w:abstractNumId w:val="7"/>
  </w:num>
  <w:num w:numId="15" w16cid:durableId="2026011558">
    <w:abstractNumId w:val="23"/>
  </w:num>
  <w:num w:numId="16" w16cid:durableId="53890438">
    <w:abstractNumId w:val="8"/>
  </w:num>
  <w:num w:numId="17" w16cid:durableId="1787115050">
    <w:abstractNumId w:val="6"/>
  </w:num>
  <w:num w:numId="18" w16cid:durableId="177888295">
    <w:abstractNumId w:val="22"/>
  </w:num>
  <w:num w:numId="19" w16cid:durableId="1011375431">
    <w:abstractNumId w:val="12"/>
  </w:num>
  <w:num w:numId="20" w16cid:durableId="1076974821">
    <w:abstractNumId w:val="4"/>
  </w:num>
  <w:num w:numId="21" w16cid:durableId="332413063">
    <w:abstractNumId w:val="13"/>
  </w:num>
  <w:num w:numId="22" w16cid:durableId="282345464">
    <w:abstractNumId w:val="3"/>
  </w:num>
  <w:num w:numId="23" w16cid:durableId="376516343">
    <w:abstractNumId w:val="19"/>
  </w:num>
  <w:num w:numId="24" w16cid:durableId="21409484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388"/>
    <w:rsid w:val="0000089C"/>
    <w:rsid w:val="00000A0D"/>
    <w:rsid w:val="00000A12"/>
    <w:rsid w:val="00000FC3"/>
    <w:rsid w:val="00001879"/>
    <w:rsid w:val="00001AD6"/>
    <w:rsid w:val="00001BA9"/>
    <w:rsid w:val="00002499"/>
    <w:rsid w:val="00002D24"/>
    <w:rsid w:val="0000313B"/>
    <w:rsid w:val="00003381"/>
    <w:rsid w:val="000035D8"/>
    <w:rsid w:val="000043D5"/>
    <w:rsid w:val="000049FC"/>
    <w:rsid w:val="00005377"/>
    <w:rsid w:val="0000552B"/>
    <w:rsid w:val="00005709"/>
    <w:rsid w:val="00005B07"/>
    <w:rsid w:val="000062F6"/>
    <w:rsid w:val="00007024"/>
    <w:rsid w:val="000071E0"/>
    <w:rsid w:val="00007858"/>
    <w:rsid w:val="00007B91"/>
    <w:rsid w:val="00010051"/>
    <w:rsid w:val="00010BCE"/>
    <w:rsid w:val="00010FF7"/>
    <w:rsid w:val="000112A2"/>
    <w:rsid w:val="0001148A"/>
    <w:rsid w:val="00011DB6"/>
    <w:rsid w:val="0001243B"/>
    <w:rsid w:val="000128FC"/>
    <w:rsid w:val="00013597"/>
    <w:rsid w:val="000139F3"/>
    <w:rsid w:val="00013A8C"/>
    <w:rsid w:val="00013CB5"/>
    <w:rsid w:val="000148BB"/>
    <w:rsid w:val="000153D1"/>
    <w:rsid w:val="0001588E"/>
    <w:rsid w:val="00015BCF"/>
    <w:rsid w:val="00015BD9"/>
    <w:rsid w:val="00016335"/>
    <w:rsid w:val="00016B20"/>
    <w:rsid w:val="0001710D"/>
    <w:rsid w:val="0002007F"/>
    <w:rsid w:val="000209E8"/>
    <w:rsid w:val="00021305"/>
    <w:rsid w:val="00021352"/>
    <w:rsid w:val="000213DC"/>
    <w:rsid w:val="00021C11"/>
    <w:rsid w:val="00023161"/>
    <w:rsid w:val="00023EA1"/>
    <w:rsid w:val="000240A9"/>
    <w:rsid w:val="000243A7"/>
    <w:rsid w:val="00024B45"/>
    <w:rsid w:val="000251CD"/>
    <w:rsid w:val="00025B04"/>
    <w:rsid w:val="00025CE9"/>
    <w:rsid w:val="0002613F"/>
    <w:rsid w:val="00026261"/>
    <w:rsid w:val="00026504"/>
    <w:rsid w:val="00027C44"/>
    <w:rsid w:val="00030C0C"/>
    <w:rsid w:val="00032450"/>
    <w:rsid w:val="00032C62"/>
    <w:rsid w:val="00032C67"/>
    <w:rsid w:val="00033D93"/>
    <w:rsid w:val="00034576"/>
    <w:rsid w:val="00035D22"/>
    <w:rsid w:val="00035E45"/>
    <w:rsid w:val="0003635C"/>
    <w:rsid w:val="0003792F"/>
    <w:rsid w:val="00037CC9"/>
    <w:rsid w:val="00037D26"/>
    <w:rsid w:val="00037D81"/>
    <w:rsid w:val="00037E96"/>
    <w:rsid w:val="00037F8B"/>
    <w:rsid w:val="00040AB7"/>
    <w:rsid w:val="00040E16"/>
    <w:rsid w:val="000412C3"/>
    <w:rsid w:val="00042871"/>
    <w:rsid w:val="000429C9"/>
    <w:rsid w:val="00042F86"/>
    <w:rsid w:val="000439A7"/>
    <w:rsid w:val="00043F98"/>
    <w:rsid w:val="000446E7"/>
    <w:rsid w:val="0004515B"/>
    <w:rsid w:val="00045163"/>
    <w:rsid w:val="0004534D"/>
    <w:rsid w:val="00045365"/>
    <w:rsid w:val="00046705"/>
    <w:rsid w:val="0004708F"/>
    <w:rsid w:val="00047238"/>
    <w:rsid w:val="00047C25"/>
    <w:rsid w:val="00047E03"/>
    <w:rsid w:val="000503C8"/>
    <w:rsid w:val="000516F1"/>
    <w:rsid w:val="00052042"/>
    <w:rsid w:val="0005216B"/>
    <w:rsid w:val="0005220F"/>
    <w:rsid w:val="0005379E"/>
    <w:rsid w:val="00053CB6"/>
    <w:rsid w:val="00054975"/>
    <w:rsid w:val="00055CA3"/>
    <w:rsid w:val="00055DDF"/>
    <w:rsid w:val="00055DE5"/>
    <w:rsid w:val="00055ED9"/>
    <w:rsid w:val="000561F8"/>
    <w:rsid w:val="00056365"/>
    <w:rsid w:val="00056535"/>
    <w:rsid w:val="00056A10"/>
    <w:rsid w:val="00056A5F"/>
    <w:rsid w:val="00056FE6"/>
    <w:rsid w:val="00057071"/>
    <w:rsid w:val="000571B5"/>
    <w:rsid w:val="00057808"/>
    <w:rsid w:val="00057A81"/>
    <w:rsid w:val="00057C8B"/>
    <w:rsid w:val="00057DFA"/>
    <w:rsid w:val="0006009A"/>
    <w:rsid w:val="00060F82"/>
    <w:rsid w:val="000620C2"/>
    <w:rsid w:val="0006235D"/>
    <w:rsid w:val="000623DC"/>
    <w:rsid w:val="000631AA"/>
    <w:rsid w:val="0006324B"/>
    <w:rsid w:val="00063683"/>
    <w:rsid w:val="00063926"/>
    <w:rsid w:val="000639C9"/>
    <w:rsid w:val="00064121"/>
    <w:rsid w:val="00064A99"/>
    <w:rsid w:val="00064AF5"/>
    <w:rsid w:val="00065B0F"/>
    <w:rsid w:val="00066496"/>
    <w:rsid w:val="00066894"/>
    <w:rsid w:val="0006764C"/>
    <w:rsid w:val="00067F12"/>
    <w:rsid w:val="00070152"/>
    <w:rsid w:val="00070E8E"/>
    <w:rsid w:val="00070ED1"/>
    <w:rsid w:val="00071175"/>
    <w:rsid w:val="0007194E"/>
    <w:rsid w:val="000722BF"/>
    <w:rsid w:val="00072B71"/>
    <w:rsid w:val="00072E2D"/>
    <w:rsid w:val="00072EC7"/>
    <w:rsid w:val="00073255"/>
    <w:rsid w:val="00073296"/>
    <w:rsid w:val="0007479A"/>
    <w:rsid w:val="000756A5"/>
    <w:rsid w:val="0007652B"/>
    <w:rsid w:val="000769C6"/>
    <w:rsid w:val="00076C12"/>
    <w:rsid w:val="00076EC5"/>
    <w:rsid w:val="00077027"/>
    <w:rsid w:val="000770BF"/>
    <w:rsid w:val="00077B17"/>
    <w:rsid w:val="00080593"/>
    <w:rsid w:val="000808E2"/>
    <w:rsid w:val="000812DF"/>
    <w:rsid w:val="0008138D"/>
    <w:rsid w:val="00081AF1"/>
    <w:rsid w:val="00082CAE"/>
    <w:rsid w:val="00083274"/>
    <w:rsid w:val="00084C23"/>
    <w:rsid w:val="00085342"/>
    <w:rsid w:val="00085EBE"/>
    <w:rsid w:val="000860F9"/>
    <w:rsid w:val="00086194"/>
    <w:rsid w:val="00086518"/>
    <w:rsid w:val="00086DFD"/>
    <w:rsid w:val="000870B8"/>
    <w:rsid w:val="00087185"/>
    <w:rsid w:val="000872BF"/>
    <w:rsid w:val="00087514"/>
    <w:rsid w:val="00091478"/>
    <w:rsid w:val="00091BF5"/>
    <w:rsid w:val="00092697"/>
    <w:rsid w:val="00092924"/>
    <w:rsid w:val="00092925"/>
    <w:rsid w:val="00092AE8"/>
    <w:rsid w:val="00092DA1"/>
    <w:rsid w:val="00093F8E"/>
    <w:rsid w:val="00094255"/>
    <w:rsid w:val="0009456D"/>
    <w:rsid w:val="000949E1"/>
    <w:rsid w:val="000949E3"/>
    <w:rsid w:val="00094A4C"/>
    <w:rsid w:val="000959EA"/>
    <w:rsid w:val="0009643A"/>
    <w:rsid w:val="000964F1"/>
    <w:rsid w:val="00096607"/>
    <w:rsid w:val="00097458"/>
    <w:rsid w:val="000A00EC"/>
    <w:rsid w:val="000A069B"/>
    <w:rsid w:val="000A2113"/>
    <w:rsid w:val="000A25E4"/>
    <w:rsid w:val="000A2C64"/>
    <w:rsid w:val="000A32CD"/>
    <w:rsid w:val="000A33DF"/>
    <w:rsid w:val="000A3822"/>
    <w:rsid w:val="000A3A71"/>
    <w:rsid w:val="000A4CF6"/>
    <w:rsid w:val="000A4FF0"/>
    <w:rsid w:val="000A52BA"/>
    <w:rsid w:val="000A56CF"/>
    <w:rsid w:val="000A5E9F"/>
    <w:rsid w:val="000A60CA"/>
    <w:rsid w:val="000A60F6"/>
    <w:rsid w:val="000A64AA"/>
    <w:rsid w:val="000A6568"/>
    <w:rsid w:val="000A6701"/>
    <w:rsid w:val="000A6F58"/>
    <w:rsid w:val="000A78C2"/>
    <w:rsid w:val="000A7EF5"/>
    <w:rsid w:val="000B063A"/>
    <w:rsid w:val="000B083C"/>
    <w:rsid w:val="000B1224"/>
    <w:rsid w:val="000B2E51"/>
    <w:rsid w:val="000B3BFE"/>
    <w:rsid w:val="000B3EAF"/>
    <w:rsid w:val="000B4097"/>
    <w:rsid w:val="000B474F"/>
    <w:rsid w:val="000B72A3"/>
    <w:rsid w:val="000C0469"/>
    <w:rsid w:val="000C0F38"/>
    <w:rsid w:val="000C106B"/>
    <w:rsid w:val="000C14BD"/>
    <w:rsid w:val="000C1A11"/>
    <w:rsid w:val="000C1B19"/>
    <w:rsid w:val="000C3344"/>
    <w:rsid w:val="000C3F85"/>
    <w:rsid w:val="000C4EB4"/>
    <w:rsid w:val="000C56E2"/>
    <w:rsid w:val="000C56E9"/>
    <w:rsid w:val="000C570E"/>
    <w:rsid w:val="000C5936"/>
    <w:rsid w:val="000C5DE7"/>
    <w:rsid w:val="000C5EB7"/>
    <w:rsid w:val="000C5EED"/>
    <w:rsid w:val="000C5FC5"/>
    <w:rsid w:val="000C664B"/>
    <w:rsid w:val="000C77A3"/>
    <w:rsid w:val="000C77C6"/>
    <w:rsid w:val="000D036A"/>
    <w:rsid w:val="000D1897"/>
    <w:rsid w:val="000D1C35"/>
    <w:rsid w:val="000D1CBE"/>
    <w:rsid w:val="000D1ECE"/>
    <w:rsid w:val="000D25B2"/>
    <w:rsid w:val="000D2AC2"/>
    <w:rsid w:val="000D33DD"/>
    <w:rsid w:val="000D4107"/>
    <w:rsid w:val="000D5018"/>
    <w:rsid w:val="000D5EF8"/>
    <w:rsid w:val="000D63AD"/>
    <w:rsid w:val="000D6B50"/>
    <w:rsid w:val="000D77E0"/>
    <w:rsid w:val="000E031D"/>
    <w:rsid w:val="000E17DB"/>
    <w:rsid w:val="000E1F61"/>
    <w:rsid w:val="000E2676"/>
    <w:rsid w:val="000E2F83"/>
    <w:rsid w:val="000E310A"/>
    <w:rsid w:val="000E34A7"/>
    <w:rsid w:val="000E48FB"/>
    <w:rsid w:val="000E4C47"/>
    <w:rsid w:val="000E4FBF"/>
    <w:rsid w:val="000E6638"/>
    <w:rsid w:val="000E6C93"/>
    <w:rsid w:val="000E7C82"/>
    <w:rsid w:val="000E7F0C"/>
    <w:rsid w:val="000E7F1B"/>
    <w:rsid w:val="000F01CA"/>
    <w:rsid w:val="000F07C4"/>
    <w:rsid w:val="000F0B53"/>
    <w:rsid w:val="000F0FEE"/>
    <w:rsid w:val="000F1433"/>
    <w:rsid w:val="000F407C"/>
    <w:rsid w:val="000F4D3F"/>
    <w:rsid w:val="000F52EE"/>
    <w:rsid w:val="000F58F7"/>
    <w:rsid w:val="000F65EA"/>
    <w:rsid w:val="000F66BC"/>
    <w:rsid w:val="000F6872"/>
    <w:rsid w:val="000F7207"/>
    <w:rsid w:val="000F7326"/>
    <w:rsid w:val="000F7CA8"/>
    <w:rsid w:val="000F7E7D"/>
    <w:rsid w:val="00100058"/>
    <w:rsid w:val="001001BE"/>
    <w:rsid w:val="00100393"/>
    <w:rsid w:val="00100408"/>
    <w:rsid w:val="00101CD4"/>
    <w:rsid w:val="00102092"/>
    <w:rsid w:val="0010233B"/>
    <w:rsid w:val="00103E9D"/>
    <w:rsid w:val="0010567D"/>
    <w:rsid w:val="00105708"/>
    <w:rsid w:val="00105B31"/>
    <w:rsid w:val="00105B96"/>
    <w:rsid w:val="00105D8F"/>
    <w:rsid w:val="00105E68"/>
    <w:rsid w:val="00105E83"/>
    <w:rsid w:val="0010608A"/>
    <w:rsid w:val="00106343"/>
    <w:rsid w:val="001074A1"/>
    <w:rsid w:val="001079AF"/>
    <w:rsid w:val="00110124"/>
    <w:rsid w:val="001101CD"/>
    <w:rsid w:val="00110425"/>
    <w:rsid w:val="001104C1"/>
    <w:rsid w:val="0011067E"/>
    <w:rsid w:val="001107FB"/>
    <w:rsid w:val="00111447"/>
    <w:rsid w:val="001117B9"/>
    <w:rsid w:val="00111926"/>
    <w:rsid w:val="00111DDA"/>
    <w:rsid w:val="00112117"/>
    <w:rsid w:val="001123BD"/>
    <w:rsid w:val="0011248E"/>
    <w:rsid w:val="00112FB3"/>
    <w:rsid w:val="001132DA"/>
    <w:rsid w:val="00113357"/>
    <w:rsid w:val="00113D0C"/>
    <w:rsid w:val="00113ED6"/>
    <w:rsid w:val="001140D6"/>
    <w:rsid w:val="00114CBE"/>
    <w:rsid w:val="0011561F"/>
    <w:rsid w:val="00115D6F"/>
    <w:rsid w:val="001160AD"/>
    <w:rsid w:val="00116CFF"/>
    <w:rsid w:val="00116FD1"/>
    <w:rsid w:val="00117706"/>
    <w:rsid w:val="00120925"/>
    <w:rsid w:val="001209EF"/>
    <w:rsid w:val="00120F04"/>
    <w:rsid w:val="001211F6"/>
    <w:rsid w:val="00121B5A"/>
    <w:rsid w:val="001220F7"/>
    <w:rsid w:val="0012237C"/>
    <w:rsid w:val="00122A13"/>
    <w:rsid w:val="00122A5B"/>
    <w:rsid w:val="00122AE9"/>
    <w:rsid w:val="0012317A"/>
    <w:rsid w:val="00123C4A"/>
    <w:rsid w:val="00123CA7"/>
    <w:rsid w:val="001245C0"/>
    <w:rsid w:val="001248D5"/>
    <w:rsid w:val="00125032"/>
    <w:rsid w:val="00125642"/>
    <w:rsid w:val="00126009"/>
    <w:rsid w:val="00126F9F"/>
    <w:rsid w:val="00127376"/>
    <w:rsid w:val="00127CB3"/>
    <w:rsid w:val="001300B1"/>
    <w:rsid w:val="0013018C"/>
    <w:rsid w:val="00130AE0"/>
    <w:rsid w:val="00130EDA"/>
    <w:rsid w:val="00131549"/>
    <w:rsid w:val="00131E45"/>
    <w:rsid w:val="00132553"/>
    <w:rsid w:val="0013321F"/>
    <w:rsid w:val="00133726"/>
    <w:rsid w:val="00133A4F"/>
    <w:rsid w:val="00134849"/>
    <w:rsid w:val="00135E32"/>
    <w:rsid w:val="0013631C"/>
    <w:rsid w:val="00136EDB"/>
    <w:rsid w:val="001372C6"/>
    <w:rsid w:val="00137662"/>
    <w:rsid w:val="00137788"/>
    <w:rsid w:val="00137A0F"/>
    <w:rsid w:val="00137CC5"/>
    <w:rsid w:val="00140086"/>
    <w:rsid w:val="00140708"/>
    <w:rsid w:val="00140711"/>
    <w:rsid w:val="001421A5"/>
    <w:rsid w:val="00142998"/>
    <w:rsid w:val="0014306B"/>
    <w:rsid w:val="001438E5"/>
    <w:rsid w:val="00143A47"/>
    <w:rsid w:val="00144BA9"/>
    <w:rsid w:val="00144C26"/>
    <w:rsid w:val="00144F50"/>
    <w:rsid w:val="00145A20"/>
    <w:rsid w:val="0014672A"/>
    <w:rsid w:val="00146974"/>
    <w:rsid w:val="00147106"/>
    <w:rsid w:val="001479F0"/>
    <w:rsid w:val="001500DB"/>
    <w:rsid w:val="00150196"/>
    <w:rsid w:val="001502D7"/>
    <w:rsid w:val="001509B1"/>
    <w:rsid w:val="00150A53"/>
    <w:rsid w:val="00150AED"/>
    <w:rsid w:val="001515A1"/>
    <w:rsid w:val="00151E1B"/>
    <w:rsid w:val="00152819"/>
    <w:rsid w:val="00152880"/>
    <w:rsid w:val="00153482"/>
    <w:rsid w:val="00153742"/>
    <w:rsid w:val="0015582B"/>
    <w:rsid w:val="00155FF6"/>
    <w:rsid w:val="00155FF8"/>
    <w:rsid w:val="00156636"/>
    <w:rsid w:val="001566C3"/>
    <w:rsid w:val="00156A5F"/>
    <w:rsid w:val="001576ED"/>
    <w:rsid w:val="00157CB7"/>
    <w:rsid w:val="00157E7A"/>
    <w:rsid w:val="00157FFA"/>
    <w:rsid w:val="00160BCD"/>
    <w:rsid w:val="00161748"/>
    <w:rsid w:val="00161A60"/>
    <w:rsid w:val="00162A60"/>
    <w:rsid w:val="00162E7F"/>
    <w:rsid w:val="001630ED"/>
    <w:rsid w:val="00163241"/>
    <w:rsid w:val="0016451A"/>
    <w:rsid w:val="00164B03"/>
    <w:rsid w:val="001658A3"/>
    <w:rsid w:val="00165AAE"/>
    <w:rsid w:val="00165B34"/>
    <w:rsid w:val="00167A5A"/>
    <w:rsid w:val="00170D44"/>
    <w:rsid w:val="00171BE9"/>
    <w:rsid w:val="0017227B"/>
    <w:rsid w:val="001724DC"/>
    <w:rsid w:val="00172952"/>
    <w:rsid w:val="001732B8"/>
    <w:rsid w:val="001732E9"/>
    <w:rsid w:val="00173E95"/>
    <w:rsid w:val="001748FA"/>
    <w:rsid w:val="0017499F"/>
    <w:rsid w:val="00174A34"/>
    <w:rsid w:val="00174F07"/>
    <w:rsid w:val="0017538D"/>
    <w:rsid w:val="001753E0"/>
    <w:rsid w:val="00175453"/>
    <w:rsid w:val="00175853"/>
    <w:rsid w:val="00175FAE"/>
    <w:rsid w:val="00176270"/>
    <w:rsid w:val="001773E1"/>
    <w:rsid w:val="001779C0"/>
    <w:rsid w:val="00177A3D"/>
    <w:rsid w:val="00177CA7"/>
    <w:rsid w:val="00180092"/>
    <w:rsid w:val="00180686"/>
    <w:rsid w:val="0018086F"/>
    <w:rsid w:val="001812DD"/>
    <w:rsid w:val="0018130B"/>
    <w:rsid w:val="00181C9B"/>
    <w:rsid w:val="00182FBA"/>
    <w:rsid w:val="0018386A"/>
    <w:rsid w:val="0018393A"/>
    <w:rsid w:val="00183FE6"/>
    <w:rsid w:val="00185291"/>
    <w:rsid w:val="00185B17"/>
    <w:rsid w:val="00185BF7"/>
    <w:rsid w:val="001865E1"/>
    <w:rsid w:val="0018669E"/>
    <w:rsid w:val="00186B63"/>
    <w:rsid w:val="00186FD6"/>
    <w:rsid w:val="00187229"/>
    <w:rsid w:val="00187530"/>
    <w:rsid w:val="00187CED"/>
    <w:rsid w:val="0019070B"/>
    <w:rsid w:val="001907EA"/>
    <w:rsid w:val="001911E4"/>
    <w:rsid w:val="00191431"/>
    <w:rsid w:val="001914AC"/>
    <w:rsid w:val="0019163F"/>
    <w:rsid w:val="00191D5F"/>
    <w:rsid w:val="00191F56"/>
    <w:rsid w:val="0019267F"/>
    <w:rsid w:val="00192D68"/>
    <w:rsid w:val="00194624"/>
    <w:rsid w:val="00194BCD"/>
    <w:rsid w:val="00194F31"/>
    <w:rsid w:val="001953F4"/>
    <w:rsid w:val="00195CEC"/>
    <w:rsid w:val="00195FF5"/>
    <w:rsid w:val="001966F2"/>
    <w:rsid w:val="00196DE7"/>
    <w:rsid w:val="001972A7"/>
    <w:rsid w:val="001A0948"/>
    <w:rsid w:val="001A0A3B"/>
    <w:rsid w:val="001A138D"/>
    <w:rsid w:val="001A14FF"/>
    <w:rsid w:val="001A1721"/>
    <w:rsid w:val="001A1F92"/>
    <w:rsid w:val="001A1FB5"/>
    <w:rsid w:val="001A3CF3"/>
    <w:rsid w:val="001A4561"/>
    <w:rsid w:val="001A4B0D"/>
    <w:rsid w:val="001A4D38"/>
    <w:rsid w:val="001A5900"/>
    <w:rsid w:val="001A59A9"/>
    <w:rsid w:val="001A6262"/>
    <w:rsid w:val="001A6324"/>
    <w:rsid w:val="001A74CA"/>
    <w:rsid w:val="001B0A5D"/>
    <w:rsid w:val="001B0CEE"/>
    <w:rsid w:val="001B15FD"/>
    <w:rsid w:val="001B18E1"/>
    <w:rsid w:val="001B1A44"/>
    <w:rsid w:val="001B2C7C"/>
    <w:rsid w:val="001B3030"/>
    <w:rsid w:val="001B3851"/>
    <w:rsid w:val="001B398E"/>
    <w:rsid w:val="001B3D1E"/>
    <w:rsid w:val="001B41AD"/>
    <w:rsid w:val="001B4251"/>
    <w:rsid w:val="001B4625"/>
    <w:rsid w:val="001B512C"/>
    <w:rsid w:val="001B6118"/>
    <w:rsid w:val="001B63DD"/>
    <w:rsid w:val="001B651E"/>
    <w:rsid w:val="001B6709"/>
    <w:rsid w:val="001B6A6C"/>
    <w:rsid w:val="001B7C3F"/>
    <w:rsid w:val="001C025A"/>
    <w:rsid w:val="001C242A"/>
    <w:rsid w:val="001C2CFF"/>
    <w:rsid w:val="001C36E6"/>
    <w:rsid w:val="001C3D02"/>
    <w:rsid w:val="001C4007"/>
    <w:rsid w:val="001C4669"/>
    <w:rsid w:val="001C51DD"/>
    <w:rsid w:val="001C59BE"/>
    <w:rsid w:val="001C6288"/>
    <w:rsid w:val="001C6649"/>
    <w:rsid w:val="001C6D85"/>
    <w:rsid w:val="001C7047"/>
    <w:rsid w:val="001C78F7"/>
    <w:rsid w:val="001D03E7"/>
    <w:rsid w:val="001D057F"/>
    <w:rsid w:val="001D109C"/>
    <w:rsid w:val="001D17C4"/>
    <w:rsid w:val="001D19B5"/>
    <w:rsid w:val="001D2AD9"/>
    <w:rsid w:val="001D431B"/>
    <w:rsid w:val="001D43CE"/>
    <w:rsid w:val="001D4508"/>
    <w:rsid w:val="001D490B"/>
    <w:rsid w:val="001D4A99"/>
    <w:rsid w:val="001D5561"/>
    <w:rsid w:val="001D5DFD"/>
    <w:rsid w:val="001D661C"/>
    <w:rsid w:val="001D663E"/>
    <w:rsid w:val="001D69E3"/>
    <w:rsid w:val="001D6B9F"/>
    <w:rsid w:val="001D6D36"/>
    <w:rsid w:val="001D6ECB"/>
    <w:rsid w:val="001D7155"/>
    <w:rsid w:val="001D7C65"/>
    <w:rsid w:val="001D7EE7"/>
    <w:rsid w:val="001E05BB"/>
    <w:rsid w:val="001E0605"/>
    <w:rsid w:val="001E07EA"/>
    <w:rsid w:val="001E1045"/>
    <w:rsid w:val="001E1484"/>
    <w:rsid w:val="001E1839"/>
    <w:rsid w:val="001E1B2D"/>
    <w:rsid w:val="001E247F"/>
    <w:rsid w:val="001E2A79"/>
    <w:rsid w:val="001E2B82"/>
    <w:rsid w:val="001E2E44"/>
    <w:rsid w:val="001E4768"/>
    <w:rsid w:val="001E4BDB"/>
    <w:rsid w:val="001E4EB7"/>
    <w:rsid w:val="001E4F40"/>
    <w:rsid w:val="001E50BB"/>
    <w:rsid w:val="001E59DF"/>
    <w:rsid w:val="001E6BED"/>
    <w:rsid w:val="001E6EA9"/>
    <w:rsid w:val="001E7418"/>
    <w:rsid w:val="001E79A9"/>
    <w:rsid w:val="001E7A6E"/>
    <w:rsid w:val="001F006E"/>
    <w:rsid w:val="001F02A1"/>
    <w:rsid w:val="001F05B1"/>
    <w:rsid w:val="001F06D3"/>
    <w:rsid w:val="001F13D2"/>
    <w:rsid w:val="001F1626"/>
    <w:rsid w:val="001F21AB"/>
    <w:rsid w:val="001F2789"/>
    <w:rsid w:val="001F317E"/>
    <w:rsid w:val="001F37A2"/>
    <w:rsid w:val="001F390D"/>
    <w:rsid w:val="001F42BF"/>
    <w:rsid w:val="001F45D8"/>
    <w:rsid w:val="001F48F5"/>
    <w:rsid w:val="001F5042"/>
    <w:rsid w:val="001F5B9E"/>
    <w:rsid w:val="001F68DD"/>
    <w:rsid w:val="00200647"/>
    <w:rsid w:val="00200664"/>
    <w:rsid w:val="00201AA6"/>
    <w:rsid w:val="00201F02"/>
    <w:rsid w:val="0020302A"/>
    <w:rsid w:val="002037A4"/>
    <w:rsid w:val="0020410D"/>
    <w:rsid w:val="0020467B"/>
    <w:rsid w:val="00204836"/>
    <w:rsid w:val="0020511C"/>
    <w:rsid w:val="002052CE"/>
    <w:rsid w:val="00205878"/>
    <w:rsid w:val="00205A18"/>
    <w:rsid w:val="00205F1C"/>
    <w:rsid w:val="00205FB6"/>
    <w:rsid w:val="0020602B"/>
    <w:rsid w:val="00206A1E"/>
    <w:rsid w:val="00206F11"/>
    <w:rsid w:val="00210CCB"/>
    <w:rsid w:val="00210F4C"/>
    <w:rsid w:val="00211919"/>
    <w:rsid w:val="00211D97"/>
    <w:rsid w:val="00212355"/>
    <w:rsid w:val="002124E4"/>
    <w:rsid w:val="00212AC9"/>
    <w:rsid w:val="002134A3"/>
    <w:rsid w:val="002137BD"/>
    <w:rsid w:val="00213B8A"/>
    <w:rsid w:val="00213CB7"/>
    <w:rsid w:val="00213EC4"/>
    <w:rsid w:val="00214641"/>
    <w:rsid w:val="002148A9"/>
    <w:rsid w:val="00215A37"/>
    <w:rsid w:val="00216572"/>
    <w:rsid w:val="002169B9"/>
    <w:rsid w:val="002176ED"/>
    <w:rsid w:val="002177D4"/>
    <w:rsid w:val="002177EF"/>
    <w:rsid w:val="00217EE8"/>
    <w:rsid w:val="00220E11"/>
    <w:rsid w:val="00220FD3"/>
    <w:rsid w:val="002214A0"/>
    <w:rsid w:val="00221AA3"/>
    <w:rsid w:val="00222431"/>
    <w:rsid w:val="00222644"/>
    <w:rsid w:val="00223125"/>
    <w:rsid w:val="002231D1"/>
    <w:rsid w:val="00224140"/>
    <w:rsid w:val="0022423E"/>
    <w:rsid w:val="00224E0C"/>
    <w:rsid w:val="002250E1"/>
    <w:rsid w:val="00226B76"/>
    <w:rsid w:val="0022726F"/>
    <w:rsid w:val="002277BE"/>
    <w:rsid w:val="0022786B"/>
    <w:rsid w:val="00227EC4"/>
    <w:rsid w:val="0023004A"/>
    <w:rsid w:val="00230A35"/>
    <w:rsid w:val="00231099"/>
    <w:rsid w:val="00231A49"/>
    <w:rsid w:val="00231C6A"/>
    <w:rsid w:val="00232064"/>
    <w:rsid w:val="00232223"/>
    <w:rsid w:val="00232444"/>
    <w:rsid w:val="00233220"/>
    <w:rsid w:val="0023342F"/>
    <w:rsid w:val="00234DEF"/>
    <w:rsid w:val="002350F6"/>
    <w:rsid w:val="002351CB"/>
    <w:rsid w:val="00235B31"/>
    <w:rsid w:val="00236508"/>
    <w:rsid w:val="002366EE"/>
    <w:rsid w:val="00240140"/>
    <w:rsid w:val="0024072D"/>
    <w:rsid w:val="00241FA0"/>
    <w:rsid w:val="0024253D"/>
    <w:rsid w:val="002428EC"/>
    <w:rsid w:val="0024298C"/>
    <w:rsid w:val="00242DE4"/>
    <w:rsid w:val="00243ADD"/>
    <w:rsid w:val="00244A42"/>
    <w:rsid w:val="00245151"/>
    <w:rsid w:val="00245A00"/>
    <w:rsid w:val="00246EF3"/>
    <w:rsid w:val="0024724C"/>
    <w:rsid w:val="002517AE"/>
    <w:rsid w:val="00251BAE"/>
    <w:rsid w:val="0025204D"/>
    <w:rsid w:val="0025205F"/>
    <w:rsid w:val="002529BB"/>
    <w:rsid w:val="00252DFB"/>
    <w:rsid w:val="00253260"/>
    <w:rsid w:val="0025364F"/>
    <w:rsid w:val="0025378B"/>
    <w:rsid w:val="00254CC8"/>
    <w:rsid w:val="002563F5"/>
    <w:rsid w:val="002565E9"/>
    <w:rsid w:val="00256F9B"/>
    <w:rsid w:val="00260497"/>
    <w:rsid w:val="00260AB8"/>
    <w:rsid w:val="00261144"/>
    <w:rsid w:val="002613F3"/>
    <w:rsid w:val="002618B0"/>
    <w:rsid w:val="00262245"/>
    <w:rsid w:val="0026229E"/>
    <w:rsid w:val="00262A6C"/>
    <w:rsid w:val="00265CE2"/>
    <w:rsid w:val="00266A84"/>
    <w:rsid w:val="00266C51"/>
    <w:rsid w:val="00266E65"/>
    <w:rsid w:val="00267D1A"/>
    <w:rsid w:val="00267E52"/>
    <w:rsid w:val="0027012F"/>
    <w:rsid w:val="002702C0"/>
    <w:rsid w:val="00270863"/>
    <w:rsid w:val="0027102D"/>
    <w:rsid w:val="00271300"/>
    <w:rsid w:val="00272451"/>
    <w:rsid w:val="00272ADE"/>
    <w:rsid w:val="00272B32"/>
    <w:rsid w:val="00273877"/>
    <w:rsid w:val="00273CDE"/>
    <w:rsid w:val="00273FF1"/>
    <w:rsid w:val="002747D9"/>
    <w:rsid w:val="0027513B"/>
    <w:rsid w:val="002758D2"/>
    <w:rsid w:val="002762B7"/>
    <w:rsid w:val="002768A2"/>
    <w:rsid w:val="00276A90"/>
    <w:rsid w:val="00276DEA"/>
    <w:rsid w:val="002773A0"/>
    <w:rsid w:val="00277D87"/>
    <w:rsid w:val="00277D93"/>
    <w:rsid w:val="00277DE9"/>
    <w:rsid w:val="00280C69"/>
    <w:rsid w:val="00280D1F"/>
    <w:rsid w:val="00280D7A"/>
    <w:rsid w:val="00281CD4"/>
    <w:rsid w:val="00282FB0"/>
    <w:rsid w:val="002839DC"/>
    <w:rsid w:val="00284A04"/>
    <w:rsid w:val="00284C57"/>
    <w:rsid w:val="00285E0E"/>
    <w:rsid w:val="00285E51"/>
    <w:rsid w:val="002868B9"/>
    <w:rsid w:val="00287262"/>
    <w:rsid w:val="00287E7D"/>
    <w:rsid w:val="002908CF"/>
    <w:rsid w:val="00290C5D"/>
    <w:rsid w:val="002914B5"/>
    <w:rsid w:val="00291520"/>
    <w:rsid w:val="0029164C"/>
    <w:rsid w:val="00291696"/>
    <w:rsid w:val="002923EA"/>
    <w:rsid w:val="00293822"/>
    <w:rsid w:val="0029392C"/>
    <w:rsid w:val="00293AC7"/>
    <w:rsid w:val="00293BF5"/>
    <w:rsid w:val="002941F2"/>
    <w:rsid w:val="00294A98"/>
    <w:rsid w:val="00294BC7"/>
    <w:rsid w:val="00294C3D"/>
    <w:rsid w:val="00295518"/>
    <w:rsid w:val="00295776"/>
    <w:rsid w:val="002959D6"/>
    <w:rsid w:val="0029685A"/>
    <w:rsid w:val="002974D9"/>
    <w:rsid w:val="00297863"/>
    <w:rsid w:val="002A0041"/>
    <w:rsid w:val="002A03B6"/>
    <w:rsid w:val="002A234D"/>
    <w:rsid w:val="002A27CA"/>
    <w:rsid w:val="002A2C38"/>
    <w:rsid w:val="002A3263"/>
    <w:rsid w:val="002A3657"/>
    <w:rsid w:val="002A408A"/>
    <w:rsid w:val="002A4EB5"/>
    <w:rsid w:val="002A5025"/>
    <w:rsid w:val="002A59E7"/>
    <w:rsid w:val="002A5A54"/>
    <w:rsid w:val="002A5A5D"/>
    <w:rsid w:val="002A68C5"/>
    <w:rsid w:val="002A6B08"/>
    <w:rsid w:val="002A6B45"/>
    <w:rsid w:val="002A7158"/>
    <w:rsid w:val="002A7232"/>
    <w:rsid w:val="002A7328"/>
    <w:rsid w:val="002A787D"/>
    <w:rsid w:val="002A7DA6"/>
    <w:rsid w:val="002B0379"/>
    <w:rsid w:val="002B0BF6"/>
    <w:rsid w:val="002B1083"/>
    <w:rsid w:val="002B1222"/>
    <w:rsid w:val="002B1272"/>
    <w:rsid w:val="002B270F"/>
    <w:rsid w:val="002B2C64"/>
    <w:rsid w:val="002B3551"/>
    <w:rsid w:val="002B5098"/>
    <w:rsid w:val="002B52FD"/>
    <w:rsid w:val="002B55AA"/>
    <w:rsid w:val="002B67E2"/>
    <w:rsid w:val="002B7F8F"/>
    <w:rsid w:val="002B7FE2"/>
    <w:rsid w:val="002C0007"/>
    <w:rsid w:val="002C0E16"/>
    <w:rsid w:val="002C0EE6"/>
    <w:rsid w:val="002C1185"/>
    <w:rsid w:val="002C2FAA"/>
    <w:rsid w:val="002C301F"/>
    <w:rsid w:val="002C3B72"/>
    <w:rsid w:val="002C3D59"/>
    <w:rsid w:val="002C4980"/>
    <w:rsid w:val="002C5224"/>
    <w:rsid w:val="002C5459"/>
    <w:rsid w:val="002C61F6"/>
    <w:rsid w:val="002C75A6"/>
    <w:rsid w:val="002C7E33"/>
    <w:rsid w:val="002C7E53"/>
    <w:rsid w:val="002D015A"/>
    <w:rsid w:val="002D270D"/>
    <w:rsid w:val="002D2E92"/>
    <w:rsid w:val="002D3802"/>
    <w:rsid w:val="002D3D72"/>
    <w:rsid w:val="002D3D9F"/>
    <w:rsid w:val="002D41D5"/>
    <w:rsid w:val="002D48C2"/>
    <w:rsid w:val="002D5012"/>
    <w:rsid w:val="002D56A7"/>
    <w:rsid w:val="002D5B92"/>
    <w:rsid w:val="002D5E53"/>
    <w:rsid w:val="002D6253"/>
    <w:rsid w:val="002D64FF"/>
    <w:rsid w:val="002D67C9"/>
    <w:rsid w:val="002D70D2"/>
    <w:rsid w:val="002E2018"/>
    <w:rsid w:val="002E3120"/>
    <w:rsid w:val="002E35F1"/>
    <w:rsid w:val="002E3994"/>
    <w:rsid w:val="002E4743"/>
    <w:rsid w:val="002E530E"/>
    <w:rsid w:val="002E5EC5"/>
    <w:rsid w:val="002E5FEB"/>
    <w:rsid w:val="002E6360"/>
    <w:rsid w:val="002E65DF"/>
    <w:rsid w:val="002E6B4E"/>
    <w:rsid w:val="002E7183"/>
    <w:rsid w:val="002E7269"/>
    <w:rsid w:val="002E7500"/>
    <w:rsid w:val="002E755D"/>
    <w:rsid w:val="002E7811"/>
    <w:rsid w:val="002E7915"/>
    <w:rsid w:val="002F0569"/>
    <w:rsid w:val="002F1278"/>
    <w:rsid w:val="002F1430"/>
    <w:rsid w:val="002F1C59"/>
    <w:rsid w:val="002F23EF"/>
    <w:rsid w:val="002F2571"/>
    <w:rsid w:val="002F278F"/>
    <w:rsid w:val="002F29C1"/>
    <w:rsid w:val="002F3311"/>
    <w:rsid w:val="002F38CF"/>
    <w:rsid w:val="002F5B4B"/>
    <w:rsid w:val="002F5FB8"/>
    <w:rsid w:val="002F607F"/>
    <w:rsid w:val="002F6803"/>
    <w:rsid w:val="002F7903"/>
    <w:rsid w:val="002F7B97"/>
    <w:rsid w:val="002F7D1D"/>
    <w:rsid w:val="00300EED"/>
    <w:rsid w:val="00301750"/>
    <w:rsid w:val="0030246E"/>
    <w:rsid w:val="00302FB8"/>
    <w:rsid w:val="00303860"/>
    <w:rsid w:val="00303F1B"/>
    <w:rsid w:val="00305658"/>
    <w:rsid w:val="00305A5D"/>
    <w:rsid w:val="003060FD"/>
    <w:rsid w:val="00306187"/>
    <w:rsid w:val="003061D3"/>
    <w:rsid w:val="00306317"/>
    <w:rsid w:val="003069BE"/>
    <w:rsid w:val="00306E75"/>
    <w:rsid w:val="003072B9"/>
    <w:rsid w:val="003079B2"/>
    <w:rsid w:val="00307CB8"/>
    <w:rsid w:val="00307F02"/>
    <w:rsid w:val="003100AE"/>
    <w:rsid w:val="003103A7"/>
    <w:rsid w:val="003107E9"/>
    <w:rsid w:val="003108F8"/>
    <w:rsid w:val="003113E7"/>
    <w:rsid w:val="00311DB8"/>
    <w:rsid w:val="00311F3C"/>
    <w:rsid w:val="0031251E"/>
    <w:rsid w:val="003128A6"/>
    <w:rsid w:val="003133FD"/>
    <w:rsid w:val="00316EE2"/>
    <w:rsid w:val="00317E74"/>
    <w:rsid w:val="00317FE3"/>
    <w:rsid w:val="0032080E"/>
    <w:rsid w:val="00320AE2"/>
    <w:rsid w:val="003218FC"/>
    <w:rsid w:val="00321A88"/>
    <w:rsid w:val="00321A8D"/>
    <w:rsid w:val="00324436"/>
    <w:rsid w:val="00324BF0"/>
    <w:rsid w:val="00324CB4"/>
    <w:rsid w:val="00325509"/>
    <w:rsid w:val="00325A65"/>
    <w:rsid w:val="00325FFF"/>
    <w:rsid w:val="003265A7"/>
    <w:rsid w:val="003267B1"/>
    <w:rsid w:val="00326D90"/>
    <w:rsid w:val="003270DC"/>
    <w:rsid w:val="00327201"/>
    <w:rsid w:val="0032726B"/>
    <w:rsid w:val="003272C7"/>
    <w:rsid w:val="00327946"/>
    <w:rsid w:val="00327DF7"/>
    <w:rsid w:val="00331014"/>
    <w:rsid w:val="003312BC"/>
    <w:rsid w:val="00331499"/>
    <w:rsid w:val="00331C61"/>
    <w:rsid w:val="00331EDD"/>
    <w:rsid w:val="00331FA3"/>
    <w:rsid w:val="00332648"/>
    <w:rsid w:val="003327FC"/>
    <w:rsid w:val="00332B7B"/>
    <w:rsid w:val="00332FD3"/>
    <w:rsid w:val="00333379"/>
    <w:rsid w:val="0033381A"/>
    <w:rsid w:val="0033393A"/>
    <w:rsid w:val="00334420"/>
    <w:rsid w:val="00334DB3"/>
    <w:rsid w:val="0033526B"/>
    <w:rsid w:val="00336288"/>
    <w:rsid w:val="003373B4"/>
    <w:rsid w:val="003373F0"/>
    <w:rsid w:val="00337600"/>
    <w:rsid w:val="00337717"/>
    <w:rsid w:val="00337A8A"/>
    <w:rsid w:val="00337E59"/>
    <w:rsid w:val="00337EBF"/>
    <w:rsid w:val="00341723"/>
    <w:rsid w:val="00341929"/>
    <w:rsid w:val="00341BFE"/>
    <w:rsid w:val="00342359"/>
    <w:rsid w:val="00342542"/>
    <w:rsid w:val="003428D5"/>
    <w:rsid w:val="003429BF"/>
    <w:rsid w:val="00343799"/>
    <w:rsid w:val="003440DC"/>
    <w:rsid w:val="003441F4"/>
    <w:rsid w:val="003448BC"/>
    <w:rsid w:val="00344CF7"/>
    <w:rsid w:val="00345053"/>
    <w:rsid w:val="00345B03"/>
    <w:rsid w:val="00346223"/>
    <w:rsid w:val="00346E7A"/>
    <w:rsid w:val="00350134"/>
    <w:rsid w:val="00350393"/>
    <w:rsid w:val="00350593"/>
    <w:rsid w:val="00350F9A"/>
    <w:rsid w:val="00351001"/>
    <w:rsid w:val="0035117D"/>
    <w:rsid w:val="003512A8"/>
    <w:rsid w:val="003515D9"/>
    <w:rsid w:val="00351B56"/>
    <w:rsid w:val="00352301"/>
    <w:rsid w:val="00352402"/>
    <w:rsid w:val="003529BA"/>
    <w:rsid w:val="00353279"/>
    <w:rsid w:val="00353A2C"/>
    <w:rsid w:val="00353EBA"/>
    <w:rsid w:val="00354901"/>
    <w:rsid w:val="00354AA6"/>
    <w:rsid w:val="003551F6"/>
    <w:rsid w:val="00355B90"/>
    <w:rsid w:val="00356040"/>
    <w:rsid w:val="0035608B"/>
    <w:rsid w:val="003560DB"/>
    <w:rsid w:val="00356C07"/>
    <w:rsid w:val="00356DED"/>
    <w:rsid w:val="00356EE5"/>
    <w:rsid w:val="003600A1"/>
    <w:rsid w:val="003600B3"/>
    <w:rsid w:val="00360646"/>
    <w:rsid w:val="0036117A"/>
    <w:rsid w:val="00361661"/>
    <w:rsid w:val="003618C4"/>
    <w:rsid w:val="003620C1"/>
    <w:rsid w:val="0036375D"/>
    <w:rsid w:val="00363CED"/>
    <w:rsid w:val="003645E2"/>
    <w:rsid w:val="003647E4"/>
    <w:rsid w:val="00365691"/>
    <w:rsid w:val="003657E5"/>
    <w:rsid w:val="003658D7"/>
    <w:rsid w:val="00365F66"/>
    <w:rsid w:val="003667CD"/>
    <w:rsid w:val="00366ECE"/>
    <w:rsid w:val="00367159"/>
    <w:rsid w:val="003673AF"/>
    <w:rsid w:val="00367CCA"/>
    <w:rsid w:val="00367CEE"/>
    <w:rsid w:val="003706BC"/>
    <w:rsid w:val="00370D1A"/>
    <w:rsid w:val="0037164A"/>
    <w:rsid w:val="00371B6E"/>
    <w:rsid w:val="00371D04"/>
    <w:rsid w:val="003725AC"/>
    <w:rsid w:val="00372FCE"/>
    <w:rsid w:val="003731EE"/>
    <w:rsid w:val="003739E1"/>
    <w:rsid w:val="00373A33"/>
    <w:rsid w:val="0037439E"/>
    <w:rsid w:val="003744E2"/>
    <w:rsid w:val="00376373"/>
    <w:rsid w:val="0037769D"/>
    <w:rsid w:val="0037772E"/>
    <w:rsid w:val="00381751"/>
    <w:rsid w:val="00381E2C"/>
    <w:rsid w:val="00381F7A"/>
    <w:rsid w:val="00382379"/>
    <w:rsid w:val="00382B9A"/>
    <w:rsid w:val="0038381F"/>
    <w:rsid w:val="003838DD"/>
    <w:rsid w:val="00383D8A"/>
    <w:rsid w:val="00383E0F"/>
    <w:rsid w:val="00383E95"/>
    <w:rsid w:val="003842FA"/>
    <w:rsid w:val="00384D69"/>
    <w:rsid w:val="00384E24"/>
    <w:rsid w:val="00385151"/>
    <w:rsid w:val="00385605"/>
    <w:rsid w:val="00385934"/>
    <w:rsid w:val="00386C88"/>
    <w:rsid w:val="00387B1F"/>
    <w:rsid w:val="003901AA"/>
    <w:rsid w:val="0039035D"/>
    <w:rsid w:val="0039106A"/>
    <w:rsid w:val="003910DE"/>
    <w:rsid w:val="003913E2"/>
    <w:rsid w:val="0039150F"/>
    <w:rsid w:val="00391A42"/>
    <w:rsid w:val="0039377A"/>
    <w:rsid w:val="00393A35"/>
    <w:rsid w:val="00393E0E"/>
    <w:rsid w:val="00394777"/>
    <w:rsid w:val="003949B2"/>
    <w:rsid w:val="00394C70"/>
    <w:rsid w:val="00395F03"/>
    <w:rsid w:val="0039654F"/>
    <w:rsid w:val="00396572"/>
    <w:rsid w:val="00396F17"/>
    <w:rsid w:val="003975EA"/>
    <w:rsid w:val="00397CA0"/>
    <w:rsid w:val="003A040D"/>
    <w:rsid w:val="003A09B4"/>
    <w:rsid w:val="003A09EC"/>
    <w:rsid w:val="003A0C47"/>
    <w:rsid w:val="003A1382"/>
    <w:rsid w:val="003A15B2"/>
    <w:rsid w:val="003A1985"/>
    <w:rsid w:val="003A1A3D"/>
    <w:rsid w:val="003A2428"/>
    <w:rsid w:val="003A27B5"/>
    <w:rsid w:val="003A282B"/>
    <w:rsid w:val="003A285D"/>
    <w:rsid w:val="003A3076"/>
    <w:rsid w:val="003A35AC"/>
    <w:rsid w:val="003A3BC5"/>
    <w:rsid w:val="003A494B"/>
    <w:rsid w:val="003A4B3A"/>
    <w:rsid w:val="003A4D00"/>
    <w:rsid w:val="003A5D7D"/>
    <w:rsid w:val="003A6654"/>
    <w:rsid w:val="003A681C"/>
    <w:rsid w:val="003B0481"/>
    <w:rsid w:val="003B0919"/>
    <w:rsid w:val="003B29B8"/>
    <w:rsid w:val="003B2B3B"/>
    <w:rsid w:val="003B3634"/>
    <w:rsid w:val="003B3CB8"/>
    <w:rsid w:val="003B3D51"/>
    <w:rsid w:val="003B4B68"/>
    <w:rsid w:val="003B4E16"/>
    <w:rsid w:val="003B5D70"/>
    <w:rsid w:val="003B7042"/>
    <w:rsid w:val="003B7D0E"/>
    <w:rsid w:val="003C0051"/>
    <w:rsid w:val="003C0275"/>
    <w:rsid w:val="003C0DBC"/>
    <w:rsid w:val="003C0E42"/>
    <w:rsid w:val="003C1009"/>
    <w:rsid w:val="003C112E"/>
    <w:rsid w:val="003C1614"/>
    <w:rsid w:val="003C163E"/>
    <w:rsid w:val="003C2687"/>
    <w:rsid w:val="003C37EE"/>
    <w:rsid w:val="003C4BDC"/>
    <w:rsid w:val="003C54A3"/>
    <w:rsid w:val="003C5C82"/>
    <w:rsid w:val="003C5EE4"/>
    <w:rsid w:val="003C5F65"/>
    <w:rsid w:val="003C66B8"/>
    <w:rsid w:val="003C73CF"/>
    <w:rsid w:val="003C760C"/>
    <w:rsid w:val="003C7650"/>
    <w:rsid w:val="003D008C"/>
    <w:rsid w:val="003D0620"/>
    <w:rsid w:val="003D086B"/>
    <w:rsid w:val="003D09D2"/>
    <w:rsid w:val="003D1290"/>
    <w:rsid w:val="003D1529"/>
    <w:rsid w:val="003D1BA5"/>
    <w:rsid w:val="003D24DD"/>
    <w:rsid w:val="003D26F1"/>
    <w:rsid w:val="003D29F5"/>
    <w:rsid w:val="003D2C1D"/>
    <w:rsid w:val="003D2C39"/>
    <w:rsid w:val="003D2FA1"/>
    <w:rsid w:val="003D394B"/>
    <w:rsid w:val="003D435E"/>
    <w:rsid w:val="003D4D7F"/>
    <w:rsid w:val="003D5445"/>
    <w:rsid w:val="003D55B7"/>
    <w:rsid w:val="003D55B8"/>
    <w:rsid w:val="003D585D"/>
    <w:rsid w:val="003D650C"/>
    <w:rsid w:val="003D6A9A"/>
    <w:rsid w:val="003D6AB5"/>
    <w:rsid w:val="003D6FD4"/>
    <w:rsid w:val="003D7709"/>
    <w:rsid w:val="003E0522"/>
    <w:rsid w:val="003E0673"/>
    <w:rsid w:val="003E0896"/>
    <w:rsid w:val="003E0AEA"/>
    <w:rsid w:val="003E161E"/>
    <w:rsid w:val="003E18D7"/>
    <w:rsid w:val="003E1923"/>
    <w:rsid w:val="003E1B90"/>
    <w:rsid w:val="003E223D"/>
    <w:rsid w:val="003E29A8"/>
    <w:rsid w:val="003E2F93"/>
    <w:rsid w:val="003E304E"/>
    <w:rsid w:val="003E3C77"/>
    <w:rsid w:val="003E3DBB"/>
    <w:rsid w:val="003E5091"/>
    <w:rsid w:val="003E53BB"/>
    <w:rsid w:val="003E5C1E"/>
    <w:rsid w:val="003E5D5C"/>
    <w:rsid w:val="003E64C1"/>
    <w:rsid w:val="003E6571"/>
    <w:rsid w:val="003E6A1C"/>
    <w:rsid w:val="003E7236"/>
    <w:rsid w:val="003F0488"/>
    <w:rsid w:val="003F1157"/>
    <w:rsid w:val="003F20CF"/>
    <w:rsid w:val="003F25DF"/>
    <w:rsid w:val="003F2B6E"/>
    <w:rsid w:val="003F2BA5"/>
    <w:rsid w:val="003F3CF5"/>
    <w:rsid w:val="003F4065"/>
    <w:rsid w:val="003F4637"/>
    <w:rsid w:val="003F4690"/>
    <w:rsid w:val="003F55E7"/>
    <w:rsid w:val="003F5994"/>
    <w:rsid w:val="003F7938"/>
    <w:rsid w:val="003F79E1"/>
    <w:rsid w:val="003F7A50"/>
    <w:rsid w:val="00400CF3"/>
    <w:rsid w:val="00401307"/>
    <w:rsid w:val="00401580"/>
    <w:rsid w:val="00401618"/>
    <w:rsid w:val="00402467"/>
    <w:rsid w:val="0040338D"/>
    <w:rsid w:val="004041BA"/>
    <w:rsid w:val="00404217"/>
    <w:rsid w:val="00404829"/>
    <w:rsid w:val="00405810"/>
    <w:rsid w:val="00405FC8"/>
    <w:rsid w:val="00407CD6"/>
    <w:rsid w:val="00410316"/>
    <w:rsid w:val="00410380"/>
    <w:rsid w:val="00411DF7"/>
    <w:rsid w:val="00411E29"/>
    <w:rsid w:val="004129F2"/>
    <w:rsid w:val="004130F9"/>
    <w:rsid w:val="00413362"/>
    <w:rsid w:val="00413ACA"/>
    <w:rsid w:val="0041465E"/>
    <w:rsid w:val="004146F0"/>
    <w:rsid w:val="00414776"/>
    <w:rsid w:val="004147FB"/>
    <w:rsid w:val="00414BCE"/>
    <w:rsid w:val="0041505D"/>
    <w:rsid w:val="004151F6"/>
    <w:rsid w:val="004159D9"/>
    <w:rsid w:val="00415C09"/>
    <w:rsid w:val="0041731A"/>
    <w:rsid w:val="00417FAA"/>
    <w:rsid w:val="00420D59"/>
    <w:rsid w:val="0042137E"/>
    <w:rsid w:val="00421C02"/>
    <w:rsid w:val="00423034"/>
    <w:rsid w:val="00423873"/>
    <w:rsid w:val="00425DC7"/>
    <w:rsid w:val="00426A2C"/>
    <w:rsid w:val="00426BD3"/>
    <w:rsid w:val="00426C05"/>
    <w:rsid w:val="00427695"/>
    <w:rsid w:val="004309CB"/>
    <w:rsid w:val="00430C39"/>
    <w:rsid w:val="00430D1E"/>
    <w:rsid w:val="0043101D"/>
    <w:rsid w:val="00432013"/>
    <w:rsid w:val="0043499C"/>
    <w:rsid w:val="004364E2"/>
    <w:rsid w:val="0043792C"/>
    <w:rsid w:val="00437C57"/>
    <w:rsid w:val="0044002C"/>
    <w:rsid w:val="004401BB"/>
    <w:rsid w:val="004417AC"/>
    <w:rsid w:val="00442351"/>
    <w:rsid w:val="004425AE"/>
    <w:rsid w:val="00443812"/>
    <w:rsid w:val="00443979"/>
    <w:rsid w:val="004455E4"/>
    <w:rsid w:val="00445CA4"/>
    <w:rsid w:val="00445F70"/>
    <w:rsid w:val="004465CE"/>
    <w:rsid w:val="0044680C"/>
    <w:rsid w:val="00446F48"/>
    <w:rsid w:val="00447658"/>
    <w:rsid w:val="00447E19"/>
    <w:rsid w:val="00450645"/>
    <w:rsid w:val="004535DE"/>
    <w:rsid w:val="004539A6"/>
    <w:rsid w:val="00453BF4"/>
    <w:rsid w:val="004542B5"/>
    <w:rsid w:val="004548AB"/>
    <w:rsid w:val="0045527C"/>
    <w:rsid w:val="0045536B"/>
    <w:rsid w:val="00455BD2"/>
    <w:rsid w:val="00457FEA"/>
    <w:rsid w:val="0046151E"/>
    <w:rsid w:val="004623E5"/>
    <w:rsid w:val="0046277C"/>
    <w:rsid w:val="004629D8"/>
    <w:rsid w:val="00463C89"/>
    <w:rsid w:val="00463D6B"/>
    <w:rsid w:val="00463DFA"/>
    <w:rsid w:val="004642C5"/>
    <w:rsid w:val="004646AE"/>
    <w:rsid w:val="00464CD1"/>
    <w:rsid w:val="00465638"/>
    <w:rsid w:val="004669C4"/>
    <w:rsid w:val="00466A2E"/>
    <w:rsid w:val="00466BF4"/>
    <w:rsid w:val="00466CCE"/>
    <w:rsid w:val="004672AC"/>
    <w:rsid w:val="00467E4A"/>
    <w:rsid w:val="00470C43"/>
    <w:rsid w:val="00470CFE"/>
    <w:rsid w:val="00471343"/>
    <w:rsid w:val="004714B3"/>
    <w:rsid w:val="00471C2A"/>
    <w:rsid w:val="004726A7"/>
    <w:rsid w:val="004731BC"/>
    <w:rsid w:val="00474114"/>
    <w:rsid w:val="00474401"/>
    <w:rsid w:val="00474E1D"/>
    <w:rsid w:val="00475198"/>
    <w:rsid w:val="00475CCC"/>
    <w:rsid w:val="004766F0"/>
    <w:rsid w:val="00476BBC"/>
    <w:rsid w:val="00476CE4"/>
    <w:rsid w:val="004772F0"/>
    <w:rsid w:val="0048013A"/>
    <w:rsid w:val="00480713"/>
    <w:rsid w:val="004813B4"/>
    <w:rsid w:val="004821A9"/>
    <w:rsid w:val="00482E2C"/>
    <w:rsid w:val="004839EE"/>
    <w:rsid w:val="00485174"/>
    <w:rsid w:val="004859A4"/>
    <w:rsid w:val="00486560"/>
    <w:rsid w:val="00487E12"/>
    <w:rsid w:val="00490027"/>
    <w:rsid w:val="00490310"/>
    <w:rsid w:val="00490770"/>
    <w:rsid w:val="00490A15"/>
    <w:rsid w:val="00491058"/>
    <w:rsid w:val="00491466"/>
    <w:rsid w:val="00491831"/>
    <w:rsid w:val="00491B8C"/>
    <w:rsid w:val="00491C6B"/>
    <w:rsid w:val="004925FA"/>
    <w:rsid w:val="00492D16"/>
    <w:rsid w:val="00492ED1"/>
    <w:rsid w:val="004931BC"/>
    <w:rsid w:val="00493537"/>
    <w:rsid w:val="00493B6E"/>
    <w:rsid w:val="00494992"/>
    <w:rsid w:val="0049566B"/>
    <w:rsid w:val="00495A26"/>
    <w:rsid w:val="004963AE"/>
    <w:rsid w:val="00497D7F"/>
    <w:rsid w:val="00497DF3"/>
    <w:rsid w:val="004A11AE"/>
    <w:rsid w:val="004A1552"/>
    <w:rsid w:val="004A19E8"/>
    <w:rsid w:val="004A2629"/>
    <w:rsid w:val="004A3221"/>
    <w:rsid w:val="004A360A"/>
    <w:rsid w:val="004A3A06"/>
    <w:rsid w:val="004A40C8"/>
    <w:rsid w:val="004A4663"/>
    <w:rsid w:val="004A5AF7"/>
    <w:rsid w:val="004A5F52"/>
    <w:rsid w:val="004A67A9"/>
    <w:rsid w:val="004A7D20"/>
    <w:rsid w:val="004A7DB1"/>
    <w:rsid w:val="004B038D"/>
    <w:rsid w:val="004B05B2"/>
    <w:rsid w:val="004B096C"/>
    <w:rsid w:val="004B1505"/>
    <w:rsid w:val="004B244E"/>
    <w:rsid w:val="004B28B0"/>
    <w:rsid w:val="004B2EBC"/>
    <w:rsid w:val="004B2EE6"/>
    <w:rsid w:val="004B2F2D"/>
    <w:rsid w:val="004B36BC"/>
    <w:rsid w:val="004B5461"/>
    <w:rsid w:val="004B5596"/>
    <w:rsid w:val="004B5CF2"/>
    <w:rsid w:val="004B6363"/>
    <w:rsid w:val="004B6F83"/>
    <w:rsid w:val="004B7EF9"/>
    <w:rsid w:val="004C0437"/>
    <w:rsid w:val="004C046F"/>
    <w:rsid w:val="004C0A9A"/>
    <w:rsid w:val="004C0E25"/>
    <w:rsid w:val="004C153E"/>
    <w:rsid w:val="004C15A6"/>
    <w:rsid w:val="004C190A"/>
    <w:rsid w:val="004C1F89"/>
    <w:rsid w:val="004C2841"/>
    <w:rsid w:val="004C287F"/>
    <w:rsid w:val="004C3363"/>
    <w:rsid w:val="004C36C1"/>
    <w:rsid w:val="004C3FDE"/>
    <w:rsid w:val="004C4255"/>
    <w:rsid w:val="004C4B0F"/>
    <w:rsid w:val="004C5BD5"/>
    <w:rsid w:val="004C6161"/>
    <w:rsid w:val="004C6223"/>
    <w:rsid w:val="004C6B43"/>
    <w:rsid w:val="004C75BC"/>
    <w:rsid w:val="004C7682"/>
    <w:rsid w:val="004C7DDA"/>
    <w:rsid w:val="004D1C06"/>
    <w:rsid w:val="004D2A3C"/>
    <w:rsid w:val="004D5906"/>
    <w:rsid w:val="004D6333"/>
    <w:rsid w:val="004D6D8D"/>
    <w:rsid w:val="004D71DB"/>
    <w:rsid w:val="004E034F"/>
    <w:rsid w:val="004E04E9"/>
    <w:rsid w:val="004E0AB5"/>
    <w:rsid w:val="004E2441"/>
    <w:rsid w:val="004E375C"/>
    <w:rsid w:val="004E3E7F"/>
    <w:rsid w:val="004E5241"/>
    <w:rsid w:val="004E525D"/>
    <w:rsid w:val="004E5B52"/>
    <w:rsid w:val="004E5BB1"/>
    <w:rsid w:val="004E6759"/>
    <w:rsid w:val="004E7E2A"/>
    <w:rsid w:val="004F02B6"/>
    <w:rsid w:val="004F049C"/>
    <w:rsid w:val="004F0BA2"/>
    <w:rsid w:val="004F1682"/>
    <w:rsid w:val="004F1D15"/>
    <w:rsid w:val="004F1E6E"/>
    <w:rsid w:val="004F1FDA"/>
    <w:rsid w:val="004F2F89"/>
    <w:rsid w:val="004F3897"/>
    <w:rsid w:val="004F38FE"/>
    <w:rsid w:val="004F3A26"/>
    <w:rsid w:val="004F452D"/>
    <w:rsid w:val="004F4B6C"/>
    <w:rsid w:val="004F4CB7"/>
    <w:rsid w:val="004F4E32"/>
    <w:rsid w:val="004F4EC3"/>
    <w:rsid w:val="004F50E8"/>
    <w:rsid w:val="004F51B4"/>
    <w:rsid w:val="004F5BBE"/>
    <w:rsid w:val="00500508"/>
    <w:rsid w:val="00501508"/>
    <w:rsid w:val="005017E7"/>
    <w:rsid w:val="00501A89"/>
    <w:rsid w:val="00501FC6"/>
    <w:rsid w:val="005038BE"/>
    <w:rsid w:val="0050390E"/>
    <w:rsid w:val="00503938"/>
    <w:rsid w:val="00503ECB"/>
    <w:rsid w:val="00504581"/>
    <w:rsid w:val="00505CCA"/>
    <w:rsid w:val="00505D0B"/>
    <w:rsid w:val="005062AF"/>
    <w:rsid w:val="00506310"/>
    <w:rsid w:val="00506A04"/>
    <w:rsid w:val="00506A48"/>
    <w:rsid w:val="00507099"/>
    <w:rsid w:val="00507242"/>
    <w:rsid w:val="00507DD5"/>
    <w:rsid w:val="005100CF"/>
    <w:rsid w:val="0051027D"/>
    <w:rsid w:val="00510C4B"/>
    <w:rsid w:val="0051154C"/>
    <w:rsid w:val="005115AB"/>
    <w:rsid w:val="00511634"/>
    <w:rsid w:val="0051168D"/>
    <w:rsid w:val="00511A4B"/>
    <w:rsid w:val="00512DD5"/>
    <w:rsid w:val="00512E6D"/>
    <w:rsid w:val="00512FC8"/>
    <w:rsid w:val="00513174"/>
    <w:rsid w:val="00513B0A"/>
    <w:rsid w:val="005143B6"/>
    <w:rsid w:val="00514E48"/>
    <w:rsid w:val="00515327"/>
    <w:rsid w:val="0051590E"/>
    <w:rsid w:val="00516800"/>
    <w:rsid w:val="0051686A"/>
    <w:rsid w:val="00516B63"/>
    <w:rsid w:val="0052038E"/>
    <w:rsid w:val="005210E5"/>
    <w:rsid w:val="005217F0"/>
    <w:rsid w:val="0052260F"/>
    <w:rsid w:val="00522701"/>
    <w:rsid w:val="005233A1"/>
    <w:rsid w:val="005234DC"/>
    <w:rsid w:val="00523C30"/>
    <w:rsid w:val="005240F6"/>
    <w:rsid w:val="00524390"/>
    <w:rsid w:val="005245A0"/>
    <w:rsid w:val="00524825"/>
    <w:rsid w:val="00525376"/>
    <w:rsid w:val="00526A61"/>
    <w:rsid w:val="00526B7E"/>
    <w:rsid w:val="005273BD"/>
    <w:rsid w:val="00527709"/>
    <w:rsid w:val="00532B63"/>
    <w:rsid w:val="00533E11"/>
    <w:rsid w:val="00534366"/>
    <w:rsid w:val="005349BF"/>
    <w:rsid w:val="0053501F"/>
    <w:rsid w:val="00536A27"/>
    <w:rsid w:val="0053777B"/>
    <w:rsid w:val="00537A4A"/>
    <w:rsid w:val="00537AF1"/>
    <w:rsid w:val="005403BD"/>
    <w:rsid w:val="00540698"/>
    <w:rsid w:val="00540C38"/>
    <w:rsid w:val="005414AE"/>
    <w:rsid w:val="00541698"/>
    <w:rsid w:val="005421E5"/>
    <w:rsid w:val="0054266F"/>
    <w:rsid w:val="00542DDB"/>
    <w:rsid w:val="00543009"/>
    <w:rsid w:val="0054316C"/>
    <w:rsid w:val="00543606"/>
    <w:rsid w:val="00543A9C"/>
    <w:rsid w:val="00543CB2"/>
    <w:rsid w:val="00544042"/>
    <w:rsid w:val="00544547"/>
    <w:rsid w:val="00544CFB"/>
    <w:rsid w:val="00545032"/>
    <w:rsid w:val="00545548"/>
    <w:rsid w:val="005456BF"/>
    <w:rsid w:val="00546111"/>
    <w:rsid w:val="00546451"/>
    <w:rsid w:val="00546F50"/>
    <w:rsid w:val="005472E2"/>
    <w:rsid w:val="00547742"/>
    <w:rsid w:val="00547D0C"/>
    <w:rsid w:val="005509F7"/>
    <w:rsid w:val="00550FC0"/>
    <w:rsid w:val="005514FB"/>
    <w:rsid w:val="00551525"/>
    <w:rsid w:val="0055212A"/>
    <w:rsid w:val="00552293"/>
    <w:rsid w:val="00552AFA"/>
    <w:rsid w:val="00553997"/>
    <w:rsid w:val="00553B23"/>
    <w:rsid w:val="005546D5"/>
    <w:rsid w:val="005565BB"/>
    <w:rsid w:val="005577B1"/>
    <w:rsid w:val="00557B56"/>
    <w:rsid w:val="00557C59"/>
    <w:rsid w:val="005603FC"/>
    <w:rsid w:val="005609C5"/>
    <w:rsid w:val="00560CDF"/>
    <w:rsid w:val="005621CB"/>
    <w:rsid w:val="005627F1"/>
    <w:rsid w:val="00562C19"/>
    <w:rsid w:val="005630AC"/>
    <w:rsid w:val="00563A20"/>
    <w:rsid w:val="00563F59"/>
    <w:rsid w:val="00564801"/>
    <w:rsid w:val="00565055"/>
    <w:rsid w:val="005651FC"/>
    <w:rsid w:val="005652A2"/>
    <w:rsid w:val="005653FE"/>
    <w:rsid w:val="00565B7E"/>
    <w:rsid w:val="00565BCF"/>
    <w:rsid w:val="00565DCA"/>
    <w:rsid w:val="00566129"/>
    <w:rsid w:val="00566574"/>
    <w:rsid w:val="005667E6"/>
    <w:rsid w:val="005708E8"/>
    <w:rsid w:val="005709FF"/>
    <w:rsid w:val="00570C3D"/>
    <w:rsid w:val="00571034"/>
    <w:rsid w:val="0057105A"/>
    <w:rsid w:val="00571D2E"/>
    <w:rsid w:val="005722EF"/>
    <w:rsid w:val="00572679"/>
    <w:rsid w:val="00572A6F"/>
    <w:rsid w:val="00572CCE"/>
    <w:rsid w:val="00573E2D"/>
    <w:rsid w:val="005741B4"/>
    <w:rsid w:val="005745AA"/>
    <w:rsid w:val="0057501D"/>
    <w:rsid w:val="005757D8"/>
    <w:rsid w:val="00575AD4"/>
    <w:rsid w:val="00575CB6"/>
    <w:rsid w:val="00575D6C"/>
    <w:rsid w:val="00575D94"/>
    <w:rsid w:val="0057665E"/>
    <w:rsid w:val="00576ACA"/>
    <w:rsid w:val="005770A4"/>
    <w:rsid w:val="005773A8"/>
    <w:rsid w:val="00580623"/>
    <w:rsid w:val="00580D11"/>
    <w:rsid w:val="0058104E"/>
    <w:rsid w:val="00581397"/>
    <w:rsid w:val="005817A9"/>
    <w:rsid w:val="005830A9"/>
    <w:rsid w:val="005836C7"/>
    <w:rsid w:val="00583C1E"/>
    <w:rsid w:val="00584C0C"/>
    <w:rsid w:val="00585A3C"/>
    <w:rsid w:val="005864A8"/>
    <w:rsid w:val="0058676D"/>
    <w:rsid w:val="00586C94"/>
    <w:rsid w:val="005878FE"/>
    <w:rsid w:val="00590238"/>
    <w:rsid w:val="005903C5"/>
    <w:rsid w:val="00590822"/>
    <w:rsid w:val="00590E59"/>
    <w:rsid w:val="005911A4"/>
    <w:rsid w:val="0059121B"/>
    <w:rsid w:val="00591306"/>
    <w:rsid w:val="00591C9B"/>
    <w:rsid w:val="00592093"/>
    <w:rsid w:val="005922DA"/>
    <w:rsid w:val="0059242C"/>
    <w:rsid w:val="005928E0"/>
    <w:rsid w:val="00592D28"/>
    <w:rsid w:val="00593819"/>
    <w:rsid w:val="005940B0"/>
    <w:rsid w:val="00594870"/>
    <w:rsid w:val="0059491C"/>
    <w:rsid w:val="00594A9D"/>
    <w:rsid w:val="00595D16"/>
    <w:rsid w:val="005960EF"/>
    <w:rsid w:val="0059622C"/>
    <w:rsid w:val="005962B4"/>
    <w:rsid w:val="00596950"/>
    <w:rsid w:val="00597C7A"/>
    <w:rsid w:val="005A00C4"/>
    <w:rsid w:val="005A0EDF"/>
    <w:rsid w:val="005A1B7C"/>
    <w:rsid w:val="005A1D2B"/>
    <w:rsid w:val="005A1F5B"/>
    <w:rsid w:val="005A2BA6"/>
    <w:rsid w:val="005A2C41"/>
    <w:rsid w:val="005A2F9F"/>
    <w:rsid w:val="005A3259"/>
    <w:rsid w:val="005A3843"/>
    <w:rsid w:val="005A399F"/>
    <w:rsid w:val="005A3D59"/>
    <w:rsid w:val="005A4746"/>
    <w:rsid w:val="005A4A0F"/>
    <w:rsid w:val="005A5FD2"/>
    <w:rsid w:val="005A6293"/>
    <w:rsid w:val="005A6599"/>
    <w:rsid w:val="005A6887"/>
    <w:rsid w:val="005A6A83"/>
    <w:rsid w:val="005A6C88"/>
    <w:rsid w:val="005A747B"/>
    <w:rsid w:val="005A7EC5"/>
    <w:rsid w:val="005B04B9"/>
    <w:rsid w:val="005B0917"/>
    <w:rsid w:val="005B0B70"/>
    <w:rsid w:val="005B143B"/>
    <w:rsid w:val="005B2424"/>
    <w:rsid w:val="005B2974"/>
    <w:rsid w:val="005B3188"/>
    <w:rsid w:val="005B37AF"/>
    <w:rsid w:val="005B3FAF"/>
    <w:rsid w:val="005B40C4"/>
    <w:rsid w:val="005B48D7"/>
    <w:rsid w:val="005B49F9"/>
    <w:rsid w:val="005B4F31"/>
    <w:rsid w:val="005B6146"/>
    <w:rsid w:val="005B6239"/>
    <w:rsid w:val="005B6927"/>
    <w:rsid w:val="005B6C1B"/>
    <w:rsid w:val="005B723E"/>
    <w:rsid w:val="005B7A9E"/>
    <w:rsid w:val="005C01B9"/>
    <w:rsid w:val="005C1272"/>
    <w:rsid w:val="005C21C6"/>
    <w:rsid w:val="005C21DC"/>
    <w:rsid w:val="005C2A00"/>
    <w:rsid w:val="005C2BFF"/>
    <w:rsid w:val="005C3161"/>
    <w:rsid w:val="005C3767"/>
    <w:rsid w:val="005C42D9"/>
    <w:rsid w:val="005C4A0E"/>
    <w:rsid w:val="005C4A28"/>
    <w:rsid w:val="005C57E7"/>
    <w:rsid w:val="005C7911"/>
    <w:rsid w:val="005C7B83"/>
    <w:rsid w:val="005D0052"/>
    <w:rsid w:val="005D032D"/>
    <w:rsid w:val="005D0679"/>
    <w:rsid w:val="005D151C"/>
    <w:rsid w:val="005D29D7"/>
    <w:rsid w:val="005D3A98"/>
    <w:rsid w:val="005D4811"/>
    <w:rsid w:val="005D4D06"/>
    <w:rsid w:val="005D5A3E"/>
    <w:rsid w:val="005D64CD"/>
    <w:rsid w:val="005E0237"/>
    <w:rsid w:val="005E057C"/>
    <w:rsid w:val="005E073F"/>
    <w:rsid w:val="005E0A75"/>
    <w:rsid w:val="005E258F"/>
    <w:rsid w:val="005E30DF"/>
    <w:rsid w:val="005E372A"/>
    <w:rsid w:val="005E373B"/>
    <w:rsid w:val="005E3863"/>
    <w:rsid w:val="005E4571"/>
    <w:rsid w:val="005E45B1"/>
    <w:rsid w:val="005E45D1"/>
    <w:rsid w:val="005E4B10"/>
    <w:rsid w:val="005E509D"/>
    <w:rsid w:val="005E5321"/>
    <w:rsid w:val="005E695E"/>
    <w:rsid w:val="005E705E"/>
    <w:rsid w:val="005E71A4"/>
    <w:rsid w:val="005E7D04"/>
    <w:rsid w:val="005F0051"/>
    <w:rsid w:val="005F01F4"/>
    <w:rsid w:val="005F035F"/>
    <w:rsid w:val="005F0647"/>
    <w:rsid w:val="005F1C1F"/>
    <w:rsid w:val="005F224C"/>
    <w:rsid w:val="005F2452"/>
    <w:rsid w:val="005F299E"/>
    <w:rsid w:val="005F2C88"/>
    <w:rsid w:val="005F2DEE"/>
    <w:rsid w:val="005F38D1"/>
    <w:rsid w:val="005F3BA5"/>
    <w:rsid w:val="005F4E1C"/>
    <w:rsid w:val="005F5742"/>
    <w:rsid w:val="005F63BF"/>
    <w:rsid w:val="005F6470"/>
    <w:rsid w:val="005F72A1"/>
    <w:rsid w:val="005F7302"/>
    <w:rsid w:val="005F7313"/>
    <w:rsid w:val="005F7B4F"/>
    <w:rsid w:val="005F7D22"/>
    <w:rsid w:val="00601432"/>
    <w:rsid w:val="00601E2B"/>
    <w:rsid w:val="006022F3"/>
    <w:rsid w:val="00602531"/>
    <w:rsid w:val="00602F34"/>
    <w:rsid w:val="00603107"/>
    <w:rsid w:val="006036BB"/>
    <w:rsid w:val="006045E8"/>
    <w:rsid w:val="006046CD"/>
    <w:rsid w:val="00604DA3"/>
    <w:rsid w:val="00605565"/>
    <w:rsid w:val="00605F5F"/>
    <w:rsid w:val="00606B2E"/>
    <w:rsid w:val="006072F5"/>
    <w:rsid w:val="00607B7A"/>
    <w:rsid w:val="00611F02"/>
    <w:rsid w:val="006124FE"/>
    <w:rsid w:val="00613024"/>
    <w:rsid w:val="00613269"/>
    <w:rsid w:val="006133CC"/>
    <w:rsid w:val="006136AF"/>
    <w:rsid w:val="006136BB"/>
    <w:rsid w:val="006143DD"/>
    <w:rsid w:val="006151B7"/>
    <w:rsid w:val="006152A3"/>
    <w:rsid w:val="00615689"/>
    <w:rsid w:val="006156C3"/>
    <w:rsid w:val="006161C2"/>
    <w:rsid w:val="006166E0"/>
    <w:rsid w:val="006176C7"/>
    <w:rsid w:val="00617C00"/>
    <w:rsid w:val="0062070C"/>
    <w:rsid w:val="00620764"/>
    <w:rsid w:val="00620EFA"/>
    <w:rsid w:val="00622708"/>
    <w:rsid w:val="00622F93"/>
    <w:rsid w:val="00622FC4"/>
    <w:rsid w:val="006231B2"/>
    <w:rsid w:val="00623898"/>
    <w:rsid w:val="00624CB7"/>
    <w:rsid w:val="0062562E"/>
    <w:rsid w:val="0062591F"/>
    <w:rsid w:val="00625DAD"/>
    <w:rsid w:val="0062693B"/>
    <w:rsid w:val="006273C3"/>
    <w:rsid w:val="00627D29"/>
    <w:rsid w:val="00627DB0"/>
    <w:rsid w:val="00627EF0"/>
    <w:rsid w:val="00630953"/>
    <w:rsid w:val="006309A4"/>
    <w:rsid w:val="00631158"/>
    <w:rsid w:val="006316D2"/>
    <w:rsid w:val="00631EBD"/>
    <w:rsid w:val="00632111"/>
    <w:rsid w:val="006324EA"/>
    <w:rsid w:val="00632A75"/>
    <w:rsid w:val="0063304C"/>
    <w:rsid w:val="006333C3"/>
    <w:rsid w:val="00633EB5"/>
    <w:rsid w:val="00633FC1"/>
    <w:rsid w:val="0063430A"/>
    <w:rsid w:val="006346E0"/>
    <w:rsid w:val="0063476D"/>
    <w:rsid w:val="006348D7"/>
    <w:rsid w:val="006349D6"/>
    <w:rsid w:val="00635944"/>
    <w:rsid w:val="006359F5"/>
    <w:rsid w:val="00636411"/>
    <w:rsid w:val="0063663D"/>
    <w:rsid w:val="00636887"/>
    <w:rsid w:val="00637A0A"/>
    <w:rsid w:val="00637C55"/>
    <w:rsid w:val="00637D0E"/>
    <w:rsid w:val="00637E1A"/>
    <w:rsid w:val="00640321"/>
    <w:rsid w:val="006403A6"/>
    <w:rsid w:val="0064056A"/>
    <w:rsid w:val="00641967"/>
    <w:rsid w:val="00641B99"/>
    <w:rsid w:val="006428ED"/>
    <w:rsid w:val="00643454"/>
    <w:rsid w:val="006438EA"/>
    <w:rsid w:val="00644247"/>
    <w:rsid w:val="0064497E"/>
    <w:rsid w:val="00644FDD"/>
    <w:rsid w:val="00645BA4"/>
    <w:rsid w:val="00645DA0"/>
    <w:rsid w:val="006461DD"/>
    <w:rsid w:val="00646C1A"/>
    <w:rsid w:val="0065076A"/>
    <w:rsid w:val="00650D4F"/>
    <w:rsid w:val="0065126F"/>
    <w:rsid w:val="0065182A"/>
    <w:rsid w:val="00651C59"/>
    <w:rsid w:val="00652E60"/>
    <w:rsid w:val="00653BE6"/>
    <w:rsid w:val="00654119"/>
    <w:rsid w:val="00654BF9"/>
    <w:rsid w:val="0065505C"/>
    <w:rsid w:val="0065545E"/>
    <w:rsid w:val="00655A69"/>
    <w:rsid w:val="00656305"/>
    <w:rsid w:val="00656C1E"/>
    <w:rsid w:val="00656ECD"/>
    <w:rsid w:val="0065714F"/>
    <w:rsid w:val="00657655"/>
    <w:rsid w:val="0065797B"/>
    <w:rsid w:val="00657B8C"/>
    <w:rsid w:val="00657CA3"/>
    <w:rsid w:val="00660E46"/>
    <w:rsid w:val="00661172"/>
    <w:rsid w:val="00661B7A"/>
    <w:rsid w:val="00661E9A"/>
    <w:rsid w:val="0066376D"/>
    <w:rsid w:val="006657D3"/>
    <w:rsid w:val="00665ADD"/>
    <w:rsid w:val="00665CB0"/>
    <w:rsid w:val="00665CBA"/>
    <w:rsid w:val="00665FD4"/>
    <w:rsid w:val="00666C89"/>
    <w:rsid w:val="00666F53"/>
    <w:rsid w:val="00667BA0"/>
    <w:rsid w:val="00667DC1"/>
    <w:rsid w:val="00670198"/>
    <w:rsid w:val="006709FF"/>
    <w:rsid w:val="00670C07"/>
    <w:rsid w:val="00670C17"/>
    <w:rsid w:val="00671501"/>
    <w:rsid w:val="0067297E"/>
    <w:rsid w:val="00673265"/>
    <w:rsid w:val="0067366D"/>
    <w:rsid w:val="00674059"/>
    <w:rsid w:val="0067498C"/>
    <w:rsid w:val="00674BB9"/>
    <w:rsid w:val="00674F38"/>
    <w:rsid w:val="006757A9"/>
    <w:rsid w:val="0067623A"/>
    <w:rsid w:val="00676257"/>
    <w:rsid w:val="00676A61"/>
    <w:rsid w:val="00681244"/>
    <w:rsid w:val="00681F95"/>
    <w:rsid w:val="00682448"/>
    <w:rsid w:val="0068260C"/>
    <w:rsid w:val="006826CC"/>
    <w:rsid w:val="00682871"/>
    <w:rsid w:val="006833DD"/>
    <w:rsid w:val="006838E4"/>
    <w:rsid w:val="00684421"/>
    <w:rsid w:val="006849A4"/>
    <w:rsid w:val="00684C22"/>
    <w:rsid w:val="0068541D"/>
    <w:rsid w:val="00685CD3"/>
    <w:rsid w:val="006860A9"/>
    <w:rsid w:val="00686D1E"/>
    <w:rsid w:val="00686D99"/>
    <w:rsid w:val="00686DE8"/>
    <w:rsid w:val="00687212"/>
    <w:rsid w:val="00687C49"/>
    <w:rsid w:val="0069065F"/>
    <w:rsid w:val="0069093B"/>
    <w:rsid w:val="00690A99"/>
    <w:rsid w:val="00690E6E"/>
    <w:rsid w:val="006911AC"/>
    <w:rsid w:val="006911D2"/>
    <w:rsid w:val="00691749"/>
    <w:rsid w:val="00691762"/>
    <w:rsid w:val="00691EE2"/>
    <w:rsid w:val="006926F1"/>
    <w:rsid w:val="00692761"/>
    <w:rsid w:val="00692940"/>
    <w:rsid w:val="00693108"/>
    <w:rsid w:val="006932DE"/>
    <w:rsid w:val="00694C1C"/>
    <w:rsid w:val="00695E8B"/>
    <w:rsid w:val="00697054"/>
    <w:rsid w:val="00697552"/>
    <w:rsid w:val="00697A82"/>
    <w:rsid w:val="006A1683"/>
    <w:rsid w:val="006A1E06"/>
    <w:rsid w:val="006A1EFD"/>
    <w:rsid w:val="006A2550"/>
    <w:rsid w:val="006A53B3"/>
    <w:rsid w:val="006A603C"/>
    <w:rsid w:val="006A60DA"/>
    <w:rsid w:val="006A62B6"/>
    <w:rsid w:val="006A6A84"/>
    <w:rsid w:val="006A7335"/>
    <w:rsid w:val="006A7CFE"/>
    <w:rsid w:val="006B00D9"/>
    <w:rsid w:val="006B063F"/>
    <w:rsid w:val="006B0D6F"/>
    <w:rsid w:val="006B28EB"/>
    <w:rsid w:val="006B2C05"/>
    <w:rsid w:val="006B340D"/>
    <w:rsid w:val="006B341B"/>
    <w:rsid w:val="006B3ED6"/>
    <w:rsid w:val="006B43A5"/>
    <w:rsid w:val="006B50C2"/>
    <w:rsid w:val="006B658D"/>
    <w:rsid w:val="006B7161"/>
    <w:rsid w:val="006B74D4"/>
    <w:rsid w:val="006B7883"/>
    <w:rsid w:val="006B7CE4"/>
    <w:rsid w:val="006C0685"/>
    <w:rsid w:val="006C0C83"/>
    <w:rsid w:val="006C0E71"/>
    <w:rsid w:val="006C1A95"/>
    <w:rsid w:val="006C23BC"/>
    <w:rsid w:val="006C41C0"/>
    <w:rsid w:val="006C4EC1"/>
    <w:rsid w:val="006C5461"/>
    <w:rsid w:val="006C62F9"/>
    <w:rsid w:val="006C6834"/>
    <w:rsid w:val="006C6CE4"/>
    <w:rsid w:val="006C6D16"/>
    <w:rsid w:val="006C79A4"/>
    <w:rsid w:val="006C7A2D"/>
    <w:rsid w:val="006D0D81"/>
    <w:rsid w:val="006D1143"/>
    <w:rsid w:val="006D133D"/>
    <w:rsid w:val="006D165E"/>
    <w:rsid w:val="006D20B9"/>
    <w:rsid w:val="006D336A"/>
    <w:rsid w:val="006D39A1"/>
    <w:rsid w:val="006D3B1E"/>
    <w:rsid w:val="006D3E55"/>
    <w:rsid w:val="006D3F82"/>
    <w:rsid w:val="006D4459"/>
    <w:rsid w:val="006D51B9"/>
    <w:rsid w:val="006D53FA"/>
    <w:rsid w:val="006D58F9"/>
    <w:rsid w:val="006D6090"/>
    <w:rsid w:val="006D638E"/>
    <w:rsid w:val="006D63F9"/>
    <w:rsid w:val="006D6548"/>
    <w:rsid w:val="006D7023"/>
    <w:rsid w:val="006D70D5"/>
    <w:rsid w:val="006D750B"/>
    <w:rsid w:val="006D78CA"/>
    <w:rsid w:val="006D7E7F"/>
    <w:rsid w:val="006E0CBF"/>
    <w:rsid w:val="006E1B3D"/>
    <w:rsid w:val="006E1F22"/>
    <w:rsid w:val="006E2BC8"/>
    <w:rsid w:val="006E2E3A"/>
    <w:rsid w:val="006E302F"/>
    <w:rsid w:val="006E32B2"/>
    <w:rsid w:val="006E5126"/>
    <w:rsid w:val="006E5BC1"/>
    <w:rsid w:val="006E5DA0"/>
    <w:rsid w:val="006E5EA7"/>
    <w:rsid w:val="006E636A"/>
    <w:rsid w:val="006E6602"/>
    <w:rsid w:val="006E6725"/>
    <w:rsid w:val="006E6AE8"/>
    <w:rsid w:val="006E6D3A"/>
    <w:rsid w:val="006E7279"/>
    <w:rsid w:val="006E79B7"/>
    <w:rsid w:val="006F0054"/>
    <w:rsid w:val="006F072F"/>
    <w:rsid w:val="006F0909"/>
    <w:rsid w:val="006F2696"/>
    <w:rsid w:val="006F2741"/>
    <w:rsid w:val="006F29D0"/>
    <w:rsid w:val="006F2BAE"/>
    <w:rsid w:val="006F3891"/>
    <w:rsid w:val="006F3EFC"/>
    <w:rsid w:val="006F4B0B"/>
    <w:rsid w:val="006F4C42"/>
    <w:rsid w:val="006F521D"/>
    <w:rsid w:val="006F5FD0"/>
    <w:rsid w:val="006F6A64"/>
    <w:rsid w:val="006F6CCC"/>
    <w:rsid w:val="006F76C9"/>
    <w:rsid w:val="006F7712"/>
    <w:rsid w:val="006F7B34"/>
    <w:rsid w:val="007003ED"/>
    <w:rsid w:val="007004BE"/>
    <w:rsid w:val="0070082B"/>
    <w:rsid w:val="00700B13"/>
    <w:rsid w:val="0070154B"/>
    <w:rsid w:val="0070194F"/>
    <w:rsid w:val="00701A96"/>
    <w:rsid w:val="00702282"/>
    <w:rsid w:val="00702E07"/>
    <w:rsid w:val="00703088"/>
    <w:rsid w:val="007031A2"/>
    <w:rsid w:val="00703A2C"/>
    <w:rsid w:val="007043EB"/>
    <w:rsid w:val="00704436"/>
    <w:rsid w:val="007053FF"/>
    <w:rsid w:val="00705833"/>
    <w:rsid w:val="007062F5"/>
    <w:rsid w:val="007070E6"/>
    <w:rsid w:val="0070761E"/>
    <w:rsid w:val="00710506"/>
    <w:rsid w:val="0071101A"/>
    <w:rsid w:val="00711AF4"/>
    <w:rsid w:val="00712881"/>
    <w:rsid w:val="00712BB9"/>
    <w:rsid w:val="00713D06"/>
    <w:rsid w:val="00713DB0"/>
    <w:rsid w:val="007141E2"/>
    <w:rsid w:val="00714778"/>
    <w:rsid w:val="00714ABE"/>
    <w:rsid w:val="007162AC"/>
    <w:rsid w:val="0071677B"/>
    <w:rsid w:val="00716EF9"/>
    <w:rsid w:val="00717C86"/>
    <w:rsid w:val="007202CF"/>
    <w:rsid w:val="00720707"/>
    <w:rsid w:val="0072098E"/>
    <w:rsid w:val="00721625"/>
    <w:rsid w:val="00721DAA"/>
    <w:rsid w:val="007230EE"/>
    <w:rsid w:val="00723B70"/>
    <w:rsid w:val="0072426A"/>
    <w:rsid w:val="007243AB"/>
    <w:rsid w:val="00724CB5"/>
    <w:rsid w:val="0072510E"/>
    <w:rsid w:val="00725E70"/>
    <w:rsid w:val="0072675B"/>
    <w:rsid w:val="00726E18"/>
    <w:rsid w:val="00730467"/>
    <w:rsid w:val="0073131E"/>
    <w:rsid w:val="007315CF"/>
    <w:rsid w:val="00732180"/>
    <w:rsid w:val="007325FA"/>
    <w:rsid w:val="0073422A"/>
    <w:rsid w:val="00734A79"/>
    <w:rsid w:val="00734C1F"/>
    <w:rsid w:val="00735C9E"/>
    <w:rsid w:val="00736664"/>
    <w:rsid w:val="007366A0"/>
    <w:rsid w:val="00736A10"/>
    <w:rsid w:val="00737AC6"/>
    <w:rsid w:val="00740B9A"/>
    <w:rsid w:val="00740E8A"/>
    <w:rsid w:val="00740F1C"/>
    <w:rsid w:val="007410BB"/>
    <w:rsid w:val="0074222F"/>
    <w:rsid w:val="0074307D"/>
    <w:rsid w:val="00744385"/>
    <w:rsid w:val="007456EF"/>
    <w:rsid w:val="00745AF8"/>
    <w:rsid w:val="00745BC9"/>
    <w:rsid w:val="00745CCE"/>
    <w:rsid w:val="007461BD"/>
    <w:rsid w:val="0074625F"/>
    <w:rsid w:val="007468AD"/>
    <w:rsid w:val="00746B5A"/>
    <w:rsid w:val="00747728"/>
    <w:rsid w:val="00747A26"/>
    <w:rsid w:val="00747B48"/>
    <w:rsid w:val="0075006C"/>
    <w:rsid w:val="007505A4"/>
    <w:rsid w:val="00750617"/>
    <w:rsid w:val="007510AF"/>
    <w:rsid w:val="007512DE"/>
    <w:rsid w:val="0075153D"/>
    <w:rsid w:val="00751D5B"/>
    <w:rsid w:val="00753231"/>
    <w:rsid w:val="00753420"/>
    <w:rsid w:val="00753664"/>
    <w:rsid w:val="007537D7"/>
    <w:rsid w:val="00754538"/>
    <w:rsid w:val="007547DB"/>
    <w:rsid w:val="007547F5"/>
    <w:rsid w:val="0075495D"/>
    <w:rsid w:val="0075598D"/>
    <w:rsid w:val="00755C1D"/>
    <w:rsid w:val="00755E7C"/>
    <w:rsid w:val="00755F02"/>
    <w:rsid w:val="00756105"/>
    <w:rsid w:val="007569C1"/>
    <w:rsid w:val="00756FE8"/>
    <w:rsid w:val="00757F67"/>
    <w:rsid w:val="00760189"/>
    <w:rsid w:val="007601D7"/>
    <w:rsid w:val="00760551"/>
    <w:rsid w:val="007607FD"/>
    <w:rsid w:val="007610BD"/>
    <w:rsid w:val="00761800"/>
    <w:rsid w:val="00761C8C"/>
    <w:rsid w:val="00763336"/>
    <w:rsid w:val="007634B6"/>
    <w:rsid w:val="00763E13"/>
    <w:rsid w:val="00763F32"/>
    <w:rsid w:val="00763FE8"/>
    <w:rsid w:val="00765E44"/>
    <w:rsid w:val="00766306"/>
    <w:rsid w:val="007665AA"/>
    <w:rsid w:val="007670AC"/>
    <w:rsid w:val="007671D4"/>
    <w:rsid w:val="00767BBC"/>
    <w:rsid w:val="00767D22"/>
    <w:rsid w:val="00767F2D"/>
    <w:rsid w:val="00770AA5"/>
    <w:rsid w:val="00770B44"/>
    <w:rsid w:val="0077135C"/>
    <w:rsid w:val="007716AB"/>
    <w:rsid w:val="007734AB"/>
    <w:rsid w:val="00773A4B"/>
    <w:rsid w:val="00773B61"/>
    <w:rsid w:val="00774F44"/>
    <w:rsid w:val="00774F81"/>
    <w:rsid w:val="0077515E"/>
    <w:rsid w:val="007760CC"/>
    <w:rsid w:val="007763C2"/>
    <w:rsid w:val="007767A1"/>
    <w:rsid w:val="00776A70"/>
    <w:rsid w:val="00776F91"/>
    <w:rsid w:val="0077798F"/>
    <w:rsid w:val="00777CF9"/>
    <w:rsid w:val="00777E2A"/>
    <w:rsid w:val="007804D9"/>
    <w:rsid w:val="00783262"/>
    <w:rsid w:val="00783A3C"/>
    <w:rsid w:val="00783D27"/>
    <w:rsid w:val="00784DD6"/>
    <w:rsid w:val="00785D53"/>
    <w:rsid w:val="00787151"/>
    <w:rsid w:val="007874A7"/>
    <w:rsid w:val="00787859"/>
    <w:rsid w:val="00787B10"/>
    <w:rsid w:val="00790D5D"/>
    <w:rsid w:val="0079133E"/>
    <w:rsid w:val="00791413"/>
    <w:rsid w:val="007915AA"/>
    <w:rsid w:val="00791615"/>
    <w:rsid w:val="00792641"/>
    <w:rsid w:val="00792A0F"/>
    <w:rsid w:val="0079485A"/>
    <w:rsid w:val="007952B1"/>
    <w:rsid w:val="0079532B"/>
    <w:rsid w:val="00795A69"/>
    <w:rsid w:val="007969B8"/>
    <w:rsid w:val="00797592"/>
    <w:rsid w:val="00797829"/>
    <w:rsid w:val="00797D54"/>
    <w:rsid w:val="007A0AE4"/>
    <w:rsid w:val="007A0B9F"/>
    <w:rsid w:val="007A128C"/>
    <w:rsid w:val="007A1413"/>
    <w:rsid w:val="007A2DC1"/>
    <w:rsid w:val="007A2FDC"/>
    <w:rsid w:val="007A335F"/>
    <w:rsid w:val="007A41C5"/>
    <w:rsid w:val="007A452C"/>
    <w:rsid w:val="007A5171"/>
    <w:rsid w:val="007A53C6"/>
    <w:rsid w:val="007A5C9D"/>
    <w:rsid w:val="007A71C7"/>
    <w:rsid w:val="007A7E98"/>
    <w:rsid w:val="007B002D"/>
    <w:rsid w:val="007B00A5"/>
    <w:rsid w:val="007B11F8"/>
    <w:rsid w:val="007B26E2"/>
    <w:rsid w:val="007B42AE"/>
    <w:rsid w:val="007B4BF2"/>
    <w:rsid w:val="007B50E5"/>
    <w:rsid w:val="007B5330"/>
    <w:rsid w:val="007B5795"/>
    <w:rsid w:val="007B5DA9"/>
    <w:rsid w:val="007B5F27"/>
    <w:rsid w:val="007B64CE"/>
    <w:rsid w:val="007B66CE"/>
    <w:rsid w:val="007B6B3A"/>
    <w:rsid w:val="007B7445"/>
    <w:rsid w:val="007B7A2B"/>
    <w:rsid w:val="007B7EB5"/>
    <w:rsid w:val="007C0760"/>
    <w:rsid w:val="007C0C94"/>
    <w:rsid w:val="007C17C9"/>
    <w:rsid w:val="007C180F"/>
    <w:rsid w:val="007C194C"/>
    <w:rsid w:val="007C1E88"/>
    <w:rsid w:val="007C2D60"/>
    <w:rsid w:val="007C3370"/>
    <w:rsid w:val="007C3DA8"/>
    <w:rsid w:val="007C3F39"/>
    <w:rsid w:val="007C42CC"/>
    <w:rsid w:val="007C695A"/>
    <w:rsid w:val="007C6A5E"/>
    <w:rsid w:val="007C7000"/>
    <w:rsid w:val="007C70D9"/>
    <w:rsid w:val="007D00B5"/>
    <w:rsid w:val="007D0763"/>
    <w:rsid w:val="007D1852"/>
    <w:rsid w:val="007D1F3C"/>
    <w:rsid w:val="007D261B"/>
    <w:rsid w:val="007D494F"/>
    <w:rsid w:val="007D49B2"/>
    <w:rsid w:val="007D4BC4"/>
    <w:rsid w:val="007D745B"/>
    <w:rsid w:val="007D7CE9"/>
    <w:rsid w:val="007E02BA"/>
    <w:rsid w:val="007E0591"/>
    <w:rsid w:val="007E09E3"/>
    <w:rsid w:val="007E1B7D"/>
    <w:rsid w:val="007E2781"/>
    <w:rsid w:val="007E27BE"/>
    <w:rsid w:val="007E2A12"/>
    <w:rsid w:val="007E2B29"/>
    <w:rsid w:val="007E339E"/>
    <w:rsid w:val="007E347E"/>
    <w:rsid w:val="007E3935"/>
    <w:rsid w:val="007E3D6D"/>
    <w:rsid w:val="007E40DA"/>
    <w:rsid w:val="007E43F8"/>
    <w:rsid w:val="007E472C"/>
    <w:rsid w:val="007E4B34"/>
    <w:rsid w:val="007E4F2D"/>
    <w:rsid w:val="007E552C"/>
    <w:rsid w:val="007E598C"/>
    <w:rsid w:val="007E5AD8"/>
    <w:rsid w:val="007E5E30"/>
    <w:rsid w:val="007E5F36"/>
    <w:rsid w:val="007E67EF"/>
    <w:rsid w:val="007E7F4B"/>
    <w:rsid w:val="007F01F8"/>
    <w:rsid w:val="007F0525"/>
    <w:rsid w:val="007F0696"/>
    <w:rsid w:val="007F0829"/>
    <w:rsid w:val="007F0D1C"/>
    <w:rsid w:val="007F1096"/>
    <w:rsid w:val="007F1C38"/>
    <w:rsid w:val="007F266D"/>
    <w:rsid w:val="007F2A9B"/>
    <w:rsid w:val="007F2E7F"/>
    <w:rsid w:val="007F3086"/>
    <w:rsid w:val="007F3EF6"/>
    <w:rsid w:val="007F43B2"/>
    <w:rsid w:val="007F4843"/>
    <w:rsid w:val="007F4C5F"/>
    <w:rsid w:val="007F594B"/>
    <w:rsid w:val="007F7131"/>
    <w:rsid w:val="007F722C"/>
    <w:rsid w:val="007F7AE3"/>
    <w:rsid w:val="008002C5"/>
    <w:rsid w:val="0080060A"/>
    <w:rsid w:val="00801600"/>
    <w:rsid w:val="00801B54"/>
    <w:rsid w:val="00802503"/>
    <w:rsid w:val="008025B2"/>
    <w:rsid w:val="008035C0"/>
    <w:rsid w:val="008042B8"/>
    <w:rsid w:val="008043F0"/>
    <w:rsid w:val="00806111"/>
    <w:rsid w:val="00806515"/>
    <w:rsid w:val="0080665B"/>
    <w:rsid w:val="0080669B"/>
    <w:rsid w:val="008074A1"/>
    <w:rsid w:val="00810342"/>
    <w:rsid w:val="008103CE"/>
    <w:rsid w:val="00810C39"/>
    <w:rsid w:val="008118FA"/>
    <w:rsid w:val="00811F85"/>
    <w:rsid w:val="0081201C"/>
    <w:rsid w:val="0081280E"/>
    <w:rsid w:val="00812B72"/>
    <w:rsid w:val="00812C0E"/>
    <w:rsid w:val="00812D47"/>
    <w:rsid w:val="00813104"/>
    <w:rsid w:val="00813BC7"/>
    <w:rsid w:val="00813E67"/>
    <w:rsid w:val="00814C9A"/>
    <w:rsid w:val="0081506E"/>
    <w:rsid w:val="00815276"/>
    <w:rsid w:val="00815341"/>
    <w:rsid w:val="00815769"/>
    <w:rsid w:val="008159E8"/>
    <w:rsid w:val="00815C04"/>
    <w:rsid w:val="008165AC"/>
    <w:rsid w:val="008166A1"/>
    <w:rsid w:val="00816944"/>
    <w:rsid w:val="00816A08"/>
    <w:rsid w:val="00816A93"/>
    <w:rsid w:val="00816AC4"/>
    <w:rsid w:val="00816AFC"/>
    <w:rsid w:val="00817081"/>
    <w:rsid w:val="008172A6"/>
    <w:rsid w:val="0081756D"/>
    <w:rsid w:val="0082001B"/>
    <w:rsid w:val="00820CB2"/>
    <w:rsid w:val="008210C6"/>
    <w:rsid w:val="00821184"/>
    <w:rsid w:val="00822666"/>
    <w:rsid w:val="0082274A"/>
    <w:rsid w:val="0082284D"/>
    <w:rsid w:val="00822A86"/>
    <w:rsid w:val="00824CF7"/>
    <w:rsid w:val="008257D3"/>
    <w:rsid w:val="00825D9F"/>
    <w:rsid w:val="008262DE"/>
    <w:rsid w:val="008265E2"/>
    <w:rsid w:val="008268FC"/>
    <w:rsid w:val="00826F8F"/>
    <w:rsid w:val="00830105"/>
    <w:rsid w:val="00830D46"/>
    <w:rsid w:val="0083113D"/>
    <w:rsid w:val="00831B9D"/>
    <w:rsid w:val="00832116"/>
    <w:rsid w:val="00832996"/>
    <w:rsid w:val="008329BD"/>
    <w:rsid w:val="00832B12"/>
    <w:rsid w:val="00833257"/>
    <w:rsid w:val="00833436"/>
    <w:rsid w:val="00833544"/>
    <w:rsid w:val="00833642"/>
    <w:rsid w:val="00833C02"/>
    <w:rsid w:val="00833F07"/>
    <w:rsid w:val="00834046"/>
    <w:rsid w:val="008342C7"/>
    <w:rsid w:val="00835167"/>
    <w:rsid w:val="008351A6"/>
    <w:rsid w:val="00836015"/>
    <w:rsid w:val="00836607"/>
    <w:rsid w:val="008368FD"/>
    <w:rsid w:val="00836964"/>
    <w:rsid w:val="008372E6"/>
    <w:rsid w:val="008401A2"/>
    <w:rsid w:val="00840680"/>
    <w:rsid w:val="00840ACC"/>
    <w:rsid w:val="00840E68"/>
    <w:rsid w:val="008411CF"/>
    <w:rsid w:val="00841685"/>
    <w:rsid w:val="00841C9E"/>
    <w:rsid w:val="00841D57"/>
    <w:rsid w:val="00842206"/>
    <w:rsid w:val="008425A3"/>
    <w:rsid w:val="00843219"/>
    <w:rsid w:val="00843482"/>
    <w:rsid w:val="008448A2"/>
    <w:rsid w:val="00845349"/>
    <w:rsid w:val="00846630"/>
    <w:rsid w:val="0084676D"/>
    <w:rsid w:val="00846B23"/>
    <w:rsid w:val="00846D5B"/>
    <w:rsid w:val="00847100"/>
    <w:rsid w:val="00847206"/>
    <w:rsid w:val="00847BC7"/>
    <w:rsid w:val="00847F3E"/>
    <w:rsid w:val="00847F80"/>
    <w:rsid w:val="00850783"/>
    <w:rsid w:val="008513B4"/>
    <w:rsid w:val="008515C2"/>
    <w:rsid w:val="00852092"/>
    <w:rsid w:val="0085245F"/>
    <w:rsid w:val="008545C6"/>
    <w:rsid w:val="0085483A"/>
    <w:rsid w:val="00854C4E"/>
    <w:rsid w:val="00855173"/>
    <w:rsid w:val="00855C89"/>
    <w:rsid w:val="00855E42"/>
    <w:rsid w:val="00855E8B"/>
    <w:rsid w:val="00856082"/>
    <w:rsid w:val="00856439"/>
    <w:rsid w:val="00856759"/>
    <w:rsid w:val="00856A34"/>
    <w:rsid w:val="00856E21"/>
    <w:rsid w:val="008576EA"/>
    <w:rsid w:val="00860A97"/>
    <w:rsid w:val="00861BA0"/>
    <w:rsid w:val="008623DF"/>
    <w:rsid w:val="00862499"/>
    <w:rsid w:val="008649D9"/>
    <w:rsid w:val="0086538A"/>
    <w:rsid w:val="00866DB6"/>
    <w:rsid w:val="008673E3"/>
    <w:rsid w:val="0086779A"/>
    <w:rsid w:val="00867C45"/>
    <w:rsid w:val="00867EB7"/>
    <w:rsid w:val="008713CD"/>
    <w:rsid w:val="008714BA"/>
    <w:rsid w:val="008714D0"/>
    <w:rsid w:val="0087161B"/>
    <w:rsid w:val="008719A3"/>
    <w:rsid w:val="00872187"/>
    <w:rsid w:val="00873AAA"/>
    <w:rsid w:val="00873CF5"/>
    <w:rsid w:val="00874CCA"/>
    <w:rsid w:val="00875ADC"/>
    <w:rsid w:val="00875E68"/>
    <w:rsid w:val="0087625E"/>
    <w:rsid w:val="008770FB"/>
    <w:rsid w:val="0087760E"/>
    <w:rsid w:val="008803A4"/>
    <w:rsid w:val="008803BC"/>
    <w:rsid w:val="008805DC"/>
    <w:rsid w:val="008805EA"/>
    <w:rsid w:val="0088077D"/>
    <w:rsid w:val="00880860"/>
    <w:rsid w:val="00880C12"/>
    <w:rsid w:val="0088130F"/>
    <w:rsid w:val="008818EC"/>
    <w:rsid w:val="00881F2C"/>
    <w:rsid w:val="00882746"/>
    <w:rsid w:val="008828BE"/>
    <w:rsid w:val="0088380D"/>
    <w:rsid w:val="00883A61"/>
    <w:rsid w:val="00883D9D"/>
    <w:rsid w:val="008840AA"/>
    <w:rsid w:val="00885866"/>
    <w:rsid w:val="00885895"/>
    <w:rsid w:val="00886AF7"/>
    <w:rsid w:val="0088721F"/>
    <w:rsid w:val="0088739B"/>
    <w:rsid w:val="008873D9"/>
    <w:rsid w:val="008875FB"/>
    <w:rsid w:val="00887744"/>
    <w:rsid w:val="00887A91"/>
    <w:rsid w:val="008905D8"/>
    <w:rsid w:val="00891552"/>
    <w:rsid w:val="00891631"/>
    <w:rsid w:val="00891BF3"/>
    <w:rsid w:val="00891C96"/>
    <w:rsid w:val="00891D05"/>
    <w:rsid w:val="00891F41"/>
    <w:rsid w:val="00892CFA"/>
    <w:rsid w:val="00892F88"/>
    <w:rsid w:val="00893487"/>
    <w:rsid w:val="008939CD"/>
    <w:rsid w:val="00894149"/>
    <w:rsid w:val="0089469C"/>
    <w:rsid w:val="00894962"/>
    <w:rsid w:val="00895BB0"/>
    <w:rsid w:val="00895D20"/>
    <w:rsid w:val="00895D37"/>
    <w:rsid w:val="00895DDA"/>
    <w:rsid w:val="00896193"/>
    <w:rsid w:val="0089676C"/>
    <w:rsid w:val="00896EBD"/>
    <w:rsid w:val="00897A1C"/>
    <w:rsid w:val="00897B14"/>
    <w:rsid w:val="008A0834"/>
    <w:rsid w:val="008A1198"/>
    <w:rsid w:val="008A1268"/>
    <w:rsid w:val="008A21AC"/>
    <w:rsid w:val="008A22F6"/>
    <w:rsid w:val="008A288B"/>
    <w:rsid w:val="008A3B6E"/>
    <w:rsid w:val="008A3E3E"/>
    <w:rsid w:val="008A44BC"/>
    <w:rsid w:val="008A4879"/>
    <w:rsid w:val="008A4C40"/>
    <w:rsid w:val="008A4C43"/>
    <w:rsid w:val="008A4D6E"/>
    <w:rsid w:val="008A5132"/>
    <w:rsid w:val="008A5929"/>
    <w:rsid w:val="008A67D7"/>
    <w:rsid w:val="008A6D3F"/>
    <w:rsid w:val="008A7599"/>
    <w:rsid w:val="008A7710"/>
    <w:rsid w:val="008B0145"/>
    <w:rsid w:val="008B1307"/>
    <w:rsid w:val="008B136D"/>
    <w:rsid w:val="008B16FB"/>
    <w:rsid w:val="008B1768"/>
    <w:rsid w:val="008B1884"/>
    <w:rsid w:val="008B1D0D"/>
    <w:rsid w:val="008B2B75"/>
    <w:rsid w:val="008B2B9A"/>
    <w:rsid w:val="008B3245"/>
    <w:rsid w:val="008B3D84"/>
    <w:rsid w:val="008B3E6E"/>
    <w:rsid w:val="008B40E9"/>
    <w:rsid w:val="008B4F1F"/>
    <w:rsid w:val="008B5FC0"/>
    <w:rsid w:val="008B631F"/>
    <w:rsid w:val="008B6C70"/>
    <w:rsid w:val="008B73C6"/>
    <w:rsid w:val="008B74B3"/>
    <w:rsid w:val="008B784B"/>
    <w:rsid w:val="008B785E"/>
    <w:rsid w:val="008B7E1D"/>
    <w:rsid w:val="008C0A4A"/>
    <w:rsid w:val="008C1402"/>
    <w:rsid w:val="008C20D6"/>
    <w:rsid w:val="008C242B"/>
    <w:rsid w:val="008C2AC7"/>
    <w:rsid w:val="008C2D7D"/>
    <w:rsid w:val="008C2DEB"/>
    <w:rsid w:val="008C2F8A"/>
    <w:rsid w:val="008C3034"/>
    <w:rsid w:val="008C33FD"/>
    <w:rsid w:val="008C3C56"/>
    <w:rsid w:val="008C3FBE"/>
    <w:rsid w:val="008C4506"/>
    <w:rsid w:val="008C4EA2"/>
    <w:rsid w:val="008C534D"/>
    <w:rsid w:val="008C5978"/>
    <w:rsid w:val="008C5D97"/>
    <w:rsid w:val="008C6CAD"/>
    <w:rsid w:val="008C6EE8"/>
    <w:rsid w:val="008C70B5"/>
    <w:rsid w:val="008C7A58"/>
    <w:rsid w:val="008C7DE7"/>
    <w:rsid w:val="008D06AA"/>
    <w:rsid w:val="008D1671"/>
    <w:rsid w:val="008D168D"/>
    <w:rsid w:val="008D1B01"/>
    <w:rsid w:val="008D1F47"/>
    <w:rsid w:val="008D2434"/>
    <w:rsid w:val="008D25C3"/>
    <w:rsid w:val="008D28B1"/>
    <w:rsid w:val="008D2A6A"/>
    <w:rsid w:val="008D3677"/>
    <w:rsid w:val="008D4361"/>
    <w:rsid w:val="008D5C55"/>
    <w:rsid w:val="008D748C"/>
    <w:rsid w:val="008D7C32"/>
    <w:rsid w:val="008E0A84"/>
    <w:rsid w:val="008E1508"/>
    <w:rsid w:val="008E1D09"/>
    <w:rsid w:val="008E1F6E"/>
    <w:rsid w:val="008E315E"/>
    <w:rsid w:val="008E32E1"/>
    <w:rsid w:val="008E3EEC"/>
    <w:rsid w:val="008E4281"/>
    <w:rsid w:val="008E4D98"/>
    <w:rsid w:val="008E51CD"/>
    <w:rsid w:val="008E54E7"/>
    <w:rsid w:val="008E557B"/>
    <w:rsid w:val="008E5A30"/>
    <w:rsid w:val="008E6893"/>
    <w:rsid w:val="008E71B3"/>
    <w:rsid w:val="008E7A6E"/>
    <w:rsid w:val="008E7EDF"/>
    <w:rsid w:val="008E7FC4"/>
    <w:rsid w:val="008F03C2"/>
    <w:rsid w:val="008F175E"/>
    <w:rsid w:val="008F1B06"/>
    <w:rsid w:val="008F1C13"/>
    <w:rsid w:val="008F2106"/>
    <w:rsid w:val="008F2288"/>
    <w:rsid w:val="008F2A2F"/>
    <w:rsid w:val="008F36B9"/>
    <w:rsid w:val="008F3D65"/>
    <w:rsid w:val="008F4BC6"/>
    <w:rsid w:val="008F4CD8"/>
    <w:rsid w:val="008F5BB4"/>
    <w:rsid w:val="008F5F5A"/>
    <w:rsid w:val="008F62C3"/>
    <w:rsid w:val="008F7344"/>
    <w:rsid w:val="008F79B8"/>
    <w:rsid w:val="009004E2"/>
    <w:rsid w:val="00900B7F"/>
    <w:rsid w:val="0090123E"/>
    <w:rsid w:val="00901330"/>
    <w:rsid w:val="00901D3A"/>
    <w:rsid w:val="0090211E"/>
    <w:rsid w:val="0090227B"/>
    <w:rsid w:val="00903988"/>
    <w:rsid w:val="009040FA"/>
    <w:rsid w:val="0090617E"/>
    <w:rsid w:val="0090759F"/>
    <w:rsid w:val="009077B2"/>
    <w:rsid w:val="00907AE0"/>
    <w:rsid w:val="00907C17"/>
    <w:rsid w:val="009103B6"/>
    <w:rsid w:val="0091060B"/>
    <w:rsid w:val="0091193B"/>
    <w:rsid w:val="00912EA7"/>
    <w:rsid w:val="00912F6C"/>
    <w:rsid w:val="0091306B"/>
    <w:rsid w:val="009137A1"/>
    <w:rsid w:val="009141CC"/>
    <w:rsid w:val="00914A71"/>
    <w:rsid w:val="0091541D"/>
    <w:rsid w:val="00915430"/>
    <w:rsid w:val="00915617"/>
    <w:rsid w:val="00916161"/>
    <w:rsid w:val="009163B2"/>
    <w:rsid w:val="00917080"/>
    <w:rsid w:val="00917F8E"/>
    <w:rsid w:val="009206BC"/>
    <w:rsid w:val="00920A93"/>
    <w:rsid w:val="00921334"/>
    <w:rsid w:val="009217EC"/>
    <w:rsid w:val="00921981"/>
    <w:rsid w:val="00921AF6"/>
    <w:rsid w:val="00921ED5"/>
    <w:rsid w:val="00921F74"/>
    <w:rsid w:val="00921F79"/>
    <w:rsid w:val="00922F74"/>
    <w:rsid w:val="009240CF"/>
    <w:rsid w:val="00924432"/>
    <w:rsid w:val="00924587"/>
    <w:rsid w:val="00924A57"/>
    <w:rsid w:val="0092532E"/>
    <w:rsid w:val="0092650E"/>
    <w:rsid w:val="00926699"/>
    <w:rsid w:val="00927085"/>
    <w:rsid w:val="00927186"/>
    <w:rsid w:val="00927675"/>
    <w:rsid w:val="00927AF0"/>
    <w:rsid w:val="00930104"/>
    <w:rsid w:val="00930C55"/>
    <w:rsid w:val="00931555"/>
    <w:rsid w:val="0093165B"/>
    <w:rsid w:val="009318BA"/>
    <w:rsid w:val="00933629"/>
    <w:rsid w:val="00933DDD"/>
    <w:rsid w:val="0093476B"/>
    <w:rsid w:val="0093476C"/>
    <w:rsid w:val="00934A0E"/>
    <w:rsid w:val="00934E2D"/>
    <w:rsid w:val="009350C4"/>
    <w:rsid w:val="009351CC"/>
    <w:rsid w:val="0093529A"/>
    <w:rsid w:val="009356B8"/>
    <w:rsid w:val="00935D5B"/>
    <w:rsid w:val="00936301"/>
    <w:rsid w:val="0093663E"/>
    <w:rsid w:val="00936C53"/>
    <w:rsid w:val="009379DE"/>
    <w:rsid w:val="00937B9A"/>
    <w:rsid w:val="00937D06"/>
    <w:rsid w:val="00940AB5"/>
    <w:rsid w:val="00940CD2"/>
    <w:rsid w:val="009412DD"/>
    <w:rsid w:val="0094148E"/>
    <w:rsid w:val="00941C7D"/>
    <w:rsid w:val="0094200F"/>
    <w:rsid w:val="009426AE"/>
    <w:rsid w:val="00942751"/>
    <w:rsid w:val="00942927"/>
    <w:rsid w:val="00943069"/>
    <w:rsid w:val="0094316A"/>
    <w:rsid w:val="009431C1"/>
    <w:rsid w:val="009432B7"/>
    <w:rsid w:val="009432E7"/>
    <w:rsid w:val="009439BE"/>
    <w:rsid w:val="0094405D"/>
    <w:rsid w:val="00944811"/>
    <w:rsid w:val="00944A34"/>
    <w:rsid w:val="00945278"/>
    <w:rsid w:val="00945548"/>
    <w:rsid w:val="0094672C"/>
    <w:rsid w:val="009472C4"/>
    <w:rsid w:val="00950AA4"/>
    <w:rsid w:val="009510F2"/>
    <w:rsid w:val="00951A04"/>
    <w:rsid w:val="00951B1F"/>
    <w:rsid w:val="00952206"/>
    <w:rsid w:val="009522B9"/>
    <w:rsid w:val="009537B5"/>
    <w:rsid w:val="00953C0F"/>
    <w:rsid w:val="00954416"/>
    <w:rsid w:val="009547B9"/>
    <w:rsid w:val="00954BB2"/>
    <w:rsid w:val="00954D1A"/>
    <w:rsid w:val="00955D05"/>
    <w:rsid w:val="00956E83"/>
    <w:rsid w:val="00956F50"/>
    <w:rsid w:val="009576EE"/>
    <w:rsid w:val="00960AB9"/>
    <w:rsid w:val="00961253"/>
    <w:rsid w:val="00961ADA"/>
    <w:rsid w:val="009625CF"/>
    <w:rsid w:val="00962672"/>
    <w:rsid w:val="00962735"/>
    <w:rsid w:val="00962B2B"/>
    <w:rsid w:val="009631D7"/>
    <w:rsid w:val="009632B1"/>
    <w:rsid w:val="00963672"/>
    <w:rsid w:val="00963863"/>
    <w:rsid w:val="009638D3"/>
    <w:rsid w:val="0096459E"/>
    <w:rsid w:val="0096484B"/>
    <w:rsid w:val="00964F8D"/>
    <w:rsid w:val="00965261"/>
    <w:rsid w:val="00965B64"/>
    <w:rsid w:val="00966116"/>
    <w:rsid w:val="00966285"/>
    <w:rsid w:val="009666F4"/>
    <w:rsid w:val="00966728"/>
    <w:rsid w:val="0096684B"/>
    <w:rsid w:val="00966A29"/>
    <w:rsid w:val="00966F34"/>
    <w:rsid w:val="00967B03"/>
    <w:rsid w:val="00967F85"/>
    <w:rsid w:val="00972577"/>
    <w:rsid w:val="00972D6E"/>
    <w:rsid w:val="009730AE"/>
    <w:rsid w:val="009735B6"/>
    <w:rsid w:val="0097396E"/>
    <w:rsid w:val="009748CF"/>
    <w:rsid w:val="00974B56"/>
    <w:rsid w:val="00974BF5"/>
    <w:rsid w:val="00975547"/>
    <w:rsid w:val="0097596C"/>
    <w:rsid w:val="0097668B"/>
    <w:rsid w:val="00976900"/>
    <w:rsid w:val="00976A52"/>
    <w:rsid w:val="00980DAD"/>
    <w:rsid w:val="00981467"/>
    <w:rsid w:val="009819A4"/>
    <w:rsid w:val="00981AFD"/>
    <w:rsid w:val="00981BB4"/>
    <w:rsid w:val="0098270D"/>
    <w:rsid w:val="009832FC"/>
    <w:rsid w:val="009835D6"/>
    <w:rsid w:val="00983854"/>
    <w:rsid w:val="00984DA1"/>
    <w:rsid w:val="00985238"/>
    <w:rsid w:val="00985508"/>
    <w:rsid w:val="00985D6B"/>
    <w:rsid w:val="00986A0C"/>
    <w:rsid w:val="00986D74"/>
    <w:rsid w:val="00987398"/>
    <w:rsid w:val="00987857"/>
    <w:rsid w:val="00990847"/>
    <w:rsid w:val="009908AE"/>
    <w:rsid w:val="00990ECE"/>
    <w:rsid w:val="0099112F"/>
    <w:rsid w:val="00991ACA"/>
    <w:rsid w:val="00991BBD"/>
    <w:rsid w:val="00991F97"/>
    <w:rsid w:val="009921CF"/>
    <w:rsid w:val="009922B3"/>
    <w:rsid w:val="0099231E"/>
    <w:rsid w:val="00993E2A"/>
    <w:rsid w:val="00994535"/>
    <w:rsid w:val="0099467A"/>
    <w:rsid w:val="0099664F"/>
    <w:rsid w:val="009971FA"/>
    <w:rsid w:val="00997A34"/>
    <w:rsid w:val="00997DF4"/>
    <w:rsid w:val="009A07E8"/>
    <w:rsid w:val="009A132C"/>
    <w:rsid w:val="009A1967"/>
    <w:rsid w:val="009A20DF"/>
    <w:rsid w:val="009A24EE"/>
    <w:rsid w:val="009A2637"/>
    <w:rsid w:val="009A29E4"/>
    <w:rsid w:val="009A3781"/>
    <w:rsid w:val="009A418D"/>
    <w:rsid w:val="009A45D3"/>
    <w:rsid w:val="009A4BBA"/>
    <w:rsid w:val="009A5C48"/>
    <w:rsid w:val="009A5E9D"/>
    <w:rsid w:val="009A674C"/>
    <w:rsid w:val="009A72BD"/>
    <w:rsid w:val="009A7BD1"/>
    <w:rsid w:val="009B05DB"/>
    <w:rsid w:val="009B1142"/>
    <w:rsid w:val="009B1453"/>
    <w:rsid w:val="009B17D1"/>
    <w:rsid w:val="009B202A"/>
    <w:rsid w:val="009B2E84"/>
    <w:rsid w:val="009B393A"/>
    <w:rsid w:val="009B3B98"/>
    <w:rsid w:val="009B43B0"/>
    <w:rsid w:val="009B6042"/>
    <w:rsid w:val="009B6210"/>
    <w:rsid w:val="009B668D"/>
    <w:rsid w:val="009B694B"/>
    <w:rsid w:val="009B71B2"/>
    <w:rsid w:val="009B76B1"/>
    <w:rsid w:val="009B78CD"/>
    <w:rsid w:val="009B7B59"/>
    <w:rsid w:val="009C034F"/>
    <w:rsid w:val="009C0C9C"/>
    <w:rsid w:val="009C0E59"/>
    <w:rsid w:val="009C1247"/>
    <w:rsid w:val="009C1907"/>
    <w:rsid w:val="009C1948"/>
    <w:rsid w:val="009C1C3A"/>
    <w:rsid w:val="009C368F"/>
    <w:rsid w:val="009C3919"/>
    <w:rsid w:val="009C3944"/>
    <w:rsid w:val="009C3B22"/>
    <w:rsid w:val="009C4478"/>
    <w:rsid w:val="009C4927"/>
    <w:rsid w:val="009C493C"/>
    <w:rsid w:val="009C49FD"/>
    <w:rsid w:val="009C4CFF"/>
    <w:rsid w:val="009C5217"/>
    <w:rsid w:val="009C529C"/>
    <w:rsid w:val="009C5444"/>
    <w:rsid w:val="009C5718"/>
    <w:rsid w:val="009C5E67"/>
    <w:rsid w:val="009C6AEE"/>
    <w:rsid w:val="009C6F11"/>
    <w:rsid w:val="009C7515"/>
    <w:rsid w:val="009C77A2"/>
    <w:rsid w:val="009D05E9"/>
    <w:rsid w:val="009D08D5"/>
    <w:rsid w:val="009D44F8"/>
    <w:rsid w:val="009D5D6C"/>
    <w:rsid w:val="009D65EB"/>
    <w:rsid w:val="009D6975"/>
    <w:rsid w:val="009D7388"/>
    <w:rsid w:val="009D74AD"/>
    <w:rsid w:val="009E067D"/>
    <w:rsid w:val="009E07DD"/>
    <w:rsid w:val="009E0BB5"/>
    <w:rsid w:val="009E1B2F"/>
    <w:rsid w:val="009E1CDD"/>
    <w:rsid w:val="009E21F2"/>
    <w:rsid w:val="009E2546"/>
    <w:rsid w:val="009E2C19"/>
    <w:rsid w:val="009E37C7"/>
    <w:rsid w:val="009E3BDD"/>
    <w:rsid w:val="009E4F4B"/>
    <w:rsid w:val="009E4F5C"/>
    <w:rsid w:val="009E51CD"/>
    <w:rsid w:val="009E579D"/>
    <w:rsid w:val="009E580C"/>
    <w:rsid w:val="009E61A6"/>
    <w:rsid w:val="009E6C0E"/>
    <w:rsid w:val="009E71A0"/>
    <w:rsid w:val="009E7617"/>
    <w:rsid w:val="009E7B50"/>
    <w:rsid w:val="009F01C0"/>
    <w:rsid w:val="009F0BB7"/>
    <w:rsid w:val="009F2687"/>
    <w:rsid w:val="009F300C"/>
    <w:rsid w:val="009F3BB2"/>
    <w:rsid w:val="009F419F"/>
    <w:rsid w:val="009F43E5"/>
    <w:rsid w:val="009F50FC"/>
    <w:rsid w:val="009F557E"/>
    <w:rsid w:val="009F5FDD"/>
    <w:rsid w:val="009F6DE0"/>
    <w:rsid w:val="009F7940"/>
    <w:rsid w:val="00A00927"/>
    <w:rsid w:val="00A02569"/>
    <w:rsid w:val="00A02ADB"/>
    <w:rsid w:val="00A02F02"/>
    <w:rsid w:val="00A0347A"/>
    <w:rsid w:val="00A03816"/>
    <w:rsid w:val="00A03AF1"/>
    <w:rsid w:val="00A062DE"/>
    <w:rsid w:val="00A067BE"/>
    <w:rsid w:val="00A070E2"/>
    <w:rsid w:val="00A074BA"/>
    <w:rsid w:val="00A07D61"/>
    <w:rsid w:val="00A10197"/>
    <w:rsid w:val="00A1027C"/>
    <w:rsid w:val="00A105A7"/>
    <w:rsid w:val="00A106F1"/>
    <w:rsid w:val="00A1075B"/>
    <w:rsid w:val="00A11B49"/>
    <w:rsid w:val="00A11D78"/>
    <w:rsid w:val="00A120F5"/>
    <w:rsid w:val="00A12AA1"/>
    <w:rsid w:val="00A12AF1"/>
    <w:rsid w:val="00A134C7"/>
    <w:rsid w:val="00A1354C"/>
    <w:rsid w:val="00A14180"/>
    <w:rsid w:val="00A142C0"/>
    <w:rsid w:val="00A14CA6"/>
    <w:rsid w:val="00A15AA7"/>
    <w:rsid w:val="00A15B63"/>
    <w:rsid w:val="00A15C3E"/>
    <w:rsid w:val="00A160F8"/>
    <w:rsid w:val="00A165A7"/>
    <w:rsid w:val="00A167BB"/>
    <w:rsid w:val="00A16A1F"/>
    <w:rsid w:val="00A172F2"/>
    <w:rsid w:val="00A175A5"/>
    <w:rsid w:val="00A20667"/>
    <w:rsid w:val="00A22A0A"/>
    <w:rsid w:val="00A22A2B"/>
    <w:rsid w:val="00A23573"/>
    <w:rsid w:val="00A23791"/>
    <w:rsid w:val="00A2408B"/>
    <w:rsid w:val="00A24D0B"/>
    <w:rsid w:val="00A255AC"/>
    <w:rsid w:val="00A258EA"/>
    <w:rsid w:val="00A26286"/>
    <w:rsid w:val="00A26EA3"/>
    <w:rsid w:val="00A30816"/>
    <w:rsid w:val="00A30ECC"/>
    <w:rsid w:val="00A31155"/>
    <w:rsid w:val="00A313EB"/>
    <w:rsid w:val="00A31ACC"/>
    <w:rsid w:val="00A31CC1"/>
    <w:rsid w:val="00A32575"/>
    <w:rsid w:val="00A329A4"/>
    <w:rsid w:val="00A33337"/>
    <w:rsid w:val="00A333EC"/>
    <w:rsid w:val="00A33A9A"/>
    <w:rsid w:val="00A33E4C"/>
    <w:rsid w:val="00A33EA4"/>
    <w:rsid w:val="00A347A5"/>
    <w:rsid w:val="00A349F7"/>
    <w:rsid w:val="00A34B80"/>
    <w:rsid w:val="00A35CCA"/>
    <w:rsid w:val="00A3643D"/>
    <w:rsid w:val="00A36FDC"/>
    <w:rsid w:val="00A3778F"/>
    <w:rsid w:val="00A37948"/>
    <w:rsid w:val="00A37B01"/>
    <w:rsid w:val="00A438D1"/>
    <w:rsid w:val="00A43BB7"/>
    <w:rsid w:val="00A43EE9"/>
    <w:rsid w:val="00A44516"/>
    <w:rsid w:val="00A4558B"/>
    <w:rsid w:val="00A46BD3"/>
    <w:rsid w:val="00A46DD4"/>
    <w:rsid w:val="00A46F91"/>
    <w:rsid w:val="00A47FA1"/>
    <w:rsid w:val="00A50506"/>
    <w:rsid w:val="00A508B1"/>
    <w:rsid w:val="00A50A38"/>
    <w:rsid w:val="00A51CDA"/>
    <w:rsid w:val="00A51D0D"/>
    <w:rsid w:val="00A5270C"/>
    <w:rsid w:val="00A531E1"/>
    <w:rsid w:val="00A534C1"/>
    <w:rsid w:val="00A53E6D"/>
    <w:rsid w:val="00A547B1"/>
    <w:rsid w:val="00A54DB9"/>
    <w:rsid w:val="00A559E2"/>
    <w:rsid w:val="00A568EB"/>
    <w:rsid w:val="00A57C02"/>
    <w:rsid w:val="00A60254"/>
    <w:rsid w:val="00A60735"/>
    <w:rsid w:val="00A60D97"/>
    <w:rsid w:val="00A610C3"/>
    <w:rsid w:val="00A610FE"/>
    <w:rsid w:val="00A63098"/>
    <w:rsid w:val="00A64457"/>
    <w:rsid w:val="00A646F9"/>
    <w:rsid w:val="00A64E87"/>
    <w:rsid w:val="00A6538E"/>
    <w:rsid w:val="00A66C3D"/>
    <w:rsid w:val="00A66E39"/>
    <w:rsid w:val="00A66EC6"/>
    <w:rsid w:val="00A66ECD"/>
    <w:rsid w:val="00A671C1"/>
    <w:rsid w:val="00A67522"/>
    <w:rsid w:val="00A67C5C"/>
    <w:rsid w:val="00A704E1"/>
    <w:rsid w:val="00A70598"/>
    <w:rsid w:val="00A709D9"/>
    <w:rsid w:val="00A7221E"/>
    <w:rsid w:val="00A734E8"/>
    <w:rsid w:val="00A737BE"/>
    <w:rsid w:val="00A73C55"/>
    <w:rsid w:val="00A741E5"/>
    <w:rsid w:val="00A743C4"/>
    <w:rsid w:val="00A743FB"/>
    <w:rsid w:val="00A744CA"/>
    <w:rsid w:val="00A7458F"/>
    <w:rsid w:val="00A74AA1"/>
    <w:rsid w:val="00A74FDB"/>
    <w:rsid w:val="00A75F6C"/>
    <w:rsid w:val="00A761D8"/>
    <w:rsid w:val="00A76ACE"/>
    <w:rsid w:val="00A76C50"/>
    <w:rsid w:val="00A76C55"/>
    <w:rsid w:val="00A76F76"/>
    <w:rsid w:val="00A77645"/>
    <w:rsid w:val="00A77D0C"/>
    <w:rsid w:val="00A80ADF"/>
    <w:rsid w:val="00A80CF6"/>
    <w:rsid w:val="00A80EDE"/>
    <w:rsid w:val="00A8133B"/>
    <w:rsid w:val="00A81961"/>
    <w:rsid w:val="00A81E88"/>
    <w:rsid w:val="00A82E3F"/>
    <w:rsid w:val="00A832E3"/>
    <w:rsid w:val="00A84210"/>
    <w:rsid w:val="00A84844"/>
    <w:rsid w:val="00A84A3F"/>
    <w:rsid w:val="00A850DC"/>
    <w:rsid w:val="00A85C2C"/>
    <w:rsid w:val="00A85C44"/>
    <w:rsid w:val="00A86303"/>
    <w:rsid w:val="00A8695D"/>
    <w:rsid w:val="00A877DB"/>
    <w:rsid w:val="00A87B89"/>
    <w:rsid w:val="00A9012E"/>
    <w:rsid w:val="00A90321"/>
    <w:rsid w:val="00A90D2C"/>
    <w:rsid w:val="00A91ACB"/>
    <w:rsid w:val="00A91E4C"/>
    <w:rsid w:val="00A92882"/>
    <w:rsid w:val="00A92914"/>
    <w:rsid w:val="00A93613"/>
    <w:rsid w:val="00A9417B"/>
    <w:rsid w:val="00A9538F"/>
    <w:rsid w:val="00A96491"/>
    <w:rsid w:val="00A96AF5"/>
    <w:rsid w:val="00A97722"/>
    <w:rsid w:val="00A97B2D"/>
    <w:rsid w:val="00AA0702"/>
    <w:rsid w:val="00AA0CFE"/>
    <w:rsid w:val="00AA1AC6"/>
    <w:rsid w:val="00AA1F7F"/>
    <w:rsid w:val="00AA25A9"/>
    <w:rsid w:val="00AA2738"/>
    <w:rsid w:val="00AA2878"/>
    <w:rsid w:val="00AA28FF"/>
    <w:rsid w:val="00AA329A"/>
    <w:rsid w:val="00AA331E"/>
    <w:rsid w:val="00AA3347"/>
    <w:rsid w:val="00AA33ED"/>
    <w:rsid w:val="00AA4471"/>
    <w:rsid w:val="00AA47C2"/>
    <w:rsid w:val="00AA4B2C"/>
    <w:rsid w:val="00AA4BF1"/>
    <w:rsid w:val="00AA55EF"/>
    <w:rsid w:val="00AA5CDC"/>
    <w:rsid w:val="00AA6884"/>
    <w:rsid w:val="00AA74BD"/>
    <w:rsid w:val="00AA7941"/>
    <w:rsid w:val="00AA7B26"/>
    <w:rsid w:val="00AB004B"/>
    <w:rsid w:val="00AB090D"/>
    <w:rsid w:val="00AB0DC9"/>
    <w:rsid w:val="00AB23C7"/>
    <w:rsid w:val="00AB3C4D"/>
    <w:rsid w:val="00AB42FF"/>
    <w:rsid w:val="00AB46E5"/>
    <w:rsid w:val="00AB4813"/>
    <w:rsid w:val="00AB4958"/>
    <w:rsid w:val="00AB5387"/>
    <w:rsid w:val="00AB5AF5"/>
    <w:rsid w:val="00AB5AF8"/>
    <w:rsid w:val="00AB6248"/>
    <w:rsid w:val="00AB62E5"/>
    <w:rsid w:val="00AB7253"/>
    <w:rsid w:val="00AC011A"/>
    <w:rsid w:val="00AC0ECC"/>
    <w:rsid w:val="00AC1BB9"/>
    <w:rsid w:val="00AC1ECA"/>
    <w:rsid w:val="00AC2463"/>
    <w:rsid w:val="00AC24F7"/>
    <w:rsid w:val="00AC2F96"/>
    <w:rsid w:val="00AC45F4"/>
    <w:rsid w:val="00AC465D"/>
    <w:rsid w:val="00AC469A"/>
    <w:rsid w:val="00AC5865"/>
    <w:rsid w:val="00AC5C27"/>
    <w:rsid w:val="00AC7E4E"/>
    <w:rsid w:val="00AD0300"/>
    <w:rsid w:val="00AD121F"/>
    <w:rsid w:val="00AD155B"/>
    <w:rsid w:val="00AD17D2"/>
    <w:rsid w:val="00AD1B3D"/>
    <w:rsid w:val="00AD200E"/>
    <w:rsid w:val="00AD26EB"/>
    <w:rsid w:val="00AD2F62"/>
    <w:rsid w:val="00AD331A"/>
    <w:rsid w:val="00AD3AAA"/>
    <w:rsid w:val="00AD4C56"/>
    <w:rsid w:val="00AD4E1E"/>
    <w:rsid w:val="00AD58F8"/>
    <w:rsid w:val="00AD68D0"/>
    <w:rsid w:val="00AD6D04"/>
    <w:rsid w:val="00AD70EB"/>
    <w:rsid w:val="00AD73C6"/>
    <w:rsid w:val="00AE055A"/>
    <w:rsid w:val="00AE24DF"/>
    <w:rsid w:val="00AE2705"/>
    <w:rsid w:val="00AE3438"/>
    <w:rsid w:val="00AE55C3"/>
    <w:rsid w:val="00AE59DD"/>
    <w:rsid w:val="00AE5A99"/>
    <w:rsid w:val="00AE5CCC"/>
    <w:rsid w:val="00AE5CF2"/>
    <w:rsid w:val="00AE5D24"/>
    <w:rsid w:val="00AE681D"/>
    <w:rsid w:val="00AE6FA3"/>
    <w:rsid w:val="00AE70F6"/>
    <w:rsid w:val="00AE75D2"/>
    <w:rsid w:val="00AE77BA"/>
    <w:rsid w:val="00AF00E5"/>
    <w:rsid w:val="00AF0229"/>
    <w:rsid w:val="00AF1670"/>
    <w:rsid w:val="00AF1759"/>
    <w:rsid w:val="00AF26E2"/>
    <w:rsid w:val="00AF293B"/>
    <w:rsid w:val="00AF2D4D"/>
    <w:rsid w:val="00AF345E"/>
    <w:rsid w:val="00AF3BA1"/>
    <w:rsid w:val="00AF41F7"/>
    <w:rsid w:val="00AF4EEF"/>
    <w:rsid w:val="00AF52D7"/>
    <w:rsid w:val="00AF5483"/>
    <w:rsid w:val="00AF570B"/>
    <w:rsid w:val="00AF7619"/>
    <w:rsid w:val="00AF77DE"/>
    <w:rsid w:val="00B00F27"/>
    <w:rsid w:val="00B020A5"/>
    <w:rsid w:val="00B026BD"/>
    <w:rsid w:val="00B035A6"/>
    <w:rsid w:val="00B03BAC"/>
    <w:rsid w:val="00B03C77"/>
    <w:rsid w:val="00B03F3A"/>
    <w:rsid w:val="00B043BB"/>
    <w:rsid w:val="00B0450C"/>
    <w:rsid w:val="00B047BD"/>
    <w:rsid w:val="00B052E5"/>
    <w:rsid w:val="00B06543"/>
    <w:rsid w:val="00B06A20"/>
    <w:rsid w:val="00B06EF7"/>
    <w:rsid w:val="00B07F12"/>
    <w:rsid w:val="00B10605"/>
    <w:rsid w:val="00B1132C"/>
    <w:rsid w:val="00B1147F"/>
    <w:rsid w:val="00B11646"/>
    <w:rsid w:val="00B12743"/>
    <w:rsid w:val="00B12921"/>
    <w:rsid w:val="00B137C7"/>
    <w:rsid w:val="00B14049"/>
    <w:rsid w:val="00B145D0"/>
    <w:rsid w:val="00B14BD2"/>
    <w:rsid w:val="00B1544C"/>
    <w:rsid w:val="00B16537"/>
    <w:rsid w:val="00B16552"/>
    <w:rsid w:val="00B168E3"/>
    <w:rsid w:val="00B16F32"/>
    <w:rsid w:val="00B20111"/>
    <w:rsid w:val="00B2047E"/>
    <w:rsid w:val="00B2094E"/>
    <w:rsid w:val="00B20A42"/>
    <w:rsid w:val="00B20AB4"/>
    <w:rsid w:val="00B2147E"/>
    <w:rsid w:val="00B22067"/>
    <w:rsid w:val="00B2314D"/>
    <w:rsid w:val="00B237C0"/>
    <w:rsid w:val="00B23B30"/>
    <w:rsid w:val="00B23B60"/>
    <w:rsid w:val="00B242BB"/>
    <w:rsid w:val="00B24928"/>
    <w:rsid w:val="00B24F9A"/>
    <w:rsid w:val="00B25442"/>
    <w:rsid w:val="00B25651"/>
    <w:rsid w:val="00B27D70"/>
    <w:rsid w:val="00B30277"/>
    <w:rsid w:val="00B30720"/>
    <w:rsid w:val="00B308F4"/>
    <w:rsid w:val="00B30C5E"/>
    <w:rsid w:val="00B318F1"/>
    <w:rsid w:val="00B31DD9"/>
    <w:rsid w:val="00B3300E"/>
    <w:rsid w:val="00B3396F"/>
    <w:rsid w:val="00B342C5"/>
    <w:rsid w:val="00B34BCA"/>
    <w:rsid w:val="00B352A8"/>
    <w:rsid w:val="00B357E1"/>
    <w:rsid w:val="00B358F7"/>
    <w:rsid w:val="00B3594F"/>
    <w:rsid w:val="00B3595D"/>
    <w:rsid w:val="00B3597F"/>
    <w:rsid w:val="00B36171"/>
    <w:rsid w:val="00B36320"/>
    <w:rsid w:val="00B377E7"/>
    <w:rsid w:val="00B40430"/>
    <w:rsid w:val="00B41DA1"/>
    <w:rsid w:val="00B422C6"/>
    <w:rsid w:val="00B42825"/>
    <w:rsid w:val="00B42B11"/>
    <w:rsid w:val="00B43084"/>
    <w:rsid w:val="00B431E7"/>
    <w:rsid w:val="00B4397B"/>
    <w:rsid w:val="00B4415C"/>
    <w:rsid w:val="00B444E9"/>
    <w:rsid w:val="00B44B67"/>
    <w:rsid w:val="00B44F06"/>
    <w:rsid w:val="00B468B7"/>
    <w:rsid w:val="00B46AA0"/>
    <w:rsid w:val="00B46BD9"/>
    <w:rsid w:val="00B4707B"/>
    <w:rsid w:val="00B4740A"/>
    <w:rsid w:val="00B47625"/>
    <w:rsid w:val="00B47D9E"/>
    <w:rsid w:val="00B5020C"/>
    <w:rsid w:val="00B50C29"/>
    <w:rsid w:val="00B50D6A"/>
    <w:rsid w:val="00B50E0D"/>
    <w:rsid w:val="00B51993"/>
    <w:rsid w:val="00B52789"/>
    <w:rsid w:val="00B527F1"/>
    <w:rsid w:val="00B52B6A"/>
    <w:rsid w:val="00B53083"/>
    <w:rsid w:val="00B53764"/>
    <w:rsid w:val="00B53907"/>
    <w:rsid w:val="00B539BB"/>
    <w:rsid w:val="00B53B00"/>
    <w:rsid w:val="00B53D04"/>
    <w:rsid w:val="00B53F85"/>
    <w:rsid w:val="00B554ED"/>
    <w:rsid w:val="00B558A4"/>
    <w:rsid w:val="00B55BB8"/>
    <w:rsid w:val="00B56194"/>
    <w:rsid w:val="00B5627E"/>
    <w:rsid w:val="00B574E3"/>
    <w:rsid w:val="00B60091"/>
    <w:rsid w:val="00B6056E"/>
    <w:rsid w:val="00B60C3A"/>
    <w:rsid w:val="00B60CDC"/>
    <w:rsid w:val="00B60D3B"/>
    <w:rsid w:val="00B61240"/>
    <w:rsid w:val="00B61651"/>
    <w:rsid w:val="00B62296"/>
    <w:rsid w:val="00B62A13"/>
    <w:rsid w:val="00B63112"/>
    <w:rsid w:val="00B63F7E"/>
    <w:rsid w:val="00B64016"/>
    <w:rsid w:val="00B640CF"/>
    <w:rsid w:val="00B647C5"/>
    <w:rsid w:val="00B64AD9"/>
    <w:rsid w:val="00B64B09"/>
    <w:rsid w:val="00B66133"/>
    <w:rsid w:val="00B66E31"/>
    <w:rsid w:val="00B67096"/>
    <w:rsid w:val="00B671B2"/>
    <w:rsid w:val="00B676F2"/>
    <w:rsid w:val="00B676F3"/>
    <w:rsid w:val="00B6771A"/>
    <w:rsid w:val="00B67E30"/>
    <w:rsid w:val="00B70D4A"/>
    <w:rsid w:val="00B70FF2"/>
    <w:rsid w:val="00B7267D"/>
    <w:rsid w:val="00B72BEF"/>
    <w:rsid w:val="00B72EEA"/>
    <w:rsid w:val="00B73093"/>
    <w:rsid w:val="00B73AB8"/>
    <w:rsid w:val="00B73C82"/>
    <w:rsid w:val="00B73E67"/>
    <w:rsid w:val="00B73F1F"/>
    <w:rsid w:val="00B73F57"/>
    <w:rsid w:val="00B74D31"/>
    <w:rsid w:val="00B753AC"/>
    <w:rsid w:val="00B75937"/>
    <w:rsid w:val="00B75B16"/>
    <w:rsid w:val="00B767C5"/>
    <w:rsid w:val="00B77AFE"/>
    <w:rsid w:val="00B803E3"/>
    <w:rsid w:val="00B81158"/>
    <w:rsid w:val="00B8154B"/>
    <w:rsid w:val="00B819D3"/>
    <w:rsid w:val="00B82217"/>
    <w:rsid w:val="00B82CA3"/>
    <w:rsid w:val="00B82D62"/>
    <w:rsid w:val="00B83067"/>
    <w:rsid w:val="00B83095"/>
    <w:rsid w:val="00B83129"/>
    <w:rsid w:val="00B8340F"/>
    <w:rsid w:val="00B8389C"/>
    <w:rsid w:val="00B83B1C"/>
    <w:rsid w:val="00B847BE"/>
    <w:rsid w:val="00B847D3"/>
    <w:rsid w:val="00B84B55"/>
    <w:rsid w:val="00B84DB3"/>
    <w:rsid w:val="00B853DA"/>
    <w:rsid w:val="00B85C55"/>
    <w:rsid w:val="00B860D3"/>
    <w:rsid w:val="00B861C7"/>
    <w:rsid w:val="00B86264"/>
    <w:rsid w:val="00B862BC"/>
    <w:rsid w:val="00B867BB"/>
    <w:rsid w:val="00B867EF"/>
    <w:rsid w:val="00B875A2"/>
    <w:rsid w:val="00B875BC"/>
    <w:rsid w:val="00B879A9"/>
    <w:rsid w:val="00B87B3D"/>
    <w:rsid w:val="00B90274"/>
    <w:rsid w:val="00B90300"/>
    <w:rsid w:val="00B912E9"/>
    <w:rsid w:val="00B91979"/>
    <w:rsid w:val="00B91DFA"/>
    <w:rsid w:val="00B91FA9"/>
    <w:rsid w:val="00B92A2B"/>
    <w:rsid w:val="00B92B74"/>
    <w:rsid w:val="00B92C5D"/>
    <w:rsid w:val="00B93C92"/>
    <w:rsid w:val="00B93CCB"/>
    <w:rsid w:val="00B94085"/>
    <w:rsid w:val="00B94209"/>
    <w:rsid w:val="00B94E85"/>
    <w:rsid w:val="00B9526F"/>
    <w:rsid w:val="00B96183"/>
    <w:rsid w:val="00B96189"/>
    <w:rsid w:val="00B96796"/>
    <w:rsid w:val="00B96D34"/>
    <w:rsid w:val="00B97A90"/>
    <w:rsid w:val="00B97C4D"/>
    <w:rsid w:val="00B97EA0"/>
    <w:rsid w:val="00BA03E8"/>
    <w:rsid w:val="00BA0B02"/>
    <w:rsid w:val="00BA1267"/>
    <w:rsid w:val="00BA159A"/>
    <w:rsid w:val="00BA1820"/>
    <w:rsid w:val="00BA1DA0"/>
    <w:rsid w:val="00BA1EBB"/>
    <w:rsid w:val="00BA1FAE"/>
    <w:rsid w:val="00BA2487"/>
    <w:rsid w:val="00BA2EC4"/>
    <w:rsid w:val="00BA38F4"/>
    <w:rsid w:val="00BA3936"/>
    <w:rsid w:val="00BA58F6"/>
    <w:rsid w:val="00BA5FC1"/>
    <w:rsid w:val="00BA7DE6"/>
    <w:rsid w:val="00BA7DF3"/>
    <w:rsid w:val="00BB13E9"/>
    <w:rsid w:val="00BB163B"/>
    <w:rsid w:val="00BB1BF7"/>
    <w:rsid w:val="00BB1F3F"/>
    <w:rsid w:val="00BB213F"/>
    <w:rsid w:val="00BB2314"/>
    <w:rsid w:val="00BB24B7"/>
    <w:rsid w:val="00BB2A70"/>
    <w:rsid w:val="00BB2DC2"/>
    <w:rsid w:val="00BB379D"/>
    <w:rsid w:val="00BB3FF0"/>
    <w:rsid w:val="00BB4099"/>
    <w:rsid w:val="00BB4268"/>
    <w:rsid w:val="00BB4A2C"/>
    <w:rsid w:val="00BB4D8D"/>
    <w:rsid w:val="00BB4E55"/>
    <w:rsid w:val="00BB5A92"/>
    <w:rsid w:val="00BC0CEF"/>
    <w:rsid w:val="00BC1D8A"/>
    <w:rsid w:val="00BC212F"/>
    <w:rsid w:val="00BC2477"/>
    <w:rsid w:val="00BC24BC"/>
    <w:rsid w:val="00BC39AE"/>
    <w:rsid w:val="00BC3F94"/>
    <w:rsid w:val="00BC45C5"/>
    <w:rsid w:val="00BC5680"/>
    <w:rsid w:val="00BC5FD0"/>
    <w:rsid w:val="00BC6EDA"/>
    <w:rsid w:val="00BC7498"/>
    <w:rsid w:val="00BC7963"/>
    <w:rsid w:val="00BC7DF6"/>
    <w:rsid w:val="00BD0E6A"/>
    <w:rsid w:val="00BD14FB"/>
    <w:rsid w:val="00BD251D"/>
    <w:rsid w:val="00BD2DDF"/>
    <w:rsid w:val="00BD2E5A"/>
    <w:rsid w:val="00BD377F"/>
    <w:rsid w:val="00BD402D"/>
    <w:rsid w:val="00BD49C5"/>
    <w:rsid w:val="00BD4A1E"/>
    <w:rsid w:val="00BD4D99"/>
    <w:rsid w:val="00BD567E"/>
    <w:rsid w:val="00BD5E3E"/>
    <w:rsid w:val="00BD6E8C"/>
    <w:rsid w:val="00BE05A0"/>
    <w:rsid w:val="00BE33F0"/>
    <w:rsid w:val="00BE34E4"/>
    <w:rsid w:val="00BE3A75"/>
    <w:rsid w:val="00BE3D94"/>
    <w:rsid w:val="00BE5849"/>
    <w:rsid w:val="00BE5EF3"/>
    <w:rsid w:val="00BE7C53"/>
    <w:rsid w:val="00BF0295"/>
    <w:rsid w:val="00BF1565"/>
    <w:rsid w:val="00BF255B"/>
    <w:rsid w:val="00BF289F"/>
    <w:rsid w:val="00BF3066"/>
    <w:rsid w:val="00BF354B"/>
    <w:rsid w:val="00BF3E89"/>
    <w:rsid w:val="00BF4B20"/>
    <w:rsid w:val="00BF594E"/>
    <w:rsid w:val="00BF5B7C"/>
    <w:rsid w:val="00BF6014"/>
    <w:rsid w:val="00BF603C"/>
    <w:rsid w:val="00BF6227"/>
    <w:rsid w:val="00BF654B"/>
    <w:rsid w:val="00BF6D1A"/>
    <w:rsid w:val="00BF780B"/>
    <w:rsid w:val="00BF7D10"/>
    <w:rsid w:val="00BF7DB6"/>
    <w:rsid w:val="00C00364"/>
    <w:rsid w:val="00C00A32"/>
    <w:rsid w:val="00C01329"/>
    <w:rsid w:val="00C01484"/>
    <w:rsid w:val="00C016B4"/>
    <w:rsid w:val="00C01FDD"/>
    <w:rsid w:val="00C02368"/>
    <w:rsid w:val="00C02BA5"/>
    <w:rsid w:val="00C03047"/>
    <w:rsid w:val="00C03327"/>
    <w:rsid w:val="00C03739"/>
    <w:rsid w:val="00C03943"/>
    <w:rsid w:val="00C040B1"/>
    <w:rsid w:val="00C049A9"/>
    <w:rsid w:val="00C04F96"/>
    <w:rsid w:val="00C05256"/>
    <w:rsid w:val="00C0567E"/>
    <w:rsid w:val="00C0724B"/>
    <w:rsid w:val="00C07476"/>
    <w:rsid w:val="00C07FF5"/>
    <w:rsid w:val="00C10BE7"/>
    <w:rsid w:val="00C10DE9"/>
    <w:rsid w:val="00C11078"/>
    <w:rsid w:val="00C11489"/>
    <w:rsid w:val="00C11BA7"/>
    <w:rsid w:val="00C11CD6"/>
    <w:rsid w:val="00C1236E"/>
    <w:rsid w:val="00C12723"/>
    <w:rsid w:val="00C14DD2"/>
    <w:rsid w:val="00C14E08"/>
    <w:rsid w:val="00C14EBF"/>
    <w:rsid w:val="00C15347"/>
    <w:rsid w:val="00C1534B"/>
    <w:rsid w:val="00C15948"/>
    <w:rsid w:val="00C15A7B"/>
    <w:rsid w:val="00C15D37"/>
    <w:rsid w:val="00C161D4"/>
    <w:rsid w:val="00C1642E"/>
    <w:rsid w:val="00C17771"/>
    <w:rsid w:val="00C179F5"/>
    <w:rsid w:val="00C17E6A"/>
    <w:rsid w:val="00C17E81"/>
    <w:rsid w:val="00C20258"/>
    <w:rsid w:val="00C21130"/>
    <w:rsid w:val="00C2117A"/>
    <w:rsid w:val="00C21242"/>
    <w:rsid w:val="00C214BA"/>
    <w:rsid w:val="00C2321E"/>
    <w:rsid w:val="00C23581"/>
    <w:rsid w:val="00C23B05"/>
    <w:rsid w:val="00C23DD7"/>
    <w:rsid w:val="00C24891"/>
    <w:rsid w:val="00C24FC5"/>
    <w:rsid w:val="00C25C9B"/>
    <w:rsid w:val="00C2725D"/>
    <w:rsid w:val="00C2792E"/>
    <w:rsid w:val="00C305CF"/>
    <w:rsid w:val="00C306AC"/>
    <w:rsid w:val="00C308C3"/>
    <w:rsid w:val="00C312AA"/>
    <w:rsid w:val="00C31575"/>
    <w:rsid w:val="00C31C97"/>
    <w:rsid w:val="00C31D9B"/>
    <w:rsid w:val="00C32120"/>
    <w:rsid w:val="00C32518"/>
    <w:rsid w:val="00C3254A"/>
    <w:rsid w:val="00C32EE8"/>
    <w:rsid w:val="00C32F1C"/>
    <w:rsid w:val="00C3421C"/>
    <w:rsid w:val="00C3423A"/>
    <w:rsid w:val="00C34E00"/>
    <w:rsid w:val="00C35245"/>
    <w:rsid w:val="00C35799"/>
    <w:rsid w:val="00C357EB"/>
    <w:rsid w:val="00C361FD"/>
    <w:rsid w:val="00C365F2"/>
    <w:rsid w:val="00C36E02"/>
    <w:rsid w:val="00C36F53"/>
    <w:rsid w:val="00C371F4"/>
    <w:rsid w:val="00C379AA"/>
    <w:rsid w:val="00C405AD"/>
    <w:rsid w:val="00C407B8"/>
    <w:rsid w:val="00C40D93"/>
    <w:rsid w:val="00C422F3"/>
    <w:rsid w:val="00C427B6"/>
    <w:rsid w:val="00C42AD2"/>
    <w:rsid w:val="00C42DE0"/>
    <w:rsid w:val="00C4318A"/>
    <w:rsid w:val="00C43AC2"/>
    <w:rsid w:val="00C43FEE"/>
    <w:rsid w:val="00C46C49"/>
    <w:rsid w:val="00C46C7F"/>
    <w:rsid w:val="00C50272"/>
    <w:rsid w:val="00C50428"/>
    <w:rsid w:val="00C506D6"/>
    <w:rsid w:val="00C50D01"/>
    <w:rsid w:val="00C518B3"/>
    <w:rsid w:val="00C5209F"/>
    <w:rsid w:val="00C52ED9"/>
    <w:rsid w:val="00C53441"/>
    <w:rsid w:val="00C5363A"/>
    <w:rsid w:val="00C53A93"/>
    <w:rsid w:val="00C54167"/>
    <w:rsid w:val="00C54893"/>
    <w:rsid w:val="00C55A7B"/>
    <w:rsid w:val="00C562F9"/>
    <w:rsid w:val="00C567D3"/>
    <w:rsid w:val="00C56819"/>
    <w:rsid w:val="00C56CA2"/>
    <w:rsid w:val="00C57313"/>
    <w:rsid w:val="00C57B79"/>
    <w:rsid w:val="00C60DBC"/>
    <w:rsid w:val="00C615FD"/>
    <w:rsid w:val="00C61CC4"/>
    <w:rsid w:val="00C625D0"/>
    <w:rsid w:val="00C62A9A"/>
    <w:rsid w:val="00C65235"/>
    <w:rsid w:val="00C65672"/>
    <w:rsid w:val="00C656E2"/>
    <w:rsid w:val="00C659E5"/>
    <w:rsid w:val="00C65CEA"/>
    <w:rsid w:val="00C66732"/>
    <w:rsid w:val="00C673E0"/>
    <w:rsid w:val="00C67469"/>
    <w:rsid w:val="00C677CA"/>
    <w:rsid w:val="00C677E4"/>
    <w:rsid w:val="00C67ECC"/>
    <w:rsid w:val="00C708FC"/>
    <w:rsid w:val="00C71241"/>
    <w:rsid w:val="00C714F7"/>
    <w:rsid w:val="00C718F8"/>
    <w:rsid w:val="00C721CC"/>
    <w:rsid w:val="00C722E3"/>
    <w:rsid w:val="00C72E04"/>
    <w:rsid w:val="00C732AD"/>
    <w:rsid w:val="00C7466E"/>
    <w:rsid w:val="00C75F52"/>
    <w:rsid w:val="00C76D19"/>
    <w:rsid w:val="00C76E49"/>
    <w:rsid w:val="00C7706E"/>
    <w:rsid w:val="00C77908"/>
    <w:rsid w:val="00C77DA9"/>
    <w:rsid w:val="00C80355"/>
    <w:rsid w:val="00C8067C"/>
    <w:rsid w:val="00C809AA"/>
    <w:rsid w:val="00C8303D"/>
    <w:rsid w:val="00C837AB"/>
    <w:rsid w:val="00C837BD"/>
    <w:rsid w:val="00C8396D"/>
    <w:rsid w:val="00C84F0D"/>
    <w:rsid w:val="00C853A0"/>
    <w:rsid w:val="00C87478"/>
    <w:rsid w:val="00C875F6"/>
    <w:rsid w:val="00C87C45"/>
    <w:rsid w:val="00C91DE7"/>
    <w:rsid w:val="00C92A0B"/>
    <w:rsid w:val="00C93A71"/>
    <w:rsid w:val="00C93AE0"/>
    <w:rsid w:val="00C93F4A"/>
    <w:rsid w:val="00C948CD"/>
    <w:rsid w:val="00C95C23"/>
    <w:rsid w:val="00C95D72"/>
    <w:rsid w:val="00C95E44"/>
    <w:rsid w:val="00C9644D"/>
    <w:rsid w:val="00C96AF3"/>
    <w:rsid w:val="00C96F10"/>
    <w:rsid w:val="00C977A4"/>
    <w:rsid w:val="00CA0209"/>
    <w:rsid w:val="00CA0821"/>
    <w:rsid w:val="00CA08C2"/>
    <w:rsid w:val="00CA1804"/>
    <w:rsid w:val="00CA19FB"/>
    <w:rsid w:val="00CA3FF1"/>
    <w:rsid w:val="00CA4060"/>
    <w:rsid w:val="00CA4494"/>
    <w:rsid w:val="00CA482A"/>
    <w:rsid w:val="00CA4E0C"/>
    <w:rsid w:val="00CA5530"/>
    <w:rsid w:val="00CA5B3E"/>
    <w:rsid w:val="00CA5DEA"/>
    <w:rsid w:val="00CA5F89"/>
    <w:rsid w:val="00CA603E"/>
    <w:rsid w:val="00CA61EF"/>
    <w:rsid w:val="00CA640E"/>
    <w:rsid w:val="00CA667D"/>
    <w:rsid w:val="00CA7043"/>
    <w:rsid w:val="00CA72AE"/>
    <w:rsid w:val="00CB00FB"/>
    <w:rsid w:val="00CB0A85"/>
    <w:rsid w:val="00CB1752"/>
    <w:rsid w:val="00CB2828"/>
    <w:rsid w:val="00CB2DC7"/>
    <w:rsid w:val="00CB3F93"/>
    <w:rsid w:val="00CB5182"/>
    <w:rsid w:val="00CB53AE"/>
    <w:rsid w:val="00CB55A6"/>
    <w:rsid w:val="00CB589F"/>
    <w:rsid w:val="00CB78CC"/>
    <w:rsid w:val="00CC0A49"/>
    <w:rsid w:val="00CC0CF3"/>
    <w:rsid w:val="00CC0E8F"/>
    <w:rsid w:val="00CC12FF"/>
    <w:rsid w:val="00CC266D"/>
    <w:rsid w:val="00CC33BA"/>
    <w:rsid w:val="00CC456E"/>
    <w:rsid w:val="00CC4B72"/>
    <w:rsid w:val="00CC5915"/>
    <w:rsid w:val="00CC597E"/>
    <w:rsid w:val="00CC6848"/>
    <w:rsid w:val="00CC6B05"/>
    <w:rsid w:val="00CC7223"/>
    <w:rsid w:val="00CD0015"/>
    <w:rsid w:val="00CD0437"/>
    <w:rsid w:val="00CD06D5"/>
    <w:rsid w:val="00CD1397"/>
    <w:rsid w:val="00CD1D69"/>
    <w:rsid w:val="00CD31E4"/>
    <w:rsid w:val="00CD34FC"/>
    <w:rsid w:val="00CD3931"/>
    <w:rsid w:val="00CD3DFE"/>
    <w:rsid w:val="00CD42F5"/>
    <w:rsid w:val="00CD5496"/>
    <w:rsid w:val="00CD5770"/>
    <w:rsid w:val="00CD5871"/>
    <w:rsid w:val="00CD6124"/>
    <w:rsid w:val="00CD6337"/>
    <w:rsid w:val="00CD71A2"/>
    <w:rsid w:val="00CE2A5E"/>
    <w:rsid w:val="00CE3039"/>
    <w:rsid w:val="00CE34E1"/>
    <w:rsid w:val="00CE377E"/>
    <w:rsid w:val="00CE3F4E"/>
    <w:rsid w:val="00CE4580"/>
    <w:rsid w:val="00CE547C"/>
    <w:rsid w:val="00CE5951"/>
    <w:rsid w:val="00CE6C61"/>
    <w:rsid w:val="00CE7B93"/>
    <w:rsid w:val="00CE7C0B"/>
    <w:rsid w:val="00CE7E29"/>
    <w:rsid w:val="00CF016F"/>
    <w:rsid w:val="00CF0261"/>
    <w:rsid w:val="00CF04AE"/>
    <w:rsid w:val="00CF0B68"/>
    <w:rsid w:val="00CF0CBD"/>
    <w:rsid w:val="00CF207C"/>
    <w:rsid w:val="00CF2FBC"/>
    <w:rsid w:val="00CF379E"/>
    <w:rsid w:val="00CF38A8"/>
    <w:rsid w:val="00CF3C8D"/>
    <w:rsid w:val="00CF444C"/>
    <w:rsid w:val="00CF4721"/>
    <w:rsid w:val="00CF483A"/>
    <w:rsid w:val="00CF4BC5"/>
    <w:rsid w:val="00CF4C86"/>
    <w:rsid w:val="00CF4F17"/>
    <w:rsid w:val="00CF5043"/>
    <w:rsid w:val="00CF643A"/>
    <w:rsid w:val="00CF6CD7"/>
    <w:rsid w:val="00CF6E26"/>
    <w:rsid w:val="00CF6EDA"/>
    <w:rsid w:val="00CF707F"/>
    <w:rsid w:val="00CF71B3"/>
    <w:rsid w:val="00CF74ED"/>
    <w:rsid w:val="00CF7758"/>
    <w:rsid w:val="00CF7C28"/>
    <w:rsid w:val="00CF7C96"/>
    <w:rsid w:val="00D0014D"/>
    <w:rsid w:val="00D0029A"/>
    <w:rsid w:val="00D00CE2"/>
    <w:rsid w:val="00D02126"/>
    <w:rsid w:val="00D03068"/>
    <w:rsid w:val="00D03711"/>
    <w:rsid w:val="00D045D2"/>
    <w:rsid w:val="00D046CB"/>
    <w:rsid w:val="00D04E1E"/>
    <w:rsid w:val="00D04F25"/>
    <w:rsid w:val="00D04F2B"/>
    <w:rsid w:val="00D05E7E"/>
    <w:rsid w:val="00D06990"/>
    <w:rsid w:val="00D06BD8"/>
    <w:rsid w:val="00D06F56"/>
    <w:rsid w:val="00D0709A"/>
    <w:rsid w:val="00D0751A"/>
    <w:rsid w:val="00D0790D"/>
    <w:rsid w:val="00D07F66"/>
    <w:rsid w:val="00D107E4"/>
    <w:rsid w:val="00D116F3"/>
    <w:rsid w:val="00D11AE9"/>
    <w:rsid w:val="00D11F1B"/>
    <w:rsid w:val="00D12334"/>
    <w:rsid w:val="00D12449"/>
    <w:rsid w:val="00D12EF8"/>
    <w:rsid w:val="00D15186"/>
    <w:rsid w:val="00D16532"/>
    <w:rsid w:val="00D17453"/>
    <w:rsid w:val="00D1749D"/>
    <w:rsid w:val="00D174C5"/>
    <w:rsid w:val="00D2040B"/>
    <w:rsid w:val="00D2077B"/>
    <w:rsid w:val="00D20871"/>
    <w:rsid w:val="00D20E09"/>
    <w:rsid w:val="00D2128B"/>
    <w:rsid w:val="00D2229C"/>
    <w:rsid w:val="00D22428"/>
    <w:rsid w:val="00D2269B"/>
    <w:rsid w:val="00D2385D"/>
    <w:rsid w:val="00D239E2"/>
    <w:rsid w:val="00D23C4E"/>
    <w:rsid w:val="00D23D5D"/>
    <w:rsid w:val="00D24EF0"/>
    <w:rsid w:val="00D251BD"/>
    <w:rsid w:val="00D25AAF"/>
    <w:rsid w:val="00D25CB9"/>
    <w:rsid w:val="00D26274"/>
    <w:rsid w:val="00D26447"/>
    <w:rsid w:val="00D26A73"/>
    <w:rsid w:val="00D26D1D"/>
    <w:rsid w:val="00D26F2D"/>
    <w:rsid w:val="00D274B3"/>
    <w:rsid w:val="00D2770F"/>
    <w:rsid w:val="00D27F3A"/>
    <w:rsid w:val="00D30473"/>
    <w:rsid w:val="00D30E7F"/>
    <w:rsid w:val="00D310E1"/>
    <w:rsid w:val="00D31A7B"/>
    <w:rsid w:val="00D31CFB"/>
    <w:rsid w:val="00D3226F"/>
    <w:rsid w:val="00D32BF9"/>
    <w:rsid w:val="00D33512"/>
    <w:rsid w:val="00D33DD3"/>
    <w:rsid w:val="00D33F3A"/>
    <w:rsid w:val="00D340E3"/>
    <w:rsid w:val="00D34272"/>
    <w:rsid w:val="00D3448B"/>
    <w:rsid w:val="00D345C4"/>
    <w:rsid w:val="00D349D3"/>
    <w:rsid w:val="00D35725"/>
    <w:rsid w:val="00D35844"/>
    <w:rsid w:val="00D359AE"/>
    <w:rsid w:val="00D36012"/>
    <w:rsid w:val="00D36981"/>
    <w:rsid w:val="00D36DD0"/>
    <w:rsid w:val="00D375B3"/>
    <w:rsid w:val="00D377A2"/>
    <w:rsid w:val="00D406C5"/>
    <w:rsid w:val="00D4092A"/>
    <w:rsid w:val="00D411E4"/>
    <w:rsid w:val="00D41AEA"/>
    <w:rsid w:val="00D4241A"/>
    <w:rsid w:val="00D42507"/>
    <w:rsid w:val="00D427CE"/>
    <w:rsid w:val="00D42A31"/>
    <w:rsid w:val="00D42B23"/>
    <w:rsid w:val="00D42DE3"/>
    <w:rsid w:val="00D42FD6"/>
    <w:rsid w:val="00D42FDE"/>
    <w:rsid w:val="00D434DD"/>
    <w:rsid w:val="00D44008"/>
    <w:rsid w:val="00D44954"/>
    <w:rsid w:val="00D44C4C"/>
    <w:rsid w:val="00D44FDA"/>
    <w:rsid w:val="00D45ED4"/>
    <w:rsid w:val="00D46DBF"/>
    <w:rsid w:val="00D46FDC"/>
    <w:rsid w:val="00D46FEE"/>
    <w:rsid w:val="00D47344"/>
    <w:rsid w:val="00D47487"/>
    <w:rsid w:val="00D4753D"/>
    <w:rsid w:val="00D47B3B"/>
    <w:rsid w:val="00D50518"/>
    <w:rsid w:val="00D50525"/>
    <w:rsid w:val="00D51F84"/>
    <w:rsid w:val="00D521E0"/>
    <w:rsid w:val="00D52371"/>
    <w:rsid w:val="00D52C95"/>
    <w:rsid w:val="00D530E7"/>
    <w:rsid w:val="00D53293"/>
    <w:rsid w:val="00D537C9"/>
    <w:rsid w:val="00D53C1B"/>
    <w:rsid w:val="00D5445D"/>
    <w:rsid w:val="00D548C2"/>
    <w:rsid w:val="00D54B3D"/>
    <w:rsid w:val="00D54EA6"/>
    <w:rsid w:val="00D554B6"/>
    <w:rsid w:val="00D5567A"/>
    <w:rsid w:val="00D56B17"/>
    <w:rsid w:val="00D56BF7"/>
    <w:rsid w:val="00D60518"/>
    <w:rsid w:val="00D60F7B"/>
    <w:rsid w:val="00D618F8"/>
    <w:rsid w:val="00D61AD3"/>
    <w:rsid w:val="00D6217D"/>
    <w:rsid w:val="00D6228E"/>
    <w:rsid w:val="00D622D7"/>
    <w:rsid w:val="00D62541"/>
    <w:rsid w:val="00D6270F"/>
    <w:rsid w:val="00D628CE"/>
    <w:rsid w:val="00D62CB3"/>
    <w:rsid w:val="00D6407C"/>
    <w:rsid w:val="00D64160"/>
    <w:rsid w:val="00D6459F"/>
    <w:rsid w:val="00D6492F"/>
    <w:rsid w:val="00D64B4D"/>
    <w:rsid w:val="00D6624D"/>
    <w:rsid w:val="00D66574"/>
    <w:rsid w:val="00D66AC9"/>
    <w:rsid w:val="00D670DA"/>
    <w:rsid w:val="00D678DB"/>
    <w:rsid w:val="00D67936"/>
    <w:rsid w:val="00D67C7F"/>
    <w:rsid w:val="00D67F46"/>
    <w:rsid w:val="00D703D7"/>
    <w:rsid w:val="00D707D5"/>
    <w:rsid w:val="00D71725"/>
    <w:rsid w:val="00D725D7"/>
    <w:rsid w:val="00D7530C"/>
    <w:rsid w:val="00D75FCA"/>
    <w:rsid w:val="00D76946"/>
    <w:rsid w:val="00D76B83"/>
    <w:rsid w:val="00D76F0B"/>
    <w:rsid w:val="00D77240"/>
    <w:rsid w:val="00D777CF"/>
    <w:rsid w:val="00D77E60"/>
    <w:rsid w:val="00D77EE7"/>
    <w:rsid w:val="00D81826"/>
    <w:rsid w:val="00D82E83"/>
    <w:rsid w:val="00D83089"/>
    <w:rsid w:val="00D838D8"/>
    <w:rsid w:val="00D8429F"/>
    <w:rsid w:val="00D8451E"/>
    <w:rsid w:val="00D84994"/>
    <w:rsid w:val="00D8567A"/>
    <w:rsid w:val="00D87270"/>
    <w:rsid w:val="00D87F57"/>
    <w:rsid w:val="00D9026C"/>
    <w:rsid w:val="00D90666"/>
    <w:rsid w:val="00D90CB2"/>
    <w:rsid w:val="00D90D16"/>
    <w:rsid w:val="00D910B8"/>
    <w:rsid w:val="00D915BD"/>
    <w:rsid w:val="00D916AE"/>
    <w:rsid w:val="00D91CE4"/>
    <w:rsid w:val="00D92874"/>
    <w:rsid w:val="00D92A2A"/>
    <w:rsid w:val="00D92CB6"/>
    <w:rsid w:val="00D92D20"/>
    <w:rsid w:val="00D931E9"/>
    <w:rsid w:val="00D932D7"/>
    <w:rsid w:val="00D93824"/>
    <w:rsid w:val="00D93FD8"/>
    <w:rsid w:val="00D94535"/>
    <w:rsid w:val="00D94790"/>
    <w:rsid w:val="00D94BFF"/>
    <w:rsid w:val="00D953E4"/>
    <w:rsid w:val="00D9580A"/>
    <w:rsid w:val="00D96964"/>
    <w:rsid w:val="00D96AA9"/>
    <w:rsid w:val="00D96B25"/>
    <w:rsid w:val="00D979E8"/>
    <w:rsid w:val="00D97E04"/>
    <w:rsid w:val="00DA0453"/>
    <w:rsid w:val="00DA0823"/>
    <w:rsid w:val="00DA08BC"/>
    <w:rsid w:val="00DA197D"/>
    <w:rsid w:val="00DA22AB"/>
    <w:rsid w:val="00DA2773"/>
    <w:rsid w:val="00DA2F64"/>
    <w:rsid w:val="00DA3A68"/>
    <w:rsid w:val="00DA4028"/>
    <w:rsid w:val="00DA44E1"/>
    <w:rsid w:val="00DA4559"/>
    <w:rsid w:val="00DA49A9"/>
    <w:rsid w:val="00DA53C5"/>
    <w:rsid w:val="00DA595F"/>
    <w:rsid w:val="00DA5DCC"/>
    <w:rsid w:val="00DA7ADF"/>
    <w:rsid w:val="00DA7C8F"/>
    <w:rsid w:val="00DB037B"/>
    <w:rsid w:val="00DB0A3D"/>
    <w:rsid w:val="00DB0FC4"/>
    <w:rsid w:val="00DB15FF"/>
    <w:rsid w:val="00DB2610"/>
    <w:rsid w:val="00DB2680"/>
    <w:rsid w:val="00DB26A2"/>
    <w:rsid w:val="00DB2FFC"/>
    <w:rsid w:val="00DB338F"/>
    <w:rsid w:val="00DB33D6"/>
    <w:rsid w:val="00DB3E52"/>
    <w:rsid w:val="00DB3E8A"/>
    <w:rsid w:val="00DB482A"/>
    <w:rsid w:val="00DB526A"/>
    <w:rsid w:val="00DB6A9C"/>
    <w:rsid w:val="00DB6B40"/>
    <w:rsid w:val="00DB754C"/>
    <w:rsid w:val="00DC0941"/>
    <w:rsid w:val="00DC20B7"/>
    <w:rsid w:val="00DC244E"/>
    <w:rsid w:val="00DC2956"/>
    <w:rsid w:val="00DC2A04"/>
    <w:rsid w:val="00DC2FEE"/>
    <w:rsid w:val="00DC30DF"/>
    <w:rsid w:val="00DC3A72"/>
    <w:rsid w:val="00DC4AE5"/>
    <w:rsid w:val="00DC4CFE"/>
    <w:rsid w:val="00DC51CB"/>
    <w:rsid w:val="00DC580E"/>
    <w:rsid w:val="00DC6E17"/>
    <w:rsid w:val="00DD01A0"/>
    <w:rsid w:val="00DD2736"/>
    <w:rsid w:val="00DD2EB0"/>
    <w:rsid w:val="00DD3586"/>
    <w:rsid w:val="00DD3A08"/>
    <w:rsid w:val="00DD3CEA"/>
    <w:rsid w:val="00DD45D0"/>
    <w:rsid w:val="00DD48D5"/>
    <w:rsid w:val="00DD49F8"/>
    <w:rsid w:val="00DD57DB"/>
    <w:rsid w:val="00DD5A54"/>
    <w:rsid w:val="00DD6003"/>
    <w:rsid w:val="00DD604E"/>
    <w:rsid w:val="00DD6CA3"/>
    <w:rsid w:val="00DD72A9"/>
    <w:rsid w:val="00DD7406"/>
    <w:rsid w:val="00DD7602"/>
    <w:rsid w:val="00DE06D7"/>
    <w:rsid w:val="00DE08F6"/>
    <w:rsid w:val="00DE0967"/>
    <w:rsid w:val="00DE11B1"/>
    <w:rsid w:val="00DE1A26"/>
    <w:rsid w:val="00DE1B9D"/>
    <w:rsid w:val="00DE20CC"/>
    <w:rsid w:val="00DE2161"/>
    <w:rsid w:val="00DE23E2"/>
    <w:rsid w:val="00DE24B9"/>
    <w:rsid w:val="00DE2980"/>
    <w:rsid w:val="00DE2B93"/>
    <w:rsid w:val="00DE3606"/>
    <w:rsid w:val="00DE4BB6"/>
    <w:rsid w:val="00DE509B"/>
    <w:rsid w:val="00DE522A"/>
    <w:rsid w:val="00DE546C"/>
    <w:rsid w:val="00DE550A"/>
    <w:rsid w:val="00DE5CE2"/>
    <w:rsid w:val="00DE5F62"/>
    <w:rsid w:val="00DE65C0"/>
    <w:rsid w:val="00DE6624"/>
    <w:rsid w:val="00DE76DD"/>
    <w:rsid w:val="00DF081A"/>
    <w:rsid w:val="00DF0C04"/>
    <w:rsid w:val="00DF1EBC"/>
    <w:rsid w:val="00DF2334"/>
    <w:rsid w:val="00DF256C"/>
    <w:rsid w:val="00DF2B29"/>
    <w:rsid w:val="00DF2B83"/>
    <w:rsid w:val="00DF3142"/>
    <w:rsid w:val="00DF3DA8"/>
    <w:rsid w:val="00DF4F0E"/>
    <w:rsid w:val="00DF52E7"/>
    <w:rsid w:val="00DF567A"/>
    <w:rsid w:val="00DF5E98"/>
    <w:rsid w:val="00DF6043"/>
    <w:rsid w:val="00DF7EE9"/>
    <w:rsid w:val="00E003AF"/>
    <w:rsid w:val="00E0114A"/>
    <w:rsid w:val="00E011E2"/>
    <w:rsid w:val="00E01313"/>
    <w:rsid w:val="00E02D0F"/>
    <w:rsid w:val="00E035CB"/>
    <w:rsid w:val="00E03A81"/>
    <w:rsid w:val="00E03A82"/>
    <w:rsid w:val="00E03B13"/>
    <w:rsid w:val="00E03B98"/>
    <w:rsid w:val="00E03D03"/>
    <w:rsid w:val="00E03DEA"/>
    <w:rsid w:val="00E04BC8"/>
    <w:rsid w:val="00E04BF9"/>
    <w:rsid w:val="00E04CCA"/>
    <w:rsid w:val="00E05652"/>
    <w:rsid w:val="00E06800"/>
    <w:rsid w:val="00E07061"/>
    <w:rsid w:val="00E07B90"/>
    <w:rsid w:val="00E07DF4"/>
    <w:rsid w:val="00E07F34"/>
    <w:rsid w:val="00E10371"/>
    <w:rsid w:val="00E11286"/>
    <w:rsid w:val="00E1209F"/>
    <w:rsid w:val="00E129DE"/>
    <w:rsid w:val="00E134B3"/>
    <w:rsid w:val="00E14727"/>
    <w:rsid w:val="00E147CC"/>
    <w:rsid w:val="00E14867"/>
    <w:rsid w:val="00E149DF"/>
    <w:rsid w:val="00E151CC"/>
    <w:rsid w:val="00E16498"/>
    <w:rsid w:val="00E165B7"/>
    <w:rsid w:val="00E204CA"/>
    <w:rsid w:val="00E2073C"/>
    <w:rsid w:val="00E20B10"/>
    <w:rsid w:val="00E20CD5"/>
    <w:rsid w:val="00E20FA6"/>
    <w:rsid w:val="00E21958"/>
    <w:rsid w:val="00E21D5D"/>
    <w:rsid w:val="00E22041"/>
    <w:rsid w:val="00E22401"/>
    <w:rsid w:val="00E2328D"/>
    <w:rsid w:val="00E23806"/>
    <w:rsid w:val="00E245DF"/>
    <w:rsid w:val="00E26CC6"/>
    <w:rsid w:val="00E26D68"/>
    <w:rsid w:val="00E27BB5"/>
    <w:rsid w:val="00E308BF"/>
    <w:rsid w:val="00E30C95"/>
    <w:rsid w:val="00E32F54"/>
    <w:rsid w:val="00E32F5C"/>
    <w:rsid w:val="00E347A5"/>
    <w:rsid w:val="00E34D4C"/>
    <w:rsid w:val="00E34EFD"/>
    <w:rsid w:val="00E367C4"/>
    <w:rsid w:val="00E37C38"/>
    <w:rsid w:val="00E40C7C"/>
    <w:rsid w:val="00E41067"/>
    <w:rsid w:val="00E41152"/>
    <w:rsid w:val="00E4120B"/>
    <w:rsid w:val="00E42046"/>
    <w:rsid w:val="00E4246D"/>
    <w:rsid w:val="00E42535"/>
    <w:rsid w:val="00E42E6E"/>
    <w:rsid w:val="00E42FB4"/>
    <w:rsid w:val="00E435E8"/>
    <w:rsid w:val="00E43681"/>
    <w:rsid w:val="00E43A19"/>
    <w:rsid w:val="00E43A82"/>
    <w:rsid w:val="00E43C1D"/>
    <w:rsid w:val="00E43D61"/>
    <w:rsid w:val="00E44093"/>
    <w:rsid w:val="00E44231"/>
    <w:rsid w:val="00E44446"/>
    <w:rsid w:val="00E44E70"/>
    <w:rsid w:val="00E452D7"/>
    <w:rsid w:val="00E45AC3"/>
    <w:rsid w:val="00E45EF1"/>
    <w:rsid w:val="00E46588"/>
    <w:rsid w:val="00E46A5B"/>
    <w:rsid w:val="00E47D3D"/>
    <w:rsid w:val="00E5004E"/>
    <w:rsid w:val="00E5028B"/>
    <w:rsid w:val="00E5070F"/>
    <w:rsid w:val="00E5170B"/>
    <w:rsid w:val="00E51ADF"/>
    <w:rsid w:val="00E52ADA"/>
    <w:rsid w:val="00E539D0"/>
    <w:rsid w:val="00E53C17"/>
    <w:rsid w:val="00E54200"/>
    <w:rsid w:val="00E55387"/>
    <w:rsid w:val="00E5547C"/>
    <w:rsid w:val="00E562AE"/>
    <w:rsid w:val="00E56D9D"/>
    <w:rsid w:val="00E57A2B"/>
    <w:rsid w:val="00E57EC3"/>
    <w:rsid w:val="00E60CA9"/>
    <w:rsid w:val="00E61098"/>
    <w:rsid w:val="00E61CB6"/>
    <w:rsid w:val="00E620C0"/>
    <w:rsid w:val="00E623A4"/>
    <w:rsid w:val="00E63AE2"/>
    <w:rsid w:val="00E63FA2"/>
    <w:rsid w:val="00E64E7A"/>
    <w:rsid w:val="00E66111"/>
    <w:rsid w:val="00E67933"/>
    <w:rsid w:val="00E67FB4"/>
    <w:rsid w:val="00E708D3"/>
    <w:rsid w:val="00E71319"/>
    <w:rsid w:val="00E7146B"/>
    <w:rsid w:val="00E71506"/>
    <w:rsid w:val="00E718BC"/>
    <w:rsid w:val="00E720AE"/>
    <w:rsid w:val="00E7218E"/>
    <w:rsid w:val="00E724FF"/>
    <w:rsid w:val="00E7335B"/>
    <w:rsid w:val="00E73702"/>
    <w:rsid w:val="00E7402D"/>
    <w:rsid w:val="00E74398"/>
    <w:rsid w:val="00E7443D"/>
    <w:rsid w:val="00E75789"/>
    <w:rsid w:val="00E75C92"/>
    <w:rsid w:val="00E75D76"/>
    <w:rsid w:val="00E75EC9"/>
    <w:rsid w:val="00E76247"/>
    <w:rsid w:val="00E76760"/>
    <w:rsid w:val="00E7703D"/>
    <w:rsid w:val="00E77F5A"/>
    <w:rsid w:val="00E8041C"/>
    <w:rsid w:val="00E81D57"/>
    <w:rsid w:val="00E822B4"/>
    <w:rsid w:val="00E84BCF"/>
    <w:rsid w:val="00E85168"/>
    <w:rsid w:val="00E85B19"/>
    <w:rsid w:val="00E85D30"/>
    <w:rsid w:val="00E85F55"/>
    <w:rsid w:val="00E86445"/>
    <w:rsid w:val="00E87F21"/>
    <w:rsid w:val="00E9050C"/>
    <w:rsid w:val="00E90B77"/>
    <w:rsid w:val="00E90DFF"/>
    <w:rsid w:val="00E913D6"/>
    <w:rsid w:val="00E9153D"/>
    <w:rsid w:val="00E9222E"/>
    <w:rsid w:val="00E93EE9"/>
    <w:rsid w:val="00E94392"/>
    <w:rsid w:val="00E94999"/>
    <w:rsid w:val="00E94E4B"/>
    <w:rsid w:val="00E9512A"/>
    <w:rsid w:val="00E963EE"/>
    <w:rsid w:val="00E96CB3"/>
    <w:rsid w:val="00EA02C2"/>
    <w:rsid w:val="00EA12CE"/>
    <w:rsid w:val="00EA1DE4"/>
    <w:rsid w:val="00EA2015"/>
    <w:rsid w:val="00EA2B1D"/>
    <w:rsid w:val="00EA2D04"/>
    <w:rsid w:val="00EA2E57"/>
    <w:rsid w:val="00EA2EB7"/>
    <w:rsid w:val="00EA2FAF"/>
    <w:rsid w:val="00EA35CC"/>
    <w:rsid w:val="00EA3E6C"/>
    <w:rsid w:val="00EA3F01"/>
    <w:rsid w:val="00EA4697"/>
    <w:rsid w:val="00EA5536"/>
    <w:rsid w:val="00EA5666"/>
    <w:rsid w:val="00EA5B27"/>
    <w:rsid w:val="00EA694B"/>
    <w:rsid w:val="00EA77A3"/>
    <w:rsid w:val="00EA79FD"/>
    <w:rsid w:val="00EA7AB5"/>
    <w:rsid w:val="00EB0824"/>
    <w:rsid w:val="00EB21AB"/>
    <w:rsid w:val="00EB2F69"/>
    <w:rsid w:val="00EB323E"/>
    <w:rsid w:val="00EB32A7"/>
    <w:rsid w:val="00EB3950"/>
    <w:rsid w:val="00EB3A9F"/>
    <w:rsid w:val="00EB410B"/>
    <w:rsid w:val="00EB4D52"/>
    <w:rsid w:val="00EB4E84"/>
    <w:rsid w:val="00EB4F9A"/>
    <w:rsid w:val="00EB5027"/>
    <w:rsid w:val="00EB5111"/>
    <w:rsid w:val="00EB5625"/>
    <w:rsid w:val="00EB5D04"/>
    <w:rsid w:val="00EB62A9"/>
    <w:rsid w:val="00EB7555"/>
    <w:rsid w:val="00EB798B"/>
    <w:rsid w:val="00EC0053"/>
    <w:rsid w:val="00EC0AB7"/>
    <w:rsid w:val="00EC0BEA"/>
    <w:rsid w:val="00EC0E33"/>
    <w:rsid w:val="00EC15F2"/>
    <w:rsid w:val="00EC1A77"/>
    <w:rsid w:val="00EC1EA4"/>
    <w:rsid w:val="00EC24DC"/>
    <w:rsid w:val="00EC3720"/>
    <w:rsid w:val="00EC37D1"/>
    <w:rsid w:val="00EC38A7"/>
    <w:rsid w:val="00EC38D6"/>
    <w:rsid w:val="00EC45F2"/>
    <w:rsid w:val="00EC4BF3"/>
    <w:rsid w:val="00EC6375"/>
    <w:rsid w:val="00EC65C0"/>
    <w:rsid w:val="00EC6839"/>
    <w:rsid w:val="00EC6E11"/>
    <w:rsid w:val="00EC6F67"/>
    <w:rsid w:val="00EC7760"/>
    <w:rsid w:val="00EC7762"/>
    <w:rsid w:val="00ED0693"/>
    <w:rsid w:val="00ED1516"/>
    <w:rsid w:val="00ED1A69"/>
    <w:rsid w:val="00ED299A"/>
    <w:rsid w:val="00ED3910"/>
    <w:rsid w:val="00ED3A5E"/>
    <w:rsid w:val="00ED3C2A"/>
    <w:rsid w:val="00ED40E9"/>
    <w:rsid w:val="00ED5EA3"/>
    <w:rsid w:val="00ED5EB5"/>
    <w:rsid w:val="00ED673B"/>
    <w:rsid w:val="00ED715D"/>
    <w:rsid w:val="00ED7A96"/>
    <w:rsid w:val="00ED7F9E"/>
    <w:rsid w:val="00EE0031"/>
    <w:rsid w:val="00EE2F3C"/>
    <w:rsid w:val="00EE3DF0"/>
    <w:rsid w:val="00EE43A8"/>
    <w:rsid w:val="00EE4A1E"/>
    <w:rsid w:val="00EE4B54"/>
    <w:rsid w:val="00EE4B6A"/>
    <w:rsid w:val="00EE4C78"/>
    <w:rsid w:val="00EE4D87"/>
    <w:rsid w:val="00EE51B2"/>
    <w:rsid w:val="00EE618F"/>
    <w:rsid w:val="00EE6932"/>
    <w:rsid w:val="00EE6EEA"/>
    <w:rsid w:val="00EE787E"/>
    <w:rsid w:val="00EF02FA"/>
    <w:rsid w:val="00EF0BEC"/>
    <w:rsid w:val="00EF2D31"/>
    <w:rsid w:val="00EF34C7"/>
    <w:rsid w:val="00EF3657"/>
    <w:rsid w:val="00EF397A"/>
    <w:rsid w:val="00EF522C"/>
    <w:rsid w:val="00EF5910"/>
    <w:rsid w:val="00EF6248"/>
    <w:rsid w:val="00EF6385"/>
    <w:rsid w:val="00EF6D9B"/>
    <w:rsid w:val="00EF7016"/>
    <w:rsid w:val="00EF7787"/>
    <w:rsid w:val="00EF7967"/>
    <w:rsid w:val="00F00558"/>
    <w:rsid w:val="00F00B24"/>
    <w:rsid w:val="00F00BD1"/>
    <w:rsid w:val="00F00DE5"/>
    <w:rsid w:val="00F00E73"/>
    <w:rsid w:val="00F01077"/>
    <w:rsid w:val="00F0182A"/>
    <w:rsid w:val="00F020E9"/>
    <w:rsid w:val="00F02DB3"/>
    <w:rsid w:val="00F0316F"/>
    <w:rsid w:val="00F04361"/>
    <w:rsid w:val="00F047B6"/>
    <w:rsid w:val="00F04D58"/>
    <w:rsid w:val="00F05A7F"/>
    <w:rsid w:val="00F06A6D"/>
    <w:rsid w:val="00F070FE"/>
    <w:rsid w:val="00F07253"/>
    <w:rsid w:val="00F10171"/>
    <w:rsid w:val="00F102F9"/>
    <w:rsid w:val="00F10548"/>
    <w:rsid w:val="00F10B96"/>
    <w:rsid w:val="00F10F3A"/>
    <w:rsid w:val="00F1102E"/>
    <w:rsid w:val="00F119FE"/>
    <w:rsid w:val="00F1234C"/>
    <w:rsid w:val="00F12416"/>
    <w:rsid w:val="00F1242F"/>
    <w:rsid w:val="00F133A5"/>
    <w:rsid w:val="00F135B0"/>
    <w:rsid w:val="00F139D3"/>
    <w:rsid w:val="00F13BA3"/>
    <w:rsid w:val="00F14F32"/>
    <w:rsid w:val="00F155E0"/>
    <w:rsid w:val="00F15928"/>
    <w:rsid w:val="00F16013"/>
    <w:rsid w:val="00F1683A"/>
    <w:rsid w:val="00F170BC"/>
    <w:rsid w:val="00F171FE"/>
    <w:rsid w:val="00F178D3"/>
    <w:rsid w:val="00F20E39"/>
    <w:rsid w:val="00F218FB"/>
    <w:rsid w:val="00F21A53"/>
    <w:rsid w:val="00F22188"/>
    <w:rsid w:val="00F230A5"/>
    <w:rsid w:val="00F235BF"/>
    <w:rsid w:val="00F23870"/>
    <w:rsid w:val="00F23D2D"/>
    <w:rsid w:val="00F249AE"/>
    <w:rsid w:val="00F24A78"/>
    <w:rsid w:val="00F24F97"/>
    <w:rsid w:val="00F25C2C"/>
    <w:rsid w:val="00F25F41"/>
    <w:rsid w:val="00F26A3C"/>
    <w:rsid w:val="00F270B0"/>
    <w:rsid w:val="00F27E59"/>
    <w:rsid w:val="00F31387"/>
    <w:rsid w:val="00F3155F"/>
    <w:rsid w:val="00F326E5"/>
    <w:rsid w:val="00F32890"/>
    <w:rsid w:val="00F332CE"/>
    <w:rsid w:val="00F33625"/>
    <w:rsid w:val="00F34968"/>
    <w:rsid w:val="00F34D26"/>
    <w:rsid w:val="00F34F86"/>
    <w:rsid w:val="00F350C1"/>
    <w:rsid w:val="00F354BB"/>
    <w:rsid w:val="00F354F3"/>
    <w:rsid w:val="00F35618"/>
    <w:rsid w:val="00F35668"/>
    <w:rsid w:val="00F35AD5"/>
    <w:rsid w:val="00F35B42"/>
    <w:rsid w:val="00F35E2D"/>
    <w:rsid w:val="00F3799F"/>
    <w:rsid w:val="00F37C35"/>
    <w:rsid w:val="00F40427"/>
    <w:rsid w:val="00F4186B"/>
    <w:rsid w:val="00F41A2B"/>
    <w:rsid w:val="00F4232A"/>
    <w:rsid w:val="00F42D24"/>
    <w:rsid w:val="00F43281"/>
    <w:rsid w:val="00F43CE4"/>
    <w:rsid w:val="00F43D5B"/>
    <w:rsid w:val="00F44CFE"/>
    <w:rsid w:val="00F45BA6"/>
    <w:rsid w:val="00F45E00"/>
    <w:rsid w:val="00F46339"/>
    <w:rsid w:val="00F46605"/>
    <w:rsid w:val="00F46A70"/>
    <w:rsid w:val="00F47854"/>
    <w:rsid w:val="00F47DD0"/>
    <w:rsid w:val="00F47F19"/>
    <w:rsid w:val="00F50726"/>
    <w:rsid w:val="00F50DC9"/>
    <w:rsid w:val="00F51B04"/>
    <w:rsid w:val="00F5236A"/>
    <w:rsid w:val="00F53188"/>
    <w:rsid w:val="00F53851"/>
    <w:rsid w:val="00F53AB1"/>
    <w:rsid w:val="00F53E0E"/>
    <w:rsid w:val="00F541F3"/>
    <w:rsid w:val="00F54608"/>
    <w:rsid w:val="00F54C75"/>
    <w:rsid w:val="00F54FD9"/>
    <w:rsid w:val="00F550C4"/>
    <w:rsid w:val="00F55B0C"/>
    <w:rsid w:val="00F55D53"/>
    <w:rsid w:val="00F55D8B"/>
    <w:rsid w:val="00F56C78"/>
    <w:rsid w:val="00F56F0F"/>
    <w:rsid w:val="00F607BB"/>
    <w:rsid w:val="00F60FE6"/>
    <w:rsid w:val="00F6206F"/>
    <w:rsid w:val="00F6221E"/>
    <w:rsid w:val="00F62CF4"/>
    <w:rsid w:val="00F62DE0"/>
    <w:rsid w:val="00F62F68"/>
    <w:rsid w:val="00F63735"/>
    <w:rsid w:val="00F63A6C"/>
    <w:rsid w:val="00F640E1"/>
    <w:rsid w:val="00F656E3"/>
    <w:rsid w:val="00F657EC"/>
    <w:rsid w:val="00F65ED0"/>
    <w:rsid w:val="00F66242"/>
    <w:rsid w:val="00F67309"/>
    <w:rsid w:val="00F70576"/>
    <w:rsid w:val="00F70ABC"/>
    <w:rsid w:val="00F70B41"/>
    <w:rsid w:val="00F71562"/>
    <w:rsid w:val="00F71F76"/>
    <w:rsid w:val="00F723F7"/>
    <w:rsid w:val="00F72C9C"/>
    <w:rsid w:val="00F72CFD"/>
    <w:rsid w:val="00F740D5"/>
    <w:rsid w:val="00F750ED"/>
    <w:rsid w:val="00F7510F"/>
    <w:rsid w:val="00F753B7"/>
    <w:rsid w:val="00F7568D"/>
    <w:rsid w:val="00F764B1"/>
    <w:rsid w:val="00F76BF0"/>
    <w:rsid w:val="00F77598"/>
    <w:rsid w:val="00F777FA"/>
    <w:rsid w:val="00F778FA"/>
    <w:rsid w:val="00F77F39"/>
    <w:rsid w:val="00F77F83"/>
    <w:rsid w:val="00F815DE"/>
    <w:rsid w:val="00F81655"/>
    <w:rsid w:val="00F818AF"/>
    <w:rsid w:val="00F82586"/>
    <w:rsid w:val="00F8347E"/>
    <w:rsid w:val="00F836BF"/>
    <w:rsid w:val="00F85BCE"/>
    <w:rsid w:val="00F85D77"/>
    <w:rsid w:val="00F8678B"/>
    <w:rsid w:val="00F9026E"/>
    <w:rsid w:val="00F9083D"/>
    <w:rsid w:val="00F9143A"/>
    <w:rsid w:val="00F91632"/>
    <w:rsid w:val="00F917C5"/>
    <w:rsid w:val="00F91AD1"/>
    <w:rsid w:val="00F92AE6"/>
    <w:rsid w:val="00F93474"/>
    <w:rsid w:val="00F937D0"/>
    <w:rsid w:val="00F93F32"/>
    <w:rsid w:val="00F950FA"/>
    <w:rsid w:val="00F95351"/>
    <w:rsid w:val="00F955A4"/>
    <w:rsid w:val="00F95BAA"/>
    <w:rsid w:val="00F96168"/>
    <w:rsid w:val="00F9651D"/>
    <w:rsid w:val="00F96A60"/>
    <w:rsid w:val="00F96D50"/>
    <w:rsid w:val="00FA0AED"/>
    <w:rsid w:val="00FA181E"/>
    <w:rsid w:val="00FA2567"/>
    <w:rsid w:val="00FA28E9"/>
    <w:rsid w:val="00FA30DB"/>
    <w:rsid w:val="00FA38D4"/>
    <w:rsid w:val="00FA3966"/>
    <w:rsid w:val="00FA3B90"/>
    <w:rsid w:val="00FA3C94"/>
    <w:rsid w:val="00FA4980"/>
    <w:rsid w:val="00FA4B1C"/>
    <w:rsid w:val="00FA4C27"/>
    <w:rsid w:val="00FA5342"/>
    <w:rsid w:val="00FA53B1"/>
    <w:rsid w:val="00FA5E2D"/>
    <w:rsid w:val="00FA67A6"/>
    <w:rsid w:val="00FA781C"/>
    <w:rsid w:val="00FA7EF5"/>
    <w:rsid w:val="00FB11E8"/>
    <w:rsid w:val="00FB1443"/>
    <w:rsid w:val="00FB1CF3"/>
    <w:rsid w:val="00FB2689"/>
    <w:rsid w:val="00FB2B82"/>
    <w:rsid w:val="00FB316C"/>
    <w:rsid w:val="00FB3545"/>
    <w:rsid w:val="00FB48F9"/>
    <w:rsid w:val="00FB4CBC"/>
    <w:rsid w:val="00FB4EC4"/>
    <w:rsid w:val="00FB5766"/>
    <w:rsid w:val="00FB577E"/>
    <w:rsid w:val="00FB5AF3"/>
    <w:rsid w:val="00FB5D52"/>
    <w:rsid w:val="00FB5ECF"/>
    <w:rsid w:val="00FB6716"/>
    <w:rsid w:val="00FB75C3"/>
    <w:rsid w:val="00FB765A"/>
    <w:rsid w:val="00FB7CA9"/>
    <w:rsid w:val="00FB7DA5"/>
    <w:rsid w:val="00FC050C"/>
    <w:rsid w:val="00FC26BE"/>
    <w:rsid w:val="00FC288A"/>
    <w:rsid w:val="00FC341B"/>
    <w:rsid w:val="00FC39FB"/>
    <w:rsid w:val="00FC3C98"/>
    <w:rsid w:val="00FC617D"/>
    <w:rsid w:val="00FC693B"/>
    <w:rsid w:val="00FC7037"/>
    <w:rsid w:val="00FC7506"/>
    <w:rsid w:val="00FC76E4"/>
    <w:rsid w:val="00FD0E45"/>
    <w:rsid w:val="00FD0EA7"/>
    <w:rsid w:val="00FD16BD"/>
    <w:rsid w:val="00FD171E"/>
    <w:rsid w:val="00FD1FB3"/>
    <w:rsid w:val="00FD2322"/>
    <w:rsid w:val="00FD307A"/>
    <w:rsid w:val="00FD36CA"/>
    <w:rsid w:val="00FD3F24"/>
    <w:rsid w:val="00FD42BC"/>
    <w:rsid w:val="00FD4605"/>
    <w:rsid w:val="00FD4D78"/>
    <w:rsid w:val="00FD54FC"/>
    <w:rsid w:val="00FD57EE"/>
    <w:rsid w:val="00FD599D"/>
    <w:rsid w:val="00FD5F4A"/>
    <w:rsid w:val="00FD61EE"/>
    <w:rsid w:val="00FD6673"/>
    <w:rsid w:val="00FD6751"/>
    <w:rsid w:val="00FD697B"/>
    <w:rsid w:val="00FD6F24"/>
    <w:rsid w:val="00FD70C2"/>
    <w:rsid w:val="00FE078C"/>
    <w:rsid w:val="00FE1E7E"/>
    <w:rsid w:val="00FE1E86"/>
    <w:rsid w:val="00FE29B3"/>
    <w:rsid w:val="00FE2CCC"/>
    <w:rsid w:val="00FE3F47"/>
    <w:rsid w:val="00FE45D2"/>
    <w:rsid w:val="00FE4F65"/>
    <w:rsid w:val="00FE5560"/>
    <w:rsid w:val="00FE5621"/>
    <w:rsid w:val="00FE5924"/>
    <w:rsid w:val="00FE5E4B"/>
    <w:rsid w:val="00FE61E6"/>
    <w:rsid w:val="00FE67C4"/>
    <w:rsid w:val="00FF10CF"/>
    <w:rsid w:val="00FF16FE"/>
    <w:rsid w:val="00FF3CBA"/>
    <w:rsid w:val="00FF3E99"/>
    <w:rsid w:val="00FF42B7"/>
    <w:rsid w:val="00FF436F"/>
    <w:rsid w:val="00FF4DE8"/>
    <w:rsid w:val="00FF4F44"/>
    <w:rsid w:val="00FF519E"/>
    <w:rsid w:val="00FF534A"/>
    <w:rsid w:val="00FF5869"/>
    <w:rsid w:val="00FF6532"/>
    <w:rsid w:val="00FF656B"/>
    <w:rsid w:val="00FF6B1A"/>
    <w:rsid w:val="00FF6F1C"/>
    <w:rsid w:val="00FF7383"/>
    <w:rsid w:val="00FF7973"/>
    <w:rsid w:val="00FF79FF"/>
    <w:rsid w:val="00FF7C59"/>
    <w:rsid w:val="01A7AA3A"/>
    <w:rsid w:val="03A64713"/>
    <w:rsid w:val="05D252F8"/>
    <w:rsid w:val="06C08B1E"/>
    <w:rsid w:val="0CACBDC7"/>
    <w:rsid w:val="0DEB705F"/>
    <w:rsid w:val="0E8B7E92"/>
    <w:rsid w:val="0F5263B3"/>
    <w:rsid w:val="11B6CEC0"/>
    <w:rsid w:val="1282FE63"/>
    <w:rsid w:val="12E52854"/>
    <w:rsid w:val="131AE8E4"/>
    <w:rsid w:val="1391263D"/>
    <w:rsid w:val="13E05513"/>
    <w:rsid w:val="14D557ED"/>
    <w:rsid w:val="173C63C1"/>
    <w:rsid w:val="1919F63A"/>
    <w:rsid w:val="19AFE2CC"/>
    <w:rsid w:val="1B0F21DF"/>
    <w:rsid w:val="1BE85432"/>
    <w:rsid w:val="1E504A24"/>
    <w:rsid w:val="20DF4EA4"/>
    <w:rsid w:val="223BFCE2"/>
    <w:rsid w:val="22997480"/>
    <w:rsid w:val="23EA80BE"/>
    <w:rsid w:val="261E5497"/>
    <w:rsid w:val="3123368C"/>
    <w:rsid w:val="31FC810F"/>
    <w:rsid w:val="332C7D03"/>
    <w:rsid w:val="337B792C"/>
    <w:rsid w:val="35601C1A"/>
    <w:rsid w:val="36DAAFBA"/>
    <w:rsid w:val="36DFCE42"/>
    <w:rsid w:val="37A119A5"/>
    <w:rsid w:val="3A7E0D50"/>
    <w:rsid w:val="3C0464FB"/>
    <w:rsid w:val="3DDD18B6"/>
    <w:rsid w:val="417A470F"/>
    <w:rsid w:val="41DC201B"/>
    <w:rsid w:val="42C67354"/>
    <w:rsid w:val="449413CD"/>
    <w:rsid w:val="457C1BEE"/>
    <w:rsid w:val="4785BC7A"/>
    <w:rsid w:val="47F5F31E"/>
    <w:rsid w:val="4AAF6CF3"/>
    <w:rsid w:val="4AEB59EB"/>
    <w:rsid w:val="4F6173C5"/>
    <w:rsid w:val="515D22C4"/>
    <w:rsid w:val="51E9B13E"/>
    <w:rsid w:val="52FB9399"/>
    <w:rsid w:val="5336D67A"/>
    <w:rsid w:val="550BA96B"/>
    <w:rsid w:val="56528303"/>
    <w:rsid w:val="5B60049E"/>
    <w:rsid w:val="5C84EDEF"/>
    <w:rsid w:val="5F1FFAC2"/>
    <w:rsid w:val="60612B8C"/>
    <w:rsid w:val="612797CD"/>
    <w:rsid w:val="61819A10"/>
    <w:rsid w:val="62A552C0"/>
    <w:rsid w:val="6483E730"/>
    <w:rsid w:val="683A1004"/>
    <w:rsid w:val="6941CA64"/>
    <w:rsid w:val="6B033C6C"/>
    <w:rsid w:val="6BB14374"/>
    <w:rsid w:val="7559C80C"/>
    <w:rsid w:val="7609F705"/>
    <w:rsid w:val="7D4358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1DE2C"/>
  <w14:defaultImageDpi w14:val="300"/>
  <w15:docId w15:val="{2BF523E0-738A-471C-AAC4-C75C351C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D8"/>
    <w:pPr>
      <w:spacing w:line="288" w:lineRule="auto"/>
    </w:pPr>
    <w:rPr>
      <w:rFonts w:ascii="Verdana" w:hAnsi="Verdana"/>
    </w:rPr>
  </w:style>
  <w:style w:type="paragraph" w:styleId="Heading1">
    <w:name w:val="heading 1"/>
    <w:basedOn w:val="Normal"/>
    <w:next w:val="Normal"/>
    <w:link w:val="Heading1Char"/>
    <w:uiPriority w:val="9"/>
    <w:qFormat/>
    <w:rsid w:val="007E5AD8"/>
    <w:pPr>
      <w:keepNext/>
      <w:keepLines/>
      <w:numPr>
        <w:numId w:val="2"/>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E304E"/>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910DE"/>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7E5AD8"/>
    <w:rPr>
      <w:rFonts w:ascii="Verdana" w:eastAsiaTheme="majorEastAsia" w:hAnsi="Verdana" w:cstheme="majorBidi"/>
      <w:b/>
      <w:color w:val="77328A"/>
      <w:sz w:val="30"/>
      <w:szCs w:val="32"/>
    </w:rPr>
  </w:style>
  <w:style w:type="character" w:styleId="UnresolvedMention">
    <w:name w:val="Unresolved Mention"/>
    <w:basedOn w:val="DefaultParagraphFont"/>
    <w:uiPriority w:val="99"/>
    <w:semiHidden/>
    <w:unhideWhenUsed/>
    <w:rsid w:val="001D03E7"/>
    <w:rPr>
      <w:color w:val="605E5C"/>
      <w:shd w:val="clear" w:color="auto" w:fill="E1DFDD"/>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E51B2"/>
    <w:pPr>
      <w:spacing w:after="160" w:line="240" w:lineRule="exact"/>
      <w:jc w:val="both"/>
    </w:pPr>
    <w:rPr>
      <w:vertAlign w:val="superscript"/>
    </w:rPr>
  </w:style>
  <w:style w:type="paragraph" w:styleId="TOCHeading">
    <w:name w:val="TOC Heading"/>
    <w:basedOn w:val="Heading1"/>
    <w:next w:val="Normal"/>
    <w:uiPriority w:val="39"/>
    <w:unhideWhenUsed/>
    <w:qFormat/>
    <w:rsid w:val="00B56194"/>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4F4CB7"/>
    <w:pPr>
      <w:tabs>
        <w:tab w:val="left" w:pos="660"/>
        <w:tab w:val="right" w:leader="dot" w:pos="9848"/>
      </w:tabs>
      <w:spacing w:after="100"/>
    </w:pPr>
    <w:rPr>
      <w:b/>
      <w:bCs/>
      <w:noProof/>
    </w:rPr>
  </w:style>
  <w:style w:type="character" w:customStyle="1" w:styleId="Heading2Char">
    <w:name w:val="Heading 2 Char"/>
    <w:basedOn w:val="DefaultParagraphFont"/>
    <w:link w:val="Heading2"/>
    <w:uiPriority w:val="9"/>
    <w:rsid w:val="003E304E"/>
    <w:rPr>
      <w:rFonts w:ascii="Verdana" w:eastAsiaTheme="majorEastAsia" w:hAnsi="Verdana" w:cstheme="majorBidi"/>
      <w:b/>
      <w:szCs w:val="26"/>
    </w:rPr>
  </w:style>
  <w:style w:type="paragraph" w:styleId="Quote">
    <w:name w:val="Quote"/>
    <w:basedOn w:val="BasicParagraph"/>
    <w:next w:val="Normal"/>
    <w:link w:val="QuoteChar"/>
    <w:uiPriority w:val="29"/>
    <w:qFormat/>
    <w:rsid w:val="00FC7506"/>
    <w:pPr>
      <w:suppressAutoHyphens/>
      <w:ind w:left="709" w:right="709"/>
    </w:pPr>
    <w:rPr>
      <w:rFonts w:ascii="Verdana" w:hAnsi="Verdana"/>
    </w:rPr>
  </w:style>
  <w:style w:type="character" w:customStyle="1" w:styleId="QuoteChar">
    <w:name w:val="Quote Char"/>
    <w:basedOn w:val="DefaultParagraphFont"/>
    <w:link w:val="Quote"/>
    <w:uiPriority w:val="29"/>
    <w:rsid w:val="00FC7506"/>
    <w:rPr>
      <w:rFonts w:ascii="Verdana" w:hAnsi="Verdana" w:cs="MinionPro-Regular"/>
      <w:color w:val="000000"/>
    </w:rPr>
  </w:style>
  <w:style w:type="character" w:styleId="CommentReference">
    <w:name w:val="annotation reference"/>
    <w:basedOn w:val="DefaultParagraphFont"/>
    <w:uiPriority w:val="99"/>
    <w:semiHidden/>
    <w:unhideWhenUsed/>
    <w:rsid w:val="00214641"/>
    <w:rPr>
      <w:sz w:val="16"/>
      <w:szCs w:val="16"/>
    </w:rPr>
  </w:style>
  <w:style w:type="paragraph" w:styleId="CommentText">
    <w:name w:val="annotation text"/>
    <w:basedOn w:val="Normal"/>
    <w:link w:val="CommentTextChar"/>
    <w:uiPriority w:val="99"/>
    <w:unhideWhenUsed/>
    <w:rsid w:val="00214641"/>
    <w:pPr>
      <w:spacing w:line="240" w:lineRule="auto"/>
    </w:pPr>
    <w:rPr>
      <w:sz w:val="20"/>
      <w:szCs w:val="20"/>
    </w:rPr>
  </w:style>
  <w:style w:type="character" w:customStyle="1" w:styleId="CommentTextChar">
    <w:name w:val="Comment Text Char"/>
    <w:basedOn w:val="DefaultParagraphFont"/>
    <w:link w:val="CommentText"/>
    <w:uiPriority w:val="99"/>
    <w:rsid w:val="002146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4641"/>
    <w:rPr>
      <w:b/>
      <w:bCs/>
    </w:rPr>
  </w:style>
  <w:style w:type="character" w:customStyle="1" w:styleId="CommentSubjectChar">
    <w:name w:val="Comment Subject Char"/>
    <w:basedOn w:val="CommentTextChar"/>
    <w:link w:val="CommentSubject"/>
    <w:uiPriority w:val="99"/>
    <w:semiHidden/>
    <w:rsid w:val="00214641"/>
    <w:rPr>
      <w:rFonts w:ascii="Verdana" w:hAnsi="Verdana"/>
      <w:b/>
      <w:bCs/>
      <w:sz w:val="20"/>
      <w:szCs w:val="20"/>
    </w:rPr>
  </w:style>
  <w:style w:type="paragraph" w:styleId="TOC2">
    <w:name w:val="toc 2"/>
    <w:basedOn w:val="Normal"/>
    <w:next w:val="Normal"/>
    <w:autoRedefine/>
    <w:uiPriority w:val="39"/>
    <w:unhideWhenUsed/>
    <w:rsid w:val="00C95E44"/>
    <w:pPr>
      <w:spacing w:after="100"/>
      <w:ind w:left="240"/>
    </w:pPr>
  </w:style>
  <w:style w:type="character" w:styleId="Emphasis">
    <w:name w:val="Emphasis"/>
    <w:basedOn w:val="DefaultParagraphFont"/>
    <w:uiPriority w:val="20"/>
    <w:qFormat/>
    <w:rsid w:val="001B6709"/>
    <w:rPr>
      <w:i/>
      <w:iCs/>
    </w:rPr>
  </w:style>
  <w:style w:type="paragraph" w:styleId="Revision">
    <w:name w:val="Revision"/>
    <w:hidden/>
    <w:uiPriority w:val="99"/>
    <w:semiHidden/>
    <w:rsid w:val="0002007F"/>
    <w:rPr>
      <w:rFonts w:ascii="Verdana" w:hAnsi="Verdana"/>
    </w:rPr>
  </w:style>
  <w:style w:type="paragraph" w:customStyle="1" w:styleId="11NumPara">
    <w:name w:val="1.1 Num Para"/>
    <w:basedOn w:val="ListNumber2"/>
    <w:link w:val="11NumParaChar"/>
    <w:qFormat/>
    <w:rsid w:val="00754538"/>
    <w:pPr>
      <w:numPr>
        <w:ilvl w:val="1"/>
      </w:numPr>
      <w:ind w:left="709" w:hanging="709"/>
    </w:pPr>
    <w:rPr>
      <w:rFonts w:ascii="Calibri" w:hAnsi="Calibri"/>
      <w:sz w:val="28"/>
      <w:szCs w:val="22"/>
    </w:rPr>
  </w:style>
  <w:style w:type="character" w:customStyle="1" w:styleId="11NumParaChar">
    <w:name w:val="1.1 Num Para Char"/>
    <w:basedOn w:val="DefaultParagraphFont"/>
    <w:link w:val="11NumPara"/>
    <w:rsid w:val="00754538"/>
    <w:rPr>
      <w:rFonts w:ascii="Calibri" w:eastAsiaTheme="minorHAnsi" w:hAnsi="Calibri"/>
      <w:kern w:val="2"/>
      <w:sz w:val="28"/>
      <w:szCs w:val="22"/>
      <w14:ligatures w14:val="standardContextual"/>
    </w:rPr>
  </w:style>
  <w:style w:type="paragraph" w:styleId="ListNumber2">
    <w:name w:val="List Number 2"/>
    <w:basedOn w:val="Normal"/>
    <w:uiPriority w:val="99"/>
    <w:semiHidden/>
    <w:unhideWhenUsed/>
    <w:rsid w:val="00754538"/>
    <w:pPr>
      <w:numPr>
        <w:numId w:val="5"/>
      </w:numPr>
      <w:spacing w:line="240" w:lineRule="auto"/>
      <w:contextualSpacing/>
    </w:pPr>
    <w:rPr>
      <w:rFonts w:eastAsiaTheme="minorHAnsi"/>
      <w:kern w:val="2"/>
      <w14:ligatures w14:val="standardContextual"/>
    </w:rPr>
  </w:style>
  <w:style w:type="character" w:customStyle="1" w:styleId="ui-provider">
    <w:name w:val="ui-provider"/>
    <w:basedOn w:val="DefaultParagraphFont"/>
    <w:rsid w:val="002563F5"/>
  </w:style>
  <w:style w:type="character" w:customStyle="1" w:styleId="cf01">
    <w:name w:val="cf01"/>
    <w:basedOn w:val="DefaultParagraphFont"/>
    <w:rsid w:val="001B6A6C"/>
    <w:rPr>
      <w:rFonts w:ascii="Segoe UI" w:hAnsi="Segoe UI" w:cs="Segoe UI" w:hint="default"/>
      <w:sz w:val="18"/>
      <w:szCs w:val="18"/>
    </w:rPr>
  </w:style>
  <w:style w:type="table" w:styleId="TableGrid">
    <w:name w:val="Table Grid"/>
    <w:basedOn w:val="TableNormal"/>
    <w:uiPriority w:val="59"/>
    <w:rsid w:val="00D7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10DE"/>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B527F1"/>
    <w:pPr>
      <w:spacing w:after="100"/>
      <w:ind w:left="480"/>
    </w:pPr>
  </w:style>
  <w:style w:type="character" w:styleId="Strong">
    <w:name w:val="Strong"/>
    <w:basedOn w:val="DefaultParagraphFont"/>
    <w:uiPriority w:val="22"/>
    <w:qFormat/>
    <w:rsid w:val="00FB1443"/>
    <w:rPr>
      <w:b/>
      <w:bCs/>
    </w:rPr>
  </w:style>
  <w:style w:type="character" w:customStyle="1" w:styleId="BasicParagraphChar">
    <w:name w:val="[Basic Paragraph] Char"/>
    <w:basedOn w:val="DefaultParagraphFont"/>
    <w:link w:val="BasicParagraph"/>
    <w:rsid w:val="00BE33F0"/>
    <w:rPr>
      <w:rFonts w:ascii="MinionPro-Regular" w:hAnsi="MinionPro-Regular" w:cs="MinionPro-Regular"/>
      <w:color w:val="00000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A128C"/>
    <w:rPr>
      <w:rFonts w:ascii="Verdana" w:hAnsi="Verdana"/>
    </w:rPr>
  </w:style>
  <w:style w:type="paragraph" w:customStyle="1" w:styleId="Footnote">
    <w:name w:val="Footnote"/>
    <w:basedOn w:val="FootnoteText"/>
    <w:link w:val="FootnoteChar"/>
    <w:qFormat/>
    <w:rsid w:val="007A128C"/>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7A128C"/>
    <w:rPr>
      <w:rFonts w:ascii="Verdana" w:eastAsia="Verdana" w:hAnsi="Verdana" w:cs="Verdana"/>
      <w:color w:val="77328A"/>
      <w:sz w:val="16"/>
      <w:szCs w:val="16"/>
      <w:lang w:eastAsia="en-GB"/>
    </w:rPr>
  </w:style>
  <w:style w:type="character" w:styleId="FollowedHyperlink">
    <w:name w:val="FollowedHyperlink"/>
    <w:basedOn w:val="DefaultParagraphFont"/>
    <w:uiPriority w:val="99"/>
    <w:semiHidden/>
    <w:unhideWhenUsed/>
    <w:rsid w:val="007F4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ademia.edu/4602286/Criminal_Code_of_Hungary_2012" TargetMode="External"/><Relationship Id="rId13" Type="http://schemas.openxmlformats.org/officeDocument/2006/relationships/hyperlink" Target="http://www.iccnow.org/documents/criminal-code-of-bih.pdf" TargetMode="External"/><Relationship Id="rId18" Type="http://schemas.openxmlformats.org/officeDocument/2006/relationships/hyperlink" Target="http://www.wipo.int/wipolex/en/text.jsp?file_id=190913" TargetMode="External"/><Relationship Id="rId26" Type="http://schemas.openxmlformats.org/officeDocument/2006/relationships/hyperlink" Target="https://hudoc.esc.coe.int/eng" TargetMode="External"/><Relationship Id="rId3" Type="http://schemas.openxmlformats.org/officeDocument/2006/relationships/hyperlink" Target="https://www.legislation.gov.uk/asp/2019/7/contents/enacted" TargetMode="External"/><Relationship Id="rId21" Type="http://schemas.openxmlformats.org/officeDocument/2006/relationships/hyperlink" Target="http://legislationline.org/documents/section/criminal-codes" TargetMode="External"/><Relationship Id="rId7" Type="http://schemas.openxmlformats.org/officeDocument/2006/relationships/hyperlink" Target="http://www.altalex.com/index.php?idnot=36653" TargetMode="External"/><Relationship Id="rId12" Type="http://schemas.openxmlformats.org/officeDocument/2006/relationships/hyperlink" Target="http://legislationline.org/documents/action/popup/id/8881/preview/" TargetMode="External"/><Relationship Id="rId17" Type="http://schemas.openxmlformats.org/officeDocument/2006/relationships/hyperlink" Target="http://www.government.se/content/1/c6/02/77/77/cb79a8a3.pdf" TargetMode="External"/><Relationship Id="rId25" Type="http://schemas.openxmlformats.org/officeDocument/2006/relationships/hyperlink" Target="http://www.legilux.public.lu/leg/a/archives/1992/0070/a070.pdf" TargetMode="External"/><Relationship Id="rId2" Type="http://schemas.openxmlformats.org/officeDocument/2006/relationships/hyperlink" Target="https://gateway.euro.who.int/en/indicators/cah_20-minimum-age-of-criminal-responsibility/" TargetMode="External"/><Relationship Id="rId16" Type="http://schemas.openxmlformats.org/officeDocument/2006/relationships/hyperlink" Target="https://www.retsinformation.dk/Forms/R0710.aspx?id=121398" TargetMode="External"/><Relationship Id="rId20" Type="http://schemas.openxmlformats.org/officeDocument/2006/relationships/hyperlink" Target="http://legislationline.org/documents/section/criminal-codes" TargetMode="External"/><Relationship Id="rId1" Type="http://schemas.openxmlformats.org/officeDocument/2006/relationships/hyperlink" Target="https://www.niassembly.gov.uk/globalassets/documents/legislation/bills/executive-bills/mandate-2022-2027/justice-bill/ml-1---fpv.pdf" TargetMode="External"/><Relationship Id="rId6" Type="http://schemas.openxmlformats.org/officeDocument/2006/relationships/hyperlink" Target="http://www.oijj.org/en/docs/general/qualified-law-on-juvenile-justice" TargetMode="External"/><Relationship Id="rId11" Type="http://schemas.openxmlformats.org/officeDocument/2006/relationships/hyperlink" Target="http://www.jusline.at/Jugendgerichtsgesetz_(JGG).html" TargetMode="External"/><Relationship Id="rId24" Type="http://schemas.openxmlformats.org/officeDocument/2006/relationships/hyperlink" Target="http://www.ambafrance-nz.org/IMG/pdf/VA_-_juvenile_justice.pdf" TargetMode="External"/><Relationship Id="rId5" Type="http://schemas.openxmlformats.org/officeDocument/2006/relationships/hyperlink" Target="http://legislationline.org/documents/action/popup/id/6872/preview" TargetMode="External"/><Relationship Id="rId15" Type="http://schemas.openxmlformats.org/officeDocument/2006/relationships/hyperlink" Target="http://www.vsrh.hr/CustomPages/Static/HRV/Files/Legislation__Criminal-Code.pdf." TargetMode="External"/><Relationship Id="rId23" Type="http://schemas.openxmlformats.org/officeDocument/2006/relationships/hyperlink" Target="http://legislationline.org/documents/section/criminal-codes/" TargetMode="External"/><Relationship Id="rId10" Type="http://schemas.openxmlformats.org/officeDocument/2006/relationships/hyperlink" Target="http://www.gesetze-im-internet.de/englisch_stgb/index.html" TargetMode="External"/><Relationship Id="rId19" Type="http://schemas.openxmlformats.org/officeDocument/2006/relationships/hyperlink" Target="http://legislationline.org/documents/section/criminal-codes" TargetMode="External"/><Relationship Id="rId4" Type="http://schemas.openxmlformats.org/officeDocument/2006/relationships/hyperlink" Target="http://www.ejtn.eu/PageFiles/6533/2014%20seminars/Omsenie/WetboekvanStrafvordering_ENG_PV.pdf" TargetMode="External"/><Relationship Id="rId9" Type="http://schemas.openxmlformats.org/officeDocument/2006/relationships/hyperlink" Target="http://noticias.juridicas.com/base_datos/Penal/lo5-2000.html" TargetMode="External"/><Relationship Id="rId14" Type="http://schemas.openxmlformats.org/officeDocument/2006/relationships/hyperlink" Target="ttp://www.vsrh.hr/CustomPages/Static/HRV/Files/Legislation__Juvenile-Courts-Act.pdf" TargetMode="External"/><Relationship Id="rId22" Type="http://schemas.openxmlformats.org/officeDocument/2006/relationships/hyperlink" Target="http://legislationline.org/documents/section/criminal-co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7f59fd-8846-4c39-a3da-8a4fd00e10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1AFB5EC99584DA42F3B024253221E" ma:contentTypeVersion="18" ma:contentTypeDescription="Create a new document." ma:contentTypeScope="" ma:versionID="6c3ff3a620c52086e56563e5c603a3ce">
  <xsd:schema xmlns:xsd="http://www.w3.org/2001/XMLSchema" xmlns:xs="http://www.w3.org/2001/XMLSchema" xmlns:p="http://schemas.microsoft.com/office/2006/metadata/properties" xmlns:ns3="052870be-49ec-4cee-b4d4-bdf92c489c2b" xmlns:ns4="587f59fd-8846-4c39-a3da-8a4fd00e10b8" targetNamespace="http://schemas.microsoft.com/office/2006/metadata/properties" ma:root="true" ma:fieldsID="41713a245dcb5752f1762aaa87761c50" ns3:_="" ns4:_="">
    <xsd:import namespace="052870be-49ec-4cee-b4d4-bdf92c489c2b"/>
    <xsd:import namespace="587f59fd-8846-4c39-a3da-8a4fd00e10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870be-49ec-4cee-b4d4-bdf92c489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f59fd-8846-4c39-a3da-8a4fd00e10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C946-7409-48D9-B4A6-98FA175A6FC3}">
  <ds:schemaRefs>
    <ds:schemaRef ds:uri="http://schemas.microsoft.com/office/2006/metadata/properties"/>
    <ds:schemaRef ds:uri="http://schemas.microsoft.com/office/infopath/2007/PartnerControls"/>
    <ds:schemaRef ds:uri="587f59fd-8846-4c39-a3da-8a4fd00e10b8"/>
  </ds:schemaRefs>
</ds:datastoreItem>
</file>

<file path=customXml/itemProps2.xml><?xml version="1.0" encoding="utf-8"?>
<ds:datastoreItem xmlns:ds="http://schemas.openxmlformats.org/officeDocument/2006/customXml" ds:itemID="{B3235430-A2E8-49E5-8F9B-D3E71CC8B448}">
  <ds:schemaRefs>
    <ds:schemaRef ds:uri="http://schemas.microsoft.com/sharepoint/v3/contenttype/forms"/>
  </ds:schemaRefs>
</ds:datastoreItem>
</file>

<file path=customXml/itemProps3.xml><?xml version="1.0" encoding="utf-8"?>
<ds:datastoreItem xmlns:ds="http://schemas.openxmlformats.org/officeDocument/2006/customXml" ds:itemID="{327E1A70-57F8-4D71-97CF-66CD5A0C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870be-49ec-4cee-b4d4-bdf92c489c2b"/>
    <ds:schemaRef ds:uri="587f59fd-8846-4c39-a3da-8a4fd00e1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2</TotalTime>
  <Pages>16</Pages>
  <Words>3823</Words>
  <Characters>19765</Characters>
  <Application>Microsoft Office Word</Application>
  <DocSecurity>4</DocSecurity>
  <Lines>482</Lines>
  <Paragraphs>170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23418</CharactersWithSpaces>
  <SharedDoc>false</SharedDoc>
  <HLinks>
    <vt:vector size="216" baseType="variant">
      <vt:variant>
        <vt:i4>6946881</vt:i4>
      </vt:variant>
      <vt:variant>
        <vt:i4>51</vt:i4>
      </vt:variant>
      <vt:variant>
        <vt:i4>0</vt:i4>
      </vt:variant>
      <vt:variant>
        <vt:i4>5</vt:i4>
      </vt:variant>
      <vt:variant>
        <vt:lpwstr>mailto:info@nihrc.org</vt:lpwstr>
      </vt:variant>
      <vt:variant>
        <vt:lpwstr/>
      </vt:variant>
      <vt:variant>
        <vt:i4>4587543</vt:i4>
      </vt:variant>
      <vt:variant>
        <vt:i4>48</vt:i4>
      </vt:variant>
      <vt:variant>
        <vt:i4>0</vt:i4>
      </vt:variant>
      <vt:variant>
        <vt:i4>5</vt:i4>
      </vt:variant>
      <vt:variant>
        <vt:lpwstr>http://www.nihrc.org/</vt:lpwstr>
      </vt:variant>
      <vt:variant>
        <vt:lpwstr/>
      </vt:variant>
      <vt:variant>
        <vt:i4>6881286</vt:i4>
      </vt:variant>
      <vt:variant>
        <vt:i4>45</vt:i4>
      </vt:variant>
      <vt:variant>
        <vt:i4>0</vt:i4>
      </vt:variant>
      <vt:variant>
        <vt:i4>5</vt:i4>
      </vt:variant>
      <vt:variant>
        <vt:lpwstr>mailto:Colin.Caughey@nihrc.org</vt:lpwstr>
      </vt:variant>
      <vt:variant>
        <vt:lpwstr/>
      </vt:variant>
      <vt:variant>
        <vt:i4>2031665</vt:i4>
      </vt:variant>
      <vt:variant>
        <vt:i4>38</vt:i4>
      </vt:variant>
      <vt:variant>
        <vt:i4>0</vt:i4>
      </vt:variant>
      <vt:variant>
        <vt:i4>5</vt:i4>
      </vt:variant>
      <vt:variant>
        <vt:lpwstr/>
      </vt:variant>
      <vt:variant>
        <vt:lpwstr>_Toc231921030</vt:lpwstr>
      </vt:variant>
      <vt:variant>
        <vt:i4>1966129</vt:i4>
      </vt:variant>
      <vt:variant>
        <vt:i4>32</vt:i4>
      </vt:variant>
      <vt:variant>
        <vt:i4>0</vt:i4>
      </vt:variant>
      <vt:variant>
        <vt:i4>5</vt:i4>
      </vt:variant>
      <vt:variant>
        <vt:lpwstr/>
      </vt:variant>
      <vt:variant>
        <vt:lpwstr>_Toc231921029</vt:lpwstr>
      </vt:variant>
      <vt:variant>
        <vt:i4>1966129</vt:i4>
      </vt:variant>
      <vt:variant>
        <vt:i4>26</vt:i4>
      </vt:variant>
      <vt:variant>
        <vt:i4>0</vt:i4>
      </vt:variant>
      <vt:variant>
        <vt:i4>5</vt:i4>
      </vt:variant>
      <vt:variant>
        <vt:lpwstr/>
      </vt:variant>
      <vt:variant>
        <vt:lpwstr>_Toc231921028</vt:lpwstr>
      </vt:variant>
      <vt:variant>
        <vt:i4>1966129</vt:i4>
      </vt:variant>
      <vt:variant>
        <vt:i4>20</vt:i4>
      </vt:variant>
      <vt:variant>
        <vt:i4>0</vt:i4>
      </vt:variant>
      <vt:variant>
        <vt:i4>5</vt:i4>
      </vt:variant>
      <vt:variant>
        <vt:lpwstr/>
      </vt:variant>
      <vt:variant>
        <vt:lpwstr>_Toc231921027</vt:lpwstr>
      </vt:variant>
      <vt:variant>
        <vt:i4>1966129</vt:i4>
      </vt:variant>
      <vt:variant>
        <vt:i4>14</vt:i4>
      </vt:variant>
      <vt:variant>
        <vt:i4>0</vt:i4>
      </vt:variant>
      <vt:variant>
        <vt:i4>5</vt:i4>
      </vt:variant>
      <vt:variant>
        <vt:lpwstr/>
      </vt:variant>
      <vt:variant>
        <vt:lpwstr>_Toc231921026</vt:lpwstr>
      </vt:variant>
      <vt:variant>
        <vt:i4>1966129</vt:i4>
      </vt:variant>
      <vt:variant>
        <vt:i4>8</vt:i4>
      </vt:variant>
      <vt:variant>
        <vt:i4>0</vt:i4>
      </vt:variant>
      <vt:variant>
        <vt:i4>5</vt:i4>
      </vt:variant>
      <vt:variant>
        <vt:lpwstr/>
      </vt:variant>
      <vt:variant>
        <vt:lpwstr>_Toc231921025</vt:lpwstr>
      </vt:variant>
      <vt:variant>
        <vt:i4>1966129</vt:i4>
      </vt:variant>
      <vt:variant>
        <vt:i4>2</vt:i4>
      </vt:variant>
      <vt:variant>
        <vt:i4>0</vt:i4>
      </vt:variant>
      <vt:variant>
        <vt:i4>5</vt:i4>
      </vt:variant>
      <vt:variant>
        <vt:lpwstr/>
      </vt:variant>
      <vt:variant>
        <vt:lpwstr>_Toc231921024</vt:lpwstr>
      </vt:variant>
      <vt:variant>
        <vt:i4>1179712</vt:i4>
      </vt:variant>
      <vt:variant>
        <vt:i4>75</vt:i4>
      </vt:variant>
      <vt:variant>
        <vt:i4>0</vt:i4>
      </vt:variant>
      <vt:variant>
        <vt:i4>5</vt:i4>
      </vt:variant>
      <vt:variant>
        <vt:lpwstr>https://hudoc.esc.coe.int/eng</vt:lpwstr>
      </vt:variant>
      <vt:variant>
        <vt:lpwstr>{%22sort%22:[%22escpublicationdate%20descending%22],%22escdcidentifier%22:[%222019/def/FRA/17/1/EN%22]}</vt:lpwstr>
      </vt:variant>
      <vt:variant>
        <vt:i4>6946943</vt:i4>
      </vt:variant>
      <vt:variant>
        <vt:i4>72</vt:i4>
      </vt:variant>
      <vt:variant>
        <vt:i4>0</vt:i4>
      </vt:variant>
      <vt:variant>
        <vt:i4>5</vt:i4>
      </vt:variant>
      <vt:variant>
        <vt:lpwstr>http://www.legilux.public.lu/leg/a/archives/1992/0070/a070.pdf</vt:lpwstr>
      </vt:variant>
      <vt:variant>
        <vt:lpwstr/>
      </vt:variant>
      <vt:variant>
        <vt:i4>6422548</vt:i4>
      </vt:variant>
      <vt:variant>
        <vt:i4>69</vt:i4>
      </vt:variant>
      <vt:variant>
        <vt:i4>0</vt:i4>
      </vt:variant>
      <vt:variant>
        <vt:i4>5</vt:i4>
      </vt:variant>
      <vt:variant>
        <vt:lpwstr>http://www.ambafrance-nz.org/IMG/pdf/VA_-_juvenile_justice.pdf</vt:lpwstr>
      </vt:variant>
      <vt:variant>
        <vt:lpwstr/>
      </vt:variant>
      <vt:variant>
        <vt:i4>5963807</vt:i4>
      </vt:variant>
      <vt:variant>
        <vt:i4>66</vt:i4>
      </vt:variant>
      <vt:variant>
        <vt:i4>0</vt:i4>
      </vt:variant>
      <vt:variant>
        <vt:i4>5</vt:i4>
      </vt:variant>
      <vt:variant>
        <vt:lpwstr>http://legislationline.org/documents/section/criminal-codes/</vt:lpwstr>
      </vt:variant>
      <vt:variant>
        <vt:lpwstr/>
      </vt:variant>
      <vt:variant>
        <vt:i4>7602284</vt:i4>
      </vt:variant>
      <vt:variant>
        <vt:i4>63</vt:i4>
      </vt:variant>
      <vt:variant>
        <vt:i4>0</vt:i4>
      </vt:variant>
      <vt:variant>
        <vt:i4>5</vt:i4>
      </vt:variant>
      <vt:variant>
        <vt:lpwstr>http://legislationline.org/documents/section/criminal-codes</vt:lpwstr>
      </vt:variant>
      <vt:variant>
        <vt:lpwstr/>
      </vt:variant>
      <vt:variant>
        <vt:i4>7602284</vt:i4>
      </vt:variant>
      <vt:variant>
        <vt:i4>60</vt:i4>
      </vt:variant>
      <vt:variant>
        <vt:i4>0</vt:i4>
      </vt:variant>
      <vt:variant>
        <vt:i4>5</vt:i4>
      </vt:variant>
      <vt:variant>
        <vt:lpwstr>http://legislationline.org/documents/section/criminal-codes</vt:lpwstr>
      </vt:variant>
      <vt:variant>
        <vt:lpwstr/>
      </vt:variant>
      <vt:variant>
        <vt:i4>7602284</vt:i4>
      </vt:variant>
      <vt:variant>
        <vt:i4>57</vt:i4>
      </vt:variant>
      <vt:variant>
        <vt:i4>0</vt:i4>
      </vt:variant>
      <vt:variant>
        <vt:i4>5</vt:i4>
      </vt:variant>
      <vt:variant>
        <vt:lpwstr>http://legislationline.org/documents/section/criminal-codes</vt:lpwstr>
      </vt:variant>
      <vt:variant>
        <vt:lpwstr/>
      </vt:variant>
      <vt:variant>
        <vt:i4>7602284</vt:i4>
      </vt:variant>
      <vt:variant>
        <vt:i4>54</vt:i4>
      </vt:variant>
      <vt:variant>
        <vt:i4>0</vt:i4>
      </vt:variant>
      <vt:variant>
        <vt:i4>5</vt:i4>
      </vt:variant>
      <vt:variant>
        <vt:lpwstr>http://legislationline.org/documents/section/criminal-codes</vt:lpwstr>
      </vt:variant>
      <vt:variant>
        <vt:lpwstr/>
      </vt:variant>
      <vt:variant>
        <vt:i4>6553624</vt:i4>
      </vt:variant>
      <vt:variant>
        <vt:i4>51</vt:i4>
      </vt:variant>
      <vt:variant>
        <vt:i4>0</vt:i4>
      </vt:variant>
      <vt:variant>
        <vt:i4>5</vt:i4>
      </vt:variant>
      <vt:variant>
        <vt:lpwstr>http://www.wipo.int/wipolex/en/text.jsp?file_id=190913</vt:lpwstr>
      </vt:variant>
      <vt:variant>
        <vt:lpwstr/>
      </vt:variant>
      <vt:variant>
        <vt:i4>6422570</vt:i4>
      </vt:variant>
      <vt:variant>
        <vt:i4>48</vt:i4>
      </vt:variant>
      <vt:variant>
        <vt:i4>0</vt:i4>
      </vt:variant>
      <vt:variant>
        <vt:i4>5</vt:i4>
      </vt:variant>
      <vt:variant>
        <vt:lpwstr>http://www.government.se/content/1/c6/02/77/77/cb79a8a3.pdf</vt:lpwstr>
      </vt:variant>
      <vt:variant>
        <vt:lpwstr/>
      </vt:variant>
      <vt:variant>
        <vt:i4>852042</vt:i4>
      </vt:variant>
      <vt:variant>
        <vt:i4>45</vt:i4>
      </vt:variant>
      <vt:variant>
        <vt:i4>0</vt:i4>
      </vt:variant>
      <vt:variant>
        <vt:i4>5</vt:i4>
      </vt:variant>
      <vt:variant>
        <vt:lpwstr>https://www.retsinformation.dk/Forms/R0710.aspx?id=121398</vt:lpwstr>
      </vt:variant>
      <vt:variant>
        <vt:lpwstr/>
      </vt:variant>
      <vt:variant>
        <vt:i4>5570654</vt:i4>
      </vt:variant>
      <vt:variant>
        <vt:i4>42</vt:i4>
      </vt:variant>
      <vt:variant>
        <vt:i4>0</vt:i4>
      </vt:variant>
      <vt:variant>
        <vt:i4>5</vt:i4>
      </vt:variant>
      <vt:variant>
        <vt:lpwstr>http://www.vsrh.hr/CustomPages/Static/HRV/Files/Legislation__Criminal-Code.pdf.</vt:lpwstr>
      </vt:variant>
      <vt:variant>
        <vt:lpwstr/>
      </vt:variant>
      <vt:variant>
        <vt:i4>1835102</vt:i4>
      </vt:variant>
      <vt:variant>
        <vt:i4>39</vt:i4>
      </vt:variant>
      <vt:variant>
        <vt:i4>0</vt:i4>
      </vt:variant>
      <vt:variant>
        <vt:i4>5</vt:i4>
      </vt:variant>
      <vt:variant>
        <vt:lpwstr>ttp://www.vsrh.hr/CustomPages/Static/HRV/Files/Legislation__Juvenile-Courts-Act.pdf</vt:lpwstr>
      </vt:variant>
      <vt:variant>
        <vt:lpwstr/>
      </vt:variant>
      <vt:variant>
        <vt:i4>5505041</vt:i4>
      </vt:variant>
      <vt:variant>
        <vt:i4>36</vt:i4>
      </vt:variant>
      <vt:variant>
        <vt:i4>0</vt:i4>
      </vt:variant>
      <vt:variant>
        <vt:i4>5</vt:i4>
      </vt:variant>
      <vt:variant>
        <vt:lpwstr>http://www.iccnow.org/documents/criminal-code-of-bih.pdf</vt:lpwstr>
      </vt:variant>
      <vt:variant>
        <vt:lpwstr/>
      </vt:variant>
      <vt:variant>
        <vt:i4>2293879</vt:i4>
      </vt:variant>
      <vt:variant>
        <vt:i4>33</vt:i4>
      </vt:variant>
      <vt:variant>
        <vt:i4>0</vt:i4>
      </vt:variant>
      <vt:variant>
        <vt:i4>5</vt:i4>
      </vt:variant>
      <vt:variant>
        <vt:lpwstr>http://legislationline.org/documents/action/popup/id/8881/preview/</vt:lpwstr>
      </vt:variant>
      <vt:variant>
        <vt:lpwstr/>
      </vt:variant>
      <vt:variant>
        <vt:i4>655476</vt:i4>
      </vt:variant>
      <vt:variant>
        <vt:i4>30</vt:i4>
      </vt:variant>
      <vt:variant>
        <vt:i4>0</vt:i4>
      </vt:variant>
      <vt:variant>
        <vt:i4>5</vt:i4>
      </vt:variant>
      <vt:variant>
        <vt:lpwstr>http://www.jusline.at/Jugendgerichtsgesetz_(JGG).html</vt:lpwstr>
      </vt:variant>
      <vt:variant>
        <vt:lpwstr/>
      </vt:variant>
      <vt:variant>
        <vt:i4>3080218</vt:i4>
      </vt:variant>
      <vt:variant>
        <vt:i4>27</vt:i4>
      </vt:variant>
      <vt:variant>
        <vt:i4>0</vt:i4>
      </vt:variant>
      <vt:variant>
        <vt:i4>5</vt:i4>
      </vt:variant>
      <vt:variant>
        <vt:lpwstr>http://www.gesetze-im-internet.de/englisch_stgb/index.html</vt:lpwstr>
      </vt:variant>
      <vt:variant>
        <vt:lpwstr/>
      </vt:variant>
      <vt:variant>
        <vt:i4>2031732</vt:i4>
      </vt:variant>
      <vt:variant>
        <vt:i4>24</vt:i4>
      </vt:variant>
      <vt:variant>
        <vt:i4>0</vt:i4>
      </vt:variant>
      <vt:variant>
        <vt:i4>5</vt:i4>
      </vt:variant>
      <vt:variant>
        <vt:lpwstr>http://noticias.juridicas.com/base_datos/Penal/lo5-2000.html</vt:lpwstr>
      </vt:variant>
      <vt:variant>
        <vt:lpwstr/>
      </vt:variant>
      <vt:variant>
        <vt:i4>7274531</vt:i4>
      </vt:variant>
      <vt:variant>
        <vt:i4>21</vt:i4>
      </vt:variant>
      <vt:variant>
        <vt:i4>0</vt:i4>
      </vt:variant>
      <vt:variant>
        <vt:i4>5</vt:i4>
      </vt:variant>
      <vt:variant>
        <vt:lpwstr>http://www.academia.edu/4602286/Criminal_Code_of_Hungary_2012</vt:lpwstr>
      </vt:variant>
      <vt:variant>
        <vt:lpwstr/>
      </vt:variant>
      <vt:variant>
        <vt:i4>1310737</vt:i4>
      </vt:variant>
      <vt:variant>
        <vt:i4>18</vt:i4>
      </vt:variant>
      <vt:variant>
        <vt:i4>0</vt:i4>
      </vt:variant>
      <vt:variant>
        <vt:i4>5</vt:i4>
      </vt:variant>
      <vt:variant>
        <vt:lpwstr>http://www.altalex.com/index.php?idnot=36653</vt:lpwstr>
      </vt:variant>
      <vt:variant>
        <vt:lpwstr/>
      </vt:variant>
      <vt:variant>
        <vt:i4>1114203</vt:i4>
      </vt:variant>
      <vt:variant>
        <vt:i4>15</vt:i4>
      </vt:variant>
      <vt:variant>
        <vt:i4>0</vt:i4>
      </vt:variant>
      <vt:variant>
        <vt:i4>5</vt:i4>
      </vt:variant>
      <vt:variant>
        <vt:lpwstr>http://www.oijj.org/en/docs/general/qualified-law-on-juvenile-justice</vt:lpwstr>
      </vt:variant>
      <vt:variant>
        <vt:lpwstr/>
      </vt:variant>
      <vt:variant>
        <vt:i4>851971</vt:i4>
      </vt:variant>
      <vt:variant>
        <vt:i4>12</vt:i4>
      </vt:variant>
      <vt:variant>
        <vt:i4>0</vt:i4>
      </vt:variant>
      <vt:variant>
        <vt:i4>5</vt:i4>
      </vt:variant>
      <vt:variant>
        <vt:lpwstr>http://legislationline.org/documents/action/popup/id/6872/preview</vt:lpwstr>
      </vt:variant>
      <vt:variant>
        <vt:lpwstr/>
      </vt:variant>
      <vt:variant>
        <vt:i4>7995499</vt:i4>
      </vt:variant>
      <vt:variant>
        <vt:i4>9</vt:i4>
      </vt:variant>
      <vt:variant>
        <vt:i4>0</vt:i4>
      </vt:variant>
      <vt:variant>
        <vt:i4>5</vt:i4>
      </vt:variant>
      <vt:variant>
        <vt:lpwstr>http://www.ejtn.eu/PageFiles/6533/2014 seminars/Omsenie/WetboekvanStrafvordering_ENG_PV.pdf</vt:lpwstr>
      </vt:variant>
      <vt:variant>
        <vt:lpwstr/>
      </vt:variant>
      <vt:variant>
        <vt:i4>3604524</vt:i4>
      </vt:variant>
      <vt:variant>
        <vt:i4>6</vt:i4>
      </vt:variant>
      <vt:variant>
        <vt:i4>0</vt:i4>
      </vt:variant>
      <vt:variant>
        <vt:i4>5</vt:i4>
      </vt:variant>
      <vt:variant>
        <vt:lpwstr>https://www.legislation.gov.uk/asp/2019/7/contents/enacted</vt:lpwstr>
      </vt:variant>
      <vt:variant>
        <vt:lpwstr/>
      </vt:variant>
      <vt:variant>
        <vt:i4>720928</vt:i4>
      </vt:variant>
      <vt:variant>
        <vt:i4>3</vt:i4>
      </vt:variant>
      <vt:variant>
        <vt:i4>0</vt:i4>
      </vt:variant>
      <vt:variant>
        <vt:i4>5</vt:i4>
      </vt:variant>
      <vt:variant>
        <vt:lpwstr>https://gateway.euro.who.int/en/indicators/cah_20-minimum-age-of-criminal-responsibility/</vt:lpwstr>
      </vt:variant>
      <vt:variant>
        <vt:lpwstr>id=27488</vt:lpwstr>
      </vt:variant>
      <vt:variant>
        <vt:i4>2031644</vt:i4>
      </vt:variant>
      <vt:variant>
        <vt:i4>0</vt:i4>
      </vt:variant>
      <vt:variant>
        <vt:i4>0</vt:i4>
      </vt:variant>
      <vt:variant>
        <vt:i4>5</vt:i4>
      </vt:variant>
      <vt:variant>
        <vt:lpwstr>https://www.niassembly.gov.uk/globalassets/documents/legislation/bills/executive-bills/mandate-2022-2027/justice-bill/ml-1---fpv.pdf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Kozah</dc:creator>
  <cp:keywords/>
  <dc:description/>
  <cp:lastModifiedBy>Melody Kozah</cp:lastModifiedBy>
  <cp:revision>2</cp:revision>
  <cp:lastPrinted>2018-04-20T19:30:00Z</cp:lastPrinted>
  <dcterms:created xsi:type="dcterms:W3CDTF">2026-06-26T10:41:00Z</dcterms:created>
  <dcterms:modified xsi:type="dcterms:W3CDTF">2026-06-26T10:41:00Z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0x0101000311AFB5EC99584DA42F3B024253221E</vt:lpwstr>
  </property>
  <property fmtid="{D5CDD505-2E9C-101B-9397-08002B2CF9AE}" pid="3" name="MediaServiceImageTags">
    <vt:lpwstr/>
  </property>
</Properties>
</file>