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99D61" w14:textId="1030E1C3" w:rsidR="00F31387" w:rsidRDefault="00F31387" w:rsidP="003B7D0E">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345A5564" wp14:editId="088ABB5E">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101793DE" w14:textId="77777777" w:rsidR="003B7D0E" w:rsidRPr="00EA12CE" w:rsidRDefault="003B7D0E" w:rsidP="003B7D0E">
      <w:pPr>
        <w:pStyle w:val="BasicParagraph"/>
        <w:suppressAutoHyphens/>
        <w:jc w:val="center"/>
        <w:rPr>
          <w:rFonts w:ascii="Verdana" w:hAnsi="Verdana" w:cs="Arial"/>
          <w:b/>
          <w:bCs/>
          <w:color w:val="734791"/>
          <w:sz w:val="36"/>
          <w:szCs w:val="36"/>
        </w:rPr>
      </w:pPr>
    </w:p>
    <w:p w14:paraId="7390686A" w14:textId="00F055C6" w:rsidR="0096459E" w:rsidRPr="003B7D0E" w:rsidRDefault="00E31F86" w:rsidP="4BE808BB">
      <w:pPr>
        <w:pStyle w:val="BasicParagraph"/>
        <w:suppressAutoHyphens/>
        <w:jc w:val="center"/>
        <w:rPr>
          <w:rFonts w:ascii="Verdana" w:hAnsi="Verdana" w:cs="Arial"/>
          <w:b/>
          <w:bCs/>
          <w:color w:val="77328A"/>
          <w:sz w:val="36"/>
          <w:szCs w:val="36"/>
        </w:rPr>
      </w:pPr>
      <w:r w:rsidRPr="4BE808BB">
        <w:rPr>
          <w:rFonts w:ascii="Verdana" w:hAnsi="Verdana" w:cs="Arial"/>
          <w:b/>
          <w:bCs/>
          <w:color w:val="77328A"/>
          <w:sz w:val="36"/>
          <w:szCs w:val="36"/>
        </w:rPr>
        <w:t xml:space="preserve">Briefing to Committee for Justice </w:t>
      </w:r>
      <w:r w:rsidR="305A90BE" w:rsidRPr="4BE808BB">
        <w:rPr>
          <w:rFonts w:ascii="Verdana" w:hAnsi="Verdana" w:cs="Arial"/>
          <w:b/>
          <w:bCs/>
          <w:color w:val="77328A"/>
          <w:sz w:val="36"/>
          <w:szCs w:val="36"/>
        </w:rPr>
        <w:t xml:space="preserve">on </w:t>
      </w:r>
      <w:r w:rsidR="000E5886">
        <w:rPr>
          <w:rFonts w:ascii="Verdana" w:hAnsi="Verdana" w:cs="Arial"/>
          <w:b/>
          <w:bCs/>
          <w:color w:val="77328A"/>
          <w:sz w:val="36"/>
          <w:szCs w:val="36"/>
        </w:rPr>
        <w:t xml:space="preserve">Amendments to the </w:t>
      </w:r>
      <w:r w:rsidR="7240140F" w:rsidRPr="4BE808BB">
        <w:rPr>
          <w:rFonts w:ascii="Verdana" w:hAnsi="Verdana" w:cs="Arial"/>
          <w:b/>
          <w:bCs/>
          <w:color w:val="77328A"/>
          <w:sz w:val="36"/>
          <w:szCs w:val="36"/>
        </w:rPr>
        <w:t>‘</w:t>
      </w:r>
      <w:r w:rsidR="305A90BE" w:rsidRPr="4BE808BB">
        <w:rPr>
          <w:rFonts w:ascii="Verdana" w:hAnsi="Verdana" w:cs="Arial"/>
          <w:b/>
          <w:bCs/>
          <w:color w:val="77328A"/>
          <w:sz w:val="36"/>
          <w:szCs w:val="36"/>
        </w:rPr>
        <w:t>Justice Bill</w:t>
      </w:r>
      <w:r w:rsidR="0BB189CF" w:rsidRPr="4BE808BB">
        <w:rPr>
          <w:rFonts w:ascii="Verdana" w:hAnsi="Verdana" w:cs="Arial"/>
          <w:b/>
          <w:bCs/>
          <w:color w:val="77328A"/>
          <w:sz w:val="36"/>
          <w:szCs w:val="36"/>
        </w:rPr>
        <w:t xml:space="preserve"> 07/22-27’</w:t>
      </w:r>
      <w:r w:rsidR="305A90BE" w:rsidRPr="4BE808BB">
        <w:rPr>
          <w:rFonts w:ascii="Verdana" w:hAnsi="Verdana" w:cs="Arial"/>
          <w:b/>
          <w:bCs/>
          <w:color w:val="77328A"/>
          <w:sz w:val="36"/>
          <w:szCs w:val="36"/>
        </w:rPr>
        <w:t xml:space="preserve"> </w:t>
      </w:r>
      <w:r w:rsidR="58E0AF1E" w:rsidRPr="4BE808BB">
        <w:rPr>
          <w:rFonts w:ascii="Verdana" w:hAnsi="Verdana" w:cs="Arial"/>
          <w:b/>
          <w:bCs/>
          <w:color w:val="77328A"/>
          <w:sz w:val="36"/>
          <w:szCs w:val="36"/>
        </w:rPr>
        <w:t xml:space="preserve"> </w:t>
      </w:r>
    </w:p>
    <w:p w14:paraId="06029044" w14:textId="0D1FC063" w:rsidR="00F31387" w:rsidRDefault="00F31387" w:rsidP="003B7D0E">
      <w:pPr>
        <w:pStyle w:val="Default"/>
        <w:spacing w:line="288" w:lineRule="auto"/>
        <w:jc w:val="center"/>
        <w:rPr>
          <w:rFonts w:cs="Arial"/>
          <w:color w:val="232120"/>
          <w:sz w:val="36"/>
          <w:szCs w:val="36"/>
        </w:rPr>
      </w:pPr>
    </w:p>
    <w:p w14:paraId="16243C7B" w14:textId="0730FC1A" w:rsidR="002065AA" w:rsidRDefault="002065AA" w:rsidP="003B7D0E">
      <w:pPr>
        <w:pStyle w:val="Default"/>
        <w:spacing w:line="288" w:lineRule="auto"/>
        <w:jc w:val="center"/>
        <w:rPr>
          <w:rFonts w:cs="Arial"/>
          <w:color w:val="232120"/>
          <w:sz w:val="36"/>
          <w:szCs w:val="36"/>
        </w:rPr>
      </w:pPr>
    </w:p>
    <w:p w14:paraId="7D441482" w14:textId="75B5742D" w:rsidR="002065AA" w:rsidRDefault="002065AA" w:rsidP="003B7D0E">
      <w:pPr>
        <w:pStyle w:val="Default"/>
        <w:spacing w:line="288" w:lineRule="auto"/>
        <w:jc w:val="center"/>
        <w:rPr>
          <w:rFonts w:cs="Arial"/>
          <w:color w:val="232120"/>
          <w:sz w:val="36"/>
          <w:szCs w:val="36"/>
        </w:rPr>
      </w:pPr>
    </w:p>
    <w:p w14:paraId="4D36CF98" w14:textId="4AC6CDC3" w:rsidR="002065AA" w:rsidRDefault="002065AA" w:rsidP="003B7D0E">
      <w:pPr>
        <w:pStyle w:val="Default"/>
        <w:spacing w:line="288" w:lineRule="auto"/>
        <w:jc w:val="center"/>
        <w:rPr>
          <w:rFonts w:cs="Arial"/>
          <w:color w:val="232120"/>
          <w:sz w:val="36"/>
          <w:szCs w:val="36"/>
        </w:rPr>
      </w:pPr>
    </w:p>
    <w:p w14:paraId="47D09FFC" w14:textId="77777777" w:rsidR="002065AA" w:rsidRPr="00331C61" w:rsidRDefault="002065AA" w:rsidP="003B7D0E">
      <w:pPr>
        <w:pStyle w:val="Default"/>
        <w:spacing w:line="288" w:lineRule="auto"/>
        <w:jc w:val="center"/>
        <w:rPr>
          <w:rFonts w:cs="Arial"/>
          <w:color w:val="232120"/>
          <w:sz w:val="36"/>
          <w:szCs w:val="36"/>
        </w:rPr>
      </w:pPr>
    </w:p>
    <w:p w14:paraId="62ACB01C" w14:textId="444B1852" w:rsidR="00046705" w:rsidRPr="00331C61" w:rsidRDefault="4A3D4A89" w:rsidP="003B7D0E">
      <w:pPr>
        <w:jc w:val="center"/>
        <w:rPr>
          <w:rFonts w:cs="Arial"/>
          <w:b/>
          <w:color w:val="232120"/>
          <w:sz w:val="30"/>
          <w:szCs w:val="30"/>
        </w:rPr>
      </w:pPr>
      <w:r w:rsidRPr="38B9062F">
        <w:rPr>
          <w:rFonts w:cs="Arial"/>
          <w:b/>
          <w:bCs/>
          <w:color w:val="232120"/>
          <w:sz w:val="30"/>
          <w:szCs w:val="30"/>
        </w:rPr>
        <w:t xml:space="preserve"> </w:t>
      </w:r>
      <w:r w:rsidR="00F31387" w:rsidRPr="00331C61">
        <w:rPr>
          <w:rFonts w:cs="Arial"/>
          <w:b/>
          <w:color w:val="232120"/>
          <w:sz w:val="30"/>
          <w:szCs w:val="30"/>
        </w:rPr>
        <w:t xml:space="preserve"> </w:t>
      </w:r>
      <w:r w:rsidR="00D920DF">
        <w:rPr>
          <w:rFonts w:cs="Arial"/>
          <w:b/>
          <w:color w:val="232120"/>
          <w:sz w:val="30"/>
          <w:szCs w:val="30"/>
        </w:rPr>
        <w:t>April</w:t>
      </w:r>
      <w:r w:rsidR="000E5886">
        <w:rPr>
          <w:rFonts w:cs="Arial"/>
          <w:b/>
          <w:color w:val="232120"/>
          <w:sz w:val="30"/>
          <w:szCs w:val="30"/>
        </w:rPr>
        <w:t xml:space="preserve"> 2025</w:t>
      </w:r>
    </w:p>
    <w:p w14:paraId="15ECFD5D" w14:textId="77777777" w:rsidR="00046705" w:rsidRPr="00331C61" w:rsidRDefault="00046705" w:rsidP="003B7D0E">
      <w:pPr>
        <w:jc w:val="center"/>
        <w:rPr>
          <w:rFonts w:cs="Arial"/>
          <w:b/>
          <w:color w:val="232120"/>
          <w:sz w:val="28"/>
          <w:szCs w:val="28"/>
        </w:rPr>
      </w:pPr>
    </w:p>
    <w:p w14:paraId="3FC08E6F" w14:textId="2A30CB25" w:rsidR="00EA12CE" w:rsidRPr="00331C61" w:rsidRDefault="00823A0C" w:rsidP="00823A0C">
      <w:pPr>
        <w:pStyle w:val="Default"/>
        <w:tabs>
          <w:tab w:val="left" w:pos="5715"/>
        </w:tabs>
        <w:spacing w:line="288" w:lineRule="auto"/>
        <w:rPr>
          <w:rFonts w:cs="Arial"/>
          <w:b/>
          <w:color w:val="232120"/>
          <w:sz w:val="28"/>
          <w:szCs w:val="28"/>
          <w:lang w:val="en-GB"/>
        </w:rPr>
      </w:pPr>
      <w:r>
        <w:rPr>
          <w:rFonts w:cs="Arial"/>
          <w:b/>
          <w:color w:val="232120"/>
          <w:sz w:val="28"/>
          <w:szCs w:val="28"/>
          <w:lang w:val="en-GB"/>
        </w:rPr>
        <w:tab/>
      </w:r>
    </w:p>
    <w:p w14:paraId="59251443" w14:textId="77777777" w:rsidR="003B7D0E" w:rsidRPr="00331C61" w:rsidRDefault="003B7D0E" w:rsidP="003B7D0E">
      <w:pPr>
        <w:pStyle w:val="Default"/>
        <w:spacing w:line="480" w:lineRule="auto"/>
        <w:jc w:val="center"/>
        <w:rPr>
          <w:rFonts w:cs="Arial"/>
          <w:b/>
          <w:color w:val="232120"/>
          <w:sz w:val="36"/>
          <w:szCs w:val="36"/>
        </w:rPr>
      </w:pPr>
    </w:p>
    <w:p w14:paraId="7E87234E" w14:textId="77777777" w:rsidR="003B7D0E" w:rsidRDefault="003B7D0E" w:rsidP="003B7D0E">
      <w:pPr>
        <w:pStyle w:val="Default"/>
        <w:spacing w:line="480" w:lineRule="auto"/>
        <w:jc w:val="center"/>
        <w:rPr>
          <w:rFonts w:cs="Arial"/>
          <w:b/>
          <w:color w:val="232120"/>
          <w:sz w:val="36"/>
          <w:szCs w:val="36"/>
        </w:rPr>
      </w:pPr>
    </w:p>
    <w:p w14:paraId="3D7BC564" w14:textId="77777777" w:rsidR="00E31F86" w:rsidRDefault="00E31F86" w:rsidP="003B7D0E">
      <w:pPr>
        <w:pStyle w:val="Default"/>
        <w:spacing w:line="480" w:lineRule="auto"/>
        <w:jc w:val="center"/>
        <w:rPr>
          <w:rFonts w:cs="Arial"/>
          <w:b/>
          <w:color w:val="232120"/>
          <w:sz w:val="36"/>
          <w:szCs w:val="36"/>
        </w:rPr>
      </w:pPr>
    </w:p>
    <w:p w14:paraId="55C17730" w14:textId="77777777" w:rsidR="00EA12CE" w:rsidRPr="003B7D0E" w:rsidRDefault="00EA12CE" w:rsidP="00331C61">
      <w:pPr>
        <w:pStyle w:val="Default"/>
        <w:spacing w:line="480" w:lineRule="auto"/>
        <w:rPr>
          <w:rFonts w:cs="Arial"/>
          <w:b/>
          <w:color w:val="3C3C3B"/>
          <w:sz w:val="36"/>
          <w:szCs w:val="36"/>
        </w:rPr>
      </w:pPr>
      <w:r w:rsidRPr="003B7D0E">
        <w:rPr>
          <w:rFonts w:cs="Arial"/>
          <w:b/>
          <w:color w:val="77328A"/>
          <w:sz w:val="36"/>
          <w:szCs w:val="36"/>
        </w:rPr>
        <w:lastRenderedPageBreak/>
        <w:t>Table of Contents</w:t>
      </w:r>
    </w:p>
    <w:sdt>
      <w:sdtPr>
        <w:rPr>
          <w:rFonts w:eastAsiaTheme="majorEastAsia" w:cstheme="majorBidi"/>
          <w:bCs w:val="0"/>
          <w:noProof w:val="0"/>
          <w:color w:val="77328A"/>
          <w:sz w:val="32"/>
          <w:szCs w:val="32"/>
          <w:lang w:val="en-US"/>
        </w:rPr>
        <w:id w:val="-624695728"/>
        <w:docPartObj>
          <w:docPartGallery w:val="Table of Contents"/>
          <w:docPartUnique/>
        </w:docPartObj>
      </w:sdtPr>
      <w:sdtEndPr>
        <w:rPr>
          <w:sz w:val="40"/>
          <w:szCs w:val="40"/>
        </w:rPr>
      </w:sdtEndPr>
      <w:sdtContent>
        <w:p w14:paraId="3B724DBE" w14:textId="55825099" w:rsidR="00D920DF" w:rsidRDefault="00051F62">
          <w:pPr>
            <w:pStyle w:val="TOC2"/>
            <w:rPr>
              <w:rFonts w:asciiTheme="minorHAnsi" w:hAnsiTheme="minorHAnsi"/>
              <w:b w:val="0"/>
              <w:bCs w:val="0"/>
              <w:kern w:val="2"/>
              <w:lang w:eastAsia="en-GB"/>
              <w14:ligatures w14:val="standardContextual"/>
            </w:rPr>
          </w:pPr>
          <w:r w:rsidRPr="0061326B">
            <w:fldChar w:fldCharType="begin"/>
          </w:r>
          <w:r w:rsidRPr="0061326B">
            <w:instrText xml:space="preserve"> TOC \o "1-3" \h \z \u </w:instrText>
          </w:r>
          <w:r w:rsidRPr="0061326B">
            <w:fldChar w:fldCharType="separate"/>
          </w:r>
          <w:hyperlink w:anchor="_Toc194414522" w:history="1">
            <w:r w:rsidR="00D920DF" w:rsidRPr="00D77170">
              <w:rPr>
                <w:rStyle w:val="Hyperlink"/>
              </w:rPr>
              <w:t>Summary of Recommendations</w:t>
            </w:r>
            <w:r w:rsidR="00D920DF">
              <w:rPr>
                <w:webHidden/>
              </w:rPr>
              <w:tab/>
            </w:r>
            <w:r w:rsidR="00D920DF">
              <w:rPr>
                <w:webHidden/>
              </w:rPr>
              <w:fldChar w:fldCharType="begin"/>
            </w:r>
            <w:r w:rsidR="00D920DF">
              <w:rPr>
                <w:webHidden/>
              </w:rPr>
              <w:instrText xml:space="preserve"> PAGEREF _Toc194414522 \h </w:instrText>
            </w:r>
            <w:r w:rsidR="00D920DF">
              <w:rPr>
                <w:webHidden/>
              </w:rPr>
            </w:r>
            <w:r w:rsidR="00D920DF">
              <w:rPr>
                <w:webHidden/>
              </w:rPr>
              <w:fldChar w:fldCharType="separate"/>
            </w:r>
            <w:r w:rsidR="00E965A2">
              <w:rPr>
                <w:webHidden/>
              </w:rPr>
              <w:t>3</w:t>
            </w:r>
            <w:r w:rsidR="00D920DF">
              <w:rPr>
                <w:webHidden/>
              </w:rPr>
              <w:fldChar w:fldCharType="end"/>
            </w:r>
          </w:hyperlink>
        </w:p>
        <w:p w14:paraId="2B1D3396" w14:textId="50920465" w:rsidR="00D920DF" w:rsidRDefault="00D920DF">
          <w:pPr>
            <w:pStyle w:val="TOC2"/>
            <w:rPr>
              <w:rFonts w:asciiTheme="minorHAnsi" w:hAnsiTheme="minorHAnsi"/>
              <w:b w:val="0"/>
              <w:bCs w:val="0"/>
              <w:kern w:val="2"/>
              <w:lang w:eastAsia="en-GB"/>
              <w14:ligatures w14:val="standardContextual"/>
            </w:rPr>
          </w:pPr>
          <w:hyperlink w:anchor="_Toc194414523" w:history="1">
            <w:r w:rsidRPr="00D77170">
              <w:rPr>
                <w:rStyle w:val="Hyperlink"/>
              </w:rPr>
              <w:t>1.0</w:t>
            </w:r>
            <w:r>
              <w:rPr>
                <w:rFonts w:asciiTheme="minorHAnsi" w:hAnsiTheme="minorHAnsi"/>
                <w:b w:val="0"/>
                <w:bCs w:val="0"/>
                <w:kern w:val="2"/>
                <w:lang w:eastAsia="en-GB"/>
                <w14:ligatures w14:val="standardContextual"/>
              </w:rPr>
              <w:tab/>
            </w:r>
            <w:r w:rsidRPr="00D77170">
              <w:rPr>
                <w:rStyle w:val="Hyperlink"/>
              </w:rPr>
              <w:t>Introduction</w:t>
            </w:r>
            <w:r>
              <w:rPr>
                <w:webHidden/>
              </w:rPr>
              <w:tab/>
            </w:r>
            <w:r>
              <w:rPr>
                <w:webHidden/>
              </w:rPr>
              <w:fldChar w:fldCharType="begin"/>
            </w:r>
            <w:r>
              <w:rPr>
                <w:webHidden/>
              </w:rPr>
              <w:instrText xml:space="preserve"> PAGEREF _Toc194414523 \h </w:instrText>
            </w:r>
            <w:r>
              <w:rPr>
                <w:webHidden/>
              </w:rPr>
            </w:r>
            <w:r>
              <w:rPr>
                <w:webHidden/>
              </w:rPr>
              <w:fldChar w:fldCharType="separate"/>
            </w:r>
            <w:r w:rsidR="00E965A2">
              <w:rPr>
                <w:webHidden/>
              </w:rPr>
              <w:t>4</w:t>
            </w:r>
            <w:r>
              <w:rPr>
                <w:webHidden/>
              </w:rPr>
              <w:fldChar w:fldCharType="end"/>
            </w:r>
          </w:hyperlink>
        </w:p>
        <w:p w14:paraId="1A50D8DC" w14:textId="2A52204B" w:rsidR="00D920DF" w:rsidRDefault="00D920DF">
          <w:pPr>
            <w:pStyle w:val="TOC2"/>
            <w:rPr>
              <w:rFonts w:asciiTheme="minorHAnsi" w:hAnsiTheme="minorHAnsi"/>
              <w:b w:val="0"/>
              <w:bCs w:val="0"/>
              <w:kern w:val="2"/>
              <w:lang w:eastAsia="en-GB"/>
              <w14:ligatures w14:val="standardContextual"/>
            </w:rPr>
          </w:pPr>
          <w:hyperlink w:anchor="_Toc194414524" w:history="1">
            <w:r w:rsidRPr="00D77170">
              <w:rPr>
                <w:rStyle w:val="Hyperlink"/>
                <w:lang w:val="en-US"/>
              </w:rPr>
              <w:t>2.0</w:t>
            </w:r>
            <w:r>
              <w:rPr>
                <w:rFonts w:asciiTheme="minorHAnsi" w:hAnsiTheme="minorHAnsi"/>
                <w:b w:val="0"/>
                <w:bCs w:val="0"/>
                <w:kern w:val="2"/>
                <w:lang w:eastAsia="en-GB"/>
                <w14:ligatures w14:val="standardContextual"/>
              </w:rPr>
              <w:tab/>
            </w:r>
            <w:r w:rsidRPr="00D77170">
              <w:rPr>
                <w:rStyle w:val="Hyperlink"/>
                <w:lang w:val="en-US"/>
              </w:rPr>
              <w:t>Biometric Data Retention</w:t>
            </w:r>
            <w:r>
              <w:rPr>
                <w:webHidden/>
              </w:rPr>
              <w:tab/>
            </w:r>
            <w:r>
              <w:rPr>
                <w:webHidden/>
              </w:rPr>
              <w:fldChar w:fldCharType="begin"/>
            </w:r>
            <w:r>
              <w:rPr>
                <w:webHidden/>
              </w:rPr>
              <w:instrText xml:space="preserve"> PAGEREF _Toc194414524 \h </w:instrText>
            </w:r>
            <w:r>
              <w:rPr>
                <w:webHidden/>
              </w:rPr>
            </w:r>
            <w:r>
              <w:rPr>
                <w:webHidden/>
              </w:rPr>
              <w:fldChar w:fldCharType="separate"/>
            </w:r>
            <w:r w:rsidR="00E965A2">
              <w:rPr>
                <w:webHidden/>
              </w:rPr>
              <w:t>4</w:t>
            </w:r>
            <w:r>
              <w:rPr>
                <w:webHidden/>
              </w:rPr>
              <w:fldChar w:fldCharType="end"/>
            </w:r>
          </w:hyperlink>
        </w:p>
        <w:p w14:paraId="2A9C41D2" w14:textId="3D1CF4CD" w:rsidR="00D920DF" w:rsidRDefault="00D920DF">
          <w:pPr>
            <w:pStyle w:val="TOC2"/>
            <w:rPr>
              <w:rFonts w:asciiTheme="minorHAnsi" w:hAnsiTheme="minorHAnsi"/>
              <w:b w:val="0"/>
              <w:bCs w:val="0"/>
              <w:kern w:val="2"/>
              <w:lang w:eastAsia="en-GB"/>
              <w14:ligatures w14:val="standardContextual"/>
            </w:rPr>
          </w:pPr>
          <w:hyperlink w:anchor="_Toc194414525" w:history="1">
            <w:r w:rsidRPr="00D77170">
              <w:rPr>
                <w:rStyle w:val="Hyperlink"/>
              </w:rPr>
              <w:t>3.0</w:t>
            </w:r>
            <w:r>
              <w:rPr>
                <w:rFonts w:asciiTheme="minorHAnsi" w:hAnsiTheme="minorHAnsi"/>
                <w:b w:val="0"/>
                <w:bCs w:val="0"/>
                <w:kern w:val="2"/>
                <w:lang w:eastAsia="en-GB"/>
                <w14:ligatures w14:val="standardContextual"/>
              </w:rPr>
              <w:tab/>
            </w:r>
            <w:r w:rsidRPr="00D77170">
              <w:rPr>
                <w:rStyle w:val="Hyperlink"/>
              </w:rPr>
              <w:t>Restorative Justice</w:t>
            </w:r>
            <w:r>
              <w:rPr>
                <w:webHidden/>
              </w:rPr>
              <w:tab/>
            </w:r>
            <w:r>
              <w:rPr>
                <w:webHidden/>
              </w:rPr>
              <w:fldChar w:fldCharType="begin"/>
            </w:r>
            <w:r>
              <w:rPr>
                <w:webHidden/>
              </w:rPr>
              <w:instrText xml:space="preserve"> PAGEREF _Toc194414525 \h </w:instrText>
            </w:r>
            <w:r>
              <w:rPr>
                <w:webHidden/>
              </w:rPr>
            </w:r>
            <w:r>
              <w:rPr>
                <w:webHidden/>
              </w:rPr>
              <w:fldChar w:fldCharType="separate"/>
            </w:r>
            <w:r w:rsidR="00E965A2">
              <w:rPr>
                <w:webHidden/>
              </w:rPr>
              <w:t>4</w:t>
            </w:r>
            <w:r>
              <w:rPr>
                <w:webHidden/>
              </w:rPr>
              <w:fldChar w:fldCharType="end"/>
            </w:r>
          </w:hyperlink>
        </w:p>
        <w:p w14:paraId="4795DD38" w14:textId="591F50BE" w:rsidR="00D920DF" w:rsidRDefault="00D920DF">
          <w:pPr>
            <w:pStyle w:val="TOC2"/>
            <w:rPr>
              <w:rFonts w:asciiTheme="minorHAnsi" w:hAnsiTheme="minorHAnsi"/>
              <w:b w:val="0"/>
              <w:bCs w:val="0"/>
              <w:kern w:val="2"/>
              <w:lang w:eastAsia="en-GB"/>
              <w14:ligatures w14:val="standardContextual"/>
            </w:rPr>
          </w:pPr>
          <w:hyperlink w:anchor="_Toc194414526" w:history="1">
            <w:r w:rsidRPr="00D77170">
              <w:rPr>
                <w:rStyle w:val="Hyperlink"/>
              </w:rPr>
              <w:t>4.0</w:t>
            </w:r>
            <w:r>
              <w:rPr>
                <w:rFonts w:asciiTheme="minorHAnsi" w:hAnsiTheme="minorHAnsi"/>
                <w:b w:val="0"/>
                <w:bCs w:val="0"/>
                <w:kern w:val="2"/>
                <w:lang w:eastAsia="en-GB"/>
                <w14:ligatures w14:val="standardContextual"/>
              </w:rPr>
              <w:tab/>
            </w:r>
            <w:r w:rsidRPr="00D77170">
              <w:rPr>
                <w:rStyle w:val="Hyperlink"/>
              </w:rPr>
              <w:t>Rehabilitation of Offenders</w:t>
            </w:r>
            <w:r>
              <w:rPr>
                <w:webHidden/>
              </w:rPr>
              <w:tab/>
            </w:r>
            <w:r>
              <w:rPr>
                <w:webHidden/>
              </w:rPr>
              <w:fldChar w:fldCharType="begin"/>
            </w:r>
            <w:r>
              <w:rPr>
                <w:webHidden/>
              </w:rPr>
              <w:instrText xml:space="preserve"> PAGEREF _Toc194414526 \h </w:instrText>
            </w:r>
            <w:r>
              <w:rPr>
                <w:webHidden/>
              </w:rPr>
            </w:r>
            <w:r>
              <w:rPr>
                <w:webHidden/>
              </w:rPr>
              <w:fldChar w:fldCharType="separate"/>
            </w:r>
            <w:r w:rsidR="00E965A2">
              <w:rPr>
                <w:webHidden/>
              </w:rPr>
              <w:t>4</w:t>
            </w:r>
            <w:r>
              <w:rPr>
                <w:webHidden/>
              </w:rPr>
              <w:fldChar w:fldCharType="end"/>
            </w:r>
          </w:hyperlink>
        </w:p>
        <w:p w14:paraId="5B549591" w14:textId="64D714E0" w:rsidR="00D920DF" w:rsidRDefault="00D920DF">
          <w:pPr>
            <w:pStyle w:val="TOC2"/>
            <w:rPr>
              <w:rFonts w:asciiTheme="minorHAnsi" w:hAnsiTheme="minorHAnsi"/>
              <w:b w:val="0"/>
              <w:bCs w:val="0"/>
              <w:kern w:val="2"/>
              <w:lang w:eastAsia="en-GB"/>
              <w14:ligatures w14:val="standardContextual"/>
            </w:rPr>
          </w:pPr>
          <w:hyperlink w:anchor="_Toc194414527" w:history="1">
            <w:r w:rsidRPr="00D77170">
              <w:rPr>
                <w:rStyle w:val="Hyperlink"/>
              </w:rPr>
              <w:t>5.0</w:t>
            </w:r>
            <w:r>
              <w:rPr>
                <w:rFonts w:asciiTheme="minorHAnsi" w:hAnsiTheme="minorHAnsi"/>
                <w:b w:val="0"/>
                <w:bCs w:val="0"/>
                <w:kern w:val="2"/>
                <w:lang w:eastAsia="en-GB"/>
                <w14:ligatures w14:val="standardContextual"/>
              </w:rPr>
              <w:tab/>
            </w:r>
            <w:r w:rsidRPr="00D77170">
              <w:rPr>
                <w:rStyle w:val="Hyperlink"/>
              </w:rPr>
              <w:t>Repeal of Vagrancy</w:t>
            </w:r>
            <w:r>
              <w:rPr>
                <w:webHidden/>
              </w:rPr>
              <w:tab/>
            </w:r>
            <w:r>
              <w:rPr>
                <w:webHidden/>
              </w:rPr>
              <w:fldChar w:fldCharType="begin"/>
            </w:r>
            <w:r>
              <w:rPr>
                <w:webHidden/>
              </w:rPr>
              <w:instrText xml:space="preserve"> PAGEREF _Toc194414527 \h </w:instrText>
            </w:r>
            <w:r>
              <w:rPr>
                <w:webHidden/>
              </w:rPr>
            </w:r>
            <w:r>
              <w:rPr>
                <w:webHidden/>
              </w:rPr>
              <w:fldChar w:fldCharType="separate"/>
            </w:r>
            <w:r w:rsidR="00E965A2">
              <w:rPr>
                <w:webHidden/>
              </w:rPr>
              <w:t>8</w:t>
            </w:r>
            <w:r>
              <w:rPr>
                <w:webHidden/>
              </w:rPr>
              <w:fldChar w:fldCharType="end"/>
            </w:r>
          </w:hyperlink>
        </w:p>
        <w:p w14:paraId="56FACEEA" w14:textId="4436E2F8" w:rsidR="00D920DF" w:rsidRDefault="00D920DF">
          <w:pPr>
            <w:pStyle w:val="TOC2"/>
            <w:rPr>
              <w:rFonts w:asciiTheme="minorHAnsi" w:hAnsiTheme="minorHAnsi"/>
              <w:b w:val="0"/>
              <w:bCs w:val="0"/>
              <w:kern w:val="2"/>
              <w:lang w:eastAsia="en-GB"/>
              <w14:ligatures w14:val="standardContextual"/>
            </w:rPr>
          </w:pPr>
          <w:hyperlink w:anchor="_Toc194414528" w:history="1">
            <w:r w:rsidRPr="00D77170">
              <w:rPr>
                <w:rStyle w:val="Hyperlink"/>
              </w:rPr>
              <w:t>6.0</w:t>
            </w:r>
            <w:r>
              <w:rPr>
                <w:rFonts w:asciiTheme="minorHAnsi" w:hAnsiTheme="minorHAnsi"/>
                <w:b w:val="0"/>
                <w:bCs w:val="0"/>
                <w:kern w:val="2"/>
                <w:lang w:eastAsia="en-GB"/>
                <w14:ligatures w14:val="standardContextual"/>
              </w:rPr>
              <w:tab/>
            </w:r>
            <w:r w:rsidRPr="00D77170">
              <w:rPr>
                <w:rStyle w:val="Hyperlink"/>
              </w:rPr>
              <w:t>Serious Organised Crime</w:t>
            </w:r>
            <w:r>
              <w:rPr>
                <w:webHidden/>
              </w:rPr>
              <w:tab/>
            </w:r>
            <w:r>
              <w:rPr>
                <w:webHidden/>
              </w:rPr>
              <w:fldChar w:fldCharType="begin"/>
            </w:r>
            <w:r>
              <w:rPr>
                <w:webHidden/>
              </w:rPr>
              <w:instrText xml:space="preserve"> PAGEREF _Toc194414528 \h </w:instrText>
            </w:r>
            <w:r>
              <w:rPr>
                <w:webHidden/>
              </w:rPr>
            </w:r>
            <w:r>
              <w:rPr>
                <w:webHidden/>
              </w:rPr>
              <w:fldChar w:fldCharType="separate"/>
            </w:r>
            <w:r w:rsidR="00E965A2">
              <w:rPr>
                <w:webHidden/>
              </w:rPr>
              <w:t>10</w:t>
            </w:r>
            <w:r>
              <w:rPr>
                <w:webHidden/>
              </w:rPr>
              <w:fldChar w:fldCharType="end"/>
            </w:r>
          </w:hyperlink>
        </w:p>
        <w:p w14:paraId="6EE0CEC8" w14:textId="18D9615B" w:rsidR="00D920DF" w:rsidRDefault="00D920DF">
          <w:pPr>
            <w:pStyle w:val="TOC2"/>
            <w:rPr>
              <w:rFonts w:asciiTheme="minorHAnsi" w:hAnsiTheme="minorHAnsi"/>
              <w:b w:val="0"/>
              <w:bCs w:val="0"/>
              <w:kern w:val="2"/>
              <w:lang w:eastAsia="en-GB"/>
              <w14:ligatures w14:val="standardContextual"/>
            </w:rPr>
          </w:pPr>
          <w:hyperlink w:anchor="_Toc194414529" w:history="1">
            <w:r w:rsidRPr="00D77170">
              <w:rPr>
                <w:rStyle w:val="Hyperlink"/>
              </w:rPr>
              <w:t>7.0</w:t>
            </w:r>
            <w:r>
              <w:rPr>
                <w:rFonts w:asciiTheme="minorHAnsi" w:hAnsiTheme="minorHAnsi"/>
                <w:b w:val="0"/>
                <w:bCs w:val="0"/>
                <w:kern w:val="2"/>
                <w:lang w:eastAsia="en-GB"/>
                <w14:ligatures w14:val="standardContextual"/>
              </w:rPr>
              <w:tab/>
            </w:r>
            <w:r w:rsidRPr="00D77170">
              <w:rPr>
                <w:rStyle w:val="Hyperlink"/>
              </w:rPr>
              <w:t>AccessNI Filtering</w:t>
            </w:r>
            <w:r>
              <w:rPr>
                <w:webHidden/>
              </w:rPr>
              <w:tab/>
            </w:r>
            <w:r>
              <w:rPr>
                <w:webHidden/>
              </w:rPr>
              <w:fldChar w:fldCharType="begin"/>
            </w:r>
            <w:r>
              <w:rPr>
                <w:webHidden/>
              </w:rPr>
              <w:instrText xml:space="preserve"> PAGEREF _Toc194414529 \h </w:instrText>
            </w:r>
            <w:r>
              <w:rPr>
                <w:webHidden/>
              </w:rPr>
            </w:r>
            <w:r>
              <w:rPr>
                <w:webHidden/>
              </w:rPr>
              <w:fldChar w:fldCharType="separate"/>
            </w:r>
            <w:r w:rsidR="00E965A2">
              <w:rPr>
                <w:webHidden/>
              </w:rPr>
              <w:t>14</w:t>
            </w:r>
            <w:r>
              <w:rPr>
                <w:webHidden/>
              </w:rPr>
              <w:fldChar w:fldCharType="end"/>
            </w:r>
          </w:hyperlink>
        </w:p>
        <w:p w14:paraId="4169BE73" w14:textId="3B929700" w:rsidR="00D920DF" w:rsidRDefault="00D920DF">
          <w:pPr>
            <w:pStyle w:val="TOC2"/>
            <w:rPr>
              <w:rFonts w:asciiTheme="minorHAnsi" w:hAnsiTheme="minorHAnsi"/>
              <w:b w:val="0"/>
              <w:bCs w:val="0"/>
              <w:kern w:val="2"/>
              <w:lang w:eastAsia="en-GB"/>
              <w14:ligatures w14:val="standardContextual"/>
            </w:rPr>
          </w:pPr>
          <w:hyperlink w:anchor="_Toc194414530" w:history="1">
            <w:r w:rsidRPr="00D77170">
              <w:rPr>
                <w:rStyle w:val="Hyperlink"/>
              </w:rPr>
              <w:t>8.0</w:t>
            </w:r>
            <w:r>
              <w:rPr>
                <w:rFonts w:asciiTheme="minorHAnsi" w:hAnsiTheme="minorHAnsi"/>
                <w:b w:val="0"/>
                <w:bCs w:val="0"/>
                <w:kern w:val="2"/>
                <w:lang w:eastAsia="en-GB"/>
                <w14:ligatures w14:val="standardContextual"/>
              </w:rPr>
              <w:tab/>
            </w:r>
            <w:r w:rsidRPr="00D77170">
              <w:rPr>
                <w:rStyle w:val="Hyperlink"/>
              </w:rPr>
              <w:t>Live Links (Courts and Tribunals)</w:t>
            </w:r>
            <w:r>
              <w:rPr>
                <w:webHidden/>
              </w:rPr>
              <w:tab/>
            </w:r>
            <w:r>
              <w:rPr>
                <w:webHidden/>
              </w:rPr>
              <w:fldChar w:fldCharType="begin"/>
            </w:r>
            <w:r>
              <w:rPr>
                <w:webHidden/>
              </w:rPr>
              <w:instrText xml:space="preserve"> PAGEREF _Toc194414530 \h </w:instrText>
            </w:r>
            <w:r>
              <w:rPr>
                <w:webHidden/>
              </w:rPr>
            </w:r>
            <w:r>
              <w:rPr>
                <w:webHidden/>
              </w:rPr>
              <w:fldChar w:fldCharType="separate"/>
            </w:r>
            <w:r w:rsidR="00E965A2">
              <w:rPr>
                <w:webHidden/>
              </w:rPr>
              <w:t>14</w:t>
            </w:r>
            <w:r>
              <w:rPr>
                <w:webHidden/>
              </w:rPr>
              <w:fldChar w:fldCharType="end"/>
            </w:r>
          </w:hyperlink>
        </w:p>
        <w:p w14:paraId="3262CCB1" w14:textId="10BC1BEB" w:rsidR="00051F62" w:rsidRPr="0061326B" w:rsidRDefault="00051F62" w:rsidP="00051F62">
          <w:pPr>
            <w:pStyle w:val="TOCHeading"/>
            <w:rPr>
              <w:color w:val="auto"/>
              <w:sz w:val="24"/>
              <w:szCs w:val="24"/>
            </w:rPr>
          </w:pPr>
          <w:r w:rsidRPr="0061326B">
            <w:rPr>
              <w:b w:val="0"/>
              <w:bCs/>
              <w:noProof/>
              <w:color w:val="auto"/>
              <w:sz w:val="24"/>
              <w:szCs w:val="24"/>
            </w:rPr>
            <w:fldChar w:fldCharType="end"/>
          </w:r>
        </w:p>
      </w:sdtContent>
    </w:sdt>
    <w:p w14:paraId="13536238" w14:textId="77777777" w:rsidR="001E79A9" w:rsidRPr="00331C61" w:rsidRDefault="001E79A9" w:rsidP="00331C61">
      <w:pPr>
        <w:pStyle w:val="Default"/>
        <w:spacing w:line="288" w:lineRule="auto"/>
        <w:rPr>
          <w:rFonts w:cs="Arial"/>
          <w:b/>
          <w:color w:val="232120"/>
        </w:rPr>
      </w:pPr>
    </w:p>
    <w:p w14:paraId="00EBAF80" w14:textId="77777777" w:rsidR="00EA12CE" w:rsidRPr="00331C61" w:rsidRDefault="00EA12CE" w:rsidP="00331C61">
      <w:pPr>
        <w:pStyle w:val="Default"/>
        <w:spacing w:line="288" w:lineRule="auto"/>
        <w:rPr>
          <w:rFonts w:cs="Arial"/>
          <w:b/>
          <w:color w:val="232120"/>
        </w:rPr>
      </w:pPr>
    </w:p>
    <w:p w14:paraId="6CB87AF8" w14:textId="77777777" w:rsidR="00EA12CE" w:rsidRPr="00331C61" w:rsidRDefault="00EA12CE" w:rsidP="00331C61">
      <w:pPr>
        <w:pStyle w:val="Default"/>
        <w:spacing w:line="288" w:lineRule="auto"/>
        <w:rPr>
          <w:rFonts w:cs="Arial"/>
          <w:b/>
          <w:color w:val="232120"/>
        </w:rPr>
      </w:pPr>
    </w:p>
    <w:p w14:paraId="7C526225" w14:textId="0F3FE7F1" w:rsidR="00EA12CE" w:rsidRPr="00331C61" w:rsidRDefault="00EA12CE" w:rsidP="00331C61">
      <w:pPr>
        <w:pStyle w:val="Default"/>
        <w:spacing w:line="288" w:lineRule="auto"/>
        <w:rPr>
          <w:rFonts w:cs="Arial"/>
          <w:b/>
          <w:color w:val="232120"/>
        </w:rPr>
      </w:pPr>
    </w:p>
    <w:p w14:paraId="7F8C19F4" w14:textId="77777777" w:rsidR="00EA12CE" w:rsidRPr="00331C61" w:rsidRDefault="00EA12CE" w:rsidP="00331C61">
      <w:pPr>
        <w:pStyle w:val="Default"/>
        <w:spacing w:line="288" w:lineRule="auto"/>
        <w:rPr>
          <w:rFonts w:cs="Arial"/>
          <w:b/>
          <w:color w:val="232120"/>
        </w:rPr>
      </w:pPr>
    </w:p>
    <w:p w14:paraId="3CCC90DD" w14:textId="77777777" w:rsidR="00EA12CE" w:rsidRPr="00331C61" w:rsidRDefault="00EA12CE" w:rsidP="00331C61">
      <w:pPr>
        <w:pStyle w:val="Default"/>
        <w:spacing w:line="288" w:lineRule="auto"/>
        <w:rPr>
          <w:rFonts w:cs="Arial"/>
          <w:b/>
          <w:color w:val="232120"/>
        </w:rPr>
      </w:pPr>
    </w:p>
    <w:p w14:paraId="0EDE456E" w14:textId="77777777" w:rsidR="00EA12CE" w:rsidRPr="00331C61" w:rsidRDefault="00EA12CE" w:rsidP="00331C61">
      <w:pPr>
        <w:pStyle w:val="Default"/>
        <w:spacing w:line="288" w:lineRule="auto"/>
        <w:rPr>
          <w:rFonts w:cs="Arial"/>
          <w:b/>
          <w:color w:val="232120"/>
        </w:rPr>
      </w:pPr>
    </w:p>
    <w:p w14:paraId="001A49F5" w14:textId="77777777" w:rsidR="00EA12CE" w:rsidRPr="00331C61" w:rsidRDefault="00EA12CE" w:rsidP="00331C61">
      <w:pPr>
        <w:pStyle w:val="Default"/>
        <w:spacing w:line="288" w:lineRule="auto"/>
        <w:rPr>
          <w:rFonts w:cs="Arial"/>
          <w:b/>
          <w:color w:val="232120"/>
        </w:rPr>
      </w:pPr>
    </w:p>
    <w:p w14:paraId="45D3942F" w14:textId="0C65CC75" w:rsidR="006F0BD4" w:rsidRDefault="00683420">
      <w:pPr>
        <w:spacing w:line="240" w:lineRule="auto"/>
        <w:rPr>
          <w:rFonts w:cs="Arial"/>
          <w:b/>
          <w:color w:val="232120"/>
          <w:lang w:val="en-US"/>
        </w:rPr>
      </w:pPr>
      <w:r>
        <w:rPr>
          <w:rFonts w:cs="Arial"/>
          <w:b/>
          <w:color w:val="232120"/>
        </w:rPr>
        <w:br w:type="page"/>
      </w:r>
    </w:p>
    <w:p w14:paraId="386155CF" w14:textId="77777777" w:rsidR="006F0BD4" w:rsidRDefault="006F0BD4" w:rsidP="00331C61">
      <w:pPr>
        <w:pStyle w:val="Default"/>
        <w:spacing w:line="288" w:lineRule="auto"/>
        <w:rPr>
          <w:rFonts w:cs="Arial"/>
          <w:b/>
          <w:color w:val="232120"/>
        </w:rPr>
      </w:pPr>
    </w:p>
    <w:tbl>
      <w:tblPr>
        <w:tblStyle w:val="TableGrid"/>
        <w:tblpPr w:leftFromText="180" w:rightFromText="180" w:vertAnchor="text" w:horzAnchor="margin" w:tblpY="223"/>
        <w:tblW w:w="0" w:type="auto"/>
        <w:tblLook w:val="04A0" w:firstRow="1" w:lastRow="0" w:firstColumn="1" w:lastColumn="0" w:noHBand="0" w:noVBand="1"/>
      </w:tblPr>
      <w:tblGrid>
        <w:gridCol w:w="9848"/>
      </w:tblGrid>
      <w:tr w:rsidR="002B0ADA" w14:paraId="5745EF27" w14:textId="77777777" w:rsidTr="002B0ADA">
        <w:tc>
          <w:tcPr>
            <w:tcW w:w="9848" w:type="dxa"/>
          </w:tcPr>
          <w:p w14:paraId="6754AA5C" w14:textId="77777777" w:rsidR="002B0ADA" w:rsidRDefault="002B0ADA" w:rsidP="0030269C">
            <w:pPr>
              <w:pStyle w:val="Heading2"/>
            </w:pPr>
            <w:bookmarkStart w:id="0" w:name="_Toc194414522"/>
            <w:r>
              <w:t>Summary of Recommendations</w:t>
            </w:r>
            <w:bookmarkEnd w:id="0"/>
          </w:p>
          <w:p w14:paraId="6290BBCE" w14:textId="0925AD9C" w:rsidR="006E191E" w:rsidRDefault="00745BA7" w:rsidP="006E191E">
            <w:pPr>
              <w:ind w:left="720" w:hanging="720"/>
            </w:pPr>
            <w:r w:rsidRPr="00C9546B">
              <w:rPr>
                <w:b/>
                <w:bCs/>
              </w:rPr>
              <w:t xml:space="preserve"> </w:t>
            </w:r>
            <w:r w:rsidR="006E191E">
              <w:rPr>
                <w:b/>
                <w:bCs/>
              </w:rPr>
              <w:t xml:space="preserve">4.13 </w:t>
            </w:r>
            <w:r w:rsidR="006E191E" w:rsidRPr="537D1B90">
              <w:rPr>
                <w:b/>
                <w:bCs/>
              </w:rPr>
              <w:t xml:space="preserve">The Commission recommends that the Committee </w:t>
            </w:r>
            <w:proofErr w:type="gramStart"/>
            <w:r w:rsidR="006E191E" w:rsidRPr="537D1B90">
              <w:rPr>
                <w:b/>
                <w:bCs/>
              </w:rPr>
              <w:t>give consideration to</w:t>
            </w:r>
            <w:proofErr w:type="gramEnd"/>
            <w:r w:rsidR="006E191E" w:rsidRPr="537D1B90">
              <w:rPr>
                <w:b/>
                <w:bCs/>
              </w:rPr>
              <w:t xml:space="preserve"> amending the proposed Clause 28B to provide that the Department of Justice shall make regulations for and in connection with allowing a person on whom a sentence has been imposed in respect of a conviction to apply for an order.  </w:t>
            </w:r>
          </w:p>
          <w:p w14:paraId="22E57DBA" w14:textId="6581C7F8" w:rsidR="00745BA7" w:rsidRPr="00C9546B" w:rsidRDefault="00745BA7" w:rsidP="00745BA7">
            <w:pPr>
              <w:ind w:left="720" w:hanging="720"/>
            </w:pPr>
          </w:p>
          <w:p w14:paraId="4956B320" w14:textId="057787F4" w:rsidR="001B1D86" w:rsidRDefault="001B1D86" w:rsidP="001B1D86">
            <w:pPr>
              <w:ind w:left="720" w:hanging="720"/>
              <w:rPr>
                <w:b/>
                <w:bCs/>
              </w:rPr>
            </w:pPr>
            <w:r>
              <w:rPr>
                <w:b/>
                <w:bCs/>
              </w:rPr>
              <w:t>5.</w:t>
            </w:r>
            <w:r w:rsidR="00D920DF">
              <w:rPr>
                <w:b/>
                <w:bCs/>
              </w:rPr>
              <w:t>5</w:t>
            </w:r>
            <w:r>
              <w:rPr>
                <w:b/>
                <w:bCs/>
              </w:rPr>
              <w:t xml:space="preserve">   </w:t>
            </w:r>
            <w:r w:rsidRPr="00A4616D">
              <w:rPr>
                <w:b/>
                <w:bCs/>
              </w:rPr>
              <w:t xml:space="preserve">The </w:t>
            </w:r>
            <w:r>
              <w:rPr>
                <w:b/>
                <w:bCs/>
              </w:rPr>
              <w:t>Commission</w:t>
            </w:r>
            <w:r w:rsidRPr="00A4616D">
              <w:rPr>
                <w:b/>
                <w:bCs/>
              </w:rPr>
              <w:t xml:space="preserve"> welcomes the proposals to repeal </w:t>
            </w:r>
            <w:r>
              <w:rPr>
                <w:b/>
                <w:bCs/>
              </w:rPr>
              <w:t xml:space="preserve">section 4 of the </w:t>
            </w:r>
            <w:r w:rsidRPr="00A4616D">
              <w:rPr>
                <w:b/>
                <w:bCs/>
              </w:rPr>
              <w:t xml:space="preserve">Vagrancy Act 1824 and </w:t>
            </w:r>
            <w:r>
              <w:rPr>
                <w:b/>
                <w:bCs/>
              </w:rPr>
              <w:t xml:space="preserve">section 3 of the </w:t>
            </w:r>
            <w:r w:rsidRPr="00A4616D">
              <w:rPr>
                <w:b/>
                <w:bCs/>
              </w:rPr>
              <w:t>Vagrancy (Ireland) Act 1847, with a view to ensuring that homelessness is not criminalised in NI.</w:t>
            </w:r>
          </w:p>
          <w:p w14:paraId="1E22A08E" w14:textId="77777777" w:rsidR="001B1D86" w:rsidRDefault="001B1D86" w:rsidP="001B1D86">
            <w:pPr>
              <w:ind w:left="720" w:hanging="720"/>
            </w:pPr>
          </w:p>
          <w:p w14:paraId="47F60504" w14:textId="0C8D9ADA" w:rsidR="001B1D86" w:rsidRDefault="001B1D86" w:rsidP="001B1D86">
            <w:pPr>
              <w:ind w:left="720" w:hanging="720"/>
              <w:rPr>
                <w:b/>
                <w:bCs/>
              </w:rPr>
            </w:pPr>
            <w:r w:rsidRPr="00683420">
              <w:rPr>
                <w:b/>
                <w:bCs/>
              </w:rPr>
              <w:t>5.</w:t>
            </w:r>
            <w:r w:rsidR="00D920DF">
              <w:rPr>
                <w:b/>
                <w:bCs/>
              </w:rPr>
              <w:t>6</w:t>
            </w:r>
            <w:r>
              <w:tab/>
            </w:r>
            <w:r w:rsidRPr="537D1B90">
              <w:rPr>
                <w:b/>
                <w:bCs/>
              </w:rPr>
              <w:t xml:space="preserve">The </w:t>
            </w:r>
            <w:r>
              <w:rPr>
                <w:b/>
                <w:bCs/>
              </w:rPr>
              <w:t>Commission</w:t>
            </w:r>
            <w:r w:rsidRPr="537D1B90">
              <w:rPr>
                <w:b/>
                <w:bCs/>
              </w:rPr>
              <w:t xml:space="preserve"> recommends that the Committee for Justice encourages the Department of Justice to ensure that an appropriate balance is struck between tackling anti-social behaviour and ensuring that the alternative legislation that will be relied on following the repeal of section 4 of the Vagrancy Act 1824 and section 3 of the Vagrancy (Ireland) Act 1847 does not unduly infringe on the rights of individuals in NI, including people experiencing homelessness. While acknowledging the public consultation, this requires specifically seeking and </w:t>
            </w:r>
            <w:proofErr w:type="gramStart"/>
            <w:r w:rsidRPr="537D1B90">
              <w:rPr>
                <w:b/>
                <w:bCs/>
              </w:rPr>
              <w:t>giving consideration to</w:t>
            </w:r>
            <w:proofErr w:type="gramEnd"/>
            <w:r w:rsidRPr="537D1B90">
              <w:rPr>
                <w:b/>
                <w:bCs/>
              </w:rPr>
              <w:t xml:space="preserve"> the views of people with lived experience of homelessness and their representative organisations at each decision-making stage.</w:t>
            </w:r>
          </w:p>
          <w:p w14:paraId="2FFE22BC" w14:textId="77777777" w:rsidR="009902BC" w:rsidRDefault="009902BC" w:rsidP="001B1D86">
            <w:pPr>
              <w:ind w:left="720" w:hanging="720"/>
            </w:pPr>
          </w:p>
          <w:p w14:paraId="30FDA797" w14:textId="4AE3B843" w:rsidR="009902BC" w:rsidRPr="006E10AB" w:rsidRDefault="009902BC" w:rsidP="009902BC">
            <w:pPr>
              <w:pStyle w:val="Default"/>
              <w:spacing w:before="24" w:after="24" w:line="276" w:lineRule="auto"/>
              <w:ind w:left="720" w:hanging="720"/>
              <w:rPr>
                <w:rFonts w:cs="Arial"/>
                <w:b/>
                <w:bCs/>
                <w:color w:val="232120"/>
              </w:rPr>
            </w:pPr>
            <w:r>
              <w:rPr>
                <w:rFonts w:cs="Arial"/>
                <w:b/>
                <w:bCs/>
                <w:color w:val="232120"/>
              </w:rPr>
              <w:t xml:space="preserve">6.11 </w:t>
            </w:r>
            <w:r w:rsidRPr="537D1B90">
              <w:rPr>
                <w:rFonts w:cs="Arial"/>
                <w:b/>
                <w:bCs/>
                <w:color w:val="232120"/>
              </w:rPr>
              <w:t xml:space="preserve">Noting that </w:t>
            </w:r>
            <w:proofErr w:type="spellStart"/>
            <w:r w:rsidRPr="537D1B90">
              <w:rPr>
                <w:rFonts w:cs="Arial"/>
                <w:b/>
                <w:bCs/>
                <w:color w:val="232120"/>
              </w:rPr>
              <w:t>organised</w:t>
            </w:r>
            <w:proofErr w:type="spellEnd"/>
            <w:r w:rsidRPr="537D1B90">
              <w:rPr>
                <w:rFonts w:cs="Arial"/>
                <w:b/>
                <w:bCs/>
                <w:color w:val="232120"/>
              </w:rPr>
              <w:t xml:space="preserve"> crime groups rely on exploitation to further their goals, the Commission recommends that the Committee explore with the Department of Justice how law enforcement agencies will ensure that those who are exploited or coerced to participate in criminal activity, including children, women, and persons who are trafficked or subjected to modern slavery are not </w:t>
            </w:r>
            <w:proofErr w:type="spellStart"/>
            <w:r w:rsidRPr="537D1B90">
              <w:rPr>
                <w:rFonts w:cs="Arial"/>
                <w:b/>
                <w:bCs/>
                <w:color w:val="232120"/>
              </w:rPr>
              <w:t>criminalised</w:t>
            </w:r>
            <w:proofErr w:type="spellEnd"/>
            <w:r w:rsidRPr="537D1B90">
              <w:rPr>
                <w:rFonts w:cs="Arial"/>
                <w:b/>
                <w:bCs/>
                <w:color w:val="232120"/>
              </w:rPr>
              <w:t xml:space="preserve"> by the proposed offences. </w:t>
            </w:r>
          </w:p>
          <w:p w14:paraId="375E1FFB" w14:textId="77777777" w:rsidR="009902BC" w:rsidRDefault="009902BC" w:rsidP="001B1D86">
            <w:pPr>
              <w:ind w:left="720" w:hanging="720"/>
            </w:pPr>
          </w:p>
          <w:p w14:paraId="4BCDB892" w14:textId="77777777" w:rsidR="001B1D86" w:rsidRDefault="001B1D86" w:rsidP="001B1D86">
            <w:pPr>
              <w:ind w:left="720" w:hanging="720"/>
            </w:pPr>
          </w:p>
          <w:p w14:paraId="5338E930" w14:textId="6E2FD117" w:rsidR="001B1D86" w:rsidRDefault="001B1D86" w:rsidP="00745BA7">
            <w:pPr>
              <w:ind w:left="720" w:hanging="720"/>
            </w:pPr>
          </w:p>
          <w:p w14:paraId="5647E0FD" w14:textId="77777777" w:rsidR="006E191E" w:rsidRPr="00C9546B" w:rsidRDefault="006E191E" w:rsidP="00745BA7">
            <w:pPr>
              <w:ind w:left="720" w:hanging="720"/>
            </w:pPr>
          </w:p>
          <w:p w14:paraId="09C4A04A" w14:textId="77777777" w:rsidR="002B0ADA" w:rsidRDefault="002B0ADA" w:rsidP="002B0ADA">
            <w:pPr>
              <w:ind w:left="720" w:hanging="720"/>
              <w:rPr>
                <w:rFonts w:cs="Arial"/>
                <w:b/>
                <w:color w:val="232120"/>
              </w:rPr>
            </w:pPr>
          </w:p>
        </w:tc>
      </w:tr>
    </w:tbl>
    <w:p w14:paraId="63AEF299" w14:textId="3AABE28E" w:rsidR="0087014E" w:rsidRPr="00172645" w:rsidRDefault="00095913" w:rsidP="00D920DF">
      <w:pPr>
        <w:pStyle w:val="Heading2"/>
        <w:numPr>
          <w:ilvl w:val="0"/>
          <w:numId w:val="21"/>
        </w:numPr>
      </w:pPr>
      <w:bookmarkStart w:id="1" w:name="_Toc194414523"/>
      <w:bookmarkStart w:id="2" w:name="_Hlk181808447"/>
      <w:r w:rsidRPr="00223DA2">
        <w:lastRenderedPageBreak/>
        <w:t>I</w:t>
      </w:r>
      <w:r w:rsidR="0087014E" w:rsidRPr="00223DA2">
        <w:t>ntroduction</w:t>
      </w:r>
      <w:bookmarkEnd w:id="1"/>
    </w:p>
    <w:bookmarkEnd w:id="2"/>
    <w:p w14:paraId="1FEFEA2A" w14:textId="62AACA8E" w:rsidR="00920274" w:rsidRPr="00920274" w:rsidRDefault="00051F62" w:rsidP="00D920DF">
      <w:pPr>
        <w:pStyle w:val="ListParagraph"/>
        <w:numPr>
          <w:ilvl w:val="1"/>
          <w:numId w:val="21"/>
        </w:numPr>
        <w:ind w:left="709"/>
        <w:rPr>
          <w:rFonts w:cs="Verdana"/>
          <w:color w:val="000000"/>
          <w:lang w:val="en-US"/>
        </w:rPr>
      </w:pPr>
      <w:r>
        <w:t>The Northern Ireland Human Rights Commission (</w:t>
      </w:r>
      <w:r w:rsidR="0070499B">
        <w:t>the Commission</w:t>
      </w:r>
      <w:r>
        <w:t xml:space="preserve">), pursuant to </w:t>
      </w:r>
      <w:r w:rsidR="003C3CA5">
        <w:t>s</w:t>
      </w:r>
      <w:r>
        <w:t>ection</w:t>
      </w:r>
      <w:r w:rsidR="003C3CA5">
        <w:t>s</w:t>
      </w:r>
      <w:r>
        <w:t xml:space="preserve"> 69(1)</w:t>
      </w:r>
      <w:r w:rsidR="003C3CA5">
        <w:t xml:space="preserve">, </w:t>
      </w:r>
      <w:r w:rsidR="007170D8">
        <w:t>69(3) and 69(4) of</w:t>
      </w:r>
      <w:r>
        <w:t xml:space="preserve"> the Northern Ireland Act 1998, reviews the adequacy and effectiveness of law and practice relating to the protection of human rights. </w:t>
      </w:r>
      <w:r w:rsidR="001601C7" w:rsidRPr="007533AA">
        <w:rPr>
          <w:rFonts w:cs="Verdana"/>
          <w:lang w:val="en-US"/>
        </w:rPr>
        <w:t xml:space="preserve">The </w:t>
      </w:r>
      <w:r w:rsidR="00631A04">
        <w:rPr>
          <w:rFonts w:cs="Verdana"/>
          <w:lang w:val="en-US"/>
        </w:rPr>
        <w:t>Commission</w:t>
      </w:r>
      <w:r w:rsidR="001601C7" w:rsidRPr="007533AA">
        <w:rPr>
          <w:rFonts w:cs="Verdana"/>
          <w:lang w:val="en-US"/>
        </w:rPr>
        <w:t xml:space="preserve"> is </w:t>
      </w:r>
      <w:r w:rsidR="00097FDD" w:rsidRPr="007533AA">
        <w:rPr>
          <w:rFonts w:cs="Verdana"/>
          <w:lang w:val="en-US"/>
        </w:rPr>
        <w:t xml:space="preserve">also </w:t>
      </w:r>
      <w:r w:rsidR="001601C7" w:rsidRPr="007533AA">
        <w:rPr>
          <w:rFonts w:cs="Verdana"/>
          <w:lang w:val="en-US"/>
        </w:rPr>
        <w:t>required, by section 78</w:t>
      </w:r>
      <w:proofErr w:type="gramStart"/>
      <w:r w:rsidR="001601C7" w:rsidRPr="007533AA">
        <w:rPr>
          <w:rFonts w:cs="Verdana"/>
          <w:lang w:val="en-US"/>
        </w:rPr>
        <w:t>A(</w:t>
      </w:r>
      <w:proofErr w:type="gramEnd"/>
      <w:r w:rsidR="001601C7" w:rsidRPr="007533AA">
        <w:rPr>
          <w:rFonts w:cs="Verdana"/>
          <w:lang w:val="en-US"/>
        </w:rPr>
        <w:t xml:space="preserve">1), 78A(5) and 78A(6) of the Northern Ireland Act 1998, to monitor the implementation of Windsor Framework Article 2. </w:t>
      </w:r>
      <w:r>
        <w:t xml:space="preserve">In accordance with these functions, the following </w:t>
      </w:r>
      <w:r w:rsidR="002663FF">
        <w:t xml:space="preserve">additional </w:t>
      </w:r>
      <w:r w:rsidR="007170D8">
        <w:t xml:space="preserve">briefing </w:t>
      </w:r>
      <w:r>
        <w:t xml:space="preserve">is submitted to the </w:t>
      </w:r>
      <w:r w:rsidR="007170D8">
        <w:t xml:space="preserve">Committee for Justice </w:t>
      </w:r>
      <w:r w:rsidR="001047BD">
        <w:t>to inform</w:t>
      </w:r>
      <w:r w:rsidR="007170D8">
        <w:t xml:space="preserve"> its consideration</w:t>
      </w:r>
      <w:r w:rsidR="001206FE">
        <w:t xml:space="preserve"> of the Justice Bill.</w:t>
      </w:r>
      <w:r w:rsidR="00610705">
        <w:t xml:space="preserve"> </w:t>
      </w:r>
    </w:p>
    <w:p w14:paraId="11140239" w14:textId="77777777" w:rsidR="00920274" w:rsidRPr="00920274" w:rsidRDefault="00920274" w:rsidP="00D920DF">
      <w:pPr>
        <w:pStyle w:val="ListParagraph"/>
        <w:ind w:left="709"/>
        <w:rPr>
          <w:rFonts w:cs="Verdana"/>
          <w:color w:val="000000"/>
          <w:lang w:val="en-US"/>
        </w:rPr>
      </w:pPr>
    </w:p>
    <w:p w14:paraId="3D39BE67" w14:textId="062DB6F0" w:rsidR="007533AA" w:rsidRPr="007533AA" w:rsidRDefault="002663FF" w:rsidP="00D920DF">
      <w:pPr>
        <w:pStyle w:val="ListParagraph"/>
        <w:numPr>
          <w:ilvl w:val="1"/>
          <w:numId w:val="21"/>
        </w:numPr>
        <w:ind w:left="709"/>
        <w:rPr>
          <w:rFonts w:cs="Verdana"/>
          <w:color w:val="000000"/>
          <w:lang w:val="en-US"/>
        </w:rPr>
      </w:pPr>
      <w:r>
        <w:t xml:space="preserve">This additional briefing focuses on the </w:t>
      </w:r>
      <w:r w:rsidR="00E8669D">
        <w:t xml:space="preserve">recent amendments to the Justice Bill proposed by the Department of Justice. </w:t>
      </w:r>
      <w:r w:rsidR="00A32F61">
        <w:t xml:space="preserve">This additional briefing should be considered by the Committee for Justice along with the </w:t>
      </w:r>
      <w:r w:rsidR="0070499B">
        <w:t>Commission’s</w:t>
      </w:r>
      <w:r w:rsidR="00A32F61">
        <w:t xml:space="preserve"> initial briefing and oral evidence that was provided in November 2024.</w:t>
      </w:r>
    </w:p>
    <w:p w14:paraId="782DF42B" w14:textId="77777777" w:rsidR="007533AA" w:rsidRDefault="007533AA" w:rsidP="00D920DF">
      <w:pPr>
        <w:ind w:left="-11"/>
        <w:rPr>
          <w:rFonts w:cs="Verdana"/>
          <w:color w:val="000000"/>
          <w:lang w:val="en-US"/>
        </w:rPr>
      </w:pPr>
    </w:p>
    <w:p w14:paraId="03E8541E" w14:textId="508D6B25" w:rsidR="00920274" w:rsidRPr="00920274" w:rsidRDefault="00DD4CE7" w:rsidP="00D920DF">
      <w:pPr>
        <w:pStyle w:val="Heading2"/>
        <w:rPr>
          <w:lang w:val="en-US"/>
        </w:rPr>
      </w:pPr>
      <w:bookmarkStart w:id="3" w:name="_Toc194414524"/>
      <w:r>
        <w:rPr>
          <w:lang w:val="en-US"/>
        </w:rPr>
        <w:t>2.0</w:t>
      </w:r>
      <w:r>
        <w:rPr>
          <w:lang w:val="en-US"/>
        </w:rPr>
        <w:tab/>
        <w:t>Biometric Data Retention</w:t>
      </w:r>
      <w:bookmarkEnd w:id="3"/>
    </w:p>
    <w:p w14:paraId="3B17A5AD" w14:textId="350DE1C0" w:rsidR="004564D6" w:rsidRDefault="00DD4CE7" w:rsidP="00D920DF">
      <w:pPr>
        <w:ind w:left="720" w:hanging="720"/>
      </w:pPr>
      <w:r>
        <w:rPr>
          <w:rFonts w:cs="Arial"/>
        </w:rPr>
        <w:t>2.1</w:t>
      </w:r>
      <w:r>
        <w:rPr>
          <w:rFonts w:cs="Arial"/>
        </w:rPr>
        <w:tab/>
      </w:r>
      <w:r w:rsidR="004564D6">
        <w:t>The Commission notes the further proposed amendments relating to biometrics. The Commission has no further substantive comments on the proposed amendments. In its initial submission</w:t>
      </w:r>
      <w:r w:rsidR="0087266C">
        <w:t>,</w:t>
      </w:r>
      <w:r w:rsidR="004564D6">
        <w:t xml:space="preserve"> the Commission has set out the relevant human rights considerations. The Commission would welcome the opportunity to provide further analysis to the Committee in relation to any regulations enacted under this Part of the Bill.</w:t>
      </w:r>
    </w:p>
    <w:p w14:paraId="676FAE65" w14:textId="77777777" w:rsidR="00DD4CE7" w:rsidRDefault="00DD4CE7" w:rsidP="00D920DF">
      <w:pPr>
        <w:pStyle w:val="Default"/>
        <w:spacing w:before="24" w:after="24" w:line="276" w:lineRule="auto"/>
        <w:rPr>
          <w:rFonts w:cs="Arial"/>
          <w:color w:val="auto"/>
        </w:rPr>
      </w:pPr>
    </w:p>
    <w:p w14:paraId="438BFC7B" w14:textId="77777777" w:rsidR="0036783F" w:rsidRDefault="0036783F" w:rsidP="00D920DF">
      <w:pPr>
        <w:pStyle w:val="Default"/>
        <w:spacing w:before="24" w:after="24" w:line="276" w:lineRule="auto"/>
        <w:rPr>
          <w:rFonts w:cs="Arial"/>
          <w:color w:val="auto"/>
        </w:rPr>
      </w:pPr>
    </w:p>
    <w:p w14:paraId="19C7C6D6" w14:textId="08D5D24C" w:rsidR="00DD4CE7" w:rsidRDefault="00DD4CE7" w:rsidP="00D920DF">
      <w:pPr>
        <w:pStyle w:val="Heading2"/>
      </w:pPr>
      <w:bookmarkStart w:id="4" w:name="_Toc194414525"/>
      <w:r>
        <w:t>3.0</w:t>
      </w:r>
      <w:r>
        <w:tab/>
        <w:t>Restorative Justice</w:t>
      </w:r>
      <w:bookmarkEnd w:id="4"/>
    </w:p>
    <w:p w14:paraId="3DF1B113" w14:textId="145CE196" w:rsidR="0037024F" w:rsidRDefault="00DD4CE7" w:rsidP="00D920DF">
      <w:pPr>
        <w:pStyle w:val="Default"/>
        <w:spacing w:before="24" w:after="24" w:line="276" w:lineRule="auto"/>
        <w:ind w:left="720" w:hanging="720"/>
        <w:rPr>
          <w:rFonts w:cs="Arial"/>
          <w:color w:val="232120"/>
        </w:rPr>
      </w:pPr>
      <w:r>
        <w:t>3.1</w:t>
      </w:r>
      <w:r>
        <w:tab/>
      </w:r>
      <w:r w:rsidR="0037024F">
        <w:t>The Commission notes the amendments relating to Restorative Justice. The Commission has no substantive comments on the proposed amendments.</w:t>
      </w:r>
    </w:p>
    <w:p w14:paraId="79CC685A" w14:textId="7C230402" w:rsidR="00DD4CE7" w:rsidRPr="0076047B" w:rsidRDefault="00DD4CE7" w:rsidP="00D920DF">
      <w:pPr>
        <w:rPr>
          <w:i/>
        </w:rPr>
      </w:pPr>
    </w:p>
    <w:p w14:paraId="0F5AAA63" w14:textId="77777777" w:rsidR="00DD4CE7" w:rsidRDefault="00DD4CE7" w:rsidP="00D920DF"/>
    <w:p w14:paraId="5DE102D3" w14:textId="1009BA44" w:rsidR="00DD4CE7" w:rsidRDefault="00DD4CE7" w:rsidP="00D920DF">
      <w:pPr>
        <w:pStyle w:val="Heading2"/>
      </w:pPr>
      <w:bookmarkStart w:id="5" w:name="_Toc194414526"/>
      <w:r>
        <w:t>4.0</w:t>
      </w:r>
      <w:r>
        <w:tab/>
        <w:t>Rehabilitation of Offenders</w:t>
      </w:r>
      <w:bookmarkEnd w:id="5"/>
    </w:p>
    <w:p w14:paraId="72B8724F" w14:textId="06DFAEA3" w:rsidR="00AD2251" w:rsidRDefault="00DD4CE7" w:rsidP="00D920DF">
      <w:pPr>
        <w:ind w:left="720" w:hanging="720"/>
        <w:rPr>
          <w:lang w:val="en-HK"/>
        </w:rPr>
      </w:pPr>
      <w:r>
        <w:t>4.1</w:t>
      </w:r>
      <w:r w:rsidR="00AD2251">
        <w:t xml:space="preserve"> </w:t>
      </w:r>
      <w:r w:rsidR="004D596C">
        <w:tab/>
      </w:r>
      <w:r w:rsidR="00AD2251" w:rsidRPr="00723730">
        <w:rPr>
          <w:lang w:val="en-HK"/>
        </w:rPr>
        <w:t xml:space="preserve">The European Court of Human Rights (ECtHR) affirmed in </w:t>
      </w:r>
      <w:r w:rsidR="00AD2251" w:rsidRPr="00723730">
        <w:rPr>
          <w:i/>
          <w:iCs/>
          <w:lang w:val="en-HK"/>
        </w:rPr>
        <w:t>Murray v the Netherlands</w:t>
      </w:r>
      <w:r w:rsidR="00AD2251" w:rsidRPr="00723730">
        <w:rPr>
          <w:lang w:val="en-HK"/>
        </w:rPr>
        <w:t xml:space="preserve"> “that the principle of rehabilitation, that is, the reintegration into society of a convicted person, is reflected in international norms and </w:t>
      </w:r>
      <w:r w:rsidR="00AD2251" w:rsidRPr="00723730">
        <w:rPr>
          <w:lang w:val="en-HK"/>
        </w:rPr>
        <w:lastRenderedPageBreak/>
        <w:t>has not only been recognised but has over time also gained increasing importance in the Court’s case-law under various provisions of the Convention.”</w:t>
      </w:r>
      <w:r w:rsidR="00AD2251" w:rsidRPr="00723730">
        <w:rPr>
          <w:vertAlign w:val="superscript"/>
          <w:lang w:val="en-HK"/>
        </w:rPr>
        <w:footnoteReference w:id="2"/>
      </w:r>
      <w:r w:rsidR="00AD2251" w:rsidRPr="00723730">
        <w:rPr>
          <w:lang w:val="en-HK"/>
        </w:rPr>
        <w:t xml:space="preserve"> </w:t>
      </w:r>
    </w:p>
    <w:p w14:paraId="555157C8" w14:textId="77777777" w:rsidR="004D596C" w:rsidRPr="00723730" w:rsidRDefault="004D596C" w:rsidP="00D920DF">
      <w:pPr>
        <w:ind w:left="720" w:hanging="720"/>
      </w:pPr>
    </w:p>
    <w:p w14:paraId="2906245B" w14:textId="45AB8A2D" w:rsidR="00AD2251" w:rsidRDefault="004D596C" w:rsidP="00D920DF">
      <w:pPr>
        <w:ind w:left="720" w:hanging="720"/>
        <w:rPr>
          <w:lang w:val="en-HK"/>
        </w:rPr>
      </w:pPr>
      <w:r>
        <w:rPr>
          <w:lang w:val="en-HK"/>
        </w:rPr>
        <w:t>4.2</w:t>
      </w:r>
      <w:r>
        <w:rPr>
          <w:lang w:val="en-HK"/>
        </w:rPr>
        <w:tab/>
      </w:r>
      <w:r w:rsidR="00AD2251">
        <w:rPr>
          <w:lang w:val="en-HK"/>
        </w:rPr>
        <w:t xml:space="preserve">Rehabilitation of offenders </w:t>
      </w:r>
      <w:r w:rsidR="00AD2251" w:rsidRPr="00E77E85">
        <w:rPr>
          <w:lang w:val="en-HK"/>
        </w:rPr>
        <w:t>is recognised in international human rights law, most notably in Article 10(3) of the International Covenant on Civil and Political Rights (ICCPR), which places an obligation on States to seek the reformation and social rehabilitation of prisoners. The General Comment of the Human Rights Committee on Article 10 further states that “no penitentiary system should be only retributory; it should essentially seek the reformation and social rehabilitation of the prisoner”.</w:t>
      </w:r>
      <w:r w:rsidR="00AD2251" w:rsidRPr="00E77E85">
        <w:rPr>
          <w:vertAlign w:val="superscript"/>
          <w:lang w:val="en-HK"/>
        </w:rPr>
        <w:footnoteReference w:id="3"/>
      </w:r>
      <w:r w:rsidR="00AD2251" w:rsidRPr="00E77E85">
        <w:rPr>
          <w:lang w:val="en-HK"/>
        </w:rPr>
        <w:t xml:space="preserve"> Moreover, under Article 58 of the United Nations Standard Minimum Rules for the Treatment of Prisoners, “[t]he purpose and justification of a sentence of imprisonment or a similar measure </w:t>
      </w:r>
      <w:proofErr w:type="spellStart"/>
      <w:r w:rsidR="00AD2251" w:rsidRPr="00E77E85">
        <w:rPr>
          <w:lang w:val="en-HK"/>
        </w:rPr>
        <w:t>deprivative</w:t>
      </w:r>
      <w:proofErr w:type="spellEnd"/>
      <w:r w:rsidR="00AD2251" w:rsidRPr="00E77E85">
        <w:rPr>
          <w:lang w:val="en-HK"/>
        </w:rPr>
        <w:t xml:space="preserve"> of liberty is ultimately to protect society against crime. This end can only be achieved if the period of imprisonment is used to ensure, so far as possible, that upon his return to society the offender is not only willing but able to lead a law-abiding and self-supporting life”. </w:t>
      </w:r>
    </w:p>
    <w:p w14:paraId="190219B0" w14:textId="77777777" w:rsidR="00F33314" w:rsidRPr="00E77E85" w:rsidRDefault="00F33314" w:rsidP="00D920DF">
      <w:pPr>
        <w:ind w:left="720" w:hanging="720"/>
      </w:pPr>
    </w:p>
    <w:p w14:paraId="6BAD8103" w14:textId="20842EF6" w:rsidR="00AD2251" w:rsidRDefault="00F33314" w:rsidP="00D920DF">
      <w:pPr>
        <w:ind w:left="720" w:hanging="720"/>
        <w:rPr>
          <w:lang w:val="en-HK"/>
        </w:rPr>
      </w:pPr>
      <w:r>
        <w:t>4.3</w:t>
      </w:r>
      <w:r>
        <w:tab/>
      </w:r>
      <w:r w:rsidR="00AD2251">
        <w:t>A January 2021 consultation on proposals to reform rehabilitation periods in Northern Ireland set out that</w:t>
      </w:r>
      <w:r w:rsidR="00AD2251" w:rsidRPr="00977038">
        <w:t xml:space="preserve"> legislation governing the rehabilitation of offenders</w:t>
      </w:r>
      <w:r w:rsidR="00AD2251">
        <w:t xml:space="preserve"> should promote</w:t>
      </w:r>
      <w:r w:rsidR="00AD2251" w:rsidRPr="00977038">
        <w:t xml:space="preserve"> </w:t>
      </w:r>
      <w:r w:rsidR="00AD2251" w:rsidRPr="00977038">
        <w:rPr>
          <w:lang w:val="en-HK"/>
        </w:rPr>
        <w:t>rehabilitation and reintegration of former offenders</w:t>
      </w:r>
      <w:r w:rsidR="00AD2251">
        <w:rPr>
          <w:lang w:val="en-HK"/>
        </w:rPr>
        <w:t xml:space="preserve"> by allowing them to seek employment by putting their past convictions behind them</w:t>
      </w:r>
      <w:r w:rsidR="00AD2251" w:rsidRPr="00977038">
        <w:rPr>
          <w:lang w:val="en-HK"/>
        </w:rPr>
        <w:t>.</w:t>
      </w:r>
      <w:r w:rsidR="00AD2251" w:rsidRPr="00977038">
        <w:rPr>
          <w:vertAlign w:val="superscript"/>
          <w:lang w:val="en-HK"/>
        </w:rPr>
        <w:footnoteReference w:id="4"/>
      </w:r>
      <w:r w:rsidR="00AD2251" w:rsidRPr="00977038">
        <w:rPr>
          <w:lang w:val="en-HK"/>
        </w:rPr>
        <w:t xml:space="preserve"> </w:t>
      </w:r>
    </w:p>
    <w:p w14:paraId="4BBD7AFE" w14:textId="77777777" w:rsidR="00F33314" w:rsidRPr="00977038" w:rsidRDefault="00F33314" w:rsidP="00D920DF">
      <w:pPr>
        <w:ind w:left="720" w:hanging="720"/>
      </w:pPr>
    </w:p>
    <w:p w14:paraId="7A3B34A4" w14:textId="1BBFADCB" w:rsidR="00AD2251" w:rsidRDefault="00B0338D" w:rsidP="00D920DF">
      <w:pPr>
        <w:ind w:left="720" w:hanging="720"/>
      </w:pPr>
      <w:r>
        <w:t>4.4</w:t>
      </w:r>
      <w:r>
        <w:tab/>
      </w:r>
      <w:r w:rsidR="00AD2251" w:rsidRPr="00E77E85">
        <w:t xml:space="preserve">An amendment to the Justice Bill </w:t>
      </w:r>
      <w:r w:rsidR="00AD2251">
        <w:t>has now been</w:t>
      </w:r>
      <w:r w:rsidR="00AD2251" w:rsidRPr="00E77E85">
        <w:t xml:space="preserve"> introduced</w:t>
      </w:r>
      <w:r w:rsidR="00AD2251">
        <w:rPr>
          <w:rStyle w:val="FootnoteReference"/>
        </w:rPr>
        <w:footnoteReference w:id="5"/>
      </w:r>
      <w:r w:rsidR="00AD2251" w:rsidRPr="00E77E85">
        <w:t xml:space="preserve"> which proposes </w:t>
      </w:r>
      <w:r w:rsidR="00AD2251">
        <w:t>to reform the rehabilitation periods under t</w:t>
      </w:r>
      <w:r w:rsidR="00AD2251" w:rsidRPr="00723730">
        <w:t>he Rehabilitation of Offenders (Northern Ireland) Order 1978 (“the 1978 Order”)</w:t>
      </w:r>
      <w:r w:rsidR="00AD2251">
        <w:t>. The new proposals recognise that, ‘</w:t>
      </w:r>
      <w:r w:rsidR="00AD2251" w:rsidRPr="00723730">
        <w:t>the provisions of the 1978 Order hadn’t kept pace with changes in sentencing practice, with longer sentences being imposed than when rehabilitation periods were first established</w:t>
      </w:r>
      <w:r w:rsidR="00AD2251">
        <w:t>.’</w:t>
      </w:r>
      <w:r w:rsidR="00AD2251">
        <w:rPr>
          <w:rStyle w:val="FootnoteReference"/>
        </w:rPr>
        <w:footnoteReference w:id="6"/>
      </w:r>
      <w:r w:rsidR="00AD2251">
        <w:t xml:space="preserve"> The Commission agrees with this conclusion.</w:t>
      </w:r>
    </w:p>
    <w:p w14:paraId="183011D9" w14:textId="77777777" w:rsidR="00F30885" w:rsidRDefault="00F30885" w:rsidP="00D920DF">
      <w:pPr>
        <w:ind w:left="720" w:hanging="720"/>
      </w:pPr>
    </w:p>
    <w:p w14:paraId="4C5F6ECA" w14:textId="62D05DAD" w:rsidR="00AD2251" w:rsidRDefault="00632169" w:rsidP="00D920DF">
      <w:pPr>
        <w:ind w:left="720" w:hanging="720"/>
      </w:pPr>
      <w:r>
        <w:lastRenderedPageBreak/>
        <w:t>4.5</w:t>
      </w:r>
      <w:r>
        <w:tab/>
      </w:r>
      <w:r w:rsidR="00AD2251">
        <w:t>The amendments seek to reduce the</w:t>
      </w:r>
      <w:r w:rsidR="00AD2251" w:rsidRPr="00977038">
        <w:t xml:space="preserve"> rehabilitation periods for existing convictions and to allow more convictions to become capable of becoming spent</w:t>
      </w:r>
      <w:r w:rsidR="00AD2251">
        <w:t>. For example, under the current regime</w:t>
      </w:r>
      <w:r w:rsidR="00AD2251">
        <w:rPr>
          <w:rStyle w:val="FootnoteReference"/>
        </w:rPr>
        <w:footnoteReference w:id="7"/>
      </w:r>
      <w:r w:rsidR="00AD2251">
        <w:t xml:space="preserve">, any conviction over 30 months can never be considered spent and individuals with a conviction </w:t>
      </w:r>
      <w:proofErr w:type="gramStart"/>
      <w:r w:rsidR="00AD2251">
        <w:t>in excess of</w:t>
      </w:r>
      <w:proofErr w:type="gramEnd"/>
      <w:r w:rsidR="00AD2251">
        <w:t xml:space="preserve"> this period face a life</w:t>
      </w:r>
      <w:r w:rsidR="00B60B1A">
        <w:t>-</w:t>
      </w:r>
      <w:r w:rsidR="00AD2251">
        <w:t>long obligation to declare that conviction in certain circumstances. Convictions between 6 months and 30 months can only be considered spent after a fixed period of 10 years from the date of sentencing. Whilst a fine would take 5 years to be considered spent and a sentence of up to 6 months would require 7 years from the date of sentencing.</w:t>
      </w:r>
    </w:p>
    <w:p w14:paraId="791F1AC6" w14:textId="77777777" w:rsidR="00576CE6" w:rsidRDefault="00576CE6" w:rsidP="00D920DF">
      <w:pPr>
        <w:ind w:left="720" w:hanging="720"/>
      </w:pPr>
    </w:p>
    <w:p w14:paraId="13C6AA98" w14:textId="77777777" w:rsidR="000259FA" w:rsidRDefault="00576CE6" w:rsidP="00D920DF">
      <w:pPr>
        <w:ind w:left="720" w:hanging="720"/>
      </w:pPr>
      <w:r>
        <w:t>4.6</w:t>
      </w:r>
      <w:r>
        <w:tab/>
      </w:r>
      <w:r w:rsidR="00AD2251">
        <w:t xml:space="preserve">By comparison, under the new proposals, fines will be spent after 1 year and sentences of imprisonment up to 1 year are considered spent after the length of sentence imposed plus 1 year. Importantly, sentences between 1 to 4 years will be spent after the length of sentence plus 4 years and any sentence of imprisonment between 4 – 10 years, the sentence imposed plus 7 years. </w:t>
      </w:r>
      <w:r w:rsidR="00AD2251" w:rsidRPr="00340AF3">
        <w:t>Rehabilitation periods are halved for offenders aged under 18 at date of conviction</w:t>
      </w:r>
      <w:r w:rsidR="00AD2251">
        <w:t>.</w:t>
      </w:r>
    </w:p>
    <w:p w14:paraId="451439C8" w14:textId="77777777" w:rsidR="000259FA" w:rsidRDefault="000259FA" w:rsidP="00D920DF">
      <w:pPr>
        <w:ind w:left="720" w:hanging="720"/>
      </w:pPr>
    </w:p>
    <w:p w14:paraId="1E8D68F8" w14:textId="43EDE80F" w:rsidR="00A006C5" w:rsidRDefault="000259FA" w:rsidP="00D920DF">
      <w:pPr>
        <w:ind w:left="720" w:hanging="720"/>
      </w:pPr>
      <w:r>
        <w:t>4.7</w:t>
      </w:r>
      <w:r>
        <w:tab/>
      </w:r>
      <w:r w:rsidR="00AD2251" w:rsidRPr="007478BB">
        <w:t xml:space="preserve">In 2020, the </w:t>
      </w:r>
      <w:r w:rsidR="0070499B">
        <w:t>Commission</w:t>
      </w:r>
      <w:r w:rsidR="00AD2251" w:rsidRPr="007478BB">
        <w:t xml:space="preserve"> initiated legal action against the Department of Justice to challenge the legality of Article 6(1) of the Rehabilitation of Offenders (NI) Order 1978</w:t>
      </w:r>
      <w:r w:rsidR="00AD2251">
        <w:t xml:space="preserve"> which sets out the current regime of rehabilitation periods. </w:t>
      </w:r>
      <w:r w:rsidR="00AD2251" w:rsidRPr="007478BB">
        <w:t xml:space="preserve">In 2022, the </w:t>
      </w:r>
      <w:r w:rsidR="00AD2251" w:rsidRPr="007478BB">
        <w:rPr>
          <w:color w:val="000000" w:themeColor="text1"/>
        </w:rPr>
        <w:t>High Court of Justice in NI</w:t>
      </w:r>
      <w:r w:rsidR="00AD2251" w:rsidRPr="007478BB">
        <w:t xml:space="preserve"> declared Article 6(1) of the Rehabilitation of Offenders (NI) Order 1978 was incompatible with the applicant’s Article 8 of the ECHR rights by reason of a failure to provide a mechanism by which the applicant could apply to have their criminal convictions considered spent irrespective or the passage of time and their personal circumstances.</w:t>
      </w:r>
      <w:r w:rsidR="00AD2251" w:rsidRPr="007478BB">
        <w:rPr>
          <w:rStyle w:val="FootnoteReference"/>
        </w:rPr>
        <w:footnoteReference w:id="8"/>
      </w:r>
      <w:r w:rsidR="00AD2251" w:rsidRPr="007478BB">
        <w:t xml:space="preserve"> In 2023, after an appeal from the Department of Justice, the Court of Appeal in NI reversed the decision of the </w:t>
      </w:r>
      <w:r w:rsidR="00AD2251">
        <w:t xml:space="preserve">High Court of Justice in NI </w:t>
      </w:r>
      <w:r w:rsidR="00AD2251" w:rsidRPr="007478BB">
        <w:t>and held that Article 6(1) of the 1978 Order is compatible with Article 8 of the ECHR.</w:t>
      </w:r>
      <w:r w:rsidR="005A2D88">
        <w:t xml:space="preserve"> </w:t>
      </w:r>
      <w:r w:rsidR="00AD2251">
        <w:t xml:space="preserve">This decision was then appealed and heard by the UK Supreme Court in October 2024.  </w:t>
      </w:r>
    </w:p>
    <w:p w14:paraId="5DC5A4BE" w14:textId="77777777" w:rsidR="00A006C5" w:rsidRDefault="00A006C5" w:rsidP="00D920DF">
      <w:pPr>
        <w:ind w:left="720" w:hanging="720"/>
      </w:pPr>
    </w:p>
    <w:p w14:paraId="765633C1" w14:textId="10923546" w:rsidR="00AD2251" w:rsidRDefault="00A006C5" w:rsidP="00D920DF">
      <w:pPr>
        <w:ind w:left="720" w:hanging="720"/>
      </w:pPr>
      <w:r>
        <w:t>4.8</w:t>
      </w:r>
      <w:r>
        <w:tab/>
      </w:r>
      <w:r w:rsidR="00AD2251">
        <w:t>In March 2025, the Supreme Court</w:t>
      </w:r>
      <w:r w:rsidR="00AD2251">
        <w:rPr>
          <w:rStyle w:val="FootnoteReference"/>
        </w:rPr>
        <w:footnoteReference w:id="9"/>
      </w:r>
      <w:r w:rsidR="00AD2251">
        <w:t xml:space="preserve"> held that Article 6(1) </w:t>
      </w:r>
      <w:r w:rsidR="3A3FA726">
        <w:t>of the 1978 Order</w:t>
      </w:r>
      <w:r w:rsidR="00AD2251">
        <w:t xml:space="preserve"> is compatible with Article 8 of the ECHR and dismissed the appeal. In dismissing the appeal, the Supreme Court held that there was a wide </w:t>
      </w:r>
      <w:r w:rsidR="00AD2251">
        <w:lastRenderedPageBreak/>
        <w:t>margin of appreciation for the legislat</w:t>
      </w:r>
      <w:r w:rsidR="49E427E7">
        <w:t>ure</w:t>
      </w:r>
      <w:r w:rsidR="00AD2251">
        <w:t xml:space="preserve"> in light of a number of relevant factors where there a</w:t>
      </w:r>
      <w:r w:rsidR="00D31F42">
        <w:t>re</w:t>
      </w:r>
      <w:r w:rsidR="00AD2251">
        <w:t xml:space="preserve"> difficult questions of moral and political judgment</w:t>
      </w:r>
      <w:r w:rsidR="00C62D34">
        <w:t>,</w:t>
      </w:r>
      <w:r w:rsidR="00AD2251">
        <w:rPr>
          <w:rStyle w:val="FootnoteReference"/>
        </w:rPr>
        <w:footnoteReference w:id="10"/>
      </w:r>
      <w:r w:rsidR="00AD2251">
        <w:t xml:space="preserve"> </w:t>
      </w:r>
      <w:r w:rsidR="00C80FAB">
        <w:t>p</w:t>
      </w:r>
      <w:r w:rsidR="00AD2251">
        <w:t>articularly if</w:t>
      </w:r>
      <w:r w:rsidR="00AD2251" w:rsidRPr="0012110F">
        <w:t xml:space="preserve"> the State is required to strike a balance between competing private and public interests or Convention rights</w:t>
      </w:r>
      <w:r w:rsidR="00AD2251">
        <w:t>,</w:t>
      </w:r>
      <w:r w:rsidR="00AD2251">
        <w:rPr>
          <w:rStyle w:val="FootnoteReference"/>
        </w:rPr>
        <w:footnoteReference w:id="11"/>
      </w:r>
      <w:r w:rsidR="00AD2251">
        <w:t xml:space="preserve"> though this margin of a</w:t>
      </w:r>
      <w:r w:rsidR="00AD2251" w:rsidRPr="0012110F">
        <w:t xml:space="preserve"> appreciation</w:t>
      </w:r>
      <w:r w:rsidR="00AD2251">
        <w:t xml:space="preserve"> ‘</w:t>
      </w:r>
      <w:r w:rsidR="00AD2251" w:rsidRPr="0012110F">
        <w:t>is narrowed where legislation is introduced with no consideration of the relevant issues</w:t>
      </w:r>
      <w:r w:rsidR="00AD2251">
        <w:t>.’</w:t>
      </w:r>
      <w:r w:rsidR="00AD2251">
        <w:rPr>
          <w:rStyle w:val="FootnoteReference"/>
        </w:rPr>
        <w:footnoteReference w:id="12"/>
      </w:r>
    </w:p>
    <w:p w14:paraId="2A40F44B" w14:textId="77777777" w:rsidR="00A006C5" w:rsidRDefault="00A006C5" w:rsidP="00D920DF">
      <w:pPr>
        <w:ind w:left="720" w:hanging="720"/>
      </w:pPr>
    </w:p>
    <w:p w14:paraId="640C6B26" w14:textId="1D98CFBB" w:rsidR="00AD2251" w:rsidRDefault="00A006C5" w:rsidP="00D920DF">
      <w:r>
        <w:t>4.9</w:t>
      </w:r>
      <w:r>
        <w:tab/>
      </w:r>
      <w:r w:rsidR="00AD2251">
        <w:t>The Court considered the relevant factors for the current scheme to be:</w:t>
      </w:r>
    </w:p>
    <w:p w14:paraId="4B776A58" w14:textId="77777777" w:rsidR="00AD2251" w:rsidRDefault="00AD2251" w:rsidP="00D920DF">
      <w:pPr>
        <w:pStyle w:val="ListParagraph"/>
        <w:numPr>
          <w:ilvl w:val="0"/>
          <w:numId w:val="24"/>
        </w:numPr>
        <w:spacing w:after="160" w:line="278" w:lineRule="auto"/>
      </w:pPr>
      <w:r w:rsidRPr="00C20A05">
        <w:t xml:space="preserve">the gravity of the particular offence in the individual circumstances of the </w:t>
      </w:r>
      <w:proofErr w:type="gramStart"/>
      <w:r w:rsidRPr="00C20A05">
        <w:t>case;</w:t>
      </w:r>
      <w:proofErr w:type="gramEnd"/>
    </w:p>
    <w:p w14:paraId="3F378E22" w14:textId="77777777" w:rsidR="00AD2251" w:rsidRDefault="00AD2251" w:rsidP="00D920DF">
      <w:pPr>
        <w:pStyle w:val="ListParagraph"/>
        <w:numPr>
          <w:ilvl w:val="0"/>
          <w:numId w:val="24"/>
        </w:numPr>
        <w:spacing w:after="160" w:line="278" w:lineRule="auto"/>
      </w:pPr>
      <w:r w:rsidRPr="00C20A05">
        <w:t xml:space="preserve">acceptability to the public of the degree of rehabilitation to be provided for, having regard to the gravity of the </w:t>
      </w:r>
      <w:proofErr w:type="gramStart"/>
      <w:r w:rsidRPr="00C20A05">
        <w:t>offence;</w:t>
      </w:r>
      <w:proofErr w:type="gramEnd"/>
      <w:r w:rsidRPr="00C20A05">
        <w:t xml:space="preserve"> </w:t>
      </w:r>
    </w:p>
    <w:p w14:paraId="515471DC" w14:textId="5FDC1DA9" w:rsidR="00AD2251" w:rsidRDefault="00AD2251" w:rsidP="00D920DF">
      <w:pPr>
        <w:pStyle w:val="ListParagraph"/>
        <w:numPr>
          <w:ilvl w:val="0"/>
          <w:numId w:val="24"/>
        </w:numPr>
        <w:spacing w:after="160" w:line="278" w:lineRule="auto"/>
      </w:pPr>
      <w:r w:rsidRPr="00C20A05">
        <w:t xml:space="preserve">the need for equity (and the perception of equity) as between offenders; </w:t>
      </w:r>
      <w:r w:rsidR="00D76504">
        <w:t>and</w:t>
      </w:r>
    </w:p>
    <w:p w14:paraId="2FA0F803" w14:textId="41176A09" w:rsidR="00AD2251" w:rsidRDefault="00AD2251" w:rsidP="00D920DF">
      <w:pPr>
        <w:pStyle w:val="ListParagraph"/>
        <w:numPr>
          <w:ilvl w:val="0"/>
          <w:numId w:val="24"/>
        </w:numPr>
        <w:spacing w:after="160" w:line="278" w:lineRule="auto"/>
      </w:pPr>
      <w:r w:rsidRPr="00C20A05">
        <w:t>the need for the scheme to be reasonably simple and practical and well understood in its operation.</w:t>
      </w:r>
    </w:p>
    <w:p w14:paraId="0564455D" w14:textId="77777777" w:rsidR="00D76504" w:rsidRDefault="00D76504" w:rsidP="00D920DF">
      <w:pPr>
        <w:pStyle w:val="ListParagraph"/>
        <w:spacing w:after="160" w:line="278" w:lineRule="auto"/>
        <w:ind w:left="1080"/>
      </w:pPr>
    </w:p>
    <w:p w14:paraId="4D5764EE" w14:textId="166A9558" w:rsidR="00AD2251" w:rsidRDefault="00C80FAB" w:rsidP="00D920DF">
      <w:pPr>
        <w:ind w:left="720" w:hanging="720"/>
      </w:pPr>
      <w:r>
        <w:t>4.10</w:t>
      </w:r>
      <w:r>
        <w:tab/>
      </w:r>
      <w:r w:rsidR="00AD2251">
        <w:t xml:space="preserve">After the 2021 consultation, the initial proposal for a </w:t>
      </w:r>
      <w:r w:rsidR="00AD2251" w:rsidRPr="00C20A05">
        <w:t>fixed upper limit up to 10 years for any offence</w:t>
      </w:r>
      <w:r w:rsidR="00AD2251">
        <w:t xml:space="preserve"> was set out in the </w:t>
      </w:r>
      <w:r w:rsidR="00AD2251" w:rsidRPr="00C20A05">
        <w:t>options paper as a result of consideration of the specific conviction and re-offending statistics for Northern Ireland, together with consideration of responses to the consultation that called for any reforms to be simple to understand and straightforward to operate.</w:t>
      </w:r>
      <w:r w:rsidR="00AD2251">
        <w:rPr>
          <w:rStyle w:val="FootnoteReference"/>
        </w:rPr>
        <w:footnoteReference w:id="13"/>
      </w:r>
      <w:r w:rsidR="00AD2251">
        <w:t xml:space="preserve"> </w:t>
      </w:r>
      <w:r w:rsidR="00AD2251" w:rsidRPr="537D1B90">
        <w:t xml:space="preserve">In light of the decision in the UK Supreme Court, the </w:t>
      </w:r>
      <w:r w:rsidR="00AA257C">
        <w:t>Commission</w:t>
      </w:r>
      <w:r w:rsidR="00AD2251" w:rsidRPr="537D1B90">
        <w:t xml:space="preserve"> welcomes consideration of the relevant issues raised in the 2021 Consultation but encourages further review of what relevant factors should be addressed in the current landscape.</w:t>
      </w:r>
    </w:p>
    <w:p w14:paraId="583B401E" w14:textId="77777777" w:rsidR="00C80FAB" w:rsidRDefault="00C80FAB" w:rsidP="00D920DF"/>
    <w:p w14:paraId="088881BF" w14:textId="2C5FB69E" w:rsidR="00AD2251" w:rsidRPr="005432B4" w:rsidRDefault="00820709" w:rsidP="00D920DF">
      <w:pPr>
        <w:ind w:left="720" w:hanging="720"/>
      </w:pPr>
      <w:r>
        <w:t>4.11</w:t>
      </w:r>
      <w:r>
        <w:tab/>
      </w:r>
      <w:r w:rsidR="00AD2251">
        <w:t xml:space="preserve">The new amendments also propose to </w:t>
      </w:r>
      <w:r w:rsidR="00AD2251" w:rsidRPr="005432B4">
        <w:t>create an order making power to allow the Department to establish a review mechanism for some additional convictions not captured by the revised arrangements</w:t>
      </w:r>
      <w:r w:rsidR="00886F78">
        <w:t>,</w:t>
      </w:r>
      <w:r w:rsidR="00AD2251">
        <w:t xml:space="preserve"> though further policy development and consultation is required. With respect to this, a new Clause 28B provides a power where the Department </w:t>
      </w:r>
      <w:r w:rsidR="007F6F17">
        <w:t>of</w:t>
      </w:r>
      <w:r w:rsidR="00AD2251">
        <w:t xml:space="preserve"> Justice may make regulations allowing for certain terms of sentences exceeding 10</w:t>
      </w:r>
      <w:r w:rsidR="006C3AAB">
        <w:t xml:space="preserve"> years</w:t>
      </w:r>
      <w:r w:rsidR="00AD2251">
        <w:t xml:space="preserve"> to become rehabilitated by an order of a specified court or tribunal.</w:t>
      </w:r>
    </w:p>
    <w:p w14:paraId="035F731C" w14:textId="77777777" w:rsidR="00C3142A" w:rsidRDefault="00C3142A" w:rsidP="00D920DF"/>
    <w:p w14:paraId="2B83F499" w14:textId="37E267ED" w:rsidR="00AD2251" w:rsidRDefault="00C3142A" w:rsidP="00D920DF">
      <w:pPr>
        <w:ind w:left="720" w:hanging="720"/>
      </w:pPr>
      <w:r>
        <w:lastRenderedPageBreak/>
        <w:t>4.12</w:t>
      </w:r>
      <w:r w:rsidR="00416987">
        <w:tab/>
      </w:r>
      <w:r w:rsidR="6AFD4674">
        <w:t>The Commission notes that it is intended that the reforms</w:t>
      </w:r>
      <w:r w:rsidR="00AD2251" w:rsidRPr="00137E6D">
        <w:t xml:space="preserve"> </w:t>
      </w:r>
      <w:r w:rsidR="00AD2251">
        <w:t>‘</w:t>
      </w:r>
      <w:r w:rsidR="00AD2251" w:rsidRPr="00137E6D">
        <w:t>reflect developments in neighbouring jurisdictions – thereby ensuring that ex-offenders in Northern Ireland are not treated less favourably than those in other jurisdictions - and seek to address aspects of court judgments applicable to the regime here, particularly in relation to the absence of any review mechanism.</w:t>
      </w:r>
      <w:r w:rsidR="00AD2251">
        <w:t>’</w:t>
      </w:r>
      <w:r w:rsidR="00AD2251">
        <w:rPr>
          <w:rStyle w:val="FootnoteReference"/>
        </w:rPr>
        <w:footnoteReference w:id="14"/>
      </w:r>
      <w:r w:rsidR="4982F2E1">
        <w:t xml:space="preserve"> In furtherance of this objective, it would be more appropriate for the Department to be placed under a duty to enact the proposed regulations. This would provide certainty and allow interested parties to prepare for the consultation exercise.  </w:t>
      </w:r>
    </w:p>
    <w:p w14:paraId="2249BB9D" w14:textId="2492AF1F" w:rsidR="00AD2251" w:rsidRDefault="00AD2251" w:rsidP="00D920DF">
      <w:pPr>
        <w:ind w:left="720" w:hanging="720"/>
      </w:pPr>
    </w:p>
    <w:p w14:paraId="53097700" w14:textId="0877C9C1" w:rsidR="00AD2251" w:rsidRDefault="4982F2E1" w:rsidP="00D920DF">
      <w:pPr>
        <w:ind w:left="720" w:hanging="720"/>
      </w:pPr>
      <w:proofErr w:type="gramStart"/>
      <w:r>
        <w:t xml:space="preserve">4.13  </w:t>
      </w:r>
      <w:r w:rsidRPr="537D1B90">
        <w:rPr>
          <w:b/>
          <w:bCs/>
        </w:rPr>
        <w:t>The</w:t>
      </w:r>
      <w:proofErr w:type="gramEnd"/>
      <w:r w:rsidRPr="537D1B90">
        <w:rPr>
          <w:b/>
          <w:bCs/>
        </w:rPr>
        <w:t xml:space="preserve"> Commission recommends that the Committee give consideration to amending the proposed Clause 28B to provide that the Department of Justice shall make regulations for and in connection with allowing a person on whom a sentence has been imposed in respect of a conviction to apply for an order.  </w:t>
      </w:r>
    </w:p>
    <w:p w14:paraId="696A1D47" w14:textId="2CDDD314" w:rsidR="4982F2E1" w:rsidRDefault="4982F2E1" w:rsidP="00D920DF">
      <w:pPr>
        <w:ind w:left="720" w:hanging="720"/>
      </w:pPr>
    </w:p>
    <w:p w14:paraId="4D527B54" w14:textId="4B654417" w:rsidR="00DD4CE7" w:rsidRDefault="00DD4CE7" w:rsidP="00D920DF"/>
    <w:p w14:paraId="24ACFB7E" w14:textId="2429B763" w:rsidR="00DD4CE7" w:rsidRDefault="00DD4CE7" w:rsidP="00D920DF">
      <w:pPr>
        <w:pStyle w:val="Heading2"/>
      </w:pPr>
      <w:bookmarkStart w:id="6" w:name="_Toc194414527"/>
      <w:r>
        <w:t>5.0</w:t>
      </w:r>
      <w:r>
        <w:tab/>
        <w:t>Repeal of Vagrancy</w:t>
      </w:r>
      <w:bookmarkEnd w:id="6"/>
    </w:p>
    <w:p w14:paraId="091A6447" w14:textId="7A7830F1" w:rsidR="00DD4CE7" w:rsidRDefault="00DD4CE7" w:rsidP="00D920DF">
      <w:pPr>
        <w:ind w:left="720" w:hanging="720"/>
      </w:pPr>
      <w:r>
        <w:t>5.1</w:t>
      </w:r>
      <w:r>
        <w:tab/>
      </w:r>
      <w:r w:rsidR="009E7F83">
        <w:t>A</w:t>
      </w:r>
      <w:r w:rsidR="00A424C4">
        <w:t>n</w:t>
      </w:r>
      <w:r w:rsidR="009E7F83">
        <w:t xml:space="preserve"> amendment to the Justice Bill </w:t>
      </w:r>
      <w:r w:rsidR="00A424C4">
        <w:t xml:space="preserve">has been introduced which proposes to repeal </w:t>
      </w:r>
      <w:r w:rsidR="00B4753C">
        <w:t xml:space="preserve">section 4 of the Vagrancy Act 1824 and section 3 of the </w:t>
      </w:r>
      <w:r w:rsidR="00A6121A">
        <w:t>Vagrancy</w:t>
      </w:r>
      <w:r w:rsidR="00B4753C">
        <w:t xml:space="preserve"> (Ireland) Act 1847</w:t>
      </w:r>
      <w:r w:rsidR="00063E05">
        <w:t>.</w:t>
      </w:r>
      <w:r w:rsidR="005E7FA0">
        <w:rPr>
          <w:rStyle w:val="FootnoteReference"/>
        </w:rPr>
        <w:footnoteReference w:id="15"/>
      </w:r>
      <w:r w:rsidR="00063E05">
        <w:t xml:space="preserve"> </w:t>
      </w:r>
    </w:p>
    <w:p w14:paraId="5FC406BF" w14:textId="77777777" w:rsidR="00E537E8" w:rsidRDefault="00E537E8" w:rsidP="00D920DF">
      <w:pPr>
        <w:ind w:left="720" w:hanging="720"/>
      </w:pPr>
    </w:p>
    <w:p w14:paraId="0508A705" w14:textId="34EB79C2" w:rsidR="00E537E8" w:rsidRDefault="00E537E8" w:rsidP="00D920DF">
      <w:pPr>
        <w:ind w:left="720" w:hanging="720"/>
      </w:pPr>
      <w:r>
        <w:t>5.</w:t>
      </w:r>
      <w:r w:rsidR="00D920DF">
        <w:t xml:space="preserve">2 </w:t>
      </w:r>
      <w:r w:rsidR="00D920DF">
        <w:tab/>
      </w:r>
      <w:r>
        <w:t xml:space="preserve">The </w:t>
      </w:r>
      <w:r w:rsidR="00D15552">
        <w:t>Commission</w:t>
      </w:r>
      <w:r>
        <w:t xml:space="preserve"> agrees with the Department of Justice’s summation that this legislation is outdated</w:t>
      </w:r>
      <w:r w:rsidR="00341424">
        <w:t xml:space="preserve"> and in practice criminalise</w:t>
      </w:r>
      <w:r w:rsidR="008B63CD">
        <w:t>s</w:t>
      </w:r>
      <w:r w:rsidR="00341424">
        <w:t xml:space="preserve"> homelessness, as opposed to acknowledging the complexit</w:t>
      </w:r>
      <w:r w:rsidR="00B22874">
        <w:t xml:space="preserve">ies involved and approaching the situation from a position of providing </w:t>
      </w:r>
      <w:r w:rsidR="0065090D">
        <w:t xml:space="preserve">much needed </w:t>
      </w:r>
      <w:r w:rsidR="00B22874">
        <w:t>support</w:t>
      </w:r>
      <w:r w:rsidR="0065090D">
        <w:t xml:space="preserve"> to the individual(s) involved</w:t>
      </w:r>
      <w:r w:rsidR="00B22874">
        <w:t>.</w:t>
      </w:r>
      <w:r w:rsidR="00142720">
        <w:rPr>
          <w:rStyle w:val="FootnoteReference"/>
        </w:rPr>
        <w:footnoteReference w:id="16"/>
      </w:r>
      <w:r w:rsidR="00B22874">
        <w:t xml:space="preserve"> </w:t>
      </w:r>
    </w:p>
    <w:p w14:paraId="59AB6D28" w14:textId="77777777" w:rsidR="00BC2A6A" w:rsidRDefault="00BC2A6A" w:rsidP="00D920DF">
      <w:pPr>
        <w:ind w:left="720" w:hanging="720"/>
      </w:pPr>
    </w:p>
    <w:p w14:paraId="467624B7" w14:textId="5DC97B26" w:rsidR="007C45F0" w:rsidRDefault="00BC2A6A" w:rsidP="00D920DF">
      <w:pPr>
        <w:ind w:left="720" w:hanging="720"/>
      </w:pPr>
      <w:r>
        <w:t>5.</w:t>
      </w:r>
      <w:r w:rsidR="00D920DF">
        <w:t>3</w:t>
      </w:r>
      <w:r>
        <w:tab/>
        <w:t>Arguably, the 1824 and 1847 Acts constitute blanket bans on homelessness</w:t>
      </w:r>
      <w:r w:rsidR="00F15894">
        <w:t>. Such</w:t>
      </w:r>
      <w:r>
        <w:t xml:space="preserve"> an approach has been confirmed by the ECtHR in </w:t>
      </w:r>
      <w:r w:rsidRPr="00762CCF">
        <w:rPr>
          <w:i/>
          <w:iCs/>
        </w:rPr>
        <w:t>Lacatus v Switzerland</w:t>
      </w:r>
      <w:r>
        <w:t xml:space="preserve"> (2021) as a violation of Article 8 of the ECHR.</w:t>
      </w:r>
      <w:r>
        <w:rPr>
          <w:rStyle w:val="FootnoteReference"/>
        </w:rPr>
        <w:footnoteReference w:id="17"/>
      </w:r>
      <w:r>
        <w:t xml:space="preserve"> While some time has passed since these pieces of legislation were used in </w:t>
      </w:r>
      <w:r>
        <w:lastRenderedPageBreak/>
        <w:t xml:space="preserve">practice in </w:t>
      </w:r>
      <w:r w:rsidR="00C37C22">
        <w:t>NI</w:t>
      </w:r>
      <w:r>
        <w:t xml:space="preserve">, retaining them on the statute books poses the risk of a change in approach constituting a violation of the ECHR. </w:t>
      </w:r>
    </w:p>
    <w:p w14:paraId="07029761" w14:textId="77777777" w:rsidR="00F31318" w:rsidRDefault="00F31318" w:rsidP="00D920DF">
      <w:pPr>
        <w:ind w:left="720" w:hanging="720"/>
      </w:pPr>
    </w:p>
    <w:p w14:paraId="5A5DCE7F" w14:textId="5C6FFBFD" w:rsidR="007C45F0" w:rsidRDefault="00F31318" w:rsidP="00D920DF">
      <w:pPr>
        <w:ind w:left="720" w:hanging="720"/>
      </w:pPr>
      <w:r>
        <w:t>5.</w:t>
      </w:r>
      <w:r w:rsidR="00D920DF">
        <w:t>4</w:t>
      </w:r>
      <w:r>
        <w:tab/>
        <w:t xml:space="preserve">The Department of Justice has indicated that </w:t>
      </w:r>
      <w:r w:rsidR="00532B53">
        <w:t>there are no proposals to introduce replacement legislation on repeal to avoid “re-criminalising people in a similar way to the provisions that are to be repealed”.</w:t>
      </w:r>
      <w:r w:rsidR="00532B53">
        <w:rPr>
          <w:rStyle w:val="FootnoteReference"/>
        </w:rPr>
        <w:footnoteReference w:id="18"/>
      </w:r>
      <w:r w:rsidR="0076131C">
        <w:t xml:space="preserve"> Instead, the Department of Justice considers that “where relevant behaviour reaches the criminal threshold, there are existing harassment, disorderly behaviour and public order offences available that can be used in helping the police to deal with those incidents, regardless of an individual’s personal circumstances”.</w:t>
      </w:r>
      <w:r w:rsidR="0076131C">
        <w:rPr>
          <w:rStyle w:val="FootnoteReference"/>
        </w:rPr>
        <w:footnoteReference w:id="19"/>
      </w:r>
      <w:r w:rsidR="0076131C">
        <w:t xml:space="preserve"> </w:t>
      </w:r>
      <w:r w:rsidR="005B03E1">
        <w:t>On this point, t</w:t>
      </w:r>
      <w:r w:rsidR="00532B53">
        <w:t>he Department of Justice’s ongoing review of anti-social behaviour legislation is relevant.</w:t>
      </w:r>
      <w:r w:rsidR="00532B53">
        <w:rPr>
          <w:rStyle w:val="FootnoteReference"/>
        </w:rPr>
        <w:footnoteReference w:id="20"/>
      </w:r>
      <w:r w:rsidR="00532B53">
        <w:t xml:space="preserve"> The </w:t>
      </w:r>
      <w:r w:rsidR="00D15552">
        <w:t>Commission</w:t>
      </w:r>
      <w:r w:rsidR="00532B53">
        <w:t xml:space="preserve"> responded to the public consultation on th</w:t>
      </w:r>
      <w:r w:rsidR="00C37C22">
        <w:t>is</w:t>
      </w:r>
      <w:r w:rsidR="00532B53">
        <w:t xml:space="preserve"> matter, advising that an appropriate balance should be struck between tackling anti-social behaviour and ensuring that legislation did not unduly infringe on the rights of individuals in NI, including people experiencing homelessness.</w:t>
      </w:r>
      <w:r w:rsidR="00532B53">
        <w:rPr>
          <w:rStyle w:val="FootnoteReference"/>
        </w:rPr>
        <w:footnoteReference w:id="21"/>
      </w:r>
      <w:r w:rsidR="00532B53">
        <w:t xml:space="preserve"> </w:t>
      </w:r>
    </w:p>
    <w:p w14:paraId="2946DECE" w14:textId="77777777" w:rsidR="007831C6" w:rsidRDefault="007831C6" w:rsidP="00D920DF">
      <w:pPr>
        <w:ind w:left="720" w:hanging="720"/>
      </w:pPr>
    </w:p>
    <w:p w14:paraId="0B9B8712" w14:textId="0B1DBD8C" w:rsidR="00BC2A6A" w:rsidRDefault="007C45F0" w:rsidP="00D920DF">
      <w:pPr>
        <w:ind w:left="720" w:hanging="720"/>
        <w:rPr>
          <w:b/>
          <w:bCs/>
        </w:rPr>
      </w:pPr>
      <w:r>
        <w:t>5.</w:t>
      </w:r>
      <w:r w:rsidR="00D920DF">
        <w:t>5</w:t>
      </w:r>
      <w:r>
        <w:tab/>
      </w:r>
      <w:r w:rsidRPr="00A4616D">
        <w:rPr>
          <w:b/>
          <w:bCs/>
        </w:rPr>
        <w:t>T</w:t>
      </w:r>
      <w:r w:rsidR="00BC2A6A" w:rsidRPr="00A4616D">
        <w:rPr>
          <w:b/>
          <w:bCs/>
        </w:rPr>
        <w:t xml:space="preserve">he </w:t>
      </w:r>
      <w:r w:rsidR="00D15552">
        <w:rPr>
          <w:b/>
          <w:bCs/>
        </w:rPr>
        <w:t>Commission</w:t>
      </w:r>
      <w:r w:rsidR="00BC2A6A" w:rsidRPr="00A4616D">
        <w:rPr>
          <w:b/>
          <w:bCs/>
        </w:rPr>
        <w:t xml:space="preserve"> welcomes the proposals to repeal</w:t>
      </w:r>
      <w:r w:rsidR="00A4616D" w:rsidRPr="00A4616D">
        <w:rPr>
          <w:b/>
          <w:bCs/>
        </w:rPr>
        <w:t xml:space="preserve"> </w:t>
      </w:r>
      <w:r w:rsidR="007C3C05">
        <w:rPr>
          <w:b/>
          <w:bCs/>
        </w:rPr>
        <w:t xml:space="preserve">section 4 of the </w:t>
      </w:r>
      <w:r w:rsidR="00A4616D" w:rsidRPr="00A4616D">
        <w:rPr>
          <w:b/>
          <w:bCs/>
        </w:rPr>
        <w:t xml:space="preserve">Vagrancy Act 1824 and </w:t>
      </w:r>
      <w:r w:rsidR="007C3C05">
        <w:rPr>
          <w:b/>
          <w:bCs/>
        </w:rPr>
        <w:t xml:space="preserve">section 3 of the </w:t>
      </w:r>
      <w:r w:rsidR="00A4616D" w:rsidRPr="00A4616D">
        <w:rPr>
          <w:b/>
          <w:bCs/>
        </w:rPr>
        <w:t>Vagrancy (Ireland) Act 1847</w:t>
      </w:r>
      <w:r w:rsidR="00BC2A6A" w:rsidRPr="00A4616D">
        <w:rPr>
          <w:b/>
          <w:bCs/>
        </w:rPr>
        <w:t xml:space="preserve">, with a view to ensuring that homelessness is not criminalised </w:t>
      </w:r>
      <w:r w:rsidR="00A4616D" w:rsidRPr="00A4616D">
        <w:rPr>
          <w:b/>
          <w:bCs/>
        </w:rPr>
        <w:t>in NI</w:t>
      </w:r>
      <w:r w:rsidR="00BC2A6A" w:rsidRPr="00A4616D">
        <w:rPr>
          <w:b/>
          <w:bCs/>
        </w:rPr>
        <w:t>.</w:t>
      </w:r>
    </w:p>
    <w:p w14:paraId="41077F21" w14:textId="77777777" w:rsidR="008A4A65" w:rsidRDefault="008A4A65" w:rsidP="00D920DF">
      <w:pPr>
        <w:ind w:left="720" w:hanging="720"/>
      </w:pPr>
    </w:p>
    <w:p w14:paraId="6C17DBF2" w14:textId="26B35F6F" w:rsidR="008A4A65" w:rsidRDefault="008A4A65" w:rsidP="00D920DF">
      <w:pPr>
        <w:ind w:left="720" w:hanging="720"/>
      </w:pPr>
      <w:r>
        <w:t>5.</w:t>
      </w:r>
      <w:r w:rsidR="00D920DF">
        <w:t>6</w:t>
      </w:r>
      <w:r>
        <w:tab/>
      </w:r>
      <w:r w:rsidRPr="007831C6">
        <w:rPr>
          <w:b/>
          <w:bCs/>
        </w:rPr>
        <w:t xml:space="preserve">The </w:t>
      </w:r>
      <w:r w:rsidR="00D15552">
        <w:rPr>
          <w:b/>
          <w:bCs/>
        </w:rPr>
        <w:t>Commission</w:t>
      </w:r>
      <w:r w:rsidRPr="007831C6">
        <w:rPr>
          <w:b/>
          <w:bCs/>
        </w:rPr>
        <w:t xml:space="preserve"> recommends that the Committee for Justice encourages the Department of Justice </w:t>
      </w:r>
      <w:r w:rsidR="00E223B3" w:rsidRPr="007831C6">
        <w:rPr>
          <w:b/>
          <w:bCs/>
        </w:rPr>
        <w:t xml:space="preserve">to ensure that an appropriate balance is struck between tackling anti-social behaviour and ensuring that the </w:t>
      </w:r>
      <w:r w:rsidR="00353A4C" w:rsidRPr="007831C6">
        <w:rPr>
          <w:b/>
          <w:bCs/>
        </w:rPr>
        <w:t xml:space="preserve">alternative legislation that will be relied on </w:t>
      </w:r>
      <w:r w:rsidR="55F756F4" w:rsidRPr="537D1B90">
        <w:rPr>
          <w:b/>
          <w:bCs/>
        </w:rPr>
        <w:t>following</w:t>
      </w:r>
      <w:r w:rsidR="002178AC" w:rsidRPr="007831C6">
        <w:rPr>
          <w:b/>
          <w:bCs/>
        </w:rPr>
        <w:t xml:space="preserve"> the repeal of section 4 of the Vagrancy Act 1824 and section 3 of the Vagrancy (Ireland) Act 1847</w:t>
      </w:r>
      <w:r w:rsidR="00353A4C" w:rsidRPr="007831C6">
        <w:rPr>
          <w:b/>
          <w:bCs/>
        </w:rPr>
        <w:t xml:space="preserve"> does not unduly infringe on the rights of individuals in NI, including people experiencing homelessness.</w:t>
      </w:r>
      <w:r w:rsidR="007831C6" w:rsidRPr="007831C6">
        <w:rPr>
          <w:b/>
          <w:bCs/>
        </w:rPr>
        <w:t xml:space="preserve"> </w:t>
      </w:r>
      <w:r w:rsidR="00865E18">
        <w:rPr>
          <w:b/>
          <w:bCs/>
        </w:rPr>
        <w:t>While acknowledging the public consultation, t</w:t>
      </w:r>
      <w:r w:rsidR="007831C6" w:rsidRPr="007831C6">
        <w:rPr>
          <w:b/>
          <w:bCs/>
        </w:rPr>
        <w:t xml:space="preserve">his requires </w:t>
      </w:r>
      <w:r w:rsidR="003D7D55">
        <w:rPr>
          <w:b/>
          <w:bCs/>
        </w:rPr>
        <w:t xml:space="preserve">specifically </w:t>
      </w:r>
      <w:r w:rsidR="007831C6" w:rsidRPr="007831C6">
        <w:rPr>
          <w:b/>
          <w:bCs/>
        </w:rPr>
        <w:t>seeking</w:t>
      </w:r>
      <w:r w:rsidR="001B20F3">
        <w:rPr>
          <w:b/>
          <w:bCs/>
        </w:rPr>
        <w:t xml:space="preserve"> and </w:t>
      </w:r>
      <w:proofErr w:type="gramStart"/>
      <w:r w:rsidR="001B20F3">
        <w:rPr>
          <w:b/>
          <w:bCs/>
        </w:rPr>
        <w:t>giving consideration to</w:t>
      </w:r>
      <w:proofErr w:type="gramEnd"/>
      <w:r w:rsidR="007831C6" w:rsidRPr="007831C6">
        <w:rPr>
          <w:b/>
          <w:bCs/>
        </w:rPr>
        <w:t xml:space="preserve"> the views of people with lived experience of </w:t>
      </w:r>
      <w:r w:rsidR="007831C6" w:rsidRPr="007831C6">
        <w:rPr>
          <w:b/>
          <w:bCs/>
        </w:rPr>
        <w:lastRenderedPageBreak/>
        <w:t>homelessness and their representative organisations</w:t>
      </w:r>
      <w:r w:rsidR="00865E18">
        <w:rPr>
          <w:b/>
          <w:bCs/>
        </w:rPr>
        <w:t xml:space="preserve"> at e</w:t>
      </w:r>
      <w:r w:rsidR="000C2584">
        <w:rPr>
          <w:b/>
          <w:bCs/>
        </w:rPr>
        <w:t>ach</w:t>
      </w:r>
      <w:r w:rsidR="00865E18">
        <w:rPr>
          <w:b/>
          <w:bCs/>
        </w:rPr>
        <w:t xml:space="preserve"> </w:t>
      </w:r>
      <w:r w:rsidR="000C2584">
        <w:rPr>
          <w:b/>
          <w:bCs/>
        </w:rPr>
        <w:t>decision-making stage</w:t>
      </w:r>
      <w:r w:rsidR="007831C6" w:rsidRPr="007831C6">
        <w:rPr>
          <w:b/>
          <w:bCs/>
        </w:rPr>
        <w:t>.</w:t>
      </w:r>
    </w:p>
    <w:p w14:paraId="37E4BCF3" w14:textId="695D08AB" w:rsidR="00DD4CE7" w:rsidRPr="00DD4CE7" w:rsidRDefault="00DD4CE7" w:rsidP="00D920DF"/>
    <w:p w14:paraId="7FE025C0" w14:textId="0C97C296" w:rsidR="002520BF" w:rsidRDefault="00A55930" w:rsidP="00D920DF">
      <w:pPr>
        <w:pStyle w:val="Heading2"/>
      </w:pPr>
      <w:bookmarkStart w:id="7" w:name="_Toc194414528"/>
      <w:r>
        <w:t>6.0</w:t>
      </w:r>
      <w:r>
        <w:tab/>
        <w:t>Serious Organised Crime</w:t>
      </w:r>
      <w:bookmarkEnd w:id="7"/>
    </w:p>
    <w:p w14:paraId="2FF470AA" w14:textId="77777777" w:rsidR="00CF54C6" w:rsidRDefault="00A55930" w:rsidP="00D920DF">
      <w:pPr>
        <w:ind w:left="720" w:hanging="720"/>
        <w:rPr>
          <w:rFonts w:cs="Arial"/>
          <w:color w:val="232120"/>
        </w:rPr>
      </w:pPr>
      <w:r>
        <w:rPr>
          <w:rFonts w:cs="Arial"/>
          <w:color w:val="232120"/>
        </w:rPr>
        <w:t>6.1</w:t>
      </w:r>
      <w:r>
        <w:rPr>
          <w:rFonts w:cs="Arial"/>
          <w:color w:val="232120"/>
        </w:rPr>
        <w:tab/>
      </w:r>
      <w:r w:rsidR="006E10AB">
        <w:rPr>
          <w:rFonts w:cs="Arial"/>
          <w:color w:val="232120"/>
        </w:rPr>
        <w:t>Amendments have been proposed that intend to</w:t>
      </w:r>
      <w:r w:rsidR="006E10AB" w:rsidRPr="006E10AB">
        <w:rPr>
          <w:rFonts w:cs="Arial"/>
          <w:color w:val="232120"/>
        </w:rPr>
        <w:t xml:space="preserve"> address the issue of involvement in serious organised crime. The clauses define what constitutes an organised crime group and set out what it means to ‘participate in the criminal activities of an organised crime group’. It also creates two new offences: participating in the criminal activities of an organised crime group; and directing the criminal activities of an organised crime group.</w:t>
      </w:r>
    </w:p>
    <w:p w14:paraId="568AAFEA" w14:textId="77777777" w:rsidR="00CF54C6" w:rsidRDefault="00CF54C6" w:rsidP="00D920DF">
      <w:pPr>
        <w:ind w:left="720" w:hanging="720"/>
        <w:rPr>
          <w:rFonts w:cs="Arial"/>
          <w:color w:val="232120"/>
        </w:rPr>
      </w:pPr>
    </w:p>
    <w:p w14:paraId="3782F727" w14:textId="3625C1E5" w:rsidR="00CF54C6" w:rsidRDefault="00CF54C6" w:rsidP="00D920DF">
      <w:pPr>
        <w:ind w:left="720" w:hanging="720"/>
        <w:rPr>
          <w:color w:val="000000"/>
        </w:rPr>
      </w:pPr>
      <w:r>
        <w:rPr>
          <w:rFonts w:cs="Arial"/>
          <w:color w:val="232120"/>
        </w:rPr>
        <w:t xml:space="preserve">6.2 </w:t>
      </w:r>
      <w:r>
        <w:rPr>
          <w:rFonts w:cs="Arial"/>
          <w:color w:val="232120"/>
        </w:rPr>
        <w:tab/>
      </w:r>
      <w:r w:rsidR="00BE02F9">
        <w:rPr>
          <w:rFonts w:cs="Arial"/>
          <w:color w:val="232120"/>
        </w:rPr>
        <w:t xml:space="preserve">The </w:t>
      </w:r>
      <w:r w:rsidR="00D15552">
        <w:rPr>
          <w:rFonts w:cs="Arial"/>
          <w:color w:val="232120"/>
        </w:rPr>
        <w:t>Commission</w:t>
      </w:r>
      <w:r w:rsidR="00BE02F9">
        <w:rPr>
          <w:rFonts w:cs="Arial"/>
          <w:color w:val="232120"/>
        </w:rPr>
        <w:t xml:space="preserve"> welcomes this proposal. </w:t>
      </w:r>
      <w:r w:rsidRPr="00CF54C6">
        <w:rPr>
          <w:rFonts w:cs="Arial"/>
          <w:color w:val="232120"/>
        </w:rPr>
        <w:t>In</w:t>
      </w:r>
      <w:r>
        <w:rPr>
          <w:color w:val="000000"/>
        </w:rPr>
        <w:t xml:space="preserve"> August 2024, </w:t>
      </w:r>
      <w:r w:rsidR="001B57E3">
        <w:rPr>
          <w:color w:val="000000"/>
        </w:rPr>
        <w:t xml:space="preserve">following </w:t>
      </w:r>
      <w:r w:rsidR="00B306DC">
        <w:rPr>
          <w:color w:val="000000"/>
        </w:rPr>
        <w:t>local disturbances related to racism</w:t>
      </w:r>
      <w:r w:rsidR="00A133D0">
        <w:rPr>
          <w:color w:val="000000"/>
        </w:rPr>
        <w:t xml:space="preserve"> and anti-immigration sentiment</w:t>
      </w:r>
      <w:r w:rsidR="00B306DC">
        <w:rPr>
          <w:color w:val="000000"/>
        </w:rPr>
        <w:t xml:space="preserve">, </w:t>
      </w:r>
      <w:r>
        <w:rPr>
          <w:color w:val="000000"/>
        </w:rPr>
        <w:t>the UN C</w:t>
      </w:r>
      <w:r w:rsidR="00B306DC">
        <w:rPr>
          <w:color w:val="000000"/>
        </w:rPr>
        <w:t>ommittee on the Elimination of Racial Discrimination (UNC</w:t>
      </w:r>
      <w:r>
        <w:rPr>
          <w:color w:val="000000"/>
        </w:rPr>
        <w:t>ERD Committee</w:t>
      </w:r>
      <w:r w:rsidR="00B306DC">
        <w:rPr>
          <w:color w:val="000000"/>
        </w:rPr>
        <w:t>)</w:t>
      </w:r>
      <w:r>
        <w:rPr>
          <w:color w:val="000000"/>
        </w:rPr>
        <w:t xml:space="preserve"> recommended that the UK Government and NI Executive:</w:t>
      </w:r>
    </w:p>
    <w:p w14:paraId="36505555" w14:textId="77777777" w:rsidR="00CF54C6" w:rsidRDefault="00CF54C6" w:rsidP="00D920DF">
      <w:pPr>
        <w:rPr>
          <w:color w:val="000000"/>
        </w:rPr>
      </w:pPr>
    </w:p>
    <w:p w14:paraId="42E66044" w14:textId="77777777" w:rsidR="00CF54C6" w:rsidRDefault="00CF54C6" w:rsidP="00D920DF">
      <w:pPr>
        <w:pStyle w:val="Quote"/>
        <w:ind w:left="1440"/>
      </w:pPr>
      <w:r>
        <w:t>adopt robust measures to prevent and combat paramilitary racist violence and intimidation against ethnic minorities and migrants in NI, systematically collect information of these acts of intimidation and ensure that cases of paramilitary racist violence and intimidation are promptly and effectively investigated, prosecuted and punished with appropriate sanctions, and that victims have access to effective protection and redress.</w:t>
      </w:r>
      <w:r>
        <w:rPr>
          <w:rStyle w:val="FootnoteReference"/>
        </w:rPr>
        <w:footnoteReference w:id="22"/>
      </w:r>
    </w:p>
    <w:p w14:paraId="1B07E7FF" w14:textId="77777777" w:rsidR="00CF54C6" w:rsidRDefault="00CF54C6" w:rsidP="00D920DF">
      <w:pPr>
        <w:rPr>
          <w:color w:val="000000"/>
        </w:rPr>
      </w:pPr>
    </w:p>
    <w:p w14:paraId="3D14A484" w14:textId="3F6EEE80" w:rsidR="00732394" w:rsidRDefault="00CF54C6" w:rsidP="00D920DF">
      <w:pPr>
        <w:ind w:left="720" w:hanging="720"/>
        <w:rPr>
          <w:color w:val="000000"/>
        </w:rPr>
      </w:pPr>
      <w:r>
        <w:rPr>
          <w:color w:val="000000"/>
        </w:rPr>
        <w:t>6.3</w:t>
      </w:r>
      <w:r>
        <w:rPr>
          <w:color w:val="000000"/>
        </w:rPr>
        <w:tab/>
      </w:r>
      <w:r w:rsidR="00732394">
        <w:rPr>
          <w:color w:val="000000"/>
        </w:rPr>
        <w:t xml:space="preserve">More recently, in March 2025 the </w:t>
      </w:r>
      <w:r w:rsidR="005C00EB">
        <w:rPr>
          <w:color w:val="000000"/>
        </w:rPr>
        <w:t>UN Committee on Economic, Social and Cultural Rights recommended that the UK Government and NI Executive:</w:t>
      </w:r>
    </w:p>
    <w:p w14:paraId="4CD2A7BE" w14:textId="77777777" w:rsidR="005C00EB" w:rsidRDefault="005C00EB" w:rsidP="00D920DF">
      <w:pPr>
        <w:ind w:left="1440"/>
        <w:rPr>
          <w:iCs/>
        </w:rPr>
      </w:pPr>
    </w:p>
    <w:p w14:paraId="46172C8F" w14:textId="581FDDC2" w:rsidR="005C00EB" w:rsidRPr="005C00EB" w:rsidRDefault="005C00EB" w:rsidP="00D920DF">
      <w:pPr>
        <w:ind w:left="1440"/>
        <w:rPr>
          <w:iCs/>
        </w:rPr>
      </w:pPr>
      <w:r w:rsidRPr="005C00EB">
        <w:rPr>
          <w:iCs/>
        </w:rPr>
        <w:t>Strengthen measures to prevent and combat intimidation by paramilitary groups against ethnic minorities and migrants in Northern Ireland to ensure their access to adequate housing and to prevent de facto segregation, collect data on such acts and ensure that they are promptly and effectively investigated</w:t>
      </w:r>
      <w:r>
        <w:rPr>
          <w:iCs/>
        </w:rPr>
        <w:t>.</w:t>
      </w:r>
      <w:r w:rsidR="00606D58">
        <w:rPr>
          <w:rStyle w:val="FootnoteReference"/>
          <w:iCs/>
        </w:rPr>
        <w:footnoteReference w:id="23"/>
      </w:r>
    </w:p>
    <w:p w14:paraId="5A547404" w14:textId="77777777" w:rsidR="00732394" w:rsidRDefault="00732394" w:rsidP="00D920DF">
      <w:pPr>
        <w:ind w:left="720" w:hanging="720"/>
        <w:rPr>
          <w:color w:val="000000"/>
        </w:rPr>
      </w:pPr>
    </w:p>
    <w:p w14:paraId="3F958EB4" w14:textId="77777777" w:rsidR="00732394" w:rsidRDefault="00732394" w:rsidP="00D920DF">
      <w:pPr>
        <w:ind w:left="720" w:hanging="720"/>
        <w:rPr>
          <w:color w:val="000000"/>
        </w:rPr>
      </w:pPr>
    </w:p>
    <w:p w14:paraId="4EE9D923" w14:textId="2C7D86D1" w:rsidR="00015CEE" w:rsidRDefault="003B0C88" w:rsidP="00D920DF">
      <w:pPr>
        <w:ind w:left="720" w:hanging="720"/>
        <w:rPr>
          <w:color w:val="000000"/>
        </w:rPr>
      </w:pPr>
      <w:r>
        <w:rPr>
          <w:color w:val="000000"/>
        </w:rPr>
        <w:t>6.4</w:t>
      </w:r>
      <w:r>
        <w:rPr>
          <w:color w:val="000000"/>
        </w:rPr>
        <w:tab/>
        <w:t xml:space="preserve">However, </w:t>
      </w:r>
      <w:r w:rsidR="00592730">
        <w:rPr>
          <w:color w:val="000000"/>
        </w:rPr>
        <w:t xml:space="preserve">the </w:t>
      </w:r>
      <w:r w:rsidR="00D15552">
        <w:rPr>
          <w:color w:val="000000"/>
        </w:rPr>
        <w:t>Commission</w:t>
      </w:r>
      <w:r w:rsidR="00592730">
        <w:rPr>
          <w:color w:val="000000"/>
        </w:rPr>
        <w:t xml:space="preserve"> </w:t>
      </w:r>
      <w:r w:rsidR="00844DA8">
        <w:rPr>
          <w:color w:val="000000"/>
        </w:rPr>
        <w:t xml:space="preserve">wishes to note the risk that victims could be prosecuted under the proposed legislation. </w:t>
      </w:r>
      <w:r w:rsidR="005C2854">
        <w:rPr>
          <w:color w:val="000000"/>
        </w:rPr>
        <w:t>This may be a particular risk for women who are subject to coercive control,</w:t>
      </w:r>
      <w:r w:rsidR="003D4B9A">
        <w:rPr>
          <w:rStyle w:val="FootnoteReference"/>
          <w:color w:val="000000"/>
        </w:rPr>
        <w:footnoteReference w:id="24"/>
      </w:r>
      <w:r w:rsidR="005C2854">
        <w:rPr>
          <w:color w:val="000000"/>
        </w:rPr>
        <w:t xml:space="preserve"> </w:t>
      </w:r>
      <w:r w:rsidR="00015CEE">
        <w:rPr>
          <w:color w:val="000000"/>
        </w:rPr>
        <w:t xml:space="preserve">children who are criminally exploited, and victims of trafficking and modern slavery. </w:t>
      </w:r>
    </w:p>
    <w:p w14:paraId="223A9094" w14:textId="77777777" w:rsidR="00015CEE" w:rsidRDefault="00015CEE" w:rsidP="00D920DF">
      <w:pPr>
        <w:ind w:left="720" w:hanging="720"/>
        <w:rPr>
          <w:color w:val="000000"/>
        </w:rPr>
      </w:pPr>
    </w:p>
    <w:p w14:paraId="195BEC91" w14:textId="7120B267" w:rsidR="00CF54C6" w:rsidRDefault="006A45E8" w:rsidP="00D920DF">
      <w:pPr>
        <w:ind w:left="720" w:hanging="720"/>
        <w:rPr>
          <w:color w:val="000000"/>
        </w:rPr>
      </w:pPr>
      <w:r>
        <w:rPr>
          <w:color w:val="000000"/>
        </w:rPr>
        <w:t>6.5</w:t>
      </w:r>
      <w:r>
        <w:rPr>
          <w:color w:val="000000"/>
        </w:rPr>
        <w:tab/>
      </w:r>
      <w:r w:rsidR="00CF54C6" w:rsidRPr="007478BB">
        <w:rPr>
          <w:color w:val="000000"/>
        </w:rPr>
        <w:t>In 2023, the UN</w:t>
      </w:r>
      <w:r w:rsidR="00702F7C">
        <w:rPr>
          <w:color w:val="000000"/>
        </w:rPr>
        <w:t xml:space="preserve"> Committee on the Rights of the Child</w:t>
      </w:r>
      <w:r w:rsidR="00CF54C6" w:rsidRPr="007478BB">
        <w:rPr>
          <w:color w:val="000000"/>
        </w:rPr>
        <w:t xml:space="preserve"> </w:t>
      </w:r>
      <w:r w:rsidR="00702F7C">
        <w:rPr>
          <w:color w:val="000000"/>
        </w:rPr>
        <w:t xml:space="preserve">(UN </w:t>
      </w:r>
      <w:r w:rsidR="00CF54C6" w:rsidRPr="007478BB">
        <w:rPr>
          <w:color w:val="000000"/>
        </w:rPr>
        <w:t>CRC Committee</w:t>
      </w:r>
      <w:r w:rsidR="00702F7C">
        <w:rPr>
          <w:color w:val="000000"/>
        </w:rPr>
        <w:t xml:space="preserve">) </w:t>
      </w:r>
      <w:r w:rsidR="00CF54C6">
        <w:rPr>
          <w:color w:val="000000"/>
        </w:rPr>
        <w:t xml:space="preserve">recommended </w:t>
      </w:r>
      <w:r w:rsidR="00CF54C6" w:rsidRPr="007478BB">
        <w:rPr>
          <w:color w:val="000000"/>
        </w:rPr>
        <w:t>that the UK Government and NI Executive “strengthen measures to protect children from intimidation, racist attacks and other forms of violence committed by non-State actors, including so-called ‘paramilitary organisations’ in NI, and from recruitment by such actors into violent activities”.</w:t>
      </w:r>
      <w:r w:rsidR="00CF54C6" w:rsidRPr="007478BB">
        <w:rPr>
          <w:rStyle w:val="FootnoteReference"/>
          <w:color w:val="000000"/>
        </w:rPr>
        <w:footnoteReference w:id="25"/>
      </w:r>
    </w:p>
    <w:p w14:paraId="4A0996DE" w14:textId="77777777" w:rsidR="003D0013" w:rsidRDefault="003D0013" w:rsidP="00D920DF">
      <w:pPr>
        <w:ind w:left="720" w:hanging="720"/>
        <w:rPr>
          <w:color w:val="000000"/>
        </w:rPr>
      </w:pPr>
    </w:p>
    <w:p w14:paraId="05069517" w14:textId="7B3FEFF4" w:rsidR="00DA63F2" w:rsidRDefault="003D0013" w:rsidP="00D920DF">
      <w:pPr>
        <w:ind w:left="720" w:hanging="720"/>
        <w:rPr>
          <w:rFonts w:cs="Arial"/>
          <w:color w:val="232120"/>
        </w:rPr>
      </w:pPr>
      <w:r>
        <w:rPr>
          <w:color w:val="000000"/>
        </w:rPr>
        <w:t>6.</w:t>
      </w:r>
      <w:r w:rsidR="00815811">
        <w:rPr>
          <w:color w:val="000000"/>
        </w:rPr>
        <w:t>6</w:t>
      </w:r>
      <w:r>
        <w:rPr>
          <w:color w:val="000000"/>
        </w:rPr>
        <w:tab/>
        <w:t>The UN CRC Committee</w:t>
      </w:r>
      <w:r w:rsidR="00C92CDD">
        <w:rPr>
          <w:color w:val="000000"/>
        </w:rPr>
        <w:t xml:space="preserve"> acknowledge</w:t>
      </w:r>
      <w:r w:rsidR="00185731">
        <w:rPr>
          <w:color w:val="000000"/>
        </w:rPr>
        <w:t>d</w:t>
      </w:r>
      <w:r w:rsidR="00C92CDD">
        <w:rPr>
          <w:color w:val="000000"/>
        </w:rPr>
        <w:t xml:space="preserve"> the risk of child criminal exploitation, and </w:t>
      </w:r>
      <w:r w:rsidR="00E74351">
        <w:rPr>
          <w:color w:val="000000"/>
        </w:rPr>
        <w:t>recommend</w:t>
      </w:r>
      <w:r w:rsidR="00BD10BD">
        <w:rPr>
          <w:color w:val="000000"/>
        </w:rPr>
        <w:t>ed</w:t>
      </w:r>
      <w:r w:rsidR="00E74351">
        <w:rPr>
          <w:color w:val="000000"/>
        </w:rPr>
        <w:t xml:space="preserve"> that </w:t>
      </w:r>
      <w:r w:rsidR="00E74351" w:rsidRPr="00E74351">
        <w:rPr>
          <w:color w:val="000000"/>
        </w:rPr>
        <w:t>legislation “clearly defines</w:t>
      </w:r>
      <w:r w:rsidR="003F2993" w:rsidRPr="003F2993">
        <w:rPr>
          <w:color w:val="000000"/>
        </w:rPr>
        <w:t xml:space="preserve"> the criminal exploitation of children, </w:t>
      </w:r>
      <w:r w:rsidR="00E74351" w:rsidRPr="00E74351">
        <w:rPr>
          <w:color w:val="000000"/>
        </w:rPr>
        <w:t xml:space="preserve">[and] </w:t>
      </w:r>
      <w:r w:rsidR="003F2993" w:rsidRPr="003F2993">
        <w:rPr>
          <w:color w:val="000000"/>
        </w:rPr>
        <w:t>protection for children who are victims of violence</w:t>
      </w:r>
      <w:r w:rsidR="00E74351" w:rsidRPr="00E74351">
        <w:rPr>
          <w:color w:val="000000"/>
        </w:rPr>
        <w:t>”</w:t>
      </w:r>
      <w:r w:rsidR="00E74351">
        <w:rPr>
          <w:color w:val="000000"/>
        </w:rPr>
        <w:t>.</w:t>
      </w:r>
      <w:r w:rsidR="00E74351">
        <w:rPr>
          <w:rStyle w:val="FootnoteReference"/>
          <w:color w:val="000000"/>
        </w:rPr>
        <w:footnoteReference w:id="26"/>
      </w:r>
      <w:r w:rsidR="00F57F73">
        <w:rPr>
          <w:color w:val="000000"/>
        </w:rPr>
        <w:t xml:space="preserve"> </w:t>
      </w:r>
      <w:r w:rsidR="00833B02">
        <w:rPr>
          <w:color w:val="000000"/>
        </w:rPr>
        <w:t xml:space="preserve">It also recommends that the </w:t>
      </w:r>
      <w:r w:rsidR="0011429B">
        <w:rPr>
          <w:color w:val="000000"/>
        </w:rPr>
        <w:t>State party “</w:t>
      </w:r>
      <w:r w:rsidR="00DA63F2" w:rsidRPr="00DA63F2">
        <w:rPr>
          <w:rFonts w:cs="Arial"/>
          <w:color w:val="232120"/>
        </w:rPr>
        <w:t>Develop early intervention for children and actively promote non-judicial measures, such as diversion, mediation and counselling, for children accused of criminal offences, and, wherever possible, the use of non-custodial measures for children, such as probation or community service</w:t>
      </w:r>
      <w:r w:rsidR="0011429B">
        <w:rPr>
          <w:rFonts w:cs="Arial"/>
          <w:color w:val="232120"/>
        </w:rPr>
        <w:t>”.</w:t>
      </w:r>
      <w:r w:rsidR="0011429B">
        <w:rPr>
          <w:rStyle w:val="FootnoteReference"/>
          <w:rFonts w:cs="Arial"/>
          <w:color w:val="232120"/>
        </w:rPr>
        <w:footnoteReference w:id="27"/>
      </w:r>
    </w:p>
    <w:p w14:paraId="1ACC9B2E" w14:textId="77777777" w:rsidR="0011429B" w:rsidRDefault="0011429B" w:rsidP="00D920DF">
      <w:pPr>
        <w:ind w:left="720" w:hanging="720"/>
        <w:rPr>
          <w:rFonts w:cs="Arial"/>
          <w:color w:val="232120"/>
        </w:rPr>
      </w:pPr>
    </w:p>
    <w:p w14:paraId="316DAAD8" w14:textId="54FBB31F" w:rsidR="00943ED4" w:rsidRDefault="0011429B" w:rsidP="00D920DF">
      <w:pPr>
        <w:ind w:left="720" w:hanging="720"/>
      </w:pPr>
      <w:r>
        <w:rPr>
          <w:rFonts w:cs="Arial"/>
          <w:color w:val="232120"/>
        </w:rPr>
        <w:t>6.</w:t>
      </w:r>
      <w:r w:rsidR="00815811">
        <w:rPr>
          <w:rFonts w:cs="Arial"/>
          <w:color w:val="232120"/>
        </w:rPr>
        <w:t>7</w:t>
      </w:r>
      <w:r>
        <w:rPr>
          <w:rFonts w:cs="Arial"/>
          <w:color w:val="232120"/>
        </w:rPr>
        <w:tab/>
      </w:r>
      <w:r w:rsidR="001C5CD2" w:rsidRPr="00660787">
        <w:t>In February 2024, the NI Affairs Committee published its inquiry report into</w:t>
      </w:r>
      <w:r w:rsidR="001C5CD2" w:rsidRPr="00660787">
        <w:rPr>
          <w:rFonts w:eastAsia="Times New Roman" w:cs="Arial"/>
          <w:b/>
          <w:color w:val="373151"/>
          <w:kern w:val="36"/>
          <w:lang w:eastAsia="en-GB"/>
        </w:rPr>
        <w:t xml:space="preserve"> </w:t>
      </w:r>
      <w:r w:rsidR="001C5CD2" w:rsidRPr="00660787">
        <w:rPr>
          <w:rFonts w:eastAsia="Times New Roman" w:cs="Arial"/>
          <w:bCs/>
          <w:color w:val="373151"/>
          <w:kern w:val="36"/>
          <w:lang w:eastAsia="en-GB"/>
        </w:rPr>
        <w:t>t</w:t>
      </w:r>
      <w:r w:rsidR="001C5CD2" w:rsidRPr="00660787">
        <w:t>he effect of paramilitary activity and organised crime on society in NI.</w:t>
      </w:r>
      <w:r w:rsidR="001C5CD2" w:rsidRPr="00660787">
        <w:rPr>
          <w:rStyle w:val="FootnoteReference"/>
        </w:rPr>
        <w:footnoteReference w:id="28"/>
      </w:r>
      <w:r w:rsidR="001C5CD2" w:rsidRPr="00660787">
        <w:t xml:space="preserve"> It noted the enduring impact of paramilitarism through the physical or psychological harm to victims and survivors of violence, the harm to communities through coercive control and the perpetuation of societal trauma.</w:t>
      </w:r>
      <w:r w:rsidR="001C5CD2" w:rsidRPr="00660787">
        <w:rPr>
          <w:rStyle w:val="FootnoteReference"/>
        </w:rPr>
        <w:footnoteReference w:id="29"/>
      </w:r>
      <w:r w:rsidR="001C5CD2" w:rsidRPr="00660787">
        <w:t xml:space="preserve"> </w:t>
      </w:r>
    </w:p>
    <w:p w14:paraId="4978BCA4" w14:textId="77777777" w:rsidR="00943ED4" w:rsidRDefault="00943ED4" w:rsidP="00D920DF"/>
    <w:p w14:paraId="132DC5A2" w14:textId="6CA27973" w:rsidR="001C5CD2" w:rsidRDefault="00943ED4" w:rsidP="00D920DF">
      <w:pPr>
        <w:ind w:left="720" w:hanging="720"/>
      </w:pPr>
      <w:r>
        <w:lastRenderedPageBreak/>
        <w:t>6.</w:t>
      </w:r>
      <w:r w:rsidR="00815811">
        <w:t>8</w:t>
      </w:r>
      <w:r>
        <w:tab/>
      </w:r>
      <w:r w:rsidR="001C5CD2" w:rsidRPr="00660787">
        <w:t>The NI Affairs Committee report draws attention to paramilitary activity as child criminal exploitation and modern slavery.</w:t>
      </w:r>
      <w:r w:rsidR="001C5CD2" w:rsidRPr="00660787">
        <w:rPr>
          <w:rStyle w:val="FootnoteReference"/>
        </w:rPr>
        <w:footnoteReference w:id="30"/>
      </w:r>
      <w:r w:rsidR="001C5CD2" w:rsidRPr="00660787">
        <w:t xml:space="preserve"> It notes the importance of language in this context to avoid “romanticising” paramilitarism, stating “it is crucial that public agencies and wider civic society use language rooted in safeguarding and child protection when describing the activities of these criminal gangs which include the abuse and exploitation, often sexual, of children and young people.”</w:t>
      </w:r>
      <w:r w:rsidR="001C5CD2" w:rsidRPr="00660787">
        <w:rPr>
          <w:rStyle w:val="FootnoteReference"/>
        </w:rPr>
        <w:footnoteReference w:id="31"/>
      </w:r>
      <w:r w:rsidR="001C5CD2" w:rsidRPr="00660787">
        <w:t xml:space="preserve"> The report explores </w:t>
      </w:r>
      <w:r w:rsidR="001C5CD2">
        <w:t>‘</w:t>
      </w:r>
      <w:r w:rsidR="001C5CD2" w:rsidRPr="00660787">
        <w:t>child criminal exploitation</w:t>
      </w:r>
      <w:r w:rsidR="001C5CD2">
        <w:t>’</w:t>
      </w:r>
      <w:r w:rsidR="001C5CD2" w:rsidRPr="00660787">
        <w:t xml:space="preserve"> in the context of paramilitarism in NI, citing evidence from one witness that this term should be used instead of ‘recruitment’ by paramilitaries, and also notes how child criminal exploitation </w:t>
      </w:r>
      <w:r w:rsidR="001C5CD2">
        <w:t xml:space="preserve">in NI </w:t>
      </w:r>
      <w:r w:rsidR="001C5CD2" w:rsidRPr="00660787">
        <w:t>can take a different form than elsewhere in the UK due to the presence of paramilitaries.</w:t>
      </w:r>
      <w:r w:rsidR="001C5CD2" w:rsidRPr="00660787">
        <w:rPr>
          <w:rStyle w:val="FootnoteReference"/>
        </w:rPr>
        <w:footnoteReference w:id="32"/>
      </w:r>
      <w:r w:rsidR="001C5CD2" w:rsidRPr="00660787">
        <w:t xml:space="preserve"> The Committee states “there should be a sustained focus on better enforcement to ensure child victims who are subjected to force, threats, abduction, coercion, fraud or deception designed to induce them to engage in crime are protected.”</w:t>
      </w:r>
      <w:r w:rsidR="001C5CD2" w:rsidRPr="00660787">
        <w:rPr>
          <w:rStyle w:val="FootnoteReference"/>
        </w:rPr>
        <w:footnoteReference w:id="33"/>
      </w:r>
      <w:r w:rsidR="001C5CD2" w:rsidRPr="00660787">
        <w:t xml:space="preserve"> The report also highlights the lack of recognition of trafficking and modern slavery within Northern Ireland, despite “disturbing evidence that young people were being exploited to traffic drugs through and into Northern Ireland”</w:t>
      </w:r>
      <w:r w:rsidR="00357668">
        <w:t>.</w:t>
      </w:r>
      <w:r w:rsidR="001C5CD2" w:rsidRPr="00660787">
        <w:rPr>
          <w:rStyle w:val="FootnoteReference"/>
        </w:rPr>
        <w:footnoteReference w:id="34"/>
      </w:r>
    </w:p>
    <w:p w14:paraId="68CE5F6A" w14:textId="77777777" w:rsidR="001550D8" w:rsidRDefault="001550D8" w:rsidP="00D920DF">
      <w:pPr>
        <w:ind w:left="720" w:hanging="720"/>
      </w:pPr>
    </w:p>
    <w:p w14:paraId="6D4298CB" w14:textId="77777777" w:rsidR="005F7726" w:rsidRDefault="001550D8" w:rsidP="00D920DF">
      <w:pPr>
        <w:ind w:left="720" w:hanging="720"/>
      </w:pPr>
      <w:r>
        <w:t xml:space="preserve">6.9 </w:t>
      </w:r>
      <w:r w:rsidR="005F7726">
        <w:tab/>
      </w:r>
      <w:r>
        <w:t xml:space="preserve">For victims of human trafficking, the </w:t>
      </w:r>
      <w:r w:rsidR="00032BE7" w:rsidRPr="00032BE7">
        <w:t>C</w:t>
      </w:r>
      <w:r w:rsidR="00032BE7">
        <w:t xml:space="preserve">ouncil </w:t>
      </w:r>
      <w:r w:rsidR="00032BE7" w:rsidRPr="00032BE7">
        <w:t>o</w:t>
      </w:r>
      <w:r w:rsidR="00032BE7">
        <w:t xml:space="preserve">f </w:t>
      </w:r>
      <w:r w:rsidR="00032BE7" w:rsidRPr="00032BE7">
        <w:t>E</w:t>
      </w:r>
      <w:r w:rsidR="00032BE7">
        <w:t>urope</w:t>
      </w:r>
      <w:r w:rsidR="00032BE7" w:rsidRPr="00032BE7">
        <w:t xml:space="preserve"> Convention on Action against Trafficking in Human Beings</w:t>
      </w:r>
      <w:r w:rsidR="005F7726">
        <w:t xml:space="preserve"> includes a non-punishment provision, which states:</w:t>
      </w:r>
    </w:p>
    <w:p w14:paraId="448EB34D" w14:textId="77777777" w:rsidR="005F7726" w:rsidRDefault="005F7726" w:rsidP="00D920DF">
      <w:pPr>
        <w:ind w:left="720" w:hanging="720"/>
      </w:pPr>
    </w:p>
    <w:p w14:paraId="43E259DC" w14:textId="0DFA8809" w:rsidR="001550D8" w:rsidRDefault="005F7726" w:rsidP="00D920DF">
      <w:pPr>
        <w:ind w:left="1440"/>
      </w:pPr>
      <w:r w:rsidRPr="005F7726">
        <w:t>Each Party shall, in accordance with the basic principles of its legal system, provide for the possibility of not imposing penalties on victims for their involvement in unlawful activities, to the extent that they have been compelled to do so</w:t>
      </w:r>
      <w:r>
        <w:t>.</w:t>
      </w:r>
      <w:r w:rsidR="00032BE7" w:rsidRPr="005F7726">
        <w:rPr>
          <w:rStyle w:val="FootnoteReference"/>
        </w:rPr>
        <w:footnoteReference w:id="35"/>
      </w:r>
    </w:p>
    <w:p w14:paraId="3E323ADF" w14:textId="77777777" w:rsidR="00DD33B0" w:rsidRDefault="00DD33B0" w:rsidP="00D920DF"/>
    <w:p w14:paraId="68ED5F47" w14:textId="764A34CA" w:rsidR="003C7141" w:rsidRDefault="003C7141" w:rsidP="00D920DF">
      <w:pPr>
        <w:ind w:left="720" w:hanging="720"/>
      </w:pPr>
      <w:r>
        <w:tab/>
      </w:r>
      <w:r w:rsidRPr="003C7141">
        <w:t>Similarly, the EU Human Trafficking Directive</w:t>
      </w:r>
      <w:r w:rsidR="0096286C">
        <w:t xml:space="preserve"> 2011</w:t>
      </w:r>
      <w:r w:rsidR="00CD4454">
        <w:t>,</w:t>
      </w:r>
      <w:r w:rsidR="0096286C">
        <w:rPr>
          <w:rStyle w:val="FootnoteReference"/>
        </w:rPr>
        <w:footnoteReference w:id="36"/>
      </w:r>
      <w:r w:rsidRPr="003C7141">
        <w:t xml:space="preserve"> requires at Article 8 that law enforcement authorities be “entitled not to prosecute or impose penalties on victims of human trafficking for their involvement in criminal </w:t>
      </w:r>
      <w:r w:rsidRPr="003C7141">
        <w:lastRenderedPageBreak/>
        <w:t>activities which they have been compelled to commit as a direct consequence of being subject to any of the acts referred to in Article 2” of the Directive</w:t>
      </w:r>
      <w:r w:rsidR="0096286C">
        <w:t>,</w:t>
      </w:r>
      <w:r w:rsidRPr="003C7141">
        <w:t xml:space="preserve"> which lists offences relating to human trafficking.</w:t>
      </w:r>
      <w:r w:rsidR="0096286C">
        <w:t xml:space="preserve"> </w:t>
      </w:r>
      <w:bookmarkStart w:id="8" w:name="_Hlk193722973"/>
      <w:r w:rsidR="0096286C">
        <w:t xml:space="preserve">By virtue of </w:t>
      </w:r>
      <w:r w:rsidR="0096286C" w:rsidRPr="0096286C">
        <w:t>Windsor Framework Article 2</w:t>
      </w:r>
      <w:r w:rsidR="0096286C">
        <w:t>, rights under Article 8 should not be diminished in NI</w:t>
      </w:r>
      <w:r w:rsidR="0096286C" w:rsidRPr="0096286C">
        <w:t>.</w:t>
      </w:r>
      <w:bookmarkEnd w:id="8"/>
    </w:p>
    <w:p w14:paraId="5FA114A9" w14:textId="77777777" w:rsidR="003C7141" w:rsidRDefault="003C7141" w:rsidP="00D920DF">
      <w:pPr>
        <w:ind w:left="720" w:hanging="720"/>
      </w:pPr>
    </w:p>
    <w:p w14:paraId="36D1623A" w14:textId="5790CBF5" w:rsidR="00823DDF" w:rsidRDefault="00DD33B0" w:rsidP="00D920DF">
      <w:pPr>
        <w:ind w:left="720" w:hanging="720"/>
      </w:pPr>
      <w:r>
        <w:t>6.10</w:t>
      </w:r>
      <w:r>
        <w:tab/>
        <w:t>In its most recently published evaluation of the UK</w:t>
      </w:r>
      <w:r w:rsidR="009716E7">
        <w:t>’s implementation of the Convention</w:t>
      </w:r>
      <w:r>
        <w:t xml:space="preserve">, the </w:t>
      </w:r>
      <w:r w:rsidR="009716E7" w:rsidRPr="009716E7">
        <w:t>Council of Europe's Group of Experts on Action against Trafficking in Human Beings</w:t>
      </w:r>
      <w:r w:rsidR="004A21CC">
        <w:t xml:space="preserve"> (GRETA)</w:t>
      </w:r>
      <w:r w:rsidR="00B40594">
        <w:t xml:space="preserve"> noted that</w:t>
      </w:r>
      <w:r w:rsidR="00594A04" w:rsidRPr="00594A04">
        <w:t xml:space="preserve"> </w:t>
      </w:r>
      <w:r w:rsidR="00594A04">
        <w:t>“i</w:t>
      </w:r>
      <w:r w:rsidR="00594A04" w:rsidRPr="00594A04">
        <w:t>n Northern Ireland, section 22 of the Human Trafficking and Exploitation (Criminal Justice and Support for Victims) Act (Northern Ireland) 2015 states that the statutory defence applies to victims (adults and child) who have been compelled to commit certain offences where coercion was attributable to slavery or exploitation</w:t>
      </w:r>
      <w:r w:rsidR="00594A04">
        <w:t>”</w:t>
      </w:r>
      <w:r w:rsidR="00594A04" w:rsidRPr="00594A04">
        <w:t>.</w:t>
      </w:r>
      <w:r w:rsidR="00594A04">
        <w:rPr>
          <w:rStyle w:val="FootnoteReference"/>
        </w:rPr>
        <w:footnoteReference w:id="37"/>
      </w:r>
      <w:r w:rsidR="00594A04">
        <w:t xml:space="preserve"> The group goes on to</w:t>
      </w:r>
      <w:r w:rsidR="004A21CC">
        <w:t xml:space="preserve"> </w:t>
      </w:r>
      <w:r w:rsidR="00823DDF">
        <w:t>recommended that the UK</w:t>
      </w:r>
      <w:r w:rsidR="00594A04">
        <w:t xml:space="preserve"> Government and NI Executive</w:t>
      </w:r>
      <w:r w:rsidR="00823DDF">
        <w:t>:</w:t>
      </w:r>
    </w:p>
    <w:p w14:paraId="7BF3987E" w14:textId="77777777" w:rsidR="00594A04" w:rsidRDefault="00594A04" w:rsidP="00D920DF">
      <w:pPr>
        <w:ind w:left="720" w:hanging="720"/>
      </w:pPr>
    </w:p>
    <w:p w14:paraId="0713F4DE" w14:textId="1932EA8F" w:rsidR="00DD33B0" w:rsidRDefault="00823DDF" w:rsidP="00D920DF">
      <w:pPr>
        <w:ind w:left="1440"/>
      </w:pPr>
      <w:r w:rsidRPr="00823DDF">
        <w:t xml:space="preserve">ensure that the non-punishment provision is capable of being applied to all offences that victims of trafficking were compelled to commit, by ensuring that victims are promptly identified as such and receive adequate support from their first contact with law enforcement </w:t>
      </w:r>
      <w:proofErr w:type="gramStart"/>
      <w:r w:rsidRPr="00823DDF">
        <w:t>agencies;</w:t>
      </w:r>
      <w:proofErr w:type="gramEnd"/>
    </w:p>
    <w:p w14:paraId="008BD717" w14:textId="5B1B8AF9" w:rsidR="002C3DBD" w:rsidRDefault="002C3DBD" w:rsidP="00D920DF">
      <w:pPr>
        <w:ind w:left="1440"/>
      </w:pPr>
      <w:r>
        <w:t>[and]</w:t>
      </w:r>
    </w:p>
    <w:p w14:paraId="4125FBC2" w14:textId="7C1A0E4E" w:rsidR="002C3DBD" w:rsidRPr="005F7726" w:rsidRDefault="004425F3" w:rsidP="00D920DF">
      <w:pPr>
        <w:ind w:left="1440"/>
      </w:pPr>
      <w:r>
        <w:t>s</w:t>
      </w:r>
      <w:r w:rsidRPr="004425F3">
        <w:t>trengthen their efforts to ensure the compliance with the principle of non</w:t>
      </w:r>
      <w:r>
        <w:t>-</w:t>
      </w:r>
      <w:r w:rsidRPr="004425F3">
        <w:t>punishment of victims of THB for their involvement in unlawful activities, to the extent that they were compelled to do so, by further developing the existing guidance and promoting it through training of police staff, prosecutors and judges, including staff working in prisons and immigration detention centres, as well as social workers and all First Responders</w:t>
      </w:r>
      <w:r w:rsidR="00B40594">
        <w:t>.</w:t>
      </w:r>
      <w:r w:rsidR="001D66A5">
        <w:rPr>
          <w:rStyle w:val="FootnoteReference"/>
        </w:rPr>
        <w:footnoteReference w:id="38"/>
      </w:r>
      <w:r w:rsidR="00B40594">
        <w:t xml:space="preserve"> </w:t>
      </w:r>
    </w:p>
    <w:p w14:paraId="1A972E6D" w14:textId="5E038BA0" w:rsidR="0011429B" w:rsidRDefault="0011429B" w:rsidP="00D920DF">
      <w:pPr>
        <w:ind w:left="720" w:hanging="720"/>
        <w:rPr>
          <w:rFonts w:cs="Arial"/>
          <w:color w:val="232120"/>
        </w:rPr>
      </w:pPr>
    </w:p>
    <w:p w14:paraId="5E5364F8" w14:textId="093651BA" w:rsidR="003C7141" w:rsidRDefault="003C7141" w:rsidP="00D920DF">
      <w:pPr>
        <w:ind w:left="720" w:hanging="720"/>
        <w:rPr>
          <w:rFonts w:cs="Arial"/>
          <w:color w:val="232120"/>
        </w:rPr>
      </w:pPr>
      <w:r>
        <w:rPr>
          <w:rFonts w:cs="Arial"/>
          <w:color w:val="232120"/>
        </w:rPr>
        <w:tab/>
      </w:r>
      <w:r w:rsidR="001A7F6D">
        <w:rPr>
          <w:rFonts w:cs="Arial"/>
          <w:color w:val="232120"/>
        </w:rPr>
        <w:t>T</w:t>
      </w:r>
      <w:r w:rsidRPr="003C7141">
        <w:rPr>
          <w:rFonts w:cs="Arial"/>
          <w:color w:val="232120"/>
        </w:rPr>
        <w:t xml:space="preserve">he Commission notes that the </w:t>
      </w:r>
      <w:r w:rsidR="00CD4454">
        <w:rPr>
          <w:rFonts w:cs="Arial"/>
          <w:color w:val="232120"/>
        </w:rPr>
        <w:t>defence provided</w:t>
      </w:r>
      <w:r w:rsidRPr="003C7141">
        <w:rPr>
          <w:rFonts w:cs="Arial"/>
          <w:color w:val="232120"/>
        </w:rPr>
        <w:t xml:space="preserve"> by section 22 is </w:t>
      </w:r>
      <w:r>
        <w:rPr>
          <w:rFonts w:cs="Arial"/>
          <w:color w:val="232120"/>
        </w:rPr>
        <w:t>restricted to</w:t>
      </w:r>
      <w:r w:rsidRPr="003C7141">
        <w:rPr>
          <w:rFonts w:cs="Arial"/>
          <w:color w:val="232120"/>
        </w:rPr>
        <w:t xml:space="preserve"> offences punishable by a </w:t>
      </w:r>
      <w:r w:rsidR="00CD4454">
        <w:rPr>
          <w:rFonts w:cs="Arial"/>
          <w:color w:val="232120"/>
        </w:rPr>
        <w:t xml:space="preserve">maximum </w:t>
      </w:r>
      <w:r w:rsidRPr="003C7141">
        <w:rPr>
          <w:rFonts w:cs="Arial"/>
          <w:color w:val="232120"/>
        </w:rPr>
        <w:t xml:space="preserve">term of </w:t>
      </w:r>
      <w:r>
        <w:rPr>
          <w:rFonts w:cs="Arial"/>
          <w:color w:val="232120"/>
        </w:rPr>
        <w:t xml:space="preserve">less than </w:t>
      </w:r>
      <w:r w:rsidRPr="003C7141">
        <w:rPr>
          <w:rFonts w:cs="Arial"/>
          <w:color w:val="232120"/>
        </w:rPr>
        <w:t xml:space="preserve">five years </w:t>
      </w:r>
      <w:r w:rsidR="00CD4454">
        <w:rPr>
          <w:rFonts w:cs="Arial"/>
          <w:color w:val="232120"/>
        </w:rPr>
        <w:t xml:space="preserve">and </w:t>
      </w:r>
      <w:r w:rsidRPr="003C7141">
        <w:rPr>
          <w:rFonts w:cs="Arial"/>
          <w:color w:val="232120"/>
        </w:rPr>
        <w:t xml:space="preserve">only extends to </w:t>
      </w:r>
      <w:r>
        <w:rPr>
          <w:rFonts w:cs="Arial"/>
          <w:color w:val="232120"/>
        </w:rPr>
        <w:t>more</w:t>
      </w:r>
      <w:r w:rsidRPr="003C7141">
        <w:rPr>
          <w:rFonts w:cs="Arial"/>
          <w:color w:val="232120"/>
        </w:rPr>
        <w:t xml:space="preserve"> serious offences if they are listed in that </w:t>
      </w:r>
      <w:r>
        <w:rPr>
          <w:rFonts w:cs="Arial"/>
          <w:color w:val="232120"/>
        </w:rPr>
        <w:t>section</w:t>
      </w:r>
      <w:r w:rsidRPr="003C7141">
        <w:rPr>
          <w:rFonts w:cs="Arial"/>
          <w:color w:val="232120"/>
        </w:rPr>
        <w:t xml:space="preserve">. As such, it appears the defence </w:t>
      </w:r>
      <w:r w:rsidR="0096286C">
        <w:rPr>
          <w:rFonts w:cs="Arial"/>
          <w:color w:val="232120"/>
        </w:rPr>
        <w:t xml:space="preserve">may only </w:t>
      </w:r>
      <w:r w:rsidRPr="003C7141">
        <w:rPr>
          <w:rFonts w:cs="Arial"/>
          <w:color w:val="232120"/>
        </w:rPr>
        <w:t xml:space="preserve">cover the </w:t>
      </w:r>
      <w:r w:rsidR="0096286C">
        <w:rPr>
          <w:rFonts w:cs="Arial"/>
          <w:color w:val="232120"/>
        </w:rPr>
        <w:t xml:space="preserve">first of the </w:t>
      </w:r>
      <w:r w:rsidRPr="003C7141">
        <w:rPr>
          <w:rFonts w:cs="Arial"/>
          <w:color w:val="232120"/>
        </w:rPr>
        <w:t xml:space="preserve">new offences proposed in the present Bill unless section 22 is amended. Caselaw affirms </w:t>
      </w:r>
      <w:r w:rsidRPr="003C7141">
        <w:rPr>
          <w:rFonts w:cs="Arial"/>
          <w:color w:val="232120"/>
        </w:rPr>
        <w:lastRenderedPageBreak/>
        <w:t xml:space="preserve">the importance of such defences. In </w:t>
      </w:r>
      <w:r w:rsidRPr="003C7141">
        <w:rPr>
          <w:rFonts w:cs="Arial"/>
          <w:i/>
          <w:iCs/>
          <w:color w:val="232120"/>
        </w:rPr>
        <w:t>L and others v R</w:t>
      </w:r>
      <w:r>
        <w:rPr>
          <w:rStyle w:val="FootnoteReference"/>
          <w:rFonts w:cs="Arial"/>
          <w:color w:val="232120"/>
        </w:rPr>
        <w:footnoteReference w:id="39"/>
      </w:r>
      <w:r w:rsidRPr="003C7141">
        <w:rPr>
          <w:rFonts w:cs="Arial"/>
          <w:color w:val="232120"/>
        </w:rPr>
        <w:t xml:space="preserve"> the Court of Appeal for England and Wales held: </w:t>
      </w:r>
    </w:p>
    <w:p w14:paraId="2ECE50B2" w14:textId="77777777" w:rsidR="00D920DF" w:rsidRPr="003C7141" w:rsidRDefault="00D920DF" w:rsidP="00D920DF">
      <w:pPr>
        <w:ind w:left="720" w:hanging="720"/>
        <w:rPr>
          <w:rFonts w:cs="Arial"/>
          <w:color w:val="232120"/>
        </w:rPr>
      </w:pPr>
    </w:p>
    <w:p w14:paraId="6CE9FD50" w14:textId="40C94A8D" w:rsidR="003C7141" w:rsidRDefault="003C7141" w:rsidP="00D920DF">
      <w:pPr>
        <w:ind w:left="1440"/>
        <w:rPr>
          <w:rFonts w:cs="Arial"/>
          <w:color w:val="232120"/>
        </w:rPr>
      </w:pPr>
      <w:r w:rsidRPr="003C7141">
        <w:rPr>
          <w:rFonts w:cs="Arial"/>
          <w:color w:val="232120"/>
        </w:rPr>
        <w:t>The criminality, or putting it another way, the culpability, of any victim of trafficking may be significantly diminished, and in some cases effectively extinguished, not merely because of age (always a relevant factor in the case of a child defendant) but because no realistic alternative was available to the exploited victim but to comply with the dominant force of another individual, or group of individuals</w:t>
      </w:r>
      <w:r>
        <w:rPr>
          <w:rFonts w:cs="Arial"/>
          <w:color w:val="232120"/>
        </w:rPr>
        <w:t>.</w:t>
      </w:r>
    </w:p>
    <w:p w14:paraId="146EC30D" w14:textId="77777777" w:rsidR="003C7141" w:rsidRDefault="003C7141" w:rsidP="00D920DF">
      <w:pPr>
        <w:ind w:left="720" w:hanging="720"/>
        <w:rPr>
          <w:rFonts w:cs="Arial"/>
          <w:color w:val="232120"/>
        </w:rPr>
      </w:pPr>
    </w:p>
    <w:p w14:paraId="63E92910" w14:textId="7B63AE54" w:rsidR="004A4D04" w:rsidRPr="006E10AB" w:rsidRDefault="009005C9" w:rsidP="00D920DF">
      <w:pPr>
        <w:pStyle w:val="Default"/>
        <w:spacing w:before="24" w:after="24" w:line="276" w:lineRule="auto"/>
        <w:ind w:left="720" w:hanging="720"/>
        <w:rPr>
          <w:rFonts w:cs="Arial"/>
          <w:b/>
          <w:bCs/>
          <w:color w:val="232120"/>
        </w:rPr>
      </w:pPr>
      <w:r>
        <w:rPr>
          <w:rFonts w:cs="Arial"/>
          <w:b/>
          <w:bCs/>
          <w:color w:val="232120"/>
        </w:rPr>
        <w:t>6.11</w:t>
      </w:r>
      <w:r>
        <w:tab/>
      </w:r>
      <w:r w:rsidR="78C841BF" w:rsidRPr="537D1B90">
        <w:rPr>
          <w:rFonts w:cs="Arial"/>
          <w:b/>
          <w:bCs/>
          <w:color w:val="232120"/>
        </w:rPr>
        <w:t xml:space="preserve">Noting that </w:t>
      </w:r>
      <w:proofErr w:type="spellStart"/>
      <w:r>
        <w:rPr>
          <w:rFonts w:cs="Arial"/>
          <w:b/>
          <w:bCs/>
          <w:color w:val="232120"/>
        </w:rPr>
        <w:t>organised</w:t>
      </w:r>
      <w:proofErr w:type="spellEnd"/>
      <w:r>
        <w:rPr>
          <w:rFonts w:cs="Arial"/>
          <w:b/>
          <w:bCs/>
          <w:color w:val="232120"/>
        </w:rPr>
        <w:t xml:space="preserve"> crime</w:t>
      </w:r>
      <w:r w:rsidR="78C841BF" w:rsidRPr="537D1B90">
        <w:rPr>
          <w:rFonts w:cs="Arial"/>
          <w:b/>
          <w:bCs/>
          <w:color w:val="232120"/>
        </w:rPr>
        <w:t xml:space="preserve"> groups rely on exploitation</w:t>
      </w:r>
      <w:r w:rsidR="56DBC184" w:rsidRPr="537D1B90">
        <w:rPr>
          <w:rFonts w:cs="Arial"/>
          <w:b/>
          <w:bCs/>
          <w:color w:val="232120"/>
        </w:rPr>
        <w:t xml:space="preserve"> to further their goals, the Commission</w:t>
      </w:r>
      <w:r w:rsidR="00C24D8E">
        <w:rPr>
          <w:rFonts w:cs="Arial"/>
          <w:b/>
          <w:bCs/>
          <w:color w:val="232120"/>
        </w:rPr>
        <w:t xml:space="preserve"> recommends that </w:t>
      </w:r>
      <w:r w:rsidR="00870D2B">
        <w:rPr>
          <w:rFonts w:cs="Arial"/>
          <w:b/>
          <w:bCs/>
          <w:color w:val="232120"/>
        </w:rPr>
        <w:t xml:space="preserve">the </w:t>
      </w:r>
      <w:r w:rsidR="56DBC184" w:rsidRPr="537D1B90">
        <w:rPr>
          <w:rFonts w:cs="Arial"/>
          <w:b/>
          <w:bCs/>
          <w:color w:val="232120"/>
        </w:rPr>
        <w:t xml:space="preserve">Committee explore with the Department of Justice how law enforcement agencies will ensure that </w:t>
      </w:r>
      <w:r w:rsidR="0FD9F657" w:rsidRPr="537D1B90">
        <w:rPr>
          <w:rFonts w:cs="Arial"/>
          <w:b/>
          <w:bCs/>
          <w:color w:val="232120"/>
        </w:rPr>
        <w:t>those</w:t>
      </w:r>
      <w:r w:rsidR="00C24D8E">
        <w:rPr>
          <w:rFonts w:cs="Arial"/>
          <w:b/>
          <w:bCs/>
          <w:color w:val="232120"/>
        </w:rPr>
        <w:t xml:space="preserve"> who are exploited or coerced to </w:t>
      </w:r>
      <w:r w:rsidR="00C929E1">
        <w:rPr>
          <w:rFonts w:cs="Arial"/>
          <w:b/>
          <w:bCs/>
          <w:color w:val="232120"/>
        </w:rPr>
        <w:t>participate</w:t>
      </w:r>
      <w:r w:rsidR="00C24D8E">
        <w:rPr>
          <w:rFonts w:cs="Arial"/>
          <w:b/>
          <w:bCs/>
          <w:color w:val="232120"/>
        </w:rPr>
        <w:t xml:space="preserve"> in criminal activity</w:t>
      </w:r>
      <w:r w:rsidR="00306C0C">
        <w:rPr>
          <w:rFonts w:cs="Arial"/>
          <w:b/>
          <w:bCs/>
          <w:color w:val="232120"/>
        </w:rPr>
        <w:t>, including children, women</w:t>
      </w:r>
      <w:r w:rsidR="00360E81">
        <w:rPr>
          <w:rFonts w:cs="Arial"/>
          <w:b/>
          <w:bCs/>
          <w:color w:val="232120"/>
        </w:rPr>
        <w:t>,</w:t>
      </w:r>
      <w:r w:rsidR="00306C0C">
        <w:rPr>
          <w:rFonts w:cs="Arial"/>
          <w:b/>
          <w:bCs/>
          <w:color w:val="232120"/>
        </w:rPr>
        <w:t xml:space="preserve"> and </w:t>
      </w:r>
      <w:r w:rsidR="00360E81">
        <w:rPr>
          <w:rFonts w:cs="Arial"/>
          <w:b/>
          <w:bCs/>
          <w:color w:val="232120"/>
        </w:rPr>
        <w:t>persons who are trafficked or subjected to modern slavery</w:t>
      </w:r>
      <w:r w:rsidR="762E7223" w:rsidRPr="537D1B90">
        <w:rPr>
          <w:rFonts w:cs="Arial"/>
          <w:b/>
          <w:bCs/>
          <w:color w:val="232120"/>
        </w:rPr>
        <w:t xml:space="preserve"> are not </w:t>
      </w:r>
      <w:proofErr w:type="spellStart"/>
      <w:r w:rsidR="0B8941DA" w:rsidRPr="537D1B90">
        <w:rPr>
          <w:rFonts w:cs="Arial"/>
          <w:b/>
          <w:bCs/>
          <w:color w:val="232120"/>
        </w:rPr>
        <w:t>criminalised</w:t>
      </w:r>
      <w:proofErr w:type="spellEnd"/>
      <w:r w:rsidR="0B8941DA" w:rsidRPr="537D1B90">
        <w:rPr>
          <w:rFonts w:cs="Arial"/>
          <w:b/>
          <w:bCs/>
          <w:color w:val="232120"/>
        </w:rPr>
        <w:t xml:space="preserve"> by the proposed offences</w:t>
      </w:r>
      <w:r w:rsidR="00C24D8E">
        <w:rPr>
          <w:rFonts w:cs="Arial"/>
          <w:b/>
          <w:bCs/>
          <w:color w:val="232120"/>
        </w:rPr>
        <w:t xml:space="preserve">. </w:t>
      </w:r>
    </w:p>
    <w:p w14:paraId="0DFD8170" w14:textId="77777777" w:rsidR="00A55930" w:rsidRDefault="00A55930" w:rsidP="00D920DF">
      <w:pPr>
        <w:pStyle w:val="Default"/>
        <w:spacing w:before="24" w:after="24" w:line="276" w:lineRule="auto"/>
        <w:rPr>
          <w:rFonts w:cs="Arial"/>
          <w:color w:val="232120"/>
        </w:rPr>
      </w:pPr>
    </w:p>
    <w:p w14:paraId="3A9D793B" w14:textId="17910018" w:rsidR="00A55930" w:rsidRDefault="00A55930" w:rsidP="00D920DF">
      <w:pPr>
        <w:pStyle w:val="Heading2"/>
      </w:pPr>
      <w:bookmarkStart w:id="9" w:name="_Toc194414529"/>
      <w:r>
        <w:t>7.0</w:t>
      </w:r>
      <w:r>
        <w:tab/>
      </w:r>
      <w:proofErr w:type="spellStart"/>
      <w:r>
        <w:t>AccessNI</w:t>
      </w:r>
      <w:proofErr w:type="spellEnd"/>
      <w:r>
        <w:t xml:space="preserve"> Filtering</w:t>
      </w:r>
      <w:bookmarkEnd w:id="9"/>
    </w:p>
    <w:p w14:paraId="6C068A78" w14:textId="3A0D81B1" w:rsidR="00A55930" w:rsidRDefault="00A55930" w:rsidP="00D920DF">
      <w:pPr>
        <w:pStyle w:val="Default"/>
        <w:spacing w:before="24" w:after="24" w:line="276" w:lineRule="auto"/>
        <w:ind w:left="720" w:hanging="720"/>
        <w:rPr>
          <w:rFonts w:cs="Arial"/>
          <w:color w:val="232120"/>
        </w:rPr>
      </w:pPr>
      <w:r>
        <w:rPr>
          <w:rFonts w:cs="Arial"/>
          <w:color w:val="232120"/>
        </w:rPr>
        <w:t>7.1</w:t>
      </w:r>
      <w:r w:rsidR="006B794A" w:rsidRPr="006B794A">
        <w:t xml:space="preserve"> </w:t>
      </w:r>
      <w:r w:rsidR="006B794A">
        <w:tab/>
        <w:t>The Commission notes the amendments relating to Filtering. The Commission has no substantive comments on the proposed amendments.</w:t>
      </w:r>
    </w:p>
    <w:p w14:paraId="641E1D08" w14:textId="77777777" w:rsidR="00A55930" w:rsidRDefault="00A55930" w:rsidP="00D920DF">
      <w:pPr>
        <w:pStyle w:val="Default"/>
        <w:spacing w:before="24" w:after="24" w:line="276" w:lineRule="auto"/>
        <w:rPr>
          <w:rFonts w:cs="Arial"/>
          <w:color w:val="232120"/>
        </w:rPr>
      </w:pPr>
    </w:p>
    <w:p w14:paraId="02E5265A" w14:textId="02FB7265" w:rsidR="00A55930" w:rsidRDefault="00A55930" w:rsidP="00D920DF">
      <w:pPr>
        <w:pStyle w:val="Heading2"/>
      </w:pPr>
      <w:bookmarkStart w:id="10" w:name="_Toc194414530"/>
      <w:r>
        <w:t>8.0</w:t>
      </w:r>
      <w:r>
        <w:tab/>
        <w:t>Live Links (Courts and Tribunals)</w:t>
      </w:r>
      <w:bookmarkEnd w:id="10"/>
    </w:p>
    <w:p w14:paraId="48054008" w14:textId="04E9BA8A" w:rsidR="00042D3F" w:rsidRDefault="00042D3F" w:rsidP="00D920DF">
      <w:pPr>
        <w:ind w:left="720" w:hanging="720"/>
      </w:pPr>
      <w:r>
        <w:t>8.1</w:t>
      </w:r>
      <w:r>
        <w:tab/>
        <w:t>The Commission notes the further amendments relating to live links. The Commission has no further substantive comments on the proposed amendments. In its initial submission</w:t>
      </w:r>
      <w:r w:rsidR="006B794A">
        <w:t>,</w:t>
      </w:r>
      <w:r>
        <w:t xml:space="preserve"> the Commission has set out the relevant human rights considerations. The Commission encourages the Committee to continue to monitor the use of live links. </w:t>
      </w:r>
    </w:p>
    <w:p w14:paraId="200177CB" w14:textId="0C765358" w:rsidR="00042D3F" w:rsidRDefault="00042D3F" w:rsidP="00D920DF"/>
    <w:p w14:paraId="67A9F8F1" w14:textId="77777777" w:rsidR="007948E9" w:rsidRDefault="007948E9" w:rsidP="00D920DF"/>
    <w:p w14:paraId="2C571BC1" w14:textId="77777777" w:rsidR="007948E9" w:rsidRDefault="007948E9" w:rsidP="00D920DF"/>
    <w:p w14:paraId="5A3A65C3" w14:textId="77777777" w:rsidR="00683420" w:rsidRDefault="00683420" w:rsidP="007948E9">
      <w:pPr>
        <w:pStyle w:val="BasicParagraph"/>
        <w:suppressAutoHyphens/>
        <w:jc w:val="center"/>
        <w:rPr>
          <w:rFonts w:ascii="Verdana" w:hAnsi="Verdana" w:cs="Arial"/>
          <w:b/>
          <w:bCs/>
          <w:color w:val="77328A"/>
          <w:sz w:val="36"/>
          <w:szCs w:val="36"/>
        </w:rPr>
      </w:pPr>
    </w:p>
    <w:p w14:paraId="08745127" w14:textId="77777777" w:rsidR="00683420" w:rsidRDefault="00683420" w:rsidP="007948E9">
      <w:pPr>
        <w:pStyle w:val="BasicParagraph"/>
        <w:suppressAutoHyphens/>
        <w:jc w:val="center"/>
        <w:rPr>
          <w:rFonts w:ascii="Verdana" w:hAnsi="Verdana" w:cs="Arial"/>
          <w:b/>
          <w:bCs/>
          <w:color w:val="77328A"/>
          <w:sz w:val="36"/>
          <w:szCs w:val="36"/>
        </w:rPr>
      </w:pPr>
    </w:p>
    <w:p w14:paraId="240EFED5" w14:textId="77777777" w:rsidR="00683420" w:rsidRDefault="00683420" w:rsidP="007948E9">
      <w:pPr>
        <w:pStyle w:val="BasicParagraph"/>
        <w:suppressAutoHyphens/>
        <w:jc w:val="center"/>
        <w:rPr>
          <w:rFonts w:ascii="Verdana" w:hAnsi="Verdana" w:cs="Arial"/>
          <w:b/>
          <w:bCs/>
          <w:color w:val="77328A"/>
          <w:sz w:val="36"/>
          <w:szCs w:val="36"/>
        </w:rPr>
      </w:pPr>
    </w:p>
    <w:p w14:paraId="7D397631" w14:textId="77777777" w:rsidR="00683420" w:rsidRDefault="00683420" w:rsidP="007948E9">
      <w:pPr>
        <w:pStyle w:val="BasicParagraph"/>
        <w:suppressAutoHyphens/>
        <w:jc w:val="center"/>
        <w:rPr>
          <w:rFonts w:ascii="Verdana" w:hAnsi="Verdana" w:cs="Arial"/>
          <w:b/>
          <w:bCs/>
          <w:color w:val="77328A"/>
          <w:sz w:val="36"/>
          <w:szCs w:val="36"/>
        </w:rPr>
      </w:pPr>
    </w:p>
    <w:p w14:paraId="3F800D51" w14:textId="77777777" w:rsidR="00683420" w:rsidRDefault="00683420" w:rsidP="007948E9">
      <w:pPr>
        <w:pStyle w:val="BasicParagraph"/>
        <w:suppressAutoHyphens/>
        <w:jc w:val="center"/>
        <w:rPr>
          <w:rFonts w:ascii="Verdana" w:hAnsi="Verdana" w:cs="Arial"/>
          <w:b/>
          <w:bCs/>
          <w:color w:val="77328A"/>
          <w:sz w:val="36"/>
          <w:szCs w:val="36"/>
        </w:rPr>
      </w:pPr>
    </w:p>
    <w:p w14:paraId="4015C94C" w14:textId="77777777" w:rsidR="00683420" w:rsidRDefault="00683420" w:rsidP="007948E9">
      <w:pPr>
        <w:pStyle w:val="BasicParagraph"/>
        <w:suppressAutoHyphens/>
        <w:jc w:val="center"/>
        <w:rPr>
          <w:rFonts w:ascii="Verdana" w:hAnsi="Verdana" w:cs="Arial"/>
          <w:b/>
          <w:bCs/>
          <w:color w:val="77328A"/>
          <w:sz w:val="36"/>
          <w:szCs w:val="36"/>
        </w:rPr>
      </w:pPr>
    </w:p>
    <w:p w14:paraId="31513964" w14:textId="77777777" w:rsidR="007948E9" w:rsidRPr="00331C61" w:rsidRDefault="007948E9" w:rsidP="007948E9">
      <w:pPr>
        <w:pStyle w:val="BasicParagraph"/>
        <w:suppressAutoHyphens/>
        <w:jc w:val="center"/>
        <w:rPr>
          <w:rFonts w:ascii="Verdana" w:hAnsi="Verdana" w:cs="Arial"/>
          <w:b/>
          <w:bCs/>
          <w:color w:val="77328A"/>
          <w:sz w:val="36"/>
          <w:szCs w:val="36"/>
        </w:rPr>
      </w:pPr>
      <w:r w:rsidRPr="00331C61">
        <w:rPr>
          <w:rFonts w:ascii="Verdana" w:hAnsi="Verdana" w:cs="Arial"/>
          <w:b/>
          <w:bCs/>
          <w:color w:val="77328A"/>
          <w:sz w:val="36"/>
          <w:szCs w:val="36"/>
        </w:rPr>
        <w:t>Co</w:t>
      </w:r>
      <w:r>
        <w:rPr>
          <w:rFonts w:ascii="Verdana" w:hAnsi="Verdana" w:cs="Arial"/>
          <w:b/>
          <w:bCs/>
          <w:color w:val="77328A"/>
          <w:sz w:val="36"/>
          <w:szCs w:val="36"/>
        </w:rPr>
        <w:t xml:space="preserve">ntact us </w:t>
      </w:r>
    </w:p>
    <w:p w14:paraId="14138A1F" w14:textId="77777777" w:rsidR="007948E9" w:rsidRPr="00331C61" w:rsidRDefault="007948E9" w:rsidP="007948E9">
      <w:pPr>
        <w:pStyle w:val="BasicParagraph"/>
        <w:suppressAutoHyphens/>
        <w:jc w:val="center"/>
        <w:rPr>
          <w:rFonts w:ascii="Verdana" w:hAnsi="Verdana" w:cs="Arial"/>
          <w:b/>
          <w:color w:val="77328A"/>
          <w:sz w:val="36"/>
          <w:szCs w:val="36"/>
        </w:rPr>
      </w:pPr>
    </w:p>
    <w:p w14:paraId="2B26C62B" w14:textId="5E6693C7" w:rsidR="007948E9" w:rsidRPr="007948E9" w:rsidRDefault="007948E9" w:rsidP="007948E9">
      <w:pPr>
        <w:jc w:val="center"/>
        <w:rPr>
          <w:b/>
          <w:sz w:val="28"/>
          <w:szCs w:val="28"/>
        </w:rPr>
      </w:pPr>
      <w:r w:rsidRPr="007948E9">
        <w:rPr>
          <w:rFonts w:cs="Arial"/>
          <w:b/>
          <w:color w:val="232120"/>
          <w:sz w:val="28"/>
          <w:szCs w:val="28"/>
        </w:rPr>
        <w:t xml:space="preserve">For queries contact: </w:t>
      </w:r>
    </w:p>
    <w:p w14:paraId="34A720D6" w14:textId="73995718" w:rsidR="007948E9" w:rsidRPr="00331C61" w:rsidRDefault="007948E9" w:rsidP="007948E9">
      <w:pPr>
        <w:jc w:val="center"/>
        <w:rPr>
          <w:rFonts w:cs="Arial"/>
          <w:b/>
          <w:color w:val="232120"/>
          <w:sz w:val="30"/>
          <w:szCs w:val="30"/>
        </w:rPr>
      </w:pPr>
      <w:hyperlink r:id="rId12" w:history="1">
        <w:r w:rsidRPr="007948E9">
          <w:rPr>
            <w:rStyle w:val="Hyperlink"/>
            <w:b/>
            <w:sz w:val="28"/>
            <w:szCs w:val="28"/>
          </w:rPr>
          <w:t>Colin.Caughey@nihrc.org</w:t>
        </w:r>
      </w:hyperlink>
      <w:r>
        <w:t xml:space="preserve"> </w:t>
      </w:r>
    </w:p>
    <w:p w14:paraId="098D289B" w14:textId="77777777" w:rsidR="007948E9" w:rsidRPr="00331C61" w:rsidRDefault="007948E9" w:rsidP="007948E9">
      <w:pPr>
        <w:jc w:val="center"/>
        <w:rPr>
          <w:rFonts w:cs="Arial"/>
          <w:b/>
          <w:color w:val="232120"/>
          <w:sz w:val="30"/>
          <w:szCs w:val="30"/>
        </w:rPr>
      </w:pPr>
    </w:p>
    <w:p w14:paraId="075B72A4" w14:textId="77777777" w:rsidR="007948E9" w:rsidRPr="00331C61" w:rsidRDefault="007948E9" w:rsidP="007948E9">
      <w:pPr>
        <w:jc w:val="center"/>
        <w:rPr>
          <w:rFonts w:cs="Arial"/>
          <w:color w:val="232120"/>
          <w:sz w:val="28"/>
          <w:szCs w:val="28"/>
        </w:rPr>
      </w:pPr>
      <w:hyperlink r:id="rId13" w:history="1">
        <w:r w:rsidRPr="00331C61">
          <w:rPr>
            <w:rStyle w:val="Hyperlink"/>
            <w:rFonts w:cs="Arial"/>
            <w:color w:val="232120"/>
            <w:sz w:val="28"/>
            <w:szCs w:val="28"/>
            <w:u w:val="none"/>
            <w:lang w:val="en-US"/>
          </w:rPr>
          <w:t>www.nihrc.org</w:t>
        </w:r>
      </w:hyperlink>
      <w:r w:rsidRPr="00331C61">
        <w:rPr>
          <w:rFonts w:cs="Arial"/>
          <w:color w:val="232120"/>
          <w:sz w:val="28"/>
          <w:szCs w:val="28"/>
          <w:lang w:val="en-US"/>
        </w:rPr>
        <w:t xml:space="preserve">  |  </w:t>
      </w:r>
      <w:hyperlink r:id="rId14" w:history="1">
        <w:r w:rsidRPr="00331C61">
          <w:rPr>
            <w:rStyle w:val="Hyperlink"/>
            <w:rFonts w:cs="Arial"/>
            <w:color w:val="232120"/>
            <w:sz w:val="28"/>
            <w:szCs w:val="28"/>
            <w:u w:val="none"/>
            <w:lang w:val="en-US"/>
          </w:rPr>
          <w:t>info@nihrc.org</w:t>
        </w:r>
      </w:hyperlink>
      <w:r w:rsidRPr="00331C61">
        <w:rPr>
          <w:rFonts w:cs="Arial"/>
          <w:color w:val="232120"/>
          <w:sz w:val="28"/>
          <w:szCs w:val="28"/>
          <w:lang w:val="en-US"/>
        </w:rPr>
        <w:t xml:space="preserve">  |  +44 (0)28 9024 3987</w:t>
      </w:r>
    </w:p>
    <w:p w14:paraId="5A49B71F" w14:textId="77777777" w:rsidR="007948E9" w:rsidRPr="00331C61" w:rsidRDefault="007948E9" w:rsidP="007948E9">
      <w:pPr>
        <w:jc w:val="center"/>
        <w:rPr>
          <w:rFonts w:cs="Arial"/>
          <w:color w:val="232120"/>
          <w:sz w:val="28"/>
          <w:szCs w:val="28"/>
        </w:rPr>
      </w:pPr>
      <w:r>
        <w:rPr>
          <w:rFonts w:cs="Arial"/>
          <w:color w:val="232120"/>
          <w:sz w:val="28"/>
          <w:szCs w:val="28"/>
          <w:lang w:val="en-US"/>
        </w:rPr>
        <w:t>4</w:t>
      </w:r>
      <w:r w:rsidRPr="00D16532">
        <w:rPr>
          <w:rFonts w:cs="Arial"/>
          <w:color w:val="232120"/>
          <w:sz w:val="28"/>
          <w:szCs w:val="28"/>
          <w:vertAlign w:val="superscript"/>
          <w:lang w:val="en-US"/>
        </w:rPr>
        <w:t>th</w:t>
      </w:r>
      <w:r>
        <w:rPr>
          <w:rFonts w:cs="Arial"/>
          <w:color w:val="232120"/>
          <w:sz w:val="28"/>
          <w:szCs w:val="28"/>
          <w:lang w:val="en-US"/>
        </w:rPr>
        <w:t xml:space="preserve"> Floor, Alfred House, 19-21 Alfred Street, Belfast, BT2 8ED</w:t>
      </w:r>
    </w:p>
    <w:p w14:paraId="59030D48" w14:textId="77777777" w:rsidR="007948E9" w:rsidRPr="00331C61" w:rsidRDefault="007948E9" w:rsidP="007948E9">
      <w:pPr>
        <w:jc w:val="center"/>
        <w:rPr>
          <w:rFonts w:cs="Arial"/>
          <w:b/>
          <w:color w:val="232120"/>
          <w:sz w:val="28"/>
          <w:szCs w:val="28"/>
        </w:rPr>
      </w:pPr>
    </w:p>
    <w:p w14:paraId="65216802" w14:textId="77777777" w:rsidR="007948E9" w:rsidRPr="00331C61" w:rsidRDefault="007948E9" w:rsidP="007948E9">
      <w:pPr>
        <w:jc w:val="center"/>
        <w:rPr>
          <w:rFonts w:cs="Arial"/>
          <w:color w:val="232120"/>
          <w:sz w:val="20"/>
          <w:szCs w:val="20"/>
        </w:rPr>
      </w:pPr>
    </w:p>
    <w:p w14:paraId="4DA0014C" w14:textId="77777777" w:rsidR="007948E9" w:rsidRPr="00331C61" w:rsidRDefault="007948E9" w:rsidP="007948E9">
      <w:pPr>
        <w:pStyle w:val="BasicParagraph"/>
        <w:suppressAutoHyphens/>
        <w:spacing w:line="240" w:lineRule="auto"/>
        <w:jc w:val="center"/>
        <w:rPr>
          <w:rFonts w:ascii="Verdana" w:hAnsi="Verdana" w:cs="Arial"/>
          <w:color w:val="232120"/>
          <w:sz w:val="28"/>
          <w:szCs w:val="28"/>
        </w:rPr>
      </w:pPr>
      <w:r w:rsidRPr="00331C61">
        <w:rPr>
          <w:rFonts w:ascii="Verdana" w:hAnsi="Verdana" w:cs="Arial"/>
          <w:noProof/>
          <w:color w:val="232120"/>
          <w:sz w:val="28"/>
          <w:szCs w:val="28"/>
          <w:lang w:eastAsia="en-GB"/>
        </w:rPr>
        <w:drawing>
          <wp:inline distT="0" distB="0" distL="0" distR="0" wp14:anchorId="0E5EA205" wp14:editId="5F7A5263">
            <wp:extent cx="1515406" cy="274540"/>
            <wp:effectExtent l="0" t="0" r="889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p w14:paraId="713FA2B0" w14:textId="77777777" w:rsidR="00A55930" w:rsidRDefault="00A55930" w:rsidP="006B794A"/>
    <w:sectPr w:rsidR="00A55930" w:rsidSect="003B7D0E">
      <w:footerReference w:type="default" r:id="rId16"/>
      <w:footerReference w:type="first" r:id="rId17"/>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5A2EA" w14:textId="77777777" w:rsidR="004F1A4A" w:rsidRDefault="004F1A4A" w:rsidP="00962B2B">
      <w:r>
        <w:separator/>
      </w:r>
    </w:p>
  </w:endnote>
  <w:endnote w:type="continuationSeparator" w:id="0">
    <w:p w14:paraId="2F304B3A" w14:textId="77777777" w:rsidR="004F1A4A" w:rsidRDefault="004F1A4A" w:rsidP="00962B2B">
      <w:r>
        <w:continuationSeparator/>
      </w:r>
    </w:p>
  </w:endnote>
  <w:endnote w:type="continuationNotice" w:id="1">
    <w:p w14:paraId="49003869" w14:textId="77777777" w:rsidR="004F1A4A" w:rsidRDefault="004F1A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671308"/>
      <w:docPartObj>
        <w:docPartGallery w:val="Page Numbers (Bottom of Page)"/>
        <w:docPartUnique/>
      </w:docPartObj>
    </w:sdtPr>
    <w:sdtEndPr>
      <w:rPr>
        <w:noProof/>
      </w:rPr>
    </w:sdtEndPr>
    <w:sdtContent>
      <w:p w14:paraId="5DE39B30" w14:textId="1BF3228E" w:rsidR="00745BA7" w:rsidRDefault="00745BA7">
        <w:pPr>
          <w:pStyle w:val="Footer"/>
          <w:jc w:val="right"/>
        </w:pPr>
        <w:r w:rsidRPr="00745BA7">
          <w:rPr>
            <w:color w:val="77328A"/>
          </w:rPr>
          <w:fldChar w:fldCharType="begin"/>
        </w:r>
        <w:r w:rsidRPr="00745BA7">
          <w:rPr>
            <w:color w:val="77328A"/>
          </w:rPr>
          <w:instrText xml:space="preserve"> PAGE   \* MERGEFORMAT </w:instrText>
        </w:r>
        <w:r w:rsidRPr="00745BA7">
          <w:rPr>
            <w:color w:val="77328A"/>
          </w:rPr>
          <w:fldChar w:fldCharType="separate"/>
        </w:r>
        <w:r w:rsidRPr="00745BA7">
          <w:rPr>
            <w:noProof/>
            <w:color w:val="77328A"/>
          </w:rPr>
          <w:t>2</w:t>
        </w:r>
        <w:r w:rsidRPr="00745BA7">
          <w:rPr>
            <w:noProof/>
            <w:color w:val="77328A"/>
          </w:rPr>
          <w:fldChar w:fldCharType="end"/>
        </w:r>
      </w:p>
    </w:sdtContent>
  </w:sdt>
  <w:p w14:paraId="7D3BCDCD" w14:textId="13A7D234" w:rsidR="002D16E7" w:rsidRPr="007569C1" w:rsidRDefault="002D16E7" w:rsidP="00656ECD">
    <w:pPr>
      <w:pStyle w:val="Footer"/>
      <w:jc w:val="right"/>
      <w:rPr>
        <w:rFonts w:ascii="Arial" w:hAnsi="Arial" w:cs="Arial"/>
        <w:b/>
        <w:color w:val="77328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16C6C" w14:textId="77777777" w:rsidR="002D16E7" w:rsidRDefault="002D16E7" w:rsidP="00046705">
    <w:pPr>
      <w:pStyle w:val="Footer"/>
      <w:jc w:val="right"/>
      <w:rPr>
        <w:rStyle w:val="PageNumber"/>
        <w:rFonts w:ascii="Arial" w:hAnsi="Arial" w:cs="Arial"/>
        <w:b/>
        <w:sz w:val="16"/>
        <w:szCs w:val="16"/>
      </w:rPr>
    </w:pPr>
  </w:p>
  <w:p w14:paraId="39F9618C" w14:textId="77777777" w:rsidR="002D16E7" w:rsidRPr="00D12EF8" w:rsidRDefault="002D16E7"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4F68F" w14:textId="77777777" w:rsidR="004F1A4A" w:rsidRDefault="004F1A4A" w:rsidP="00B96D34">
      <w:r>
        <w:continuationSeparator/>
      </w:r>
    </w:p>
    <w:p w14:paraId="68C38B90" w14:textId="77777777" w:rsidR="004F1A4A" w:rsidRPr="00B96D34" w:rsidRDefault="004F1A4A" w:rsidP="00B96D34">
      <w:pPr>
        <w:pStyle w:val="Footer"/>
      </w:pPr>
    </w:p>
  </w:footnote>
  <w:footnote w:type="continuationSeparator" w:id="0">
    <w:p w14:paraId="684914BE" w14:textId="77777777" w:rsidR="004F1A4A" w:rsidRDefault="004F1A4A" w:rsidP="00962B2B">
      <w:r>
        <w:continuationSeparator/>
      </w:r>
    </w:p>
  </w:footnote>
  <w:footnote w:type="continuationNotice" w:id="1">
    <w:p w14:paraId="5E1C7B76" w14:textId="77777777" w:rsidR="004F1A4A" w:rsidRDefault="004F1A4A"/>
  </w:footnote>
  <w:footnote w:id="2">
    <w:p w14:paraId="5306235C" w14:textId="77777777" w:rsidR="00AD2251" w:rsidRDefault="00AD2251" w:rsidP="00AD2251">
      <w:pPr>
        <w:pStyle w:val="FootnoteText"/>
        <w:rPr>
          <w:color w:val="7030A0"/>
          <w:sz w:val="16"/>
          <w:szCs w:val="16"/>
        </w:rPr>
      </w:pPr>
      <w:r>
        <w:rPr>
          <w:color w:val="7030A0"/>
          <w:sz w:val="16"/>
          <w:szCs w:val="16"/>
          <w:vertAlign w:val="superscript"/>
        </w:rPr>
        <w:footnoteRef/>
      </w:r>
      <w:r>
        <w:rPr>
          <w:color w:val="7030A0"/>
          <w:sz w:val="16"/>
          <w:szCs w:val="16"/>
        </w:rPr>
        <w:t xml:space="preserve"> </w:t>
      </w:r>
      <w:r>
        <w:rPr>
          <w:i/>
          <w:iCs/>
          <w:color w:val="7030A0"/>
          <w:sz w:val="16"/>
          <w:szCs w:val="16"/>
        </w:rPr>
        <w:t>Murray v The Netherlands</w:t>
      </w:r>
      <w:r>
        <w:rPr>
          <w:color w:val="7030A0"/>
          <w:sz w:val="16"/>
          <w:szCs w:val="16"/>
        </w:rPr>
        <w:t xml:space="preserve"> (2016) ECHR 408, at para 102.</w:t>
      </w:r>
    </w:p>
  </w:footnote>
  <w:footnote w:id="3">
    <w:p w14:paraId="2D8750D2" w14:textId="77777777" w:rsidR="00AD2251" w:rsidRDefault="00AD2251" w:rsidP="00AD2251">
      <w:pPr>
        <w:pStyle w:val="FootnoteText"/>
        <w:rPr>
          <w:color w:val="7030A0"/>
          <w:sz w:val="16"/>
          <w:szCs w:val="16"/>
        </w:rPr>
      </w:pPr>
      <w:r>
        <w:rPr>
          <w:color w:val="7030A0"/>
          <w:sz w:val="16"/>
          <w:szCs w:val="16"/>
          <w:vertAlign w:val="superscript"/>
        </w:rPr>
        <w:footnoteRef/>
      </w:r>
      <w:r>
        <w:rPr>
          <w:color w:val="7030A0"/>
          <w:sz w:val="16"/>
          <w:szCs w:val="16"/>
          <w:vertAlign w:val="superscript"/>
        </w:rPr>
        <w:t xml:space="preserve"> </w:t>
      </w:r>
      <w:r>
        <w:rPr>
          <w:color w:val="7030A0"/>
          <w:sz w:val="16"/>
          <w:szCs w:val="16"/>
        </w:rPr>
        <w:t>UN Human Rights Committee, ‘General Comment No. 21 on Article 10 (Human Treatment of Persons Deprived of Their Liberty)’, 10 April 1992.</w:t>
      </w:r>
    </w:p>
  </w:footnote>
  <w:footnote w:id="4">
    <w:p w14:paraId="3B345E4F" w14:textId="77777777" w:rsidR="00AD2251" w:rsidRDefault="00AD2251" w:rsidP="00AD2251">
      <w:pPr>
        <w:pStyle w:val="FootnoteText"/>
        <w:rPr>
          <w:color w:val="7030A0"/>
          <w:sz w:val="16"/>
          <w:szCs w:val="16"/>
        </w:rPr>
      </w:pPr>
      <w:r>
        <w:rPr>
          <w:color w:val="7030A0"/>
          <w:sz w:val="16"/>
          <w:szCs w:val="16"/>
          <w:vertAlign w:val="superscript"/>
        </w:rPr>
        <w:footnoteRef/>
      </w:r>
      <w:r>
        <w:rPr>
          <w:color w:val="7030A0"/>
          <w:sz w:val="16"/>
          <w:szCs w:val="16"/>
          <w:vertAlign w:val="superscript"/>
        </w:rPr>
        <w:t xml:space="preserve"> </w:t>
      </w:r>
      <w:r>
        <w:rPr>
          <w:color w:val="7030A0"/>
          <w:sz w:val="16"/>
          <w:szCs w:val="16"/>
        </w:rPr>
        <w:t>Department of Justice, ‘Rehabilitation of Offenders – A consultation on proposals to reform rehabilitation periods in Northern Ireland’ (January 2021), at para 7.</w:t>
      </w:r>
    </w:p>
  </w:footnote>
  <w:footnote w:id="5">
    <w:p w14:paraId="6312C441" w14:textId="77777777" w:rsidR="00AD2251" w:rsidRPr="00FF1799" w:rsidRDefault="00AD2251" w:rsidP="00AD2251">
      <w:pPr>
        <w:pStyle w:val="FootnoteText"/>
        <w:rPr>
          <w:color w:val="7030A0"/>
          <w:sz w:val="16"/>
          <w:szCs w:val="16"/>
        </w:rPr>
      </w:pPr>
      <w:r w:rsidRPr="00E86F2E">
        <w:rPr>
          <w:color w:val="7030A0"/>
          <w:sz w:val="16"/>
          <w:szCs w:val="16"/>
          <w:vertAlign w:val="superscript"/>
        </w:rPr>
        <w:footnoteRef/>
      </w:r>
      <w:r w:rsidRPr="00E86F2E">
        <w:rPr>
          <w:color w:val="7030A0"/>
          <w:sz w:val="16"/>
          <w:szCs w:val="16"/>
        </w:rPr>
        <w:t xml:space="preserve"> Proposed Clause 28A of the Justice Bill</w:t>
      </w:r>
    </w:p>
  </w:footnote>
  <w:footnote w:id="6">
    <w:p w14:paraId="61FFDD5C" w14:textId="1AB718A6" w:rsidR="00AD2251" w:rsidRPr="00FF1799" w:rsidRDefault="00AD2251" w:rsidP="00AD2251">
      <w:pPr>
        <w:pStyle w:val="FootnoteText"/>
        <w:rPr>
          <w:color w:val="7030A0"/>
          <w:sz w:val="16"/>
          <w:szCs w:val="16"/>
        </w:rPr>
      </w:pPr>
      <w:r w:rsidRPr="00FF1799">
        <w:rPr>
          <w:color w:val="7030A0"/>
          <w:sz w:val="16"/>
          <w:szCs w:val="16"/>
          <w:vertAlign w:val="superscript"/>
        </w:rPr>
        <w:footnoteRef/>
      </w:r>
      <w:r w:rsidRPr="00FF1799">
        <w:rPr>
          <w:color w:val="7030A0"/>
          <w:sz w:val="16"/>
          <w:szCs w:val="16"/>
        </w:rPr>
        <w:t xml:space="preserve"> Department of Justice, Background Information, ‘Reform of Rehabilitation Periods in Northern Ireland Amendments </w:t>
      </w:r>
      <w:r w:rsidRPr="00FF1799">
        <w:rPr>
          <w:color w:val="7030A0"/>
          <w:sz w:val="16"/>
          <w:szCs w:val="16"/>
        </w:rPr>
        <w:t>-  Appendix A’,  at para 5.</w:t>
      </w:r>
    </w:p>
  </w:footnote>
  <w:footnote w:id="7">
    <w:p w14:paraId="2FDBF3E8" w14:textId="77777777" w:rsidR="00AD2251" w:rsidRDefault="00AD2251" w:rsidP="00AD2251">
      <w:pPr>
        <w:pStyle w:val="FootnoteText"/>
      </w:pPr>
      <w:r w:rsidRPr="00FF1799">
        <w:rPr>
          <w:color w:val="7030A0"/>
          <w:sz w:val="16"/>
          <w:szCs w:val="16"/>
          <w:vertAlign w:val="superscript"/>
        </w:rPr>
        <w:footnoteRef/>
      </w:r>
      <w:r w:rsidRPr="00FF1799">
        <w:rPr>
          <w:color w:val="7030A0"/>
          <w:sz w:val="16"/>
          <w:szCs w:val="16"/>
        </w:rPr>
        <w:t xml:space="preserve"> Article 6(1), The Rehabilitation of Offenders (Northern Ireland) Order 1978</w:t>
      </w:r>
    </w:p>
  </w:footnote>
  <w:footnote w:id="8">
    <w:p w14:paraId="2428CAD3" w14:textId="77777777" w:rsidR="00AD2251" w:rsidRPr="00105235" w:rsidRDefault="00AD2251" w:rsidP="00AD2251">
      <w:pPr>
        <w:pStyle w:val="NIHRCFootnotes"/>
      </w:pPr>
      <w:r w:rsidRPr="00105235">
        <w:rPr>
          <w:rStyle w:val="FootnoteReference"/>
        </w:rPr>
        <w:footnoteRef/>
      </w:r>
      <w:r w:rsidRPr="00105235">
        <w:t xml:space="preserve"> </w:t>
      </w:r>
      <w:r w:rsidRPr="00105235">
        <w:rPr>
          <w:i/>
          <w:iCs/>
        </w:rPr>
        <w:t>In the Matter of an Application by JR123 for Judicial Review</w:t>
      </w:r>
      <w:r w:rsidRPr="00105235">
        <w:t xml:space="preserve"> [2022] NIQB 42.</w:t>
      </w:r>
    </w:p>
  </w:footnote>
  <w:footnote w:id="9">
    <w:p w14:paraId="4BF9B554" w14:textId="77777777" w:rsidR="00AD2251" w:rsidRPr="006B6578" w:rsidRDefault="00AD2251" w:rsidP="006B6578">
      <w:pPr>
        <w:pStyle w:val="NIHRCFootnotes"/>
        <w:rPr>
          <w:i/>
          <w:iCs/>
        </w:rPr>
      </w:pPr>
      <w:r w:rsidRPr="006B6578">
        <w:rPr>
          <w:vertAlign w:val="superscript"/>
        </w:rPr>
        <w:footnoteRef/>
      </w:r>
      <w:r w:rsidRPr="006B6578">
        <w:rPr>
          <w:i/>
          <w:iCs/>
        </w:rPr>
        <w:t xml:space="preserve"> In the Matter of an Application for Judicial Review by JR123 (Appellant) (Northern Ireland) [2025] UKSC 8</w:t>
      </w:r>
    </w:p>
  </w:footnote>
  <w:footnote w:id="10">
    <w:p w14:paraId="45AE2597" w14:textId="77777777" w:rsidR="00AD2251" w:rsidRPr="006B6578" w:rsidRDefault="00AD2251" w:rsidP="006B6578">
      <w:pPr>
        <w:pStyle w:val="NIHRCFootnotes"/>
        <w:rPr>
          <w:i/>
          <w:iCs/>
        </w:rPr>
      </w:pPr>
      <w:r w:rsidRPr="006B6578">
        <w:rPr>
          <w:vertAlign w:val="superscript"/>
        </w:rPr>
        <w:footnoteRef/>
      </w:r>
      <w:r w:rsidRPr="006B6578">
        <w:rPr>
          <w:i/>
          <w:iCs/>
        </w:rPr>
        <w:t xml:space="preserve"> Ibid at para 48 and 49</w:t>
      </w:r>
    </w:p>
  </w:footnote>
  <w:footnote w:id="11">
    <w:p w14:paraId="44E4F609" w14:textId="77777777" w:rsidR="00AD2251" w:rsidRPr="006B6578" w:rsidRDefault="00AD2251" w:rsidP="006B6578">
      <w:pPr>
        <w:pStyle w:val="NIHRCFootnotes"/>
        <w:rPr>
          <w:i/>
          <w:iCs/>
        </w:rPr>
      </w:pPr>
      <w:r w:rsidRPr="006B6578">
        <w:rPr>
          <w:vertAlign w:val="superscript"/>
        </w:rPr>
        <w:footnoteRef/>
      </w:r>
      <w:r w:rsidRPr="006B6578">
        <w:rPr>
          <w:i/>
          <w:iCs/>
        </w:rPr>
        <w:t xml:space="preserve"> Ibid at para 54</w:t>
      </w:r>
    </w:p>
  </w:footnote>
  <w:footnote w:id="12">
    <w:p w14:paraId="1EBF8B7E" w14:textId="77777777" w:rsidR="00AD2251" w:rsidRPr="006B6578" w:rsidRDefault="00AD2251" w:rsidP="006B6578">
      <w:pPr>
        <w:pStyle w:val="NIHRCFootnotes"/>
        <w:rPr>
          <w:i/>
          <w:iCs/>
        </w:rPr>
      </w:pPr>
      <w:r w:rsidRPr="006B6578">
        <w:rPr>
          <w:vertAlign w:val="superscript"/>
        </w:rPr>
        <w:footnoteRef/>
      </w:r>
      <w:r w:rsidRPr="006B6578">
        <w:rPr>
          <w:i/>
          <w:iCs/>
        </w:rPr>
        <w:t xml:space="preserve"> Ibid at para 58</w:t>
      </w:r>
    </w:p>
  </w:footnote>
  <w:footnote w:id="13">
    <w:p w14:paraId="35571A8B" w14:textId="598B2660" w:rsidR="00AD2251" w:rsidRDefault="00AD2251" w:rsidP="00AD2251">
      <w:pPr>
        <w:pStyle w:val="FootnoteText"/>
      </w:pPr>
      <w:r w:rsidRPr="00F65CB5">
        <w:rPr>
          <w:color w:val="7030A0"/>
          <w:sz w:val="16"/>
          <w:szCs w:val="16"/>
          <w:vertAlign w:val="superscript"/>
        </w:rPr>
        <w:footnoteRef/>
      </w:r>
      <w:r w:rsidRPr="00F65CB5">
        <w:rPr>
          <w:color w:val="7030A0"/>
          <w:sz w:val="16"/>
          <w:szCs w:val="16"/>
        </w:rPr>
        <w:t xml:space="preserve"> </w:t>
      </w:r>
      <w:r w:rsidR="00205515">
        <w:rPr>
          <w:color w:val="7030A0"/>
          <w:sz w:val="16"/>
          <w:szCs w:val="16"/>
        </w:rPr>
        <w:t>Department of Justice, ‘</w:t>
      </w:r>
      <w:r w:rsidR="00B71867">
        <w:rPr>
          <w:color w:val="7030A0"/>
          <w:sz w:val="16"/>
          <w:szCs w:val="16"/>
        </w:rPr>
        <w:t>Consultation on Proposals to Reform Rehabilitation Periods in Northern Ireland:</w:t>
      </w:r>
      <w:r w:rsidR="00012963">
        <w:rPr>
          <w:color w:val="7030A0"/>
          <w:sz w:val="16"/>
          <w:szCs w:val="16"/>
        </w:rPr>
        <w:t xml:space="preserve"> consultation report and summary of responses</w:t>
      </w:r>
      <w:r w:rsidR="00205515">
        <w:rPr>
          <w:color w:val="7030A0"/>
          <w:sz w:val="16"/>
          <w:szCs w:val="16"/>
        </w:rPr>
        <w:t>’ (</w:t>
      </w:r>
      <w:r w:rsidR="00A54E92">
        <w:rPr>
          <w:color w:val="7030A0"/>
          <w:sz w:val="16"/>
          <w:szCs w:val="16"/>
        </w:rPr>
        <w:t>October</w:t>
      </w:r>
      <w:r w:rsidR="00205515">
        <w:rPr>
          <w:color w:val="7030A0"/>
          <w:sz w:val="16"/>
          <w:szCs w:val="16"/>
        </w:rPr>
        <w:t xml:space="preserve"> 2021), at para </w:t>
      </w:r>
      <w:r w:rsidR="00A54E92">
        <w:rPr>
          <w:color w:val="7030A0"/>
          <w:sz w:val="16"/>
          <w:szCs w:val="16"/>
        </w:rPr>
        <w:t>148</w:t>
      </w:r>
      <w:r w:rsidR="00205515">
        <w:rPr>
          <w:color w:val="7030A0"/>
          <w:sz w:val="16"/>
          <w:szCs w:val="16"/>
        </w:rPr>
        <w:t>.</w:t>
      </w:r>
    </w:p>
  </w:footnote>
  <w:footnote w:id="14">
    <w:p w14:paraId="69A2220E" w14:textId="6A3E31B5" w:rsidR="00AD2251" w:rsidRPr="00F65CB5" w:rsidRDefault="00AD2251" w:rsidP="00AD2251">
      <w:pPr>
        <w:pStyle w:val="FootnoteText"/>
        <w:rPr>
          <w:color w:val="7030A0"/>
          <w:sz w:val="16"/>
          <w:szCs w:val="16"/>
        </w:rPr>
      </w:pPr>
      <w:r w:rsidRPr="00F65CB5">
        <w:rPr>
          <w:color w:val="7030A0"/>
          <w:sz w:val="16"/>
          <w:szCs w:val="16"/>
          <w:vertAlign w:val="superscript"/>
        </w:rPr>
        <w:footnoteRef/>
      </w:r>
      <w:r w:rsidRPr="00F65CB5">
        <w:rPr>
          <w:color w:val="7030A0"/>
          <w:sz w:val="16"/>
          <w:szCs w:val="16"/>
        </w:rPr>
        <w:t xml:space="preserve"> </w:t>
      </w:r>
      <w:r w:rsidR="003B3A8B" w:rsidRPr="00F65CB5">
        <w:rPr>
          <w:color w:val="7030A0"/>
          <w:sz w:val="16"/>
          <w:szCs w:val="16"/>
        </w:rPr>
        <w:t>Department of Justice ‘</w:t>
      </w:r>
      <w:r w:rsidR="007D2927" w:rsidRPr="00F65CB5">
        <w:rPr>
          <w:color w:val="7030A0"/>
          <w:sz w:val="16"/>
          <w:szCs w:val="16"/>
        </w:rPr>
        <w:t xml:space="preserve">Rehabilitation of offenders: background information </w:t>
      </w:r>
      <w:r w:rsidR="007C4DA7" w:rsidRPr="00F65CB5">
        <w:rPr>
          <w:color w:val="7030A0"/>
          <w:sz w:val="16"/>
          <w:szCs w:val="16"/>
        </w:rPr>
        <w:t>on amendment’ (</w:t>
      </w:r>
      <w:r w:rsidR="00260C04" w:rsidRPr="00F65CB5">
        <w:rPr>
          <w:color w:val="7030A0"/>
          <w:sz w:val="16"/>
          <w:szCs w:val="16"/>
        </w:rPr>
        <w:t xml:space="preserve">February 2025), at para 14. </w:t>
      </w:r>
    </w:p>
  </w:footnote>
  <w:footnote w:id="15">
    <w:p w14:paraId="6FFA8AC1" w14:textId="2FADCAE1" w:rsidR="005E7FA0" w:rsidRDefault="005E7FA0" w:rsidP="005E7FA0">
      <w:pPr>
        <w:pStyle w:val="NIHRCFootnotes"/>
      </w:pPr>
      <w:r>
        <w:rPr>
          <w:rStyle w:val="FootnoteReference"/>
        </w:rPr>
        <w:footnoteRef/>
      </w:r>
      <w:r>
        <w:t xml:space="preserve"> Department of Justice, ‘Repeal of Vagrancy Amendments’ (</w:t>
      </w:r>
      <w:r>
        <w:t>DoJ, 2025).</w:t>
      </w:r>
    </w:p>
  </w:footnote>
  <w:footnote w:id="16">
    <w:p w14:paraId="3D219683" w14:textId="2BB2A4A2" w:rsidR="00142720" w:rsidRDefault="00142720" w:rsidP="005E7FA0">
      <w:pPr>
        <w:pStyle w:val="NIHRCFootnotes"/>
      </w:pPr>
      <w:r>
        <w:rPr>
          <w:rStyle w:val="FootnoteReference"/>
        </w:rPr>
        <w:footnoteRef/>
      </w:r>
      <w:r>
        <w:t xml:space="preserve"> Department of Justice, ‘Repeal of Vagrancy Amendments: Appendix B’ (</w:t>
      </w:r>
      <w:r>
        <w:t xml:space="preserve">DoJ, 2025), at </w:t>
      </w:r>
      <w:r w:rsidR="00F15894">
        <w:t>paras 3-5.</w:t>
      </w:r>
    </w:p>
  </w:footnote>
  <w:footnote w:id="17">
    <w:p w14:paraId="1E1CDE88" w14:textId="27C4A70B" w:rsidR="00BC2A6A" w:rsidRDefault="00BC2A6A" w:rsidP="005E7FA0">
      <w:pPr>
        <w:pStyle w:val="NIHRCFootnotes"/>
      </w:pPr>
      <w:r>
        <w:rPr>
          <w:rStyle w:val="FootnoteReference"/>
        </w:rPr>
        <w:footnoteRef/>
      </w:r>
      <w:r>
        <w:t xml:space="preserve"> </w:t>
      </w:r>
      <w:r w:rsidR="00D31C75" w:rsidRPr="00D31C75">
        <w:t>Lacatus v Switzerland</w:t>
      </w:r>
      <w:r w:rsidR="00D31C75">
        <w:t xml:space="preserve"> (2021) ECHR 37.</w:t>
      </w:r>
    </w:p>
  </w:footnote>
  <w:footnote w:id="18">
    <w:p w14:paraId="21472A50" w14:textId="16C9A574" w:rsidR="00532B53" w:rsidRDefault="00532B53" w:rsidP="005E7FA0">
      <w:pPr>
        <w:pStyle w:val="NIHRCFootnotes"/>
      </w:pPr>
      <w:r>
        <w:rPr>
          <w:rStyle w:val="FootnoteReference"/>
        </w:rPr>
        <w:footnoteRef/>
      </w:r>
      <w:r>
        <w:t xml:space="preserve"> Department of Justice, ‘Repeal of Vagrancy Amendments: Appendix B’ (</w:t>
      </w:r>
      <w:r>
        <w:t>DoJ, 2025), at para 11.</w:t>
      </w:r>
    </w:p>
  </w:footnote>
  <w:footnote w:id="19">
    <w:p w14:paraId="29846377" w14:textId="77777777" w:rsidR="0076131C" w:rsidRDefault="0076131C" w:rsidP="005E7FA0">
      <w:pPr>
        <w:pStyle w:val="NIHRCFootnotes"/>
      </w:pPr>
      <w:r>
        <w:rPr>
          <w:rStyle w:val="FootnoteReference"/>
        </w:rPr>
        <w:footnoteRef/>
      </w:r>
      <w:r>
        <w:t xml:space="preserve"> Department of Justice, ‘Repeal of Vagrancy Amendments: Appendix B’ (</w:t>
      </w:r>
      <w:r>
        <w:t>DoJ, 2025), at para 11.</w:t>
      </w:r>
    </w:p>
  </w:footnote>
  <w:footnote w:id="20">
    <w:p w14:paraId="37EF6227" w14:textId="77777777" w:rsidR="00532B53" w:rsidRDefault="00532B53" w:rsidP="005E7FA0">
      <w:pPr>
        <w:pStyle w:val="NIHRCFootnotes"/>
      </w:pPr>
      <w:r>
        <w:rPr>
          <w:rStyle w:val="FootnoteReference"/>
        </w:rPr>
        <w:footnoteRef/>
      </w:r>
      <w:r>
        <w:t xml:space="preserve"> The Department, alongside the Department for Communities, proposed to broaden the definition of anti-social behaviour, lower the threshold required for granting an Anti-Social Behaviour Order, change the standard of the burden of proof from the criminal to civil standard, and broaden the range of conditions and restrictions attached to an Anti-Social Behaviour Order. </w:t>
      </w:r>
      <w:r w:rsidRPr="003172B9">
        <w:t>Department of Justice and Department for Communities, ‘A Consultation on Proposals to Amend the Legislation to Help Tackle Anti-Social Behaviour’ (</w:t>
      </w:r>
      <w:r w:rsidRPr="003172B9">
        <w:t>DoJ and DfC, 2023)</w:t>
      </w:r>
      <w:r>
        <w:t>.</w:t>
      </w:r>
    </w:p>
  </w:footnote>
  <w:footnote w:id="21">
    <w:p w14:paraId="75954376" w14:textId="77777777" w:rsidR="00532B53" w:rsidRDefault="00532B53" w:rsidP="005E7FA0">
      <w:pPr>
        <w:pStyle w:val="NIHRCFootnotes"/>
      </w:pPr>
      <w:r>
        <w:rPr>
          <w:rStyle w:val="FootnoteReference"/>
        </w:rPr>
        <w:footnoteRef/>
      </w:r>
      <w:r>
        <w:t xml:space="preserve"> NI Human Rights Commission, ‘Submission to the Department of Justice and the Department for Communities’ Consultation on Proposals to Amend the Legislation to Help Tackle Anti-Social Behaviour’ (NIHRC, 2024).</w:t>
      </w:r>
    </w:p>
  </w:footnote>
  <w:footnote w:id="22">
    <w:p w14:paraId="768F42BA" w14:textId="77777777" w:rsidR="00CF54C6" w:rsidRDefault="00CF54C6" w:rsidP="00CF54C6">
      <w:pPr>
        <w:pStyle w:val="NIHRCFootnotes"/>
      </w:pPr>
      <w:r w:rsidRPr="00C769A1">
        <w:rPr>
          <w:vertAlign w:val="superscript"/>
        </w:rPr>
        <w:footnoteRef/>
      </w:r>
      <w:r>
        <w:t xml:space="preserve"> CERD/C/GBR/CO/24-26, ‘UN CERD Committee Concluding Observations on the Combined Twenty-fourth to Twenty-</w:t>
      </w:r>
      <w:r w:rsidRPr="00C769A1">
        <w:t>sixth</w:t>
      </w:r>
      <w:r>
        <w:t xml:space="preserve"> Reports of the UK and Great Britain and NI’, 23 August 2024, at para 22.</w:t>
      </w:r>
    </w:p>
  </w:footnote>
  <w:footnote w:id="23">
    <w:p w14:paraId="598B3BC2" w14:textId="1604BCB0" w:rsidR="00606D58" w:rsidRPr="00C769A1" w:rsidRDefault="00606D58" w:rsidP="00C769A1">
      <w:pPr>
        <w:pStyle w:val="NIHRCFootnotes"/>
      </w:pPr>
      <w:r w:rsidRPr="00C769A1">
        <w:rPr>
          <w:vertAlign w:val="superscript"/>
        </w:rPr>
        <w:footnoteRef/>
      </w:r>
      <w:r w:rsidRPr="00C769A1">
        <w:t xml:space="preserve"> </w:t>
      </w:r>
      <w:r w:rsidR="00314F9D" w:rsidRPr="00C769A1">
        <w:t>E/C.12/GBR/CO/7,</w:t>
      </w:r>
      <w:r w:rsidR="00C769A1" w:rsidRPr="00C769A1">
        <w:t xml:space="preserve"> ‘UN ESCR Committee Concluding Observations on the seventh periodic report of the United Kingdom of Great Britain and Northern Ireland’</w:t>
      </w:r>
      <w:r w:rsidR="00C769A1">
        <w:t xml:space="preserve">, 3 March 2025, at </w:t>
      </w:r>
      <w:r w:rsidR="003B0C88">
        <w:t xml:space="preserve">para 47(h). </w:t>
      </w:r>
    </w:p>
  </w:footnote>
  <w:footnote w:id="24">
    <w:p w14:paraId="64D93AA9" w14:textId="59729750" w:rsidR="003D4B9A" w:rsidRDefault="003D4B9A" w:rsidP="00084C63">
      <w:pPr>
        <w:pStyle w:val="NIHRCFootnotes"/>
      </w:pPr>
      <w:r>
        <w:rPr>
          <w:rStyle w:val="FootnoteReference"/>
        </w:rPr>
        <w:footnoteRef/>
      </w:r>
      <w:r>
        <w:t xml:space="preserve"> </w:t>
      </w:r>
      <w:r w:rsidR="00084C63">
        <w:t xml:space="preserve">Aisling Swaine, </w:t>
      </w:r>
      <w:r w:rsidR="00084C63">
        <w:t>‘”When You Know What They are Capable Of”: Paramilitary-related Gendered Coercive Control’ (Foyle Family Justice Centre and UCD, 2024).</w:t>
      </w:r>
    </w:p>
  </w:footnote>
  <w:footnote w:id="25">
    <w:p w14:paraId="70FFC16B" w14:textId="77777777" w:rsidR="00CF54C6" w:rsidRPr="00105235" w:rsidRDefault="00CF54C6" w:rsidP="00CF54C6">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34(b).</w:t>
      </w:r>
    </w:p>
  </w:footnote>
  <w:footnote w:id="26">
    <w:p w14:paraId="160E75A3" w14:textId="67FDAF8E" w:rsidR="00E74351" w:rsidRPr="00E74351" w:rsidRDefault="00E74351">
      <w:pPr>
        <w:pStyle w:val="FootnoteText"/>
        <w:rPr>
          <w:rFonts w:cs="Arial"/>
          <w:color w:val="77328A"/>
          <w:sz w:val="16"/>
          <w:szCs w:val="16"/>
        </w:rPr>
      </w:pPr>
      <w:r w:rsidRPr="00E74351">
        <w:rPr>
          <w:rFonts w:cs="Arial"/>
          <w:color w:val="77328A"/>
          <w:sz w:val="16"/>
          <w:szCs w:val="16"/>
          <w:vertAlign w:val="superscript"/>
        </w:rPr>
        <w:footnoteRef/>
      </w:r>
      <w:r w:rsidRPr="00E74351">
        <w:rPr>
          <w:rFonts w:cs="Arial"/>
          <w:color w:val="77328A"/>
          <w:sz w:val="16"/>
          <w:szCs w:val="16"/>
        </w:rPr>
        <w:t xml:space="preserve"> CRC/C/GBR/CO/6-7, ‘UN CRC Committee Concluding Observations on the Combined Sixth and Seventh Reports of the UK of Great Britain and NI’, 2 June 2023, at para 3</w:t>
      </w:r>
      <w:r w:rsidR="00193405">
        <w:rPr>
          <w:rFonts w:cs="Arial"/>
          <w:color w:val="77328A"/>
          <w:sz w:val="16"/>
          <w:szCs w:val="16"/>
        </w:rPr>
        <w:t>3</w:t>
      </w:r>
      <w:r w:rsidRPr="00E74351">
        <w:rPr>
          <w:rFonts w:cs="Arial"/>
          <w:color w:val="77328A"/>
          <w:sz w:val="16"/>
          <w:szCs w:val="16"/>
        </w:rPr>
        <w:t>(b).</w:t>
      </w:r>
    </w:p>
  </w:footnote>
  <w:footnote w:id="27">
    <w:p w14:paraId="3303367F" w14:textId="728D3692" w:rsidR="0011429B" w:rsidRDefault="0011429B">
      <w:pPr>
        <w:pStyle w:val="FootnoteText"/>
      </w:pPr>
      <w:r w:rsidRPr="00E74351">
        <w:rPr>
          <w:rFonts w:cs="Arial"/>
          <w:color w:val="77328A"/>
          <w:sz w:val="16"/>
          <w:szCs w:val="16"/>
          <w:vertAlign w:val="superscript"/>
        </w:rPr>
        <w:footnoteRef/>
      </w:r>
      <w:r w:rsidRPr="00E74351">
        <w:rPr>
          <w:rFonts w:cs="Arial"/>
          <w:color w:val="77328A"/>
          <w:sz w:val="16"/>
          <w:szCs w:val="16"/>
        </w:rPr>
        <w:t xml:space="preserve"> CRC/C/GBR/CO/6-7, ‘UN CRC Committee Concluding Observations on the Combined Sixth and Seventh Reports of the UK of Great Britain and NI’, 2 June 2023, at para </w:t>
      </w:r>
      <w:r>
        <w:rPr>
          <w:rFonts w:cs="Arial"/>
          <w:color w:val="77328A"/>
          <w:sz w:val="16"/>
          <w:szCs w:val="16"/>
        </w:rPr>
        <w:t>53</w:t>
      </w:r>
      <w:r w:rsidRPr="00E74351">
        <w:rPr>
          <w:rFonts w:cs="Arial"/>
          <w:color w:val="77328A"/>
          <w:sz w:val="16"/>
          <w:szCs w:val="16"/>
        </w:rPr>
        <w:t>(</w:t>
      </w:r>
      <w:r>
        <w:rPr>
          <w:rFonts w:cs="Arial"/>
          <w:color w:val="77328A"/>
          <w:sz w:val="16"/>
          <w:szCs w:val="16"/>
        </w:rPr>
        <w:t>c</w:t>
      </w:r>
      <w:r w:rsidRPr="00E74351">
        <w:rPr>
          <w:rFonts w:cs="Arial"/>
          <w:color w:val="77328A"/>
          <w:sz w:val="16"/>
          <w:szCs w:val="16"/>
        </w:rPr>
        <w:t>).</w:t>
      </w:r>
    </w:p>
  </w:footnote>
  <w:footnote w:id="28">
    <w:p w14:paraId="491066AC" w14:textId="77777777" w:rsidR="001C5CD2" w:rsidRPr="00105235" w:rsidRDefault="001C5CD2" w:rsidP="001C5CD2">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t>20</w:t>
      </w:r>
      <w:r w:rsidRPr="00105235">
        <w:t xml:space="preserve">24’ (HC, 2024). </w:t>
      </w:r>
    </w:p>
  </w:footnote>
  <w:footnote w:id="29">
    <w:p w14:paraId="153F9D64" w14:textId="77777777" w:rsidR="001C5CD2" w:rsidRPr="00105235" w:rsidRDefault="001C5CD2" w:rsidP="001C5CD2">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t>20</w:t>
      </w:r>
      <w:r w:rsidRPr="00105235">
        <w:t>24’ (HC, 2024), at 4</w:t>
      </w:r>
      <w:r>
        <w:t xml:space="preserve">; Aisling Swaine, </w:t>
      </w:r>
      <w:r>
        <w:t>‘”When You Know What They are Capable Of”: Paramilitary-related Gendered Coercive Control’ (Foyle Family Justice Centre and UCD, 2024).</w:t>
      </w:r>
    </w:p>
  </w:footnote>
  <w:footnote w:id="30">
    <w:p w14:paraId="4485D50D" w14:textId="77777777" w:rsidR="001C5CD2" w:rsidRDefault="001C5CD2" w:rsidP="001C5CD2">
      <w:pPr>
        <w:pStyle w:val="NIHRCFootnotes"/>
      </w:pPr>
      <w:r w:rsidRPr="001C2933">
        <w:rPr>
          <w:vertAlign w:val="superscript"/>
        </w:rPr>
        <w:footnoteRef/>
      </w:r>
      <w:r>
        <w:t xml:space="preserve"> </w:t>
      </w:r>
      <w:r w:rsidRPr="00105235">
        <w:t>UK Parliament, ‘House of Commons: NI Affairs Committee - The Effect of Paramilitary Activity and Organised Crime on Society in NI - Second Report of Session 2023–</w:t>
      </w:r>
      <w:r>
        <w:t>20</w:t>
      </w:r>
      <w:r w:rsidRPr="00105235">
        <w:t xml:space="preserve">24’ (HC, 2024), at </w:t>
      </w:r>
      <w:r>
        <w:t>19</w:t>
      </w:r>
      <w:r w:rsidRPr="00105235">
        <w:t>.</w:t>
      </w:r>
    </w:p>
  </w:footnote>
  <w:footnote w:id="31">
    <w:p w14:paraId="5D4B37C0" w14:textId="77777777" w:rsidR="001C5CD2" w:rsidRDefault="001C5CD2" w:rsidP="001C5CD2">
      <w:pPr>
        <w:pStyle w:val="NIHRCFootnotes"/>
      </w:pPr>
      <w:r w:rsidRPr="001C2933">
        <w:rPr>
          <w:vertAlign w:val="superscript"/>
        </w:rPr>
        <w:footnoteRef/>
      </w:r>
      <w:r>
        <w:t xml:space="preserve"> </w:t>
      </w:r>
      <w:r w:rsidRPr="00105235">
        <w:t>UK Parliament, ‘House of Commons: NI Affairs Committee - The Effect of Paramilitary Activity and Organised Crime on Society in NI - Second Report of Session 2023–</w:t>
      </w:r>
      <w:r>
        <w:t>20</w:t>
      </w:r>
      <w:r w:rsidRPr="00105235">
        <w:t>24’ (HC, 2024), at 4.</w:t>
      </w:r>
    </w:p>
  </w:footnote>
  <w:footnote w:id="32">
    <w:p w14:paraId="29A6AD66" w14:textId="77777777" w:rsidR="001C5CD2" w:rsidRDefault="001C5CD2" w:rsidP="001C5CD2">
      <w:pPr>
        <w:pStyle w:val="NIHRCFootnotes"/>
      </w:pPr>
      <w:r w:rsidRPr="001C2933">
        <w:rPr>
          <w:vertAlign w:val="superscript"/>
        </w:rPr>
        <w:footnoteRef/>
      </w:r>
      <w:r>
        <w:t xml:space="preserve"> </w:t>
      </w:r>
      <w:r w:rsidRPr="00105235">
        <w:t>UK Parliament, ‘House of Commons: NI Affairs Committee - The Effect of Paramilitary Activity and Organised Crime on Society in NI - Second Report of Session 2023–</w:t>
      </w:r>
      <w:r>
        <w:t>20</w:t>
      </w:r>
      <w:r w:rsidRPr="00105235">
        <w:t xml:space="preserve">24’ (HC, 2024), at </w:t>
      </w:r>
      <w:r>
        <w:t>19-22.</w:t>
      </w:r>
    </w:p>
  </w:footnote>
  <w:footnote w:id="33">
    <w:p w14:paraId="7A56E410" w14:textId="77777777" w:rsidR="001C5CD2" w:rsidRDefault="001C5CD2" w:rsidP="001C5CD2">
      <w:pPr>
        <w:pStyle w:val="NIHRCFootnotes"/>
      </w:pPr>
      <w:r w:rsidRPr="005E2684">
        <w:rPr>
          <w:vertAlign w:val="superscript"/>
        </w:rPr>
        <w:footnoteRef/>
      </w:r>
      <w:r>
        <w:t xml:space="preserve"> </w:t>
      </w:r>
      <w:r w:rsidRPr="00105235">
        <w:t>UK Parliament, ‘House of Commons: NI Affairs Committee - The Effect of Paramilitary Activity and Organised Crime on Society in NI - Second Report of Session 2023–</w:t>
      </w:r>
      <w:r>
        <w:t>20</w:t>
      </w:r>
      <w:r w:rsidRPr="00105235">
        <w:t xml:space="preserve">24’ (HC, 2024), at </w:t>
      </w:r>
      <w:r>
        <w:t>20-21</w:t>
      </w:r>
      <w:r w:rsidRPr="00105235">
        <w:t>.</w:t>
      </w:r>
    </w:p>
  </w:footnote>
  <w:footnote w:id="34">
    <w:p w14:paraId="72783AFC" w14:textId="77777777" w:rsidR="001C5CD2" w:rsidRDefault="001C5CD2" w:rsidP="001C5CD2">
      <w:pPr>
        <w:pStyle w:val="NIHRCFootnotes"/>
      </w:pPr>
      <w:r>
        <w:rPr>
          <w:rStyle w:val="FootnoteReference"/>
        </w:rPr>
        <w:footnoteRef/>
      </w:r>
      <w:r>
        <w:t xml:space="preserve"> </w:t>
      </w:r>
      <w:r w:rsidRPr="00105235">
        <w:t>UK Parliament, ‘House of Commons: NI Affairs Committee - The Effect of Paramilitary Activity and Organised Crime on Society in NI - Second Report of Session 2023–</w:t>
      </w:r>
      <w:r>
        <w:t>20</w:t>
      </w:r>
      <w:r w:rsidRPr="00105235">
        <w:t xml:space="preserve">24’ (HC, 2024), at </w:t>
      </w:r>
      <w:r>
        <w:t>24.</w:t>
      </w:r>
    </w:p>
  </w:footnote>
  <w:footnote w:id="35">
    <w:p w14:paraId="7ACEB8CF" w14:textId="3410C855" w:rsidR="00032BE7" w:rsidRDefault="00032BE7" w:rsidP="0096286C">
      <w:pPr>
        <w:pStyle w:val="NIHRCFootnotes"/>
      </w:pPr>
      <w:r w:rsidRPr="00032BE7">
        <w:rPr>
          <w:vertAlign w:val="superscript"/>
        </w:rPr>
        <w:footnoteRef/>
      </w:r>
      <w:r w:rsidRPr="00032BE7">
        <w:rPr>
          <w:vertAlign w:val="superscript"/>
        </w:rPr>
        <w:t xml:space="preserve"> </w:t>
      </w:r>
      <w:r w:rsidRPr="00032BE7">
        <w:t>C</w:t>
      </w:r>
      <w:r>
        <w:t xml:space="preserve">ouncil </w:t>
      </w:r>
      <w:r w:rsidRPr="00032BE7">
        <w:t>o</w:t>
      </w:r>
      <w:r>
        <w:t xml:space="preserve">f </w:t>
      </w:r>
      <w:r w:rsidRPr="00032BE7">
        <w:t>E</w:t>
      </w:r>
      <w:r>
        <w:t>urope</w:t>
      </w:r>
      <w:r w:rsidRPr="00032BE7">
        <w:t xml:space="preserve"> Convention on Action against Trafficking in Human Beings 2005</w:t>
      </w:r>
      <w:r w:rsidR="005F7726">
        <w:t>, article 26.</w:t>
      </w:r>
      <w:r>
        <w:t xml:space="preserve"> </w:t>
      </w:r>
    </w:p>
  </w:footnote>
  <w:footnote w:id="36">
    <w:p w14:paraId="66F3FA60" w14:textId="6ECA78A5" w:rsidR="0096286C" w:rsidRDefault="0096286C">
      <w:pPr>
        <w:pStyle w:val="FootnoteText"/>
      </w:pPr>
      <w:r w:rsidRPr="0096286C">
        <w:rPr>
          <w:rStyle w:val="FootnoteReference"/>
          <w:color w:val="77328A"/>
          <w:sz w:val="16"/>
          <w:szCs w:val="16"/>
        </w:rPr>
        <w:footnoteRef/>
      </w:r>
      <w:r w:rsidRPr="0096286C">
        <w:rPr>
          <w:color w:val="77328A"/>
          <w:sz w:val="16"/>
          <w:szCs w:val="16"/>
        </w:rPr>
        <w:t xml:space="preserve"> Directive 2011/36/EU of the European Parliament and of the Council of 5 April 2011 on preventing and combating trafficking in human beings and protecting its </w:t>
      </w:r>
      <w:r w:rsidRPr="0096286C">
        <w:rPr>
          <w:color w:val="77328A"/>
          <w:sz w:val="16"/>
          <w:szCs w:val="16"/>
        </w:rPr>
        <w:t>victims, and replacing Council Framework Decision 2002/629/JHA</w:t>
      </w:r>
      <w:r>
        <w:rPr>
          <w:color w:val="77328A"/>
          <w:sz w:val="16"/>
          <w:szCs w:val="16"/>
        </w:rPr>
        <w:t>.</w:t>
      </w:r>
    </w:p>
  </w:footnote>
  <w:footnote w:id="37">
    <w:p w14:paraId="419369FC" w14:textId="6665399F" w:rsidR="00594A04" w:rsidRPr="00284D85" w:rsidRDefault="00594A04">
      <w:pPr>
        <w:pStyle w:val="FootnoteText"/>
        <w:rPr>
          <w:rFonts w:cs="Arial"/>
          <w:color w:val="77328A"/>
          <w:sz w:val="16"/>
          <w:szCs w:val="16"/>
        </w:rPr>
      </w:pPr>
      <w:r w:rsidRPr="00284D85">
        <w:rPr>
          <w:rFonts w:cs="Arial"/>
          <w:color w:val="77328A"/>
          <w:sz w:val="16"/>
          <w:szCs w:val="16"/>
          <w:vertAlign w:val="superscript"/>
        </w:rPr>
        <w:footnoteRef/>
      </w:r>
      <w:r w:rsidRPr="00284D85">
        <w:rPr>
          <w:rFonts w:cs="Arial"/>
          <w:color w:val="77328A"/>
          <w:sz w:val="16"/>
          <w:szCs w:val="16"/>
          <w:vertAlign w:val="superscript"/>
        </w:rPr>
        <w:t xml:space="preserve"> </w:t>
      </w:r>
      <w:r w:rsidR="00693AAC" w:rsidRPr="00284D85">
        <w:rPr>
          <w:rFonts w:cs="Arial"/>
          <w:color w:val="77328A"/>
          <w:sz w:val="16"/>
          <w:szCs w:val="16"/>
        </w:rPr>
        <w:t xml:space="preserve">Group </w:t>
      </w:r>
      <w:r w:rsidR="00E8119F" w:rsidRPr="00284D85">
        <w:rPr>
          <w:rFonts w:cs="Arial"/>
          <w:color w:val="77328A"/>
          <w:sz w:val="16"/>
          <w:szCs w:val="16"/>
        </w:rPr>
        <w:t xml:space="preserve">of Experts on Action against Trafficking in Human Beings (GRETA), </w:t>
      </w:r>
      <w:r w:rsidR="00284D85" w:rsidRPr="00284D85">
        <w:rPr>
          <w:rFonts w:cs="Arial"/>
          <w:color w:val="77328A"/>
          <w:sz w:val="16"/>
          <w:szCs w:val="16"/>
        </w:rPr>
        <w:t>Evaluation Report: United Kingdom, Third Evaluation Round,</w:t>
      </w:r>
      <w:r w:rsidR="00E8119F" w:rsidRPr="00284D85">
        <w:rPr>
          <w:rFonts w:cs="Arial"/>
          <w:color w:val="77328A"/>
          <w:sz w:val="16"/>
          <w:szCs w:val="16"/>
        </w:rPr>
        <w:t xml:space="preserve"> </w:t>
      </w:r>
      <w:r w:rsidR="00284D85">
        <w:rPr>
          <w:rFonts w:cs="Arial"/>
          <w:color w:val="77328A"/>
          <w:sz w:val="16"/>
          <w:szCs w:val="16"/>
        </w:rPr>
        <w:t>p</w:t>
      </w:r>
      <w:r w:rsidR="001D66A5" w:rsidRPr="00284D85">
        <w:rPr>
          <w:rFonts w:cs="Arial"/>
          <w:color w:val="77328A"/>
          <w:sz w:val="16"/>
          <w:szCs w:val="16"/>
        </w:rPr>
        <w:t>ara 176</w:t>
      </w:r>
      <w:r w:rsidR="00284D85">
        <w:rPr>
          <w:rFonts w:cs="Arial"/>
          <w:color w:val="77328A"/>
          <w:sz w:val="16"/>
          <w:szCs w:val="16"/>
        </w:rPr>
        <w:t>.</w:t>
      </w:r>
    </w:p>
  </w:footnote>
  <w:footnote w:id="38">
    <w:p w14:paraId="0EA3CF88" w14:textId="25B4CA9A" w:rsidR="001D66A5" w:rsidRPr="00284D85" w:rsidRDefault="001D66A5">
      <w:pPr>
        <w:pStyle w:val="FootnoteText"/>
        <w:rPr>
          <w:rFonts w:cs="Arial"/>
          <w:color w:val="77328A"/>
          <w:sz w:val="16"/>
          <w:szCs w:val="16"/>
        </w:rPr>
      </w:pPr>
      <w:r w:rsidRPr="00284D85">
        <w:rPr>
          <w:rFonts w:cs="Arial"/>
          <w:color w:val="77328A"/>
          <w:sz w:val="16"/>
          <w:szCs w:val="16"/>
          <w:vertAlign w:val="superscript"/>
        </w:rPr>
        <w:footnoteRef/>
      </w:r>
      <w:r w:rsidRPr="00284D85">
        <w:rPr>
          <w:rFonts w:cs="Arial"/>
          <w:color w:val="77328A"/>
          <w:sz w:val="16"/>
          <w:szCs w:val="16"/>
        </w:rPr>
        <w:t xml:space="preserve"> </w:t>
      </w:r>
      <w:r w:rsidR="00284D85" w:rsidRPr="00284D85">
        <w:rPr>
          <w:rFonts w:cs="Arial"/>
          <w:color w:val="77328A"/>
          <w:sz w:val="16"/>
          <w:szCs w:val="16"/>
        </w:rPr>
        <w:t xml:space="preserve">Group of Experts on Action against Trafficking in Human Beings (GRETA), Evaluation Report: United Kingdom, Third Evaluation Round, </w:t>
      </w:r>
      <w:r w:rsidR="00284D85">
        <w:rPr>
          <w:rFonts w:cs="Arial"/>
          <w:color w:val="77328A"/>
          <w:sz w:val="16"/>
          <w:szCs w:val="16"/>
        </w:rPr>
        <w:t>p</w:t>
      </w:r>
      <w:r w:rsidR="001C7271" w:rsidRPr="00284D85">
        <w:rPr>
          <w:rFonts w:cs="Arial"/>
          <w:color w:val="77328A"/>
          <w:sz w:val="16"/>
          <w:szCs w:val="16"/>
        </w:rPr>
        <w:t>ara 177</w:t>
      </w:r>
      <w:r w:rsidR="00284D85">
        <w:rPr>
          <w:rFonts w:cs="Arial"/>
          <w:color w:val="77328A"/>
          <w:sz w:val="16"/>
          <w:szCs w:val="16"/>
        </w:rPr>
        <w:t>.</w:t>
      </w:r>
    </w:p>
  </w:footnote>
  <w:footnote w:id="39">
    <w:p w14:paraId="07752632" w14:textId="23761DC8" w:rsidR="003C7141" w:rsidRDefault="003C7141" w:rsidP="003C7141">
      <w:pPr>
        <w:pStyle w:val="FootnoteText"/>
      </w:pPr>
      <w:r w:rsidRPr="003C7141">
        <w:rPr>
          <w:rStyle w:val="FootnoteReference"/>
          <w:color w:val="77328A"/>
          <w:sz w:val="16"/>
          <w:szCs w:val="16"/>
        </w:rPr>
        <w:footnoteRef/>
      </w:r>
      <w:r w:rsidRPr="003C7141">
        <w:rPr>
          <w:color w:val="77328A"/>
          <w:sz w:val="16"/>
          <w:szCs w:val="16"/>
        </w:rPr>
        <w:t xml:space="preserve"> </w:t>
      </w:r>
      <w:r w:rsidRPr="003C7141">
        <w:rPr>
          <w:rFonts w:cs="Arial"/>
          <w:color w:val="77328A"/>
          <w:sz w:val="16"/>
          <w:szCs w:val="16"/>
        </w:rPr>
        <w:t>L, HVN, THN and T v R [2013] EWCA Crim 991</w:t>
      </w:r>
      <w:r w:rsidR="00CD4454">
        <w:rPr>
          <w:rFonts w:cs="Arial"/>
          <w:color w:val="77328A"/>
          <w:sz w:val="16"/>
          <w:szCs w:val="16"/>
        </w:rPr>
        <w:t>,</w:t>
      </w:r>
      <w:r>
        <w:rPr>
          <w:rFonts w:cs="Arial"/>
          <w:color w:val="77328A"/>
          <w:sz w:val="16"/>
          <w:szCs w:val="16"/>
        </w:rPr>
        <w:t xml:space="preserve"> para.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F08"/>
    <w:multiLevelType w:val="hybridMultilevel"/>
    <w:tmpl w:val="638A142E"/>
    <w:lvl w:ilvl="0" w:tplc="F37A43D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D550E0"/>
    <w:multiLevelType w:val="multilevel"/>
    <w:tmpl w:val="DDD48B5E"/>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 w15:restartNumberingAfterBreak="0">
    <w:nsid w:val="31BD4D48"/>
    <w:multiLevelType w:val="hybridMultilevel"/>
    <w:tmpl w:val="C5A607B4"/>
    <w:lvl w:ilvl="0" w:tplc="25D0E320">
      <w:start w:val="1"/>
      <w:numFmt w:val="lowerLetter"/>
      <w:lvlText w:val="%1)"/>
      <w:lvlJc w:val="left"/>
      <w:pPr>
        <w:ind w:left="1582" w:hanging="360"/>
      </w:pPr>
      <w:rPr>
        <w:rFonts w:hint="default"/>
      </w:r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3" w15:restartNumberingAfterBreak="0">
    <w:nsid w:val="3531552A"/>
    <w:multiLevelType w:val="hybridMultilevel"/>
    <w:tmpl w:val="15D4C73A"/>
    <w:lvl w:ilvl="0" w:tplc="1414C520">
      <w:start w:val="1"/>
      <w:numFmt w:val="lowerLetter"/>
      <w:lvlText w:val="%1)"/>
      <w:lvlJc w:val="left"/>
      <w:pPr>
        <w:ind w:left="1582" w:hanging="360"/>
      </w:pPr>
      <w:rPr>
        <w:rFonts w:hint="default"/>
      </w:r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4" w15:restartNumberingAfterBreak="0">
    <w:nsid w:val="37DD5130"/>
    <w:multiLevelType w:val="multilevel"/>
    <w:tmpl w:val="6A604116"/>
    <w:lvl w:ilvl="0">
      <w:start w:val="2"/>
      <w:numFmt w:val="decimal"/>
      <w:lvlText w:val="%1.0"/>
      <w:lvlJc w:val="left"/>
      <w:pPr>
        <w:ind w:left="720" w:hanging="720"/>
      </w:pPr>
      <w:rPr>
        <w:rFonts w:hint="default"/>
        <w:color w:val="77328A"/>
      </w:rPr>
    </w:lvl>
    <w:lvl w:ilvl="1">
      <w:start w:val="1"/>
      <w:numFmt w:val="decimal"/>
      <w:lvlText w:val="3.%2"/>
      <w:lvlJc w:val="left"/>
      <w:pPr>
        <w:ind w:left="1571"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38C06717"/>
    <w:multiLevelType w:val="hybridMultilevel"/>
    <w:tmpl w:val="A3E8ACEA"/>
    <w:lvl w:ilvl="0" w:tplc="9BC2F19C">
      <w:start w:val="1"/>
      <w:numFmt w:val="lowerLetter"/>
      <w:lvlText w:val="%1)"/>
      <w:lvlJc w:val="left"/>
      <w:pPr>
        <w:ind w:left="1582" w:hanging="360"/>
      </w:pPr>
      <w:rPr>
        <w:rFonts w:hint="default"/>
      </w:r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6" w15:restartNumberingAfterBreak="0">
    <w:nsid w:val="3B612682"/>
    <w:multiLevelType w:val="hybridMultilevel"/>
    <w:tmpl w:val="F40025F0"/>
    <w:lvl w:ilvl="0" w:tplc="14102F5A">
      <w:start w:val="1"/>
      <w:numFmt w:val="decimal"/>
      <w:lvlText w:val="2.%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F463499"/>
    <w:multiLevelType w:val="multilevel"/>
    <w:tmpl w:val="14A66F62"/>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8" w15:restartNumberingAfterBreak="0">
    <w:nsid w:val="3FEE4F5A"/>
    <w:multiLevelType w:val="hybridMultilevel"/>
    <w:tmpl w:val="D98AF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72569D"/>
    <w:multiLevelType w:val="multilevel"/>
    <w:tmpl w:val="8F6EDD72"/>
    <w:lvl w:ilvl="0">
      <w:start w:val="1"/>
      <w:numFmt w:val="decimal"/>
      <w:lvlText w:val="%1"/>
      <w:lvlJc w:val="left"/>
      <w:pPr>
        <w:ind w:left="390" w:hanging="390"/>
      </w:pPr>
      <w:rPr>
        <w:rFonts w:hint="default"/>
      </w:rPr>
    </w:lvl>
    <w:lvl w:ilv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80D677B"/>
    <w:multiLevelType w:val="hybridMultilevel"/>
    <w:tmpl w:val="8F6488A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23FA6"/>
    <w:multiLevelType w:val="hybridMultilevel"/>
    <w:tmpl w:val="B22A9290"/>
    <w:lvl w:ilvl="0" w:tplc="CDC0B92E">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2" w15:restartNumberingAfterBreak="0">
    <w:nsid w:val="4E8A5948"/>
    <w:multiLevelType w:val="hybridMultilevel"/>
    <w:tmpl w:val="3EE09CCC"/>
    <w:lvl w:ilvl="0" w:tplc="50761F76">
      <w:start w:val="1"/>
      <w:numFmt w:val="lowerLetter"/>
      <w:lvlText w:val="%1)"/>
      <w:lvlJc w:val="left"/>
      <w:pPr>
        <w:ind w:left="1582" w:hanging="360"/>
      </w:pPr>
      <w:rPr>
        <w:rFonts w:hint="default"/>
      </w:rPr>
    </w:lvl>
    <w:lvl w:ilvl="1" w:tplc="08090019">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3" w15:restartNumberingAfterBreak="0">
    <w:nsid w:val="5C1B5217"/>
    <w:multiLevelType w:val="hybridMultilevel"/>
    <w:tmpl w:val="75D27B0A"/>
    <w:lvl w:ilvl="0" w:tplc="9A563E18">
      <w:start w:val="6"/>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723E3"/>
    <w:multiLevelType w:val="hybridMultilevel"/>
    <w:tmpl w:val="D2C67270"/>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5" w15:restartNumberingAfterBreak="0">
    <w:nsid w:val="5EEF50F2"/>
    <w:multiLevelType w:val="hybridMultilevel"/>
    <w:tmpl w:val="C422C000"/>
    <w:lvl w:ilvl="0" w:tplc="64EA0582">
      <w:start w:val="1"/>
      <w:numFmt w:val="lowerLetter"/>
      <w:lvlText w:val="%1)"/>
      <w:lvlJc w:val="left"/>
      <w:pPr>
        <w:ind w:left="1582" w:hanging="360"/>
      </w:pPr>
      <w:rPr>
        <w:rFonts w:hint="default"/>
      </w:r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6" w15:restartNumberingAfterBreak="0">
    <w:nsid w:val="6879496B"/>
    <w:multiLevelType w:val="hybridMultilevel"/>
    <w:tmpl w:val="49AE15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AA17393"/>
    <w:multiLevelType w:val="multilevel"/>
    <w:tmpl w:val="2B6E71EA"/>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15:restartNumberingAfterBreak="0">
    <w:nsid w:val="6D291C7E"/>
    <w:multiLevelType w:val="multilevel"/>
    <w:tmpl w:val="78863572"/>
    <w:lvl w:ilvl="0">
      <w:start w:val="3"/>
      <w:numFmt w:val="decimal"/>
      <w:lvlText w:val="%1"/>
      <w:lvlJc w:val="left"/>
      <w:pPr>
        <w:ind w:left="608" w:hanging="608"/>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FD87079"/>
    <w:multiLevelType w:val="hybridMultilevel"/>
    <w:tmpl w:val="4CCEFC08"/>
    <w:lvl w:ilvl="0" w:tplc="060A2CF6">
      <w:start w:val="1"/>
      <w:numFmt w:val="lowerLetter"/>
      <w:lvlText w:val="%1)"/>
      <w:lvlJc w:val="left"/>
      <w:pPr>
        <w:ind w:left="1582" w:hanging="360"/>
      </w:pPr>
      <w:rPr>
        <w:rFonts w:hint="default"/>
      </w:r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20" w15:restartNumberingAfterBreak="0">
    <w:nsid w:val="707631B2"/>
    <w:multiLevelType w:val="multilevel"/>
    <w:tmpl w:val="6ED8D2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74D60591"/>
    <w:multiLevelType w:val="hybridMultilevel"/>
    <w:tmpl w:val="E4EE0960"/>
    <w:lvl w:ilvl="0" w:tplc="2B4C6FD6">
      <w:start w:val="1"/>
      <w:numFmt w:val="lowerRoman"/>
      <w:lvlText w:val="%1)"/>
      <w:lvlJc w:val="left"/>
      <w:pPr>
        <w:ind w:left="2880" w:hanging="720"/>
      </w:pPr>
      <w:rPr>
        <w:rFonts w:ascii="Verdana" w:eastAsiaTheme="minorEastAsia" w:hAnsi="Verdana"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7A597442"/>
    <w:multiLevelType w:val="hybridMultilevel"/>
    <w:tmpl w:val="CFE8B058"/>
    <w:lvl w:ilvl="0" w:tplc="5532E870">
      <w:start w:val="1"/>
      <w:numFmt w:val="lowerLetter"/>
      <w:lvlText w:val="%1)"/>
      <w:lvlJc w:val="left"/>
      <w:pPr>
        <w:ind w:left="1582" w:hanging="360"/>
      </w:pPr>
      <w:rPr>
        <w:rFonts w:hint="default"/>
      </w:r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23" w15:restartNumberingAfterBreak="0">
    <w:nsid w:val="7D962C46"/>
    <w:multiLevelType w:val="multilevel"/>
    <w:tmpl w:val="77684028"/>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16cid:durableId="2018772261">
    <w:abstractNumId w:val="10"/>
  </w:num>
  <w:num w:numId="2" w16cid:durableId="634061968">
    <w:abstractNumId w:val="9"/>
  </w:num>
  <w:num w:numId="3" w16cid:durableId="1550994159">
    <w:abstractNumId w:val="4"/>
  </w:num>
  <w:num w:numId="4" w16cid:durableId="1268854933">
    <w:abstractNumId w:val="0"/>
  </w:num>
  <w:num w:numId="5" w16cid:durableId="1243177291">
    <w:abstractNumId w:val="5"/>
  </w:num>
  <w:num w:numId="6" w16cid:durableId="94598575">
    <w:abstractNumId w:val="19"/>
  </w:num>
  <w:num w:numId="7" w16cid:durableId="754057632">
    <w:abstractNumId w:val="2"/>
  </w:num>
  <w:num w:numId="8" w16cid:durableId="2098668793">
    <w:abstractNumId w:val="22"/>
  </w:num>
  <w:num w:numId="9" w16cid:durableId="881019072">
    <w:abstractNumId w:val="12"/>
  </w:num>
  <w:num w:numId="10" w16cid:durableId="29498304">
    <w:abstractNumId w:val="21"/>
  </w:num>
  <w:num w:numId="11" w16cid:durableId="97604491">
    <w:abstractNumId w:val="15"/>
  </w:num>
  <w:num w:numId="12" w16cid:durableId="1654530026">
    <w:abstractNumId w:val="3"/>
  </w:num>
  <w:num w:numId="13" w16cid:durableId="160202099">
    <w:abstractNumId w:val="16"/>
  </w:num>
  <w:num w:numId="14" w16cid:durableId="1103454065">
    <w:abstractNumId w:val="7"/>
  </w:num>
  <w:num w:numId="15" w16cid:durableId="1507748462">
    <w:abstractNumId w:val="6"/>
  </w:num>
  <w:num w:numId="16" w16cid:durableId="1790396048">
    <w:abstractNumId w:val="18"/>
  </w:num>
  <w:num w:numId="17" w16cid:durableId="375160322">
    <w:abstractNumId w:val="1"/>
  </w:num>
  <w:num w:numId="18" w16cid:durableId="1185905846">
    <w:abstractNumId w:val="17"/>
  </w:num>
  <w:num w:numId="19" w16cid:durableId="1368021382">
    <w:abstractNumId w:val="23"/>
  </w:num>
  <w:num w:numId="20" w16cid:durableId="767772181">
    <w:abstractNumId w:val="11"/>
  </w:num>
  <w:num w:numId="21" w16cid:durableId="1040472784">
    <w:abstractNumId w:val="20"/>
  </w:num>
  <w:num w:numId="22" w16cid:durableId="1772046676">
    <w:abstractNumId w:val="14"/>
  </w:num>
  <w:num w:numId="23" w16cid:durableId="1264648290">
    <w:abstractNumId w:val="13"/>
  </w:num>
  <w:num w:numId="24" w16cid:durableId="61329453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D8"/>
    <w:rsid w:val="000031F3"/>
    <w:rsid w:val="000067E1"/>
    <w:rsid w:val="00007A78"/>
    <w:rsid w:val="00007D7F"/>
    <w:rsid w:val="00012963"/>
    <w:rsid w:val="00015CEE"/>
    <w:rsid w:val="00016657"/>
    <w:rsid w:val="000200DB"/>
    <w:rsid w:val="000214C8"/>
    <w:rsid w:val="000235E2"/>
    <w:rsid w:val="000259FA"/>
    <w:rsid w:val="000262DB"/>
    <w:rsid w:val="00027549"/>
    <w:rsid w:val="00030F3D"/>
    <w:rsid w:val="000311E4"/>
    <w:rsid w:val="00032BE7"/>
    <w:rsid w:val="00032FF2"/>
    <w:rsid w:val="00033CA7"/>
    <w:rsid w:val="00034807"/>
    <w:rsid w:val="00034F8A"/>
    <w:rsid w:val="00034FBE"/>
    <w:rsid w:val="00036D01"/>
    <w:rsid w:val="00040034"/>
    <w:rsid w:val="00042AD0"/>
    <w:rsid w:val="00042D3F"/>
    <w:rsid w:val="00043CED"/>
    <w:rsid w:val="00046705"/>
    <w:rsid w:val="00047C8E"/>
    <w:rsid w:val="00047CAF"/>
    <w:rsid w:val="00051F62"/>
    <w:rsid w:val="00052303"/>
    <w:rsid w:val="0005379E"/>
    <w:rsid w:val="0005433E"/>
    <w:rsid w:val="00054343"/>
    <w:rsid w:val="00054869"/>
    <w:rsid w:val="00056BDA"/>
    <w:rsid w:val="000608D1"/>
    <w:rsid w:val="00063E05"/>
    <w:rsid w:val="00065501"/>
    <w:rsid w:val="00066A8A"/>
    <w:rsid w:val="00066B69"/>
    <w:rsid w:val="000735B9"/>
    <w:rsid w:val="00073DFF"/>
    <w:rsid w:val="0007409E"/>
    <w:rsid w:val="0007482A"/>
    <w:rsid w:val="00081D29"/>
    <w:rsid w:val="00084C63"/>
    <w:rsid w:val="00085820"/>
    <w:rsid w:val="00085998"/>
    <w:rsid w:val="00085E22"/>
    <w:rsid w:val="00087441"/>
    <w:rsid w:val="00087781"/>
    <w:rsid w:val="00087FC6"/>
    <w:rsid w:val="0009266E"/>
    <w:rsid w:val="00095913"/>
    <w:rsid w:val="000960CC"/>
    <w:rsid w:val="00097EF3"/>
    <w:rsid w:val="00097FDD"/>
    <w:rsid w:val="000A2AD7"/>
    <w:rsid w:val="000A4245"/>
    <w:rsid w:val="000A4677"/>
    <w:rsid w:val="000A480C"/>
    <w:rsid w:val="000A4B5E"/>
    <w:rsid w:val="000A4DF0"/>
    <w:rsid w:val="000A5783"/>
    <w:rsid w:val="000A65FB"/>
    <w:rsid w:val="000A6707"/>
    <w:rsid w:val="000B07C2"/>
    <w:rsid w:val="000B185A"/>
    <w:rsid w:val="000B197B"/>
    <w:rsid w:val="000B3219"/>
    <w:rsid w:val="000B75B4"/>
    <w:rsid w:val="000B76CE"/>
    <w:rsid w:val="000C2584"/>
    <w:rsid w:val="000C3289"/>
    <w:rsid w:val="000C359E"/>
    <w:rsid w:val="000C3BF6"/>
    <w:rsid w:val="000C6792"/>
    <w:rsid w:val="000C79B8"/>
    <w:rsid w:val="000D057C"/>
    <w:rsid w:val="000D10AD"/>
    <w:rsid w:val="000D1C29"/>
    <w:rsid w:val="000D2229"/>
    <w:rsid w:val="000D29C8"/>
    <w:rsid w:val="000D2B3C"/>
    <w:rsid w:val="000D5F42"/>
    <w:rsid w:val="000D604F"/>
    <w:rsid w:val="000E1F61"/>
    <w:rsid w:val="000E3089"/>
    <w:rsid w:val="000E359D"/>
    <w:rsid w:val="000E4ACB"/>
    <w:rsid w:val="000E5646"/>
    <w:rsid w:val="000E5886"/>
    <w:rsid w:val="000E7F0C"/>
    <w:rsid w:val="000F07E9"/>
    <w:rsid w:val="000F0842"/>
    <w:rsid w:val="000F33B9"/>
    <w:rsid w:val="000F5B23"/>
    <w:rsid w:val="000F6B12"/>
    <w:rsid w:val="000F7B19"/>
    <w:rsid w:val="000F7E33"/>
    <w:rsid w:val="00100290"/>
    <w:rsid w:val="001036DD"/>
    <w:rsid w:val="001047BD"/>
    <w:rsid w:val="00112A29"/>
    <w:rsid w:val="001134AD"/>
    <w:rsid w:val="0011429B"/>
    <w:rsid w:val="00115E31"/>
    <w:rsid w:val="00116140"/>
    <w:rsid w:val="00116BB7"/>
    <w:rsid w:val="001206FE"/>
    <w:rsid w:val="001217AB"/>
    <w:rsid w:val="00122487"/>
    <w:rsid w:val="0012277A"/>
    <w:rsid w:val="001228AF"/>
    <w:rsid w:val="0012433E"/>
    <w:rsid w:val="0012666C"/>
    <w:rsid w:val="00132782"/>
    <w:rsid w:val="00134653"/>
    <w:rsid w:val="001417EB"/>
    <w:rsid w:val="00142720"/>
    <w:rsid w:val="00145B36"/>
    <w:rsid w:val="00146CE1"/>
    <w:rsid w:val="00147B39"/>
    <w:rsid w:val="00151213"/>
    <w:rsid w:val="00153D4E"/>
    <w:rsid w:val="0015457A"/>
    <w:rsid w:val="001550D8"/>
    <w:rsid w:val="001601C7"/>
    <w:rsid w:val="00162316"/>
    <w:rsid w:val="00166AE1"/>
    <w:rsid w:val="00167953"/>
    <w:rsid w:val="001701F0"/>
    <w:rsid w:val="00172645"/>
    <w:rsid w:val="001765AB"/>
    <w:rsid w:val="001800B9"/>
    <w:rsid w:val="00180AF7"/>
    <w:rsid w:val="0018117F"/>
    <w:rsid w:val="00183883"/>
    <w:rsid w:val="00183D89"/>
    <w:rsid w:val="00185731"/>
    <w:rsid w:val="00186A0E"/>
    <w:rsid w:val="00190FDB"/>
    <w:rsid w:val="001912E0"/>
    <w:rsid w:val="00192A3E"/>
    <w:rsid w:val="00193405"/>
    <w:rsid w:val="00193727"/>
    <w:rsid w:val="00193E52"/>
    <w:rsid w:val="00195778"/>
    <w:rsid w:val="00195FCC"/>
    <w:rsid w:val="001A0908"/>
    <w:rsid w:val="001A1AC2"/>
    <w:rsid w:val="001A3028"/>
    <w:rsid w:val="001A3610"/>
    <w:rsid w:val="001A4B02"/>
    <w:rsid w:val="001A5AE3"/>
    <w:rsid w:val="001A5CDD"/>
    <w:rsid w:val="001A5E97"/>
    <w:rsid w:val="001A6336"/>
    <w:rsid w:val="001A72EC"/>
    <w:rsid w:val="001A7E18"/>
    <w:rsid w:val="001A7F6D"/>
    <w:rsid w:val="001B0F55"/>
    <w:rsid w:val="001B17AE"/>
    <w:rsid w:val="001B1D86"/>
    <w:rsid w:val="001B20F3"/>
    <w:rsid w:val="001B2869"/>
    <w:rsid w:val="001B57E3"/>
    <w:rsid w:val="001B6635"/>
    <w:rsid w:val="001B6C2F"/>
    <w:rsid w:val="001C2215"/>
    <w:rsid w:val="001C2DC0"/>
    <w:rsid w:val="001C4C90"/>
    <w:rsid w:val="001C5CD2"/>
    <w:rsid w:val="001C63E4"/>
    <w:rsid w:val="001C6E60"/>
    <w:rsid w:val="001C7271"/>
    <w:rsid w:val="001D0CF3"/>
    <w:rsid w:val="001D38DC"/>
    <w:rsid w:val="001D4071"/>
    <w:rsid w:val="001D65FE"/>
    <w:rsid w:val="001D66A5"/>
    <w:rsid w:val="001E02D3"/>
    <w:rsid w:val="001E18F0"/>
    <w:rsid w:val="001E277D"/>
    <w:rsid w:val="001E3493"/>
    <w:rsid w:val="001E6763"/>
    <w:rsid w:val="001E7489"/>
    <w:rsid w:val="001E79A9"/>
    <w:rsid w:val="001F1475"/>
    <w:rsid w:val="001F18D0"/>
    <w:rsid w:val="001F2DE6"/>
    <w:rsid w:val="001F36AB"/>
    <w:rsid w:val="001F5CAA"/>
    <w:rsid w:val="001F7DC9"/>
    <w:rsid w:val="00201734"/>
    <w:rsid w:val="002036B9"/>
    <w:rsid w:val="00203721"/>
    <w:rsid w:val="00205515"/>
    <w:rsid w:val="002065AA"/>
    <w:rsid w:val="00206CA9"/>
    <w:rsid w:val="0020795D"/>
    <w:rsid w:val="00211539"/>
    <w:rsid w:val="00212083"/>
    <w:rsid w:val="00212E1B"/>
    <w:rsid w:val="00213B8A"/>
    <w:rsid w:val="0021477F"/>
    <w:rsid w:val="002167E3"/>
    <w:rsid w:val="00216F56"/>
    <w:rsid w:val="002178AC"/>
    <w:rsid w:val="0022195F"/>
    <w:rsid w:val="00223DA2"/>
    <w:rsid w:val="00224140"/>
    <w:rsid w:val="002248AA"/>
    <w:rsid w:val="0022509B"/>
    <w:rsid w:val="002256D5"/>
    <w:rsid w:val="00225D47"/>
    <w:rsid w:val="00230412"/>
    <w:rsid w:val="00233F10"/>
    <w:rsid w:val="002351CB"/>
    <w:rsid w:val="00235FA3"/>
    <w:rsid w:val="002372A3"/>
    <w:rsid w:val="00237A4E"/>
    <w:rsid w:val="002408AA"/>
    <w:rsid w:val="002428EC"/>
    <w:rsid w:val="00245FF8"/>
    <w:rsid w:val="00246508"/>
    <w:rsid w:val="002501EF"/>
    <w:rsid w:val="00250DDD"/>
    <w:rsid w:val="002520BF"/>
    <w:rsid w:val="002537B3"/>
    <w:rsid w:val="00254B7F"/>
    <w:rsid w:val="00255BC7"/>
    <w:rsid w:val="00256E7A"/>
    <w:rsid w:val="00260C04"/>
    <w:rsid w:val="002628C5"/>
    <w:rsid w:val="00262D06"/>
    <w:rsid w:val="00263BC1"/>
    <w:rsid w:val="0026478E"/>
    <w:rsid w:val="00265AB7"/>
    <w:rsid w:val="002663FF"/>
    <w:rsid w:val="00273054"/>
    <w:rsid w:val="00275720"/>
    <w:rsid w:val="00277C69"/>
    <w:rsid w:val="002842A7"/>
    <w:rsid w:val="00284D85"/>
    <w:rsid w:val="00284EFE"/>
    <w:rsid w:val="00286156"/>
    <w:rsid w:val="0028719C"/>
    <w:rsid w:val="0028764A"/>
    <w:rsid w:val="00291690"/>
    <w:rsid w:val="002954CB"/>
    <w:rsid w:val="002959F0"/>
    <w:rsid w:val="002A0CC9"/>
    <w:rsid w:val="002A2A43"/>
    <w:rsid w:val="002A2C88"/>
    <w:rsid w:val="002A4321"/>
    <w:rsid w:val="002A773E"/>
    <w:rsid w:val="002B0ADA"/>
    <w:rsid w:val="002B10FA"/>
    <w:rsid w:val="002B1272"/>
    <w:rsid w:val="002B5894"/>
    <w:rsid w:val="002B5EAC"/>
    <w:rsid w:val="002B62FD"/>
    <w:rsid w:val="002C2AD1"/>
    <w:rsid w:val="002C3DBD"/>
    <w:rsid w:val="002C4740"/>
    <w:rsid w:val="002C560B"/>
    <w:rsid w:val="002C6E2B"/>
    <w:rsid w:val="002D16E7"/>
    <w:rsid w:val="002D194C"/>
    <w:rsid w:val="002D2511"/>
    <w:rsid w:val="002D3053"/>
    <w:rsid w:val="002D71A9"/>
    <w:rsid w:val="002E0CDF"/>
    <w:rsid w:val="002E6908"/>
    <w:rsid w:val="002E6F4F"/>
    <w:rsid w:val="002F17B9"/>
    <w:rsid w:val="002F24C6"/>
    <w:rsid w:val="002F5B17"/>
    <w:rsid w:val="002F6E7F"/>
    <w:rsid w:val="002F70CA"/>
    <w:rsid w:val="002F75BE"/>
    <w:rsid w:val="00300178"/>
    <w:rsid w:val="00300ECE"/>
    <w:rsid w:val="0030269C"/>
    <w:rsid w:val="003042C7"/>
    <w:rsid w:val="00306317"/>
    <w:rsid w:val="00306C0C"/>
    <w:rsid w:val="00306F48"/>
    <w:rsid w:val="00307345"/>
    <w:rsid w:val="003074FC"/>
    <w:rsid w:val="00307DF4"/>
    <w:rsid w:val="00307E5B"/>
    <w:rsid w:val="0031001C"/>
    <w:rsid w:val="00310E7F"/>
    <w:rsid w:val="003118DC"/>
    <w:rsid w:val="00311FF0"/>
    <w:rsid w:val="00314F9D"/>
    <w:rsid w:val="00315575"/>
    <w:rsid w:val="00315E65"/>
    <w:rsid w:val="00316435"/>
    <w:rsid w:val="00321558"/>
    <w:rsid w:val="00323E1B"/>
    <w:rsid w:val="003243EA"/>
    <w:rsid w:val="00325A6D"/>
    <w:rsid w:val="00326BC3"/>
    <w:rsid w:val="00331C61"/>
    <w:rsid w:val="00332147"/>
    <w:rsid w:val="0033265B"/>
    <w:rsid w:val="003331F8"/>
    <w:rsid w:val="00334EA8"/>
    <w:rsid w:val="00335814"/>
    <w:rsid w:val="003365B6"/>
    <w:rsid w:val="00336C22"/>
    <w:rsid w:val="00336CCE"/>
    <w:rsid w:val="00337C8C"/>
    <w:rsid w:val="00341424"/>
    <w:rsid w:val="00341BFE"/>
    <w:rsid w:val="00343150"/>
    <w:rsid w:val="003447E4"/>
    <w:rsid w:val="003459B1"/>
    <w:rsid w:val="00351EB2"/>
    <w:rsid w:val="00352531"/>
    <w:rsid w:val="00353A4C"/>
    <w:rsid w:val="00354403"/>
    <w:rsid w:val="003557E1"/>
    <w:rsid w:val="00355884"/>
    <w:rsid w:val="003559C8"/>
    <w:rsid w:val="00356F12"/>
    <w:rsid w:val="00357668"/>
    <w:rsid w:val="00357839"/>
    <w:rsid w:val="003609CA"/>
    <w:rsid w:val="00360E81"/>
    <w:rsid w:val="003612D7"/>
    <w:rsid w:val="00361915"/>
    <w:rsid w:val="00361940"/>
    <w:rsid w:val="00364E35"/>
    <w:rsid w:val="003655CF"/>
    <w:rsid w:val="003659C2"/>
    <w:rsid w:val="00365C75"/>
    <w:rsid w:val="0036601A"/>
    <w:rsid w:val="003665C7"/>
    <w:rsid w:val="00367383"/>
    <w:rsid w:val="0036783F"/>
    <w:rsid w:val="00367A69"/>
    <w:rsid w:val="00367CCA"/>
    <w:rsid w:val="00367D34"/>
    <w:rsid w:val="00367F9D"/>
    <w:rsid w:val="0037024F"/>
    <w:rsid w:val="00374DB5"/>
    <w:rsid w:val="00380ADB"/>
    <w:rsid w:val="0038105F"/>
    <w:rsid w:val="00381AF2"/>
    <w:rsid w:val="003844F7"/>
    <w:rsid w:val="00385DD1"/>
    <w:rsid w:val="003917FD"/>
    <w:rsid w:val="00392632"/>
    <w:rsid w:val="00392EB3"/>
    <w:rsid w:val="00392F09"/>
    <w:rsid w:val="00393630"/>
    <w:rsid w:val="00393655"/>
    <w:rsid w:val="00395731"/>
    <w:rsid w:val="00396EFE"/>
    <w:rsid w:val="003A10AE"/>
    <w:rsid w:val="003A15B1"/>
    <w:rsid w:val="003A2617"/>
    <w:rsid w:val="003A400A"/>
    <w:rsid w:val="003A615E"/>
    <w:rsid w:val="003A73B4"/>
    <w:rsid w:val="003B0C88"/>
    <w:rsid w:val="003B1012"/>
    <w:rsid w:val="003B1860"/>
    <w:rsid w:val="003B267B"/>
    <w:rsid w:val="003B3A8B"/>
    <w:rsid w:val="003B7561"/>
    <w:rsid w:val="003B7D0E"/>
    <w:rsid w:val="003B7F8B"/>
    <w:rsid w:val="003C1F5D"/>
    <w:rsid w:val="003C2A93"/>
    <w:rsid w:val="003C3CA5"/>
    <w:rsid w:val="003C62B9"/>
    <w:rsid w:val="003C7141"/>
    <w:rsid w:val="003C76BB"/>
    <w:rsid w:val="003D0013"/>
    <w:rsid w:val="003D09D2"/>
    <w:rsid w:val="003D175A"/>
    <w:rsid w:val="003D198B"/>
    <w:rsid w:val="003D2506"/>
    <w:rsid w:val="003D2D31"/>
    <w:rsid w:val="003D31DA"/>
    <w:rsid w:val="003D4B9A"/>
    <w:rsid w:val="003D6A6B"/>
    <w:rsid w:val="003D7D55"/>
    <w:rsid w:val="003D7FA9"/>
    <w:rsid w:val="003E15A8"/>
    <w:rsid w:val="003E3B79"/>
    <w:rsid w:val="003E67AD"/>
    <w:rsid w:val="003F05BF"/>
    <w:rsid w:val="003F2993"/>
    <w:rsid w:val="003F4D57"/>
    <w:rsid w:val="003F5A9B"/>
    <w:rsid w:val="003F5F52"/>
    <w:rsid w:val="003F7B18"/>
    <w:rsid w:val="00403CFA"/>
    <w:rsid w:val="0040491D"/>
    <w:rsid w:val="0040710C"/>
    <w:rsid w:val="00407AE5"/>
    <w:rsid w:val="00413AAB"/>
    <w:rsid w:val="00415009"/>
    <w:rsid w:val="00416987"/>
    <w:rsid w:val="00417692"/>
    <w:rsid w:val="00421B01"/>
    <w:rsid w:val="00422DF5"/>
    <w:rsid w:val="00425BB5"/>
    <w:rsid w:val="00430FB2"/>
    <w:rsid w:val="00431B73"/>
    <w:rsid w:val="00436E41"/>
    <w:rsid w:val="00437E34"/>
    <w:rsid w:val="00440F74"/>
    <w:rsid w:val="004425F3"/>
    <w:rsid w:val="00442A46"/>
    <w:rsid w:val="00442D71"/>
    <w:rsid w:val="00444589"/>
    <w:rsid w:val="004445BF"/>
    <w:rsid w:val="00444D0E"/>
    <w:rsid w:val="00445851"/>
    <w:rsid w:val="004475ED"/>
    <w:rsid w:val="00454073"/>
    <w:rsid w:val="004564D6"/>
    <w:rsid w:val="00456C1B"/>
    <w:rsid w:val="004571E3"/>
    <w:rsid w:val="00460684"/>
    <w:rsid w:val="00460A59"/>
    <w:rsid w:val="0046383C"/>
    <w:rsid w:val="00463D6B"/>
    <w:rsid w:val="00466268"/>
    <w:rsid w:val="00466653"/>
    <w:rsid w:val="00466A2E"/>
    <w:rsid w:val="004672AC"/>
    <w:rsid w:val="0047177E"/>
    <w:rsid w:val="00473452"/>
    <w:rsid w:val="0047645C"/>
    <w:rsid w:val="004777F7"/>
    <w:rsid w:val="00480166"/>
    <w:rsid w:val="00480F89"/>
    <w:rsid w:val="00482245"/>
    <w:rsid w:val="00482615"/>
    <w:rsid w:val="004841AF"/>
    <w:rsid w:val="0048449D"/>
    <w:rsid w:val="004856A1"/>
    <w:rsid w:val="00487002"/>
    <w:rsid w:val="00487BA3"/>
    <w:rsid w:val="00492B65"/>
    <w:rsid w:val="00494790"/>
    <w:rsid w:val="004A0D94"/>
    <w:rsid w:val="004A1BBF"/>
    <w:rsid w:val="004A21CC"/>
    <w:rsid w:val="004A325C"/>
    <w:rsid w:val="004A4D04"/>
    <w:rsid w:val="004A5879"/>
    <w:rsid w:val="004A7CB1"/>
    <w:rsid w:val="004B201F"/>
    <w:rsid w:val="004B3144"/>
    <w:rsid w:val="004B46FE"/>
    <w:rsid w:val="004B6B8D"/>
    <w:rsid w:val="004C041A"/>
    <w:rsid w:val="004C3BD3"/>
    <w:rsid w:val="004C6C03"/>
    <w:rsid w:val="004D160C"/>
    <w:rsid w:val="004D2991"/>
    <w:rsid w:val="004D35A5"/>
    <w:rsid w:val="004D596C"/>
    <w:rsid w:val="004E0C6C"/>
    <w:rsid w:val="004E3C02"/>
    <w:rsid w:val="004E401E"/>
    <w:rsid w:val="004E5B75"/>
    <w:rsid w:val="004E728A"/>
    <w:rsid w:val="004E7B8A"/>
    <w:rsid w:val="004F0883"/>
    <w:rsid w:val="004F1A4A"/>
    <w:rsid w:val="004F518E"/>
    <w:rsid w:val="004F6D43"/>
    <w:rsid w:val="005003D4"/>
    <w:rsid w:val="005029F7"/>
    <w:rsid w:val="005075A5"/>
    <w:rsid w:val="00507AC3"/>
    <w:rsid w:val="00507C75"/>
    <w:rsid w:val="00517570"/>
    <w:rsid w:val="00521050"/>
    <w:rsid w:val="00521622"/>
    <w:rsid w:val="00521B19"/>
    <w:rsid w:val="00522B1A"/>
    <w:rsid w:val="00522DFB"/>
    <w:rsid w:val="00522E2F"/>
    <w:rsid w:val="0052342B"/>
    <w:rsid w:val="005244E2"/>
    <w:rsid w:val="00526E18"/>
    <w:rsid w:val="00527E1F"/>
    <w:rsid w:val="005313D5"/>
    <w:rsid w:val="00532B53"/>
    <w:rsid w:val="005354DE"/>
    <w:rsid w:val="00536CAF"/>
    <w:rsid w:val="005400A2"/>
    <w:rsid w:val="005431E8"/>
    <w:rsid w:val="00543E00"/>
    <w:rsid w:val="005444F8"/>
    <w:rsid w:val="00545189"/>
    <w:rsid w:val="0054596D"/>
    <w:rsid w:val="00545FC6"/>
    <w:rsid w:val="00552293"/>
    <w:rsid w:val="00552A70"/>
    <w:rsid w:val="00554176"/>
    <w:rsid w:val="005558CA"/>
    <w:rsid w:val="00560E88"/>
    <w:rsid w:val="00561F7E"/>
    <w:rsid w:val="0056421A"/>
    <w:rsid w:val="0056431B"/>
    <w:rsid w:val="00564B6A"/>
    <w:rsid w:val="00564C94"/>
    <w:rsid w:val="005651FC"/>
    <w:rsid w:val="005662DF"/>
    <w:rsid w:val="00566574"/>
    <w:rsid w:val="005671D4"/>
    <w:rsid w:val="0056740D"/>
    <w:rsid w:val="00573C36"/>
    <w:rsid w:val="00576CE6"/>
    <w:rsid w:val="00576E20"/>
    <w:rsid w:val="00581017"/>
    <w:rsid w:val="00584CFC"/>
    <w:rsid w:val="0058505C"/>
    <w:rsid w:val="00586370"/>
    <w:rsid w:val="00591133"/>
    <w:rsid w:val="00592730"/>
    <w:rsid w:val="0059296C"/>
    <w:rsid w:val="00594A04"/>
    <w:rsid w:val="00595239"/>
    <w:rsid w:val="00595C28"/>
    <w:rsid w:val="005A1844"/>
    <w:rsid w:val="005A2CE0"/>
    <w:rsid w:val="005A2D88"/>
    <w:rsid w:val="005A3BB7"/>
    <w:rsid w:val="005A7EA2"/>
    <w:rsid w:val="005B03E1"/>
    <w:rsid w:val="005B1022"/>
    <w:rsid w:val="005B4A67"/>
    <w:rsid w:val="005B6723"/>
    <w:rsid w:val="005B723E"/>
    <w:rsid w:val="005B7FC4"/>
    <w:rsid w:val="005C00EB"/>
    <w:rsid w:val="005C18F2"/>
    <w:rsid w:val="005C2854"/>
    <w:rsid w:val="005C49CA"/>
    <w:rsid w:val="005D00FF"/>
    <w:rsid w:val="005D0247"/>
    <w:rsid w:val="005D5C09"/>
    <w:rsid w:val="005E11A8"/>
    <w:rsid w:val="005E2917"/>
    <w:rsid w:val="005E451B"/>
    <w:rsid w:val="005E6211"/>
    <w:rsid w:val="005E6473"/>
    <w:rsid w:val="005E7FA0"/>
    <w:rsid w:val="005F049D"/>
    <w:rsid w:val="005F052D"/>
    <w:rsid w:val="005F0728"/>
    <w:rsid w:val="005F0E7B"/>
    <w:rsid w:val="005F23F0"/>
    <w:rsid w:val="005F2CE3"/>
    <w:rsid w:val="005F3C32"/>
    <w:rsid w:val="005F6F70"/>
    <w:rsid w:val="005F7726"/>
    <w:rsid w:val="006005FA"/>
    <w:rsid w:val="0060318F"/>
    <w:rsid w:val="00604147"/>
    <w:rsid w:val="0060628C"/>
    <w:rsid w:val="00606D58"/>
    <w:rsid w:val="00610705"/>
    <w:rsid w:val="0061326B"/>
    <w:rsid w:val="00613843"/>
    <w:rsid w:val="006140B5"/>
    <w:rsid w:val="0062219B"/>
    <w:rsid w:val="00623205"/>
    <w:rsid w:val="00623BEA"/>
    <w:rsid w:val="00623C37"/>
    <w:rsid w:val="00625499"/>
    <w:rsid w:val="00626DFD"/>
    <w:rsid w:val="0062786B"/>
    <w:rsid w:val="00630CE4"/>
    <w:rsid w:val="006310E1"/>
    <w:rsid w:val="00631A04"/>
    <w:rsid w:val="00632169"/>
    <w:rsid w:val="00633C7B"/>
    <w:rsid w:val="00634698"/>
    <w:rsid w:val="00636126"/>
    <w:rsid w:val="00636467"/>
    <w:rsid w:val="00637626"/>
    <w:rsid w:val="00640D30"/>
    <w:rsid w:val="0064244C"/>
    <w:rsid w:val="00645DCE"/>
    <w:rsid w:val="0065090D"/>
    <w:rsid w:val="0065181E"/>
    <w:rsid w:val="00655AA4"/>
    <w:rsid w:val="00656ECD"/>
    <w:rsid w:val="006572DB"/>
    <w:rsid w:val="00657A23"/>
    <w:rsid w:val="00657ADD"/>
    <w:rsid w:val="0066019B"/>
    <w:rsid w:val="00661FE6"/>
    <w:rsid w:val="0066543C"/>
    <w:rsid w:val="00665633"/>
    <w:rsid w:val="00666E6D"/>
    <w:rsid w:val="00670AF5"/>
    <w:rsid w:val="006730FD"/>
    <w:rsid w:val="00675B73"/>
    <w:rsid w:val="00675CAC"/>
    <w:rsid w:val="00677C21"/>
    <w:rsid w:val="00680856"/>
    <w:rsid w:val="00683420"/>
    <w:rsid w:val="006855C1"/>
    <w:rsid w:val="00686EC3"/>
    <w:rsid w:val="006911DA"/>
    <w:rsid w:val="00691667"/>
    <w:rsid w:val="00693803"/>
    <w:rsid w:val="00693880"/>
    <w:rsid w:val="006938DE"/>
    <w:rsid w:val="00693AAC"/>
    <w:rsid w:val="00693C3F"/>
    <w:rsid w:val="00693EB2"/>
    <w:rsid w:val="0069516B"/>
    <w:rsid w:val="006965FE"/>
    <w:rsid w:val="006A45E8"/>
    <w:rsid w:val="006A4D80"/>
    <w:rsid w:val="006A65D8"/>
    <w:rsid w:val="006A779E"/>
    <w:rsid w:val="006B0888"/>
    <w:rsid w:val="006B0F4E"/>
    <w:rsid w:val="006B1471"/>
    <w:rsid w:val="006B24BC"/>
    <w:rsid w:val="006B3EDA"/>
    <w:rsid w:val="006B589A"/>
    <w:rsid w:val="006B6578"/>
    <w:rsid w:val="006B6A55"/>
    <w:rsid w:val="006B794A"/>
    <w:rsid w:val="006C01A9"/>
    <w:rsid w:val="006C0589"/>
    <w:rsid w:val="006C3AAB"/>
    <w:rsid w:val="006C6255"/>
    <w:rsid w:val="006C75EB"/>
    <w:rsid w:val="006C7781"/>
    <w:rsid w:val="006D098F"/>
    <w:rsid w:val="006D2368"/>
    <w:rsid w:val="006D2667"/>
    <w:rsid w:val="006D2754"/>
    <w:rsid w:val="006D28B6"/>
    <w:rsid w:val="006D36C2"/>
    <w:rsid w:val="006D53D2"/>
    <w:rsid w:val="006D6ED4"/>
    <w:rsid w:val="006E0C24"/>
    <w:rsid w:val="006E10AB"/>
    <w:rsid w:val="006E191E"/>
    <w:rsid w:val="006E20C1"/>
    <w:rsid w:val="006E3D18"/>
    <w:rsid w:val="006E43A6"/>
    <w:rsid w:val="006E51D9"/>
    <w:rsid w:val="006E70F9"/>
    <w:rsid w:val="006F08C2"/>
    <w:rsid w:val="006F0BD4"/>
    <w:rsid w:val="006F1B24"/>
    <w:rsid w:val="006F3E90"/>
    <w:rsid w:val="006F7BCA"/>
    <w:rsid w:val="00702F7C"/>
    <w:rsid w:val="007045DB"/>
    <w:rsid w:val="00704760"/>
    <w:rsid w:val="0070499B"/>
    <w:rsid w:val="00705833"/>
    <w:rsid w:val="00705A33"/>
    <w:rsid w:val="00705B10"/>
    <w:rsid w:val="0070763D"/>
    <w:rsid w:val="00711B3D"/>
    <w:rsid w:val="00712FCF"/>
    <w:rsid w:val="007170D8"/>
    <w:rsid w:val="00720F6A"/>
    <w:rsid w:val="007249BB"/>
    <w:rsid w:val="007275FB"/>
    <w:rsid w:val="00730FB9"/>
    <w:rsid w:val="00732394"/>
    <w:rsid w:val="00732AA2"/>
    <w:rsid w:val="00734316"/>
    <w:rsid w:val="00737696"/>
    <w:rsid w:val="00745BA7"/>
    <w:rsid w:val="00746082"/>
    <w:rsid w:val="0075030E"/>
    <w:rsid w:val="007533AA"/>
    <w:rsid w:val="00753AA5"/>
    <w:rsid w:val="00754E15"/>
    <w:rsid w:val="00755833"/>
    <w:rsid w:val="007569C1"/>
    <w:rsid w:val="0076047B"/>
    <w:rsid w:val="0076131C"/>
    <w:rsid w:val="00761400"/>
    <w:rsid w:val="00761A9F"/>
    <w:rsid w:val="00763FBB"/>
    <w:rsid w:val="00765A32"/>
    <w:rsid w:val="0076796A"/>
    <w:rsid w:val="00772AA6"/>
    <w:rsid w:val="00774881"/>
    <w:rsid w:val="00780552"/>
    <w:rsid w:val="00780563"/>
    <w:rsid w:val="00780A1F"/>
    <w:rsid w:val="007831C6"/>
    <w:rsid w:val="00790756"/>
    <w:rsid w:val="00791F7B"/>
    <w:rsid w:val="00792FA2"/>
    <w:rsid w:val="00793921"/>
    <w:rsid w:val="00793D99"/>
    <w:rsid w:val="007948E9"/>
    <w:rsid w:val="007948F5"/>
    <w:rsid w:val="007950EF"/>
    <w:rsid w:val="00796265"/>
    <w:rsid w:val="007A0C78"/>
    <w:rsid w:val="007A1283"/>
    <w:rsid w:val="007A197A"/>
    <w:rsid w:val="007A19C9"/>
    <w:rsid w:val="007A4009"/>
    <w:rsid w:val="007A42D6"/>
    <w:rsid w:val="007A47AC"/>
    <w:rsid w:val="007A7EA4"/>
    <w:rsid w:val="007B08A7"/>
    <w:rsid w:val="007B10E6"/>
    <w:rsid w:val="007B2D23"/>
    <w:rsid w:val="007B4DD0"/>
    <w:rsid w:val="007B63BB"/>
    <w:rsid w:val="007C27EC"/>
    <w:rsid w:val="007C319C"/>
    <w:rsid w:val="007C35CD"/>
    <w:rsid w:val="007C3A52"/>
    <w:rsid w:val="007C3C05"/>
    <w:rsid w:val="007C45F0"/>
    <w:rsid w:val="007C4C3B"/>
    <w:rsid w:val="007C4DA7"/>
    <w:rsid w:val="007C51A4"/>
    <w:rsid w:val="007C5DA8"/>
    <w:rsid w:val="007C6B5D"/>
    <w:rsid w:val="007C7B04"/>
    <w:rsid w:val="007D21B1"/>
    <w:rsid w:val="007D2927"/>
    <w:rsid w:val="007D29A8"/>
    <w:rsid w:val="007D397B"/>
    <w:rsid w:val="007D3B3B"/>
    <w:rsid w:val="007D4E7A"/>
    <w:rsid w:val="007D5367"/>
    <w:rsid w:val="007D6185"/>
    <w:rsid w:val="007E2970"/>
    <w:rsid w:val="007E4EA7"/>
    <w:rsid w:val="007E7E85"/>
    <w:rsid w:val="007F0E7C"/>
    <w:rsid w:val="007F1DFB"/>
    <w:rsid w:val="007F266D"/>
    <w:rsid w:val="007F2E97"/>
    <w:rsid w:val="007F3630"/>
    <w:rsid w:val="007F6F17"/>
    <w:rsid w:val="007F7D1D"/>
    <w:rsid w:val="0080088A"/>
    <w:rsid w:val="008015A0"/>
    <w:rsid w:val="00803D65"/>
    <w:rsid w:val="008044C0"/>
    <w:rsid w:val="0080468B"/>
    <w:rsid w:val="00806B59"/>
    <w:rsid w:val="00807EB4"/>
    <w:rsid w:val="00812AAB"/>
    <w:rsid w:val="00812D47"/>
    <w:rsid w:val="00815811"/>
    <w:rsid w:val="008159E8"/>
    <w:rsid w:val="00817605"/>
    <w:rsid w:val="0081785D"/>
    <w:rsid w:val="00820538"/>
    <w:rsid w:val="00820709"/>
    <w:rsid w:val="008220BF"/>
    <w:rsid w:val="0082308D"/>
    <w:rsid w:val="00823A0C"/>
    <w:rsid w:val="00823DDF"/>
    <w:rsid w:val="00826AC7"/>
    <w:rsid w:val="00831777"/>
    <w:rsid w:val="00833A4D"/>
    <w:rsid w:val="00833B02"/>
    <w:rsid w:val="00834D95"/>
    <w:rsid w:val="00836F91"/>
    <w:rsid w:val="00837DA7"/>
    <w:rsid w:val="00840B28"/>
    <w:rsid w:val="00841F5C"/>
    <w:rsid w:val="008427CF"/>
    <w:rsid w:val="00842AA3"/>
    <w:rsid w:val="008434C9"/>
    <w:rsid w:val="00844461"/>
    <w:rsid w:val="008447B1"/>
    <w:rsid w:val="00844DA8"/>
    <w:rsid w:val="00847502"/>
    <w:rsid w:val="008500BB"/>
    <w:rsid w:val="00851FAD"/>
    <w:rsid w:val="00851FE5"/>
    <w:rsid w:val="00853224"/>
    <w:rsid w:val="00854384"/>
    <w:rsid w:val="008570AA"/>
    <w:rsid w:val="00863DBC"/>
    <w:rsid w:val="008641E4"/>
    <w:rsid w:val="00865E18"/>
    <w:rsid w:val="0087014E"/>
    <w:rsid w:val="00870D2B"/>
    <w:rsid w:val="00870D96"/>
    <w:rsid w:val="0087161B"/>
    <w:rsid w:val="00872187"/>
    <w:rsid w:val="0087266C"/>
    <w:rsid w:val="00873475"/>
    <w:rsid w:val="00873649"/>
    <w:rsid w:val="00873D7B"/>
    <w:rsid w:val="008741FF"/>
    <w:rsid w:val="00874F55"/>
    <w:rsid w:val="00875E68"/>
    <w:rsid w:val="00880188"/>
    <w:rsid w:val="00880BDF"/>
    <w:rsid w:val="008811DA"/>
    <w:rsid w:val="00881780"/>
    <w:rsid w:val="008834DA"/>
    <w:rsid w:val="00883D34"/>
    <w:rsid w:val="00886F78"/>
    <w:rsid w:val="00887BBF"/>
    <w:rsid w:val="00887E19"/>
    <w:rsid w:val="00892187"/>
    <w:rsid w:val="00892E6C"/>
    <w:rsid w:val="00892F52"/>
    <w:rsid w:val="00896309"/>
    <w:rsid w:val="008969D2"/>
    <w:rsid w:val="00896E12"/>
    <w:rsid w:val="0089745E"/>
    <w:rsid w:val="008A0F03"/>
    <w:rsid w:val="008A2B3E"/>
    <w:rsid w:val="008A3228"/>
    <w:rsid w:val="008A3D6B"/>
    <w:rsid w:val="008A4A65"/>
    <w:rsid w:val="008A5533"/>
    <w:rsid w:val="008A5A1D"/>
    <w:rsid w:val="008A67ED"/>
    <w:rsid w:val="008A7A35"/>
    <w:rsid w:val="008A7A4C"/>
    <w:rsid w:val="008B04F8"/>
    <w:rsid w:val="008B2D3D"/>
    <w:rsid w:val="008B2DC8"/>
    <w:rsid w:val="008B520C"/>
    <w:rsid w:val="008B5B3B"/>
    <w:rsid w:val="008B63CD"/>
    <w:rsid w:val="008C0CE9"/>
    <w:rsid w:val="008C1112"/>
    <w:rsid w:val="008C1E5C"/>
    <w:rsid w:val="008C3324"/>
    <w:rsid w:val="008D36B0"/>
    <w:rsid w:val="008D3FC0"/>
    <w:rsid w:val="008D4262"/>
    <w:rsid w:val="008D473D"/>
    <w:rsid w:val="008D5FE9"/>
    <w:rsid w:val="008D647B"/>
    <w:rsid w:val="008D7B94"/>
    <w:rsid w:val="008D7C32"/>
    <w:rsid w:val="008E02FE"/>
    <w:rsid w:val="008E223C"/>
    <w:rsid w:val="008E3AC7"/>
    <w:rsid w:val="008E5428"/>
    <w:rsid w:val="008E61DD"/>
    <w:rsid w:val="008F04FA"/>
    <w:rsid w:val="008F156F"/>
    <w:rsid w:val="008F1CE6"/>
    <w:rsid w:val="008F3B37"/>
    <w:rsid w:val="008F3DAA"/>
    <w:rsid w:val="008F44D4"/>
    <w:rsid w:val="008F7B33"/>
    <w:rsid w:val="009005C9"/>
    <w:rsid w:val="00901518"/>
    <w:rsid w:val="00903100"/>
    <w:rsid w:val="0090572C"/>
    <w:rsid w:val="00910EC7"/>
    <w:rsid w:val="0091306E"/>
    <w:rsid w:val="0091428F"/>
    <w:rsid w:val="00915C1D"/>
    <w:rsid w:val="00916CF8"/>
    <w:rsid w:val="00920274"/>
    <w:rsid w:val="00920967"/>
    <w:rsid w:val="00922158"/>
    <w:rsid w:val="009230AE"/>
    <w:rsid w:val="00926B8B"/>
    <w:rsid w:val="00930192"/>
    <w:rsid w:val="009322E2"/>
    <w:rsid w:val="00937655"/>
    <w:rsid w:val="00937E32"/>
    <w:rsid w:val="00940446"/>
    <w:rsid w:val="00941019"/>
    <w:rsid w:val="00941682"/>
    <w:rsid w:val="00943ED4"/>
    <w:rsid w:val="00946E54"/>
    <w:rsid w:val="00947AFC"/>
    <w:rsid w:val="0095141E"/>
    <w:rsid w:val="00952273"/>
    <w:rsid w:val="00954065"/>
    <w:rsid w:val="00954C18"/>
    <w:rsid w:val="009576BD"/>
    <w:rsid w:val="00957A12"/>
    <w:rsid w:val="009602B4"/>
    <w:rsid w:val="009616A6"/>
    <w:rsid w:val="00962094"/>
    <w:rsid w:val="0096286C"/>
    <w:rsid w:val="00962B2B"/>
    <w:rsid w:val="0096459E"/>
    <w:rsid w:val="009661C5"/>
    <w:rsid w:val="009663D9"/>
    <w:rsid w:val="009701BC"/>
    <w:rsid w:val="00970D54"/>
    <w:rsid w:val="009716E7"/>
    <w:rsid w:val="009729F3"/>
    <w:rsid w:val="00972E30"/>
    <w:rsid w:val="0097488A"/>
    <w:rsid w:val="00975B41"/>
    <w:rsid w:val="00976BF3"/>
    <w:rsid w:val="00982EA5"/>
    <w:rsid w:val="00983962"/>
    <w:rsid w:val="00983C9D"/>
    <w:rsid w:val="00984BB3"/>
    <w:rsid w:val="00985A71"/>
    <w:rsid w:val="00987ABF"/>
    <w:rsid w:val="009902BC"/>
    <w:rsid w:val="00990468"/>
    <w:rsid w:val="009914DD"/>
    <w:rsid w:val="00991F97"/>
    <w:rsid w:val="00992905"/>
    <w:rsid w:val="00992AD0"/>
    <w:rsid w:val="00997514"/>
    <w:rsid w:val="009A1038"/>
    <w:rsid w:val="009B0731"/>
    <w:rsid w:val="009B3DCE"/>
    <w:rsid w:val="009B5F63"/>
    <w:rsid w:val="009B6AD1"/>
    <w:rsid w:val="009B6C17"/>
    <w:rsid w:val="009B6C27"/>
    <w:rsid w:val="009C0BFB"/>
    <w:rsid w:val="009C0F4E"/>
    <w:rsid w:val="009C0FE9"/>
    <w:rsid w:val="009C1086"/>
    <w:rsid w:val="009C2757"/>
    <w:rsid w:val="009C2DBE"/>
    <w:rsid w:val="009C35D3"/>
    <w:rsid w:val="009C3BAB"/>
    <w:rsid w:val="009C4F9D"/>
    <w:rsid w:val="009C7783"/>
    <w:rsid w:val="009D2D1D"/>
    <w:rsid w:val="009D30B2"/>
    <w:rsid w:val="009D4551"/>
    <w:rsid w:val="009D5A1E"/>
    <w:rsid w:val="009D62FE"/>
    <w:rsid w:val="009D710F"/>
    <w:rsid w:val="009D7BF5"/>
    <w:rsid w:val="009E0B0E"/>
    <w:rsid w:val="009E30CD"/>
    <w:rsid w:val="009E3667"/>
    <w:rsid w:val="009E383F"/>
    <w:rsid w:val="009E4BF8"/>
    <w:rsid w:val="009E5540"/>
    <w:rsid w:val="009E7F83"/>
    <w:rsid w:val="009F31A7"/>
    <w:rsid w:val="009F3BF5"/>
    <w:rsid w:val="009F3FA6"/>
    <w:rsid w:val="009F6E25"/>
    <w:rsid w:val="00A0040E"/>
    <w:rsid w:val="00A006C5"/>
    <w:rsid w:val="00A00EE0"/>
    <w:rsid w:val="00A0228E"/>
    <w:rsid w:val="00A023C3"/>
    <w:rsid w:val="00A12CD7"/>
    <w:rsid w:val="00A133D0"/>
    <w:rsid w:val="00A136D4"/>
    <w:rsid w:val="00A143DE"/>
    <w:rsid w:val="00A1510F"/>
    <w:rsid w:val="00A158D0"/>
    <w:rsid w:val="00A21D78"/>
    <w:rsid w:val="00A2252D"/>
    <w:rsid w:val="00A238F3"/>
    <w:rsid w:val="00A23AB1"/>
    <w:rsid w:val="00A25287"/>
    <w:rsid w:val="00A25876"/>
    <w:rsid w:val="00A25B5C"/>
    <w:rsid w:val="00A2763D"/>
    <w:rsid w:val="00A30A39"/>
    <w:rsid w:val="00A30ABB"/>
    <w:rsid w:val="00A31E49"/>
    <w:rsid w:val="00A32F61"/>
    <w:rsid w:val="00A33337"/>
    <w:rsid w:val="00A338FE"/>
    <w:rsid w:val="00A349F7"/>
    <w:rsid w:val="00A3568A"/>
    <w:rsid w:val="00A36BE4"/>
    <w:rsid w:val="00A36FE9"/>
    <w:rsid w:val="00A417AE"/>
    <w:rsid w:val="00A424C4"/>
    <w:rsid w:val="00A425EB"/>
    <w:rsid w:val="00A4390A"/>
    <w:rsid w:val="00A43EF9"/>
    <w:rsid w:val="00A442F0"/>
    <w:rsid w:val="00A45357"/>
    <w:rsid w:val="00A4616D"/>
    <w:rsid w:val="00A50A05"/>
    <w:rsid w:val="00A50CF8"/>
    <w:rsid w:val="00A51052"/>
    <w:rsid w:val="00A53538"/>
    <w:rsid w:val="00A5437F"/>
    <w:rsid w:val="00A5445C"/>
    <w:rsid w:val="00A545B8"/>
    <w:rsid w:val="00A54E92"/>
    <w:rsid w:val="00A5579C"/>
    <w:rsid w:val="00A558B1"/>
    <w:rsid w:val="00A55930"/>
    <w:rsid w:val="00A56636"/>
    <w:rsid w:val="00A56B68"/>
    <w:rsid w:val="00A6102E"/>
    <w:rsid w:val="00A6121A"/>
    <w:rsid w:val="00A62262"/>
    <w:rsid w:val="00A62C34"/>
    <w:rsid w:val="00A64565"/>
    <w:rsid w:val="00A65ED7"/>
    <w:rsid w:val="00A66DD7"/>
    <w:rsid w:val="00A710D6"/>
    <w:rsid w:val="00A71F67"/>
    <w:rsid w:val="00A743A7"/>
    <w:rsid w:val="00A7527F"/>
    <w:rsid w:val="00A76A48"/>
    <w:rsid w:val="00A77321"/>
    <w:rsid w:val="00A840C5"/>
    <w:rsid w:val="00A90054"/>
    <w:rsid w:val="00A9396D"/>
    <w:rsid w:val="00A95784"/>
    <w:rsid w:val="00AA0186"/>
    <w:rsid w:val="00AA257C"/>
    <w:rsid w:val="00AA2FEE"/>
    <w:rsid w:val="00AA383C"/>
    <w:rsid w:val="00AA5C1C"/>
    <w:rsid w:val="00AB270D"/>
    <w:rsid w:val="00AB40F9"/>
    <w:rsid w:val="00AC1EF8"/>
    <w:rsid w:val="00AC3589"/>
    <w:rsid w:val="00AC684B"/>
    <w:rsid w:val="00AC7222"/>
    <w:rsid w:val="00AC77F3"/>
    <w:rsid w:val="00AD2251"/>
    <w:rsid w:val="00AD2870"/>
    <w:rsid w:val="00AD2F98"/>
    <w:rsid w:val="00AD3329"/>
    <w:rsid w:val="00AD3AA6"/>
    <w:rsid w:val="00AD4FE6"/>
    <w:rsid w:val="00AD5A36"/>
    <w:rsid w:val="00AE5FAF"/>
    <w:rsid w:val="00AE7DB7"/>
    <w:rsid w:val="00AF2C61"/>
    <w:rsid w:val="00AF3F0F"/>
    <w:rsid w:val="00B00FD3"/>
    <w:rsid w:val="00B016FD"/>
    <w:rsid w:val="00B0176F"/>
    <w:rsid w:val="00B0338D"/>
    <w:rsid w:val="00B04683"/>
    <w:rsid w:val="00B059DD"/>
    <w:rsid w:val="00B05C30"/>
    <w:rsid w:val="00B05EDF"/>
    <w:rsid w:val="00B05FF6"/>
    <w:rsid w:val="00B0625C"/>
    <w:rsid w:val="00B06462"/>
    <w:rsid w:val="00B06AB9"/>
    <w:rsid w:val="00B10B58"/>
    <w:rsid w:val="00B10E34"/>
    <w:rsid w:val="00B1433D"/>
    <w:rsid w:val="00B14693"/>
    <w:rsid w:val="00B14A00"/>
    <w:rsid w:val="00B1736C"/>
    <w:rsid w:val="00B17A08"/>
    <w:rsid w:val="00B218D8"/>
    <w:rsid w:val="00B22874"/>
    <w:rsid w:val="00B249EC"/>
    <w:rsid w:val="00B306DC"/>
    <w:rsid w:val="00B316C6"/>
    <w:rsid w:val="00B31B98"/>
    <w:rsid w:val="00B32A65"/>
    <w:rsid w:val="00B33957"/>
    <w:rsid w:val="00B34ACF"/>
    <w:rsid w:val="00B3502A"/>
    <w:rsid w:val="00B37308"/>
    <w:rsid w:val="00B40594"/>
    <w:rsid w:val="00B40B64"/>
    <w:rsid w:val="00B40C94"/>
    <w:rsid w:val="00B4123D"/>
    <w:rsid w:val="00B42BED"/>
    <w:rsid w:val="00B42CE6"/>
    <w:rsid w:val="00B4307B"/>
    <w:rsid w:val="00B4377B"/>
    <w:rsid w:val="00B446EC"/>
    <w:rsid w:val="00B45B7E"/>
    <w:rsid w:val="00B463E6"/>
    <w:rsid w:val="00B4753C"/>
    <w:rsid w:val="00B47BAE"/>
    <w:rsid w:val="00B47C00"/>
    <w:rsid w:val="00B50862"/>
    <w:rsid w:val="00B5483B"/>
    <w:rsid w:val="00B55562"/>
    <w:rsid w:val="00B57342"/>
    <w:rsid w:val="00B60B1A"/>
    <w:rsid w:val="00B618A5"/>
    <w:rsid w:val="00B629DC"/>
    <w:rsid w:val="00B637E7"/>
    <w:rsid w:val="00B63BDC"/>
    <w:rsid w:val="00B63CC0"/>
    <w:rsid w:val="00B6624F"/>
    <w:rsid w:val="00B662DE"/>
    <w:rsid w:val="00B66982"/>
    <w:rsid w:val="00B677BE"/>
    <w:rsid w:val="00B6E858"/>
    <w:rsid w:val="00B71867"/>
    <w:rsid w:val="00B71E7C"/>
    <w:rsid w:val="00B73004"/>
    <w:rsid w:val="00B73E4D"/>
    <w:rsid w:val="00B754A2"/>
    <w:rsid w:val="00B754B4"/>
    <w:rsid w:val="00B77CEE"/>
    <w:rsid w:val="00B77E27"/>
    <w:rsid w:val="00B856D2"/>
    <w:rsid w:val="00B913FB"/>
    <w:rsid w:val="00B921C6"/>
    <w:rsid w:val="00B948B5"/>
    <w:rsid w:val="00B94D4D"/>
    <w:rsid w:val="00B95123"/>
    <w:rsid w:val="00B95375"/>
    <w:rsid w:val="00B95590"/>
    <w:rsid w:val="00B96B9A"/>
    <w:rsid w:val="00B96C58"/>
    <w:rsid w:val="00B96D34"/>
    <w:rsid w:val="00B96DEA"/>
    <w:rsid w:val="00BA1416"/>
    <w:rsid w:val="00BA200D"/>
    <w:rsid w:val="00BA4550"/>
    <w:rsid w:val="00BA48E0"/>
    <w:rsid w:val="00BA6799"/>
    <w:rsid w:val="00BA7906"/>
    <w:rsid w:val="00BB1988"/>
    <w:rsid w:val="00BB2D6E"/>
    <w:rsid w:val="00BB3A2D"/>
    <w:rsid w:val="00BB7516"/>
    <w:rsid w:val="00BB79BC"/>
    <w:rsid w:val="00BC1765"/>
    <w:rsid w:val="00BC1B28"/>
    <w:rsid w:val="00BC2A6A"/>
    <w:rsid w:val="00BC39B0"/>
    <w:rsid w:val="00BC4E30"/>
    <w:rsid w:val="00BC5703"/>
    <w:rsid w:val="00BC5B6F"/>
    <w:rsid w:val="00BC62E5"/>
    <w:rsid w:val="00BC6457"/>
    <w:rsid w:val="00BC6554"/>
    <w:rsid w:val="00BD08EB"/>
    <w:rsid w:val="00BD099F"/>
    <w:rsid w:val="00BD10BD"/>
    <w:rsid w:val="00BD493D"/>
    <w:rsid w:val="00BD552E"/>
    <w:rsid w:val="00BD5E88"/>
    <w:rsid w:val="00BD68E6"/>
    <w:rsid w:val="00BD6F7A"/>
    <w:rsid w:val="00BE02F9"/>
    <w:rsid w:val="00BE1A86"/>
    <w:rsid w:val="00BE306B"/>
    <w:rsid w:val="00BE5849"/>
    <w:rsid w:val="00BE611F"/>
    <w:rsid w:val="00BE62F0"/>
    <w:rsid w:val="00BF254D"/>
    <w:rsid w:val="00BF2CDD"/>
    <w:rsid w:val="00BF41AB"/>
    <w:rsid w:val="00BF63D3"/>
    <w:rsid w:val="00C01009"/>
    <w:rsid w:val="00C02E37"/>
    <w:rsid w:val="00C03A40"/>
    <w:rsid w:val="00C05894"/>
    <w:rsid w:val="00C05A85"/>
    <w:rsid w:val="00C06CEE"/>
    <w:rsid w:val="00C11697"/>
    <w:rsid w:val="00C15323"/>
    <w:rsid w:val="00C165B7"/>
    <w:rsid w:val="00C16745"/>
    <w:rsid w:val="00C227B9"/>
    <w:rsid w:val="00C24D8E"/>
    <w:rsid w:val="00C250EF"/>
    <w:rsid w:val="00C25237"/>
    <w:rsid w:val="00C2725D"/>
    <w:rsid w:val="00C3142A"/>
    <w:rsid w:val="00C31F54"/>
    <w:rsid w:val="00C32569"/>
    <w:rsid w:val="00C329D6"/>
    <w:rsid w:val="00C36AD3"/>
    <w:rsid w:val="00C37679"/>
    <w:rsid w:val="00C37BEE"/>
    <w:rsid w:val="00C37C22"/>
    <w:rsid w:val="00C4073D"/>
    <w:rsid w:val="00C412DE"/>
    <w:rsid w:val="00C41693"/>
    <w:rsid w:val="00C421A9"/>
    <w:rsid w:val="00C427AA"/>
    <w:rsid w:val="00C43988"/>
    <w:rsid w:val="00C4406C"/>
    <w:rsid w:val="00C44C19"/>
    <w:rsid w:val="00C459BA"/>
    <w:rsid w:val="00C469A1"/>
    <w:rsid w:val="00C4765A"/>
    <w:rsid w:val="00C50C17"/>
    <w:rsid w:val="00C57E5E"/>
    <w:rsid w:val="00C602D7"/>
    <w:rsid w:val="00C62D34"/>
    <w:rsid w:val="00C63FAF"/>
    <w:rsid w:val="00C65698"/>
    <w:rsid w:val="00C657E3"/>
    <w:rsid w:val="00C6601F"/>
    <w:rsid w:val="00C7589F"/>
    <w:rsid w:val="00C769A1"/>
    <w:rsid w:val="00C76E49"/>
    <w:rsid w:val="00C77B89"/>
    <w:rsid w:val="00C80813"/>
    <w:rsid w:val="00C80FAB"/>
    <w:rsid w:val="00C813A2"/>
    <w:rsid w:val="00C82945"/>
    <w:rsid w:val="00C829B4"/>
    <w:rsid w:val="00C836AB"/>
    <w:rsid w:val="00C8452C"/>
    <w:rsid w:val="00C90D17"/>
    <w:rsid w:val="00C929E1"/>
    <w:rsid w:val="00C92CDD"/>
    <w:rsid w:val="00C94FB4"/>
    <w:rsid w:val="00CA0977"/>
    <w:rsid w:val="00CA1714"/>
    <w:rsid w:val="00CA17F6"/>
    <w:rsid w:val="00CA1878"/>
    <w:rsid w:val="00CA25F3"/>
    <w:rsid w:val="00CA440D"/>
    <w:rsid w:val="00CA7553"/>
    <w:rsid w:val="00CB47EC"/>
    <w:rsid w:val="00CB4BCC"/>
    <w:rsid w:val="00CC007F"/>
    <w:rsid w:val="00CC3450"/>
    <w:rsid w:val="00CC3558"/>
    <w:rsid w:val="00CC4715"/>
    <w:rsid w:val="00CC7007"/>
    <w:rsid w:val="00CC79A0"/>
    <w:rsid w:val="00CD40BD"/>
    <w:rsid w:val="00CD4454"/>
    <w:rsid w:val="00CD51F4"/>
    <w:rsid w:val="00CD594E"/>
    <w:rsid w:val="00CD7D58"/>
    <w:rsid w:val="00CE194B"/>
    <w:rsid w:val="00CE3039"/>
    <w:rsid w:val="00CE339E"/>
    <w:rsid w:val="00CE60C8"/>
    <w:rsid w:val="00CE6606"/>
    <w:rsid w:val="00CE69B6"/>
    <w:rsid w:val="00CF0261"/>
    <w:rsid w:val="00CF0B99"/>
    <w:rsid w:val="00CF1C1F"/>
    <w:rsid w:val="00CF1FB1"/>
    <w:rsid w:val="00CF289D"/>
    <w:rsid w:val="00CF29DE"/>
    <w:rsid w:val="00CF2A4A"/>
    <w:rsid w:val="00CF33E6"/>
    <w:rsid w:val="00CF49E4"/>
    <w:rsid w:val="00CF54C6"/>
    <w:rsid w:val="00D03591"/>
    <w:rsid w:val="00D12EF8"/>
    <w:rsid w:val="00D15552"/>
    <w:rsid w:val="00D17318"/>
    <w:rsid w:val="00D21FE9"/>
    <w:rsid w:val="00D223B9"/>
    <w:rsid w:val="00D229BE"/>
    <w:rsid w:val="00D229DA"/>
    <w:rsid w:val="00D23618"/>
    <w:rsid w:val="00D23777"/>
    <w:rsid w:val="00D2704E"/>
    <w:rsid w:val="00D2770F"/>
    <w:rsid w:val="00D301C8"/>
    <w:rsid w:val="00D31316"/>
    <w:rsid w:val="00D31C75"/>
    <w:rsid w:val="00D31F42"/>
    <w:rsid w:val="00D33062"/>
    <w:rsid w:val="00D345A5"/>
    <w:rsid w:val="00D347AD"/>
    <w:rsid w:val="00D34818"/>
    <w:rsid w:val="00D3612B"/>
    <w:rsid w:val="00D406E6"/>
    <w:rsid w:val="00D40ECC"/>
    <w:rsid w:val="00D429A4"/>
    <w:rsid w:val="00D42CEB"/>
    <w:rsid w:val="00D4386A"/>
    <w:rsid w:val="00D455F8"/>
    <w:rsid w:val="00D47191"/>
    <w:rsid w:val="00D471AB"/>
    <w:rsid w:val="00D477AC"/>
    <w:rsid w:val="00D50539"/>
    <w:rsid w:val="00D512EF"/>
    <w:rsid w:val="00D513AA"/>
    <w:rsid w:val="00D514AF"/>
    <w:rsid w:val="00D515AC"/>
    <w:rsid w:val="00D537B6"/>
    <w:rsid w:val="00D54CFF"/>
    <w:rsid w:val="00D54E75"/>
    <w:rsid w:val="00D54FCF"/>
    <w:rsid w:val="00D553C0"/>
    <w:rsid w:val="00D6113D"/>
    <w:rsid w:val="00D62C70"/>
    <w:rsid w:val="00D6456E"/>
    <w:rsid w:val="00D65D51"/>
    <w:rsid w:val="00D65DCD"/>
    <w:rsid w:val="00D71CD0"/>
    <w:rsid w:val="00D72DD3"/>
    <w:rsid w:val="00D747F1"/>
    <w:rsid w:val="00D76010"/>
    <w:rsid w:val="00D76504"/>
    <w:rsid w:val="00D81D6E"/>
    <w:rsid w:val="00D81E39"/>
    <w:rsid w:val="00D81EC1"/>
    <w:rsid w:val="00D821B0"/>
    <w:rsid w:val="00D8233A"/>
    <w:rsid w:val="00D82834"/>
    <w:rsid w:val="00D8708E"/>
    <w:rsid w:val="00D87B69"/>
    <w:rsid w:val="00D90193"/>
    <w:rsid w:val="00D90DF2"/>
    <w:rsid w:val="00D91375"/>
    <w:rsid w:val="00D91A8F"/>
    <w:rsid w:val="00D920DF"/>
    <w:rsid w:val="00D92B24"/>
    <w:rsid w:val="00D945E8"/>
    <w:rsid w:val="00D9775D"/>
    <w:rsid w:val="00DA0A84"/>
    <w:rsid w:val="00DA1445"/>
    <w:rsid w:val="00DA2AEB"/>
    <w:rsid w:val="00DA42DE"/>
    <w:rsid w:val="00DA4A62"/>
    <w:rsid w:val="00DA56B8"/>
    <w:rsid w:val="00DA63F2"/>
    <w:rsid w:val="00DA6B5F"/>
    <w:rsid w:val="00DB1595"/>
    <w:rsid w:val="00DB2E90"/>
    <w:rsid w:val="00DB392E"/>
    <w:rsid w:val="00DB3BCA"/>
    <w:rsid w:val="00DB70BE"/>
    <w:rsid w:val="00DC1E0A"/>
    <w:rsid w:val="00DC278B"/>
    <w:rsid w:val="00DC4C9F"/>
    <w:rsid w:val="00DC6186"/>
    <w:rsid w:val="00DC6261"/>
    <w:rsid w:val="00DD2484"/>
    <w:rsid w:val="00DD2AE0"/>
    <w:rsid w:val="00DD33B0"/>
    <w:rsid w:val="00DD4417"/>
    <w:rsid w:val="00DD4CE7"/>
    <w:rsid w:val="00DD5100"/>
    <w:rsid w:val="00DD56B4"/>
    <w:rsid w:val="00DE3837"/>
    <w:rsid w:val="00DE394C"/>
    <w:rsid w:val="00DE3C3B"/>
    <w:rsid w:val="00DF1BCE"/>
    <w:rsid w:val="00DF40D1"/>
    <w:rsid w:val="00DF472F"/>
    <w:rsid w:val="00E01C53"/>
    <w:rsid w:val="00E02FE4"/>
    <w:rsid w:val="00E061BC"/>
    <w:rsid w:val="00E06753"/>
    <w:rsid w:val="00E07B96"/>
    <w:rsid w:val="00E10B36"/>
    <w:rsid w:val="00E118DB"/>
    <w:rsid w:val="00E15022"/>
    <w:rsid w:val="00E1513D"/>
    <w:rsid w:val="00E20A47"/>
    <w:rsid w:val="00E2193B"/>
    <w:rsid w:val="00E223B3"/>
    <w:rsid w:val="00E23F30"/>
    <w:rsid w:val="00E24AB0"/>
    <w:rsid w:val="00E25038"/>
    <w:rsid w:val="00E25409"/>
    <w:rsid w:val="00E261C4"/>
    <w:rsid w:val="00E31F86"/>
    <w:rsid w:val="00E328EE"/>
    <w:rsid w:val="00E34042"/>
    <w:rsid w:val="00E34729"/>
    <w:rsid w:val="00E36D06"/>
    <w:rsid w:val="00E36F25"/>
    <w:rsid w:val="00E36F2B"/>
    <w:rsid w:val="00E4042D"/>
    <w:rsid w:val="00E41DBC"/>
    <w:rsid w:val="00E4247D"/>
    <w:rsid w:val="00E44E37"/>
    <w:rsid w:val="00E4653D"/>
    <w:rsid w:val="00E4785B"/>
    <w:rsid w:val="00E504E4"/>
    <w:rsid w:val="00E522D8"/>
    <w:rsid w:val="00E53667"/>
    <w:rsid w:val="00E537E8"/>
    <w:rsid w:val="00E5449A"/>
    <w:rsid w:val="00E548DD"/>
    <w:rsid w:val="00E55DB8"/>
    <w:rsid w:val="00E63FC4"/>
    <w:rsid w:val="00E654DB"/>
    <w:rsid w:val="00E65BB5"/>
    <w:rsid w:val="00E66037"/>
    <w:rsid w:val="00E72B98"/>
    <w:rsid w:val="00E7307C"/>
    <w:rsid w:val="00E74351"/>
    <w:rsid w:val="00E75F76"/>
    <w:rsid w:val="00E77F2A"/>
    <w:rsid w:val="00E8119F"/>
    <w:rsid w:val="00E819B7"/>
    <w:rsid w:val="00E839CB"/>
    <w:rsid w:val="00E83E32"/>
    <w:rsid w:val="00E84A2B"/>
    <w:rsid w:val="00E8669D"/>
    <w:rsid w:val="00E86F2E"/>
    <w:rsid w:val="00E870BA"/>
    <w:rsid w:val="00E90C87"/>
    <w:rsid w:val="00E91F3C"/>
    <w:rsid w:val="00E929B8"/>
    <w:rsid w:val="00E93196"/>
    <w:rsid w:val="00E965A2"/>
    <w:rsid w:val="00EA12CE"/>
    <w:rsid w:val="00EA2EB7"/>
    <w:rsid w:val="00EB1DAB"/>
    <w:rsid w:val="00EB357B"/>
    <w:rsid w:val="00EB4956"/>
    <w:rsid w:val="00EB6BCB"/>
    <w:rsid w:val="00ED018A"/>
    <w:rsid w:val="00ED08E3"/>
    <w:rsid w:val="00ED1594"/>
    <w:rsid w:val="00ED49CB"/>
    <w:rsid w:val="00ED4CCC"/>
    <w:rsid w:val="00ED5F69"/>
    <w:rsid w:val="00EE03D0"/>
    <w:rsid w:val="00EE0434"/>
    <w:rsid w:val="00EE210F"/>
    <w:rsid w:val="00EE3E36"/>
    <w:rsid w:val="00EE668F"/>
    <w:rsid w:val="00EE6B04"/>
    <w:rsid w:val="00EF0B73"/>
    <w:rsid w:val="00EF2217"/>
    <w:rsid w:val="00EF4939"/>
    <w:rsid w:val="00EF7363"/>
    <w:rsid w:val="00F0027C"/>
    <w:rsid w:val="00F019D3"/>
    <w:rsid w:val="00F0217E"/>
    <w:rsid w:val="00F0331A"/>
    <w:rsid w:val="00F03FF0"/>
    <w:rsid w:val="00F04E4E"/>
    <w:rsid w:val="00F06904"/>
    <w:rsid w:val="00F1039C"/>
    <w:rsid w:val="00F10D5B"/>
    <w:rsid w:val="00F117F6"/>
    <w:rsid w:val="00F12CA3"/>
    <w:rsid w:val="00F15894"/>
    <w:rsid w:val="00F15C13"/>
    <w:rsid w:val="00F16A7F"/>
    <w:rsid w:val="00F27768"/>
    <w:rsid w:val="00F307DB"/>
    <w:rsid w:val="00F30885"/>
    <w:rsid w:val="00F31318"/>
    <w:rsid w:val="00F31387"/>
    <w:rsid w:val="00F314C2"/>
    <w:rsid w:val="00F33314"/>
    <w:rsid w:val="00F3463A"/>
    <w:rsid w:val="00F37105"/>
    <w:rsid w:val="00F37895"/>
    <w:rsid w:val="00F37C23"/>
    <w:rsid w:val="00F40772"/>
    <w:rsid w:val="00F417EB"/>
    <w:rsid w:val="00F43CE4"/>
    <w:rsid w:val="00F46226"/>
    <w:rsid w:val="00F476A0"/>
    <w:rsid w:val="00F5112E"/>
    <w:rsid w:val="00F524E7"/>
    <w:rsid w:val="00F556FF"/>
    <w:rsid w:val="00F55DBE"/>
    <w:rsid w:val="00F56C78"/>
    <w:rsid w:val="00F57976"/>
    <w:rsid w:val="00F57F73"/>
    <w:rsid w:val="00F60BA9"/>
    <w:rsid w:val="00F60BD7"/>
    <w:rsid w:val="00F6506F"/>
    <w:rsid w:val="00F65CB5"/>
    <w:rsid w:val="00F7082B"/>
    <w:rsid w:val="00F715B4"/>
    <w:rsid w:val="00F734CB"/>
    <w:rsid w:val="00F75065"/>
    <w:rsid w:val="00F7725D"/>
    <w:rsid w:val="00F77FE5"/>
    <w:rsid w:val="00F816DD"/>
    <w:rsid w:val="00F8200C"/>
    <w:rsid w:val="00F82AA2"/>
    <w:rsid w:val="00F82B4B"/>
    <w:rsid w:val="00F83F36"/>
    <w:rsid w:val="00F84319"/>
    <w:rsid w:val="00F8446B"/>
    <w:rsid w:val="00F8458B"/>
    <w:rsid w:val="00F87002"/>
    <w:rsid w:val="00F87DE5"/>
    <w:rsid w:val="00F87EE3"/>
    <w:rsid w:val="00F911CE"/>
    <w:rsid w:val="00F958EA"/>
    <w:rsid w:val="00F97B92"/>
    <w:rsid w:val="00F97DB3"/>
    <w:rsid w:val="00FA0CB0"/>
    <w:rsid w:val="00FA160D"/>
    <w:rsid w:val="00FA379A"/>
    <w:rsid w:val="00FB18C5"/>
    <w:rsid w:val="00FB1AE6"/>
    <w:rsid w:val="00FC1942"/>
    <w:rsid w:val="00FC33DE"/>
    <w:rsid w:val="00FC4800"/>
    <w:rsid w:val="00FC4891"/>
    <w:rsid w:val="00FC5346"/>
    <w:rsid w:val="00FD0F68"/>
    <w:rsid w:val="00FD3CAF"/>
    <w:rsid w:val="00FD3DCE"/>
    <w:rsid w:val="00FD548C"/>
    <w:rsid w:val="00FD6677"/>
    <w:rsid w:val="00FE0D51"/>
    <w:rsid w:val="00FE1E81"/>
    <w:rsid w:val="00FE219F"/>
    <w:rsid w:val="00FE2EF7"/>
    <w:rsid w:val="00FE3A57"/>
    <w:rsid w:val="00FE539B"/>
    <w:rsid w:val="00FE5D96"/>
    <w:rsid w:val="00FF0B18"/>
    <w:rsid w:val="00FF1799"/>
    <w:rsid w:val="00FF2B70"/>
    <w:rsid w:val="00FF3CBA"/>
    <w:rsid w:val="00FF4173"/>
    <w:rsid w:val="00FF5ADD"/>
    <w:rsid w:val="010226D4"/>
    <w:rsid w:val="013E6D32"/>
    <w:rsid w:val="016A2977"/>
    <w:rsid w:val="01D4176E"/>
    <w:rsid w:val="01E8A451"/>
    <w:rsid w:val="024EDA5F"/>
    <w:rsid w:val="02A2C2E3"/>
    <w:rsid w:val="02B54F6F"/>
    <w:rsid w:val="02B8D592"/>
    <w:rsid w:val="02D785B0"/>
    <w:rsid w:val="02F46423"/>
    <w:rsid w:val="0306519E"/>
    <w:rsid w:val="034A58DD"/>
    <w:rsid w:val="03FF5B84"/>
    <w:rsid w:val="0416019B"/>
    <w:rsid w:val="041E5431"/>
    <w:rsid w:val="0428A5B8"/>
    <w:rsid w:val="04449726"/>
    <w:rsid w:val="04A3A4DA"/>
    <w:rsid w:val="0504669B"/>
    <w:rsid w:val="055CCB30"/>
    <w:rsid w:val="05A59E2F"/>
    <w:rsid w:val="05EED2DE"/>
    <w:rsid w:val="0624EE13"/>
    <w:rsid w:val="06994143"/>
    <w:rsid w:val="06DAE18D"/>
    <w:rsid w:val="075D9FF7"/>
    <w:rsid w:val="083272BC"/>
    <w:rsid w:val="08450F0D"/>
    <w:rsid w:val="08452904"/>
    <w:rsid w:val="09F97735"/>
    <w:rsid w:val="0A5C9280"/>
    <w:rsid w:val="0ACA2CEA"/>
    <w:rsid w:val="0AD655CE"/>
    <w:rsid w:val="0AD93A7F"/>
    <w:rsid w:val="0AE617FA"/>
    <w:rsid w:val="0B23A0EF"/>
    <w:rsid w:val="0B8941DA"/>
    <w:rsid w:val="0BB189CF"/>
    <w:rsid w:val="0BB5FBAA"/>
    <w:rsid w:val="0BC093A9"/>
    <w:rsid w:val="0BC44631"/>
    <w:rsid w:val="0C2BF2EA"/>
    <w:rsid w:val="0C6E07D1"/>
    <w:rsid w:val="0CA90AAF"/>
    <w:rsid w:val="0D0E22B3"/>
    <w:rsid w:val="0D83A7CE"/>
    <w:rsid w:val="0DE52B90"/>
    <w:rsid w:val="0F0A7C87"/>
    <w:rsid w:val="0F2BCF50"/>
    <w:rsid w:val="0F82ED9F"/>
    <w:rsid w:val="0FD9F657"/>
    <w:rsid w:val="1028B269"/>
    <w:rsid w:val="1031E036"/>
    <w:rsid w:val="103754C1"/>
    <w:rsid w:val="111439FD"/>
    <w:rsid w:val="124C91B3"/>
    <w:rsid w:val="125F33B8"/>
    <w:rsid w:val="12C3ECE0"/>
    <w:rsid w:val="135BAC83"/>
    <w:rsid w:val="13D6D972"/>
    <w:rsid w:val="1457FA31"/>
    <w:rsid w:val="150393B7"/>
    <w:rsid w:val="158FAD19"/>
    <w:rsid w:val="1729DCB2"/>
    <w:rsid w:val="1787E8F9"/>
    <w:rsid w:val="181CF2AE"/>
    <w:rsid w:val="18BD8D37"/>
    <w:rsid w:val="19CCE5E9"/>
    <w:rsid w:val="1AE54800"/>
    <w:rsid w:val="1B59C362"/>
    <w:rsid w:val="1B99BC22"/>
    <w:rsid w:val="1C00AA66"/>
    <w:rsid w:val="1CBC8B2B"/>
    <w:rsid w:val="1CBCE52A"/>
    <w:rsid w:val="1CD65838"/>
    <w:rsid w:val="1D40935A"/>
    <w:rsid w:val="1E0FB7B3"/>
    <w:rsid w:val="1E2BEF1A"/>
    <w:rsid w:val="1E386813"/>
    <w:rsid w:val="1F3103A1"/>
    <w:rsid w:val="1FB92533"/>
    <w:rsid w:val="1FCF4545"/>
    <w:rsid w:val="205D877A"/>
    <w:rsid w:val="20BC66F1"/>
    <w:rsid w:val="20D907E1"/>
    <w:rsid w:val="20E73780"/>
    <w:rsid w:val="212DC083"/>
    <w:rsid w:val="21757ECD"/>
    <w:rsid w:val="217C7E5C"/>
    <w:rsid w:val="21FDC230"/>
    <w:rsid w:val="22196E80"/>
    <w:rsid w:val="221DB0AA"/>
    <w:rsid w:val="22D70984"/>
    <w:rsid w:val="22DE891F"/>
    <w:rsid w:val="233485AC"/>
    <w:rsid w:val="23579F43"/>
    <w:rsid w:val="23DF98F8"/>
    <w:rsid w:val="243BAD44"/>
    <w:rsid w:val="2478B3D0"/>
    <w:rsid w:val="25823584"/>
    <w:rsid w:val="25E4CC71"/>
    <w:rsid w:val="26598589"/>
    <w:rsid w:val="268E50B0"/>
    <w:rsid w:val="26907F76"/>
    <w:rsid w:val="2693FA56"/>
    <w:rsid w:val="26E2EFA6"/>
    <w:rsid w:val="26FD2915"/>
    <w:rsid w:val="2715822E"/>
    <w:rsid w:val="276F1A20"/>
    <w:rsid w:val="277347C6"/>
    <w:rsid w:val="277B1029"/>
    <w:rsid w:val="27B4F6CA"/>
    <w:rsid w:val="2861DAA2"/>
    <w:rsid w:val="286764CD"/>
    <w:rsid w:val="28B5CBC6"/>
    <w:rsid w:val="2912002F"/>
    <w:rsid w:val="29A30FA1"/>
    <w:rsid w:val="29C2E6DC"/>
    <w:rsid w:val="2A447E87"/>
    <w:rsid w:val="2B419CE6"/>
    <w:rsid w:val="2B6B7DA4"/>
    <w:rsid w:val="2B722F22"/>
    <w:rsid w:val="2B7F35AD"/>
    <w:rsid w:val="2BBDBF21"/>
    <w:rsid w:val="2C412E00"/>
    <w:rsid w:val="2C6096F5"/>
    <w:rsid w:val="2C82B1FC"/>
    <w:rsid w:val="2D805FBA"/>
    <w:rsid w:val="2E06C9EB"/>
    <w:rsid w:val="2E0F3A4F"/>
    <w:rsid w:val="2E1C8DE6"/>
    <w:rsid w:val="2E83FFB8"/>
    <w:rsid w:val="2EB7E385"/>
    <w:rsid w:val="2EBC5959"/>
    <w:rsid w:val="2F2148FF"/>
    <w:rsid w:val="3010573B"/>
    <w:rsid w:val="303F4CC9"/>
    <w:rsid w:val="305A90BE"/>
    <w:rsid w:val="30621971"/>
    <w:rsid w:val="308F7C20"/>
    <w:rsid w:val="3171AF94"/>
    <w:rsid w:val="317877D2"/>
    <w:rsid w:val="317ABA86"/>
    <w:rsid w:val="326D653D"/>
    <w:rsid w:val="32FC365B"/>
    <w:rsid w:val="32FE7419"/>
    <w:rsid w:val="33F4E7F3"/>
    <w:rsid w:val="3453D662"/>
    <w:rsid w:val="34DD3865"/>
    <w:rsid w:val="352C4FE5"/>
    <w:rsid w:val="3535C5BB"/>
    <w:rsid w:val="364DEB96"/>
    <w:rsid w:val="364E3EB9"/>
    <w:rsid w:val="364E6B20"/>
    <w:rsid w:val="365BF5EB"/>
    <w:rsid w:val="3675737D"/>
    <w:rsid w:val="371586BD"/>
    <w:rsid w:val="3766BB29"/>
    <w:rsid w:val="3828B7D9"/>
    <w:rsid w:val="38488895"/>
    <w:rsid w:val="384B000C"/>
    <w:rsid w:val="38865249"/>
    <w:rsid w:val="38B9062F"/>
    <w:rsid w:val="39CCF2C3"/>
    <w:rsid w:val="3A3FA726"/>
    <w:rsid w:val="3A672224"/>
    <w:rsid w:val="3A7EF19B"/>
    <w:rsid w:val="3AFFCB81"/>
    <w:rsid w:val="3B33960F"/>
    <w:rsid w:val="3C165702"/>
    <w:rsid w:val="3C9891FB"/>
    <w:rsid w:val="3C9B9E3C"/>
    <w:rsid w:val="3CF8408E"/>
    <w:rsid w:val="3D946128"/>
    <w:rsid w:val="3DF4066B"/>
    <w:rsid w:val="3E302445"/>
    <w:rsid w:val="3E890826"/>
    <w:rsid w:val="3EE38379"/>
    <w:rsid w:val="3EF2C418"/>
    <w:rsid w:val="3EF87120"/>
    <w:rsid w:val="3F06964C"/>
    <w:rsid w:val="3F26A5FA"/>
    <w:rsid w:val="3F362B4D"/>
    <w:rsid w:val="3FA14023"/>
    <w:rsid w:val="401D5409"/>
    <w:rsid w:val="4055DC53"/>
    <w:rsid w:val="4088AE93"/>
    <w:rsid w:val="409DD5AE"/>
    <w:rsid w:val="40AB7A7F"/>
    <w:rsid w:val="40D11DFD"/>
    <w:rsid w:val="40F4B41E"/>
    <w:rsid w:val="4127A186"/>
    <w:rsid w:val="41C95654"/>
    <w:rsid w:val="420AC2BA"/>
    <w:rsid w:val="4210D41D"/>
    <w:rsid w:val="421BF7CC"/>
    <w:rsid w:val="4296DEA4"/>
    <w:rsid w:val="4299A8D9"/>
    <w:rsid w:val="431CFBC7"/>
    <w:rsid w:val="4410484E"/>
    <w:rsid w:val="4460AF1F"/>
    <w:rsid w:val="458F31D7"/>
    <w:rsid w:val="45DEA4D5"/>
    <w:rsid w:val="4702421C"/>
    <w:rsid w:val="4732C237"/>
    <w:rsid w:val="47583EE8"/>
    <w:rsid w:val="48221081"/>
    <w:rsid w:val="483A145E"/>
    <w:rsid w:val="48B06A2C"/>
    <w:rsid w:val="49257E09"/>
    <w:rsid w:val="4982F2E1"/>
    <w:rsid w:val="49E427E7"/>
    <w:rsid w:val="4A31FB98"/>
    <w:rsid w:val="4A3D4A89"/>
    <w:rsid w:val="4B2CB5B5"/>
    <w:rsid w:val="4B9FCAF5"/>
    <w:rsid w:val="4BE808BB"/>
    <w:rsid w:val="4C1DD3CC"/>
    <w:rsid w:val="4D03144B"/>
    <w:rsid w:val="4D077DC2"/>
    <w:rsid w:val="4D832A08"/>
    <w:rsid w:val="4D8527FA"/>
    <w:rsid w:val="4DA4F9DF"/>
    <w:rsid w:val="4DE2F814"/>
    <w:rsid w:val="4E0A7167"/>
    <w:rsid w:val="4E603161"/>
    <w:rsid w:val="4F2277B0"/>
    <w:rsid w:val="4FB06524"/>
    <w:rsid w:val="4FF66717"/>
    <w:rsid w:val="50701AED"/>
    <w:rsid w:val="51582A38"/>
    <w:rsid w:val="51C548B0"/>
    <w:rsid w:val="51CED8FC"/>
    <w:rsid w:val="5224DDEC"/>
    <w:rsid w:val="52E3B766"/>
    <w:rsid w:val="53400D2F"/>
    <w:rsid w:val="535406CE"/>
    <w:rsid w:val="53617F67"/>
    <w:rsid w:val="537D1B90"/>
    <w:rsid w:val="53958B22"/>
    <w:rsid w:val="53D80CE6"/>
    <w:rsid w:val="55694F8D"/>
    <w:rsid w:val="55F756F4"/>
    <w:rsid w:val="56113BE1"/>
    <w:rsid w:val="5676EB04"/>
    <w:rsid w:val="56B4F5C4"/>
    <w:rsid w:val="56DB81D8"/>
    <w:rsid w:val="56DBC184"/>
    <w:rsid w:val="57174147"/>
    <w:rsid w:val="57857494"/>
    <w:rsid w:val="57CF522D"/>
    <w:rsid w:val="5848FA33"/>
    <w:rsid w:val="589E3BAC"/>
    <w:rsid w:val="58E0AF1E"/>
    <w:rsid w:val="599FCD8D"/>
    <w:rsid w:val="59A16D76"/>
    <w:rsid w:val="59DF29D4"/>
    <w:rsid w:val="5A9C0C40"/>
    <w:rsid w:val="5AEB42FB"/>
    <w:rsid w:val="5AF3F0FB"/>
    <w:rsid w:val="5B4AB510"/>
    <w:rsid w:val="5BAFC4D1"/>
    <w:rsid w:val="5C2D3D5A"/>
    <w:rsid w:val="5C3D501D"/>
    <w:rsid w:val="5CBC09E5"/>
    <w:rsid w:val="5CEA3746"/>
    <w:rsid w:val="5DF2E603"/>
    <w:rsid w:val="5E2882F4"/>
    <w:rsid w:val="5E64791E"/>
    <w:rsid w:val="5EA9CCF0"/>
    <w:rsid w:val="5F37C632"/>
    <w:rsid w:val="6020B038"/>
    <w:rsid w:val="6039526F"/>
    <w:rsid w:val="606F8CCB"/>
    <w:rsid w:val="60FB668E"/>
    <w:rsid w:val="61224F66"/>
    <w:rsid w:val="6123DF46"/>
    <w:rsid w:val="624EAA41"/>
    <w:rsid w:val="62AE573B"/>
    <w:rsid w:val="62F9669F"/>
    <w:rsid w:val="637B4212"/>
    <w:rsid w:val="639A2FAD"/>
    <w:rsid w:val="643EA01C"/>
    <w:rsid w:val="6440C1A4"/>
    <w:rsid w:val="6483F328"/>
    <w:rsid w:val="652AABFF"/>
    <w:rsid w:val="6635625A"/>
    <w:rsid w:val="6670645F"/>
    <w:rsid w:val="669A6E4A"/>
    <w:rsid w:val="670DAFA5"/>
    <w:rsid w:val="674DFA68"/>
    <w:rsid w:val="6763BE30"/>
    <w:rsid w:val="68951726"/>
    <w:rsid w:val="68ED0808"/>
    <w:rsid w:val="68F3C2E6"/>
    <w:rsid w:val="6AFD4674"/>
    <w:rsid w:val="6B62F0E3"/>
    <w:rsid w:val="6B6B7633"/>
    <w:rsid w:val="6C39E411"/>
    <w:rsid w:val="6C4D94EA"/>
    <w:rsid w:val="6CA5AB3C"/>
    <w:rsid w:val="6CBAFB5D"/>
    <w:rsid w:val="6CE08E8D"/>
    <w:rsid w:val="6D51BFD6"/>
    <w:rsid w:val="6D69A354"/>
    <w:rsid w:val="6D738340"/>
    <w:rsid w:val="6D97B032"/>
    <w:rsid w:val="6DBA42B2"/>
    <w:rsid w:val="6E0B0193"/>
    <w:rsid w:val="6F3D5094"/>
    <w:rsid w:val="6F4D2D5D"/>
    <w:rsid w:val="706EC0D3"/>
    <w:rsid w:val="7082B5D4"/>
    <w:rsid w:val="718654ED"/>
    <w:rsid w:val="71910E61"/>
    <w:rsid w:val="71C5243F"/>
    <w:rsid w:val="7206D57A"/>
    <w:rsid w:val="723BF0DA"/>
    <w:rsid w:val="7240140F"/>
    <w:rsid w:val="7299094C"/>
    <w:rsid w:val="738B1F4A"/>
    <w:rsid w:val="741457F8"/>
    <w:rsid w:val="7474606C"/>
    <w:rsid w:val="7539DDE0"/>
    <w:rsid w:val="756188FC"/>
    <w:rsid w:val="7619C3FA"/>
    <w:rsid w:val="762E7223"/>
    <w:rsid w:val="7630B919"/>
    <w:rsid w:val="768B01CB"/>
    <w:rsid w:val="77CF8B14"/>
    <w:rsid w:val="784103D5"/>
    <w:rsid w:val="78C841BF"/>
    <w:rsid w:val="79153322"/>
    <w:rsid w:val="7A3DE2EF"/>
    <w:rsid w:val="7B014F0D"/>
    <w:rsid w:val="7BD5B58A"/>
    <w:rsid w:val="7C4E6DAE"/>
    <w:rsid w:val="7C6B79B7"/>
    <w:rsid w:val="7C7B1714"/>
    <w:rsid w:val="7CA2EBBF"/>
    <w:rsid w:val="7D4952D7"/>
    <w:rsid w:val="7DD75450"/>
    <w:rsid w:val="7E83941A"/>
    <w:rsid w:val="7F2E428A"/>
    <w:rsid w:val="7F467BEB"/>
    <w:rsid w:val="7F5A5AC1"/>
    <w:rsid w:val="7FDEF6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1AAFC"/>
  <w14:defaultImageDpi w14:val="300"/>
  <w15:docId w15:val="{51C80DB0-D762-4BD5-8842-3BC44BE6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BE"/>
    <w:pPr>
      <w:spacing w:line="288" w:lineRule="auto"/>
    </w:pPr>
    <w:rPr>
      <w:rFonts w:ascii="Verdana" w:hAnsi="Verdana"/>
    </w:rPr>
  </w:style>
  <w:style w:type="paragraph" w:styleId="Heading1">
    <w:name w:val="heading 1"/>
    <w:basedOn w:val="Normal"/>
    <w:next w:val="Normal"/>
    <w:link w:val="Heading1Char"/>
    <w:uiPriority w:val="9"/>
    <w:qFormat/>
    <w:rsid w:val="00172645"/>
    <w:pPr>
      <w:keepNext/>
      <w:keepLines/>
      <w:spacing w:before="240" w:line="480" w:lineRule="auto"/>
      <w:outlineLvl w:val="0"/>
    </w:pPr>
    <w:rPr>
      <w:rFonts w:eastAsiaTheme="majorEastAsia" w:cstheme="majorBidi"/>
      <w:b/>
      <w:color w:val="77328A"/>
      <w:sz w:val="40"/>
      <w:szCs w:val="32"/>
    </w:rPr>
  </w:style>
  <w:style w:type="paragraph" w:styleId="Heading2">
    <w:name w:val="heading 2"/>
    <w:basedOn w:val="Normal"/>
    <w:next w:val="Normal"/>
    <w:link w:val="Heading2Char"/>
    <w:uiPriority w:val="9"/>
    <w:unhideWhenUsed/>
    <w:qFormat/>
    <w:rsid w:val="007533AA"/>
    <w:pPr>
      <w:keepNext/>
      <w:keepLines/>
      <w:spacing w:before="40" w:after="160" w:line="480" w:lineRule="auto"/>
      <w:outlineLvl w:val="1"/>
    </w:pPr>
    <w:rPr>
      <w:rFonts w:eastAsiaTheme="majorEastAsia" w:cstheme="majorBidi"/>
      <w:b/>
      <w:color w:val="77328A"/>
      <w:sz w:val="30"/>
      <w:szCs w:val="26"/>
    </w:rPr>
  </w:style>
  <w:style w:type="paragraph" w:styleId="Heading3">
    <w:name w:val="heading 3"/>
    <w:basedOn w:val="Normal"/>
    <w:next w:val="Normal"/>
    <w:link w:val="Heading3Char"/>
    <w:uiPriority w:val="9"/>
    <w:unhideWhenUsed/>
    <w:qFormat/>
    <w:rsid w:val="0030269C"/>
    <w:pPr>
      <w:keepNext/>
      <w:keepLines/>
      <w:spacing w:before="40" w:after="160" w:line="360" w:lineRule="auto"/>
      <w:outlineLvl w:val="2"/>
    </w:pPr>
    <w:rPr>
      <w:rFonts w:eastAsiaTheme="majorEastAsia" w:cstheme="majorBidi"/>
      <w:b/>
      <w:sz w:val="30"/>
    </w:rPr>
  </w:style>
  <w:style w:type="paragraph" w:styleId="Heading4">
    <w:name w:val="heading 4"/>
    <w:basedOn w:val="Normal"/>
    <w:next w:val="Normal"/>
    <w:link w:val="Heading4Char"/>
    <w:uiPriority w:val="9"/>
    <w:unhideWhenUsed/>
    <w:qFormat/>
    <w:rsid w:val="007533AA"/>
    <w:pPr>
      <w:keepNext/>
      <w:keepLines/>
      <w:spacing w:before="40" w:line="480" w:lineRule="auto"/>
      <w:outlineLvl w:val="3"/>
    </w:pPr>
    <w:rPr>
      <w:rFonts w:eastAsiaTheme="majorEastAsia" w:cstheme="majorBidi"/>
      <w:b/>
      <w:iCs/>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5_G,Footnote Text Char Char,Footnote Text1,Footnote Text Char1 Char Char,Footnote Text Char Char Char Char,Footnote Text Char1 Char Char1 Char Char,Footnote Text Char Char Char Char1 Char Char,Char,Footnote Quot,Footnote Text Char1, Char,f"/>
    <w:basedOn w:val="Normal"/>
    <w:link w:val="FootnoteTextChar"/>
    <w:uiPriority w:val="99"/>
    <w:unhideWhenUsed/>
    <w:qFormat/>
    <w:rsid w:val="00224140"/>
  </w:style>
  <w:style w:type="character" w:customStyle="1" w:styleId="FootnoteTextChar">
    <w:name w:val="Footnote Text Char"/>
    <w:aliases w:val="5_G Char,Footnote Text Char Char Char,Footnote Text1 Char,Footnote Text Char1 Char Char Char,Footnote Text Char Char Char Char Char,Footnote Text Char1 Char Char1 Char Char Char,Footnote Text Char Char Char Char1 Char Char Char,f Char"/>
    <w:basedOn w:val="DefaultParagraphFont"/>
    <w:link w:val="FootnoteText"/>
    <w:uiPriority w:val="99"/>
    <w:rsid w:val="00224140"/>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E061BC"/>
    <w:pPr>
      <w:tabs>
        <w:tab w:val="left" w:pos="284"/>
      </w:tabs>
      <w:spacing w:line="240" w:lineRule="auto"/>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Normal"/>
    <w:link w:val="ListParagraphChar"/>
    <w:uiPriority w:val="34"/>
    <w:qFormat/>
    <w:rsid w:val="00051F62"/>
    <w:pPr>
      <w:ind w:left="720"/>
      <w:contextualSpacing/>
    </w:pPr>
  </w:style>
  <w:style w:type="character" w:customStyle="1" w:styleId="Heading1Char">
    <w:name w:val="Heading 1 Char"/>
    <w:basedOn w:val="DefaultParagraphFont"/>
    <w:link w:val="Heading1"/>
    <w:uiPriority w:val="9"/>
    <w:rsid w:val="00172645"/>
    <w:rPr>
      <w:rFonts w:ascii="Verdana" w:eastAsiaTheme="majorEastAsia" w:hAnsi="Verdana" w:cstheme="majorBidi"/>
      <w:b/>
      <w:color w:val="77328A"/>
      <w:sz w:val="40"/>
      <w:szCs w:val="32"/>
    </w:rPr>
  </w:style>
  <w:style w:type="paragraph" w:styleId="TOCHeading">
    <w:name w:val="TOC Heading"/>
    <w:basedOn w:val="Heading1"/>
    <w:next w:val="Normal"/>
    <w:uiPriority w:val="39"/>
    <w:unhideWhenUsed/>
    <w:qFormat/>
    <w:rsid w:val="00051F62"/>
    <w:pPr>
      <w:spacing w:line="259" w:lineRule="auto"/>
      <w:outlineLvl w:val="9"/>
    </w:pPr>
    <w:rPr>
      <w:lang w:val="en-US"/>
    </w:rPr>
  </w:style>
  <w:style w:type="character" w:styleId="FollowedHyperlink">
    <w:name w:val="FollowedHyperlink"/>
    <w:basedOn w:val="DefaultParagraphFont"/>
    <w:uiPriority w:val="99"/>
    <w:semiHidden/>
    <w:unhideWhenUsed/>
    <w:rsid w:val="007A19C9"/>
    <w:rPr>
      <w:color w:val="800080" w:themeColor="followedHyperlink"/>
      <w:u w:val="single"/>
    </w:rPr>
  </w:style>
  <w:style w:type="paragraph" w:styleId="Quote">
    <w:name w:val="Quote"/>
    <w:basedOn w:val="Normal"/>
    <w:next w:val="Normal"/>
    <w:link w:val="QuoteChar"/>
    <w:uiPriority w:val="29"/>
    <w:qFormat/>
    <w:rsid w:val="0018117F"/>
    <w:pPr>
      <w:ind w:left="862" w:right="862"/>
    </w:pPr>
    <w:rPr>
      <w:iCs/>
    </w:rPr>
  </w:style>
  <w:style w:type="character" w:customStyle="1" w:styleId="QuoteChar">
    <w:name w:val="Quote Char"/>
    <w:basedOn w:val="DefaultParagraphFont"/>
    <w:link w:val="Quote"/>
    <w:uiPriority w:val="29"/>
    <w:rsid w:val="0018117F"/>
    <w:rPr>
      <w:rFonts w:ascii="Verdana" w:hAnsi="Verdana"/>
      <w:iCs/>
    </w:rPr>
  </w:style>
  <w:style w:type="paragraph" w:styleId="TOC1">
    <w:name w:val="toc 1"/>
    <w:basedOn w:val="Normal"/>
    <w:next w:val="Normal"/>
    <w:autoRedefine/>
    <w:uiPriority w:val="39"/>
    <w:unhideWhenUsed/>
    <w:rsid w:val="00FE0D51"/>
    <w:pPr>
      <w:tabs>
        <w:tab w:val="left" w:pos="660"/>
        <w:tab w:val="right" w:leader="dot" w:pos="9848"/>
      </w:tabs>
      <w:spacing w:after="100"/>
    </w:pPr>
    <w:rPr>
      <w:b/>
      <w:noProof/>
    </w:rPr>
  </w:style>
  <w:style w:type="character" w:customStyle="1" w:styleId="Heading2Char">
    <w:name w:val="Heading 2 Char"/>
    <w:basedOn w:val="DefaultParagraphFont"/>
    <w:link w:val="Heading2"/>
    <w:uiPriority w:val="9"/>
    <w:rsid w:val="007533AA"/>
    <w:rPr>
      <w:rFonts w:ascii="Verdana" w:eastAsiaTheme="majorEastAsia" w:hAnsi="Verdana" w:cstheme="majorBidi"/>
      <w:b/>
      <w:color w:val="77328A"/>
      <w:sz w:val="30"/>
      <w:szCs w:val="26"/>
    </w:rPr>
  </w:style>
  <w:style w:type="paragraph" w:styleId="TOC2">
    <w:name w:val="toc 2"/>
    <w:basedOn w:val="Normal"/>
    <w:next w:val="Normal"/>
    <w:autoRedefine/>
    <w:uiPriority w:val="39"/>
    <w:unhideWhenUsed/>
    <w:rsid w:val="0030269C"/>
    <w:pPr>
      <w:tabs>
        <w:tab w:val="left" w:pos="960"/>
        <w:tab w:val="right" w:leader="dot" w:pos="9848"/>
      </w:tabs>
      <w:spacing w:after="100"/>
      <w:ind w:left="240"/>
    </w:pPr>
    <w:rPr>
      <w:b/>
      <w:bCs/>
      <w:noProof/>
    </w:rPr>
  </w:style>
  <w:style w:type="character" w:styleId="CommentReference">
    <w:name w:val="annotation reference"/>
    <w:basedOn w:val="DefaultParagraphFont"/>
    <w:unhideWhenUsed/>
    <w:rsid w:val="00610705"/>
    <w:rPr>
      <w:sz w:val="16"/>
      <w:szCs w:val="16"/>
    </w:rPr>
  </w:style>
  <w:style w:type="paragraph" w:styleId="CommentText">
    <w:name w:val="annotation text"/>
    <w:basedOn w:val="Normal"/>
    <w:link w:val="CommentTextChar"/>
    <w:uiPriority w:val="99"/>
    <w:unhideWhenUsed/>
    <w:rsid w:val="00610705"/>
    <w:rPr>
      <w:sz w:val="20"/>
      <w:szCs w:val="20"/>
    </w:rPr>
  </w:style>
  <w:style w:type="character" w:customStyle="1" w:styleId="CommentTextChar">
    <w:name w:val="Comment Text Char"/>
    <w:basedOn w:val="DefaultParagraphFont"/>
    <w:link w:val="CommentText"/>
    <w:uiPriority w:val="99"/>
    <w:rsid w:val="00610705"/>
    <w:rPr>
      <w:sz w:val="20"/>
      <w:szCs w:val="20"/>
    </w:rPr>
  </w:style>
  <w:style w:type="paragraph" w:styleId="CommentSubject">
    <w:name w:val="annotation subject"/>
    <w:basedOn w:val="CommentText"/>
    <w:next w:val="CommentText"/>
    <w:link w:val="CommentSubjectChar"/>
    <w:uiPriority w:val="99"/>
    <w:semiHidden/>
    <w:unhideWhenUsed/>
    <w:rsid w:val="00610705"/>
    <w:rPr>
      <w:b/>
      <w:bCs/>
    </w:rPr>
  </w:style>
  <w:style w:type="character" w:customStyle="1" w:styleId="CommentSubjectChar">
    <w:name w:val="Comment Subject Char"/>
    <w:basedOn w:val="CommentTextChar"/>
    <w:link w:val="CommentSubject"/>
    <w:uiPriority w:val="99"/>
    <w:semiHidden/>
    <w:rsid w:val="00610705"/>
    <w:rPr>
      <w:b/>
      <w:bCs/>
      <w:sz w:val="20"/>
      <w:szCs w:val="20"/>
    </w:rPr>
  </w:style>
  <w:style w:type="table" w:styleId="TableGrid">
    <w:name w:val="Table Grid"/>
    <w:basedOn w:val="TableNormal"/>
    <w:rsid w:val="00940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710F"/>
    <w:rPr>
      <w:color w:val="605E5C"/>
      <w:shd w:val="clear" w:color="auto" w:fill="E1DFDD"/>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482245"/>
    <w:pPr>
      <w:spacing w:line="240" w:lineRule="exact"/>
      <w:jc w:val="both"/>
    </w:pPr>
    <w:rPr>
      <w:rFonts w:asciiTheme="minorHAnsi" w:hAnsiTheme="minorHAnsi"/>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rsid w:val="00B4307B"/>
    <w:rPr>
      <w:rFonts w:ascii="Verdana" w:hAnsi="Verdana"/>
    </w:rPr>
  </w:style>
  <w:style w:type="character" w:customStyle="1" w:styleId="Heading3Char">
    <w:name w:val="Heading 3 Char"/>
    <w:basedOn w:val="DefaultParagraphFont"/>
    <w:link w:val="Heading3"/>
    <w:uiPriority w:val="9"/>
    <w:rsid w:val="0030269C"/>
    <w:rPr>
      <w:rFonts w:ascii="Verdana" w:eastAsiaTheme="majorEastAsia" w:hAnsi="Verdana" w:cstheme="majorBidi"/>
      <w:b/>
      <w:sz w:val="30"/>
    </w:rPr>
  </w:style>
  <w:style w:type="paragraph" w:styleId="Revision">
    <w:name w:val="Revision"/>
    <w:hidden/>
    <w:uiPriority w:val="99"/>
    <w:semiHidden/>
    <w:rsid w:val="00482615"/>
    <w:rPr>
      <w:rFonts w:ascii="Verdana" w:hAnsi="Verdana"/>
    </w:rPr>
  </w:style>
  <w:style w:type="paragraph" w:styleId="TOC3">
    <w:name w:val="toc 3"/>
    <w:basedOn w:val="Normal"/>
    <w:next w:val="Normal"/>
    <w:autoRedefine/>
    <w:uiPriority w:val="39"/>
    <w:unhideWhenUsed/>
    <w:rsid w:val="0065181E"/>
    <w:pPr>
      <w:spacing w:after="100"/>
      <w:ind w:left="480"/>
    </w:pPr>
  </w:style>
  <w:style w:type="character" w:styleId="Mention">
    <w:name w:val="Mention"/>
    <w:basedOn w:val="DefaultParagraphFont"/>
    <w:uiPriority w:val="99"/>
    <w:unhideWhenUsed/>
    <w:rsid w:val="00065501"/>
    <w:rPr>
      <w:color w:val="2B579A"/>
      <w:shd w:val="clear" w:color="auto" w:fill="E1DFDD"/>
    </w:rPr>
  </w:style>
  <w:style w:type="character" w:customStyle="1" w:styleId="Heading4Char">
    <w:name w:val="Heading 4 Char"/>
    <w:basedOn w:val="DefaultParagraphFont"/>
    <w:link w:val="Heading4"/>
    <w:uiPriority w:val="9"/>
    <w:rsid w:val="007533AA"/>
    <w:rPr>
      <w:rFonts w:ascii="Verdana" w:eastAsiaTheme="majorEastAsia" w:hAnsi="Verdana" w:cstheme="majorBidi"/>
      <w:b/>
      <w:iCs/>
    </w:rPr>
  </w:style>
  <w:style w:type="paragraph" w:customStyle="1" w:styleId="HMG">
    <w:name w:val="_ H __M_G"/>
    <w:basedOn w:val="Normal"/>
    <w:next w:val="Normal"/>
    <w:qFormat/>
    <w:rsid w:val="00C769A1"/>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outlineLvl w:val="0"/>
    </w:pPr>
    <w:rPr>
      <w:rFonts w:ascii="Times New Roman" w:eastAsiaTheme="minorHAnsi" w:hAnsi="Times New Roman" w:cs="Times New Roman"/>
      <w:b/>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62435">
      <w:bodyDiv w:val="1"/>
      <w:marLeft w:val="0"/>
      <w:marRight w:val="0"/>
      <w:marTop w:val="0"/>
      <w:marBottom w:val="0"/>
      <w:divBdr>
        <w:top w:val="none" w:sz="0" w:space="0" w:color="auto"/>
        <w:left w:val="none" w:sz="0" w:space="0" w:color="auto"/>
        <w:bottom w:val="none" w:sz="0" w:space="0" w:color="auto"/>
        <w:right w:val="none" w:sz="0" w:space="0" w:color="auto"/>
      </w:divBdr>
    </w:div>
    <w:div w:id="532117054">
      <w:bodyDiv w:val="1"/>
      <w:marLeft w:val="0"/>
      <w:marRight w:val="0"/>
      <w:marTop w:val="0"/>
      <w:marBottom w:val="0"/>
      <w:divBdr>
        <w:top w:val="none" w:sz="0" w:space="0" w:color="auto"/>
        <w:left w:val="none" w:sz="0" w:space="0" w:color="auto"/>
        <w:bottom w:val="none" w:sz="0" w:space="0" w:color="auto"/>
        <w:right w:val="none" w:sz="0" w:space="0" w:color="auto"/>
      </w:divBdr>
    </w:div>
    <w:div w:id="977995512">
      <w:bodyDiv w:val="1"/>
      <w:marLeft w:val="0"/>
      <w:marRight w:val="0"/>
      <w:marTop w:val="0"/>
      <w:marBottom w:val="0"/>
      <w:divBdr>
        <w:top w:val="none" w:sz="0" w:space="0" w:color="auto"/>
        <w:left w:val="none" w:sz="0" w:space="0" w:color="auto"/>
        <w:bottom w:val="none" w:sz="0" w:space="0" w:color="auto"/>
        <w:right w:val="none" w:sz="0" w:space="0" w:color="auto"/>
      </w:divBdr>
    </w:div>
    <w:div w:id="1149253682">
      <w:bodyDiv w:val="1"/>
      <w:marLeft w:val="0"/>
      <w:marRight w:val="0"/>
      <w:marTop w:val="0"/>
      <w:marBottom w:val="0"/>
      <w:divBdr>
        <w:top w:val="none" w:sz="0" w:space="0" w:color="auto"/>
        <w:left w:val="none" w:sz="0" w:space="0" w:color="auto"/>
        <w:bottom w:val="none" w:sz="0" w:space="0" w:color="auto"/>
        <w:right w:val="none" w:sz="0" w:space="0" w:color="auto"/>
      </w:divBdr>
    </w:div>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4428">
      <w:bodyDiv w:val="1"/>
      <w:marLeft w:val="0"/>
      <w:marRight w:val="0"/>
      <w:marTop w:val="0"/>
      <w:marBottom w:val="0"/>
      <w:divBdr>
        <w:top w:val="none" w:sz="0" w:space="0" w:color="auto"/>
        <w:left w:val="none" w:sz="0" w:space="0" w:color="auto"/>
        <w:bottom w:val="none" w:sz="0" w:space="0" w:color="auto"/>
        <w:right w:val="none" w:sz="0" w:space="0" w:color="auto"/>
      </w:divBdr>
      <w:divsChild>
        <w:div w:id="191916585">
          <w:marLeft w:val="0"/>
          <w:marRight w:val="0"/>
          <w:marTop w:val="0"/>
          <w:marBottom w:val="0"/>
          <w:divBdr>
            <w:top w:val="none" w:sz="0" w:space="0" w:color="auto"/>
            <w:left w:val="none" w:sz="0" w:space="0" w:color="auto"/>
            <w:bottom w:val="none" w:sz="0" w:space="0" w:color="auto"/>
            <w:right w:val="none" w:sz="0" w:space="0" w:color="auto"/>
          </w:divBdr>
        </w:div>
        <w:div w:id="218787578">
          <w:marLeft w:val="0"/>
          <w:marRight w:val="0"/>
          <w:marTop w:val="0"/>
          <w:marBottom w:val="0"/>
          <w:divBdr>
            <w:top w:val="none" w:sz="0" w:space="0" w:color="auto"/>
            <w:left w:val="none" w:sz="0" w:space="0" w:color="auto"/>
            <w:bottom w:val="none" w:sz="0" w:space="0" w:color="auto"/>
            <w:right w:val="none" w:sz="0" w:space="0" w:color="auto"/>
          </w:divBdr>
        </w:div>
        <w:div w:id="219706540">
          <w:marLeft w:val="0"/>
          <w:marRight w:val="0"/>
          <w:marTop w:val="0"/>
          <w:marBottom w:val="0"/>
          <w:divBdr>
            <w:top w:val="none" w:sz="0" w:space="0" w:color="auto"/>
            <w:left w:val="none" w:sz="0" w:space="0" w:color="auto"/>
            <w:bottom w:val="none" w:sz="0" w:space="0" w:color="auto"/>
            <w:right w:val="none" w:sz="0" w:space="0" w:color="auto"/>
          </w:divBdr>
        </w:div>
        <w:div w:id="304164491">
          <w:marLeft w:val="0"/>
          <w:marRight w:val="0"/>
          <w:marTop w:val="0"/>
          <w:marBottom w:val="0"/>
          <w:divBdr>
            <w:top w:val="none" w:sz="0" w:space="0" w:color="auto"/>
            <w:left w:val="none" w:sz="0" w:space="0" w:color="auto"/>
            <w:bottom w:val="none" w:sz="0" w:space="0" w:color="auto"/>
            <w:right w:val="none" w:sz="0" w:space="0" w:color="auto"/>
          </w:divBdr>
        </w:div>
        <w:div w:id="642857940">
          <w:marLeft w:val="0"/>
          <w:marRight w:val="0"/>
          <w:marTop w:val="0"/>
          <w:marBottom w:val="0"/>
          <w:divBdr>
            <w:top w:val="none" w:sz="0" w:space="0" w:color="auto"/>
            <w:left w:val="none" w:sz="0" w:space="0" w:color="auto"/>
            <w:bottom w:val="none" w:sz="0" w:space="0" w:color="auto"/>
            <w:right w:val="none" w:sz="0" w:space="0" w:color="auto"/>
          </w:divBdr>
        </w:div>
        <w:div w:id="648559223">
          <w:marLeft w:val="0"/>
          <w:marRight w:val="0"/>
          <w:marTop w:val="0"/>
          <w:marBottom w:val="0"/>
          <w:divBdr>
            <w:top w:val="none" w:sz="0" w:space="0" w:color="auto"/>
            <w:left w:val="none" w:sz="0" w:space="0" w:color="auto"/>
            <w:bottom w:val="none" w:sz="0" w:space="0" w:color="auto"/>
            <w:right w:val="none" w:sz="0" w:space="0" w:color="auto"/>
          </w:divBdr>
        </w:div>
        <w:div w:id="1317488830">
          <w:marLeft w:val="0"/>
          <w:marRight w:val="0"/>
          <w:marTop w:val="0"/>
          <w:marBottom w:val="0"/>
          <w:divBdr>
            <w:top w:val="none" w:sz="0" w:space="0" w:color="auto"/>
            <w:left w:val="none" w:sz="0" w:space="0" w:color="auto"/>
            <w:bottom w:val="none" w:sz="0" w:space="0" w:color="auto"/>
            <w:right w:val="none" w:sz="0" w:space="0" w:color="auto"/>
          </w:divBdr>
        </w:div>
        <w:div w:id="1403138157">
          <w:marLeft w:val="0"/>
          <w:marRight w:val="0"/>
          <w:marTop w:val="0"/>
          <w:marBottom w:val="0"/>
          <w:divBdr>
            <w:top w:val="none" w:sz="0" w:space="0" w:color="auto"/>
            <w:left w:val="none" w:sz="0" w:space="0" w:color="auto"/>
            <w:bottom w:val="none" w:sz="0" w:space="0" w:color="auto"/>
            <w:right w:val="none" w:sz="0" w:space="0" w:color="auto"/>
          </w:divBdr>
        </w:div>
        <w:div w:id="1468431252">
          <w:marLeft w:val="0"/>
          <w:marRight w:val="0"/>
          <w:marTop w:val="0"/>
          <w:marBottom w:val="0"/>
          <w:divBdr>
            <w:top w:val="none" w:sz="0" w:space="0" w:color="auto"/>
            <w:left w:val="none" w:sz="0" w:space="0" w:color="auto"/>
            <w:bottom w:val="none" w:sz="0" w:space="0" w:color="auto"/>
            <w:right w:val="none" w:sz="0" w:space="0" w:color="auto"/>
          </w:divBdr>
        </w:div>
        <w:div w:id="1807971768">
          <w:marLeft w:val="0"/>
          <w:marRight w:val="0"/>
          <w:marTop w:val="0"/>
          <w:marBottom w:val="0"/>
          <w:divBdr>
            <w:top w:val="none" w:sz="0" w:space="0" w:color="auto"/>
            <w:left w:val="none" w:sz="0" w:space="0" w:color="auto"/>
            <w:bottom w:val="none" w:sz="0" w:space="0" w:color="auto"/>
            <w:right w:val="none" w:sz="0" w:space="0" w:color="auto"/>
          </w:divBdr>
        </w:div>
        <w:div w:id="1869562588">
          <w:marLeft w:val="0"/>
          <w:marRight w:val="0"/>
          <w:marTop w:val="0"/>
          <w:marBottom w:val="0"/>
          <w:divBdr>
            <w:top w:val="none" w:sz="0" w:space="0" w:color="auto"/>
            <w:left w:val="none" w:sz="0" w:space="0" w:color="auto"/>
            <w:bottom w:val="none" w:sz="0" w:space="0" w:color="auto"/>
            <w:right w:val="none" w:sz="0" w:space="0" w:color="auto"/>
          </w:divBdr>
        </w:div>
      </w:divsChild>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697540128">
      <w:bodyDiv w:val="1"/>
      <w:marLeft w:val="0"/>
      <w:marRight w:val="0"/>
      <w:marTop w:val="0"/>
      <w:marBottom w:val="0"/>
      <w:divBdr>
        <w:top w:val="none" w:sz="0" w:space="0" w:color="auto"/>
        <w:left w:val="none" w:sz="0" w:space="0" w:color="auto"/>
        <w:bottom w:val="none" w:sz="0" w:space="0" w:color="auto"/>
        <w:right w:val="none" w:sz="0" w:space="0" w:color="auto"/>
      </w:divBdr>
    </w:div>
    <w:div w:id="1779325335">
      <w:bodyDiv w:val="1"/>
      <w:marLeft w:val="0"/>
      <w:marRight w:val="0"/>
      <w:marTop w:val="0"/>
      <w:marBottom w:val="0"/>
      <w:divBdr>
        <w:top w:val="none" w:sz="0" w:space="0" w:color="auto"/>
        <w:left w:val="none" w:sz="0" w:space="0" w:color="auto"/>
        <w:bottom w:val="none" w:sz="0" w:space="0" w:color="auto"/>
        <w:right w:val="none" w:sz="0" w:space="0" w:color="auto"/>
      </w:divBdr>
      <w:divsChild>
        <w:div w:id="184560897">
          <w:marLeft w:val="0"/>
          <w:marRight w:val="0"/>
          <w:marTop w:val="0"/>
          <w:marBottom w:val="0"/>
          <w:divBdr>
            <w:top w:val="none" w:sz="0" w:space="0" w:color="auto"/>
            <w:left w:val="none" w:sz="0" w:space="0" w:color="auto"/>
            <w:bottom w:val="none" w:sz="0" w:space="0" w:color="auto"/>
            <w:right w:val="none" w:sz="0" w:space="0" w:color="auto"/>
          </w:divBdr>
        </w:div>
        <w:div w:id="188690333">
          <w:marLeft w:val="0"/>
          <w:marRight w:val="0"/>
          <w:marTop w:val="0"/>
          <w:marBottom w:val="0"/>
          <w:divBdr>
            <w:top w:val="none" w:sz="0" w:space="0" w:color="auto"/>
            <w:left w:val="none" w:sz="0" w:space="0" w:color="auto"/>
            <w:bottom w:val="none" w:sz="0" w:space="0" w:color="auto"/>
            <w:right w:val="none" w:sz="0" w:space="0" w:color="auto"/>
          </w:divBdr>
        </w:div>
        <w:div w:id="213976969">
          <w:marLeft w:val="0"/>
          <w:marRight w:val="0"/>
          <w:marTop w:val="0"/>
          <w:marBottom w:val="0"/>
          <w:divBdr>
            <w:top w:val="none" w:sz="0" w:space="0" w:color="auto"/>
            <w:left w:val="none" w:sz="0" w:space="0" w:color="auto"/>
            <w:bottom w:val="none" w:sz="0" w:space="0" w:color="auto"/>
            <w:right w:val="none" w:sz="0" w:space="0" w:color="auto"/>
          </w:divBdr>
        </w:div>
        <w:div w:id="265777314">
          <w:marLeft w:val="0"/>
          <w:marRight w:val="0"/>
          <w:marTop w:val="0"/>
          <w:marBottom w:val="0"/>
          <w:divBdr>
            <w:top w:val="none" w:sz="0" w:space="0" w:color="auto"/>
            <w:left w:val="none" w:sz="0" w:space="0" w:color="auto"/>
            <w:bottom w:val="none" w:sz="0" w:space="0" w:color="auto"/>
            <w:right w:val="none" w:sz="0" w:space="0" w:color="auto"/>
          </w:divBdr>
        </w:div>
        <w:div w:id="335959163">
          <w:marLeft w:val="0"/>
          <w:marRight w:val="0"/>
          <w:marTop w:val="0"/>
          <w:marBottom w:val="0"/>
          <w:divBdr>
            <w:top w:val="none" w:sz="0" w:space="0" w:color="auto"/>
            <w:left w:val="none" w:sz="0" w:space="0" w:color="auto"/>
            <w:bottom w:val="none" w:sz="0" w:space="0" w:color="auto"/>
            <w:right w:val="none" w:sz="0" w:space="0" w:color="auto"/>
          </w:divBdr>
        </w:div>
        <w:div w:id="371348642">
          <w:marLeft w:val="0"/>
          <w:marRight w:val="0"/>
          <w:marTop w:val="0"/>
          <w:marBottom w:val="0"/>
          <w:divBdr>
            <w:top w:val="none" w:sz="0" w:space="0" w:color="auto"/>
            <w:left w:val="none" w:sz="0" w:space="0" w:color="auto"/>
            <w:bottom w:val="none" w:sz="0" w:space="0" w:color="auto"/>
            <w:right w:val="none" w:sz="0" w:space="0" w:color="auto"/>
          </w:divBdr>
        </w:div>
        <w:div w:id="456336717">
          <w:marLeft w:val="0"/>
          <w:marRight w:val="0"/>
          <w:marTop w:val="0"/>
          <w:marBottom w:val="0"/>
          <w:divBdr>
            <w:top w:val="none" w:sz="0" w:space="0" w:color="auto"/>
            <w:left w:val="none" w:sz="0" w:space="0" w:color="auto"/>
            <w:bottom w:val="none" w:sz="0" w:space="0" w:color="auto"/>
            <w:right w:val="none" w:sz="0" w:space="0" w:color="auto"/>
          </w:divBdr>
        </w:div>
        <w:div w:id="548105447">
          <w:marLeft w:val="0"/>
          <w:marRight w:val="0"/>
          <w:marTop w:val="0"/>
          <w:marBottom w:val="0"/>
          <w:divBdr>
            <w:top w:val="none" w:sz="0" w:space="0" w:color="auto"/>
            <w:left w:val="none" w:sz="0" w:space="0" w:color="auto"/>
            <w:bottom w:val="none" w:sz="0" w:space="0" w:color="auto"/>
            <w:right w:val="none" w:sz="0" w:space="0" w:color="auto"/>
          </w:divBdr>
        </w:div>
        <w:div w:id="1345593334">
          <w:marLeft w:val="0"/>
          <w:marRight w:val="0"/>
          <w:marTop w:val="0"/>
          <w:marBottom w:val="0"/>
          <w:divBdr>
            <w:top w:val="none" w:sz="0" w:space="0" w:color="auto"/>
            <w:left w:val="none" w:sz="0" w:space="0" w:color="auto"/>
            <w:bottom w:val="none" w:sz="0" w:space="0" w:color="auto"/>
            <w:right w:val="none" w:sz="0" w:space="0" w:color="auto"/>
          </w:divBdr>
        </w:div>
        <w:div w:id="1633435961">
          <w:marLeft w:val="0"/>
          <w:marRight w:val="0"/>
          <w:marTop w:val="0"/>
          <w:marBottom w:val="0"/>
          <w:divBdr>
            <w:top w:val="none" w:sz="0" w:space="0" w:color="auto"/>
            <w:left w:val="none" w:sz="0" w:space="0" w:color="auto"/>
            <w:bottom w:val="none" w:sz="0" w:space="0" w:color="auto"/>
            <w:right w:val="none" w:sz="0" w:space="0" w:color="auto"/>
          </w:divBdr>
        </w:div>
        <w:div w:id="1882472575">
          <w:marLeft w:val="0"/>
          <w:marRight w:val="0"/>
          <w:marTop w:val="0"/>
          <w:marBottom w:val="0"/>
          <w:divBdr>
            <w:top w:val="none" w:sz="0" w:space="0" w:color="auto"/>
            <w:left w:val="none" w:sz="0" w:space="0" w:color="auto"/>
            <w:bottom w:val="none" w:sz="0" w:space="0" w:color="auto"/>
            <w:right w:val="none" w:sz="0" w:space="0" w:color="auto"/>
          </w:divBdr>
        </w:div>
      </w:divsChild>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h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hr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18462-E779-43F8-B9DD-9F549F47BE4D}">
  <ds:schemaRefs>
    <ds:schemaRef ds:uri="http://schemas.openxmlformats.org/officeDocument/2006/bibliography"/>
  </ds:schemaRefs>
</ds:datastoreItem>
</file>

<file path=customXml/itemProps2.xml><?xml version="1.0" encoding="utf-8"?>
<ds:datastoreItem xmlns:ds="http://schemas.openxmlformats.org/officeDocument/2006/customXml" ds:itemID="{542FC385-87BB-48DC-84BD-89476E5224A9}">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3.xml><?xml version="1.0" encoding="utf-8"?>
<ds:datastoreItem xmlns:ds="http://schemas.openxmlformats.org/officeDocument/2006/customXml" ds:itemID="{45DD5522-2199-4B28-9F13-489D9D5F9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6F324-13BD-4227-A37E-771B29A10BE4}">
  <ds:schemaRefs>
    <ds:schemaRef ds:uri="http://schemas.microsoft.com/sharepoint/v3/contenttype/forms"/>
  </ds:schemaRefs>
</ds:datastoreItem>
</file>

<file path=docMetadata/LabelInfo.xml><?xml version="1.0" encoding="utf-8"?>
<clbl:labelList xmlns:clbl="http://schemas.microsoft.com/office/2020/mipLabelMetadata">
  <clbl:label id="{5820a9e2-6739-4cd7-838b-4cb0f6ccf5ce}" enabled="0" method="" siteId="{5820a9e2-6739-4cd7-838b-4cb0f6ccf5ce}" removed="1"/>
</clbl:labelList>
</file>

<file path=docProps/app.xml><?xml version="1.0" encoding="utf-8"?>
<Properties xmlns="http://schemas.openxmlformats.org/officeDocument/2006/extended-properties" xmlns:vt="http://schemas.openxmlformats.org/officeDocument/2006/docPropsVTypes">
  <Template>27689 - HUMAN RIGHTS Research</Template>
  <TotalTime>7</TotalTime>
  <Pages>15</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Whitenoise</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Simms</dc:creator>
  <cp:keywords/>
  <dc:description/>
  <cp:lastModifiedBy>Julia Buchanan</cp:lastModifiedBy>
  <cp:revision>3</cp:revision>
  <cp:lastPrinted>2025-04-01T15:31:00Z</cp:lastPrinted>
  <dcterms:created xsi:type="dcterms:W3CDTF">2025-04-01T14:42:00Z</dcterms:created>
  <dcterms:modified xsi:type="dcterms:W3CDTF">2025-04-01T15:31:00Z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Order">
    <vt:r8>9797800</vt:r8>
  </property>
  <property fmtid="{D5CDD505-2E9C-101B-9397-08002B2CF9AE}" pid="4" name="MediaServiceImageTags">
    <vt:lpwstr/>
  </property>
</Properties>
</file>