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66795" w14:textId="346F51FC" w:rsidR="00F31387" w:rsidRPr="002033B3" w:rsidRDefault="00F31387" w:rsidP="002033B3">
      <w:pPr>
        <w:pStyle w:val="BasicParagraph"/>
        <w:spacing w:line="276" w:lineRule="auto"/>
        <w:jc w:val="center"/>
        <w:rPr>
          <w:rFonts w:ascii="Verdana" w:hAnsi="Verdana"/>
        </w:rPr>
      </w:pPr>
      <w:r w:rsidRPr="002033B3">
        <w:rPr>
          <w:rFonts w:ascii="Verdana" w:hAnsi="Verdana"/>
          <w:noProof/>
        </w:rPr>
        <w:drawing>
          <wp:inline distT="0" distB="0" distL="0" distR="0" wp14:anchorId="2408A7EB" wp14:editId="488E2E01">
            <wp:extent cx="2908485" cy="3886623"/>
            <wp:effectExtent l="0" t="0" r="0" b="0"/>
            <wp:docPr id="7" name="Picture 7" descr="Studio Volume:Corey Watson:Corey Watson CURRENT WORK:27689 - HUMAN RIGHTS Brand Guidelines:PDF:NIHRC LOGO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 Volume:Corey Watson:Corey Watson CURRENT WORK:27689 - HUMAN RIGHTS Brand Guidelines:PDF:NIHRC LOGOs-0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982" cy="3887287"/>
                    </a:xfrm>
                    <a:prstGeom prst="rect">
                      <a:avLst/>
                    </a:prstGeom>
                    <a:noFill/>
                    <a:ln>
                      <a:noFill/>
                    </a:ln>
                  </pic:spPr>
                </pic:pic>
              </a:graphicData>
            </a:graphic>
          </wp:inline>
        </w:drawing>
      </w:r>
    </w:p>
    <w:p w14:paraId="2DA9078A" w14:textId="77777777" w:rsidR="003B7D0E" w:rsidRPr="002033B3" w:rsidRDefault="003B7D0E" w:rsidP="002033B3">
      <w:pPr>
        <w:pStyle w:val="BasicParagraph"/>
        <w:spacing w:line="276" w:lineRule="auto"/>
        <w:rPr>
          <w:rFonts w:ascii="Verdana" w:hAnsi="Verdana"/>
        </w:rPr>
      </w:pPr>
    </w:p>
    <w:p w14:paraId="78C2AEAB" w14:textId="77777777" w:rsidR="00B4519C" w:rsidRPr="002033B3" w:rsidRDefault="00B4519C" w:rsidP="002033B3">
      <w:pPr>
        <w:pStyle w:val="BasicParagraph"/>
        <w:spacing w:before="360" w:after="360" w:line="276" w:lineRule="auto"/>
        <w:jc w:val="center"/>
        <w:rPr>
          <w:rFonts w:ascii="Verdana" w:hAnsi="Verdana"/>
          <w:b/>
          <w:bCs/>
          <w:color w:val="77328A"/>
          <w:sz w:val="36"/>
          <w:szCs w:val="36"/>
        </w:rPr>
      </w:pPr>
    </w:p>
    <w:p w14:paraId="5E1EF0F3" w14:textId="23F66AA9" w:rsidR="0096459E" w:rsidRPr="002033B3" w:rsidRDefault="00C438EB" w:rsidP="002033B3">
      <w:pPr>
        <w:pStyle w:val="Title"/>
        <w:spacing w:line="276" w:lineRule="auto"/>
      </w:pPr>
      <w:r w:rsidRPr="002033B3">
        <w:t>NIHRC Brief</w:t>
      </w:r>
      <w:r w:rsidR="002C2872">
        <w:t>ing</w:t>
      </w:r>
      <w:r w:rsidRPr="002033B3">
        <w:t xml:space="preserve"> on the ‘</w:t>
      </w:r>
      <w:r w:rsidR="00AB3A76" w:rsidRPr="002033B3">
        <w:t xml:space="preserve">The </w:t>
      </w:r>
      <w:r w:rsidRPr="002033B3">
        <w:t xml:space="preserve">Environment, Human Rights and </w:t>
      </w:r>
      <w:r w:rsidR="002256B5" w:rsidRPr="002033B3">
        <w:t>the Windsor Framework</w:t>
      </w:r>
      <w:r w:rsidRPr="002033B3">
        <w:t>’ Report</w:t>
      </w:r>
    </w:p>
    <w:p w14:paraId="1A9CF146" w14:textId="77777777" w:rsidR="00F31387" w:rsidRPr="002033B3" w:rsidRDefault="00F31387" w:rsidP="002033B3">
      <w:pPr>
        <w:pStyle w:val="Default"/>
        <w:spacing w:line="276" w:lineRule="auto"/>
        <w:jc w:val="center"/>
        <w:rPr>
          <w:rFonts w:cs="Arial"/>
          <w:b/>
          <w:bCs/>
          <w:color w:val="77328A"/>
          <w:sz w:val="36"/>
          <w:szCs w:val="36"/>
          <w:lang w:val="en-GB"/>
        </w:rPr>
      </w:pPr>
    </w:p>
    <w:p w14:paraId="3F2C1387" w14:textId="2B89E31B" w:rsidR="008159E8" w:rsidRPr="002033B3" w:rsidRDefault="00C438EB" w:rsidP="002033B3">
      <w:pPr>
        <w:spacing w:line="276" w:lineRule="auto"/>
        <w:jc w:val="center"/>
        <w:rPr>
          <w:b/>
          <w:bCs/>
          <w:sz w:val="28"/>
          <w:szCs w:val="28"/>
        </w:rPr>
      </w:pPr>
      <w:r w:rsidRPr="002033B3">
        <w:rPr>
          <w:b/>
          <w:bCs/>
          <w:sz w:val="28"/>
          <w:szCs w:val="28"/>
        </w:rPr>
        <w:t>June</w:t>
      </w:r>
      <w:r w:rsidR="00F31387" w:rsidRPr="002033B3">
        <w:rPr>
          <w:b/>
          <w:bCs/>
          <w:sz w:val="28"/>
          <w:szCs w:val="28"/>
        </w:rPr>
        <w:t xml:space="preserve"> </w:t>
      </w:r>
      <w:r w:rsidRPr="002033B3">
        <w:rPr>
          <w:b/>
          <w:bCs/>
          <w:sz w:val="28"/>
          <w:szCs w:val="28"/>
        </w:rPr>
        <w:t>2025</w:t>
      </w:r>
    </w:p>
    <w:p w14:paraId="7F49C303" w14:textId="77777777" w:rsidR="00046705" w:rsidRPr="002033B3" w:rsidRDefault="00046705" w:rsidP="002033B3">
      <w:pPr>
        <w:spacing w:line="276" w:lineRule="auto"/>
      </w:pPr>
    </w:p>
    <w:p w14:paraId="4BCB504A" w14:textId="77777777" w:rsidR="00046705" w:rsidRPr="002033B3" w:rsidRDefault="00046705" w:rsidP="002033B3">
      <w:pPr>
        <w:spacing w:line="276" w:lineRule="auto"/>
      </w:pPr>
    </w:p>
    <w:p w14:paraId="3412FC1C" w14:textId="77777777" w:rsidR="00EA12CE" w:rsidRPr="002033B3" w:rsidRDefault="00EA12CE" w:rsidP="002033B3">
      <w:pPr>
        <w:pStyle w:val="Default"/>
        <w:spacing w:line="276" w:lineRule="auto"/>
        <w:jc w:val="center"/>
        <w:rPr>
          <w:rFonts w:cs="Arial"/>
          <w:b/>
          <w:color w:val="232120"/>
          <w:sz w:val="28"/>
          <w:szCs w:val="28"/>
          <w:lang w:val="en-GB"/>
        </w:rPr>
      </w:pPr>
    </w:p>
    <w:p w14:paraId="704B356A" w14:textId="77777777" w:rsidR="003B7D0E" w:rsidRPr="002033B3" w:rsidRDefault="003B7D0E" w:rsidP="002033B3">
      <w:pPr>
        <w:pStyle w:val="Default"/>
        <w:spacing w:line="276" w:lineRule="auto"/>
        <w:jc w:val="center"/>
        <w:rPr>
          <w:rFonts w:cs="Arial"/>
          <w:b/>
          <w:color w:val="232120"/>
          <w:sz w:val="36"/>
          <w:szCs w:val="36"/>
          <w:lang w:val="en-GB"/>
        </w:rPr>
      </w:pPr>
    </w:p>
    <w:p w14:paraId="104D0811" w14:textId="77777777" w:rsidR="003B7D0E" w:rsidRPr="002033B3" w:rsidRDefault="003B7D0E" w:rsidP="002033B3">
      <w:pPr>
        <w:pStyle w:val="Default"/>
        <w:spacing w:line="276" w:lineRule="auto"/>
        <w:jc w:val="center"/>
        <w:rPr>
          <w:rFonts w:cs="Arial"/>
          <w:b/>
          <w:color w:val="232120"/>
          <w:sz w:val="36"/>
          <w:szCs w:val="36"/>
          <w:lang w:val="en-GB"/>
        </w:rPr>
      </w:pPr>
    </w:p>
    <w:p w14:paraId="37D8FDD7" w14:textId="77777777" w:rsidR="00063BD4" w:rsidRPr="002033B3" w:rsidRDefault="00063BD4" w:rsidP="002033B3">
      <w:pPr>
        <w:spacing w:line="276" w:lineRule="auto"/>
        <w:contextualSpacing w:val="0"/>
        <w:rPr>
          <w:rFonts w:eastAsiaTheme="minorEastAsia" w:cs="Arial"/>
          <w:b/>
          <w:color w:val="77328A"/>
          <w:kern w:val="0"/>
          <w:sz w:val="36"/>
          <w:szCs w:val="36"/>
          <w14:ligatures w14:val="none"/>
        </w:rPr>
      </w:pPr>
      <w:r w:rsidRPr="002033B3">
        <w:rPr>
          <w:rFonts w:cs="Arial"/>
          <w:b/>
          <w:color w:val="77328A"/>
          <w:sz w:val="36"/>
          <w:szCs w:val="36"/>
        </w:rPr>
        <w:br w:type="page"/>
      </w:r>
    </w:p>
    <w:p w14:paraId="79E3F007" w14:textId="787B9390" w:rsidR="00EA12CE" w:rsidRPr="002033B3" w:rsidRDefault="00EA12CE" w:rsidP="002033B3">
      <w:pPr>
        <w:pStyle w:val="Default"/>
        <w:spacing w:line="276" w:lineRule="auto"/>
        <w:rPr>
          <w:rFonts w:cs="Arial"/>
          <w:b/>
          <w:color w:val="3C3C3B"/>
          <w:sz w:val="36"/>
          <w:szCs w:val="36"/>
          <w:lang w:val="en-GB"/>
        </w:rPr>
      </w:pPr>
      <w:r w:rsidRPr="00004C40">
        <w:rPr>
          <w:rFonts w:cs="Arial"/>
          <w:b/>
          <w:color w:val="77328A"/>
          <w:sz w:val="36"/>
          <w:szCs w:val="36"/>
          <w:lang w:val="en-GB"/>
        </w:rPr>
        <w:lastRenderedPageBreak/>
        <w:t>Table of Contents</w:t>
      </w:r>
    </w:p>
    <w:p w14:paraId="22E47103" w14:textId="16D186BB" w:rsidR="00F44AFD" w:rsidRDefault="008D7AD3">
      <w:pPr>
        <w:pStyle w:val="TOC2"/>
        <w:tabs>
          <w:tab w:val="right" w:leader="dot" w:pos="9848"/>
        </w:tabs>
        <w:rPr>
          <w:rFonts w:asciiTheme="minorHAnsi" w:hAnsiTheme="minorHAnsi" w:cstheme="minorBidi"/>
          <w:noProof/>
          <w:kern w:val="2"/>
          <w:szCs w:val="24"/>
          <w:lang w:val="en-GB" w:eastAsia="en-GB"/>
          <w14:ligatures w14:val="standardContextual"/>
        </w:rPr>
      </w:pPr>
      <w:r w:rsidRPr="002033B3">
        <w:rPr>
          <w:rFonts w:eastAsiaTheme="minorHAnsi" w:cs="Arial"/>
          <w:b/>
          <w:color w:val="232120"/>
          <w:kern w:val="2"/>
          <w14:ligatures w14:val="standardContextual"/>
        </w:rPr>
        <w:fldChar w:fldCharType="begin"/>
      </w:r>
      <w:r w:rsidRPr="002033B3">
        <w:rPr>
          <w:rFonts w:cs="Arial"/>
          <w:color w:val="232120"/>
        </w:rPr>
        <w:instrText xml:space="preserve"> TOC \o "1-3" \h \z \u </w:instrText>
      </w:r>
      <w:r w:rsidRPr="002033B3">
        <w:rPr>
          <w:rFonts w:eastAsiaTheme="minorHAnsi" w:cs="Arial"/>
          <w:b/>
          <w:color w:val="232120"/>
          <w:kern w:val="2"/>
          <w14:ligatures w14:val="standardContextual"/>
        </w:rPr>
        <w:fldChar w:fldCharType="separate"/>
      </w:r>
      <w:hyperlink w:anchor="_Toc201578291" w:history="1">
        <w:r w:rsidR="00F44AFD" w:rsidRPr="00BA3728">
          <w:rPr>
            <w:rStyle w:val="Hyperlink"/>
            <w:noProof/>
          </w:rPr>
          <w:t>Summary of Recommendations</w:t>
        </w:r>
        <w:r w:rsidR="00F44AFD">
          <w:rPr>
            <w:noProof/>
            <w:webHidden/>
          </w:rPr>
          <w:tab/>
        </w:r>
        <w:r w:rsidR="00F44AFD">
          <w:rPr>
            <w:noProof/>
            <w:webHidden/>
          </w:rPr>
          <w:fldChar w:fldCharType="begin"/>
        </w:r>
        <w:r w:rsidR="00F44AFD">
          <w:rPr>
            <w:noProof/>
            <w:webHidden/>
          </w:rPr>
          <w:instrText xml:space="preserve"> PAGEREF _Toc201578291 \h </w:instrText>
        </w:r>
        <w:r w:rsidR="00F44AFD">
          <w:rPr>
            <w:noProof/>
            <w:webHidden/>
          </w:rPr>
        </w:r>
        <w:r w:rsidR="00F44AFD">
          <w:rPr>
            <w:noProof/>
            <w:webHidden/>
          </w:rPr>
          <w:fldChar w:fldCharType="separate"/>
        </w:r>
        <w:r w:rsidR="00D66FDE">
          <w:rPr>
            <w:noProof/>
            <w:webHidden/>
          </w:rPr>
          <w:t>3</w:t>
        </w:r>
        <w:r w:rsidR="00F44AFD">
          <w:rPr>
            <w:noProof/>
            <w:webHidden/>
          </w:rPr>
          <w:fldChar w:fldCharType="end"/>
        </w:r>
      </w:hyperlink>
    </w:p>
    <w:p w14:paraId="30D04E04" w14:textId="54169AA3" w:rsidR="00F44AFD" w:rsidRDefault="00F44AFD">
      <w:pPr>
        <w:pStyle w:val="TOC1"/>
        <w:rPr>
          <w:rFonts w:asciiTheme="minorHAnsi" w:eastAsiaTheme="minorEastAsia" w:hAnsiTheme="minorHAnsi"/>
          <w:b w:val="0"/>
          <w:noProof/>
          <w:lang w:eastAsia="en-GB"/>
        </w:rPr>
      </w:pPr>
      <w:hyperlink w:anchor="_Toc201578292" w:history="1">
        <w:r w:rsidRPr="00BA3728">
          <w:rPr>
            <w:rStyle w:val="Hyperlink"/>
            <w:noProof/>
          </w:rPr>
          <w:t>1.0</w:t>
        </w:r>
        <w:r>
          <w:rPr>
            <w:rFonts w:asciiTheme="minorHAnsi" w:eastAsiaTheme="minorEastAsia" w:hAnsiTheme="minorHAnsi"/>
            <w:b w:val="0"/>
            <w:noProof/>
            <w:lang w:eastAsia="en-GB"/>
          </w:rPr>
          <w:tab/>
        </w:r>
        <w:r w:rsidRPr="00BA3728">
          <w:rPr>
            <w:rStyle w:val="Hyperlink"/>
            <w:noProof/>
          </w:rPr>
          <w:t>Introduction</w:t>
        </w:r>
        <w:r>
          <w:rPr>
            <w:noProof/>
            <w:webHidden/>
          </w:rPr>
          <w:tab/>
        </w:r>
        <w:r>
          <w:rPr>
            <w:noProof/>
            <w:webHidden/>
          </w:rPr>
          <w:fldChar w:fldCharType="begin"/>
        </w:r>
        <w:r>
          <w:rPr>
            <w:noProof/>
            <w:webHidden/>
          </w:rPr>
          <w:instrText xml:space="preserve"> PAGEREF _Toc201578292 \h </w:instrText>
        </w:r>
        <w:r>
          <w:rPr>
            <w:noProof/>
            <w:webHidden/>
          </w:rPr>
        </w:r>
        <w:r>
          <w:rPr>
            <w:noProof/>
            <w:webHidden/>
          </w:rPr>
          <w:fldChar w:fldCharType="separate"/>
        </w:r>
        <w:r w:rsidR="00D66FDE">
          <w:rPr>
            <w:noProof/>
            <w:webHidden/>
          </w:rPr>
          <w:t>5</w:t>
        </w:r>
        <w:r>
          <w:rPr>
            <w:noProof/>
            <w:webHidden/>
          </w:rPr>
          <w:fldChar w:fldCharType="end"/>
        </w:r>
      </w:hyperlink>
    </w:p>
    <w:p w14:paraId="424DC5B2" w14:textId="1B35C407" w:rsidR="00F44AFD" w:rsidRDefault="00F44AFD">
      <w:pPr>
        <w:pStyle w:val="TOC1"/>
        <w:rPr>
          <w:rFonts w:asciiTheme="minorHAnsi" w:eastAsiaTheme="minorEastAsia" w:hAnsiTheme="minorHAnsi"/>
          <w:b w:val="0"/>
          <w:noProof/>
          <w:lang w:eastAsia="en-GB"/>
        </w:rPr>
      </w:pPr>
      <w:hyperlink w:anchor="_Toc201578293" w:history="1">
        <w:r w:rsidRPr="00BA3728">
          <w:rPr>
            <w:rStyle w:val="Hyperlink"/>
            <w:noProof/>
          </w:rPr>
          <w:t>2.0</w:t>
        </w:r>
        <w:r>
          <w:rPr>
            <w:rFonts w:asciiTheme="minorHAnsi" w:eastAsiaTheme="minorEastAsia" w:hAnsiTheme="minorHAnsi"/>
            <w:b w:val="0"/>
            <w:noProof/>
            <w:lang w:eastAsia="en-GB"/>
          </w:rPr>
          <w:tab/>
        </w:r>
        <w:r w:rsidRPr="00BA3728">
          <w:rPr>
            <w:rStyle w:val="Hyperlink"/>
            <w:noProof/>
          </w:rPr>
          <w:t>Overview of Article 2</w:t>
        </w:r>
        <w:r>
          <w:rPr>
            <w:noProof/>
            <w:webHidden/>
          </w:rPr>
          <w:tab/>
        </w:r>
        <w:r>
          <w:rPr>
            <w:noProof/>
            <w:webHidden/>
          </w:rPr>
          <w:fldChar w:fldCharType="begin"/>
        </w:r>
        <w:r>
          <w:rPr>
            <w:noProof/>
            <w:webHidden/>
          </w:rPr>
          <w:instrText xml:space="preserve"> PAGEREF _Toc201578293 \h </w:instrText>
        </w:r>
        <w:r>
          <w:rPr>
            <w:noProof/>
            <w:webHidden/>
          </w:rPr>
        </w:r>
        <w:r>
          <w:rPr>
            <w:noProof/>
            <w:webHidden/>
          </w:rPr>
          <w:fldChar w:fldCharType="separate"/>
        </w:r>
        <w:r w:rsidR="00D66FDE">
          <w:rPr>
            <w:noProof/>
            <w:webHidden/>
          </w:rPr>
          <w:t>7</w:t>
        </w:r>
        <w:r>
          <w:rPr>
            <w:noProof/>
            <w:webHidden/>
          </w:rPr>
          <w:fldChar w:fldCharType="end"/>
        </w:r>
      </w:hyperlink>
    </w:p>
    <w:p w14:paraId="3CA61A20" w14:textId="4788092F" w:rsidR="00F44AFD" w:rsidRDefault="00F44AFD">
      <w:pPr>
        <w:pStyle w:val="TOC1"/>
        <w:rPr>
          <w:rFonts w:asciiTheme="minorHAnsi" w:eastAsiaTheme="minorEastAsia" w:hAnsiTheme="minorHAnsi"/>
          <w:b w:val="0"/>
          <w:noProof/>
          <w:lang w:eastAsia="en-GB"/>
        </w:rPr>
      </w:pPr>
      <w:hyperlink w:anchor="_Toc201578294" w:history="1">
        <w:r w:rsidRPr="00BA3728">
          <w:rPr>
            <w:rStyle w:val="Hyperlink"/>
            <w:noProof/>
          </w:rPr>
          <w:t>3.0</w:t>
        </w:r>
        <w:r>
          <w:rPr>
            <w:rFonts w:asciiTheme="minorHAnsi" w:eastAsiaTheme="minorEastAsia" w:hAnsiTheme="minorHAnsi"/>
            <w:b w:val="0"/>
            <w:noProof/>
            <w:lang w:eastAsia="en-GB"/>
          </w:rPr>
          <w:tab/>
        </w:r>
        <w:r w:rsidRPr="00BA3728">
          <w:rPr>
            <w:rStyle w:val="Hyperlink"/>
            <w:noProof/>
          </w:rPr>
          <w:t>Environment, Human Rights and the Belfast (Good Friday)Agreement</w:t>
        </w:r>
        <w:r>
          <w:rPr>
            <w:noProof/>
            <w:webHidden/>
          </w:rPr>
          <w:tab/>
        </w:r>
        <w:r>
          <w:rPr>
            <w:noProof/>
            <w:webHidden/>
          </w:rPr>
          <w:fldChar w:fldCharType="begin"/>
        </w:r>
        <w:r>
          <w:rPr>
            <w:noProof/>
            <w:webHidden/>
          </w:rPr>
          <w:instrText xml:space="preserve"> PAGEREF _Toc201578294 \h </w:instrText>
        </w:r>
        <w:r>
          <w:rPr>
            <w:noProof/>
            <w:webHidden/>
          </w:rPr>
        </w:r>
        <w:r>
          <w:rPr>
            <w:noProof/>
            <w:webHidden/>
          </w:rPr>
          <w:fldChar w:fldCharType="separate"/>
        </w:r>
        <w:r w:rsidR="00D66FDE">
          <w:rPr>
            <w:noProof/>
            <w:webHidden/>
          </w:rPr>
          <w:t>11</w:t>
        </w:r>
        <w:r>
          <w:rPr>
            <w:noProof/>
            <w:webHidden/>
          </w:rPr>
          <w:fldChar w:fldCharType="end"/>
        </w:r>
      </w:hyperlink>
    </w:p>
    <w:p w14:paraId="4B451D02" w14:textId="372E2B3B" w:rsidR="00F44AFD" w:rsidRDefault="00F44AFD">
      <w:pPr>
        <w:pStyle w:val="TOC2"/>
        <w:tabs>
          <w:tab w:val="right" w:leader="dot" w:pos="9848"/>
        </w:tabs>
        <w:rPr>
          <w:rFonts w:asciiTheme="minorHAnsi" w:hAnsiTheme="minorHAnsi" w:cstheme="minorBidi"/>
          <w:noProof/>
          <w:kern w:val="2"/>
          <w:szCs w:val="24"/>
          <w:lang w:val="en-GB" w:eastAsia="en-GB"/>
          <w14:ligatures w14:val="standardContextual"/>
        </w:rPr>
      </w:pPr>
      <w:hyperlink w:anchor="_Toc201578295" w:history="1">
        <w:r w:rsidRPr="00BA3728">
          <w:rPr>
            <w:rStyle w:val="Hyperlink"/>
            <w:noProof/>
          </w:rPr>
          <w:t>Human Rights and the Environment</w:t>
        </w:r>
        <w:r>
          <w:rPr>
            <w:noProof/>
            <w:webHidden/>
          </w:rPr>
          <w:tab/>
        </w:r>
        <w:r>
          <w:rPr>
            <w:noProof/>
            <w:webHidden/>
          </w:rPr>
          <w:fldChar w:fldCharType="begin"/>
        </w:r>
        <w:r>
          <w:rPr>
            <w:noProof/>
            <w:webHidden/>
          </w:rPr>
          <w:instrText xml:space="preserve"> PAGEREF _Toc201578295 \h </w:instrText>
        </w:r>
        <w:r>
          <w:rPr>
            <w:noProof/>
            <w:webHidden/>
          </w:rPr>
        </w:r>
        <w:r>
          <w:rPr>
            <w:noProof/>
            <w:webHidden/>
          </w:rPr>
          <w:fldChar w:fldCharType="separate"/>
        </w:r>
        <w:r w:rsidR="00D66FDE">
          <w:rPr>
            <w:noProof/>
            <w:webHidden/>
          </w:rPr>
          <w:t>11</w:t>
        </w:r>
        <w:r>
          <w:rPr>
            <w:noProof/>
            <w:webHidden/>
          </w:rPr>
          <w:fldChar w:fldCharType="end"/>
        </w:r>
      </w:hyperlink>
    </w:p>
    <w:p w14:paraId="3576B855" w14:textId="2488C9C8" w:rsidR="00F44AFD" w:rsidRDefault="00F44AFD">
      <w:pPr>
        <w:pStyle w:val="TOC2"/>
        <w:tabs>
          <w:tab w:val="right" w:leader="dot" w:pos="9848"/>
        </w:tabs>
        <w:rPr>
          <w:rFonts w:asciiTheme="minorHAnsi" w:hAnsiTheme="minorHAnsi" w:cstheme="minorBidi"/>
          <w:noProof/>
          <w:kern w:val="2"/>
          <w:szCs w:val="24"/>
          <w:lang w:val="en-GB" w:eastAsia="en-GB"/>
          <w14:ligatures w14:val="standardContextual"/>
        </w:rPr>
      </w:pPr>
      <w:hyperlink w:anchor="_Toc201578296" w:history="1">
        <w:r w:rsidRPr="00BA3728">
          <w:rPr>
            <w:rStyle w:val="Hyperlink"/>
            <w:noProof/>
          </w:rPr>
          <w:t>Rights, Safeguards and Equality of Opportunity and the Environment</w:t>
        </w:r>
        <w:r>
          <w:rPr>
            <w:noProof/>
            <w:webHidden/>
          </w:rPr>
          <w:tab/>
        </w:r>
        <w:r>
          <w:rPr>
            <w:noProof/>
            <w:webHidden/>
          </w:rPr>
          <w:fldChar w:fldCharType="begin"/>
        </w:r>
        <w:r>
          <w:rPr>
            <w:noProof/>
            <w:webHidden/>
          </w:rPr>
          <w:instrText xml:space="preserve"> PAGEREF _Toc201578296 \h </w:instrText>
        </w:r>
        <w:r>
          <w:rPr>
            <w:noProof/>
            <w:webHidden/>
          </w:rPr>
        </w:r>
        <w:r>
          <w:rPr>
            <w:noProof/>
            <w:webHidden/>
          </w:rPr>
          <w:fldChar w:fldCharType="separate"/>
        </w:r>
        <w:r w:rsidR="00D66FDE">
          <w:rPr>
            <w:noProof/>
            <w:webHidden/>
          </w:rPr>
          <w:t>11</w:t>
        </w:r>
        <w:r>
          <w:rPr>
            <w:noProof/>
            <w:webHidden/>
          </w:rPr>
          <w:fldChar w:fldCharType="end"/>
        </w:r>
      </w:hyperlink>
    </w:p>
    <w:p w14:paraId="268A7038" w14:textId="7469258E" w:rsidR="00F44AFD" w:rsidRDefault="00F44AFD">
      <w:pPr>
        <w:pStyle w:val="TOC1"/>
        <w:rPr>
          <w:rFonts w:asciiTheme="minorHAnsi" w:eastAsiaTheme="minorEastAsia" w:hAnsiTheme="minorHAnsi"/>
          <w:b w:val="0"/>
          <w:noProof/>
          <w:lang w:eastAsia="en-GB"/>
        </w:rPr>
      </w:pPr>
      <w:hyperlink w:anchor="_Toc201578297" w:history="1">
        <w:r w:rsidRPr="00BA3728">
          <w:rPr>
            <w:rStyle w:val="Hyperlink"/>
            <w:noProof/>
          </w:rPr>
          <w:t>4.0</w:t>
        </w:r>
        <w:r>
          <w:rPr>
            <w:rFonts w:asciiTheme="minorHAnsi" w:eastAsiaTheme="minorEastAsia" w:hAnsiTheme="minorHAnsi"/>
            <w:b w:val="0"/>
            <w:noProof/>
            <w:lang w:eastAsia="en-GB"/>
          </w:rPr>
          <w:tab/>
        </w:r>
        <w:r w:rsidRPr="00BA3728">
          <w:rPr>
            <w:rStyle w:val="Hyperlink"/>
            <w:noProof/>
          </w:rPr>
          <w:t>EU Environmental Law Underpinning Human Rights Connected to the Environment</w:t>
        </w:r>
        <w:r>
          <w:rPr>
            <w:noProof/>
            <w:webHidden/>
          </w:rPr>
          <w:tab/>
        </w:r>
        <w:r>
          <w:rPr>
            <w:noProof/>
            <w:webHidden/>
          </w:rPr>
          <w:fldChar w:fldCharType="begin"/>
        </w:r>
        <w:r>
          <w:rPr>
            <w:noProof/>
            <w:webHidden/>
          </w:rPr>
          <w:instrText xml:space="preserve"> PAGEREF _Toc201578297 \h </w:instrText>
        </w:r>
        <w:r>
          <w:rPr>
            <w:noProof/>
            <w:webHidden/>
          </w:rPr>
        </w:r>
        <w:r>
          <w:rPr>
            <w:noProof/>
            <w:webHidden/>
          </w:rPr>
          <w:fldChar w:fldCharType="separate"/>
        </w:r>
        <w:r w:rsidR="00D66FDE">
          <w:rPr>
            <w:noProof/>
            <w:webHidden/>
          </w:rPr>
          <w:t>14</w:t>
        </w:r>
        <w:r>
          <w:rPr>
            <w:noProof/>
            <w:webHidden/>
          </w:rPr>
          <w:fldChar w:fldCharType="end"/>
        </w:r>
      </w:hyperlink>
    </w:p>
    <w:p w14:paraId="27FFD7EE" w14:textId="2B0CED04" w:rsidR="00F44AFD" w:rsidRDefault="00F44AFD">
      <w:pPr>
        <w:pStyle w:val="TOC2"/>
        <w:tabs>
          <w:tab w:val="right" w:leader="dot" w:pos="9848"/>
        </w:tabs>
        <w:rPr>
          <w:rFonts w:asciiTheme="minorHAnsi" w:hAnsiTheme="minorHAnsi" w:cstheme="minorBidi"/>
          <w:noProof/>
          <w:kern w:val="2"/>
          <w:szCs w:val="24"/>
          <w:lang w:val="en-GB" w:eastAsia="en-GB"/>
          <w14:ligatures w14:val="standardContextual"/>
        </w:rPr>
      </w:pPr>
      <w:hyperlink w:anchor="_Toc201578298" w:history="1">
        <w:r w:rsidRPr="00BA3728">
          <w:rPr>
            <w:rStyle w:val="Hyperlink"/>
            <w:noProof/>
          </w:rPr>
          <w:t>Nature and Scope of EU Environmental Law</w:t>
        </w:r>
        <w:r>
          <w:rPr>
            <w:noProof/>
            <w:webHidden/>
          </w:rPr>
          <w:tab/>
        </w:r>
        <w:r>
          <w:rPr>
            <w:noProof/>
            <w:webHidden/>
          </w:rPr>
          <w:fldChar w:fldCharType="begin"/>
        </w:r>
        <w:r>
          <w:rPr>
            <w:noProof/>
            <w:webHidden/>
          </w:rPr>
          <w:instrText xml:space="preserve"> PAGEREF _Toc201578298 \h </w:instrText>
        </w:r>
        <w:r>
          <w:rPr>
            <w:noProof/>
            <w:webHidden/>
          </w:rPr>
        </w:r>
        <w:r>
          <w:rPr>
            <w:noProof/>
            <w:webHidden/>
          </w:rPr>
          <w:fldChar w:fldCharType="separate"/>
        </w:r>
        <w:r w:rsidR="00D66FDE">
          <w:rPr>
            <w:noProof/>
            <w:webHidden/>
          </w:rPr>
          <w:t>14</w:t>
        </w:r>
        <w:r>
          <w:rPr>
            <w:noProof/>
            <w:webHidden/>
          </w:rPr>
          <w:fldChar w:fldCharType="end"/>
        </w:r>
      </w:hyperlink>
    </w:p>
    <w:p w14:paraId="1D0B9929" w14:textId="15634201" w:rsidR="00F44AFD" w:rsidRDefault="00F44AFD">
      <w:pPr>
        <w:pStyle w:val="TOC3"/>
        <w:tabs>
          <w:tab w:val="right" w:leader="dot" w:pos="9848"/>
        </w:tabs>
        <w:rPr>
          <w:rFonts w:asciiTheme="minorHAnsi" w:hAnsiTheme="minorHAnsi" w:cstheme="minorBidi"/>
          <w:noProof/>
          <w:kern w:val="2"/>
          <w:szCs w:val="24"/>
          <w:lang w:val="en-GB" w:eastAsia="en-GB"/>
          <w14:ligatures w14:val="standardContextual"/>
        </w:rPr>
      </w:pPr>
      <w:hyperlink w:anchor="_Toc201578299" w:history="1">
        <w:r w:rsidRPr="00BA3728">
          <w:rPr>
            <w:rStyle w:val="Hyperlink"/>
            <w:noProof/>
          </w:rPr>
          <w:t>EU treaties</w:t>
        </w:r>
        <w:r>
          <w:rPr>
            <w:noProof/>
            <w:webHidden/>
          </w:rPr>
          <w:tab/>
        </w:r>
        <w:r>
          <w:rPr>
            <w:noProof/>
            <w:webHidden/>
          </w:rPr>
          <w:fldChar w:fldCharType="begin"/>
        </w:r>
        <w:r>
          <w:rPr>
            <w:noProof/>
            <w:webHidden/>
          </w:rPr>
          <w:instrText xml:space="preserve"> PAGEREF _Toc201578299 \h </w:instrText>
        </w:r>
        <w:r>
          <w:rPr>
            <w:noProof/>
            <w:webHidden/>
          </w:rPr>
        </w:r>
        <w:r>
          <w:rPr>
            <w:noProof/>
            <w:webHidden/>
          </w:rPr>
          <w:fldChar w:fldCharType="separate"/>
        </w:r>
        <w:r w:rsidR="00D66FDE">
          <w:rPr>
            <w:noProof/>
            <w:webHidden/>
          </w:rPr>
          <w:t>15</w:t>
        </w:r>
        <w:r>
          <w:rPr>
            <w:noProof/>
            <w:webHidden/>
          </w:rPr>
          <w:fldChar w:fldCharType="end"/>
        </w:r>
      </w:hyperlink>
    </w:p>
    <w:p w14:paraId="60FF693F" w14:textId="2AFF7AF3" w:rsidR="00F44AFD" w:rsidRDefault="00F44AFD">
      <w:pPr>
        <w:pStyle w:val="TOC3"/>
        <w:tabs>
          <w:tab w:val="right" w:leader="dot" w:pos="9848"/>
        </w:tabs>
        <w:rPr>
          <w:rFonts w:asciiTheme="minorHAnsi" w:hAnsiTheme="minorHAnsi" w:cstheme="minorBidi"/>
          <w:noProof/>
          <w:kern w:val="2"/>
          <w:szCs w:val="24"/>
          <w:lang w:val="en-GB" w:eastAsia="en-GB"/>
          <w14:ligatures w14:val="standardContextual"/>
        </w:rPr>
      </w:pPr>
      <w:hyperlink w:anchor="_Toc201578300" w:history="1">
        <w:r w:rsidRPr="00BA3728">
          <w:rPr>
            <w:rStyle w:val="Hyperlink"/>
            <w:noProof/>
          </w:rPr>
          <w:t>EU Charter of Fundamental Rights</w:t>
        </w:r>
        <w:r>
          <w:rPr>
            <w:noProof/>
            <w:webHidden/>
          </w:rPr>
          <w:tab/>
        </w:r>
        <w:r>
          <w:rPr>
            <w:noProof/>
            <w:webHidden/>
          </w:rPr>
          <w:fldChar w:fldCharType="begin"/>
        </w:r>
        <w:r>
          <w:rPr>
            <w:noProof/>
            <w:webHidden/>
          </w:rPr>
          <w:instrText xml:space="preserve"> PAGEREF _Toc201578300 \h </w:instrText>
        </w:r>
        <w:r>
          <w:rPr>
            <w:noProof/>
            <w:webHidden/>
          </w:rPr>
        </w:r>
        <w:r>
          <w:rPr>
            <w:noProof/>
            <w:webHidden/>
          </w:rPr>
          <w:fldChar w:fldCharType="separate"/>
        </w:r>
        <w:r w:rsidR="00D66FDE">
          <w:rPr>
            <w:noProof/>
            <w:webHidden/>
          </w:rPr>
          <w:t>15</w:t>
        </w:r>
        <w:r>
          <w:rPr>
            <w:noProof/>
            <w:webHidden/>
          </w:rPr>
          <w:fldChar w:fldCharType="end"/>
        </w:r>
      </w:hyperlink>
    </w:p>
    <w:p w14:paraId="41758E4C" w14:textId="321AFA1C" w:rsidR="00F44AFD" w:rsidRDefault="00F44AFD">
      <w:pPr>
        <w:pStyle w:val="TOC3"/>
        <w:tabs>
          <w:tab w:val="right" w:leader="dot" w:pos="9848"/>
        </w:tabs>
        <w:rPr>
          <w:rFonts w:asciiTheme="minorHAnsi" w:hAnsiTheme="minorHAnsi" w:cstheme="minorBidi"/>
          <w:noProof/>
          <w:kern w:val="2"/>
          <w:szCs w:val="24"/>
          <w:lang w:val="en-GB" w:eastAsia="en-GB"/>
          <w14:ligatures w14:val="standardContextual"/>
        </w:rPr>
      </w:pPr>
      <w:hyperlink w:anchor="_Toc201578301" w:history="1">
        <w:r w:rsidRPr="00BA3728">
          <w:rPr>
            <w:rStyle w:val="Hyperlink"/>
            <w:noProof/>
          </w:rPr>
          <w:t>General principles of EU law</w:t>
        </w:r>
        <w:r>
          <w:rPr>
            <w:noProof/>
            <w:webHidden/>
          </w:rPr>
          <w:tab/>
        </w:r>
        <w:r>
          <w:rPr>
            <w:noProof/>
            <w:webHidden/>
          </w:rPr>
          <w:fldChar w:fldCharType="begin"/>
        </w:r>
        <w:r>
          <w:rPr>
            <w:noProof/>
            <w:webHidden/>
          </w:rPr>
          <w:instrText xml:space="preserve"> PAGEREF _Toc201578301 \h </w:instrText>
        </w:r>
        <w:r>
          <w:rPr>
            <w:noProof/>
            <w:webHidden/>
          </w:rPr>
        </w:r>
        <w:r>
          <w:rPr>
            <w:noProof/>
            <w:webHidden/>
          </w:rPr>
          <w:fldChar w:fldCharType="separate"/>
        </w:r>
        <w:r w:rsidR="00D66FDE">
          <w:rPr>
            <w:noProof/>
            <w:webHidden/>
          </w:rPr>
          <w:t>16</w:t>
        </w:r>
        <w:r>
          <w:rPr>
            <w:noProof/>
            <w:webHidden/>
          </w:rPr>
          <w:fldChar w:fldCharType="end"/>
        </w:r>
      </w:hyperlink>
    </w:p>
    <w:p w14:paraId="55E0CF7A" w14:textId="3E86692F" w:rsidR="00F44AFD" w:rsidRDefault="00F44AFD">
      <w:pPr>
        <w:pStyle w:val="TOC3"/>
        <w:tabs>
          <w:tab w:val="right" w:leader="dot" w:pos="9848"/>
        </w:tabs>
        <w:rPr>
          <w:rFonts w:asciiTheme="minorHAnsi" w:hAnsiTheme="minorHAnsi" w:cstheme="minorBidi"/>
          <w:noProof/>
          <w:kern w:val="2"/>
          <w:szCs w:val="24"/>
          <w:lang w:val="en-GB" w:eastAsia="en-GB"/>
          <w14:ligatures w14:val="standardContextual"/>
        </w:rPr>
      </w:pPr>
      <w:hyperlink w:anchor="_Toc201578302" w:history="1">
        <w:r w:rsidRPr="00BA3728">
          <w:rPr>
            <w:rStyle w:val="Hyperlink"/>
            <w:noProof/>
          </w:rPr>
          <w:t>International Agreements to which the EU is party: Aarhus Convention</w:t>
        </w:r>
        <w:r>
          <w:rPr>
            <w:noProof/>
            <w:webHidden/>
          </w:rPr>
          <w:tab/>
        </w:r>
        <w:r>
          <w:rPr>
            <w:noProof/>
            <w:webHidden/>
          </w:rPr>
          <w:fldChar w:fldCharType="begin"/>
        </w:r>
        <w:r>
          <w:rPr>
            <w:noProof/>
            <w:webHidden/>
          </w:rPr>
          <w:instrText xml:space="preserve"> PAGEREF _Toc201578302 \h </w:instrText>
        </w:r>
        <w:r>
          <w:rPr>
            <w:noProof/>
            <w:webHidden/>
          </w:rPr>
        </w:r>
        <w:r>
          <w:rPr>
            <w:noProof/>
            <w:webHidden/>
          </w:rPr>
          <w:fldChar w:fldCharType="separate"/>
        </w:r>
        <w:r w:rsidR="00D66FDE">
          <w:rPr>
            <w:noProof/>
            <w:webHidden/>
          </w:rPr>
          <w:t>16</w:t>
        </w:r>
        <w:r>
          <w:rPr>
            <w:noProof/>
            <w:webHidden/>
          </w:rPr>
          <w:fldChar w:fldCharType="end"/>
        </w:r>
      </w:hyperlink>
    </w:p>
    <w:p w14:paraId="2C845B4E" w14:textId="0C3E6AFD" w:rsidR="00F44AFD" w:rsidRDefault="00F44AFD">
      <w:pPr>
        <w:pStyle w:val="TOC3"/>
        <w:tabs>
          <w:tab w:val="right" w:leader="dot" w:pos="9848"/>
        </w:tabs>
        <w:rPr>
          <w:rFonts w:asciiTheme="minorHAnsi" w:hAnsiTheme="minorHAnsi" w:cstheme="minorBidi"/>
          <w:noProof/>
          <w:kern w:val="2"/>
          <w:szCs w:val="24"/>
          <w:lang w:val="en-GB" w:eastAsia="en-GB"/>
          <w14:ligatures w14:val="standardContextual"/>
        </w:rPr>
      </w:pPr>
      <w:hyperlink w:anchor="_Toc201578303" w:history="1">
        <w:r w:rsidRPr="00BA3728">
          <w:rPr>
            <w:rStyle w:val="Hyperlink"/>
            <w:noProof/>
          </w:rPr>
          <w:t>Indicative EU measures</w:t>
        </w:r>
        <w:r>
          <w:rPr>
            <w:noProof/>
            <w:webHidden/>
          </w:rPr>
          <w:tab/>
        </w:r>
        <w:r>
          <w:rPr>
            <w:noProof/>
            <w:webHidden/>
          </w:rPr>
          <w:fldChar w:fldCharType="begin"/>
        </w:r>
        <w:r>
          <w:rPr>
            <w:noProof/>
            <w:webHidden/>
          </w:rPr>
          <w:instrText xml:space="preserve"> PAGEREF _Toc201578303 \h </w:instrText>
        </w:r>
        <w:r>
          <w:rPr>
            <w:noProof/>
            <w:webHidden/>
          </w:rPr>
        </w:r>
        <w:r>
          <w:rPr>
            <w:noProof/>
            <w:webHidden/>
          </w:rPr>
          <w:fldChar w:fldCharType="separate"/>
        </w:r>
        <w:r w:rsidR="00D66FDE">
          <w:rPr>
            <w:noProof/>
            <w:webHidden/>
          </w:rPr>
          <w:t>17</w:t>
        </w:r>
        <w:r>
          <w:rPr>
            <w:noProof/>
            <w:webHidden/>
          </w:rPr>
          <w:fldChar w:fldCharType="end"/>
        </w:r>
      </w:hyperlink>
    </w:p>
    <w:p w14:paraId="6CAF8CF6" w14:textId="48DEB5D1" w:rsidR="00F44AFD" w:rsidRDefault="00F44AFD">
      <w:pPr>
        <w:pStyle w:val="TOC2"/>
        <w:tabs>
          <w:tab w:val="right" w:leader="dot" w:pos="9848"/>
        </w:tabs>
        <w:rPr>
          <w:rFonts w:asciiTheme="minorHAnsi" w:hAnsiTheme="minorHAnsi" w:cstheme="minorBidi"/>
          <w:noProof/>
          <w:kern w:val="2"/>
          <w:szCs w:val="24"/>
          <w:lang w:val="en-GB" w:eastAsia="en-GB"/>
          <w14:ligatures w14:val="standardContextual"/>
        </w:rPr>
      </w:pPr>
      <w:hyperlink w:anchor="_Toc201578304" w:history="1">
        <w:r w:rsidRPr="00BA3728">
          <w:rPr>
            <w:rStyle w:val="Hyperlink"/>
            <w:noProof/>
          </w:rPr>
          <w:t>EU Environmental Law and Human Rights</w:t>
        </w:r>
        <w:r>
          <w:rPr>
            <w:noProof/>
            <w:webHidden/>
          </w:rPr>
          <w:tab/>
        </w:r>
        <w:r>
          <w:rPr>
            <w:noProof/>
            <w:webHidden/>
          </w:rPr>
          <w:fldChar w:fldCharType="begin"/>
        </w:r>
        <w:r>
          <w:rPr>
            <w:noProof/>
            <w:webHidden/>
          </w:rPr>
          <w:instrText xml:space="preserve"> PAGEREF _Toc201578304 \h </w:instrText>
        </w:r>
        <w:r>
          <w:rPr>
            <w:noProof/>
            <w:webHidden/>
          </w:rPr>
        </w:r>
        <w:r>
          <w:rPr>
            <w:noProof/>
            <w:webHidden/>
          </w:rPr>
          <w:fldChar w:fldCharType="separate"/>
        </w:r>
        <w:r w:rsidR="00D66FDE">
          <w:rPr>
            <w:noProof/>
            <w:webHidden/>
          </w:rPr>
          <w:t>18</w:t>
        </w:r>
        <w:r>
          <w:rPr>
            <w:noProof/>
            <w:webHidden/>
          </w:rPr>
          <w:fldChar w:fldCharType="end"/>
        </w:r>
      </w:hyperlink>
    </w:p>
    <w:p w14:paraId="25BF9A1A" w14:textId="3451A12E" w:rsidR="00F44AFD" w:rsidRDefault="00F44AFD">
      <w:pPr>
        <w:pStyle w:val="TOC1"/>
        <w:rPr>
          <w:rFonts w:asciiTheme="minorHAnsi" w:eastAsiaTheme="minorEastAsia" w:hAnsiTheme="minorHAnsi"/>
          <w:b w:val="0"/>
          <w:noProof/>
          <w:lang w:eastAsia="en-GB"/>
        </w:rPr>
      </w:pPr>
      <w:hyperlink w:anchor="_Toc201578305" w:history="1">
        <w:r w:rsidRPr="00BA3728">
          <w:rPr>
            <w:rStyle w:val="Hyperlink"/>
            <w:noProof/>
          </w:rPr>
          <w:t>5.0</w:t>
        </w:r>
        <w:r>
          <w:rPr>
            <w:rFonts w:asciiTheme="minorHAnsi" w:eastAsiaTheme="minorEastAsia" w:hAnsiTheme="minorHAnsi"/>
            <w:b w:val="0"/>
            <w:noProof/>
            <w:lang w:eastAsia="en-GB"/>
          </w:rPr>
          <w:tab/>
        </w:r>
        <w:r w:rsidRPr="00BA3728">
          <w:rPr>
            <w:rStyle w:val="Hyperlink"/>
            <w:noProof/>
          </w:rPr>
          <w:t>Is there a diminution of environmental rights : case-study.</w:t>
        </w:r>
        <w:r>
          <w:rPr>
            <w:noProof/>
            <w:webHidden/>
          </w:rPr>
          <w:tab/>
        </w:r>
        <w:r>
          <w:rPr>
            <w:noProof/>
            <w:webHidden/>
          </w:rPr>
          <w:fldChar w:fldCharType="begin"/>
        </w:r>
        <w:r>
          <w:rPr>
            <w:noProof/>
            <w:webHidden/>
          </w:rPr>
          <w:instrText xml:space="preserve"> PAGEREF _Toc201578305 \h </w:instrText>
        </w:r>
        <w:r>
          <w:rPr>
            <w:noProof/>
            <w:webHidden/>
          </w:rPr>
        </w:r>
        <w:r>
          <w:rPr>
            <w:noProof/>
            <w:webHidden/>
          </w:rPr>
          <w:fldChar w:fldCharType="separate"/>
        </w:r>
        <w:r w:rsidR="00D66FDE">
          <w:rPr>
            <w:noProof/>
            <w:webHidden/>
          </w:rPr>
          <w:t>24</w:t>
        </w:r>
        <w:r>
          <w:rPr>
            <w:noProof/>
            <w:webHidden/>
          </w:rPr>
          <w:fldChar w:fldCharType="end"/>
        </w:r>
      </w:hyperlink>
    </w:p>
    <w:p w14:paraId="42879E1A" w14:textId="559ECB98" w:rsidR="00F44AFD" w:rsidRDefault="00F44AFD">
      <w:pPr>
        <w:pStyle w:val="TOC2"/>
        <w:tabs>
          <w:tab w:val="right" w:leader="dot" w:pos="9848"/>
        </w:tabs>
        <w:rPr>
          <w:rFonts w:asciiTheme="minorHAnsi" w:hAnsiTheme="minorHAnsi" w:cstheme="minorBidi"/>
          <w:noProof/>
          <w:kern w:val="2"/>
          <w:szCs w:val="24"/>
          <w:lang w:val="en-GB" w:eastAsia="en-GB"/>
          <w14:ligatures w14:val="standardContextual"/>
        </w:rPr>
      </w:pPr>
      <w:hyperlink w:anchor="_Toc201578306" w:history="1">
        <w:r w:rsidRPr="00BA3728">
          <w:rPr>
            <w:rStyle w:val="Hyperlink"/>
            <w:noProof/>
          </w:rPr>
          <w:t>Downgrading air quality laws</w:t>
        </w:r>
        <w:r>
          <w:rPr>
            <w:noProof/>
            <w:webHidden/>
          </w:rPr>
          <w:tab/>
        </w:r>
        <w:r>
          <w:rPr>
            <w:noProof/>
            <w:webHidden/>
          </w:rPr>
          <w:fldChar w:fldCharType="begin"/>
        </w:r>
        <w:r>
          <w:rPr>
            <w:noProof/>
            <w:webHidden/>
          </w:rPr>
          <w:instrText xml:space="preserve"> PAGEREF _Toc201578306 \h </w:instrText>
        </w:r>
        <w:r>
          <w:rPr>
            <w:noProof/>
            <w:webHidden/>
          </w:rPr>
        </w:r>
        <w:r>
          <w:rPr>
            <w:noProof/>
            <w:webHidden/>
          </w:rPr>
          <w:fldChar w:fldCharType="separate"/>
        </w:r>
        <w:r w:rsidR="00D66FDE">
          <w:rPr>
            <w:noProof/>
            <w:webHidden/>
          </w:rPr>
          <w:t>24</w:t>
        </w:r>
        <w:r>
          <w:rPr>
            <w:noProof/>
            <w:webHidden/>
          </w:rPr>
          <w:fldChar w:fldCharType="end"/>
        </w:r>
      </w:hyperlink>
    </w:p>
    <w:p w14:paraId="67C9304C" w14:textId="2BB50E26" w:rsidR="00F44AFD" w:rsidRDefault="00F44AFD">
      <w:pPr>
        <w:pStyle w:val="TOC2"/>
        <w:tabs>
          <w:tab w:val="right" w:leader="dot" w:pos="9848"/>
        </w:tabs>
        <w:rPr>
          <w:rFonts w:asciiTheme="minorHAnsi" w:hAnsiTheme="minorHAnsi" w:cstheme="minorBidi"/>
          <w:noProof/>
          <w:kern w:val="2"/>
          <w:szCs w:val="24"/>
          <w:lang w:val="en-GB" w:eastAsia="en-GB"/>
          <w14:ligatures w14:val="standardContextual"/>
        </w:rPr>
      </w:pPr>
      <w:hyperlink w:anchor="_Toc201578307" w:history="1">
        <w:r w:rsidRPr="00BA3728">
          <w:rPr>
            <w:rStyle w:val="Hyperlink"/>
            <w:noProof/>
          </w:rPr>
          <w:t>Rights protected</w:t>
        </w:r>
        <w:r>
          <w:rPr>
            <w:noProof/>
            <w:webHidden/>
          </w:rPr>
          <w:tab/>
        </w:r>
        <w:r>
          <w:rPr>
            <w:noProof/>
            <w:webHidden/>
          </w:rPr>
          <w:fldChar w:fldCharType="begin"/>
        </w:r>
        <w:r>
          <w:rPr>
            <w:noProof/>
            <w:webHidden/>
          </w:rPr>
          <w:instrText xml:space="preserve"> PAGEREF _Toc201578307 \h </w:instrText>
        </w:r>
        <w:r>
          <w:rPr>
            <w:noProof/>
            <w:webHidden/>
          </w:rPr>
        </w:r>
        <w:r>
          <w:rPr>
            <w:noProof/>
            <w:webHidden/>
          </w:rPr>
          <w:fldChar w:fldCharType="separate"/>
        </w:r>
        <w:r w:rsidR="00D66FDE">
          <w:rPr>
            <w:noProof/>
            <w:webHidden/>
          </w:rPr>
          <w:t>25</w:t>
        </w:r>
        <w:r>
          <w:rPr>
            <w:noProof/>
            <w:webHidden/>
          </w:rPr>
          <w:fldChar w:fldCharType="end"/>
        </w:r>
      </w:hyperlink>
    </w:p>
    <w:p w14:paraId="2C4EC02F" w14:textId="1D3C088F" w:rsidR="00F44AFD" w:rsidRDefault="00F44AFD">
      <w:pPr>
        <w:pStyle w:val="TOC2"/>
        <w:tabs>
          <w:tab w:val="right" w:leader="dot" w:pos="9848"/>
        </w:tabs>
        <w:rPr>
          <w:rFonts w:asciiTheme="minorHAnsi" w:hAnsiTheme="minorHAnsi" w:cstheme="minorBidi"/>
          <w:noProof/>
          <w:kern w:val="2"/>
          <w:szCs w:val="24"/>
          <w:lang w:val="en-GB" w:eastAsia="en-GB"/>
          <w14:ligatures w14:val="standardContextual"/>
        </w:rPr>
      </w:pPr>
      <w:hyperlink w:anchor="_Toc201578308" w:history="1">
        <w:r w:rsidRPr="00BA3728">
          <w:rPr>
            <w:rStyle w:val="Hyperlink"/>
            <w:noProof/>
          </w:rPr>
          <w:t>Underpinned by EU Law</w:t>
        </w:r>
        <w:r>
          <w:rPr>
            <w:noProof/>
            <w:webHidden/>
          </w:rPr>
          <w:tab/>
        </w:r>
        <w:r>
          <w:rPr>
            <w:noProof/>
            <w:webHidden/>
          </w:rPr>
          <w:fldChar w:fldCharType="begin"/>
        </w:r>
        <w:r>
          <w:rPr>
            <w:noProof/>
            <w:webHidden/>
          </w:rPr>
          <w:instrText xml:space="preserve"> PAGEREF _Toc201578308 \h </w:instrText>
        </w:r>
        <w:r>
          <w:rPr>
            <w:noProof/>
            <w:webHidden/>
          </w:rPr>
        </w:r>
        <w:r>
          <w:rPr>
            <w:noProof/>
            <w:webHidden/>
          </w:rPr>
          <w:fldChar w:fldCharType="separate"/>
        </w:r>
        <w:r w:rsidR="00D66FDE">
          <w:rPr>
            <w:noProof/>
            <w:webHidden/>
          </w:rPr>
          <w:t>26</w:t>
        </w:r>
        <w:r>
          <w:rPr>
            <w:noProof/>
            <w:webHidden/>
          </w:rPr>
          <w:fldChar w:fldCharType="end"/>
        </w:r>
      </w:hyperlink>
    </w:p>
    <w:p w14:paraId="642F861E" w14:textId="4872E9BD" w:rsidR="00F44AFD" w:rsidRDefault="00F44AFD">
      <w:pPr>
        <w:pStyle w:val="TOC2"/>
        <w:tabs>
          <w:tab w:val="right" w:leader="dot" w:pos="9848"/>
        </w:tabs>
        <w:rPr>
          <w:rFonts w:asciiTheme="minorHAnsi" w:hAnsiTheme="minorHAnsi" w:cstheme="minorBidi"/>
          <w:noProof/>
          <w:kern w:val="2"/>
          <w:szCs w:val="24"/>
          <w:lang w:val="en-GB" w:eastAsia="en-GB"/>
          <w14:ligatures w14:val="standardContextual"/>
        </w:rPr>
      </w:pPr>
      <w:hyperlink w:anchor="_Toc201578309" w:history="1">
        <w:r w:rsidRPr="00BA3728">
          <w:rPr>
            <w:rStyle w:val="Hyperlink"/>
            <w:noProof/>
          </w:rPr>
          <w:t>Possible diminution</w:t>
        </w:r>
        <w:r>
          <w:rPr>
            <w:noProof/>
            <w:webHidden/>
          </w:rPr>
          <w:tab/>
        </w:r>
        <w:r>
          <w:rPr>
            <w:noProof/>
            <w:webHidden/>
          </w:rPr>
          <w:fldChar w:fldCharType="begin"/>
        </w:r>
        <w:r>
          <w:rPr>
            <w:noProof/>
            <w:webHidden/>
          </w:rPr>
          <w:instrText xml:space="preserve"> PAGEREF _Toc201578309 \h </w:instrText>
        </w:r>
        <w:r>
          <w:rPr>
            <w:noProof/>
            <w:webHidden/>
          </w:rPr>
        </w:r>
        <w:r>
          <w:rPr>
            <w:noProof/>
            <w:webHidden/>
          </w:rPr>
          <w:fldChar w:fldCharType="separate"/>
        </w:r>
        <w:r w:rsidR="00D66FDE">
          <w:rPr>
            <w:noProof/>
            <w:webHidden/>
          </w:rPr>
          <w:t>27</w:t>
        </w:r>
        <w:r>
          <w:rPr>
            <w:noProof/>
            <w:webHidden/>
          </w:rPr>
          <w:fldChar w:fldCharType="end"/>
        </w:r>
      </w:hyperlink>
    </w:p>
    <w:p w14:paraId="1FD25DB3" w14:textId="0E390BD6" w:rsidR="001E79A9" w:rsidRPr="002033B3" w:rsidRDefault="008D7AD3" w:rsidP="002033B3">
      <w:pPr>
        <w:pStyle w:val="Default"/>
        <w:spacing w:line="276" w:lineRule="auto"/>
        <w:rPr>
          <w:rFonts w:cs="Arial"/>
          <w:b/>
          <w:color w:val="232120"/>
          <w:lang w:val="en-GB"/>
        </w:rPr>
      </w:pPr>
      <w:r w:rsidRPr="002033B3">
        <w:rPr>
          <w:rFonts w:cs="Arial"/>
          <w:color w:val="232120"/>
          <w:lang w:val="en-GB"/>
        </w:rPr>
        <w:fldChar w:fldCharType="end"/>
      </w:r>
    </w:p>
    <w:p w14:paraId="76399622" w14:textId="77777777" w:rsidR="00EA12CE" w:rsidRPr="002033B3" w:rsidRDefault="00EA12CE" w:rsidP="002033B3">
      <w:pPr>
        <w:pStyle w:val="Default"/>
        <w:spacing w:line="276" w:lineRule="auto"/>
        <w:rPr>
          <w:rFonts w:cs="Arial"/>
          <w:b/>
          <w:color w:val="232120"/>
          <w:lang w:val="en-GB"/>
        </w:rPr>
      </w:pPr>
    </w:p>
    <w:p w14:paraId="1A419881" w14:textId="77777777" w:rsidR="00EA12CE" w:rsidRPr="002033B3" w:rsidRDefault="00EA12CE" w:rsidP="002033B3">
      <w:pPr>
        <w:pStyle w:val="Default"/>
        <w:spacing w:line="276" w:lineRule="auto"/>
        <w:rPr>
          <w:rFonts w:cs="Arial"/>
          <w:b/>
          <w:color w:val="232120"/>
          <w:lang w:val="en-GB"/>
        </w:rPr>
      </w:pPr>
    </w:p>
    <w:p w14:paraId="618453F8" w14:textId="77777777" w:rsidR="00EA12CE" w:rsidRPr="002033B3" w:rsidRDefault="00EA12CE" w:rsidP="002033B3">
      <w:pPr>
        <w:pStyle w:val="Default"/>
        <w:spacing w:line="276" w:lineRule="auto"/>
        <w:rPr>
          <w:rFonts w:cs="Arial"/>
          <w:b/>
          <w:color w:val="232120"/>
          <w:lang w:val="en-GB"/>
        </w:rPr>
      </w:pPr>
    </w:p>
    <w:p w14:paraId="2C963965" w14:textId="77777777" w:rsidR="00EA12CE" w:rsidRPr="002033B3" w:rsidRDefault="00EA12CE" w:rsidP="002033B3">
      <w:pPr>
        <w:pStyle w:val="Default"/>
        <w:spacing w:line="276" w:lineRule="auto"/>
        <w:rPr>
          <w:rFonts w:cs="Arial"/>
          <w:b/>
          <w:color w:val="232120"/>
          <w:lang w:val="en-GB"/>
        </w:rPr>
      </w:pPr>
    </w:p>
    <w:p w14:paraId="5EE88D52" w14:textId="77777777" w:rsidR="002033B3" w:rsidRDefault="002033B3" w:rsidP="002033B3">
      <w:pPr>
        <w:pStyle w:val="Default"/>
        <w:spacing w:line="276" w:lineRule="auto"/>
        <w:rPr>
          <w:rFonts w:cs="Arial"/>
          <w:b/>
          <w:color w:val="232120"/>
          <w:lang w:val="en-GB"/>
        </w:rPr>
      </w:pPr>
    </w:p>
    <w:p w14:paraId="76FF754C" w14:textId="77777777" w:rsidR="00004C40" w:rsidRPr="002033B3" w:rsidRDefault="00004C40" w:rsidP="002033B3">
      <w:pPr>
        <w:pStyle w:val="Default"/>
        <w:spacing w:line="276" w:lineRule="auto"/>
        <w:rPr>
          <w:rFonts w:cs="Arial"/>
          <w:b/>
          <w:color w:val="232120"/>
          <w:lang w:val="en-GB"/>
        </w:rPr>
      </w:pPr>
    </w:p>
    <w:p w14:paraId="18456AE9" w14:textId="77777777" w:rsidR="00927EC9" w:rsidRPr="002033B3" w:rsidRDefault="00927EC9" w:rsidP="002033B3">
      <w:pPr>
        <w:pStyle w:val="Default"/>
        <w:spacing w:line="276" w:lineRule="auto"/>
        <w:rPr>
          <w:rFonts w:cs="Arial"/>
          <w:b/>
          <w:color w:val="232120"/>
          <w:lang w:val="en-GB"/>
        </w:rPr>
      </w:pPr>
    </w:p>
    <w:p w14:paraId="4139184A" w14:textId="77777777" w:rsidR="00927EC9" w:rsidRPr="002033B3" w:rsidRDefault="00927EC9" w:rsidP="002033B3">
      <w:pPr>
        <w:pStyle w:val="Default"/>
        <w:spacing w:line="276" w:lineRule="auto"/>
        <w:rPr>
          <w:rFonts w:cs="Arial"/>
          <w:b/>
          <w:color w:val="232120"/>
          <w:lang w:val="en-GB"/>
        </w:rPr>
      </w:pPr>
    </w:p>
    <w:p w14:paraId="3B4E2F0B" w14:textId="77777777" w:rsidR="00927EC9" w:rsidRPr="002033B3" w:rsidRDefault="00927EC9" w:rsidP="002033B3">
      <w:pPr>
        <w:pStyle w:val="Default"/>
        <w:spacing w:line="276" w:lineRule="auto"/>
        <w:rPr>
          <w:rFonts w:cs="Arial"/>
          <w:b/>
          <w:color w:val="232120"/>
          <w:lang w:val="en-GB"/>
        </w:rPr>
      </w:pPr>
    </w:p>
    <w:p w14:paraId="37D267BC" w14:textId="16D83054" w:rsidR="00927EC9" w:rsidRPr="002033B3" w:rsidRDefault="00927EC9" w:rsidP="002033B3">
      <w:pPr>
        <w:pStyle w:val="Heading2"/>
      </w:pPr>
      <w:bookmarkStart w:id="0" w:name="_Toc201578291"/>
      <w:r w:rsidRPr="002033B3">
        <w:lastRenderedPageBreak/>
        <w:t xml:space="preserve">Summary of </w:t>
      </w:r>
      <w:r w:rsidR="000C41EB" w:rsidRPr="002033B3">
        <w:t>Recommendations</w:t>
      </w:r>
      <w:bookmarkEnd w:id="0"/>
    </w:p>
    <w:p w14:paraId="2BBC9B9E" w14:textId="4AE5330D" w:rsidR="00927EC9" w:rsidRDefault="000C41EB" w:rsidP="002033B3">
      <w:pPr>
        <w:pStyle w:val="Default"/>
        <w:spacing w:line="276" w:lineRule="auto"/>
        <w:rPr>
          <w:rFonts w:cs="Arial"/>
          <w:b/>
          <w:color w:val="232120"/>
          <w:lang w:val="en-GB"/>
        </w:rPr>
      </w:pPr>
      <w:r>
        <w:rPr>
          <w:rFonts w:cs="Arial"/>
          <w:b/>
          <w:color w:val="232120"/>
          <w:lang w:val="en-GB"/>
        </w:rPr>
        <w:t xml:space="preserve">The NIHRC: </w:t>
      </w:r>
    </w:p>
    <w:p w14:paraId="33246FF6" w14:textId="77777777" w:rsidR="000C41EB" w:rsidRPr="002033B3" w:rsidRDefault="000C41EB" w:rsidP="002033B3">
      <w:pPr>
        <w:pStyle w:val="Default"/>
        <w:spacing w:line="276" w:lineRule="auto"/>
        <w:rPr>
          <w:rFonts w:cs="Arial"/>
          <w:b/>
          <w:color w:val="232120"/>
          <w:lang w:val="en-GB"/>
        </w:rPr>
      </w:pPr>
    </w:p>
    <w:p w14:paraId="01063A7C" w14:textId="17E7F574" w:rsidR="00927EC9" w:rsidRPr="002033B3" w:rsidRDefault="00927EC9" w:rsidP="002033B3">
      <w:pPr>
        <w:pStyle w:val="Default"/>
        <w:spacing w:line="276" w:lineRule="auto"/>
        <w:ind w:left="720" w:hanging="720"/>
        <w:rPr>
          <w:rFonts w:cs="Arial"/>
          <w:b/>
          <w:color w:val="232120"/>
          <w:lang w:val="en-GB"/>
        </w:rPr>
      </w:pPr>
      <w:r w:rsidRPr="002033B3">
        <w:rPr>
          <w:rFonts w:cs="Arial"/>
          <w:b/>
          <w:color w:val="232120"/>
          <w:lang w:val="en-GB"/>
        </w:rPr>
        <w:t>3.12</w:t>
      </w:r>
      <w:r w:rsidRPr="002033B3">
        <w:rPr>
          <w:rFonts w:cs="Arial"/>
          <w:b/>
          <w:color w:val="232120"/>
          <w:lang w:val="en-GB"/>
        </w:rPr>
        <w:tab/>
        <w:t xml:space="preserve">affirms the interdependent, interrelated and indivisible nature of human rights and advises that a clean and safe environment is essential for the enjoyment of human rights. </w:t>
      </w:r>
    </w:p>
    <w:p w14:paraId="66FE65E9" w14:textId="77777777" w:rsidR="00927EC9" w:rsidRPr="002033B3" w:rsidRDefault="00927EC9" w:rsidP="002033B3">
      <w:pPr>
        <w:pStyle w:val="Default"/>
        <w:spacing w:line="276" w:lineRule="auto"/>
        <w:rPr>
          <w:rFonts w:cs="Arial"/>
          <w:b/>
          <w:color w:val="232120"/>
          <w:lang w:val="en-GB"/>
        </w:rPr>
      </w:pPr>
    </w:p>
    <w:p w14:paraId="61835163" w14:textId="3FAC3291" w:rsidR="00927EC9" w:rsidRPr="002033B3" w:rsidRDefault="00927EC9" w:rsidP="002033B3">
      <w:pPr>
        <w:pStyle w:val="Default"/>
        <w:spacing w:line="276" w:lineRule="auto"/>
        <w:ind w:left="720" w:hanging="720"/>
        <w:rPr>
          <w:rFonts w:cs="Arial"/>
          <w:b/>
          <w:color w:val="232120"/>
          <w:lang w:val="en-GB"/>
        </w:rPr>
      </w:pPr>
      <w:r w:rsidRPr="002033B3">
        <w:rPr>
          <w:rFonts w:cs="Arial"/>
          <w:b/>
          <w:color w:val="232120"/>
          <w:lang w:val="en-GB"/>
        </w:rPr>
        <w:t>3.13</w:t>
      </w:r>
      <w:r w:rsidRPr="002033B3">
        <w:rPr>
          <w:rFonts w:cs="Arial"/>
          <w:b/>
          <w:color w:val="232120"/>
          <w:lang w:val="en-GB"/>
        </w:rPr>
        <w:tab/>
      </w:r>
      <w:r w:rsidR="00456D97">
        <w:rPr>
          <w:rFonts w:cs="Arial"/>
          <w:b/>
          <w:color w:val="232120"/>
          <w:lang w:val="en-GB"/>
        </w:rPr>
        <w:t>i</w:t>
      </w:r>
      <w:r w:rsidRPr="002033B3">
        <w:rPr>
          <w:rFonts w:cs="Arial"/>
          <w:b/>
          <w:color w:val="232120"/>
          <w:lang w:val="en-GB"/>
        </w:rPr>
        <w:t>n line with ECtHR jurisprudence on the connection between the environment and human rights, advises that the commitments in the Rights, Safeguard and Equality of Opportunity Chapter of the Belfast (Good Friday) Agreement should be understood as encompassing the environmental obligations and safeguards required to realise those rights.</w:t>
      </w:r>
    </w:p>
    <w:p w14:paraId="5445B041" w14:textId="77777777" w:rsidR="00927EC9" w:rsidRPr="002033B3" w:rsidRDefault="00927EC9" w:rsidP="002033B3">
      <w:pPr>
        <w:pStyle w:val="Default"/>
        <w:spacing w:line="276" w:lineRule="auto"/>
        <w:ind w:left="720" w:hanging="720"/>
        <w:rPr>
          <w:rFonts w:cs="Arial"/>
          <w:b/>
          <w:color w:val="232120"/>
          <w:lang w:val="en-GB"/>
        </w:rPr>
      </w:pPr>
    </w:p>
    <w:p w14:paraId="25A574E8" w14:textId="3EE81DC6" w:rsidR="00927EC9" w:rsidRPr="002033B3" w:rsidRDefault="00927EC9" w:rsidP="002033B3">
      <w:pPr>
        <w:pStyle w:val="Default"/>
        <w:spacing w:line="276" w:lineRule="auto"/>
        <w:ind w:left="720" w:hanging="720"/>
        <w:rPr>
          <w:rFonts w:cs="Arial"/>
          <w:b/>
          <w:color w:val="232120"/>
          <w:lang w:val="en-GB"/>
        </w:rPr>
      </w:pPr>
      <w:r w:rsidRPr="002033B3">
        <w:rPr>
          <w:rFonts w:cs="Arial"/>
          <w:b/>
          <w:color w:val="232120"/>
          <w:lang w:val="en-GB"/>
        </w:rPr>
        <w:t>4.24</w:t>
      </w:r>
      <w:r w:rsidRPr="002033B3">
        <w:rPr>
          <w:rFonts w:cs="Arial"/>
          <w:b/>
          <w:color w:val="232120"/>
          <w:lang w:val="en-GB"/>
        </w:rPr>
        <w:tab/>
        <w:t xml:space="preserve">advises that EU environmental law that underpins commitments in the Rights, Safeguards and Equality of Opportunity Chapter of the Belfast (Good Friday) Agreement, is within the scope of Windsor Framework Article 2. </w:t>
      </w:r>
    </w:p>
    <w:p w14:paraId="57829D54" w14:textId="77777777" w:rsidR="00927EC9" w:rsidRPr="002033B3" w:rsidRDefault="00927EC9" w:rsidP="002033B3">
      <w:pPr>
        <w:pStyle w:val="Default"/>
        <w:spacing w:line="276" w:lineRule="auto"/>
        <w:rPr>
          <w:rFonts w:cs="Arial"/>
          <w:b/>
          <w:color w:val="232120"/>
          <w:lang w:val="en-GB"/>
        </w:rPr>
      </w:pPr>
    </w:p>
    <w:p w14:paraId="48DA906F" w14:textId="69CB0E77" w:rsidR="00927EC9" w:rsidRPr="002033B3" w:rsidRDefault="00927EC9" w:rsidP="002033B3">
      <w:pPr>
        <w:pStyle w:val="Default"/>
        <w:spacing w:line="276" w:lineRule="auto"/>
        <w:ind w:left="720" w:hanging="720"/>
        <w:rPr>
          <w:rFonts w:cs="Arial"/>
          <w:b/>
          <w:color w:val="232120"/>
          <w:lang w:val="en-GB"/>
        </w:rPr>
      </w:pPr>
      <w:r w:rsidRPr="002033B3">
        <w:rPr>
          <w:rFonts w:cs="Arial"/>
          <w:b/>
          <w:color w:val="232120"/>
          <w:lang w:val="en-GB"/>
        </w:rPr>
        <w:t>4.25</w:t>
      </w:r>
      <w:r w:rsidRPr="002033B3">
        <w:rPr>
          <w:rFonts w:cs="Arial"/>
          <w:b/>
          <w:color w:val="232120"/>
          <w:lang w:val="en-GB"/>
        </w:rPr>
        <w:tab/>
        <w:t>advises that rights found in the Aarhus Convention are an integral part of the EU legal order and must therefore be interpreted in line with the rights in the EU Charter of Fundamental Rights, including the right to an effective remedy in Article 47. Any diminution of these rights may be contrary to the commitment in Windsor Framework Article 2.</w:t>
      </w:r>
    </w:p>
    <w:p w14:paraId="03E3C1E7" w14:textId="77777777" w:rsidR="00927EC9" w:rsidRPr="002033B3" w:rsidRDefault="00927EC9" w:rsidP="002033B3">
      <w:pPr>
        <w:pStyle w:val="Default"/>
        <w:spacing w:line="276" w:lineRule="auto"/>
        <w:rPr>
          <w:rFonts w:cs="Arial"/>
          <w:b/>
          <w:color w:val="232120"/>
          <w:lang w:val="en-GB"/>
        </w:rPr>
      </w:pPr>
    </w:p>
    <w:p w14:paraId="53926AA5" w14:textId="2DF6EDC2" w:rsidR="00927EC9" w:rsidRPr="002033B3" w:rsidRDefault="00927EC9" w:rsidP="002033B3">
      <w:pPr>
        <w:pStyle w:val="Default"/>
        <w:spacing w:line="276" w:lineRule="auto"/>
        <w:ind w:left="720" w:hanging="720"/>
        <w:rPr>
          <w:rFonts w:cs="Arial"/>
          <w:b/>
          <w:color w:val="232120"/>
          <w:lang w:val="en-GB"/>
        </w:rPr>
      </w:pPr>
      <w:r w:rsidRPr="002033B3">
        <w:rPr>
          <w:rFonts w:cs="Arial"/>
          <w:b/>
          <w:color w:val="232120"/>
          <w:lang w:val="en-GB"/>
        </w:rPr>
        <w:t>4.26</w:t>
      </w:r>
      <w:r w:rsidRPr="002033B3">
        <w:rPr>
          <w:rFonts w:cs="Arial"/>
          <w:b/>
          <w:color w:val="232120"/>
          <w:lang w:val="en-GB"/>
        </w:rPr>
        <w:tab/>
        <w:t xml:space="preserve">advises that EU minimum environmental standards include the right of individuals to challenge decisions seen to be in violation of those obligations, where such standards are capable of direct effect. </w:t>
      </w:r>
    </w:p>
    <w:p w14:paraId="331230D5" w14:textId="77777777" w:rsidR="00927EC9" w:rsidRPr="002033B3" w:rsidRDefault="00927EC9" w:rsidP="002033B3">
      <w:pPr>
        <w:pStyle w:val="Default"/>
        <w:spacing w:line="276" w:lineRule="auto"/>
        <w:rPr>
          <w:rFonts w:cs="Arial"/>
          <w:b/>
          <w:color w:val="232120"/>
          <w:lang w:val="en-GB"/>
        </w:rPr>
      </w:pPr>
    </w:p>
    <w:p w14:paraId="2F420E65" w14:textId="750BEEFC" w:rsidR="005B5B74" w:rsidRPr="002033B3" w:rsidRDefault="00927EC9" w:rsidP="002033B3">
      <w:pPr>
        <w:pStyle w:val="Default"/>
        <w:spacing w:line="276" w:lineRule="auto"/>
        <w:ind w:left="720" w:hanging="720"/>
        <w:rPr>
          <w:rFonts w:cs="Arial"/>
          <w:b/>
          <w:color w:val="232120"/>
          <w:lang w:val="en-GB"/>
        </w:rPr>
      </w:pPr>
      <w:r w:rsidRPr="002033B3">
        <w:rPr>
          <w:rFonts w:cs="Arial"/>
          <w:b/>
          <w:color w:val="232120"/>
          <w:lang w:val="en-GB"/>
        </w:rPr>
        <w:t>4.27</w:t>
      </w:r>
      <w:r w:rsidRPr="002033B3">
        <w:rPr>
          <w:rFonts w:cs="Arial"/>
          <w:b/>
          <w:color w:val="232120"/>
          <w:lang w:val="en-GB"/>
        </w:rPr>
        <w:tab/>
        <w:t>recommends that the Department of Agriculture, Environment and Rural Affairs study in detail the relevant EU environmental law and relevant CJEU jurisprudence with the objective of identifying and clarifying binding minimum standards on environmental protection that underpin human rights.</w:t>
      </w:r>
    </w:p>
    <w:p w14:paraId="4946DBBD" w14:textId="77777777" w:rsidR="00927EC9" w:rsidRPr="002033B3" w:rsidRDefault="00927EC9" w:rsidP="002033B3">
      <w:pPr>
        <w:pStyle w:val="Default"/>
        <w:spacing w:line="276" w:lineRule="auto"/>
        <w:ind w:left="720" w:hanging="720"/>
        <w:rPr>
          <w:rFonts w:cs="Arial"/>
          <w:b/>
          <w:color w:val="232120"/>
          <w:lang w:val="en-GB"/>
        </w:rPr>
      </w:pPr>
    </w:p>
    <w:p w14:paraId="0842898F" w14:textId="65DC2CA2" w:rsidR="002033B3" w:rsidRPr="002033B3" w:rsidRDefault="002033B3" w:rsidP="002033B3">
      <w:pPr>
        <w:pStyle w:val="Default"/>
        <w:spacing w:line="276" w:lineRule="auto"/>
        <w:ind w:left="720" w:hanging="720"/>
        <w:rPr>
          <w:rFonts w:cs="Arial"/>
          <w:b/>
          <w:color w:val="232120"/>
          <w:lang w:val="en-GB"/>
        </w:rPr>
      </w:pPr>
      <w:r w:rsidRPr="002033B3">
        <w:rPr>
          <w:rFonts w:cs="Arial"/>
          <w:b/>
          <w:color w:val="232120"/>
          <w:lang w:val="en-GB"/>
        </w:rPr>
        <w:t>5.17</w:t>
      </w:r>
      <w:r w:rsidRPr="002033B3">
        <w:rPr>
          <w:rFonts w:cs="Arial"/>
          <w:b/>
          <w:color w:val="232120"/>
          <w:lang w:val="en-GB"/>
        </w:rPr>
        <w:tab/>
        <w:t>advises that the removal of Regulations 9 and 10 of the National Emissions Ceiling Regulations 2018, if not replaced, significantly diminishes the duty to tackle air pollution, below relevant EU minimum standards.</w:t>
      </w:r>
    </w:p>
    <w:p w14:paraId="7BA3ED3D" w14:textId="77777777" w:rsidR="002033B3" w:rsidRPr="002033B3" w:rsidRDefault="002033B3" w:rsidP="002033B3">
      <w:pPr>
        <w:pStyle w:val="Default"/>
        <w:spacing w:line="276" w:lineRule="auto"/>
        <w:ind w:left="720" w:hanging="720"/>
        <w:rPr>
          <w:rFonts w:cs="Arial"/>
          <w:b/>
          <w:color w:val="232120"/>
          <w:lang w:val="en-GB"/>
        </w:rPr>
      </w:pPr>
    </w:p>
    <w:p w14:paraId="5AD14980" w14:textId="4AA9430E" w:rsidR="002033B3" w:rsidRPr="002033B3" w:rsidRDefault="002033B3" w:rsidP="002033B3">
      <w:pPr>
        <w:pStyle w:val="Default"/>
        <w:spacing w:line="276" w:lineRule="auto"/>
        <w:ind w:left="720" w:hanging="720"/>
        <w:rPr>
          <w:rFonts w:cs="Arial"/>
          <w:b/>
          <w:color w:val="232120"/>
          <w:lang w:val="en-GB"/>
        </w:rPr>
      </w:pPr>
      <w:r w:rsidRPr="002033B3">
        <w:rPr>
          <w:rFonts w:cs="Arial"/>
          <w:b/>
          <w:color w:val="232120"/>
          <w:lang w:val="en-GB"/>
        </w:rPr>
        <w:t>5.18</w:t>
      </w:r>
      <w:r w:rsidRPr="002033B3">
        <w:rPr>
          <w:rFonts w:cs="Arial"/>
          <w:b/>
          <w:color w:val="232120"/>
          <w:lang w:val="en-GB"/>
        </w:rPr>
        <w:tab/>
        <w:t>advises that the loss of EU-derived regulatory and procedural mechanisms to achieve clean air may result in a diminution of the ability of an individual to assert their right to health, such as the right to challenge air pollution derived from EU law, such as the EU Ambient Air Directive and the EU National Emission Reduction Commitments Directive.</w:t>
      </w:r>
    </w:p>
    <w:p w14:paraId="29FD9595" w14:textId="77777777" w:rsidR="002033B3" w:rsidRPr="002033B3" w:rsidRDefault="002033B3" w:rsidP="002033B3">
      <w:pPr>
        <w:pStyle w:val="Default"/>
        <w:spacing w:line="276" w:lineRule="auto"/>
        <w:ind w:left="720" w:hanging="720"/>
        <w:rPr>
          <w:rFonts w:cs="Arial"/>
          <w:b/>
          <w:color w:val="232120"/>
          <w:lang w:val="en-GB"/>
        </w:rPr>
      </w:pPr>
    </w:p>
    <w:p w14:paraId="0060460E" w14:textId="5A7E41C2" w:rsidR="002033B3" w:rsidRPr="002033B3" w:rsidRDefault="002033B3" w:rsidP="002033B3">
      <w:pPr>
        <w:pStyle w:val="Default"/>
        <w:spacing w:line="276" w:lineRule="auto"/>
        <w:ind w:left="720" w:hanging="720"/>
        <w:rPr>
          <w:rFonts w:cs="Arial"/>
          <w:b/>
          <w:color w:val="232120"/>
          <w:lang w:val="en-GB"/>
        </w:rPr>
      </w:pPr>
      <w:r w:rsidRPr="002033B3">
        <w:rPr>
          <w:rFonts w:cs="Arial"/>
          <w:b/>
          <w:color w:val="232120"/>
          <w:lang w:val="en-GB"/>
        </w:rPr>
        <w:t>5.19</w:t>
      </w:r>
      <w:r w:rsidRPr="002033B3">
        <w:rPr>
          <w:rFonts w:cs="Arial"/>
          <w:b/>
          <w:color w:val="232120"/>
          <w:lang w:val="en-GB"/>
        </w:rPr>
        <w:tab/>
        <w:t xml:space="preserve">further advises that the removal of Regulations 9 and 10 of the National Emissions Ceiling Regulations 2018 may result in a diminution of procedural environmental rights to challenge the removal of key EU-derived measures to tackle air pollution that were underpinned by the EU National Emission Reduction Commitments Directive. </w:t>
      </w:r>
    </w:p>
    <w:p w14:paraId="086C4129" w14:textId="77777777" w:rsidR="002033B3" w:rsidRPr="002033B3" w:rsidRDefault="002033B3" w:rsidP="002033B3">
      <w:pPr>
        <w:pStyle w:val="Default"/>
        <w:spacing w:line="276" w:lineRule="auto"/>
        <w:ind w:left="720" w:hanging="720"/>
        <w:rPr>
          <w:rFonts w:cs="Arial"/>
          <w:b/>
          <w:color w:val="232120"/>
          <w:lang w:val="en-GB"/>
        </w:rPr>
      </w:pPr>
    </w:p>
    <w:p w14:paraId="5FD13546" w14:textId="38AD88DE" w:rsidR="00927EC9" w:rsidRPr="002033B3" w:rsidRDefault="002033B3" w:rsidP="002033B3">
      <w:pPr>
        <w:pStyle w:val="Default"/>
        <w:spacing w:line="276" w:lineRule="auto"/>
        <w:ind w:left="720" w:hanging="720"/>
        <w:rPr>
          <w:rFonts w:cs="Arial"/>
          <w:b/>
          <w:color w:val="232120"/>
          <w:lang w:val="en-GB"/>
        </w:rPr>
      </w:pPr>
      <w:r w:rsidRPr="002033B3">
        <w:rPr>
          <w:rFonts w:cs="Arial"/>
          <w:b/>
          <w:color w:val="232120"/>
          <w:lang w:val="en-GB"/>
        </w:rPr>
        <w:t>5.20</w:t>
      </w:r>
      <w:r w:rsidRPr="002033B3">
        <w:rPr>
          <w:rFonts w:cs="Arial"/>
          <w:b/>
          <w:color w:val="232120"/>
          <w:lang w:val="en-GB"/>
        </w:rPr>
        <w:tab/>
        <w:t>advises the Department of Agriculture, Environment and Rural Affairs, the NI Office and the Department for Environment, Food and Rural Affairs to conduct in-depth analysis on the impact the removal of Regulations 9 and 10 of the National Emissions Ceiling Regulations 2018 has had on the duty to combat air pollution in NI. The removal of the statutory framework without a domestic equivalent replacing the EU minimum standards may have resulted in a diminution of rights contrary to the commitment in Windsor Framework Article 2.</w:t>
      </w:r>
    </w:p>
    <w:p w14:paraId="6B0EA1BF" w14:textId="77777777" w:rsidR="00927EC9" w:rsidRPr="002033B3" w:rsidRDefault="00927EC9" w:rsidP="002033B3">
      <w:pPr>
        <w:pStyle w:val="Default"/>
        <w:spacing w:line="276" w:lineRule="auto"/>
        <w:ind w:left="720" w:hanging="720"/>
        <w:rPr>
          <w:rFonts w:cs="Arial"/>
          <w:b/>
          <w:color w:val="232120"/>
          <w:lang w:val="en-GB"/>
        </w:rPr>
      </w:pPr>
    </w:p>
    <w:p w14:paraId="23399F9C" w14:textId="77777777" w:rsidR="00D44441" w:rsidRPr="002033B3" w:rsidRDefault="00D44441" w:rsidP="002033B3">
      <w:pPr>
        <w:pStyle w:val="Default"/>
        <w:spacing w:line="276" w:lineRule="auto"/>
        <w:rPr>
          <w:rFonts w:cs="Arial"/>
          <w:b/>
          <w:color w:val="232120"/>
          <w:lang w:val="en-GB"/>
        </w:rPr>
      </w:pPr>
    </w:p>
    <w:p w14:paraId="59095312" w14:textId="77777777" w:rsidR="002033B3" w:rsidRPr="002033B3" w:rsidRDefault="002033B3" w:rsidP="002033B3">
      <w:pPr>
        <w:pStyle w:val="Default"/>
        <w:spacing w:line="276" w:lineRule="auto"/>
        <w:rPr>
          <w:rFonts w:cs="Arial"/>
          <w:b/>
          <w:color w:val="232120"/>
          <w:lang w:val="en-GB"/>
        </w:rPr>
      </w:pPr>
    </w:p>
    <w:p w14:paraId="1CB4D5B3" w14:textId="77777777" w:rsidR="002033B3" w:rsidRPr="002033B3" w:rsidRDefault="002033B3" w:rsidP="002033B3">
      <w:pPr>
        <w:pStyle w:val="Default"/>
        <w:spacing w:line="276" w:lineRule="auto"/>
        <w:rPr>
          <w:rFonts w:cs="Arial"/>
          <w:b/>
          <w:color w:val="232120"/>
          <w:lang w:val="en-GB"/>
        </w:rPr>
      </w:pPr>
    </w:p>
    <w:p w14:paraId="4DB30258" w14:textId="77777777" w:rsidR="002033B3" w:rsidRPr="002033B3" w:rsidRDefault="002033B3" w:rsidP="002033B3">
      <w:pPr>
        <w:pStyle w:val="Default"/>
        <w:spacing w:line="276" w:lineRule="auto"/>
        <w:rPr>
          <w:rFonts w:cs="Arial"/>
          <w:b/>
          <w:color w:val="232120"/>
          <w:lang w:val="en-GB"/>
        </w:rPr>
      </w:pPr>
    </w:p>
    <w:p w14:paraId="30B97879" w14:textId="77777777" w:rsidR="002033B3" w:rsidRPr="002033B3" w:rsidRDefault="002033B3" w:rsidP="002033B3">
      <w:pPr>
        <w:pStyle w:val="Default"/>
        <w:spacing w:line="276" w:lineRule="auto"/>
        <w:rPr>
          <w:rFonts w:cs="Arial"/>
          <w:b/>
          <w:color w:val="232120"/>
          <w:lang w:val="en-GB"/>
        </w:rPr>
      </w:pPr>
    </w:p>
    <w:p w14:paraId="60358D81" w14:textId="77777777" w:rsidR="002033B3" w:rsidRPr="002033B3" w:rsidRDefault="002033B3" w:rsidP="002033B3">
      <w:pPr>
        <w:pStyle w:val="Default"/>
        <w:spacing w:line="276" w:lineRule="auto"/>
        <w:rPr>
          <w:rFonts w:cs="Arial"/>
          <w:b/>
          <w:color w:val="232120"/>
          <w:lang w:val="en-GB"/>
        </w:rPr>
      </w:pPr>
    </w:p>
    <w:p w14:paraId="10F8EEFE" w14:textId="77777777" w:rsidR="002033B3" w:rsidRPr="002033B3" w:rsidRDefault="002033B3" w:rsidP="002033B3">
      <w:pPr>
        <w:pStyle w:val="Default"/>
        <w:spacing w:line="276" w:lineRule="auto"/>
        <w:rPr>
          <w:rFonts w:cs="Arial"/>
          <w:b/>
          <w:color w:val="232120"/>
          <w:lang w:val="en-GB"/>
        </w:rPr>
      </w:pPr>
    </w:p>
    <w:p w14:paraId="227D0210" w14:textId="77777777" w:rsidR="002033B3" w:rsidRPr="002033B3" w:rsidRDefault="002033B3" w:rsidP="002033B3">
      <w:pPr>
        <w:pStyle w:val="Default"/>
        <w:spacing w:line="276" w:lineRule="auto"/>
        <w:rPr>
          <w:rFonts w:cs="Arial"/>
          <w:b/>
          <w:color w:val="232120"/>
          <w:lang w:val="en-GB"/>
        </w:rPr>
      </w:pPr>
    </w:p>
    <w:p w14:paraId="04C25B1F" w14:textId="77777777" w:rsidR="002033B3" w:rsidRPr="002033B3" w:rsidRDefault="002033B3" w:rsidP="002033B3">
      <w:pPr>
        <w:pStyle w:val="Default"/>
        <w:spacing w:line="276" w:lineRule="auto"/>
        <w:rPr>
          <w:rFonts w:cs="Arial"/>
          <w:b/>
          <w:color w:val="232120"/>
          <w:lang w:val="en-GB"/>
        </w:rPr>
      </w:pPr>
    </w:p>
    <w:p w14:paraId="7C3E0F13" w14:textId="77777777" w:rsidR="002033B3" w:rsidRPr="002033B3" w:rsidRDefault="002033B3" w:rsidP="002033B3">
      <w:pPr>
        <w:pStyle w:val="Default"/>
        <w:spacing w:line="276" w:lineRule="auto"/>
        <w:rPr>
          <w:rFonts w:cs="Arial"/>
          <w:b/>
          <w:color w:val="232120"/>
          <w:lang w:val="en-GB"/>
        </w:rPr>
      </w:pPr>
    </w:p>
    <w:p w14:paraId="047EB4F2" w14:textId="77777777" w:rsidR="002033B3" w:rsidRPr="002033B3" w:rsidRDefault="002033B3" w:rsidP="002033B3">
      <w:pPr>
        <w:pStyle w:val="Default"/>
        <w:spacing w:line="276" w:lineRule="auto"/>
        <w:rPr>
          <w:rFonts w:cs="Arial"/>
          <w:b/>
          <w:color w:val="232120"/>
          <w:lang w:val="en-GB"/>
        </w:rPr>
      </w:pPr>
    </w:p>
    <w:p w14:paraId="0E652AA9" w14:textId="77777777" w:rsidR="002033B3" w:rsidRPr="002033B3" w:rsidRDefault="002033B3" w:rsidP="002033B3">
      <w:pPr>
        <w:pStyle w:val="Default"/>
        <w:spacing w:line="276" w:lineRule="auto"/>
        <w:rPr>
          <w:rFonts w:cs="Arial"/>
          <w:b/>
          <w:color w:val="232120"/>
          <w:lang w:val="en-GB"/>
        </w:rPr>
      </w:pPr>
    </w:p>
    <w:p w14:paraId="5C97F861" w14:textId="77777777" w:rsidR="002033B3" w:rsidRPr="002033B3" w:rsidRDefault="002033B3" w:rsidP="002033B3">
      <w:pPr>
        <w:pStyle w:val="Default"/>
        <w:spacing w:line="276" w:lineRule="auto"/>
        <w:rPr>
          <w:rFonts w:cs="Arial"/>
          <w:b/>
          <w:color w:val="232120"/>
          <w:lang w:val="en-GB"/>
        </w:rPr>
      </w:pPr>
    </w:p>
    <w:p w14:paraId="4A447957" w14:textId="77777777" w:rsidR="002033B3" w:rsidRPr="002033B3" w:rsidRDefault="002033B3" w:rsidP="002033B3">
      <w:pPr>
        <w:pStyle w:val="Default"/>
        <w:spacing w:line="276" w:lineRule="auto"/>
        <w:rPr>
          <w:rFonts w:cs="Arial"/>
          <w:b/>
          <w:color w:val="232120"/>
          <w:lang w:val="en-GB"/>
        </w:rPr>
      </w:pPr>
    </w:p>
    <w:p w14:paraId="0E31C8D0" w14:textId="77777777" w:rsidR="002033B3" w:rsidRPr="002033B3" w:rsidRDefault="002033B3" w:rsidP="002033B3">
      <w:pPr>
        <w:pStyle w:val="Default"/>
        <w:spacing w:line="276" w:lineRule="auto"/>
        <w:rPr>
          <w:rFonts w:cs="Arial"/>
          <w:b/>
          <w:color w:val="232120"/>
          <w:lang w:val="en-GB"/>
        </w:rPr>
      </w:pPr>
    </w:p>
    <w:p w14:paraId="06B91A55" w14:textId="77777777" w:rsidR="002033B3" w:rsidRPr="002033B3" w:rsidRDefault="002033B3" w:rsidP="002033B3">
      <w:pPr>
        <w:pStyle w:val="Default"/>
        <w:spacing w:line="276" w:lineRule="auto"/>
        <w:rPr>
          <w:rFonts w:cs="Arial"/>
          <w:b/>
          <w:color w:val="232120"/>
          <w:lang w:val="en-GB"/>
        </w:rPr>
      </w:pPr>
    </w:p>
    <w:p w14:paraId="670B2A77" w14:textId="77777777" w:rsidR="003C0751" w:rsidRPr="002033B3" w:rsidRDefault="003C0751" w:rsidP="002033B3">
      <w:pPr>
        <w:spacing w:line="276" w:lineRule="auto"/>
      </w:pPr>
    </w:p>
    <w:p w14:paraId="750CC40B" w14:textId="5F2FD9DF" w:rsidR="001B20B1" w:rsidRPr="002033B3" w:rsidRDefault="00B831FF" w:rsidP="00016606">
      <w:pPr>
        <w:pStyle w:val="Heading1"/>
        <w:keepNext/>
        <w:spacing w:line="276" w:lineRule="auto"/>
      </w:pPr>
      <w:bookmarkStart w:id="1" w:name="_Toc201578292"/>
      <w:r w:rsidRPr="002033B3">
        <w:lastRenderedPageBreak/>
        <w:t>Introduction</w:t>
      </w:r>
      <w:bookmarkEnd w:id="1"/>
    </w:p>
    <w:p w14:paraId="7F120FE6" w14:textId="77777777" w:rsidR="002403EE" w:rsidRPr="002033B3" w:rsidRDefault="002403EE" w:rsidP="002033B3">
      <w:pPr>
        <w:spacing w:line="276" w:lineRule="auto"/>
      </w:pPr>
    </w:p>
    <w:p w14:paraId="0B88C90C" w14:textId="492E3BCA" w:rsidR="00AC64DC" w:rsidRPr="002033B3" w:rsidRDefault="00576A01" w:rsidP="002033B3">
      <w:pPr>
        <w:pStyle w:val="ListParagraph"/>
        <w:spacing w:line="276" w:lineRule="auto"/>
      </w:pPr>
      <w:bookmarkStart w:id="2" w:name="_Hlk198025659"/>
      <w:r w:rsidRPr="002033B3">
        <w:t>A</w:t>
      </w:r>
      <w:r w:rsidR="00FD79A6" w:rsidRPr="002033B3">
        <w:t xml:space="preserve"> safe, clean and healthy environment is essential to the full enjoyment of human rights.</w:t>
      </w:r>
      <w:r w:rsidR="00FD79A6" w:rsidRPr="002033B3">
        <w:rPr>
          <w:rStyle w:val="FootnoteReference"/>
        </w:rPr>
        <w:footnoteReference w:id="2"/>
      </w:r>
      <w:r w:rsidR="004B32DA" w:rsidRPr="002033B3">
        <w:t xml:space="preserve"> </w:t>
      </w:r>
      <w:r w:rsidR="009C33FB" w:rsidRPr="002033B3">
        <w:t xml:space="preserve">Recent </w:t>
      </w:r>
      <w:r w:rsidR="006842C9" w:rsidRPr="002033B3">
        <w:t xml:space="preserve">cases </w:t>
      </w:r>
      <w:r w:rsidR="00D95AEB" w:rsidRPr="002033B3">
        <w:t xml:space="preserve">on the impact of climate change </w:t>
      </w:r>
      <w:r w:rsidR="00FC3095" w:rsidRPr="002033B3">
        <w:t xml:space="preserve">have </w:t>
      </w:r>
      <w:r w:rsidR="009C33FB" w:rsidRPr="002033B3">
        <w:t xml:space="preserve">brought the relationship between human rights and the environment </w:t>
      </w:r>
      <w:r w:rsidR="00D8427C" w:rsidRPr="002033B3">
        <w:t>into</w:t>
      </w:r>
      <w:r w:rsidR="00FD79A6" w:rsidRPr="002033B3">
        <w:t xml:space="preserve"> </w:t>
      </w:r>
      <w:r w:rsidR="009C33FB" w:rsidRPr="002033B3">
        <w:t>sharp focus.</w:t>
      </w:r>
      <w:r w:rsidR="00723DD0" w:rsidRPr="002033B3">
        <w:rPr>
          <w:rStyle w:val="FootnoteReference"/>
        </w:rPr>
        <w:footnoteReference w:id="3"/>
      </w:r>
      <w:r w:rsidR="009C33FB" w:rsidRPr="002033B3">
        <w:t xml:space="preserve"> </w:t>
      </w:r>
      <w:r w:rsidR="00F23C19" w:rsidRPr="002033B3">
        <w:t xml:space="preserve">The European Court of Human Rights (ECtHR) </w:t>
      </w:r>
      <w:r w:rsidR="00003C0E" w:rsidRPr="002033B3">
        <w:t>has confirmed the link between human rights and environmental protections.</w:t>
      </w:r>
      <w:r w:rsidR="00003C0E" w:rsidRPr="002033B3">
        <w:rPr>
          <w:rStyle w:val="FootnoteReference"/>
        </w:rPr>
        <w:footnoteReference w:id="4"/>
      </w:r>
      <w:r w:rsidR="00003C0E" w:rsidRPr="002033B3">
        <w:t xml:space="preserve"> </w:t>
      </w:r>
      <w:r w:rsidR="178B58F7" w:rsidRPr="002033B3">
        <w:t xml:space="preserve">In Northern </w:t>
      </w:r>
      <w:r w:rsidR="587D59FA" w:rsidRPr="002033B3">
        <w:t>I</w:t>
      </w:r>
      <w:r w:rsidR="178B58F7" w:rsidRPr="002033B3">
        <w:t>reland</w:t>
      </w:r>
      <w:r w:rsidR="00A14E47" w:rsidRPr="002033B3">
        <w:t xml:space="preserve"> (NI)</w:t>
      </w:r>
      <w:r w:rsidR="178B58F7" w:rsidRPr="002033B3">
        <w:t xml:space="preserve"> </w:t>
      </w:r>
      <w:r w:rsidR="3B637A2E" w:rsidRPr="002033B3">
        <w:t>h</w:t>
      </w:r>
      <w:r w:rsidR="0022574B" w:rsidRPr="002033B3">
        <w:t xml:space="preserve">uman rights and the environment </w:t>
      </w:r>
      <w:r w:rsidR="000C4FCC" w:rsidRPr="002033B3">
        <w:t>interact in a</w:t>
      </w:r>
      <w:r w:rsidR="0022574B" w:rsidRPr="002033B3">
        <w:t xml:space="preserve"> complex interplay of international and domestic human rights framework</w:t>
      </w:r>
      <w:r w:rsidR="008928F2" w:rsidRPr="002033B3">
        <w:t>s</w:t>
      </w:r>
      <w:r w:rsidR="0022574B" w:rsidRPr="002033B3">
        <w:t xml:space="preserve"> and environmental protections through international, national and devolved governance.</w:t>
      </w:r>
      <w:r w:rsidR="000C4FCC" w:rsidRPr="002033B3">
        <w:t xml:space="preserve"> </w:t>
      </w:r>
    </w:p>
    <w:p w14:paraId="51D67757" w14:textId="77777777" w:rsidR="00AC64DC" w:rsidRPr="002033B3" w:rsidRDefault="00AC64DC" w:rsidP="002033B3">
      <w:pPr>
        <w:pStyle w:val="ListParagraph"/>
        <w:numPr>
          <w:ilvl w:val="0"/>
          <w:numId w:val="0"/>
        </w:numPr>
        <w:spacing w:line="276" w:lineRule="auto"/>
        <w:ind w:left="720"/>
      </w:pPr>
    </w:p>
    <w:p w14:paraId="6EDF524E" w14:textId="5C7C2E5B" w:rsidR="006663D0" w:rsidRPr="002033B3" w:rsidRDefault="000A1C71" w:rsidP="002033B3">
      <w:pPr>
        <w:pStyle w:val="ListParagraph"/>
        <w:spacing w:line="276" w:lineRule="auto"/>
      </w:pPr>
      <w:r w:rsidRPr="002033B3">
        <w:t>Windsor Framework</w:t>
      </w:r>
      <w:r w:rsidR="0092180B">
        <w:t xml:space="preserve"> Article 2</w:t>
      </w:r>
      <w:r w:rsidRPr="002033B3">
        <w:t xml:space="preserve"> requires the U</w:t>
      </w:r>
      <w:r w:rsidR="0099258F" w:rsidRPr="002033B3">
        <w:t xml:space="preserve">nited </w:t>
      </w:r>
      <w:r w:rsidRPr="002033B3">
        <w:t>K</w:t>
      </w:r>
      <w:r w:rsidR="0099258F" w:rsidRPr="002033B3">
        <w:t>ingdom (UK)</w:t>
      </w:r>
      <w:r w:rsidRPr="002033B3">
        <w:t xml:space="preserve"> Government to ensure that no diminution of the rights, safeguards and equality protections contained in the relevant part of the Belfast (Good Friday) Agreement 1998 occurs </w:t>
      </w:r>
      <w:proofErr w:type="gramStart"/>
      <w:r w:rsidRPr="002033B3">
        <w:t>as a result of</w:t>
      </w:r>
      <w:proofErr w:type="gramEnd"/>
      <w:r w:rsidRPr="002033B3">
        <w:t xml:space="preserve"> the UK’s withdrawal from the </w:t>
      </w:r>
      <w:r w:rsidR="008A4232" w:rsidRPr="002033B3">
        <w:t>European Union (</w:t>
      </w:r>
      <w:r w:rsidRPr="002033B3">
        <w:t>EU</w:t>
      </w:r>
      <w:r w:rsidR="008A4232" w:rsidRPr="002033B3">
        <w:t>)</w:t>
      </w:r>
      <w:r w:rsidRPr="002033B3">
        <w:t>.</w:t>
      </w:r>
      <w:r w:rsidR="009907EB" w:rsidRPr="002033B3">
        <w:t xml:space="preserve"> </w:t>
      </w:r>
    </w:p>
    <w:p w14:paraId="502A0621" w14:textId="77777777" w:rsidR="006663D0" w:rsidRPr="002033B3" w:rsidRDefault="006663D0" w:rsidP="002033B3">
      <w:pPr>
        <w:pStyle w:val="ListParagraph"/>
        <w:numPr>
          <w:ilvl w:val="0"/>
          <w:numId w:val="0"/>
        </w:numPr>
        <w:spacing w:line="276" w:lineRule="auto"/>
        <w:ind w:left="720"/>
      </w:pPr>
    </w:p>
    <w:bookmarkEnd w:id="2"/>
    <w:p w14:paraId="356BD0B7" w14:textId="633FF7A3" w:rsidR="006663D0" w:rsidRPr="002033B3" w:rsidRDefault="006663D0" w:rsidP="002033B3">
      <w:pPr>
        <w:pStyle w:val="ListParagraph"/>
        <w:spacing w:line="276" w:lineRule="auto"/>
      </w:pPr>
      <w:r w:rsidRPr="002033B3">
        <w:t>The Northern Ireland Human Rights Commission</w:t>
      </w:r>
      <w:r w:rsidR="00FC49B2" w:rsidRPr="002033B3">
        <w:t xml:space="preserve"> (NIHRC) </w:t>
      </w:r>
      <w:r w:rsidR="00F96E59" w:rsidRPr="002033B3">
        <w:t xml:space="preserve">was established </w:t>
      </w:r>
      <w:r w:rsidR="044B4E47" w:rsidRPr="002033B3">
        <w:t xml:space="preserve">by the Northern Ireland </w:t>
      </w:r>
      <w:r w:rsidR="009261F5" w:rsidRPr="002033B3">
        <w:t>Act</w:t>
      </w:r>
      <w:r w:rsidR="044B4E47" w:rsidRPr="002033B3">
        <w:t xml:space="preserve"> 1998, </w:t>
      </w:r>
      <w:r w:rsidR="00F96E59" w:rsidRPr="002033B3">
        <w:t xml:space="preserve">further to the Belfast (Good Friday) Agreement </w:t>
      </w:r>
      <w:r w:rsidR="493E9C92" w:rsidRPr="002033B3">
        <w:t>1998</w:t>
      </w:r>
      <w:r w:rsidR="4E875A9F" w:rsidRPr="002033B3">
        <w:t>.</w:t>
      </w:r>
      <w:r w:rsidR="493E9C92" w:rsidRPr="002033B3">
        <w:t xml:space="preserve"> </w:t>
      </w:r>
      <w:r w:rsidR="1A8AF736" w:rsidRPr="002033B3">
        <w:t xml:space="preserve">It is </w:t>
      </w:r>
      <w:r w:rsidR="00D1161C" w:rsidRPr="002033B3">
        <w:t xml:space="preserve">a </w:t>
      </w:r>
      <w:r w:rsidR="00FC49B2" w:rsidRPr="002033B3">
        <w:t xml:space="preserve">national human rights institution with ‘A status’ accreditation from the United Nations. </w:t>
      </w:r>
      <w:r w:rsidR="00F96E59" w:rsidRPr="002033B3">
        <w:t>The NIHRC</w:t>
      </w:r>
      <w:r w:rsidRPr="002033B3">
        <w:t xml:space="preserve"> </w:t>
      </w:r>
      <w:r w:rsidR="00F23B54" w:rsidRPr="002033B3">
        <w:t xml:space="preserve">is </w:t>
      </w:r>
      <w:r w:rsidR="00CC590B" w:rsidRPr="002033B3">
        <w:t xml:space="preserve">required </w:t>
      </w:r>
      <w:r w:rsidR="63B84A89" w:rsidRPr="002033B3">
        <w:t xml:space="preserve">by its foundational statute </w:t>
      </w:r>
      <w:r w:rsidR="00F23B54" w:rsidRPr="002033B3">
        <w:t xml:space="preserve">to </w:t>
      </w:r>
      <w:r w:rsidRPr="002033B3">
        <w:t>review the adequacy and effectiveness of law and practice relating to the protection of human rights in NI</w:t>
      </w:r>
      <w:r w:rsidR="00F23B54" w:rsidRPr="002033B3">
        <w:t xml:space="preserve"> and</w:t>
      </w:r>
      <w:r w:rsidR="24DDF2CC" w:rsidRPr="002033B3">
        <w:t>, by amendment to that statute,</w:t>
      </w:r>
      <w:r w:rsidR="00F23B54" w:rsidRPr="002033B3">
        <w:t xml:space="preserve"> </w:t>
      </w:r>
      <w:r w:rsidRPr="002033B3">
        <w:t xml:space="preserve">to monitor the implementation of </w:t>
      </w:r>
      <w:r w:rsidR="00456D97">
        <w:t xml:space="preserve">Windsor Framework </w:t>
      </w:r>
      <w:r w:rsidRPr="002033B3">
        <w:t>Article 2(1)</w:t>
      </w:r>
      <w:r w:rsidR="00576A01" w:rsidRPr="002033B3">
        <w:t>.</w:t>
      </w:r>
      <w:r w:rsidRPr="002033B3">
        <w:rPr>
          <w:rStyle w:val="FootnoteReference"/>
        </w:rPr>
        <w:footnoteReference w:id="5"/>
      </w:r>
      <w:r w:rsidR="00AF4C7A" w:rsidRPr="002033B3">
        <w:t xml:space="preserve"> </w:t>
      </w:r>
    </w:p>
    <w:p w14:paraId="5CDB56C6" w14:textId="77777777" w:rsidR="006C1F99" w:rsidRPr="002033B3" w:rsidRDefault="006C1F99" w:rsidP="002033B3">
      <w:pPr>
        <w:pStyle w:val="ListParagraph"/>
        <w:numPr>
          <w:ilvl w:val="0"/>
          <w:numId w:val="0"/>
        </w:numPr>
        <w:spacing w:line="276" w:lineRule="auto"/>
        <w:ind w:left="720"/>
      </w:pPr>
    </w:p>
    <w:p w14:paraId="563F4AC3" w14:textId="5F3EFCE9" w:rsidR="00EB5275" w:rsidRPr="002033B3" w:rsidRDefault="44B187EC" w:rsidP="002033B3">
      <w:pPr>
        <w:pStyle w:val="ListParagraph"/>
        <w:spacing w:line="276" w:lineRule="auto"/>
      </w:pPr>
      <w:r w:rsidRPr="002033B3">
        <w:lastRenderedPageBreak/>
        <w:t xml:space="preserve">Given </w:t>
      </w:r>
      <w:r w:rsidR="00EB5275" w:rsidRPr="002033B3">
        <w:t xml:space="preserve">the </w:t>
      </w:r>
      <w:r w:rsidR="06C28327" w:rsidRPr="002033B3">
        <w:t xml:space="preserve">likely </w:t>
      </w:r>
      <w:r w:rsidR="4291698F" w:rsidRPr="002033B3">
        <w:t xml:space="preserve">effect that </w:t>
      </w:r>
      <w:r w:rsidR="00EB5275" w:rsidRPr="002033B3">
        <w:t xml:space="preserve">the UK’s withdrawal from the EU </w:t>
      </w:r>
      <w:r w:rsidR="4336D8B4" w:rsidRPr="002033B3">
        <w:t xml:space="preserve">would have on the legal framework </w:t>
      </w:r>
      <w:r w:rsidR="4C8A341A" w:rsidRPr="002033B3">
        <w:t xml:space="preserve">regulating the environment, </w:t>
      </w:r>
      <w:r w:rsidR="00EB5275" w:rsidRPr="002033B3">
        <w:t xml:space="preserve">the NIHRC commissioned research considering </w:t>
      </w:r>
      <w:r w:rsidR="009A38F6" w:rsidRPr="002033B3">
        <w:t xml:space="preserve">the potential interaction between Windsor Framework Article 2, human rights and </w:t>
      </w:r>
      <w:r w:rsidR="00EE6421" w:rsidRPr="002033B3">
        <w:t>the environment</w:t>
      </w:r>
      <w:r w:rsidR="00EB5275" w:rsidRPr="002033B3">
        <w:t xml:space="preserve">. </w:t>
      </w:r>
    </w:p>
    <w:p w14:paraId="5523F594" w14:textId="77777777" w:rsidR="00EB5275" w:rsidRPr="002033B3" w:rsidRDefault="00EB5275" w:rsidP="002033B3">
      <w:pPr>
        <w:pStyle w:val="ListParagraph"/>
        <w:numPr>
          <w:ilvl w:val="0"/>
          <w:numId w:val="0"/>
        </w:numPr>
        <w:spacing w:line="276" w:lineRule="auto"/>
        <w:ind w:left="720"/>
      </w:pPr>
    </w:p>
    <w:p w14:paraId="17408C86" w14:textId="2B8BDC26" w:rsidR="00C91997" w:rsidRPr="002033B3" w:rsidRDefault="00860FDB" w:rsidP="002033B3">
      <w:pPr>
        <w:pStyle w:val="ListParagraph"/>
        <w:spacing w:line="276" w:lineRule="auto"/>
      </w:pPr>
      <w:r w:rsidRPr="002033B3">
        <w:t>This briefing note accompanies the independent research report commissioned by the NIHRC and authored by Dr Ciara Brennan, Dr Mary Dobbs, Dr Orla Kelleher, Ms Alison Hough BL and Dr Lisa Claire Whitten titled ‘The Environment, Human Rights and the Windsor Framework’.</w:t>
      </w:r>
      <w:r w:rsidR="00692BC8" w:rsidRPr="002033B3">
        <w:rPr>
          <w:rStyle w:val="FootnoteReference"/>
        </w:rPr>
        <w:footnoteReference w:id="6"/>
      </w:r>
      <w:r w:rsidR="00FC4EBD" w:rsidRPr="002033B3">
        <w:t xml:space="preserve"> </w:t>
      </w:r>
    </w:p>
    <w:p w14:paraId="28185E1C" w14:textId="77777777" w:rsidR="00EB2142" w:rsidRPr="002033B3" w:rsidRDefault="00EB2142" w:rsidP="002033B3">
      <w:pPr>
        <w:spacing w:line="276" w:lineRule="auto"/>
      </w:pPr>
    </w:p>
    <w:p w14:paraId="75C8E6DB" w14:textId="76CA80B3" w:rsidR="00BC1CB9" w:rsidRPr="002033B3" w:rsidRDefault="00E16BD5" w:rsidP="002033B3">
      <w:pPr>
        <w:pStyle w:val="ListParagraph"/>
        <w:spacing w:line="276" w:lineRule="auto"/>
      </w:pPr>
      <w:r w:rsidRPr="002033B3">
        <w:t xml:space="preserve">In their </w:t>
      </w:r>
      <w:r w:rsidR="432E0C74" w:rsidRPr="002033B3">
        <w:t xml:space="preserve">comprehensive </w:t>
      </w:r>
      <w:r w:rsidRPr="002033B3">
        <w:t xml:space="preserve">report, Brennan et al begin by reflecting on the established link between human rights and the environment and proceed to </w:t>
      </w:r>
      <w:r w:rsidR="3E8FC730" w:rsidRPr="002033B3">
        <w:t xml:space="preserve">identify </w:t>
      </w:r>
      <w:r w:rsidRPr="002033B3">
        <w:t xml:space="preserve">some of the ways in which </w:t>
      </w:r>
      <w:r w:rsidR="00517CCD" w:rsidRPr="002033B3">
        <w:t xml:space="preserve">EU </w:t>
      </w:r>
      <w:r w:rsidRPr="002033B3">
        <w:t xml:space="preserve">environmental </w:t>
      </w:r>
      <w:r w:rsidR="00517CCD" w:rsidRPr="002033B3">
        <w:t>law interact</w:t>
      </w:r>
      <w:r w:rsidR="00E66C22" w:rsidRPr="002033B3">
        <w:t>s</w:t>
      </w:r>
      <w:r w:rsidR="00517CCD" w:rsidRPr="002033B3">
        <w:t xml:space="preserve"> with</w:t>
      </w:r>
      <w:r w:rsidR="008126E8" w:rsidRPr="002033B3">
        <w:t xml:space="preserve"> the </w:t>
      </w:r>
      <w:r w:rsidR="00F02DD4" w:rsidRPr="002033B3">
        <w:t>Rights, Safeguards and Equality of Opportunity</w:t>
      </w:r>
      <w:r w:rsidR="008126E8" w:rsidRPr="002033B3">
        <w:t xml:space="preserve"> section of the </w:t>
      </w:r>
      <w:r w:rsidR="00E27784" w:rsidRPr="002033B3">
        <w:t>Belfast (Good Friday) Agreement</w:t>
      </w:r>
      <w:r w:rsidR="00165ED2" w:rsidRPr="002033B3">
        <w:t xml:space="preserve">. </w:t>
      </w:r>
    </w:p>
    <w:p w14:paraId="374D5FFD" w14:textId="77777777" w:rsidR="00BC1CB9" w:rsidRPr="002033B3" w:rsidRDefault="00BC1CB9" w:rsidP="002033B3">
      <w:pPr>
        <w:pStyle w:val="ListParagraph"/>
        <w:numPr>
          <w:ilvl w:val="0"/>
          <w:numId w:val="0"/>
        </w:numPr>
        <w:spacing w:line="276" w:lineRule="auto"/>
        <w:ind w:left="720"/>
      </w:pPr>
    </w:p>
    <w:p w14:paraId="1EE193AC" w14:textId="10485221" w:rsidR="00EB2142" w:rsidRPr="002033B3" w:rsidRDefault="00986C30" w:rsidP="002033B3">
      <w:pPr>
        <w:pStyle w:val="ListParagraph"/>
        <w:spacing w:line="276" w:lineRule="auto"/>
      </w:pPr>
      <w:r w:rsidRPr="002033B3">
        <w:t>The</w:t>
      </w:r>
      <w:r w:rsidR="00AA68A9" w:rsidRPr="002033B3">
        <w:t xml:space="preserve"> EU has shared competency </w:t>
      </w:r>
      <w:r w:rsidR="00E66C22" w:rsidRPr="002033B3">
        <w:t xml:space="preserve">with Member States </w:t>
      </w:r>
      <w:r w:rsidR="00AA68A9" w:rsidRPr="002033B3">
        <w:t xml:space="preserve">in the field of the environment and has </w:t>
      </w:r>
      <w:r w:rsidR="00061537" w:rsidRPr="002033B3">
        <w:t>developed extensive legislation and policy on various aspects of environmental protection</w:t>
      </w:r>
      <w:r w:rsidR="00BC1CB9" w:rsidRPr="002033B3">
        <w:t>.</w:t>
      </w:r>
      <w:r w:rsidR="00F57724" w:rsidRPr="002033B3">
        <w:rPr>
          <w:rStyle w:val="FootnoteReference"/>
        </w:rPr>
        <w:footnoteReference w:id="7"/>
      </w:r>
      <w:r w:rsidR="00996D3B" w:rsidRPr="002033B3">
        <w:t xml:space="preserve"> </w:t>
      </w:r>
      <w:r w:rsidR="006B1CB9" w:rsidRPr="002033B3">
        <w:t xml:space="preserve">Prior to </w:t>
      </w:r>
      <w:r w:rsidR="4A005646" w:rsidRPr="002033B3">
        <w:t>the UK’</w:t>
      </w:r>
      <w:r w:rsidR="006B1CB9" w:rsidRPr="002033B3">
        <w:t xml:space="preserve">s exit </w:t>
      </w:r>
      <w:r w:rsidR="4B628CF8" w:rsidRPr="002033B3">
        <w:t xml:space="preserve">from </w:t>
      </w:r>
      <w:r w:rsidR="006B1CB9" w:rsidRPr="002033B3">
        <w:t xml:space="preserve">the EU, the EU played a significant role </w:t>
      </w:r>
      <w:r w:rsidR="3DDEB99E" w:rsidRPr="002033B3">
        <w:t xml:space="preserve">in </w:t>
      </w:r>
      <w:r w:rsidR="006B1CB9" w:rsidRPr="002033B3">
        <w:t xml:space="preserve">NI’s environmental governance architecture and provided various oversight and accountability mechanisms </w:t>
      </w:r>
      <w:r w:rsidR="000A4E1D" w:rsidRPr="002033B3">
        <w:t xml:space="preserve">that </w:t>
      </w:r>
      <w:r w:rsidR="00E55FE3" w:rsidRPr="002033B3">
        <w:t>contribute</w:t>
      </w:r>
      <w:r w:rsidR="0164BC8C" w:rsidRPr="002033B3">
        <w:t>d</w:t>
      </w:r>
      <w:r w:rsidR="00E55FE3" w:rsidRPr="002033B3">
        <w:t xml:space="preserve"> </w:t>
      </w:r>
      <w:r w:rsidR="00130900" w:rsidRPr="002033B3">
        <w:t>very significantly to the enjoyment of a range of</w:t>
      </w:r>
      <w:r w:rsidR="000A4E1D" w:rsidRPr="002033B3">
        <w:t xml:space="preserve"> human rights. The research identifies the broad impact that </w:t>
      </w:r>
      <w:r w:rsidR="4F567833" w:rsidRPr="002033B3">
        <w:t xml:space="preserve">the </w:t>
      </w:r>
      <w:r w:rsidR="000A4E1D" w:rsidRPr="002033B3">
        <w:t>UK’s withdrawal from the EU has had on environmental protection in NI by considering th</w:t>
      </w:r>
      <w:r w:rsidR="00B72CF9" w:rsidRPr="002033B3">
        <w:t>r</w:t>
      </w:r>
      <w:r w:rsidR="000A4E1D" w:rsidRPr="002033B3">
        <w:t xml:space="preserve">ee practical studies (on air quality, on rights </w:t>
      </w:r>
      <w:r w:rsidR="00AA2211" w:rsidRPr="002033B3">
        <w:t>under the Aarhus Convention</w:t>
      </w:r>
      <w:r w:rsidR="00E35785" w:rsidRPr="002033B3">
        <w:rPr>
          <w:rStyle w:val="FootnoteReference"/>
        </w:rPr>
        <w:footnoteReference w:id="8"/>
      </w:r>
      <w:r w:rsidR="00AA2211" w:rsidRPr="002033B3">
        <w:t xml:space="preserve"> </w:t>
      </w:r>
      <w:r w:rsidR="000A4E1D" w:rsidRPr="002033B3">
        <w:t xml:space="preserve">and on nature conservation), illustrating the </w:t>
      </w:r>
      <w:r w:rsidR="4A5DC109" w:rsidRPr="002033B3">
        <w:t xml:space="preserve">impact </w:t>
      </w:r>
      <w:r w:rsidR="000A4E1D" w:rsidRPr="002033B3">
        <w:t>of Windsor Framework Article 2 in these contexts.</w:t>
      </w:r>
    </w:p>
    <w:p w14:paraId="35620786" w14:textId="77777777" w:rsidR="00BC1CB9" w:rsidRPr="002033B3" w:rsidRDefault="00BC1CB9" w:rsidP="002033B3">
      <w:pPr>
        <w:spacing w:line="276" w:lineRule="auto"/>
        <w:ind w:left="720" w:hanging="720"/>
      </w:pPr>
    </w:p>
    <w:p w14:paraId="6851C8FD" w14:textId="17A91EDE" w:rsidR="000C099E" w:rsidRPr="002033B3" w:rsidRDefault="00041FD6" w:rsidP="002033B3">
      <w:pPr>
        <w:pStyle w:val="ListParagraph"/>
        <w:spacing w:line="276" w:lineRule="auto"/>
      </w:pPr>
      <w:r w:rsidRPr="002033B3">
        <w:t xml:space="preserve">The </w:t>
      </w:r>
      <w:r w:rsidR="7AFBE177" w:rsidRPr="002033B3">
        <w:t>NIHRC considered the research and conducted its own analysis of Windsor Framework</w:t>
      </w:r>
      <w:r w:rsidR="000C41EB">
        <w:t xml:space="preserve"> Article 2</w:t>
      </w:r>
      <w:r w:rsidR="008B2532" w:rsidRPr="002033B3">
        <w:t xml:space="preserve"> in the context of the environment</w:t>
      </w:r>
      <w:r w:rsidR="7AFBE177" w:rsidRPr="002033B3">
        <w:t xml:space="preserve">. This </w:t>
      </w:r>
      <w:r w:rsidRPr="002033B3">
        <w:t xml:space="preserve">briefing </w:t>
      </w:r>
      <w:r w:rsidR="00EB2142" w:rsidRPr="002033B3">
        <w:t xml:space="preserve">note </w:t>
      </w:r>
      <w:r w:rsidR="7043A0C8" w:rsidRPr="002033B3">
        <w:t xml:space="preserve">summarises </w:t>
      </w:r>
      <w:r w:rsidR="0C7FDD78" w:rsidRPr="002033B3">
        <w:t xml:space="preserve">the </w:t>
      </w:r>
      <w:r w:rsidRPr="002033B3">
        <w:t>NIHRC</w:t>
      </w:r>
      <w:r w:rsidR="66A97E41" w:rsidRPr="002033B3">
        <w:t>’s</w:t>
      </w:r>
      <w:r w:rsidRPr="002033B3">
        <w:t xml:space="preserve"> advice </w:t>
      </w:r>
      <w:r w:rsidR="00973FD5" w:rsidRPr="002033B3">
        <w:t xml:space="preserve">and recommendations </w:t>
      </w:r>
      <w:r w:rsidRPr="002033B3">
        <w:t>informed by the research</w:t>
      </w:r>
      <w:r w:rsidR="039A3902" w:rsidRPr="002033B3">
        <w:t xml:space="preserve"> and</w:t>
      </w:r>
      <w:r w:rsidRPr="002033B3">
        <w:t xml:space="preserve"> highlights key points in the research</w:t>
      </w:r>
      <w:r w:rsidR="016B20C0" w:rsidRPr="002033B3">
        <w:t>.</w:t>
      </w:r>
    </w:p>
    <w:p w14:paraId="3335AA60" w14:textId="77777777" w:rsidR="0028333E" w:rsidRPr="002033B3" w:rsidRDefault="0028333E" w:rsidP="002033B3">
      <w:pPr>
        <w:pStyle w:val="ListParagraph"/>
        <w:numPr>
          <w:ilvl w:val="0"/>
          <w:numId w:val="0"/>
        </w:numPr>
        <w:spacing w:line="276" w:lineRule="auto"/>
        <w:ind w:left="720"/>
      </w:pPr>
    </w:p>
    <w:p w14:paraId="00094554" w14:textId="659E5D2B" w:rsidR="000C099E" w:rsidRPr="002033B3" w:rsidRDefault="00165FD3" w:rsidP="002033B3">
      <w:pPr>
        <w:pStyle w:val="ListParagraph"/>
        <w:spacing w:line="276" w:lineRule="auto"/>
      </w:pPr>
      <w:r w:rsidRPr="002033B3">
        <w:lastRenderedPageBreak/>
        <w:t>The</w:t>
      </w:r>
      <w:r w:rsidR="00DF18DD" w:rsidRPr="002033B3">
        <w:t xml:space="preserve"> </w:t>
      </w:r>
      <w:r w:rsidR="57FC98B8" w:rsidRPr="002033B3">
        <w:t>following</w:t>
      </w:r>
      <w:r w:rsidR="00DF18DD" w:rsidRPr="002033B3">
        <w:t xml:space="preserve"> </w:t>
      </w:r>
      <w:r w:rsidR="00AB354D" w:rsidRPr="002033B3">
        <w:t>S</w:t>
      </w:r>
      <w:r w:rsidR="00DF18DD" w:rsidRPr="002033B3">
        <w:t xml:space="preserve">ection </w:t>
      </w:r>
      <w:r w:rsidR="00AB354D" w:rsidRPr="002033B3">
        <w:t xml:space="preserve">2 </w:t>
      </w:r>
      <w:r w:rsidR="00DF18DD" w:rsidRPr="002033B3">
        <w:t>provides an overview of</w:t>
      </w:r>
      <w:r w:rsidR="006270A4" w:rsidRPr="002033B3">
        <w:t xml:space="preserve"> Windsor Framework Article 2 in light of recent court </w:t>
      </w:r>
      <w:r w:rsidR="2EDFBD54" w:rsidRPr="002033B3">
        <w:t xml:space="preserve">judgments </w:t>
      </w:r>
      <w:r w:rsidR="006270A4" w:rsidRPr="002033B3">
        <w:t xml:space="preserve">which have </w:t>
      </w:r>
      <w:r w:rsidR="008B3CAA" w:rsidRPr="002033B3">
        <w:t>interpreted the</w:t>
      </w:r>
      <w:r w:rsidR="006270A4" w:rsidRPr="002033B3">
        <w:t xml:space="preserve"> nature and scope of Article 2.</w:t>
      </w:r>
      <w:r w:rsidR="00D15FFF" w:rsidRPr="002033B3">
        <w:rPr>
          <w:rStyle w:val="FootnoteReference"/>
        </w:rPr>
        <w:footnoteReference w:id="9"/>
      </w:r>
      <w:r w:rsidR="006270A4" w:rsidRPr="002033B3">
        <w:t xml:space="preserve"> </w:t>
      </w:r>
      <w:r w:rsidR="00AA09A6" w:rsidRPr="002033B3">
        <w:t xml:space="preserve">Section 3 </w:t>
      </w:r>
      <w:r w:rsidR="3AFCFBF6" w:rsidRPr="002033B3">
        <w:t xml:space="preserve">summarises </w:t>
      </w:r>
      <w:r w:rsidR="00F15569" w:rsidRPr="002033B3">
        <w:t xml:space="preserve">the main </w:t>
      </w:r>
      <w:r w:rsidR="58F3780C" w:rsidRPr="002033B3">
        <w:t xml:space="preserve">thesis of the </w:t>
      </w:r>
      <w:r w:rsidR="6950BB6B" w:rsidRPr="002033B3">
        <w:t>research</w:t>
      </w:r>
      <w:r w:rsidR="002A6EAA" w:rsidRPr="002033B3">
        <w:t xml:space="preserve"> report, namely that</w:t>
      </w:r>
      <w:r w:rsidR="003D2AFD" w:rsidRPr="002033B3">
        <w:t xml:space="preserve"> the </w:t>
      </w:r>
      <w:r w:rsidR="66B577D5" w:rsidRPr="002033B3">
        <w:t xml:space="preserve">Belfast (Good Friday) Agreement </w:t>
      </w:r>
      <w:r w:rsidR="266B0B70" w:rsidRPr="002033B3">
        <w:t xml:space="preserve">includes </w:t>
      </w:r>
      <w:r w:rsidR="00AB354D" w:rsidRPr="002033B3">
        <w:t xml:space="preserve">a wide range of human rights that cannot be fully realised without effective environmental protections, enforcement mechanisms and associated procedural rights. </w:t>
      </w:r>
      <w:r w:rsidR="001F667A" w:rsidRPr="002033B3">
        <w:t xml:space="preserve">In Section </w:t>
      </w:r>
      <w:r w:rsidR="00B15604" w:rsidRPr="002033B3">
        <w:t xml:space="preserve">4 the briefing note focuses on </w:t>
      </w:r>
      <w:r w:rsidR="00616FEA" w:rsidRPr="002033B3">
        <w:t>how</w:t>
      </w:r>
      <w:r w:rsidR="001F10CD" w:rsidRPr="002033B3">
        <w:t xml:space="preserve"> EU law </w:t>
      </w:r>
      <w:r w:rsidR="00727132" w:rsidRPr="002033B3">
        <w:t>environmental protections and enforcement mechanism</w:t>
      </w:r>
      <w:r w:rsidR="00616FEA" w:rsidRPr="002033B3">
        <w:t>s</w:t>
      </w:r>
      <w:r w:rsidR="00727132" w:rsidRPr="002033B3">
        <w:t xml:space="preserve"> underpin </w:t>
      </w:r>
      <w:r w:rsidR="3D62AF6A" w:rsidRPr="002033B3">
        <w:t xml:space="preserve">the </w:t>
      </w:r>
      <w:r w:rsidR="00616FEA" w:rsidRPr="002033B3">
        <w:t xml:space="preserve">human rights commitments </w:t>
      </w:r>
      <w:r w:rsidR="00EE6421" w:rsidRPr="002033B3">
        <w:t xml:space="preserve">connected to the environment. </w:t>
      </w:r>
      <w:r w:rsidR="00EE2E6F" w:rsidRPr="002033B3">
        <w:t xml:space="preserve">In Section </w:t>
      </w:r>
      <w:r w:rsidR="00B15604" w:rsidRPr="002033B3">
        <w:t>5</w:t>
      </w:r>
      <w:r w:rsidR="00EE2E6F" w:rsidRPr="002033B3">
        <w:t xml:space="preserve"> t</w:t>
      </w:r>
      <w:r w:rsidR="002C342F" w:rsidRPr="002033B3">
        <w:t xml:space="preserve">he </w:t>
      </w:r>
      <w:r w:rsidR="006E230F" w:rsidRPr="002033B3">
        <w:t>briefing note</w:t>
      </w:r>
      <w:r w:rsidR="00EE2E6F" w:rsidRPr="002033B3">
        <w:t xml:space="preserve"> </w:t>
      </w:r>
      <w:r w:rsidR="34BC1E5A" w:rsidRPr="002033B3">
        <w:t xml:space="preserve">contains </w:t>
      </w:r>
      <w:r w:rsidR="002C342F" w:rsidRPr="002033B3">
        <w:t>advice and recommendation</w:t>
      </w:r>
      <w:r w:rsidR="00F67488" w:rsidRPr="002033B3">
        <w:t>s</w:t>
      </w:r>
      <w:r w:rsidR="002C342F" w:rsidRPr="002033B3">
        <w:t xml:space="preserve"> on the relevance of Windsor Framework Article 2</w:t>
      </w:r>
      <w:r w:rsidR="000F0CC7" w:rsidRPr="002033B3">
        <w:t>, informed</w:t>
      </w:r>
      <w:r w:rsidR="003365EA" w:rsidRPr="002033B3">
        <w:t xml:space="preserve"> by</w:t>
      </w:r>
      <w:r w:rsidR="002C342F" w:rsidRPr="002033B3">
        <w:t xml:space="preserve"> </w:t>
      </w:r>
      <w:r w:rsidR="001F667A" w:rsidRPr="002033B3">
        <w:t xml:space="preserve">a </w:t>
      </w:r>
      <w:r w:rsidR="002C342F" w:rsidRPr="002033B3">
        <w:t>case-stud</w:t>
      </w:r>
      <w:r w:rsidR="001F667A" w:rsidRPr="002033B3">
        <w:t>y</w:t>
      </w:r>
      <w:r w:rsidR="002C342F" w:rsidRPr="002033B3">
        <w:t xml:space="preserve"> on air quality and the </w:t>
      </w:r>
      <w:r w:rsidR="00EE2E6F" w:rsidRPr="002033B3">
        <w:t>Aarhus</w:t>
      </w:r>
      <w:r w:rsidR="002C342F" w:rsidRPr="002033B3">
        <w:t xml:space="preserve"> </w:t>
      </w:r>
      <w:r w:rsidR="00775AB8" w:rsidRPr="002033B3">
        <w:t>C</w:t>
      </w:r>
      <w:r w:rsidR="002C342F" w:rsidRPr="002033B3">
        <w:t xml:space="preserve">onvention </w:t>
      </w:r>
      <w:r w:rsidR="194D846D" w:rsidRPr="002033B3">
        <w:t xml:space="preserve">which was </w:t>
      </w:r>
      <w:r w:rsidR="002C342F" w:rsidRPr="002033B3">
        <w:t xml:space="preserve">developed in the research report. </w:t>
      </w:r>
    </w:p>
    <w:p w14:paraId="36B86452" w14:textId="77777777" w:rsidR="006E230F" w:rsidRPr="002033B3" w:rsidRDefault="006E230F" w:rsidP="002033B3">
      <w:pPr>
        <w:spacing w:line="276" w:lineRule="auto"/>
      </w:pPr>
    </w:p>
    <w:p w14:paraId="7D8ADF33" w14:textId="1DA2575F" w:rsidR="000C099E" w:rsidRPr="002033B3" w:rsidRDefault="000C099E" w:rsidP="00016606">
      <w:pPr>
        <w:pStyle w:val="Heading1"/>
        <w:keepNext/>
        <w:spacing w:line="276" w:lineRule="auto"/>
      </w:pPr>
      <w:bookmarkStart w:id="4" w:name="_Toc201578293"/>
      <w:r w:rsidRPr="002033B3">
        <w:t>Overview of Article 2</w:t>
      </w:r>
      <w:bookmarkEnd w:id="4"/>
    </w:p>
    <w:p w14:paraId="0FF1C29F" w14:textId="77777777" w:rsidR="000C099E" w:rsidRPr="002033B3" w:rsidRDefault="000C099E" w:rsidP="002033B3">
      <w:pPr>
        <w:pStyle w:val="BasicParagraph"/>
        <w:spacing w:line="276" w:lineRule="auto"/>
        <w:rPr>
          <w:rFonts w:ascii="Verdana" w:hAnsi="Verdana"/>
        </w:rPr>
      </w:pPr>
    </w:p>
    <w:p w14:paraId="2212278A" w14:textId="77777777" w:rsidR="00D95EAE" w:rsidRPr="002033B3" w:rsidRDefault="00D95EAE" w:rsidP="002033B3">
      <w:pPr>
        <w:pStyle w:val="ListParagraph"/>
        <w:numPr>
          <w:ilvl w:val="0"/>
          <w:numId w:val="10"/>
        </w:numPr>
        <w:spacing w:line="276" w:lineRule="auto"/>
        <w:rPr>
          <w:vanish/>
        </w:rPr>
      </w:pPr>
    </w:p>
    <w:p w14:paraId="56149CBB" w14:textId="72BB9A0F" w:rsidR="007546DA" w:rsidRPr="002033B3" w:rsidRDefault="007546DA" w:rsidP="002033B3">
      <w:pPr>
        <w:pStyle w:val="ListParagraph"/>
        <w:spacing w:line="276" w:lineRule="auto"/>
      </w:pPr>
      <w:r w:rsidRPr="002033B3">
        <w:t>Article 2 of the Windsor Framework states:</w:t>
      </w:r>
    </w:p>
    <w:p w14:paraId="6034E4E2" w14:textId="77777777" w:rsidR="007546DA" w:rsidRPr="002033B3" w:rsidRDefault="007546DA" w:rsidP="002033B3">
      <w:pPr>
        <w:pStyle w:val="ListParagraph"/>
        <w:numPr>
          <w:ilvl w:val="0"/>
          <w:numId w:val="0"/>
        </w:numPr>
        <w:spacing w:line="276" w:lineRule="auto"/>
        <w:ind w:left="720"/>
      </w:pPr>
    </w:p>
    <w:p w14:paraId="6FCD9151" w14:textId="55968AAE" w:rsidR="007546DA" w:rsidRPr="002033B3" w:rsidRDefault="007546DA" w:rsidP="002033B3">
      <w:pPr>
        <w:pStyle w:val="Quote"/>
        <w:spacing w:line="276" w:lineRule="auto"/>
        <w:ind w:left="1440"/>
      </w:pPr>
      <w:r w:rsidRPr="002033B3">
        <w:t>The United Kingdom shall ensure that no diminution of rights, safeguards or equality of opportunity, as set out in that part of the 1998 Agreement entitled Rights, Safeguards and Equality of Opportunity results from its withdrawal from the Union, including in the area of protection against discrimination, as enshrined in the provisions of Union law listed in Annex 1 to this Framework, and shall implement this paragraph through dedicated mechanisms.</w:t>
      </w:r>
    </w:p>
    <w:p w14:paraId="3C4CB308" w14:textId="77777777" w:rsidR="007546DA" w:rsidRPr="002033B3" w:rsidRDefault="007546DA" w:rsidP="002033B3">
      <w:pPr>
        <w:pStyle w:val="ListParagraph"/>
        <w:numPr>
          <w:ilvl w:val="0"/>
          <w:numId w:val="0"/>
        </w:numPr>
        <w:spacing w:line="276" w:lineRule="auto"/>
        <w:ind w:left="720"/>
      </w:pPr>
    </w:p>
    <w:p w14:paraId="657D153E" w14:textId="73725053" w:rsidR="007546DA" w:rsidRPr="002033B3" w:rsidRDefault="3F0F0A68" w:rsidP="002033B3">
      <w:pPr>
        <w:pStyle w:val="ListParagraph"/>
        <w:spacing w:line="276" w:lineRule="auto"/>
      </w:pPr>
      <w:r w:rsidRPr="002033B3">
        <w:t xml:space="preserve">By </w:t>
      </w:r>
      <w:r w:rsidR="007546DA" w:rsidRPr="002033B3">
        <w:t xml:space="preserve">Windsor Framework Article 2, the UK Government </w:t>
      </w:r>
      <w:r w:rsidR="0028333E" w:rsidRPr="002033B3">
        <w:t>committed</w:t>
      </w:r>
      <w:r w:rsidR="007546DA" w:rsidRPr="002033B3">
        <w:t xml:space="preserve"> to ensuring that certain rights, safeguards and equality of opportunity protections are not diminished </w:t>
      </w:r>
      <w:proofErr w:type="gramStart"/>
      <w:r w:rsidR="007546DA" w:rsidRPr="002033B3">
        <w:t>as a result of</w:t>
      </w:r>
      <w:proofErr w:type="gramEnd"/>
      <w:r w:rsidR="007546DA" w:rsidRPr="002033B3">
        <w:t xml:space="preserve"> the UK leaving the EU. Therefore, to fall within scope of Windsor Framework Article 2, the human right or equality protection being relied upon must be covered by the relevant chapter of the Belfast (Good Friday) Agreement and have been underpinned by EU law including EU treaties, directives and regulations. In most cases, the relevant EU law will be that which was binding on the UK on 31 December 2020.</w:t>
      </w:r>
    </w:p>
    <w:p w14:paraId="114ABD68" w14:textId="77777777" w:rsidR="00F12201" w:rsidRPr="002033B3" w:rsidRDefault="00F12201" w:rsidP="002033B3">
      <w:pPr>
        <w:pStyle w:val="ListParagraph"/>
        <w:numPr>
          <w:ilvl w:val="0"/>
          <w:numId w:val="0"/>
        </w:numPr>
        <w:spacing w:line="276" w:lineRule="auto"/>
        <w:ind w:left="720"/>
      </w:pPr>
    </w:p>
    <w:p w14:paraId="4C4E6D73" w14:textId="4A9635A6" w:rsidR="00F12201" w:rsidRPr="002033B3" w:rsidRDefault="00F12201" w:rsidP="002033B3">
      <w:pPr>
        <w:pStyle w:val="ListParagraph"/>
        <w:spacing w:line="276" w:lineRule="auto"/>
      </w:pPr>
      <w:r w:rsidRPr="002033B3">
        <w:lastRenderedPageBreak/>
        <w:t>In addition to the ‘no diminution’ commitment, Windsor Framework Article 2 requires the UK Government to “keep pace” with any changes made by the EU to the six EU main equality directives listed Annex 1, which improve the minimum levels of protection available</w:t>
      </w:r>
      <w:r w:rsidR="00775AB8" w:rsidRPr="002033B3">
        <w:t>. T</w:t>
      </w:r>
      <w:r w:rsidR="003D4491" w:rsidRPr="002033B3">
        <w:t xml:space="preserve">his </w:t>
      </w:r>
      <w:r w:rsidRPr="002033B3">
        <w:t>includ</w:t>
      </w:r>
      <w:r w:rsidR="003D4491" w:rsidRPr="002033B3">
        <w:t>es</w:t>
      </w:r>
      <w:r w:rsidRPr="002033B3">
        <w:t xml:space="preserve"> </w:t>
      </w:r>
      <w:r w:rsidR="003D4491" w:rsidRPr="002033B3">
        <w:t xml:space="preserve">adhering </w:t>
      </w:r>
      <w:r w:rsidR="00A20FC2" w:rsidRPr="002033B3">
        <w:t xml:space="preserve">to </w:t>
      </w:r>
      <w:r w:rsidRPr="002033B3">
        <w:t>relevant case law of the Court of Justice of the EU (CJEU)</w:t>
      </w:r>
      <w:r w:rsidR="6FBE76FE" w:rsidRPr="002033B3">
        <w:t>.</w:t>
      </w:r>
      <w:r w:rsidRPr="002033B3">
        <w:rPr>
          <w:rStyle w:val="FootnoteReference"/>
        </w:rPr>
        <w:footnoteReference w:id="10"/>
      </w:r>
    </w:p>
    <w:p w14:paraId="407B2690" w14:textId="77777777" w:rsidR="00327BF4" w:rsidRPr="002033B3" w:rsidRDefault="00327BF4" w:rsidP="002033B3">
      <w:pPr>
        <w:pStyle w:val="ListParagraph"/>
        <w:numPr>
          <w:ilvl w:val="0"/>
          <w:numId w:val="0"/>
        </w:numPr>
        <w:spacing w:line="276" w:lineRule="auto"/>
        <w:ind w:left="720"/>
      </w:pPr>
    </w:p>
    <w:p w14:paraId="6EE0C890" w14:textId="0FD87E9C" w:rsidR="00327BF4" w:rsidRPr="002033B3" w:rsidRDefault="00EC10C3" w:rsidP="002033B3">
      <w:pPr>
        <w:pStyle w:val="ListParagraph"/>
        <w:spacing w:line="276" w:lineRule="auto"/>
      </w:pPr>
      <w:r w:rsidRPr="002033B3">
        <w:t xml:space="preserve">The NI Court of Appeal and High Court have handed down </w:t>
      </w:r>
      <w:r w:rsidR="799B61DE" w:rsidRPr="002033B3">
        <w:t xml:space="preserve">judgments that </w:t>
      </w:r>
      <w:r w:rsidRPr="002033B3">
        <w:t>interpret Windsor Framework Article 2, the Belfast (Good Friday) Agreement chapter and the approach to relevant EU law,</w:t>
      </w:r>
      <w:r w:rsidR="00D717CF" w:rsidRPr="002033B3">
        <w:rPr>
          <w:rStyle w:val="FootnoteReference"/>
        </w:rPr>
        <w:footnoteReference w:id="11"/>
      </w:r>
      <w:r w:rsidRPr="002033B3">
        <w:t xml:space="preserve"> with further proceedings expected.</w:t>
      </w:r>
      <w:r w:rsidR="00D717CF" w:rsidRPr="002033B3">
        <w:rPr>
          <w:rStyle w:val="FootnoteReference"/>
        </w:rPr>
        <w:footnoteReference w:id="12"/>
      </w:r>
      <w:r w:rsidR="00307369" w:rsidRPr="002033B3">
        <w:t xml:space="preserve"> </w:t>
      </w:r>
      <w:r w:rsidRPr="002033B3">
        <w:t>Though the Belfast (Good Friday) Agreement was neither drafted for this purpose, nor in tight legal terms, the courts have expressed no difficulty in utilising its content as a signpost to the hard legal requirements of relevant EU law.</w:t>
      </w:r>
    </w:p>
    <w:p w14:paraId="42A2EE5C" w14:textId="77777777" w:rsidR="00DB4520" w:rsidRPr="002033B3" w:rsidRDefault="00DB4520" w:rsidP="002033B3">
      <w:pPr>
        <w:pStyle w:val="ListParagraph"/>
        <w:numPr>
          <w:ilvl w:val="0"/>
          <w:numId w:val="0"/>
        </w:numPr>
        <w:spacing w:line="276" w:lineRule="auto"/>
        <w:ind w:left="720"/>
      </w:pPr>
    </w:p>
    <w:p w14:paraId="695B74AB" w14:textId="0D105296" w:rsidR="007F5854" w:rsidRPr="002033B3" w:rsidRDefault="00A8371F" w:rsidP="002033B3">
      <w:pPr>
        <w:pStyle w:val="ListParagraph"/>
        <w:spacing w:line="276" w:lineRule="auto"/>
      </w:pPr>
      <w:r w:rsidRPr="002033B3">
        <w:t xml:space="preserve">In </w:t>
      </w:r>
      <w:r w:rsidR="5C89B092" w:rsidRPr="002033B3">
        <w:t xml:space="preserve">the case of </w:t>
      </w:r>
      <w:r w:rsidRPr="002033B3">
        <w:rPr>
          <w:i/>
          <w:iCs/>
        </w:rPr>
        <w:t>Dillon</w:t>
      </w:r>
      <w:r w:rsidR="6A1495FC" w:rsidRPr="002033B3">
        <w:rPr>
          <w:i/>
          <w:iCs/>
        </w:rPr>
        <w:t>,</w:t>
      </w:r>
      <w:r w:rsidR="00B35A69" w:rsidRPr="002033B3">
        <w:rPr>
          <w:rStyle w:val="FootnoteReference"/>
          <w:i/>
          <w:iCs/>
        </w:rPr>
        <w:footnoteReference w:id="13"/>
      </w:r>
      <w:r w:rsidRPr="002033B3">
        <w:t xml:space="preserve"> the NI Court of Appeal considered Article 4 of the UK EU Withdrawal Agreement and section 7A of the EU (Withdrawal) Act 2018 </w:t>
      </w:r>
      <w:r w:rsidR="224E05E2" w:rsidRPr="002033B3">
        <w:t xml:space="preserve">and </w:t>
      </w:r>
      <w:r w:rsidR="5DF752BC" w:rsidRPr="002033B3">
        <w:t>held</w:t>
      </w:r>
      <w:r w:rsidRPr="002033B3">
        <w:t xml:space="preserve"> that: </w:t>
      </w:r>
    </w:p>
    <w:p w14:paraId="6E49072D" w14:textId="77777777" w:rsidR="007F5854" w:rsidRPr="002033B3" w:rsidRDefault="007F5854" w:rsidP="002033B3">
      <w:pPr>
        <w:pStyle w:val="ListParagraph"/>
        <w:numPr>
          <w:ilvl w:val="0"/>
          <w:numId w:val="0"/>
        </w:numPr>
        <w:spacing w:line="276" w:lineRule="auto"/>
        <w:ind w:left="720"/>
      </w:pPr>
    </w:p>
    <w:p w14:paraId="5DACA0D5" w14:textId="463CF3EC" w:rsidR="00DB4520" w:rsidRPr="002033B3" w:rsidRDefault="00A8371F" w:rsidP="002033B3">
      <w:pPr>
        <w:pStyle w:val="ListParagraph"/>
        <w:numPr>
          <w:ilvl w:val="0"/>
          <w:numId w:val="25"/>
        </w:numPr>
        <w:spacing w:line="276" w:lineRule="auto"/>
        <w:ind w:left="1560"/>
      </w:pPr>
      <w:r w:rsidRPr="002033B3">
        <w:t xml:space="preserve">Windsor Framework Article 2 has direct effect and can be relied </w:t>
      </w:r>
      <w:r w:rsidR="6BEB34A0" w:rsidRPr="002033B3">
        <w:t>up</w:t>
      </w:r>
      <w:r w:rsidRPr="002033B3">
        <w:t xml:space="preserve">on in </w:t>
      </w:r>
      <w:r w:rsidR="6E165D4A" w:rsidRPr="002033B3">
        <w:t>any court;</w:t>
      </w:r>
      <w:r w:rsidR="007F5854" w:rsidRPr="002033B3">
        <w:rPr>
          <w:rStyle w:val="FootnoteReference"/>
        </w:rPr>
        <w:footnoteReference w:id="14"/>
      </w:r>
    </w:p>
    <w:p w14:paraId="0F52127E" w14:textId="04BC2552" w:rsidR="002943B9" w:rsidRPr="002033B3" w:rsidRDefault="002943B9" w:rsidP="002033B3">
      <w:pPr>
        <w:pStyle w:val="ListParagraph"/>
        <w:numPr>
          <w:ilvl w:val="0"/>
          <w:numId w:val="25"/>
        </w:numPr>
        <w:spacing w:line="276" w:lineRule="auto"/>
        <w:ind w:left="1560"/>
      </w:pPr>
      <w:r w:rsidRPr="002033B3">
        <w:t>The rights, safeguards and equality of opportunity chapter in the Belfast (Good Friday) Agreement is not to be narrowly construed or regarded through the lens of the conflict but consists of a “broad suite of rights” and extends “further than those rights specifically listed”;</w:t>
      </w:r>
      <w:r w:rsidRPr="002033B3">
        <w:rPr>
          <w:rStyle w:val="FootnoteReference"/>
        </w:rPr>
        <w:footnoteReference w:id="15"/>
      </w:r>
    </w:p>
    <w:p w14:paraId="69BF217C" w14:textId="56670460" w:rsidR="0070548B" w:rsidRPr="002033B3" w:rsidRDefault="0070548B" w:rsidP="002033B3">
      <w:pPr>
        <w:pStyle w:val="ListParagraph"/>
        <w:numPr>
          <w:ilvl w:val="0"/>
          <w:numId w:val="25"/>
        </w:numPr>
        <w:spacing w:line="276" w:lineRule="auto"/>
        <w:ind w:left="1560"/>
      </w:pPr>
      <w:r w:rsidRPr="002033B3">
        <w:t xml:space="preserve">EU law that underpins these rights and </w:t>
      </w:r>
      <w:r w:rsidR="691942DF" w:rsidRPr="002033B3">
        <w:t xml:space="preserve">which </w:t>
      </w:r>
      <w:r w:rsidRPr="002033B3">
        <w:t>bound the UK prior to EU withdrawal continues to set minimum standards below which the law in NI must not fall;</w:t>
      </w:r>
      <w:r w:rsidRPr="002033B3">
        <w:rPr>
          <w:rStyle w:val="FootnoteReference"/>
        </w:rPr>
        <w:footnoteReference w:id="16"/>
      </w:r>
      <w:r w:rsidRPr="002033B3">
        <w:t xml:space="preserve"> </w:t>
      </w:r>
    </w:p>
    <w:p w14:paraId="6C9CF3F3" w14:textId="2B667DC0" w:rsidR="00DE0984" w:rsidRPr="002033B3" w:rsidRDefault="66B65553" w:rsidP="002033B3">
      <w:pPr>
        <w:pStyle w:val="ListParagraph"/>
        <w:numPr>
          <w:ilvl w:val="0"/>
          <w:numId w:val="25"/>
        </w:numPr>
        <w:spacing w:line="276" w:lineRule="auto"/>
        <w:ind w:left="1560"/>
      </w:pPr>
      <w:r w:rsidRPr="002033B3">
        <w:lastRenderedPageBreak/>
        <w:t>T</w:t>
      </w:r>
      <w:r w:rsidR="00DE0984" w:rsidRPr="002033B3">
        <w:t>he EU Victims’ Directive “is to be interpreted in accordance with the EU Charter and general principles of EU law”;</w:t>
      </w:r>
      <w:r w:rsidR="00DE0984" w:rsidRPr="002033B3">
        <w:rPr>
          <w:rStyle w:val="FootnoteReference"/>
        </w:rPr>
        <w:footnoteReference w:id="17"/>
      </w:r>
      <w:r w:rsidR="00DE0984" w:rsidRPr="002033B3">
        <w:t xml:space="preserve"> and</w:t>
      </w:r>
    </w:p>
    <w:p w14:paraId="63BAF320" w14:textId="64C2A15A" w:rsidR="00AD657D" w:rsidRPr="002033B3" w:rsidRDefault="00AD657D" w:rsidP="002033B3">
      <w:pPr>
        <w:pStyle w:val="ListParagraph"/>
        <w:numPr>
          <w:ilvl w:val="0"/>
          <w:numId w:val="25"/>
        </w:numPr>
        <w:spacing w:line="276" w:lineRule="auto"/>
        <w:ind w:left="1560"/>
      </w:pPr>
      <w:r w:rsidRPr="002033B3">
        <w:t>Disapplication of offending provisions “is the correct remedy” for breach of Windsor Framework Article 2.</w:t>
      </w:r>
      <w:r w:rsidRPr="002033B3">
        <w:rPr>
          <w:rStyle w:val="FootnoteReference"/>
        </w:rPr>
        <w:footnoteReference w:id="18"/>
      </w:r>
    </w:p>
    <w:p w14:paraId="311D5F89" w14:textId="77777777" w:rsidR="00A66812" w:rsidRPr="002033B3" w:rsidRDefault="00A66812" w:rsidP="002033B3">
      <w:pPr>
        <w:spacing w:line="276" w:lineRule="auto"/>
      </w:pPr>
    </w:p>
    <w:p w14:paraId="4AB77F84" w14:textId="498716D1" w:rsidR="00163F92" w:rsidRPr="002033B3" w:rsidRDefault="00F270BE" w:rsidP="002033B3">
      <w:pPr>
        <w:pStyle w:val="ListParagraph"/>
        <w:spacing w:line="276" w:lineRule="auto"/>
      </w:pPr>
      <w:bookmarkStart w:id="5" w:name="_Hlk198114125"/>
      <w:r w:rsidRPr="002033B3">
        <w:t xml:space="preserve">Though subject to appeal, the decisions of the courts have, to date, aligned with the </w:t>
      </w:r>
      <w:r w:rsidR="00B131C8" w:rsidRPr="002033B3">
        <w:t>NIHRC</w:t>
      </w:r>
      <w:r w:rsidRPr="002033B3">
        <w:t>’</w:t>
      </w:r>
      <w:r w:rsidR="002026D7" w:rsidRPr="002033B3">
        <w:t>s</w:t>
      </w:r>
      <w:r w:rsidRPr="002033B3">
        <w:t xml:space="preserve"> analysis set out in </w:t>
      </w:r>
      <w:r w:rsidR="002026D7" w:rsidRPr="002033B3">
        <w:t xml:space="preserve">the </w:t>
      </w:r>
      <w:r w:rsidRPr="002033B3">
        <w:t>working paper</w:t>
      </w:r>
      <w:r w:rsidR="002026D7" w:rsidRPr="002033B3">
        <w:t xml:space="preserve"> </w:t>
      </w:r>
      <w:r w:rsidR="00B131C8" w:rsidRPr="002033B3">
        <w:t>by the NI</w:t>
      </w:r>
      <w:r w:rsidR="00B156D7" w:rsidRPr="002033B3">
        <w:t>H</w:t>
      </w:r>
      <w:r w:rsidR="00B131C8" w:rsidRPr="002033B3">
        <w:t xml:space="preserve">RC and the </w:t>
      </w:r>
      <w:r w:rsidR="00C37962" w:rsidRPr="002033B3">
        <w:t xml:space="preserve">Equality Commission </w:t>
      </w:r>
      <w:r w:rsidR="006F1593" w:rsidRPr="002033B3">
        <w:t>for Northern Ireland</w:t>
      </w:r>
      <w:r w:rsidR="2149A430" w:rsidRPr="002033B3">
        <w:t>.</w:t>
      </w:r>
      <w:r w:rsidRPr="002033B3">
        <w:rPr>
          <w:rStyle w:val="FootnoteReference"/>
        </w:rPr>
        <w:footnoteReference w:id="19"/>
      </w:r>
      <w:r w:rsidR="00130132" w:rsidRPr="002033B3">
        <w:t xml:space="preserve"> </w:t>
      </w:r>
      <w:r w:rsidR="74E29DD9" w:rsidRPr="002033B3">
        <w:t>T</w:t>
      </w:r>
      <w:r w:rsidR="00B131C8" w:rsidRPr="002033B3">
        <w:t>he NIHRC welcomes</w:t>
      </w:r>
      <w:r w:rsidRPr="002033B3">
        <w:t xml:space="preserve"> the recognition by the courts of the </w:t>
      </w:r>
      <w:r w:rsidR="14D41CED" w:rsidRPr="002033B3">
        <w:t xml:space="preserve">contribution made in </w:t>
      </w:r>
      <w:r w:rsidRPr="002033B3">
        <w:t>submissions.</w:t>
      </w:r>
      <w:r w:rsidRPr="002033B3">
        <w:rPr>
          <w:rStyle w:val="FootnoteReference"/>
        </w:rPr>
        <w:footnoteReference w:id="20"/>
      </w:r>
    </w:p>
    <w:p w14:paraId="549BFCD5" w14:textId="77777777" w:rsidR="0028268D" w:rsidRPr="002033B3" w:rsidRDefault="0028268D" w:rsidP="002033B3">
      <w:pPr>
        <w:spacing w:line="276" w:lineRule="auto"/>
      </w:pPr>
    </w:p>
    <w:p w14:paraId="7F3F691E" w14:textId="4C2792E7" w:rsidR="0028268D" w:rsidRPr="002033B3" w:rsidRDefault="00EF10AE" w:rsidP="002033B3">
      <w:pPr>
        <w:pStyle w:val="ListParagraph"/>
        <w:spacing w:line="276" w:lineRule="auto"/>
      </w:pPr>
      <w:r w:rsidRPr="002033B3">
        <w:t>A</w:t>
      </w:r>
      <w:r w:rsidR="0028268D" w:rsidRPr="002033B3">
        <w:t xml:space="preserve"> breach of Windsor Framework Article 2 </w:t>
      </w:r>
      <w:r w:rsidR="6DC34DA7" w:rsidRPr="002033B3">
        <w:t>is</w:t>
      </w:r>
      <w:r w:rsidR="0028268D" w:rsidRPr="002033B3">
        <w:t xml:space="preserve"> identified</w:t>
      </w:r>
      <w:r w:rsidRPr="002033B3">
        <w:t xml:space="preserve"> if the answer to each </w:t>
      </w:r>
      <w:r w:rsidR="4D408BBC" w:rsidRPr="002033B3">
        <w:t xml:space="preserve">and </w:t>
      </w:r>
      <w:proofErr w:type="gramStart"/>
      <w:r w:rsidR="4D408BBC" w:rsidRPr="002033B3">
        <w:t xml:space="preserve">all </w:t>
      </w:r>
      <w:r w:rsidRPr="002033B3">
        <w:t>of</w:t>
      </w:r>
      <w:proofErr w:type="gramEnd"/>
      <w:r w:rsidRPr="002033B3">
        <w:t xml:space="preserve"> the </w:t>
      </w:r>
      <w:r w:rsidR="45E091B3" w:rsidRPr="002033B3">
        <w:t xml:space="preserve">following </w:t>
      </w:r>
      <w:r w:rsidRPr="002033B3">
        <w:t>questions is yes</w:t>
      </w:r>
      <w:r w:rsidR="0028268D" w:rsidRPr="002033B3">
        <w:t>:</w:t>
      </w:r>
    </w:p>
    <w:p w14:paraId="3EB099C3" w14:textId="77777777" w:rsidR="0028268D" w:rsidRPr="002033B3" w:rsidRDefault="0028268D" w:rsidP="002033B3">
      <w:pPr>
        <w:spacing w:line="276" w:lineRule="auto"/>
      </w:pPr>
    </w:p>
    <w:p w14:paraId="18079D0B" w14:textId="77777777" w:rsidR="0028268D" w:rsidRPr="002033B3" w:rsidRDefault="0028268D" w:rsidP="002033B3">
      <w:pPr>
        <w:pStyle w:val="ListParagraph"/>
        <w:numPr>
          <w:ilvl w:val="0"/>
          <w:numId w:val="14"/>
        </w:numPr>
        <w:spacing w:line="276" w:lineRule="auto"/>
      </w:pPr>
      <w:r w:rsidRPr="002033B3">
        <w:t>Does the right, safeguard or equality of opportunity protection fall within the relevant part of the Belfast (Good Friday) Agreement?</w:t>
      </w:r>
    </w:p>
    <w:p w14:paraId="7720623E" w14:textId="77777777" w:rsidR="0028268D" w:rsidRPr="002033B3" w:rsidRDefault="0028268D" w:rsidP="002033B3">
      <w:pPr>
        <w:pStyle w:val="ListParagraph"/>
        <w:numPr>
          <w:ilvl w:val="0"/>
          <w:numId w:val="14"/>
        </w:numPr>
        <w:spacing w:line="276" w:lineRule="auto"/>
      </w:pPr>
      <w:r w:rsidRPr="002033B3">
        <w:t xml:space="preserve">Was the right, safeguard or equality of opportunity protection: </w:t>
      </w:r>
    </w:p>
    <w:p w14:paraId="3065EE05" w14:textId="77777777" w:rsidR="0028268D" w:rsidRPr="002033B3" w:rsidRDefault="0028268D" w:rsidP="002033B3">
      <w:pPr>
        <w:pStyle w:val="ListParagraph"/>
        <w:numPr>
          <w:ilvl w:val="0"/>
          <w:numId w:val="18"/>
        </w:numPr>
        <w:spacing w:line="276" w:lineRule="auto"/>
        <w:ind w:left="2517" w:hanging="720"/>
      </w:pPr>
      <w:r w:rsidRPr="002033B3">
        <w:t xml:space="preserve">underpinned by EU law binding on the UK on or before 31 December 2020? </w:t>
      </w:r>
    </w:p>
    <w:p w14:paraId="5168F548" w14:textId="77777777" w:rsidR="0028268D" w:rsidRPr="002033B3" w:rsidRDefault="0028268D" w:rsidP="002033B3">
      <w:pPr>
        <w:pStyle w:val="ListParagraph"/>
        <w:numPr>
          <w:ilvl w:val="0"/>
          <w:numId w:val="18"/>
        </w:numPr>
        <w:spacing w:line="276" w:lineRule="auto"/>
        <w:ind w:left="2517" w:hanging="720"/>
      </w:pPr>
      <w:r w:rsidRPr="002033B3">
        <w:t>given effect in NI law, in whole or in part, on or before 31 December 2020?</w:t>
      </w:r>
      <w:r w:rsidRPr="002033B3">
        <w:rPr>
          <w:rStyle w:val="FootnoteReference"/>
        </w:rPr>
        <w:footnoteReference w:id="21"/>
      </w:r>
    </w:p>
    <w:p w14:paraId="42969F3A" w14:textId="77777777" w:rsidR="0028268D" w:rsidRPr="002033B3" w:rsidRDefault="0028268D" w:rsidP="002033B3">
      <w:pPr>
        <w:pStyle w:val="ListParagraph"/>
        <w:numPr>
          <w:ilvl w:val="0"/>
          <w:numId w:val="14"/>
        </w:numPr>
        <w:spacing w:line="276" w:lineRule="auto"/>
      </w:pPr>
      <w:r w:rsidRPr="002033B3">
        <w:t>Has there been a diminution in the right, safeguard or equality of opportunity protection on or after 1 January 2021?</w:t>
      </w:r>
    </w:p>
    <w:p w14:paraId="27674645" w14:textId="77777777" w:rsidR="0028268D" w:rsidRPr="002033B3" w:rsidRDefault="0028268D" w:rsidP="002033B3">
      <w:pPr>
        <w:pStyle w:val="ListParagraph"/>
        <w:numPr>
          <w:ilvl w:val="0"/>
          <w:numId w:val="14"/>
        </w:numPr>
        <w:spacing w:line="276" w:lineRule="auto"/>
      </w:pPr>
      <w:r w:rsidRPr="002033B3">
        <w:t>Would this diminution have been unlawful had the UK remained in the EU?</w:t>
      </w:r>
      <w:r w:rsidRPr="002033B3">
        <w:rPr>
          <w:rStyle w:val="FootnoteReference"/>
        </w:rPr>
        <w:footnoteReference w:id="22"/>
      </w:r>
      <w:r w:rsidRPr="002033B3">
        <w:t xml:space="preserve"> </w:t>
      </w:r>
    </w:p>
    <w:p w14:paraId="3FFF8282" w14:textId="77777777" w:rsidR="0028268D" w:rsidRPr="002033B3" w:rsidRDefault="0028268D" w:rsidP="002033B3">
      <w:pPr>
        <w:pStyle w:val="ListParagraph"/>
        <w:numPr>
          <w:ilvl w:val="0"/>
          <w:numId w:val="0"/>
        </w:numPr>
        <w:spacing w:line="276" w:lineRule="auto"/>
        <w:ind w:left="720"/>
      </w:pPr>
    </w:p>
    <w:p w14:paraId="483E8CF8" w14:textId="25ADD5AF" w:rsidR="0028268D" w:rsidRPr="002033B3" w:rsidRDefault="0028268D" w:rsidP="002033B3">
      <w:pPr>
        <w:pStyle w:val="ListParagraph"/>
        <w:spacing w:line="276" w:lineRule="auto"/>
      </w:pPr>
      <w:r w:rsidRPr="002033B3">
        <w:t xml:space="preserve">The NI Court of Appeal </w:t>
      </w:r>
      <w:r w:rsidR="00E21715" w:rsidRPr="002033B3">
        <w:t xml:space="preserve">in </w:t>
      </w:r>
      <w:r w:rsidR="00E21715" w:rsidRPr="002033B3">
        <w:rPr>
          <w:i/>
          <w:iCs/>
        </w:rPr>
        <w:t xml:space="preserve">Dillon </w:t>
      </w:r>
      <w:r w:rsidR="0005293F" w:rsidRPr="002033B3">
        <w:t>used</w:t>
      </w:r>
      <w:r w:rsidRPr="002033B3">
        <w:t xml:space="preserve"> a</w:t>
      </w:r>
      <w:r w:rsidR="00C4353D" w:rsidRPr="002033B3">
        <w:t xml:space="preserve"> similar</w:t>
      </w:r>
      <w:r w:rsidRPr="002033B3">
        <w:t xml:space="preserve"> six-part test </w:t>
      </w:r>
      <w:r w:rsidR="00C4353D" w:rsidRPr="002033B3">
        <w:t xml:space="preserve">set out in a previous judgment but </w:t>
      </w:r>
      <w:r w:rsidR="002D5197" w:rsidRPr="002033B3">
        <w:t>referred to it as an “aid not a binding</w:t>
      </w:r>
      <w:r w:rsidR="000C41EB">
        <w:t xml:space="preserve"> or rigid</w:t>
      </w:r>
      <w:r w:rsidR="002D5197" w:rsidRPr="002033B3">
        <w:t xml:space="preserve"> code”</w:t>
      </w:r>
      <w:r w:rsidRPr="002033B3">
        <w:t>.</w:t>
      </w:r>
      <w:r w:rsidR="00FA4C07" w:rsidRPr="002033B3">
        <w:rPr>
          <w:rStyle w:val="FootnoteReference"/>
        </w:rPr>
        <w:footnoteReference w:id="23"/>
      </w:r>
      <w:r w:rsidRPr="002033B3">
        <w:t xml:space="preserve"> </w:t>
      </w:r>
    </w:p>
    <w:p w14:paraId="4127D79B" w14:textId="77777777" w:rsidR="00EF10AE" w:rsidRPr="002033B3" w:rsidRDefault="00EF10AE" w:rsidP="002033B3">
      <w:pPr>
        <w:pStyle w:val="ListParagraph"/>
        <w:numPr>
          <w:ilvl w:val="0"/>
          <w:numId w:val="0"/>
        </w:numPr>
        <w:spacing w:line="276" w:lineRule="auto"/>
        <w:ind w:left="720"/>
      </w:pPr>
    </w:p>
    <w:p w14:paraId="000D7C11" w14:textId="74974335" w:rsidR="00FE154D" w:rsidRPr="002033B3" w:rsidRDefault="00600ABF" w:rsidP="002033B3">
      <w:pPr>
        <w:pStyle w:val="ListParagraph"/>
        <w:spacing w:line="276" w:lineRule="auto"/>
      </w:pPr>
      <w:r w:rsidRPr="002033B3">
        <w:t>T</w:t>
      </w:r>
      <w:r w:rsidR="00256FC8" w:rsidRPr="002033B3">
        <w:t>he end</w:t>
      </w:r>
      <w:r w:rsidR="00D177CD" w:rsidRPr="002033B3">
        <w:t>ur</w:t>
      </w:r>
      <w:r w:rsidR="00256FC8" w:rsidRPr="002033B3">
        <w:t>ing relevance of the EU Charter of Fundamental Rights</w:t>
      </w:r>
      <w:r w:rsidR="006B2BF9" w:rsidRPr="002033B3">
        <w:t xml:space="preserve"> </w:t>
      </w:r>
      <w:r w:rsidRPr="002033B3">
        <w:t xml:space="preserve">is important to this discussion on human rights, the environment and </w:t>
      </w:r>
      <w:r w:rsidRPr="002033B3">
        <w:lastRenderedPageBreak/>
        <w:t>Windsor Framework Article 2</w:t>
      </w:r>
      <w:r w:rsidR="00256FC8" w:rsidRPr="002033B3">
        <w:t xml:space="preserve">. </w:t>
      </w:r>
      <w:r w:rsidR="004B00A2" w:rsidRPr="002033B3">
        <w:t xml:space="preserve">The </w:t>
      </w:r>
      <w:r w:rsidR="00F27850" w:rsidRPr="002033B3">
        <w:t xml:space="preserve">Court of Appeal </w:t>
      </w:r>
      <w:r w:rsidR="00657A30" w:rsidRPr="002033B3">
        <w:t xml:space="preserve">in England and Wales </w:t>
      </w:r>
      <w:r w:rsidR="00CD6922" w:rsidRPr="002033B3">
        <w:t>held</w:t>
      </w:r>
      <w:r w:rsidR="00E77E1F" w:rsidRPr="002033B3">
        <w:t xml:space="preserve"> that </w:t>
      </w:r>
      <w:r w:rsidR="007D4924" w:rsidRPr="002033B3">
        <w:t>“the Charter is relevant to the construction and the application of substantive provisions of the [</w:t>
      </w:r>
      <w:r w:rsidR="0003413E" w:rsidRPr="002033B3">
        <w:t>UK-EU Withdrawal</w:t>
      </w:r>
      <w:r w:rsidR="005D3C17" w:rsidRPr="002033B3">
        <w:t>]</w:t>
      </w:r>
      <w:r w:rsidR="0003413E" w:rsidRPr="002033B3">
        <w:t xml:space="preserve"> Agreement</w:t>
      </w:r>
      <w:r w:rsidR="005D3C17" w:rsidRPr="002033B3">
        <w:t>”</w:t>
      </w:r>
      <w:r w:rsidR="00C44531" w:rsidRPr="002033B3">
        <w:rPr>
          <w:rStyle w:val="FootnoteReference"/>
        </w:rPr>
        <w:footnoteReference w:id="24"/>
      </w:r>
      <w:r w:rsidR="0003413E" w:rsidRPr="002033B3">
        <w:t xml:space="preserve"> </w:t>
      </w:r>
      <w:r w:rsidR="00E77E1F" w:rsidRPr="002033B3">
        <w:t xml:space="preserve">which </w:t>
      </w:r>
      <w:r w:rsidR="0003413E" w:rsidRPr="002033B3">
        <w:t>includ</w:t>
      </w:r>
      <w:r w:rsidR="00E77E1F" w:rsidRPr="002033B3">
        <w:t>es</w:t>
      </w:r>
      <w:r w:rsidR="0003413E" w:rsidRPr="002033B3">
        <w:t xml:space="preserve"> the </w:t>
      </w:r>
      <w:r w:rsidR="0095257F" w:rsidRPr="002033B3">
        <w:t>Windsor Framework</w:t>
      </w:r>
      <w:r w:rsidR="005D3C17" w:rsidRPr="002033B3">
        <w:t>.</w:t>
      </w:r>
      <w:r w:rsidR="00126D0B" w:rsidRPr="002033B3">
        <w:t xml:space="preserve"> </w:t>
      </w:r>
      <w:r w:rsidR="00812C91" w:rsidRPr="002033B3">
        <w:t xml:space="preserve">As </w:t>
      </w:r>
      <w:r w:rsidR="35CDD3EB" w:rsidRPr="002033B3">
        <w:t xml:space="preserve">referred to </w:t>
      </w:r>
      <w:r w:rsidR="00812C91" w:rsidRPr="002033B3">
        <w:t>above, t</w:t>
      </w:r>
      <w:r w:rsidR="00B94CA7" w:rsidRPr="002033B3">
        <w:t xml:space="preserve">he NI Court of Appeal </w:t>
      </w:r>
      <w:r w:rsidR="43CDB2D6" w:rsidRPr="002033B3">
        <w:t xml:space="preserve">held </w:t>
      </w:r>
      <w:r w:rsidR="00B94CA7" w:rsidRPr="002033B3">
        <w:t xml:space="preserve">that </w:t>
      </w:r>
      <w:r w:rsidR="00C00D9E" w:rsidRPr="002033B3">
        <w:t xml:space="preserve">relevant </w:t>
      </w:r>
      <w:r w:rsidR="00A9129B" w:rsidRPr="002033B3">
        <w:t xml:space="preserve">EU law must be interpreted in line with </w:t>
      </w:r>
      <w:r w:rsidR="0003413E" w:rsidRPr="002033B3">
        <w:t>the EU Charter of Fundamental Rights.</w:t>
      </w:r>
      <w:r w:rsidR="007004F4" w:rsidRPr="002033B3">
        <w:rPr>
          <w:rStyle w:val="FootnoteReference"/>
        </w:rPr>
        <w:footnoteReference w:id="25"/>
      </w:r>
      <w:r w:rsidR="0003413E" w:rsidRPr="002033B3">
        <w:t xml:space="preserve"> This is an exception from </w:t>
      </w:r>
      <w:r w:rsidR="00407A19" w:rsidRPr="002033B3">
        <w:t>section 5</w:t>
      </w:r>
      <w:r w:rsidR="0003413E" w:rsidRPr="002033B3">
        <w:t xml:space="preserve"> of the EU (Withdrawal) Act 2018 which provides that the EU Charter is not</w:t>
      </w:r>
      <w:r w:rsidR="00027212">
        <w:t xml:space="preserve"> “</w:t>
      </w:r>
      <w:r w:rsidR="0003413E" w:rsidRPr="002033B3">
        <w:t>carried over</w:t>
      </w:r>
      <w:r w:rsidR="00027212">
        <w:t>”</w:t>
      </w:r>
      <w:r w:rsidR="0003413E" w:rsidRPr="002033B3">
        <w:t xml:space="preserve"> by the general rules on the retention of EU law and is not part of UK law on or after 1 January 2021.</w:t>
      </w:r>
      <w:r w:rsidR="0003413E" w:rsidRPr="002033B3">
        <w:rPr>
          <w:rStyle w:val="FootnoteReference"/>
        </w:rPr>
        <w:footnoteReference w:id="26"/>
      </w:r>
      <w:r w:rsidR="004F48E0" w:rsidRPr="002033B3">
        <w:t xml:space="preserve"> </w:t>
      </w:r>
      <w:r w:rsidR="00581DC9" w:rsidRPr="002033B3">
        <w:t>In a research report</w:t>
      </w:r>
      <w:r w:rsidR="00B131C8" w:rsidRPr="002033B3">
        <w:t xml:space="preserve"> commissioned by the NIHRC </w:t>
      </w:r>
      <w:r w:rsidR="00BC0C3C" w:rsidRPr="002033B3">
        <w:t xml:space="preserve">, Lock et al </w:t>
      </w:r>
      <w:r w:rsidR="00E35785">
        <w:t xml:space="preserve">further </w:t>
      </w:r>
      <w:r w:rsidR="0028333E" w:rsidRPr="002033B3">
        <w:t>explore</w:t>
      </w:r>
      <w:r w:rsidR="00731FDF" w:rsidRPr="002033B3">
        <w:t xml:space="preserve"> and explain </w:t>
      </w:r>
      <w:r w:rsidR="00DA7F75">
        <w:t>the</w:t>
      </w:r>
      <w:r w:rsidR="00DA7F75" w:rsidRPr="00DA7F75">
        <w:t xml:space="preserve"> </w:t>
      </w:r>
      <w:r w:rsidR="00DA7F75" w:rsidRPr="002033B3">
        <w:t>interaction between the EU Charter and Windsor Framework</w:t>
      </w:r>
      <w:r w:rsidR="4C3D3CDB" w:rsidRPr="002033B3">
        <w:t>.</w:t>
      </w:r>
      <w:bookmarkEnd w:id="5"/>
      <w:r w:rsidR="00973B5F" w:rsidRPr="002033B3">
        <w:rPr>
          <w:rStyle w:val="FootnoteReference"/>
        </w:rPr>
        <w:footnoteReference w:id="27"/>
      </w:r>
    </w:p>
    <w:p w14:paraId="205D3A92" w14:textId="1F6B1145" w:rsidR="00FE154D" w:rsidRPr="002033B3" w:rsidRDefault="00FE154D" w:rsidP="002033B3">
      <w:pPr>
        <w:pStyle w:val="ListParagraph"/>
        <w:numPr>
          <w:ilvl w:val="0"/>
          <w:numId w:val="0"/>
        </w:numPr>
        <w:spacing w:line="276" w:lineRule="auto"/>
        <w:ind w:left="720"/>
      </w:pPr>
    </w:p>
    <w:p w14:paraId="4B9AFE3E" w14:textId="3FFCF639" w:rsidR="00946F65" w:rsidRPr="002033B3" w:rsidRDefault="000961AC" w:rsidP="002033B3">
      <w:pPr>
        <w:pStyle w:val="ListParagraph"/>
        <w:spacing w:line="276" w:lineRule="auto"/>
      </w:pPr>
      <w:r w:rsidRPr="002033B3">
        <w:t>The</w:t>
      </w:r>
      <w:r w:rsidR="006A3EB1" w:rsidRPr="002033B3">
        <w:t xml:space="preserve"> EU</w:t>
      </w:r>
      <w:r w:rsidRPr="002033B3">
        <w:t xml:space="preserve"> Charter </w:t>
      </w:r>
      <w:r w:rsidR="008926C9" w:rsidRPr="002033B3">
        <w:t xml:space="preserve">contains a </w:t>
      </w:r>
      <w:r w:rsidR="00B85894" w:rsidRPr="002033B3">
        <w:t>free</w:t>
      </w:r>
      <w:r w:rsidR="008926C9" w:rsidRPr="002033B3">
        <w:t xml:space="preserve">-standing environmental </w:t>
      </w:r>
      <w:r w:rsidR="00C74F6F" w:rsidRPr="002033B3">
        <w:t>provision</w:t>
      </w:r>
      <w:r w:rsidR="008926C9" w:rsidRPr="002033B3">
        <w:t>, Article 37</w:t>
      </w:r>
      <w:r w:rsidR="57EA4E11" w:rsidRPr="002033B3">
        <w:t>,</w:t>
      </w:r>
      <w:r w:rsidR="008926C9" w:rsidRPr="002033B3">
        <w:t xml:space="preserve"> on </w:t>
      </w:r>
      <w:r w:rsidR="00597159" w:rsidRPr="002033B3">
        <w:t>environmental protection.</w:t>
      </w:r>
      <w:r w:rsidR="00546ACE" w:rsidRPr="002033B3">
        <w:t xml:space="preserve"> The</w:t>
      </w:r>
      <w:r w:rsidR="006A3EB1" w:rsidRPr="002033B3">
        <w:t xml:space="preserve"> EU</w:t>
      </w:r>
      <w:r w:rsidR="00546ACE" w:rsidRPr="002033B3">
        <w:t xml:space="preserve"> Charter also contains a provision on </w:t>
      </w:r>
      <w:r w:rsidR="005A6951" w:rsidRPr="002033B3">
        <w:t>the right to a</w:t>
      </w:r>
      <w:r w:rsidR="009C61A6" w:rsidRPr="002033B3">
        <w:t>n effective</w:t>
      </w:r>
      <w:r w:rsidR="005A6951" w:rsidRPr="002033B3">
        <w:t xml:space="preserve"> remedy </w:t>
      </w:r>
      <w:r w:rsidR="009C61A6" w:rsidRPr="002033B3">
        <w:t xml:space="preserve">and </w:t>
      </w:r>
      <w:r w:rsidR="00546ACE" w:rsidRPr="002033B3">
        <w:t xml:space="preserve">access to justice, Article 47. Both provisions have been relied upon </w:t>
      </w:r>
      <w:r w:rsidR="00C72334" w:rsidRPr="002033B3">
        <w:t xml:space="preserve">to interpret provisions of </w:t>
      </w:r>
      <w:r w:rsidR="004C2DE0" w:rsidRPr="002033B3">
        <w:t>EU</w:t>
      </w:r>
      <w:r w:rsidR="00027212">
        <w:t xml:space="preserve"> </w:t>
      </w:r>
      <w:r w:rsidR="004C2DE0" w:rsidRPr="002033B3">
        <w:t xml:space="preserve">environmental </w:t>
      </w:r>
      <w:r w:rsidR="00DB4D25" w:rsidRPr="002033B3">
        <w:t xml:space="preserve">directives </w:t>
      </w:r>
      <w:r w:rsidR="00BE2011" w:rsidRPr="002033B3">
        <w:t>before</w:t>
      </w:r>
      <w:r w:rsidR="00546ACE" w:rsidRPr="002033B3">
        <w:t xml:space="preserve"> the CJEU, which will be discussed further in Part 3 of th</w:t>
      </w:r>
      <w:r w:rsidR="00BE2011" w:rsidRPr="002033B3">
        <w:t xml:space="preserve">is briefing note. </w:t>
      </w:r>
    </w:p>
    <w:p w14:paraId="67FFA51D" w14:textId="77777777" w:rsidR="00B74423" w:rsidRPr="002033B3" w:rsidRDefault="00B74423" w:rsidP="002033B3">
      <w:pPr>
        <w:spacing w:line="276" w:lineRule="auto"/>
      </w:pPr>
    </w:p>
    <w:p w14:paraId="22BF6A96" w14:textId="25E67E75" w:rsidR="008D6678" w:rsidRPr="002033B3" w:rsidRDefault="00FA502A" w:rsidP="002033B3">
      <w:pPr>
        <w:pStyle w:val="ListParagraph"/>
        <w:spacing w:line="276" w:lineRule="auto"/>
      </w:pPr>
      <w:r w:rsidRPr="002033B3">
        <w:t xml:space="preserve">Having provided an </w:t>
      </w:r>
      <w:r w:rsidR="001B3998" w:rsidRPr="002033B3">
        <w:t>overview</w:t>
      </w:r>
      <w:r w:rsidRPr="002033B3">
        <w:t xml:space="preserve"> of Windsor </w:t>
      </w:r>
      <w:r w:rsidR="001B3998" w:rsidRPr="002033B3">
        <w:t>Framework</w:t>
      </w:r>
      <w:r w:rsidRPr="002033B3">
        <w:t xml:space="preserve"> Article 2, the next part</w:t>
      </w:r>
      <w:r w:rsidR="009D1774" w:rsidRPr="002033B3">
        <w:t>s</w:t>
      </w:r>
      <w:r w:rsidRPr="002033B3">
        <w:t xml:space="preserve"> </w:t>
      </w:r>
      <w:r w:rsidR="00A2152E" w:rsidRPr="002033B3">
        <w:t xml:space="preserve">of </w:t>
      </w:r>
      <w:r w:rsidRPr="002033B3">
        <w:t xml:space="preserve">this briefing note </w:t>
      </w:r>
      <w:r w:rsidR="001B3998" w:rsidRPr="002033B3">
        <w:t>consider</w:t>
      </w:r>
      <w:r w:rsidRPr="002033B3">
        <w:t xml:space="preserve"> </w:t>
      </w:r>
      <w:r w:rsidR="00767A08" w:rsidRPr="002033B3">
        <w:t xml:space="preserve">in more detail </w:t>
      </w:r>
      <w:r w:rsidR="000132A9" w:rsidRPr="002033B3">
        <w:t>the connection between</w:t>
      </w:r>
      <w:r w:rsidR="006E02A8" w:rsidRPr="002033B3">
        <w:t xml:space="preserve"> </w:t>
      </w:r>
      <w:r w:rsidR="005251A4" w:rsidRPr="002033B3">
        <w:t xml:space="preserve">human rights </w:t>
      </w:r>
      <w:r w:rsidR="000E505C" w:rsidRPr="002033B3">
        <w:t xml:space="preserve">and the environment </w:t>
      </w:r>
      <w:r w:rsidR="005210D6" w:rsidRPr="002033B3">
        <w:t xml:space="preserve">in the context of </w:t>
      </w:r>
      <w:r w:rsidR="00767A08" w:rsidRPr="002033B3">
        <w:t xml:space="preserve">the </w:t>
      </w:r>
      <w:r w:rsidR="00F02DD4" w:rsidRPr="002033B3">
        <w:t>Rights, Safeguards and Equality of Opportunity</w:t>
      </w:r>
      <w:r w:rsidR="00F02DD4" w:rsidRPr="002033B3" w:rsidDel="00F02DD4">
        <w:t xml:space="preserve"> </w:t>
      </w:r>
      <w:r w:rsidR="00767A08" w:rsidRPr="002033B3">
        <w:t xml:space="preserve">chapter of the </w:t>
      </w:r>
      <w:r w:rsidR="00E27784" w:rsidRPr="002033B3">
        <w:t>Belfast (Good Friday)</w:t>
      </w:r>
      <w:r w:rsidR="00027212">
        <w:t xml:space="preserve"> </w:t>
      </w:r>
      <w:r w:rsidR="00E27784" w:rsidRPr="002033B3">
        <w:t>Agreement</w:t>
      </w:r>
      <w:r w:rsidR="00767A08" w:rsidRPr="002033B3">
        <w:t xml:space="preserve">, what EU law can be seen as </w:t>
      </w:r>
      <w:r w:rsidR="008D6678" w:rsidRPr="002033B3">
        <w:t>underpinning</w:t>
      </w:r>
      <w:r w:rsidR="00CD703B" w:rsidRPr="002033B3">
        <w:t xml:space="preserve"> such rights</w:t>
      </w:r>
      <w:r w:rsidR="00767A08" w:rsidRPr="002033B3">
        <w:t xml:space="preserve"> and </w:t>
      </w:r>
      <w:r w:rsidR="008D6678" w:rsidRPr="002033B3">
        <w:t>in what cases can we argue that a diminution</w:t>
      </w:r>
      <w:r w:rsidR="00474F68">
        <w:t xml:space="preserve"> may have</w:t>
      </w:r>
      <w:r w:rsidR="008D6678" w:rsidRPr="002033B3">
        <w:t xml:space="preserve"> occurr</w:t>
      </w:r>
      <w:r w:rsidR="00FE12D3" w:rsidRPr="002033B3">
        <w:t>ed</w:t>
      </w:r>
      <w:r w:rsidR="008D6678" w:rsidRPr="002033B3">
        <w:t>.</w:t>
      </w:r>
    </w:p>
    <w:p w14:paraId="3F8E4A7B" w14:textId="77777777" w:rsidR="00DB0690" w:rsidRPr="002033B3" w:rsidRDefault="00DB0690" w:rsidP="002033B3">
      <w:pPr>
        <w:spacing w:line="276" w:lineRule="auto"/>
      </w:pPr>
    </w:p>
    <w:p w14:paraId="6D618DCA" w14:textId="3B013D83" w:rsidR="001E73A7" w:rsidRPr="002033B3" w:rsidRDefault="00DB0690" w:rsidP="00F62570">
      <w:pPr>
        <w:pStyle w:val="Heading1"/>
        <w:keepNext/>
        <w:keepLines/>
        <w:widowControl/>
        <w:spacing w:line="276" w:lineRule="auto"/>
      </w:pPr>
      <w:bookmarkStart w:id="7" w:name="_Toc201578294"/>
      <w:bookmarkStart w:id="8" w:name="_Hlk198286032"/>
      <w:r w:rsidRPr="002033B3">
        <w:lastRenderedPageBreak/>
        <w:t xml:space="preserve">Environment, </w:t>
      </w:r>
      <w:r w:rsidR="00F33EB8" w:rsidRPr="002033B3">
        <w:t xml:space="preserve">Human Rights </w:t>
      </w:r>
      <w:r w:rsidRPr="002033B3">
        <w:t>and</w:t>
      </w:r>
      <w:r w:rsidR="00A37AF6" w:rsidRPr="002033B3">
        <w:t xml:space="preserve"> the </w:t>
      </w:r>
      <w:r w:rsidR="004D44A7" w:rsidRPr="002033B3">
        <w:t>Belfast (</w:t>
      </w:r>
      <w:r w:rsidR="00A37AF6" w:rsidRPr="002033B3">
        <w:t>Good Friday</w:t>
      </w:r>
      <w:r w:rsidR="001D13B2" w:rsidRPr="002033B3">
        <w:t>)</w:t>
      </w:r>
      <w:r w:rsidR="00A37AF6" w:rsidRPr="002033B3">
        <w:t>Agreement</w:t>
      </w:r>
      <w:bookmarkEnd w:id="7"/>
      <w:r w:rsidRPr="002033B3">
        <w:t xml:space="preserve"> </w:t>
      </w:r>
      <w:bookmarkEnd w:id="8"/>
    </w:p>
    <w:p w14:paraId="19BF7DD3" w14:textId="77777777" w:rsidR="00A37AF6" w:rsidRPr="002033B3" w:rsidRDefault="00A37AF6" w:rsidP="00F62570">
      <w:pPr>
        <w:keepNext/>
        <w:keepLines/>
        <w:spacing w:line="276" w:lineRule="auto"/>
      </w:pPr>
    </w:p>
    <w:p w14:paraId="6DA711AD" w14:textId="3A73AC1D" w:rsidR="001E73A7" w:rsidRPr="002033B3" w:rsidDel="00197025" w:rsidRDefault="008D1D04" w:rsidP="00F62570">
      <w:pPr>
        <w:pStyle w:val="Heading2"/>
        <w:keepNext/>
        <w:keepLines/>
        <w:spacing w:line="276" w:lineRule="auto"/>
      </w:pPr>
      <w:bookmarkStart w:id="9" w:name="_Toc201578295"/>
      <w:bookmarkStart w:id="10" w:name="_Hlk199500003"/>
      <w:r w:rsidRPr="002033B3" w:rsidDel="00197025">
        <w:t>Human</w:t>
      </w:r>
      <w:r w:rsidR="00406F51" w:rsidRPr="002033B3" w:rsidDel="00197025">
        <w:t xml:space="preserve"> </w:t>
      </w:r>
      <w:r w:rsidR="00F33EB8" w:rsidRPr="002033B3" w:rsidDel="00197025">
        <w:t xml:space="preserve">Rights </w:t>
      </w:r>
      <w:r w:rsidR="00DC1FE7" w:rsidRPr="002033B3">
        <w:t>and</w:t>
      </w:r>
      <w:r w:rsidR="00406F51" w:rsidRPr="002033B3" w:rsidDel="00197025">
        <w:t xml:space="preserve"> the </w:t>
      </w:r>
      <w:r w:rsidR="00F33EB8" w:rsidRPr="002033B3" w:rsidDel="00197025">
        <w:t>Environment</w:t>
      </w:r>
      <w:bookmarkEnd w:id="9"/>
      <w:r w:rsidR="00F33EB8" w:rsidRPr="002033B3" w:rsidDel="00197025">
        <w:t xml:space="preserve"> </w:t>
      </w:r>
      <w:bookmarkEnd w:id="10"/>
    </w:p>
    <w:p w14:paraId="5E895AC8" w14:textId="77777777" w:rsidR="00870439" w:rsidRPr="002033B3" w:rsidRDefault="00870439" w:rsidP="00F62570">
      <w:pPr>
        <w:keepNext/>
        <w:keepLines/>
        <w:spacing w:line="276" w:lineRule="auto"/>
      </w:pPr>
    </w:p>
    <w:p w14:paraId="67F990FD" w14:textId="77777777" w:rsidR="00516639" w:rsidRPr="002033B3" w:rsidRDefault="00516639" w:rsidP="00F62570">
      <w:pPr>
        <w:pStyle w:val="ListParagraph"/>
        <w:keepNext/>
        <w:keepLines/>
        <w:numPr>
          <w:ilvl w:val="0"/>
          <w:numId w:val="10"/>
        </w:numPr>
        <w:spacing w:line="276" w:lineRule="auto"/>
        <w:rPr>
          <w:vanish/>
        </w:rPr>
      </w:pPr>
    </w:p>
    <w:p w14:paraId="3BFA6E66" w14:textId="70CB3215" w:rsidR="0068003B" w:rsidRPr="002033B3" w:rsidDel="00DA103D" w:rsidRDefault="00E652B2" w:rsidP="00F62570">
      <w:pPr>
        <w:pStyle w:val="ListParagraph"/>
        <w:keepNext/>
        <w:keepLines/>
        <w:spacing w:line="276" w:lineRule="auto"/>
      </w:pPr>
      <w:r w:rsidRPr="002033B3" w:rsidDel="00DA103D">
        <w:t>In the ‘</w:t>
      </w:r>
      <w:r w:rsidR="009C7254" w:rsidRPr="002033B3" w:rsidDel="00DA103D">
        <w:t>Environment</w:t>
      </w:r>
      <w:r w:rsidRPr="002033B3" w:rsidDel="00DA103D">
        <w:t xml:space="preserve">, Human Rights and </w:t>
      </w:r>
      <w:r w:rsidR="00775AB8" w:rsidRPr="002033B3">
        <w:t>the Windsor Framework</w:t>
      </w:r>
      <w:r w:rsidRPr="002033B3" w:rsidDel="00DA103D">
        <w:t>’ report, the authors provide an in-</w:t>
      </w:r>
      <w:r w:rsidR="009C7254" w:rsidRPr="002033B3" w:rsidDel="00DA103D">
        <w:t>depth</w:t>
      </w:r>
      <w:r w:rsidRPr="002033B3" w:rsidDel="00DA103D">
        <w:t xml:space="preserve"> discussion on </w:t>
      </w:r>
      <w:r w:rsidR="719CDF33" w:rsidRPr="002033B3" w:rsidDel="00DA103D">
        <w:t xml:space="preserve">the </w:t>
      </w:r>
      <w:r w:rsidR="005C7E4C" w:rsidRPr="002033B3" w:rsidDel="00DA103D">
        <w:t>relationship between human rights and the environment.</w:t>
      </w:r>
      <w:r w:rsidR="00E86FDD" w:rsidRPr="002033B3">
        <w:rPr>
          <w:rStyle w:val="FootnoteReference"/>
        </w:rPr>
        <w:footnoteReference w:id="28"/>
      </w:r>
      <w:r w:rsidR="005C7E4C" w:rsidRPr="002033B3" w:rsidDel="00DA103D">
        <w:t xml:space="preserve"> </w:t>
      </w:r>
      <w:r w:rsidR="009957AB" w:rsidRPr="002033B3">
        <w:t>The degree to which h</w:t>
      </w:r>
      <w:r w:rsidR="00036E88" w:rsidRPr="002033B3" w:rsidDel="00DA103D">
        <w:t xml:space="preserve">uman rights </w:t>
      </w:r>
      <w:r w:rsidR="00E67900" w:rsidRPr="002033B3">
        <w:t>ca</w:t>
      </w:r>
      <w:r w:rsidR="00905CB6" w:rsidRPr="002033B3">
        <w:t>n</w:t>
      </w:r>
      <w:r w:rsidR="00E67900" w:rsidRPr="002033B3">
        <w:t xml:space="preserve"> </w:t>
      </w:r>
      <w:r w:rsidR="00FB616D" w:rsidRPr="002033B3">
        <w:t xml:space="preserve">be realised </w:t>
      </w:r>
      <w:r w:rsidR="00905CB6" w:rsidRPr="002033B3">
        <w:t xml:space="preserve">is </w:t>
      </w:r>
      <w:r w:rsidR="006451C1" w:rsidRPr="002033B3">
        <w:t xml:space="preserve">significantly affected by </w:t>
      </w:r>
      <w:r w:rsidR="00144246" w:rsidRPr="002033B3">
        <w:t>access to</w:t>
      </w:r>
      <w:r w:rsidR="00187865" w:rsidRPr="002033B3" w:rsidDel="00DA103D">
        <w:t xml:space="preserve"> clean water</w:t>
      </w:r>
      <w:r w:rsidR="000C6CC2" w:rsidRPr="002033B3" w:rsidDel="00DA103D">
        <w:t>, clean air</w:t>
      </w:r>
      <w:r w:rsidR="001A7579" w:rsidRPr="002033B3">
        <w:t xml:space="preserve"> and</w:t>
      </w:r>
      <w:r w:rsidR="00FE27A7" w:rsidRPr="002033B3" w:rsidDel="00DA103D">
        <w:t xml:space="preserve"> </w:t>
      </w:r>
      <w:r w:rsidR="001A7579" w:rsidRPr="002033B3">
        <w:t>a</w:t>
      </w:r>
      <w:r w:rsidR="00824EFD" w:rsidRPr="002033B3">
        <w:t xml:space="preserve"> healthy environment</w:t>
      </w:r>
      <w:r w:rsidR="24E4BF81" w:rsidRPr="002033B3">
        <w:t>. It</w:t>
      </w:r>
      <w:r w:rsidR="0E6460A4" w:rsidRPr="002033B3">
        <w:t xml:space="preserve"> also</w:t>
      </w:r>
      <w:r w:rsidR="007E32B6" w:rsidRPr="002033B3">
        <w:t xml:space="preserve"> depends on enforce</w:t>
      </w:r>
      <w:r w:rsidR="00657ECF" w:rsidRPr="002033B3">
        <w:t>ment</w:t>
      </w:r>
      <w:r w:rsidR="00E31DA8" w:rsidRPr="002033B3">
        <w:t xml:space="preserve"> and</w:t>
      </w:r>
      <w:r w:rsidR="00187865" w:rsidRPr="002033B3" w:rsidDel="00DA103D">
        <w:t xml:space="preserve"> </w:t>
      </w:r>
      <w:r w:rsidR="009C7254" w:rsidRPr="002033B3" w:rsidDel="00DA103D">
        <w:t>procedural</w:t>
      </w:r>
      <w:r w:rsidR="00187865" w:rsidRPr="002033B3" w:rsidDel="00DA103D">
        <w:t xml:space="preserve"> rights (such as access </w:t>
      </w:r>
      <w:r w:rsidR="00531A5A" w:rsidRPr="002033B3">
        <w:t xml:space="preserve">to </w:t>
      </w:r>
      <w:r w:rsidR="00187865" w:rsidRPr="002033B3" w:rsidDel="00DA103D">
        <w:t xml:space="preserve">environmental information </w:t>
      </w:r>
      <w:r w:rsidR="009C7254" w:rsidRPr="002033B3" w:rsidDel="00DA103D">
        <w:t>held</w:t>
      </w:r>
      <w:r w:rsidR="00187865" w:rsidRPr="002033B3" w:rsidDel="00DA103D">
        <w:t xml:space="preserve"> by a public authority) and environmental </w:t>
      </w:r>
      <w:r w:rsidR="009C7254" w:rsidRPr="002033B3" w:rsidDel="00DA103D">
        <w:t>protections (such as environmental standards on clean air or water).</w:t>
      </w:r>
      <w:r w:rsidR="00E715FC" w:rsidRPr="002033B3" w:rsidDel="00DA103D">
        <w:t xml:space="preserve"> </w:t>
      </w:r>
      <w:r w:rsidR="00D27CA3" w:rsidRPr="002033B3">
        <w:t>T</w:t>
      </w:r>
      <w:r w:rsidR="002E4144" w:rsidRPr="002033B3" w:rsidDel="00DA103D">
        <w:t>he report</w:t>
      </w:r>
      <w:r w:rsidR="00575B84" w:rsidRPr="002033B3">
        <w:t xml:space="preserve"> </w:t>
      </w:r>
      <w:r w:rsidR="00E04548" w:rsidRPr="002033B3">
        <w:t>contends that</w:t>
      </w:r>
      <w:r w:rsidR="00982598" w:rsidRPr="002033B3" w:rsidDel="00DA103D">
        <w:t xml:space="preserve">, whilst </w:t>
      </w:r>
      <w:r w:rsidR="005F2EF9" w:rsidRPr="002033B3" w:rsidDel="00DA103D">
        <w:t>environmental</w:t>
      </w:r>
      <w:r w:rsidR="002E4144" w:rsidRPr="002033B3" w:rsidDel="00DA103D">
        <w:t xml:space="preserve"> and climate change </w:t>
      </w:r>
      <w:r w:rsidR="006A6EC0" w:rsidRPr="002033B3" w:rsidDel="00DA103D">
        <w:t>legislation and jurisprudence</w:t>
      </w:r>
      <w:r w:rsidR="009849DA" w:rsidRPr="002033B3" w:rsidDel="00DA103D">
        <w:t xml:space="preserve"> is developing</w:t>
      </w:r>
      <w:r w:rsidR="002E4144" w:rsidRPr="002033B3" w:rsidDel="00DA103D">
        <w:t xml:space="preserve">, </w:t>
      </w:r>
      <w:r w:rsidR="00213081" w:rsidRPr="002033B3">
        <w:t>the importance of</w:t>
      </w:r>
      <w:r w:rsidR="00213081" w:rsidRPr="002033B3" w:rsidDel="00DA103D">
        <w:t xml:space="preserve"> </w:t>
      </w:r>
      <w:r w:rsidR="005F2EF9" w:rsidRPr="002033B3" w:rsidDel="00DA103D">
        <w:t>environmental</w:t>
      </w:r>
      <w:r w:rsidR="002E4144" w:rsidRPr="002033B3" w:rsidDel="00DA103D">
        <w:t xml:space="preserve"> </w:t>
      </w:r>
      <w:r w:rsidR="00213081" w:rsidRPr="002033B3">
        <w:t xml:space="preserve">standards </w:t>
      </w:r>
      <w:r w:rsidR="00EB4E6D" w:rsidRPr="002033B3">
        <w:t xml:space="preserve">and </w:t>
      </w:r>
      <w:r w:rsidR="002E4144" w:rsidRPr="002033B3" w:rsidDel="00DA103D">
        <w:t xml:space="preserve">safeguards </w:t>
      </w:r>
      <w:r w:rsidR="00C14830" w:rsidRPr="002033B3">
        <w:t>in</w:t>
      </w:r>
      <w:r w:rsidR="002E4144" w:rsidRPr="002033B3" w:rsidDel="00DA103D">
        <w:t xml:space="preserve"> protect</w:t>
      </w:r>
      <w:r w:rsidR="00C14830" w:rsidRPr="002033B3">
        <w:t>ing</w:t>
      </w:r>
      <w:r w:rsidR="00E2559C" w:rsidRPr="002033B3">
        <w:t xml:space="preserve"> human</w:t>
      </w:r>
      <w:r w:rsidR="002E4144" w:rsidRPr="002033B3" w:rsidDel="00DA103D">
        <w:t xml:space="preserve"> right</w:t>
      </w:r>
      <w:r w:rsidR="005F2EF9" w:rsidRPr="002033B3" w:rsidDel="00DA103D">
        <w:t>s, such as the right to health, are notions well developed in the jurisprudence of both the ECtHR and the CJEU.</w:t>
      </w:r>
    </w:p>
    <w:p w14:paraId="11066A5C" w14:textId="4AAE4138" w:rsidR="00855A68" w:rsidRPr="002033B3" w:rsidDel="00DA103D" w:rsidRDefault="00855A68" w:rsidP="002033B3">
      <w:pPr>
        <w:pStyle w:val="ListParagraph"/>
        <w:numPr>
          <w:ilvl w:val="0"/>
          <w:numId w:val="0"/>
        </w:numPr>
        <w:spacing w:line="276" w:lineRule="auto"/>
        <w:ind w:left="720"/>
      </w:pPr>
    </w:p>
    <w:p w14:paraId="4CF8AB82" w14:textId="563D012C" w:rsidR="00855A68" w:rsidRPr="002033B3" w:rsidRDefault="00855A68" w:rsidP="00F62570">
      <w:pPr>
        <w:pStyle w:val="Heading2"/>
        <w:keepNext/>
        <w:spacing w:line="276" w:lineRule="auto"/>
      </w:pPr>
      <w:bookmarkStart w:id="11" w:name="_Toc201578296"/>
      <w:r w:rsidRPr="002033B3">
        <w:t xml:space="preserve">Rights, Safeguards and Equality of Opportunity </w:t>
      </w:r>
      <w:r w:rsidR="00DC250B" w:rsidRPr="002033B3">
        <w:t xml:space="preserve">and the </w:t>
      </w:r>
      <w:r w:rsidR="00F33EB8" w:rsidRPr="002033B3">
        <w:t>Environment</w:t>
      </w:r>
      <w:bookmarkEnd w:id="11"/>
    </w:p>
    <w:p w14:paraId="6109377F" w14:textId="77777777" w:rsidR="00855A68" w:rsidRPr="002033B3" w:rsidRDefault="00855A68" w:rsidP="00F62570">
      <w:pPr>
        <w:pStyle w:val="ListParagraph"/>
        <w:keepNext/>
        <w:numPr>
          <w:ilvl w:val="0"/>
          <w:numId w:val="0"/>
        </w:numPr>
        <w:spacing w:line="276" w:lineRule="auto"/>
        <w:ind w:left="720"/>
      </w:pPr>
    </w:p>
    <w:p w14:paraId="4A2F66C8" w14:textId="4F13EA7C" w:rsidR="00855A68" w:rsidRPr="002033B3" w:rsidRDefault="00A711CF" w:rsidP="00F62570">
      <w:pPr>
        <w:pStyle w:val="ListParagraph"/>
        <w:keepNext/>
        <w:spacing w:line="276" w:lineRule="auto"/>
      </w:pPr>
      <w:r w:rsidRPr="002033B3">
        <w:t xml:space="preserve">The first step </w:t>
      </w:r>
      <w:r w:rsidR="07319888" w:rsidRPr="002033B3">
        <w:t xml:space="preserve">in </w:t>
      </w:r>
      <w:r w:rsidRPr="002033B3">
        <w:t xml:space="preserve">establishing the relevance of Windsor Framework Article 2 </w:t>
      </w:r>
      <w:r w:rsidR="002E3E81" w:rsidRPr="002033B3">
        <w:t>is</w:t>
      </w:r>
      <w:r w:rsidR="000A3E7E" w:rsidRPr="002033B3">
        <w:t xml:space="preserve"> to</w:t>
      </w:r>
      <w:r w:rsidR="002E3E81" w:rsidRPr="002033B3">
        <w:t xml:space="preserve"> consider</w:t>
      </w:r>
      <w:r w:rsidR="00C11E40" w:rsidRPr="002033B3">
        <w:t xml:space="preserve"> </w:t>
      </w:r>
      <w:r w:rsidR="00342CFA" w:rsidRPr="002033B3">
        <w:t xml:space="preserve">the </w:t>
      </w:r>
      <w:r w:rsidR="00EB6682" w:rsidRPr="002033B3">
        <w:t>connection between environment</w:t>
      </w:r>
      <w:r w:rsidR="00AA2FE1" w:rsidRPr="002033B3">
        <w:t xml:space="preserve">al standards and </w:t>
      </w:r>
      <w:r w:rsidR="00DD48C9" w:rsidRPr="002033B3">
        <w:t>safeguards</w:t>
      </w:r>
      <w:r w:rsidR="00EB6682" w:rsidRPr="002033B3">
        <w:t xml:space="preserve"> and the </w:t>
      </w:r>
      <w:r w:rsidRPr="002033B3">
        <w:t xml:space="preserve">Rights, Safeguards and Equality of Opportunity chapter of the Good Friday Agreement. </w:t>
      </w:r>
    </w:p>
    <w:p w14:paraId="62A7DF98" w14:textId="41623141" w:rsidR="00ED22CE" w:rsidRPr="002033B3" w:rsidRDefault="00ED22CE" w:rsidP="002033B3">
      <w:pPr>
        <w:spacing w:line="276" w:lineRule="auto"/>
      </w:pPr>
    </w:p>
    <w:p w14:paraId="7EBD8498" w14:textId="7F1EF3F9" w:rsidR="006A637D" w:rsidRPr="002033B3" w:rsidRDefault="00EE6EFA" w:rsidP="002033B3">
      <w:pPr>
        <w:pStyle w:val="ListParagraph"/>
        <w:spacing w:line="276" w:lineRule="auto"/>
      </w:pPr>
      <w:r w:rsidRPr="002033B3">
        <w:t>In that chapter, t</w:t>
      </w:r>
      <w:r w:rsidR="00655856" w:rsidRPr="002033B3">
        <w:t xml:space="preserve">he </w:t>
      </w:r>
      <w:r w:rsidR="45B61E00" w:rsidRPr="002033B3">
        <w:t xml:space="preserve">parties to </w:t>
      </w:r>
      <w:r w:rsidR="00655856" w:rsidRPr="002033B3">
        <w:t xml:space="preserve">the Belfast (Good Friday) Agreement committed to “the civil rights and the religious liberties of everyone in the community” </w:t>
      </w:r>
      <w:proofErr w:type="gramStart"/>
      <w:r w:rsidR="00655856" w:rsidRPr="002033B3">
        <w:t>and also</w:t>
      </w:r>
      <w:proofErr w:type="gramEnd"/>
      <w:r w:rsidR="00655856" w:rsidRPr="002033B3">
        <w:t xml:space="preserve"> “affirmed in particular” a range of rights referenced.</w:t>
      </w:r>
      <w:r w:rsidR="00563CAD" w:rsidRPr="002033B3">
        <w:rPr>
          <w:rStyle w:val="FootnoteReference"/>
        </w:rPr>
        <w:footnoteReference w:id="29"/>
      </w:r>
      <w:r w:rsidR="00C975CA" w:rsidRPr="002033B3">
        <w:t xml:space="preserve">  </w:t>
      </w:r>
    </w:p>
    <w:p w14:paraId="4794C29D" w14:textId="77777777" w:rsidR="006A637D" w:rsidRPr="002033B3" w:rsidRDefault="006A637D" w:rsidP="002033B3">
      <w:pPr>
        <w:pStyle w:val="ListParagraph"/>
        <w:numPr>
          <w:ilvl w:val="0"/>
          <w:numId w:val="0"/>
        </w:numPr>
        <w:spacing w:line="276" w:lineRule="auto"/>
        <w:ind w:left="720"/>
      </w:pPr>
    </w:p>
    <w:p w14:paraId="0C42E39A" w14:textId="30E0B4AF" w:rsidR="00D43AB9" w:rsidRPr="002033B3" w:rsidRDefault="00D43AB9" w:rsidP="002033B3">
      <w:pPr>
        <w:pStyle w:val="ListParagraph"/>
        <w:spacing w:line="276" w:lineRule="auto"/>
      </w:pPr>
      <w:r w:rsidRPr="002033B3">
        <w:t xml:space="preserve">The NI Court of Appeal in </w:t>
      </w:r>
      <w:r w:rsidRPr="002033B3">
        <w:rPr>
          <w:i/>
          <w:iCs/>
        </w:rPr>
        <w:t>Dillon</w:t>
      </w:r>
      <w:r w:rsidRPr="002033B3">
        <w:rPr>
          <w:rStyle w:val="FootnoteReference"/>
        </w:rPr>
        <w:footnoteReference w:id="30"/>
      </w:r>
      <w:r w:rsidRPr="002033B3">
        <w:t xml:space="preserve"> reasoned that the Rights, Safeguards and Equality of Opportunity chapter was intended to extend much further than those rights specifically listed. The import of that chapter is that a </w:t>
      </w:r>
      <w:r w:rsidR="00A62D5C" w:rsidRPr="002033B3">
        <w:lastRenderedPageBreak/>
        <w:t>“</w:t>
      </w:r>
      <w:r w:rsidRPr="002033B3">
        <w:t>broad suite of rights</w:t>
      </w:r>
      <w:r w:rsidR="00A62D5C" w:rsidRPr="002033B3">
        <w:t>”</w:t>
      </w:r>
      <w:r w:rsidRPr="002033B3">
        <w:t xml:space="preserve"> which had been recognised by the participants in the talks, and which were to be given further effect in the mechanisms to be established pursuant to the Belfast (Good Friday) Agreement, would provide a baseline for individual rights-protection in the new arrangements which were to follow.</w:t>
      </w:r>
      <w:r w:rsidRPr="002033B3">
        <w:rPr>
          <w:rStyle w:val="FootnoteReference"/>
        </w:rPr>
        <w:footnoteReference w:id="31"/>
      </w:r>
    </w:p>
    <w:p w14:paraId="7D223893" w14:textId="77777777" w:rsidR="00D43AB9" w:rsidRPr="002033B3" w:rsidRDefault="00D43AB9" w:rsidP="002033B3">
      <w:pPr>
        <w:pStyle w:val="ListParagraph"/>
        <w:numPr>
          <w:ilvl w:val="0"/>
          <w:numId w:val="0"/>
        </w:numPr>
        <w:spacing w:line="276" w:lineRule="auto"/>
        <w:ind w:left="720"/>
      </w:pPr>
    </w:p>
    <w:p w14:paraId="130B8906" w14:textId="3409ED04" w:rsidR="00855A68" w:rsidRPr="002033B3" w:rsidRDefault="00655856" w:rsidP="002033B3">
      <w:pPr>
        <w:pStyle w:val="ListParagraph"/>
        <w:spacing w:line="276" w:lineRule="auto"/>
      </w:pPr>
      <w:r w:rsidRPr="002033B3">
        <w:t>Th</w:t>
      </w:r>
      <w:r w:rsidR="00D43AB9" w:rsidRPr="002033B3">
        <w:t>e R</w:t>
      </w:r>
      <w:r w:rsidR="00E73AB1" w:rsidRPr="002033B3">
        <w:t xml:space="preserve">ights, </w:t>
      </w:r>
      <w:r w:rsidR="00D43AB9" w:rsidRPr="002033B3">
        <w:t>S</w:t>
      </w:r>
      <w:r w:rsidR="00E73AB1" w:rsidRPr="002033B3">
        <w:t xml:space="preserve">afeguards and </w:t>
      </w:r>
      <w:r w:rsidR="00D43AB9" w:rsidRPr="002033B3">
        <w:t>E</w:t>
      </w:r>
      <w:r w:rsidR="00E73AB1" w:rsidRPr="002033B3">
        <w:t xml:space="preserve">quality of </w:t>
      </w:r>
      <w:r w:rsidR="00A12B19" w:rsidRPr="002033B3">
        <w:t>Opportunity</w:t>
      </w:r>
      <w:r w:rsidR="0023161A" w:rsidRPr="002033B3">
        <w:t xml:space="preserve"> chapter includes the</w:t>
      </w:r>
      <w:r w:rsidRPr="002033B3">
        <w:t xml:space="preserve"> UK Government commit</w:t>
      </w:r>
      <w:r w:rsidR="0023161A" w:rsidRPr="002033B3">
        <w:t>ment</w:t>
      </w:r>
      <w:r w:rsidRPr="002033B3">
        <w:t xml:space="preserve"> to</w:t>
      </w:r>
      <w:r w:rsidR="367525D3" w:rsidRPr="002033B3">
        <w:t xml:space="preserve"> complete</w:t>
      </w:r>
      <w:r w:rsidRPr="002033B3">
        <w:t xml:space="preserve"> incorporat</w:t>
      </w:r>
      <w:r w:rsidR="20197D2E" w:rsidRPr="002033B3">
        <w:t xml:space="preserve">ion of </w:t>
      </w:r>
      <w:r w:rsidRPr="002033B3">
        <w:t>the ECHR into domestic law, including direct access to the court and remedies for breach of the Convention.</w:t>
      </w:r>
      <w:r w:rsidR="00563CAD" w:rsidRPr="002033B3">
        <w:rPr>
          <w:rStyle w:val="FootnoteReference"/>
        </w:rPr>
        <w:footnoteReference w:id="32"/>
      </w:r>
      <w:r w:rsidR="00C975CA" w:rsidRPr="002033B3">
        <w:t xml:space="preserve">  </w:t>
      </w:r>
      <w:r w:rsidRPr="002033B3">
        <w:t>After the UK’s withdrawal from the EU, the UK</w:t>
      </w:r>
      <w:r w:rsidR="000809BC" w:rsidRPr="002033B3">
        <w:t xml:space="preserve"> Government confirmed that “key rights and equality provisions in the [Belfast (Good Friday)] Agreement are supported by the ECHR”.</w:t>
      </w:r>
      <w:r w:rsidR="000809BC" w:rsidRPr="002033B3">
        <w:rPr>
          <w:rStyle w:val="FootnoteReference"/>
        </w:rPr>
        <w:footnoteReference w:id="33"/>
      </w:r>
    </w:p>
    <w:p w14:paraId="2CC969C0" w14:textId="117229E2" w:rsidR="000B3135" w:rsidRPr="002033B3" w:rsidRDefault="000B3135" w:rsidP="002033B3">
      <w:pPr>
        <w:spacing w:line="276" w:lineRule="auto"/>
      </w:pPr>
    </w:p>
    <w:p w14:paraId="3CC6C98D" w14:textId="23E6E4FF" w:rsidR="00462AC1" w:rsidRPr="002033B3" w:rsidRDefault="00C7563F" w:rsidP="002033B3">
      <w:pPr>
        <w:pStyle w:val="ListParagraph"/>
        <w:spacing w:line="276" w:lineRule="auto"/>
      </w:pPr>
      <w:r w:rsidRPr="002033B3">
        <w:t xml:space="preserve">The NIHRC </w:t>
      </w:r>
      <w:r w:rsidR="354CDCE1" w:rsidRPr="002033B3">
        <w:t xml:space="preserve">believes that </w:t>
      </w:r>
      <w:r w:rsidRPr="002033B3">
        <w:t>the non-diminution commitment in Windsor Framework Article 2 encompasses the full range of rights set out in the ECHR, to the extent that they are underpinned by EU legal obligations in force on or before 31 December 2020. Put another way, the Commission consider</w:t>
      </w:r>
      <w:r w:rsidR="0089284B" w:rsidRPr="002033B3">
        <w:t>s</w:t>
      </w:r>
      <w:r w:rsidRPr="002033B3">
        <w:t xml:space="preserve"> that all EU law which underpins an ECHR </w:t>
      </w:r>
      <w:proofErr w:type="gramStart"/>
      <w:r w:rsidRPr="002033B3">
        <w:t>right</w:t>
      </w:r>
      <w:r w:rsidR="00B67A22" w:rsidRPr="002033B3">
        <w:t>, and</w:t>
      </w:r>
      <w:proofErr w:type="gramEnd"/>
      <w:r w:rsidR="00B67A22" w:rsidRPr="002033B3">
        <w:t xml:space="preserve"> was binding on the UK before its withdrawal from the EU,</w:t>
      </w:r>
      <w:r w:rsidRPr="002033B3">
        <w:t xml:space="preserve"> falls within scope of the non-diminution commitment in </w:t>
      </w:r>
      <w:r w:rsidR="001F0010" w:rsidRPr="002033B3">
        <w:t xml:space="preserve">Windsor Framework </w:t>
      </w:r>
      <w:r w:rsidRPr="002033B3">
        <w:t>Article 2.</w:t>
      </w:r>
      <w:r w:rsidR="00BA5DC8" w:rsidRPr="002033B3">
        <w:rPr>
          <w:rStyle w:val="FootnoteReference"/>
        </w:rPr>
        <w:footnoteReference w:id="34"/>
      </w:r>
      <w:r w:rsidR="00DC4148" w:rsidRPr="002033B3">
        <w:t xml:space="preserve"> </w:t>
      </w:r>
    </w:p>
    <w:p w14:paraId="070DCB7D" w14:textId="77777777" w:rsidR="006441B1" w:rsidRPr="002033B3" w:rsidRDefault="006441B1" w:rsidP="002033B3">
      <w:pPr>
        <w:spacing w:line="276" w:lineRule="auto"/>
      </w:pPr>
    </w:p>
    <w:p w14:paraId="79608651" w14:textId="7984578B" w:rsidR="006441B1" w:rsidRPr="002033B3" w:rsidRDefault="006441B1" w:rsidP="002033B3">
      <w:pPr>
        <w:pStyle w:val="ListParagraph"/>
        <w:spacing w:line="276" w:lineRule="auto"/>
      </w:pPr>
      <w:r w:rsidRPr="002033B3">
        <w:t xml:space="preserve">This </w:t>
      </w:r>
      <w:r w:rsidR="0B84A835" w:rsidRPr="002033B3">
        <w:t>is</w:t>
      </w:r>
      <w:r w:rsidRPr="002033B3">
        <w:t xml:space="preserve"> in line with the reasoning </w:t>
      </w:r>
      <w:r w:rsidR="00B61892" w:rsidRPr="002033B3">
        <w:t>of</w:t>
      </w:r>
      <w:r w:rsidRPr="002033B3">
        <w:t xml:space="preserve"> the NI Court of Appeal, which confirmed that the rights of victims of crime fall within the scope of the relevant chapter in the Belfast (Good Friday) Agreement and are promoted and given effect by civil rights available to all victims of crime, including Articles 2, 3, 6 and 14 of the ECHR.</w:t>
      </w:r>
      <w:r w:rsidRPr="002033B3">
        <w:rPr>
          <w:rStyle w:val="FootnoteReference"/>
          <w:rFonts w:cs="Verdana"/>
        </w:rPr>
        <w:footnoteReference w:id="35"/>
      </w:r>
      <w:r w:rsidRPr="002033B3">
        <w:t xml:space="preserve"> The</w:t>
      </w:r>
      <w:r w:rsidR="00390B40" w:rsidRPr="002033B3">
        <w:t xml:space="preserve"> </w:t>
      </w:r>
      <w:r w:rsidR="00A50B01" w:rsidRPr="002033B3">
        <w:t xml:space="preserve">Court </w:t>
      </w:r>
      <w:r w:rsidR="00390B40" w:rsidRPr="002033B3">
        <w:t>went on to find that these</w:t>
      </w:r>
      <w:r w:rsidRPr="002033B3">
        <w:t xml:space="preserve"> rights are particularised to some extent and enhanced by </w:t>
      </w:r>
      <w:r w:rsidR="00345B60" w:rsidRPr="002033B3">
        <w:t xml:space="preserve">relevant EU </w:t>
      </w:r>
      <w:r w:rsidR="006D064D" w:rsidRPr="002033B3">
        <w:t>law</w:t>
      </w:r>
      <w:r w:rsidR="00345B60" w:rsidRPr="002033B3">
        <w:t xml:space="preserve">, in that case </w:t>
      </w:r>
      <w:r w:rsidRPr="002033B3">
        <w:t>the EU Victims’ Directive</w:t>
      </w:r>
      <w:r w:rsidR="001336C7" w:rsidRPr="002033B3">
        <w:t xml:space="preserve"> interpreted in line with the EU Charter</w:t>
      </w:r>
      <w:r w:rsidR="00717157" w:rsidRPr="002033B3">
        <w:t>, as will be discussed in the next section</w:t>
      </w:r>
      <w:r w:rsidRPr="002033B3">
        <w:t>.</w:t>
      </w:r>
      <w:r w:rsidRPr="002033B3">
        <w:rPr>
          <w:rStyle w:val="FootnoteReference"/>
        </w:rPr>
        <w:footnoteReference w:id="36"/>
      </w:r>
    </w:p>
    <w:p w14:paraId="58712B81" w14:textId="77777777" w:rsidR="006F1984" w:rsidRPr="002033B3" w:rsidRDefault="006F1984" w:rsidP="002033B3">
      <w:pPr>
        <w:pStyle w:val="ListParagraph"/>
        <w:numPr>
          <w:ilvl w:val="0"/>
          <w:numId w:val="0"/>
        </w:numPr>
        <w:spacing w:line="276" w:lineRule="auto"/>
        <w:ind w:left="720"/>
      </w:pPr>
    </w:p>
    <w:p w14:paraId="27FB82DA" w14:textId="49353335" w:rsidR="004A2E2D" w:rsidRPr="002033B3" w:rsidRDefault="00E174F9" w:rsidP="002033B3">
      <w:pPr>
        <w:pStyle w:val="ListParagraph"/>
        <w:spacing w:line="276" w:lineRule="auto"/>
      </w:pPr>
      <w:r w:rsidRPr="002033B3">
        <w:lastRenderedPageBreak/>
        <w:t xml:space="preserve">The </w:t>
      </w:r>
      <w:r w:rsidR="006F1984" w:rsidRPr="002033B3">
        <w:t xml:space="preserve">ECtHR </w:t>
      </w:r>
      <w:r w:rsidRPr="002033B3">
        <w:t xml:space="preserve">has </w:t>
      </w:r>
      <w:r w:rsidR="0611FAAE" w:rsidRPr="002033B3">
        <w:t xml:space="preserve">considered </w:t>
      </w:r>
      <w:r w:rsidR="006F1984" w:rsidRPr="002033B3">
        <w:t>case-law on the environment and huma</w:t>
      </w:r>
      <w:r w:rsidR="00856EFA" w:rsidRPr="002033B3">
        <w:t>n</w:t>
      </w:r>
      <w:r w:rsidR="006F1984" w:rsidRPr="002033B3">
        <w:t xml:space="preserve"> rights</w:t>
      </w:r>
      <w:r w:rsidR="7F4400FE" w:rsidRPr="002033B3">
        <w:t xml:space="preserve"> and has confirmed that </w:t>
      </w:r>
      <w:r w:rsidR="0028333E" w:rsidRPr="002033B3">
        <w:t>they</w:t>
      </w:r>
      <w:r w:rsidR="3BE56E7C" w:rsidRPr="002033B3">
        <w:t xml:space="preserve"> are </w:t>
      </w:r>
      <w:r w:rsidR="00E54C77" w:rsidRPr="002033B3">
        <w:t>interrelated and interdependent</w:t>
      </w:r>
      <w:r w:rsidR="4725423B" w:rsidRPr="002033B3">
        <w:t>.</w:t>
      </w:r>
      <w:r w:rsidR="00D70D49" w:rsidRPr="002033B3">
        <w:rPr>
          <w:rStyle w:val="FootnoteReference"/>
        </w:rPr>
        <w:footnoteReference w:id="37"/>
      </w:r>
      <w:r w:rsidR="00E54C77" w:rsidRPr="002033B3">
        <w:t xml:space="preserve"> </w:t>
      </w:r>
      <w:r w:rsidR="004A2E2D" w:rsidRPr="002033B3">
        <w:t xml:space="preserve">For example, in the landmark </w:t>
      </w:r>
      <w:proofErr w:type="spellStart"/>
      <w:r w:rsidR="004A2E2D" w:rsidRPr="002033B3">
        <w:rPr>
          <w:i/>
          <w:iCs/>
        </w:rPr>
        <w:t>Kli</w:t>
      </w:r>
      <w:r w:rsidR="0037446F" w:rsidRPr="002033B3">
        <w:rPr>
          <w:i/>
          <w:iCs/>
        </w:rPr>
        <w:t>ma</w:t>
      </w:r>
      <w:r w:rsidR="00005B07" w:rsidRPr="002033B3">
        <w:rPr>
          <w:i/>
          <w:iCs/>
        </w:rPr>
        <w:t>S</w:t>
      </w:r>
      <w:r w:rsidR="004A2E2D" w:rsidRPr="002033B3">
        <w:rPr>
          <w:i/>
          <w:iCs/>
        </w:rPr>
        <w:t>eniorin</w:t>
      </w:r>
      <w:r w:rsidR="004706D7" w:rsidRPr="002033B3">
        <w:rPr>
          <w:i/>
          <w:iCs/>
        </w:rPr>
        <w:t>n</w:t>
      </w:r>
      <w:r w:rsidR="004A2E2D" w:rsidRPr="002033B3">
        <w:rPr>
          <w:i/>
          <w:iCs/>
        </w:rPr>
        <w:t>en</w:t>
      </w:r>
      <w:proofErr w:type="spellEnd"/>
      <w:r w:rsidR="00005B07" w:rsidRPr="002033B3">
        <w:rPr>
          <w:rStyle w:val="FootnoteReference"/>
        </w:rPr>
        <w:footnoteReference w:id="38"/>
      </w:r>
      <w:r w:rsidR="004A2E2D" w:rsidRPr="002033B3">
        <w:t xml:space="preserve"> case, </w:t>
      </w:r>
      <w:r w:rsidR="00914A1C" w:rsidRPr="002033B3">
        <w:t xml:space="preserve">an association of senior women argued </w:t>
      </w:r>
      <w:r w:rsidR="0028333E" w:rsidRPr="002033B3">
        <w:t>that</w:t>
      </w:r>
      <w:r w:rsidR="00914A1C" w:rsidRPr="002033B3">
        <w:t xml:space="preserve"> </w:t>
      </w:r>
      <w:r w:rsidR="00070930" w:rsidRPr="002033B3">
        <w:t xml:space="preserve">Switzerland's inadequate climate policies violate the women's right </w:t>
      </w:r>
      <w:r w:rsidR="4B634095" w:rsidRPr="002033B3">
        <w:t xml:space="preserve">to </w:t>
      </w:r>
      <w:r w:rsidR="00070930" w:rsidRPr="002033B3">
        <w:t xml:space="preserve">life under </w:t>
      </w:r>
      <w:r w:rsidR="712FE795" w:rsidRPr="002033B3">
        <w:t xml:space="preserve">ECHR </w:t>
      </w:r>
      <w:r w:rsidR="00070930" w:rsidRPr="002033B3">
        <w:t>Article 2</w:t>
      </w:r>
      <w:r w:rsidR="00DC435D" w:rsidRPr="002033B3">
        <w:t xml:space="preserve"> and </w:t>
      </w:r>
      <w:r w:rsidR="715C3D71" w:rsidRPr="002033B3">
        <w:t xml:space="preserve">the </w:t>
      </w:r>
      <w:r w:rsidR="00070930" w:rsidRPr="002033B3">
        <w:t xml:space="preserve">right to </w:t>
      </w:r>
      <w:r w:rsidR="77472409" w:rsidRPr="002033B3">
        <w:t xml:space="preserve">a </w:t>
      </w:r>
      <w:r w:rsidR="00070930" w:rsidRPr="002033B3">
        <w:t>family and private life</w:t>
      </w:r>
      <w:r w:rsidR="00A73331" w:rsidRPr="002033B3">
        <w:t xml:space="preserve"> under</w:t>
      </w:r>
      <w:r w:rsidR="00070930" w:rsidRPr="002033B3">
        <w:t xml:space="preserve"> </w:t>
      </w:r>
      <w:r w:rsidR="1CFCBB63" w:rsidRPr="002033B3">
        <w:t xml:space="preserve">ECHR </w:t>
      </w:r>
      <w:r w:rsidR="35E2F895" w:rsidRPr="002033B3">
        <w:t>Article 8</w:t>
      </w:r>
      <w:r w:rsidR="00A73331" w:rsidRPr="002033B3">
        <w:t>.</w:t>
      </w:r>
      <w:r w:rsidR="00070930" w:rsidRPr="002033B3">
        <w:t xml:space="preserve"> </w:t>
      </w:r>
      <w:r w:rsidR="008C2E49" w:rsidRPr="002033B3">
        <w:t xml:space="preserve">The Court </w:t>
      </w:r>
      <w:r w:rsidR="00B266CF" w:rsidRPr="002033B3">
        <w:t>concluded</w:t>
      </w:r>
      <w:r w:rsidR="008C2E49" w:rsidRPr="002033B3">
        <w:t xml:space="preserve"> that inadequate State action to combat climate c</w:t>
      </w:r>
      <w:r w:rsidR="00566516" w:rsidRPr="002033B3">
        <w:t xml:space="preserve">hange is a </w:t>
      </w:r>
      <w:r w:rsidR="00B266CF" w:rsidRPr="002033B3">
        <w:t>threat</w:t>
      </w:r>
      <w:r w:rsidR="00566516" w:rsidRPr="002033B3">
        <w:t xml:space="preserve"> to the enjoyment of human rights</w:t>
      </w:r>
      <w:r w:rsidR="00CB1FFE" w:rsidRPr="002033B3">
        <w:t xml:space="preserve"> that could trigger the applicability of Article 2 of the ECHR</w:t>
      </w:r>
      <w:r w:rsidR="006B3227" w:rsidRPr="002033B3">
        <w:t>,</w:t>
      </w:r>
      <w:r w:rsidR="00566516" w:rsidRPr="002033B3">
        <w:t xml:space="preserve"> and that Article 8 of the ECHR must be understood as encompassing </w:t>
      </w:r>
      <w:r w:rsidR="00B266CF" w:rsidRPr="002033B3">
        <w:t>a right for individuals to effective protection by the State authorities from serious adverse effects of climate change on their life, health, well-being and quality of life.</w:t>
      </w:r>
      <w:r w:rsidR="00F34256" w:rsidRPr="002033B3">
        <w:rPr>
          <w:rStyle w:val="FootnoteReference"/>
        </w:rPr>
        <w:footnoteReference w:id="39"/>
      </w:r>
      <w:r w:rsidR="00CB1FFE" w:rsidRPr="002033B3">
        <w:t xml:space="preserve"> The ECt</w:t>
      </w:r>
      <w:r w:rsidR="00EB76BB" w:rsidRPr="002033B3">
        <w:t>H</w:t>
      </w:r>
      <w:r w:rsidR="00CB1FFE" w:rsidRPr="002033B3">
        <w:t xml:space="preserve">R found violations </w:t>
      </w:r>
      <w:r w:rsidR="007508A9" w:rsidRPr="002033B3">
        <w:t>of Article 8 and of Article 6 of the ECHR (</w:t>
      </w:r>
      <w:r w:rsidR="00EB76BB" w:rsidRPr="002033B3">
        <w:t>right to a fair trial).</w:t>
      </w:r>
    </w:p>
    <w:p w14:paraId="76D7AB40" w14:textId="77777777" w:rsidR="004A2E2D" w:rsidRPr="002033B3" w:rsidRDefault="004A2E2D" w:rsidP="002033B3">
      <w:pPr>
        <w:pStyle w:val="ListParagraph"/>
        <w:numPr>
          <w:ilvl w:val="0"/>
          <w:numId w:val="0"/>
        </w:numPr>
        <w:spacing w:line="276" w:lineRule="auto"/>
        <w:ind w:left="720"/>
      </w:pPr>
    </w:p>
    <w:p w14:paraId="6D733C71" w14:textId="073A69B9" w:rsidR="00B10BF5" w:rsidRPr="002033B3" w:rsidRDefault="00EB76BB" w:rsidP="002033B3">
      <w:pPr>
        <w:pStyle w:val="ListParagraph"/>
        <w:spacing w:line="276" w:lineRule="auto"/>
      </w:pPr>
      <w:r w:rsidRPr="002033B3">
        <w:t xml:space="preserve">This </w:t>
      </w:r>
      <w:r w:rsidR="00F02DD4" w:rsidRPr="002033B3">
        <w:t>judgment</w:t>
      </w:r>
      <w:r w:rsidRPr="002033B3">
        <w:t xml:space="preserve"> illustrates the ECtHR</w:t>
      </w:r>
      <w:r w:rsidR="5124E2D5" w:rsidRPr="002033B3">
        <w:t>’s</w:t>
      </w:r>
      <w:r w:rsidRPr="002033B3">
        <w:t xml:space="preserve"> </w:t>
      </w:r>
      <w:r w:rsidR="477774C0" w:rsidRPr="002033B3">
        <w:t xml:space="preserve">recognition </w:t>
      </w:r>
      <w:r w:rsidR="36C757E8" w:rsidRPr="002033B3">
        <w:t>that</w:t>
      </w:r>
      <w:r w:rsidR="00D86E58" w:rsidRPr="002033B3">
        <w:t xml:space="preserve"> certain ECHR rights </w:t>
      </w:r>
      <w:r w:rsidR="137CB612" w:rsidRPr="002033B3">
        <w:t xml:space="preserve">are </w:t>
      </w:r>
      <w:r w:rsidR="00D86E58" w:rsidRPr="002033B3">
        <w:t>undermined by the existence of harm to the environment and exposure to environmental risks.</w:t>
      </w:r>
      <w:r w:rsidR="00D86E58" w:rsidRPr="002033B3">
        <w:rPr>
          <w:rStyle w:val="FootnoteReference"/>
        </w:rPr>
        <w:footnoteReference w:id="40"/>
      </w:r>
      <w:r w:rsidR="00D86E58" w:rsidRPr="002033B3">
        <w:t xml:space="preserve"> </w:t>
      </w:r>
      <w:r w:rsidR="00827A25" w:rsidRPr="002033B3">
        <w:t>In other cases</w:t>
      </w:r>
      <w:r w:rsidR="003329B0" w:rsidRPr="002033B3">
        <w:t>,</w:t>
      </w:r>
      <w:r w:rsidR="00827A25" w:rsidRPr="002033B3">
        <w:t xml:space="preserve"> </w:t>
      </w:r>
      <w:r w:rsidR="00D86E58" w:rsidRPr="002033B3">
        <w:t>Article 2 (right to life)</w:t>
      </w:r>
      <w:r w:rsidR="00D86E58" w:rsidRPr="002033B3">
        <w:rPr>
          <w:rStyle w:val="FootnoteReference"/>
        </w:rPr>
        <w:footnoteReference w:id="41"/>
      </w:r>
      <w:r w:rsidR="007E04CF" w:rsidRPr="002033B3">
        <w:t xml:space="preserve"> </w:t>
      </w:r>
      <w:r w:rsidR="002D2E8B" w:rsidRPr="002033B3">
        <w:t xml:space="preserve">and </w:t>
      </w:r>
      <w:r w:rsidR="00D86E58" w:rsidRPr="002033B3">
        <w:t>Article 8 (right to private, family life and home)</w:t>
      </w:r>
      <w:r w:rsidR="00D86E58" w:rsidRPr="002033B3">
        <w:rPr>
          <w:rStyle w:val="FootnoteReference"/>
        </w:rPr>
        <w:footnoteReference w:id="42"/>
      </w:r>
      <w:r w:rsidR="007E04CF" w:rsidRPr="002033B3">
        <w:t xml:space="preserve"> </w:t>
      </w:r>
      <w:r w:rsidR="5F3929AE" w:rsidRPr="002033B3">
        <w:t>h</w:t>
      </w:r>
      <w:r w:rsidR="00805988" w:rsidRPr="002033B3">
        <w:t>ave been</w:t>
      </w:r>
      <w:r w:rsidR="00D86E58" w:rsidRPr="002033B3">
        <w:t xml:space="preserve"> invoked when </w:t>
      </w:r>
      <w:r w:rsidR="5674A4EF" w:rsidRPr="002033B3">
        <w:t xml:space="preserve">considering </w:t>
      </w:r>
      <w:r w:rsidR="6A9B8ADE" w:rsidRPr="002033B3">
        <w:t>S</w:t>
      </w:r>
      <w:r w:rsidR="00D86E58" w:rsidRPr="002033B3">
        <w:t xml:space="preserve">tates’ </w:t>
      </w:r>
      <w:r w:rsidR="001336C7" w:rsidRPr="002033B3">
        <w:t xml:space="preserve">positive </w:t>
      </w:r>
      <w:r w:rsidR="00D86E58" w:rsidRPr="002033B3">
        <w:t>obligation to protect against harms to life and limb</w:t>
      </w:r>
      <w:r w:rsidR="08C7656F" w:rsidRPr="002033B3">
        <w:t>.</w:t>
      </w:r>
      <w:r w:rsidR="00D86E58" w:rsidRPr="002033B3">
        <w:t xml:space="preserve"> States have also been found in violation of Article 6 (right to a fair trial)</w:t>
      </w:r>
      <w:r w:rsidR="00D86E58" w:rsidRPr="002033B3">
        <w:rPr>
          <w:rStyle w:val="FootnoteReference"/>
        </w:rPr>
        <w:footnoteReference w:id="43"/>
      </w:r>
      <w:r w:rsidR="000327B2" w:rsidRPr="002033B3">
        <w:t xml:space="preserve"> </w:t>
      </w:r>
      <w:r w:rsidR="00D86E58" w:rsidRPr="002033B3">
        <w:t>and Article 13 (right to an effective remedy)</w:t>
      </w:r>
      <w:r w:rsidR="00D86E58" w:rsidRPr="002033B3">
        <w:rPr>
          <w:rStyle w:val="FootnoteReference"/>
        </w:rPr>
        <w:footnoteReference w:id="44"/>
      </w:r>
      <w:r w:rsidR="00D86E58" w:rsidRPr="002033B3">
        <w:t xml:space="preserve"> in relation to environmental issues.</w:t>
      </w:r>
    </w:p>
    <w:p w14:paraId="4EDC1DE2" w14:textId="77777777" w:rsidR="00B10BF5" w:rsidRPr="002033B3" w:rsidRDefault="00B10BF5" w:rsidP="002033B3">
      <w:pPr>
        <w:spacing w:line="276" w:lineRule="auto"/>
      </w:pPr>
    </w:p>
    <w:p w14:paraId="73BFE697" w14:textId="4DCDC1FD" w:rsidR="001C576A" w:rsidRPr="002033B3" w:rsidRDefault="000327B2" w:rsidP="002033B3">
      <w:pPr>
        <w:pStyle w:val="ListParagraph"/>
        <w:spacing w:line="276" w:lineRule="auto"/>
      </w:pPr>
      <w:r w:rsidRPr="002033B3">
        <w:t>Brennan et al</w:t>
      </w:r>
      <w:r w:rsidR="00982D47" w:rsidRPr="002033B3">
        <w:t xml:space="preserve"> provide a useful mapping of this and other key ECtHR case-law that confirms increasing recognition of the connection between human rights and the environment.</w:t>
      </w:r>
      <w:r w:rsidR="001C344E" w:rsidRPr="002033B3">
        <w:rPr>
          <w:rStyle w:val="FootnoteReference"/>
        </w:rPr>
        <w:footnoteReference w:id="45"/>
      </w:r>
      <w:r w:rsidR="001C344E" w:rsidRPr="002033B3">
        <w:t xml:space="preserve"> </w:t>
      </w:r>
      <w:r w:rsidR="005120AE" w:rsidRPr="002033B3">
        <w:t xml:space="preserve"> </w:t>
      </w:r>
      <w:r w:rsidR="00BB136B" w:rsidRPr="002033B3">
        <w:t xml:space="preserve"> </w:t>
      </w:r>
    </w:p>
    <w:p w14:paraId="794DE519" w14:textId="77777777" w:rsidR="00BB136B" w:rsidRPr="002033B3" w:rsidRDefault="00BB136B" w:rsidP="002033B3">
      <w:pPr>
        <w:pStyle w:val="ListParagraph"/>
        <w:numPr>
          <w:ilvl w:val="0"/>
          <w:numId w:val="0"/>
        </w:numPr>
        <w:spacing w:line="276" w:lineRule="auto"/>
        <w:ind w:left="720"/>
      </w:pPr>
    </w:p>
    <w:p w14:paraId="498D6F01" w14:textId="56463D5B" w:rsidR="00B955B4" w:rsidRPr="002033B3" w:rsidRDefault="00B955B4" w:rsidP="002033B3">
      <w:pPr>
        <w:pStyle w:val="ListParagraph"/>
        <w:spacing w:line="276" w:lineRule="auto"/>
      </w:pPr>
      <w:r w:rsidRPr="002033B3">
        <w:t xml:space="preserve">The ‘Environment, Human Rights and the Windsor Framework’ independent report makes a compelling argument </w:t>
      </w:r>
      <w:r w:rsidR="00250431" w:rsidRPr="002033B3">
        <w:t>that</w:t>
      </w:r>
      <w:r w:rsidRPr="002033B3">
        <w:t xml:space="preserve"> the Rights, Safeguards and Equality of Opportunity chapter of the Belfast (Good Friday) Agreement </w:t>
      </w:r>
      <w:r w:rsidR="00C33674" w:rsidRPr="002033B3">
        <w:lastRenderedPageBreak/>
        <w:t xml:space="preserve">should be </w:t>
      </w:r>
      <w:r w:rsidR="00544E38" w:rsidRPr="002033B3">
        <w:t>understood</w:t>
      </w:r>
      <w:r w:rsidR="00C33674" w:rsidRPr="002033B3">
        <w:t xml:space="preserve"> </w:t>
      </w:r>
      <w:r w:rsidR="00C01FDA" w:rsidRPr="002033B3">
        <w:t>as</w:t>
      </w:r>
      <w:r w:rsidR="00C33674" w:rsidRPr="002033B3">
        <w:t xml:space="preserve"> depende</w:t>
      </w:r>
      <w:r w:rsidR="00C01FDA" w:rsidRPr="002033B3">
        <w:t>nt</w:t>
      </w:r>
      <w:r w:rsidR="00C33674" w:rsidRPr="002033B3">
        <w:t xml:space="preserve"> on </w:t>
      </w:r>
      <w:r w:rsidR="00C01FDA" w:rsidRPr="002033B3">
        <w:t xml:space="preserve">a range of </w:t>
      </w:r>
      <w:r w:rsidR="00FE33A0" w:rsidRPr="002033B3">
        <w:t xml:space="preserve">environmental protections </w:t>
      </w:r>
      <w:r w:rsidR="00A02F94" w:rsidRPr="002033B3">
        <w:t xml:space="preserve">and safeguards </w:t>
      </w:r>
      <w:r w:rsidR="00FE33A0" w:rsidRPr="002033B3">
        <w:t xml:space="preserve">required to realise the </w:t>
      </w:r>
      <w:r w:rsidR="00544E38" w:rsidRPr="002033B3">
        <w:t>commitments</w:t>
      </w:r>
      <w:r w:rsidR="00FE33A0" w:rsidRPr="002033B3">
        <w:t xml:space="preserve"> set out</w:t>
      </w:r>
      <w:r w:rsidRPr="002033B3">
        <w:t>.</w:t>
      </w:r>
      <w:r w:rsidRPr="002033B3">
        <w:rPr>
          <w:rStyle w:val="FootnoteReference"/>
        </w:rPr>
        <w:footnoteReference w:id="46"/>
      </w:r>
      <w:r w:rsidRPr="002033B3">
        <w:t xml:space="preserve">  </w:t>
      </w:r>
    </w:p>
    <w:p w14:paraId="1FF9D48C" w14:textId="77777777" w:rsidR="00B955B4" w:rsidRPr="002033B3" w:rsidRDefault="00B955B4" w:rsidP="002033B3">
      <w:pPr>
        <w:spacing w:line="276" w:lineRule="auto"/>
      </w:pPr>
    </w:p>
    <w:p w14:paraId="6EC8EAFE" w14:textId="313B14EA" w:rsidR="00245AB1" w:rsidRPr="002033B3" w:rsidRDefault="00245AB1" w:rsidP="002033B3">
      <w:pPr>
        <w:pStyle w:val="ListParagraph"/>
        <w:spacing w:line="276" w:lineRule="auto"/>
        <w:rPr>
          <w:b/>
          <w:bCs/>
        </w:rPr>
      </w:pPr>
      <w:bookmarkStart w:id="12" w:name="_Hlk200380632"/>
      <w:r w:rsidRPr="002033B3">
        <w:rPr>
          <w:b/>
          <w:bCs/>
        </w:rPr>
        <w:t xml:space="preserve">The NIHRC affirms the interdependent, interrelated and indivisible nature of human rights and advises that a clean and safe environment </w:t>
      </w:r>
      <w:r w:rsidR="00CD5562" w:rsidRPr="002033B3">
        <w:rPr>
          <w:b/>
          <w:bCs/>
        </w:rPr>
        <w:t>is</w:t>
      </w:r>
      <w:r w:rsidRPr="002033B3">
        <w:rPr>
          <w:b/>
          <w:bCs/>
        </w:rPr>
        <w:t xml:space="preserve"> </w:t>
      </w:r>
      <w:r w:rsidR="001C13A2" w:rsidRPr="002033B3">
        <w:rPr>
          <w:b/>
          <w:bCs/>
        </w:rPr>
        <w:t xml:space="preserve">essential </w:t>
      </w:r>
      <w:r w:rsidRPr="002033B3">
        <w:rPr>
          <w:b/>
          <w:bCs/>
        </w:rPr>
        <w:t xml:space="preserve">for the enjoyment of human rights. </w:t>
      </w:r>
    </w:p>
    <w:p w14:paraId="6C018629" w14:textId="77777777" w:rsidR="001D1E6E" w:rsidRPr="002033B3" w:rsidRDefault="001D1E6E" w:rsidP="002033B3">
      <w:pPr>
        <w:pStyle w:val="ListParagraph"/>
        <w:numPr>
          <w:ilvl w:val="0"/>
          <w:numId w:val="0"/>
        </w:numPr>
        <w:spacing w:line="276" w:lineRule="auto"/>
        <w:ind w:left="720"/>
        <w:rPr>
          <w:b/>
          <w:bCs/>
        </w:rPr>
      </w:pPr>
    </w:p>
    <w:p w14:paraId="375BEB02" w14:textId="692BD9FD" w:rsidR="00245AB1" w:rsidRPr="002033B3" w:rsidRDefault="0095256A" w:rsidP="002033B3">
      <w:pPr>
        <w:pStyle w:val="ListParagraph"/>
        <w:spacing w:line="276" w:lineRule="auto"/>
        <w:rPr>
          <w:b/>
          <w:bCs/>
        </w:rPr>
      </w:pPr>
      <w:r w:rsidRPr="002033B3">
        <w:rPr>
          <w:b/>
          <w:bCs/>
        </w:rPr>
        <w:t xml:space="preserve">In line with </w:t>
      </w:r>
      <w:r w:rsidR="00245AB1" w:rsidRPr="002033B3">
        <w:rPr>
          <w:b/>
          <w:bCs/>
        </w:rPr>
        <w:t>ECtHR jurisprudence on</w:t>
      </w:r>
      <w:r w:rsidR="00480723" w:rsidRPr="002033B3">
        <w:rPr>
          <w:b/>
          <w:bCs/>
        </w:rPr>
        <w:t xml:space="preserve"> the connection between</w:t>
      </w:r>
      <w:r w:rsidR="00E50B21" w:rsidRPr="002033B3">
        <w:rPr>
          <w:b/>
          <w:bCs/>
        </w:rPr>
        <w:t xml:space="preserve"> the environment and </w:t>
      </w:r>
      <w:r w:rsidR="00D915AA" w:rsidRPr="002033B3">
        <w:rPr>
          <w:b/>
          <w:bCs/>
        </w:rPr>
        <w:t xml:space="preserve">human </w:t>
      </w:r>
      <w:r w:rsidR="00242AB6" w:rsidRPr="002033B3">
        <w:rPr>
          <w:b/>
          <w:bCs/>
        </w:rPr>
        <w:t xml:space="preserve">rights, </w:t>
      </w:r>
      <w:r w:rsidR="00A14930" w:rsidRPr="002033B3">
        <w:rPr>
          <w:b/>
          <w:bCs/>
        </w:rPr>
        <w:t xml:space="preserve">the </w:t>
      </w:r>
      <w:r w:rsidR="00242AB6" w:rsidRPr="002033B3">
        <w:rPr>
          <w:b/>
          <w:bCs/>
        </w:rPr>
        <w:t xml:space="preserve">NIHRC advises </w:t>
      </w:r>
      <w:r w:rsidR="00D835E9" w:rsidRPr="002033B3">
        <w:rPr>
          <w:b/>
          <w:bCs/>
        </w:rPr>
        <w:t xml:space="preserve">that </w:t>
      </w:r>
      <w:r w:rsidR="00245AB1" w:rsidRPr="002033B3">
        <w:rPr>
          <w:b/>
          <w:bCs/>
        </w:rPr>
        <w:t xml:space="preserve">the </w:t>
      </w:r>
      <w:r w:rsidR="00E704D6" w:rsidRPr="002033B3">
        <w:rPr>
          <w:b/>
          <w:bCs/>
        </w:rPr>
        <w:t xml:space="preserve">commitments in the </w:t>
      </w:r>
      <w:r w:rsidR="00034191" w:rsidRPr="002033B3">
        <w:rPr>
          <w:b/>
          <w:bCs/>
        </w:rPr>
        <w:t xml:space="preserve">Rights, Safeguard and Equality of Opportunity </w:t>
      </w:r>
      <w:r w:rsidR="00245AB1" w:rsidRPr="002033B3">
        <w:rPr>
          <w:b/>
          <w:bCs/>
        </w:rPr>
        <w:t xml:space="preserve">Chapter of the </w:t>
      </w:r>
      <w:r w:rsidR="00846D84" w:rsidRPr="002033B3">
        <w:rPr>
          <w:b/>
          <w:bCs/>
        </w:rPr>
        <w:t>B</w:t>
      </w:r>
      <w:r w:rsidR="00852AAE" w:rsidRPr="002033B3">
        <w:rPr>
          <w:b/>
          <w:bCs/>
        </w:rPr>
        <w:t xml:space="preserve">elfast (Good Friday) Agreement should be understood as encompassing the environmental obligations and safeguards required to </w:t>
      </w:r>
      <w:r w:rsidR="00C557CF" w:rsidRPr="002033B3">
        <w:rPr>
          <w:b/>
          <w:bCs/>
        </w:rPr>
        <w:t xml:space="preserve">realise </w:t>
      </w:r>
      <w:r w:rsidR="00852AAE" w:rsidRPr="002033B3">
        <w:rPr>
          <w:b/>
          <w:bCs/>
        </w:rPr>
        <w:t>th</w:t>
      </w:r>
      <w:r w:rsidR="00192324" w:rsidRPr="002033B3">
        <w:rPr>
          <w:b/>
          <w:bCs/>
        </w:rPr>
        <w:t>ose</w:t>
      </w:r>
      <w:r w:rsidR="00852AAE" w:rsidRPr="002033B3">
        <w:rPr>
          <w:b/>
          <w:bCs/>
        </w:rPr>
        <w:t xml:space="preserve"> rights</w:t>
      </w:r>
      <w:r w:rsidR="00245AB1" w:rsidRPr="002033B3">
        <w:rPr>
          <w:b/>
          <w:bCs/>
        </w:rPr>
        <w:t>.</w:t>
      </w:r>
    </w:p>
    <w:bookmarkEnd w:id="12"/>
    <w:p w14:paraId="5910601D" w14:textId="77777777" w:rsidR="000129CD" w:rsidRPr="002033B3" w:rsidRDefault="000129CD" w:rsidP="002033B3">
      <w:pPr>
        <w:pStyle w:val="ListParagraph"/>
        <w:numPr>
          <w:ilvl w:val="0"/>
          <w:numId w:val="0"/>
        </w:numPr>
        <w:spacing w:line="276" w:lineRule="auto"/>
        <w:ind w:left="720"/>
        <w:rPr>
          <w:b/>
          <w:bCs/>
        </w:rPr>
      </w:pPr>
    </w:p>
    <w:p w14:paraId="43D83905" w14:textId="71213FBA" w:rsidR="000129CD" w:rsidRPr="002033B3" w:rsidRDefault="000129CD" w:rsidP="002033B3">
      <w:pPr>
        <w:pStyle w:val="ListParagraph"/>
        <w:spacing w:line="276" w:lineRule="auto"/>
      </w:pPr>
      <w:r w:rsidRPr="002033B3">
        <w:t>The next section considers the extent to which such rights were underpinned by EU law binding on the UK before its withdrawal from EU.</w:t>
      </w:r>
    </w:p>
    <w:p w14:paraId="64A956CB" w14:textId="77777777" w:rsidR="00DE7246" w:rsidRPr="002033B3" w:rsidRDefault="00DE7246" w:rsidP="002033B3">
      <w:pPr>
        <w:spacing w:line="276" w:lineRule="auto"/>
      </w:pPr>
    </w:p>
    <w:p w14:paraId="78045367" w14:textId="0BF95D07" w:rsidR="009E55F2" w:rsidRPr="002033B3" w:rsidRDefault="00C86B94" w:rsidP="00F62570">
      <w:pPr>
        <w:pStyle w:val="Heading1"/>
        <w:keepNext/>
        <w:widowControl/>
        <w:spacing w:line="276" w:lineRule="auto"/>
      </w:pPr>
      <w:bookmarkStart w:id="13" w:name="_Toc199507618"/>
      <w:bookmarkStart w:id="14" w:name="_Toc199511850"/>
      <w:bookmarkStart w:id="15" w:name="_Toc199521778"/>
      <w:bookmarkStart w:id="16" w:name="_Toc199521871"/>
      <w:bookmarkStart w:id="17" w:name="_Toc200362617"/>
      <w:bookmarkStart w:id="18" w:name="_Toc200379902"/>
      <w:bookmarkStart w:id="19" w:name="_Toc200380014"/>
      <w:bookmarkStart w:id="20" w:name="_Toc200380170"/>
      <w:bookmarkStart w:id="21" w:name="_Toc200380215"/>
      <w:bookmarkStart w:id="22" w:name="_Toc201578297"/>
      <w:bookmarkEnd w:id="13"/>
      <w:bookmarkEnd w:id="14"/>
      <w:bookmarkEnd w:id="15"/>
      <w:bookmarkEnd w:id="16"/>
      <w:bookmarkEnd w:id="17"/>
      <w:bookmarkEnd w:id="18"/>
      <w:bookmarkEnd w:id="19"/>
      <w:bookmarkEnd w:id="20"/>
      <w:bookmarkEnd w:id="21"/>
      <w:r w:rsidRPr="002033B3">
        <w:t xml:space="preserve">EU </w:t>
      </w:r>
      <w:r w:rsidR="001D13B2" w:rsidRPr="002033B3">
        <w:t xml:space="preserve">Environmental Law </w:t>
      </w:r>
      <w:r w:rsidR="00F33EB8" w:rsidRPr="002033B3">
        <w:t xml:space="preserve">Underpinning Human Rights Connected </w:t>
      </w:r>
      <w:r w:rsidR="00CF352D" w:rsidRPr="002033B3">
        <w:t xml:space="preserve">to the </w:t>
      </w:r>
      <w:r w:rsidR="00F33EB8" w:rsidRPr="002033B3">
        <w:t>Environment</w:t>
      </w:r>
      <w:bookmarkEnd w:id="22"/>
      <w:r w:rsidR="00F33EB8" w:rsidRPr="002033B3">
        <w:t xml:space="preserve"> </w:t>
      </w:r>
    </w:p>
    <w:p w14:paraId="3390BCBF" w14:textId="77777777" w:rsidR="00331BAF" w:rsidRPr="002033B3" w:rsidRDefault="00331BAF" w:rsidP="00F62570">
      <w:pPr>
        <w:keepNext/>
        <w:spacing w:line="276" w:lineRule="auto"/>
      </w:pPr>
    </w:p>
    <w:p w14:paraId="74D0A73A" w14:textId="77777777" w:rsidR="00331BAF" w:rsidRPr="002033B3" w:rsidRDefault="00331BAF" w:rsidP="00F62570">
      <w:pPr>
        <w:pStyle w:val="ListParagraph"/>
        <w:keepNext/>
        <w:numPr>
          <w:ilvl w:val="0"/>
          <w:numId w:val="10"/>
        </w:numPr>
        <w:spacing w:line="276" w:lineRule="auto"/>
        <w:rPr>
          <w:vanish/>
        </w:rPr>
      </w:pPr>
    </w:p>
    <w:p w14:paraId="292608E1" w14:textId="4FCF6975" w:rsidR="00AA3708" w:rsidRDefault="003B5211" w:rsidP="00F62570">
      <w:pPr>
        <w:pStyle w:val="ListParagraph"/>
        <w:keepNext/>
        <w:spacing w:line="276" w:lineRule="auto"/>
      </w:pPr>
      <w:r w:rsidRPr="002033B3">
        <w:t xml:space="preserve">Having </w:t>
      </w:r>
      <w:r w:rsidR="231EC5C5" w:rsidRPr="002033B3">
        <w:t>found that</w:t>
      </w:r>
      <w:r w:rsidRPr="002033B3">
        <w:t xml:space="preserve"> </w:t>
      </w:r>
      <w:r w:rsidR="0020070C" w:rsidRPr="002033B3">
        <w:t xml:space="preserve">environmental aspects of </w:t>
      </w:r>
      <w:r w:rsidR="00FD42C3" w:rsidRPr="002033B3">
        <w:t xml:space="preserve">human </w:t>
      </w:r>
      <w:r w:rsidR="00AA3708" w:rsidRPr="002033B3">
        <w:t xml:space="preserve">rights fall within </w:t>
      </w:r>
      <w:r w:rsidR="002F3B52" w:rsidRPr="002033B3">
        <w:t xml:space="preserve">the </w:t>
      </w:r>
      <w:r w:rsidR="00646429" w:rsidRPr="002033B3">
        <w:t>“</w:t>
      </w:r>
      <w:r w:rsidR="002F3B52" w:rsidRPr="002033B3">
        <w:t>broad suite of rights</w:t>
      </w:r>
      <w:r w:rsidR="002037A5" w:rsidRPr="002033B3">
        <w:t>”</w:t>
      </w:r>
      <w:r w:rsidR="002F3B52" w:rsidRPr="002033B3">
        <w:t xml:space="preserve"> in </w:t>
      </w:r>
      <w:r w:rsidRPr="002033B3">
        <w:t xml:space="preserve">the </w:t>
      </w:r>
      <w:r w:rsidR="005E642C" w:rsidRPr="002033B3">
        <w:t>relevant</w:t>
      </w:r>
      <w:r w:rsidR="00387D3B" w:rsidRPr="002033B3">
        <w:t xml:space="preserve"> chapter </w:t>
      </w:r>
      <w:r w:rsidR="005E642C" w:rsidRPr="002033B3">
        <w:t xml:space="preserve">of the </w:t>
      </w:r>
      <w:r w:rsidR="00AA3708" w:rsidRPr="002033B3">
        <w:t xml:space="preserve">Belfast (Good Friday) Agreement, the next step in connecting such rights to Windsor Framework Article 2, is to consider the degree to which such rights are underpinned by EU law binding on the UK before </w:t>
      </w:r>
      <w:r w:rsidR="001E3F2A" w:rsidRPr="002033B3">
        <w:t>Brexit</w:t>
      </w:r>
      <w:r w:rsidR="00AA3708" w:rsidRPr="002033B3">
        <w:t>.</w:t>
      </w:r>
      <w:r w:rsidR="00140E63" w:rsidRPr="002033B3">
        <w:t xml:space="preserve"> </w:t>
      </w:r>
      <w:r w:rsidR="00127808" w:rsidRPr="002033B3">
        <w:t xml:space="preserve">This section looks first at the nature and scope of EU environmental law before </w:t>
      </w:r>
      <w:r w:rsidR="00140B81" w:rsidRPr="002033B3">
        <w:t>exploring the connections with human rights.</w:t>
      </w:r>
    </w:p>
    <w:p w14:paraId="2DA3F62B" w14:textId="77777777" w:rsidR="00A50B01" w:rsidRPr="002033B3" w:rsidRDefault="00A50B01" w:rsidP="00A50B01">
      <w:pPr>
        <w:spacing w:line="276" w:lineRule="auto"/>
      </w:pPr>
    </w:p>
    <w:p w14:paraId="1DDFC09F" w14:textId="1DC9D572" w:rsidR="00072E5C" w:rsidRPr="002033B3" w:rsidRDefault="00072E5C" w:rsidP="00F62570">
      <w:pPr>
        <w:pStyle w:val="Heading2"/>
        <w:keepNext/>
        <w:spacing w:line="276" w:lineRule="auto"/>
      </w:pPr>
      <w:bookmarkStart w:id="23" w:name="_Toc201578298"/>
      <w:r w:rsidRPr="002033B3">
        <w:t xml:space="preserve">Nature and </w:t>
      </w:r>
      <w:r w:rsidR="00F33EB8" w:rsidRPr="002033B3">
        <w:t xml:space="preserve">Scope </w:t>
      </w:r>
      <w:r w:rsidRPr="002033B3">
        <w:t xml:space="preserve">of EU </w:t>
      </w:r>
      <w:r w:rsidR="00F33EB8" w:rsidRPr="002033B3">
        <w:t>Environmental Law</w:t>
      </w:r>
      <w:bookmarkEnd w:id="23"/>
    </w:p>
    <w:p w14:paraId="693360FD" w14:textId="77777777" w:rsidR="00A50B01" w:rsidRDefault="00A50B01" w:rsidP="00F62570">
      <w:pPr>
        <w:pStyle w:val="ListParagraph"/>
        <w:keepNext/>
        <w:numPr>
          <w:ilvl w:val="0"/>
          <w:numId w:val="0"/>
        </w:numPr>
        <w:spacing w:line="276" w:lineRule="auto"/>
        <w:ind w:left="720"/>
      </w:pPr>
    </w:p>
    <w:p w14:paraId="7B3D9925" w14:textId="7675BB5A" w:rsidR="007756FF" w:rsidRPr="002033B3" w:rsidRDefault="007756FF" w:rsidP="00F62570">
      <w:pPr>
        <w:pStyle w:val="ListParagraph"/>
        <w:keepNext/>
        <w:spacing w:line="276" w:lineRule="auto"/>
      </w:pPr>
      <w:r w:rsidRPr="002033B3">
        <w:t>The EU has shared competency in the field of the environment and has legislated extensively in many areas of environmental protection.</w:t>
      </w:r>
      <w:r w:rsidRPr="002033B3">
        <w:rPr>
          <w:rStyle w:val="FootnoteReference"/>
        </w:rPr>
        <w:footnoteReference w:id="47"/>
      </w:r>
      <w:r w:rsidRPr="002033B3">
        <w:t xml:space="preserve"> To begin discussing how EU </w:t>
      </w:r>
      <w:r w:rsidR="00740249" w:rsidRPr="002033B3">
        <w:t xml:space="preserve">environmental </w:t>
      </w:r>
      <w:r w:rsidRPr="002033B3">
        <w:t>law underpins human rights within scope of the Rights, Safeguards and Equality of Opportunity chapter, we need to situate the discussion in the relevant EU legal framework.</w:t>
      </w:r>
    </w:p>
    <w:p w14:paraId="05291BA1" w14:textId="77777777" w:rsidR="007756FF" w:rsidRPr="002033B3" w:rsidRDefault="007756FF" w:rsidP="002033B3">
      <w:pPr>
        <w:pStyle w:val="ListParagraph"/>
        <w:numPr>
          <w:ilvl w:val="0"/>
          <w:numId w:val="0"/>
        </w:numPr>
        <w:spacing w:line="276" w:lineRule="auto"/>
        <w:ind w:left="720"/>
      </w:pPr>
    </w:p>
    <w:p w14:paraId="15159448" w14:textId="77777777" w:rsidR="007756FF" w:rsidRPr="002033B3" w:rsidRDefault="007756FF" w:rsidP="002033B3">
      <w:pPr>
        <w:pStyle w:val="ListParagraph"/>
        <w:spacing w:line="276" w:lineRule="auto"/>
      </w:pPr>
      <w:r w:rsidRPr="002033B3">
        <w:lastRenderedPageBreak/>
        <w:t>First, for the purposes of the Withdrawal Agreement, any reference to EU law includes:</w:t>
      </w:r>
    </w:p>
    <w:p w14:paraId="77E648BF" w14:textId="77777777" w:rsidR="007756FF" w:rsidRPr="002033B3" w:rsidRDefault="007756FF" w:rsidP="002033B3">
      <w:pPr>
        <w:pStyle w:val="ListParagraph"/>
        <w:numPr>
          <w:ilvl w:val="0"/>
          <w:numId w:val="23"/>
        </w:numPr>
        <w:spacing w:line="276" w:lineRule="auto"/>
        <w:ind w:left="1434" w:hanging="357"/>
      </w:pPr>
      <w:r w:rsidRPr="002033B3">
        <w:t xml:space="preserve">the foundational treaties and the EU Charter of Fundamental </w:t>
      </w:r>
      <w:proofErr w:type="gramStart"/>
      <w:r w:rsidRPr="002033B3">
        <w:t>Rights;</w:t>
      </w:r>
      <w:proofErr w:type="gramEnd"/>
      <w:r w:rsidRPr="002033B3">
        <w:t xml:space="preserve"> </w:t>
      </w:r>
    </w:p>
    <w:p w14:paraId="5881C93C" w14:textId="77777777" w:rsidR="007756FF" w:rsidRPr="002033B3" w:rsidRDefault="007756FF" w:rsidP="002033B3">
      <w:pPr>
        <w:pStyle w:val="ListParagraph"/>
        <w:numPr>
          <w:ilvl w:val="0"/>
          <w:numId w:val="23"/>
        </w:numPr>
        <w:spacing w:line="276" w:lineRule="auto"/>
        <w:ind w:left="1434" w:hanging="357"/>
      </w:pPr>
      <w:r w:rsidRPr="002033B3">
        <w:t xml:space="preserve">the General Principles of EU </w:t>
      </w:r>
      <w:proofErr w:type="gramStart"/>
      <w:r w:rsidRPr="002033B3">
        <w:t>law;</w:t>
      </w:r>
      <w:proofErr w:type="gramEnd"/>
      <w:r w:rsidRPr="002033B3">
        <w:t xml:space="preserve"> </w:t>
      </w:r>
    </w:p>
    <w:p w14:paraId="0611FAC3" w14:textId="77777777" w:rsidR="007756FF" w:rsidRPr="002033B3" w:rsidRDefault="007756FF" w:rsidP="002033B3">
      <w:pPr>
        <w:pStyle w:val="ListParagraph"/>
        <w:numPr>
          <w:ilvl w:val="0"/>
          <w:numId w:val="23"/>
        </w:numPr>
        <w:spacing w:line="276" w:lineRule="auto"/>
        <w:ind w:left="1434" w:hanging="357"/>
      </w:pPr>
      <w:r w:rsidRPr="002033B3">
        <w:t>legislative acts adopted by the EU institutions, including directives, regulations and decisions; and</w:t>
      </w:r>
    </w:p>
    <w:p w14:paraId="7ACDB6E5" w14:textId="77777777" w:rsidR="007756FF" w:rsidRPr="002033B3" w:rsidRDefault="007756FF" w:rsidP="002033B3">
      <w:pPr>
        <w:pStyle w:val="ListParagraph"/>
        <w:numPr>
          <w:ilvl w:val="0"/>
          <w:numId w:val="23"/>
        </w:numPr>
        <w:spacing w:line="276" w:lineRule="auto"/>
        <w:ind w:left="1434" w:hanging="357"/>
      </w:pPr>
      <w:r w:rsidRPr="002033B3">
        <w:t>international agreements to which the EU is party.</w:t>
      </w:r>
      <w:r w:rsidRPr="002033B3">
        <w:rPr>
          <w:rStyle w:val="FootnoteReference"/>
        </w:rPr>
        <w:footnoteReference w:id="48"/>
      </w:r>
    </w:p>
    <w:p w14:paraId="2F50C2D4" w14:textId="77777777" w:rsidR="00A50B01" w:rsidRPr="002033B3" w:rsidRDefault="00A50B01" w:rsidP="002033B3">
      <w:pPr>
        <w:pStyle w:val="ListParagraph"/>
        <w:numPr>
          <w:ilvl w:val="0"/>
          <w:numId w:val="0"/>
        </w:numPr>
        <w:spacing w:line="276" w:lineRule="auto"/>
        <w:ind w:left="1440"/>
      </w:pPr>
    </w:p>
    <w:p w14:paraId="1514D460" w14:textId="508B5725" w:rsidR="007756FF" w:rsidRPr="002033B3" w:rsidRDefault="007756FF" w:rsidP="002033B3">
      <w:pPr>
        <w:pStyle w:val="Heading3"/>
        <w:spacing w:line="276" w:lineRule="auto"/>
      </w:pPr>
      <w:bookmarkStart w:id="24" w:name="_Toc201578299"/>
      <w:r w:rsidRPr="002033B3">
        <w:t>EU treaties</w:t>
      </w:r>
    </w:p>
    <w:bookmarkEnd w:id="24"/>
    <w:p w14:paraId="12926631" w14:textId="77777777" w:rsidR="007756FF" w:rsidRPr="002033B3" w:rsidRDefault="007756FF" w:rsidP="00F62570">
      <w:pPr>
        <w:pStyle w:val="ListParagraph"/>
        <w:keepNext/>
        <w:keepLines/>
        <w:spacing w:line="276" w:lineRule="auto"/>
      </w:pPr>
      <w:r w:rsidRPr="002033B3">
        <w:t xml:space="preserve">Articles 191-193 of the Treaty on the Functioning of the EU set out the core EU competencies to legislate </w:t>
      </w:r>
      <w:proofErr w:type="gramStart"/>
      <w:r w:rsidRPr="002033B3">
        <w:t>in the area of</w:t>
      </w:r>
      <w:proofErr w:type="gramEnd"/>
      <w:r w:rsidRPr="002033B3">
        <w:t xml:space="preserve"> Environment. EU policy should align with four key objectives, including preserving, protecting and improving the quality of the environment and protecting human health.</w:t>
      </w:r>
    </w:p>
    <w:p w14:paraId="15671276" w14:textId="77777777" w:rsidR="007756FF" w:rsidRPr="002033B3" w:rsidRDefault="007756FF" w:rsidP="002033B3">
      <w:pPr>
        <w:pStyle w:val="ListParagraph"/>
        <w:numPr>
          <w:ilvl w:val="0"/>
          <w:numId w:val="0"/>
        </w:numPr>
        <w:spacing w:line="276" w:lineRule="auto"/>
        <w:ind w:left="720"/>
      </w:pPr>
      <w:r w:rsidRPr="002033B3">
        <w:t xml:space="preserve"> </w:t>
      </w:r>
    </w:p>
    <w:p w14:paraId="2E3BF63C" w14:textId="1168F090" w:rsidR="007756FF" w:rsidRPr="002033B3" w:rsidRDefault="007756FF" w:rsidP="002033B3">
      <w:pPr>
        <w:pStyle w:val="ListParagraph"/>
        <w:spacing w:line="276" w:lineRule="auto"/>
      </w:pPr>
      <w:r w:rsidRPr="002033B3">
        <w:t xml:space="preserve">EU policy should aim for a high level of protection and be “based on the precautionary principle and on the principles that preventive action should be taken, that environmental damage should as a priority be rectified at source and that the polluter should </w:t>
      </w:r>
      <w:r w:rsidR="2C0C9902" w:rsidRPr="002033B3">
        <w:t>pay</w:t>
      </w:r>
      <w:r w:rsidR="00DD1451">
        <w:t>”</w:t>
      </w:r>
      <w:r w:rsidR="2C0C9902" w:rsidRPr="002033B3">
        <w:t>. The</w:t>
      </w:r>
      <w:r w:rsidRPr="002033B3">
        <w:t xml:space="preserve"> EU shares competence with EU member states </w:t>
      </w:r>
      <w:proofErr w:type="gramStart"/>
      <w:r w:rsidRPr="002033B3">
        <w:t>in the area of</w:t>
      </w:r>
      <w:proofErr w:type="gramEnd"/>
      <w:r w:rsidRPr="002033B3">
        <w:t xml:space="preserve"> the environment (Article 4</w:t>
      </w:r>
      <w:r w:rsidR="00B403E0" w:rsidRPr="002033B3">
        <w:t>, TFEU</w:t>
      </w:r>
      <w:r w:rsidRPr="002033B3">
        <w:t>) and environmental protection requirements must be integrated into the definition and implementation of the EU policies and activities (Article 11</w:t>
      </w:r>
      <w:r w:rsidR="00002F15">
        <w:t>, TFEU</w:t>
      </w:r>
      <w:r w:rsidRPr="002033B3">
        <w:t>).</w:t>
      </w:r>
    </w:p>
    <w:p w14:paraId="4D622C92" w14:textId="77777777" w:rsidR="007756FF" w:rsidRPr="002033B3" w:rsidRDefault="007756FF" w:rsidP="002033B3">
      <w:pPr>
        <w:pStyle w:val="ListParagraph"/>
        <w:numPr>
          <w:ilvl w:val="0"/>
          <w:numId w:val="0"/>
        </w:numPr>
        <w:spacing w:line="276" w:lineRule="auto"/>
        <w:ind w:left="720"/>
      </w:pPr>
    </w:p>
    <w:p w14:paraId="4A54AF89" w14:textId="77777777" w:rsidR="007756FF" w:rsidRPr="002033B3" w:rsidRDefault="007756FF" w:rsidP="00F62570">
      <w:pPr>
        <w:pStyle w:val="Heading3"/>
        <w:keepLines w:val="0"/>
        <w:spacing w:line="276" w:lineRule="auto"/>
      </w:pPr>
      <w:bookmarkStart w:id="25" w:name="_Toc201578300"/>
      <w:r w:rsidRPr="002033B3">
        <w:t>EU Charter of Fundamental Rights</w:t>
      </w:r>
      <w:bookmarkEnd w:id="25"/>
    </w:p>
    <w:p w14:paraId="5D46B73F" w14:textId="676A3639" w:rsidR="007756FF" w:rsidRPr="002033B3" w:rsidRDefault="007756FF" w:rsidP="00F62570">
      <w:pPr>
        <w:pStyle w:val="ListParagraph"/>
        <w:keepNext/>
        <w:spacing w:line="276" w:lineRule="auto"/>
      </w:pPr>
      <w:r w:rsidRPr="002033B3">
        <w:t xml:space="preserve">The EU Charter has the same status in EU law as the founding treaties.  </w:t>
      </w:r>
      <w:r w:rsidR="00617906" w:rsidRPr="002033B3">
        <w:t xml:space="preserve">Article 35 </w:t>
      </w:r>
      <w:r w:rsidR="00083A88" w:rsidRPr="002033B3">
        <w:t>contains a commitment to</w:t>
      </w:r>
      <w:r w:rsidR="0098353E" w:rsidRPr="002033B3">
        <w:t xml:space="preserve"> </w:t>
      </w:r>
      <w:r w:rsidR="002D75D1" w:rsidRPr="002033B3">
        <w:t>“</w:t>
      </w:r>
      <w:r w:rsidR="0098353E" w:rsidRPr="002033B3">
        <w:t>a high level of human health protection</w:t>
      </w:r>
      <w:r w:rsidR="00083A88" w:rsidRPr="002033B3">
        <w:t>”</w:t>
      </w:r>
      <w:r w:rsidR="0098353E" w:rsidRPr="002033B3">
        <w:t xml:space="preserve"> </w:t>
      </w:r>
      <w:r w:rsidR="00083A88" w:rsidRPr="002033B3">
        <w:t xml:space="preserve">to </w:t>
      </w:r>
      <w:r w:rsidR="0098353E" w:rsidRPr="002033B3">
        <w:t xml:space="preserve">be ensured </w:t>
      </w:r>
      <w:r w:rsidR="00083A88" w:rsidRPr="002033B3">
        <w:t>“</w:t>
      </w:r>
      <w:r w:rsidR="0098353E" w:rsidRPr="002033B3">
        <w:t>in the definition and implementation of all the Union’s policies and activities</w:t>
      </w:r>
      <w:r w:rsidR="002D75D1" w:rsidRPr="002033B3">
        <w:t>”</w:t>
      </w:r>
      <w:r w:rsidR="0098353E" w:rsidRPr="002033B3">
        <w:t>.</w:t>
      </w:r>
      <w:r w:rsidRPr="002033B3">
        <w:t xml:space="preserve"> Article 37 protects “a high level of environmental protection” and requires EU policies to integrate “the improvement of the quality of the environment … in accordance with the principle of sustainable development”. The field of application of the EU Charter is limited to where states are acting within the scope of EU law.</w:t>
      </w:r>
      <w:r w:rsidRPr="002033B3">
        <w:rPr>
          <w:rStyle w:val="FootnoteReference"/>
        </w:rPr>
        <w:footnoteReference w:id="49"/>
      </w:r>
      <w:r w:rsidRPr="002033B3">
        <w:t xml:space="preserve">  In addition, in so far as the EU Charter contains rights which correspond to those in guaranteed by ECHR, “the meaning and scope of those rights shall be the same as those laid down by the said Convention” (Article 52(3)). </w:t>
      </w:r>
      <w:proofErr w:type="gramStart"/>
      <w:r w:rsidRPr="002033B3">
        <w:t>Therefore</w:t>
      </w:r>
      <w:proofErr w:type="gramEnd"/>
      <w:r w:rsidRPr="002033B3">
        <w:t xml:space="preserve"> the right to life, right to respect for private life, the prohibition of </w:t>
      </w:r>
      <w:r w:rsidRPr="002033B3">
        <w:lastRenderedPageBreak/>
        <w:t>discrimination, and other relevant provisions must be interpreted in line with ECtHR jurisprudence which elaborates on environmental protections.</w:t>
      </w:r>
    </w:p>
    <w:p w14:paraId="7CF0E21F" w14:textId="77777777" w:rsidR="007756FF" w:rsidRPr="002033B3" w:rsidRDefault="007756FF" w:rsidP="002033B3">
      <w:pPr>
        <w:pStyle w:val="ListParagraph"/>
        <w:numPr>
          <w:ilvl w:val="0"/>
          <w:numId w:val="0"/>
        </w:numPr>
        <w:spacing w:line="276" w:lineRule="auto"/>
        <w:ind w:left="720"/>
      </w:pPr>
    </w:p>
    <w:p w14:paraId="401FB13A" w14:textId="77777777" w:rsidR="007756FF" w:rsidRPr="002033B3" w:rsidRDefault="007756FF" w:rsidP="00F62570">
      <w:pPr>
        <w:pStyle w:val="Heading3"/>
        <w:keepLines w:val="0"/>
        <w:spacing w:line="276" w:lineRule="auto"/>
      </w:pPr>
      <w:bookmarkStart w:id="26" w:name="_Toc201578301"/>
      <w:r w:rsidRPr="002033B3">
        <w:t>General principles of EU law</w:t>
      </w:r>
      <w:bookmarkEnd w:id="26"/>
    </w:p>
    <w:p w14:paraId="73A604F3" w14:textId="77777777" w:rsidR="007756FF" w:rsidRPr="002033B3" w:rsidRDefault="007756FF" w:rsidP="00F62570">
      <w:pPr>
        <w:pStyle w:val="ListParagraph"/>
        <w:keepNext/>
        <w:spacing w:line="276" w:lineRule="auto"/>
      </w:pPr>
      <w:r w:rsidRPr="002033B3">
        <w:t>The CJEU has recognised a range of general principles of EU law including fundamental rights,</w:t>
      </w:r>
      <w:r w:rsidRPr="002033B3">
        <w:rPr>
          <w:rStyle w:val="FootnoteReference"/>
        </w:rPr>
        <w:footnoteReference w:id="50"/>
      </w:r>
      <w:r w:rsidRPr="002033B3">
        <w:t xml:space="preserve"> proportionality,</w:t>
      </w:r>
      <w:r w:rsidRPr="002033B3">
        <w:rPr>
          <w:rStyle w:val="FootnoteReference"/>
        </w:rPr>
        <w:footnoteReference w:id="51"/>
      </w:r>
      <w:r w:rsidRPr="002033B3">
        <w:t xml:space="preserve"> legal certainty,</w:t>
      </w:r>
      <w:r w:rsidRPr="002033B3">
        <w:rPr>
          <w:rStyle w:val="FootnoteReference"/>
        </w:rPr>
        <w:footnoteReference w:id="52"/>
      </w:r>
      <w:r w:rsidRPr="002033B3">
        <w:t xml:space="preserve"> legitimate expectations,</w:t>
      </w:r>
      <w:r w:rsidRPr="002033B3">
        <w:rPr>
          <w:rStyle w:val="FootnoteReference"/>
        </w:rPr>
        <w:footnoteReference w:id="53"/>
      </w:r>
      <w:r w:rsidRPr="002033B3">
        <w:t xml:space="preserve"> equality and non-discrimination,</w:t>
      </w:r>
      <w:r w:rsidRPr="002033B3">
        <w:rPr>
          <w:rStyle w:val="FootnoteReference"/>
        </w:rPr>
        <w:footnoteReference w:id="54"/>
      </w:r>
      <w:r w:rsidRPr="002033B3">
        <w:t xml:space="preserve"> transparency</w:t>
      </w:r>
      <w:r w:rsidRPr="002033B3">
        <w:rPr>
          <w:rStyle w:val="FootnoteReference"/>
        </w:rPr>
        <w:footnoteReference w:id="55"/>
      </w:r>
      <w:r w:rsidRPr="002033B3">
        <w:t xml:space="preserve"> and the precautionary principle.</w:t>
      </w:r>
      <w:r w:rsidRPr="002033B3">
        <w:rPr>
          <w:rStyle w:val="FootnoteReference"/>
        </w:rPr>
        <w:footnoteReference w:id="56"/>
      </w:r>
      <w:r w:rsidRPr="002033B3">
        <w:t xml:space="preserve">  The CJEU has developed the requirement of effectiveness of EU law, which includes effective judicial protection as a general principle.</w:t>
      </w:r>
      <w:r w:rsidRPr="002033B3">
        <w:rPr>
          <w:rStyle w:val="FootnoteReference"/>
        </w:rPr>
        <w:footnoteReference w:id="57"/>
      </w:r>
      <w:r w:rsidRPr="002033B3">
        <w:t xml:space="preserve"> As noted in Craig and de </w:t>
      </w:r>
      <w:proofErr w:type="spellStart"/>
      <w:r w:rsidRPr="002033B3">
        <w:t>Búrca</w:t>
      </w:r>
      <w:proofErr w:type="spellEnd"/>
      <w:r w:rsidRPr="002033B3">
        <w:t>, the obligation in Article 4 of the Withdrawal Agreement, as implemented by Section 7A of the EU (Withdrawal) Act 2018, “will include the remedial obligations of effectiveness and equivalence”.</w:t>
      </w:r>
      <w:r w:rsidRPr="002033B3">
        <w:rPr>
          <w:rStyle w:val="FootnoteReference"/>
        </w:rPr>
        <w:footnoteReference w:id="58"/>
      </w:r>
      <w:r w:rsidRPr="002033B3">
        <w:t xml:space="preserve"> </w:t>
      </w:r>
    </w:p>
    <w:p w14:paraId="4318D44A" w14:textId="77777777" w:rsidR="007756FF" w:rsidRPr="002033B3" w:rsidRDefault="007756FF" w:rsidP="002033B3">
      <w:pPr>
        <w:pStyle w:val="ListParagraph"/>
        <w:numPr>
          <w:ilvl w:val="0"/>
          <w:numId w:val="0"/>
        </w:numPr>
        <w:spacing w:line="276" w:lineRule="auto"/>
        <w:ind w:left="720"/>
      </w:pPr>
    </w:p>
    <w:p w14:paraId="2A94F805" w14:textId="77777777" w:rsidR="007756FF" w:rsidRPr="002033B3" w:rsidRDefault="007756FF" w:rsidP="00F62570">
      <w:pPr>
        <w:pStyle w:val="Heading3"/>
        <w:keepLines w:val="0"/>
        <w:spacing w:line="276" w:lineRule="auto"/>
      </w:pPr>
      <w:bookmarkStart w:id="27" w:name="_Toc201578302"/>
      <w:r w:rsidRPr="002033B3">
        <w:t>International Agreements to which the EU is party: Aarhus Convention</w:t>
      </w:r>
      <w:bookmarkEnd w:id="27"/>
    </w:p>
    <w:p w14:paraId="64967A51" w14:textId="1BB97886" w:rsidR="007756FF" w:rsidRPr="002033B3" w:rsidRDefault="007756FF" w:rsidP="00F62570">
      <w:pPr>
        <w:pStyle w:val="ListParagraph"/>
        <w:keepNext/>
        <w:spacing w:after="120" w:line="276" w:lineRule="auto"/>
      </w:pPr>
      <w:r w:rsidRPr="002033B3">
        <w:t>The EU is party to the UN Economic Commission for Europe (UNECE) Convention on access to information, public participation in decision-making and access to justice in environmental matters</w:t>
      </w:r>
      <w:r w:rsidR="00F75086" w:rsidRPr="002033B3">
        <w:t xml:space="preserve"> (Aarhus Convention)</w:t>
      </w:r>
      <w:r w:rsidRPr="002033B3">
        <w:t xml:space="preserve">. The Aarhus Convention protects every person’s right to live in a healthy environment. It guarantees three key rights on environmental issues: </w:t>
      </w:r>
    </w:p>
    <w:p w14:paraId="6DB46FF7" w14:textId="4E48A15E" w:rsidR="167C5971" w:rsidRPr="002033B3" w:rsidRDefault="167C5971" w:rsidP="002033B3">
      <w:pPr>
        <w:pStyle w:val="ListParagraph"/>
        <w:numPr>
          <w:ilvl w:val="0"/>
          <w:numId w:val="0"/>
        </w:numPr>
        <w:spacing w:after="120" w:line="276" w:lineRule="auto"/>
        <w:ind w:left="720"/>
      </w:pPr>
    </w:p>
    <w:p w14:paraId="7BDF5422" w14:textId="755D7963" w:rsidR="007756FF" w:rsidRPr="002033B3" w:rsidRDefault="007756FF" w:rsidP="002033B3">
      <w:pPr>
        <w:pStyle w:val="ListParagraph"/>
        <w:numPr>
          <w:ilvl w:val="0"/>
          <w:numId w:val="26"/>
        </w:numPr>
        <w:spacing w:after="120" w:line="276" w:lineRule="auto"/>
        <w:ind w:left="1418"/>
      </w:pPr>
      <w:r w:rsidRPr="002033B3">
        <w:rPr>
          <w:b/>
          <w:bCs/>
        </w:rPr>
        <w:t>access to information</w:t>
      </w:r>
      <w:r w:rsidRPr="002033B3">
        <w:t xml:space="preserve"> held by public authorities on the state of the environment, policies or measures affecting the environment and public health and safety where these are affected by the state of the </w:t>
      </w:r>
      <w:proofErr w:type="gramStart"/>
      <w:r w:rsidRPr="002033B3">
        <w:t>environment</w:t>
      </w:r>
      <w:r w:rsidR="00214253" w:rsidRPr="002033B3">
        <w:t>;</w:t>
      </w:r>
      <w:proofErr w:type="gramEnd"/>
    </w:p>
    <w:p w14:paraId="41AB8CF8" w14:textId="54433897" w:rsidR="007756FF" w:rsidRPr="002033B3" w:rsidRDefault="007756FF" w:rsidP="002033B3">
      <w:pPr>
        <w:pStyle w:val="ListParagraph"/>
        <w:numPr>
          <w:ilvl w:val="0"/>
          <w:numId w:val="26"/>
        </w:numPr>
        <w:spacing w:after="120" w:line="276" w:lineRule="auto"/>
        <w:ind w:left="1418"/>
      </w:pPr>
      <w:r w:rsidRPr="002033B3">
        <w:rPr>
          <w:b/>
          <w:bCs/>
        </w:rPr>
        <w:t>public participation</w:t>
      </w:r>
      <w:r w:rsidRPr="002033B3">
        <w:t xml:space="preserve"> in environmental decision-making, including allowing </w:t>
      </w:r>
      <w:r w:rsidR="004107F7">
        <w:t>members of the</w:t>
      </w:r>
      <w:r w:rsidRPr="002033B3">
        <w:t xml:space="preserve"> public and environmental NGOs to </w:t>
      </w:r>
      <w:r w:rsidRPr="002033B3">
        <w:lastRenderedPageBreak/>
        <w:t xml:space="preserve">meaningfully participate in decision-making on projects, plans and programmes relating to the </w:t>
      </w:r>
      <w:proofErr w:type="gramStart"/>
      <w:r w:rsidRPr="002033B3">
        <w:t>environment</w:t>
      </w:r>
      <w:r w:rsidR="00214253" w:rsidRPr="002033B3">
        <w:t>;</w:t>
      </w:r>
      <w:proofErr w:type="gramEnd"/>
    </w:p>
    <w:p w14:paraId="6D4BE03B" w14:textId="7C14CC26" w:rsidR="007756FF" w:rsidRPr="002033B3" w:rsidRDefault="007756FF" w:rsidP="002033B3">
      <w:pPr>
        <w:pStyle w:val="ListParagraph"/>
        <w:numPr>
          <w:ilvl w:val="0"/>
          <w:numId w:val="26"/>
        </w:numPr>
        <w:spacing w:line="276" w:lineRule="auto"/>
        <w:ind w:left="1418"/>
      </w:pPr>
      <w:r w:rsidRPr="002033B3">
        <w:rPr>
          <w:b/>
          <w:bCs/>
        </w:rPr>
        <w:t>access to justice</w:t>
      </w:r>
      <w:r w:rsidRPr="002033B3">
        <w:t xml:space="preserve"> or the right to seek a review by a court or other  body to ensure that public authorities respect the rights to access to information and public participation, and environmental law in general. </w:t>
      </w:r>
    </w:p>
    <w:p w14:paraId="12E624FB" w14:textId="77777777" w:rsidR="007756FF" w:rsidRPr="002033B3" w:rsidRDefault="007756FF" w:rsidP="002033B3">
      <w:pPr>
        <w:pStyle w:val="ListParagraph"/>
        <w:numPr>
          <w:ilvl w:val="0"/>
          <w:numId w:val="0"/>
        </w:numPr>
        <w:spacing w:line="276" w:lineRule="auto"/>
        <w:ind w:left="1440"/>
      </w:pPr>
    </w:p>
    <w:p w14:paraId="22257A3E" w14:textId="77777777" w:rsidR="007756FF" w:rsidRPr="002033B3" w:rsidRDefault="007756FF" w:rsidP="00F62570">
      <w:pPr>
        <w:pStyle w:val="Heading3"/>
        <w:keepLines w:val="0"/>
        <w:spacing w:line="276" w:lineRule="auto"/>
      </w:pPr>
      <w:bookmarkStart w:id="28" w:name="_Toc201578303"/>
      <w:r w:rsidRPr="002033B3">
        <w:t>Indicative EU measures</w:t>
      </w:r>
      <w:bookmarkEnd w:id="28"/>
    </w:p>
    <w:p w14:paraId="36CF7B14" w14:textId="77777777" w:rsidR="007756FF" w:rsidRPr="002033B3" w:rsidRDefault="007756FF" w:rsidP="00F62570">
      <w:pPr>
        <w:pStyle w:val="ListParagraph"/>
        <w:keepNext/>
        <w:spacing w:line="276" w:lineRule="auto"/>
      </w:pPr>
      <w:r w:rsidRPr="002033B3">
        <w:t>Below are some of the key EU measures in various areas of environmental protection establishing minimal standards and procedures:</w:t>
      </w:r>
      <w:r w:rsidRPr="002033B3">
        <w:rPr>
          <w:rStyle w:val="FootnoteReference"/>
        </w:rPr>
        <w:footnoteReference w:id="59"/>
      </w:r>
    </w:p>
    <w:p w14:paraId="50B1754C" w14:textId="77777777" w:rsidR="007756FF" w:rsidRPr="002033B3" w:rsidRDefault="007756FF" w:rsidP="002033B3">
      <w:pPr>
        <w:pStyle w:val="ListParagraph"/>
        <w:numPr>
          <w:ilvl w:val="0"/>
          <w:numId w:val="0"/>
        </w:numPr>
        <w:spacing w:line="276" w:lineRule="auto"/>
        <w:ind w:left="720"/>
      </w:pPr>
    </w:p>
    <w:p w14:paraId="42EDC5F1" w14:textId="77777777" w:rsidR="007756FF" w:rsidRPr="002033B3" w:rsidRDefault="007756FF" w:rsidP="002033B3">
      <w:pPr>
        <w:pStyle w:val="ListParagraph"/>
        <w:numPr>
          <w:ilvl w:val="0"/>
          <w:numId w:val="24"/>
        </w:numPr>
        <w:spacing w:line="276" w:lineRule="auto"/>
      </w:pPr>
      <w:r w:rsidRPr="002033B3">
        <w:rPr>
          <w:b/>
          <w:bCs/>
        </w:rPr>
        <w:t>EU Habitats Directive (92/43/EEC)</w:t>
      </w:r>
      <w:r w:rsidRPr="002033B3">
        <w:t xml:space="preserve"> aims to ensure </w:t>
      </w:r>
      <w:proofErr w:type="gramStart"/>
      <w:r w:rsidRPr="002033B3">
        <w:t>bio-diversity</w:t>
      </w:r>
      <w:proofErr w:type="gramEnd"/>
      <w:r w:rsidRPr="002033B3">
        <w:t xml:space="preserve"> through the conservation of natural habitats and of wild fauna and flora, including the maintenance or restoration of natural habitats and species of wild fauna and flora.  It requires all Member States to establish a strict protection regime for species listed in the annexes. </w:t>
      </w:r>
      <w:r w:rsidRPr="002033B3">
        <w:rPr>
          <w:b/>
          <w:bCs/>
        </w:rPr>
        <w:t>See also EU Birds Directive (2009/147/EC)</w:t>
      </w:r>
      <w:r w:rsidRPr="002033B3">
        <w:t>, which aims to protect, manage and regulate all bird species naturally living in the wild, their nests and their habitats.</w:t>
      </w:r>
      <w:r w:rsidRPr="002033B3">
        <w:br/>
        <w:t xml:space="preserve">  </w:t>
      </w:r>
    </w:p>
    <w:p w14:paraId="36CF8684" w14:textId="1DA15007" w:rsidR="007756FF" w:rsidRPr="002033B3" w:rsidRDefault="007756FF" w:rsidP="002033B3">
      <w:pPr>
        <w:pStyle w:val="ListParagraph"/>
        <w:numPr>
          <w:ilvl w:val="0"/>
          <w:numId w:val="24"/>
        </w:numPr>
        <w:spacing w:line="276" w:lineRule="auto"/>
      </w:pPr>
      <w:r w:rsidRPr="002033B3">
        <w:rPr>
          <w:b/>
          <w:bCs/>
        </w:rPr>
        <w:t>EU Water Framework Directive (2000/60/EC)</w:t>
      </w:r>
      <w:r w:rsidRPr="002033B3">
        <w:t xml:space="preserve"> aims to establish a framework for the protection of inland surface waters, transitional waters, coastal waters and groundwater, including the restoration of ecosystems in and around these bodies of water; the reduction of pollution in water bodies; and t</w:t>
      </w:r>
      <w:r w:rsidR="00E641A8" w:rsidRPr="002033B3">
        <w:t>o</w:t>
      </w:r>
      <w:r w:rsidRPr="002033B3">
        <w:t xml:space="preserve"> guarantee sustainable water usage by individuals and businesses.</w:t>
      </w:r>
      <w:r w:rsidRPr="002033B3">
        <w:br/>
      </w:r>
    </w:p>
    <w:p w14:paraId="5268593B" w14:textId="3FB9D0F5" w:rsidR="007756FF" w:rsidRPr="002033B3" w:rsidRDefault="007756FF" w:rsidP="002033B3">
      <w:pPr>
        <w:pStyle w:val="ListParagraph"/>
        <w:numPr>
          <w:ilvl w:val="0"/>
          <w:numId w:val="24"/>
        </w:numPr>
        <w:spacing w:line="276" w:lineRule="auto"/>
      </w:pPr>
      <w:r w:rsidRPr="002033B3">
        <w:rPr>
          <w:b/>
          <w:bCs/>
        </w:rPr>
        <w:t>EU Access to Environmental Information Directive (2003/4/EC)</w:t>
      </w:r>
      <w:r w:rsidRPr="002033B3">
        <w:t xml:space="preserve"> aims to guarantee the right of access to environmental information held by or for public authorities and to ensure that environmental information is systematically made available and disseminated to </w:t>
      </w:r>
      <w:r w:rsidR="007015E7">
        <w:t xml:space="preserve">members of </w:t>
      </w:r>
      <w:r w:rsidRPr="002033B3">
        <w:t>the public.</w:t>
      </w:r>
      <w:r w:rsidRPr="002033B3">
        <w:br/>
        <w:t xml:space="preserve">  </w:t>
      </w:r>
    </w:p>
    <w:p w14:paraId="08342020" w14:textId="77777777" w:rsidR="007756FF" w:rsidRPr="002033B3" w:rsidRDefault="007756FF" w:rsidP="002033B3">
      <w:pPr>
        <w:pStyle w:val="ListParagraph"/>
        <w:numPr>
          <w:ilvl w:val="0"/>
          <w:numId w:val="24"/>
        </w:numPr>
        <w:spacing w:line="276" w:lineRule="auto"/>
      </w:pPr>
      <w:r w:rsidRPr="002033B3">
        <w:rPr>
          <w:b/>
          <w:bCs/>
        </w:rPr>
        <w:t>EU Public Participation Directive (2003/35/EC)</w:t>
      </w:r>
      <w:r w:rsidRPr="002033B3">
        <w:t xml:space="preserve"> provides for public participation with respect to formulating certain plans and programmes relating to the environment.</w:t>
      </w:r>
      <w:r w:rsidRPr="002033B3">
        <w:br/>
      </w:r>
    </w:p>
    <w:p w14:paraId="52C1307C" w14:textId="28F8F0AE" w:rsidR="007756FF" w:rsidRPr="002033B3" w:rsidRDefault="007756FF" w:rsidP="002033B3">
      <w:pPr>
        <w:pStyle w:val="ListParagraph"/>
        <w:numPr>
          <w:ilvl w:val="0"/>
          <w:numId w:val="24"/>
        </w:numPr>
        <w:spacing w:line="276" w:lineRule="auto"/>
      </w:pPr>
      <w:r w:rsidRPr="002033B3">
        <w:rPr>
          <w:b/>
          <w:bCs/>
        </w:rPr>
        <w:lastRenderedPageBreak/>
        <w:t>EU Ambient Air Quality Directive (2008/50/EC)</w:t>
      </w:r>
      <w:r w:rsidRPr="002033B3">
        <w:t xml:space="preserve"> aims to define and establish objectives for ambient air quality designed to avoid, prevent or reduce harmful effects on human health and the environment as a whole; obtain information on ambient air quality to help combat air pollution and nuisance and to monitor long-term trends; and ensure that such information on ambient air quality is made available to </w:t>
      </w:r>
      <w:r w:rsidR="003058DD">
        <w:t xml:space="preserve">members of </w:t>
      </w:r>
      <w:r w:rsidRPr="002033B3">
        <w:t>the public.</w:t>
      </w:r>
      <w:r w:rsidRPr="002033B3">
        <w:br/>
      </w:r>
    </w:p>
    <w:p w14:paraId="586DDC1D" w14:textId="59E7D353" w:rsidR="00C577D0" w:rsidRPr="002033B3" w:rsidRDefault="007756FF" w:rsidP="002033B3">
      <w:pPr>
        <w:pStyle w:val="ListParagraph"/>
        <w:numPr>
          <w:ilvl w:val="0"/>
          <w:numId w:val="24"/>
        </w:numPr>
        <w:spacing w:line="276" w:lineRule="auto"/>
      </w:pPr>
      <w:r w:rsidRPr="002033B3">
        <w:rPr>
          <w:b/>
          <w:bCs/>
        </w:rPr>
        <w:t>EU Industrial Emissions Directive (2010/75/EU)</w:t>
      </w:r>
      <w:r w:rsidRPr="002033B3">
        <w:t xml:space="preserve"> lays down rules </w:t>
      </w:r>
      <w:r w:rsidR="00154F1C" w:rsidRPr="002033B3">
        <w:t xml:space="preserve">for the </w:t>
      </w:r>
      <w:r w:rsidRPr="002033B3">
        <w:t xml:space="preserve">prevention and control of pollution arising from industrial activities; and </w:t>
      </w:r>
      <w:r w:rsidR="00F75086" w:rsidRPr="002033B3">
        <w:t xml:space="preserve">aims </w:t>
      </w:r>
      <w:r w:rsidRPr="002033B3">
        <w:t>to prevent or reduce emissions into air, water and land and to prevent the generation of waste.</w:t>
      </w:r>
      <w:r w:rsidRPr="002033B3">
        <w:br/>
      </w:r>
    </w:p>
    <w:p w14:paraId="09A220ED" w14:textId="1731035A" w:rsidR="007756FF" w:rsidRPr="002033B3" w:rsidRDefault="007756FF" w:rsidP="002033B3">
      <w:pPr>
        <w:pStyle w:val="ListParagraph"/>
        <w:numPr>
          <w:ilvl w:val="0"/>
          <w:numId w:val="24"/>
        </w:numPr>
        <w:spacing w:line="276" w:lineRule="auto"/>
      </w:pPr>
      <w:r w:rsidRPr="002033B3">
        <w:rPr>
          <w:b/>
          <w:bCs/>
        </w:rPr>
        <w:t>Environmental Impact Assessment Directive (2011/92/EU)</w:t>
      </w:r>
      <w:r w:rsidRPr="002033B3">
        <w:t xml:space="preserve"> aims to ensure a high level of environmental protection and that environmental considerations are integrated into the preparation and authorisation of projects. It does this through environmental impact assessments. Effective consultation and participation </w:t>
      </w:r>
      <w:r w:rsidR="5A62473A" w:rsidRPr="002033B3">
        <w:t>are</w:t>
      </w:r>
      <w:r w:rsidRPr="002033B3">
        <w:t xml:space="preserve"> essential </w:t>
      </w:r>
      <w:r w:rsidR="3305E8D8" w:rsidRPr="002033B3">
        <w:t xml:space="preserve">to a proper </w:t>
      </w:r>
      <w:r w:rsidRPr="002033B3">
        <w:t>environmental impact assessment</w:t>
      </w:r>
      <w:r w:rsidR="682D8E7A" w:rsidRPr="002033B3">
        <w:t>.</w:t>
      </w:r>
      <w:r w:rsidRPr="002033B3">
        <w:br/>
      </w:r>
    </w:p>
    <w:p w14:paraId="2BD5D627" w14:textId="77777777" w:rsidR="007756FF" w:rsidRPr="002033B3" w:rsidRDefault="007756FF" w:rsidP="002033B3">
      <w:pPr>
        <w:pStyle w:val="ListParagraph"/>
        <w:numPr>
          <w:ilvl w:val="0"/>
          <w:numId w:val="24"/>
        </w:numPr>
        <w:spacing w:line="276" w:lineRule="auto"/>
      </w:pPr>
      <w:r w:rsidRPr="002033B3">
        <w:rPr>
          <w:b/>
          <w:bCs/>
        </w:rPr>
        <w:t>EU National Emissions Ceilings Directive (2016/2284/EU)</w:t>
      </w:r>
      <w:r w:rsidRPr="002033B3">
        <w:t xml:space="preserve"> aims to protect human health and the environment through national emission reduction commitments and the adoption and implementation of national air pollution control programmes.</w:t>
      </w:r>
    </w:p>
    <w:p w14:paraId="4BC263BA" w14:textId="77777777" w:rsidR="006A101C" w:rsidRPr="002033B3" w:rsidRDefault="006A101C" w:rsidP="002033B3">
      <w:pPr>
        <w:spacing w:line="276" w:lineRule="auto"/>
      </w:pPr>
    </w:p>
    <w:p w14:paraId="2B3EC602" w14:textId="659F83B3" w:rsidR="009E55F2" w:rsidRPr="002033B3" w:rsidRDefault="00B420F3" w:rsidP="00F62570">
      <w:pPr>
        <w:pStyle w:val="Heading2"/>
        <w:keepNext/>
        <w:spacing w:line="276" w:lineRule="auto"/>
      </w:pPr>
      <w:bookmarkStart w:id="29" w:name="_Toc201578304"/>
      <w:r w:rsidRPr="002033B3">
        <w:t xml:space="preserve">EU </w:t>
      </w:r>
      <w:r w:rsidR="00F33EB8" w:rsidRPr="002033B3">
        <w:t xml:space="preserve">Environmental Law </w:t>
      </w:r>
      <w:r w:rsidR="00926589" w:rsidRPr="002033B3">
        <w:t xml:space="preserve">and </w:t>
      </w:r>
      <w:r w:rsidR="00F33EB8" w:rsidRPr="002033B3">
        <w:t>Human Rights</w:t>
      </w:r>
      <w:bookmarkEnd w:id="29"/>
      <w:r w:rsidR="002C2872">
        <w:br/>
      </w:r>
    </w:p>
    <w:p w14:paraId="656BA24F" w14:textId="3C392B67" w:rsidR="00360A1B" w:rsidRPr="002033B3" w:rsidRDefault="00360A1B" w:rsidP="00F62570">
      <w:pPr>
        <w:pStyle w:val="ListParagraph"/>
        <w:keepNext/>
        <w:spacing w:line="276" w:lineRule="auto"/>
      </w:pPr>
      <w:bookmarkStart w:id="30" w:name="_Hlk199491274"/>
      <w:r w:rsidRPr="002033B3">
        <w:t xml:space="preserve">This section of the briefing note focuses on how EU </w:t>
      </w:r>
      <w:r w:rsidR="00B832E8" w:rsidRPr="002033B3">
        <w:t xml:space="preserve">environmental </w:t>
      </w:r>
      <w:r w:rsidRPr="002033B3">
        <w:t xml:space="preserve">law </w:t>
      </w:r>
      <w:r w:rsidR="001B3C44" w:rsidRPr="002033B3">
        <w:t xml:space="preserve">binding on the UK prior to UK’s exit from the EU </w:t>
      </w:r>
      <w:r w:rsidRPr="002033B3">
        <w:t>underpin</w:t>
      </w:r>
      <w:r w:rsidR="65EFFD29" w:rsidRPr="002033B3">
        <w:t>s</w:t>
      </w:r>
      <w:r w:rsidRPr="002033B3">
        <w:t xml:space="preserve"> </w:t>
      </w:r>
      <w:r w:rsidR="00B832E8" w:rsidRPr="002033B3">
        <w:t xml:space="preserve">human </w:t>
      </w:r>
      <w:r w:rsidRPr="002033B3">
        <w:t xml:space="preserve">rights. A key point is that the CJEU’s jurisprudence aligns with the ECtHR’s case-law on locating environmental rights, particularly procedural environmental rights, within the fundamental rights framework of the EU. </w:t>
      </w:r>
    </w:p>
    <w:p w14:paraId="4C14973B" w14:textId="77777777" w:rsidR="00360A1B" w:rsidRPr="002033B3" w:rsidRDefault="00360A1B" w:rsidP="002033B3">
      <w:pPr>
        <w:pStyle w:val="ListParagraph"/>
        <w:numPr>
          <w:ilvl w:val="0"/>
          <w:numId w:val="0"/>
        </w:numPr>
        <w:spacing w:line="276" w:lineRule="auto"/>
        <w:ind w:left="720"/>
      </w:pPr>
    </w:p>
    <w:p w14:paraId="27363457" w14:textId="66589225" w:rsidR="00830B82" w:rsidRPr="002033B3" w:rsidRDefault="00830B82" w:rsidP="002033B3">
      <w:pPr>
        <w:pStyle w:val="ListParagraph"/>
        <w:spacing w:line="276" w:lineRule="auto"/>
      </w:pPr>
      <w:r w:rsidRPr="002033B3">
        <w:t xml:space="preserve">Procedural rights have been recognised as an integral part of the protection of the environment and in turn essential for the enjoyment of all human rights. Examples of procedural environmental rights are the rights found in the Aarhus Convention, which grants </w:t>
      </w:r>
      <w:r w:rsidR="003058DD">
        <w:t xml:space="preserve">members of </w:t>
      </w:r>
      <w:r w:rsidRPr="002033B3">
        <w:t xml:space="preserve">the public procedural environmental rights such as the right to access information, the right to participate in decision-making and the right to access justice. </w:t>
      </w:r>
    </w:p>
    <w:p w14:paraId="6582B72F" w14:textId="77777777" w:rsidR="00830B82" w:rsidRPr="002033B3" w:rsidRDefault="00830B82" w:rsidP="002033B3">
      <w:pPr>
        <w:pStyle w:val="ListParagraph"/>
        <w:numPr>
          <w:ilvl w:val="0"/>
          <w:numId w:val="0"/>
        </w:numPr>
        <w:spacing w:line="276" w:lineRule="auto"/>
        <w:ind w:left="720"/>
      </w:pPr>
    </w:p>
    <w:p w14:paraId="62BA6E26" w14:textId="45E7C104" w:rsidR="00830B82" w:rsidRPr="002033B3" w:rsidRDefault="00B13407" w:rsidP="002033B3">
      <w:pPr>
        <w:pStyle w:val="ListParagraph"/>
        <w:spacing w:line="276" w:lineRule="auto"/>
      </w:pPr>
      <w:r w:rsidRPr="002033B3">
        <w:lastRenderedPageBreak/>
        <w:t>T</w:t>
      </w:r>
      <w:r w:rsidR="00830B82" w:rsidRPr="002033B3">
        <w:t xml:space="preserve">he EU is a signatory </w:t>
      </w:r>
      <w:r w:rsidR="64251432" w:rsidRPr="002033B3">
        <w:t xml:space="preserve">to </w:t>
      </w:r>
      <w:r w:rsidR="00830B82" w:rsidRPr="002033B3">
        <w:t>the Aarhus Convention,</w:t>
      </w:r>
      <w:r w:rsidR="00830B82" w:rsidRPr="002033B3">
        <w:rPr>
          <w:rStyle w:val="FootnoteReference"/>
        </w:rPr>
        <w:footnoteReference w:id="60"/>
      </w:r>
      <w:r w:rsidR="00830B82" w:rsidRPr="002033B3">
        <w:t xml:space="preserve"> as is the UK.  A range of EU measures have further implemented the Aarhus Convention rights in EU law.</w:t>
      </w:r>
      <w:r w:rsidR="00830B82" w:rsidRPr="002033B3">
        <w:rPr>
          <w:rStyle w:val="FootnoteReference"/>
        </w:rPr>
        <w:footnoteReference w:id="61"/>
      </w:r>
      <w:r w:rsidR="00830B82" w:rsidRPr="002033B3">
        <w:t xml:space="preserve"> EU law, as defined in the UK-EU Withdrawal Agreement, includes those international agreements to which the EU is party.</w:t>
      </w:r>
      <w:r w:rsidR="00830B82" w:rsidRPr="002033B3">
        <w:rPr>
          <w:rStyle w:val="FootnoteReference"/>
        </w:rPr>
        <w:footnoteReference w:id="62"/>
      </w:r>
      <w:r w:rsidR="00830B82" w:rsidRPr="002033B3">
        <w:t xml:space="preserve"> The CJEU has held that the Aarhus </w:t>
      </w:r>
      <w:r w:rsidR="00F75086" w:rsidRPr="002033B3">
        <w:t>C</w:t>
      </w:r>
      <w:r w:rsidR="00830B82" w:rsidRPr="002033B3">
        <w:t>onvention is part of the body of EU law and that those provisions of the Aarhus Convention that meet the criteria for direct effect can be relied upon by individuals.</w:t>
      </w:r>
      <w:r w:rsidR="00830B82" w:rsidRPr="002033B3">
        <w:rPr>
          <w:rStyle w:val="FootnoteReference"/>
        </w:rPr>
        <w:footnoteReference w:id="63"/>
      </w:r>
      <w:r w:rsidR="00830B82" w:rsidRPr="002033B3">
        <w:t xml:space="preserve"> </w:t>
      </w:r>
      <w:r w:rsidR="00DC56FC" w:rsidRPr="002033B3">
        <w:t xml:space="preserve">Some </w:t>
      </w:r>
      <w:r w:rsidR="00FC1D0C" w:rsidRPr="002033B3">
        <w:t>Aarhus Convention</w:t>
      </w:r>
      <w:r w:rsidR="00DC56FC" w:rsidRPr="002033B3">
        <w:t xml:space="preserve"> </w:t>
      </w:r>
      <w:r w:rsidR="00830B82" w:rsidRPr="002033B3">
        <w:t>provisions</w:t>
      </w:r>
      <w:r w:rsidR="00FC1D0C" w:rsidRPr="002033B3">
        <w:t>,</w:t>
      </w:r>
      <w:r w:rsidR="00830B82" w:rsidRPr="002033B3">
        <w:t xml:space="preserve"> </w:t>
      </w:r>
      <w:r w:rsidR="00FC1D0C" w:rsidRPr="002033B3">
        <w:t xml:space="preserve">such as Article 9(3) granting </w:t>
      </w:r>
      <w:r w:rsidR="002905D8">
        <w:t xml:space="preserve">members of </w:t>
      </w:r>
      <w:r w:rsidR="00FC1D0C" w:rsidRPr="002033B3">
        <w:t xml:space="preserve">the public the right to judicial challenge of acts that contravene national environmental law, </w:t>
      </w:r>
      <w:r w:rsidR="00DC56FC" w:rsidRPr="002033B3">
        <w:t>may</w:t>
      </w:r>
      <w:r w:rsidR="00830B82" w:rsidRPr="002033B3">
        <w:t xml:space="preserve"> not meet the</w:t>
      </w:r>
      <w:r w:rsidR="00FC1D0C" w:rsidRPr="002033B3">
        <w:t xml:space="preserve"> EU law</w:t>
      </w:r>
      <w:r w:rsidR="00830B82" w:rsidRPr="002033B3">
        <w:t xml:space="preserve"> direct effect criteria</w:t>
      </w:r>
      <w:r w:rsidR="00FC1D0C" w:rsidRPr="002033B3">
        <w:t xml:space="preserve">. However, </w:t>
      </w:r>
      <w:r w:rsidR="00F77963" w:rsidRPr="002033B3">
        <w:t xml:space="preserve">EU law </w:t>
      </w:r>
      <w:r w:rsidR="00F00B88" w:rsidRPr="002033B3">
        <w:t>ha</w:t>
      </w:r>
      <w:r w:rsidR="00723121" w:rsidRPr="002033B3">
        <w:t>s</w:t>
      </w:r>
      <w:r w:rsidR="00F00B88" w:rsidRPr="002033B3">
        <w:t xml:space="preserve"> binding effect even if </w:t>
      </w:r>
      <w:r w:rsidR="00723121" w:rsidRPr="002033B3">
        <w:t>it</w:t>
      </w:r>
      <w:r w:rsidR="00F00B88" w:rsidRPr="002033B3">
        <w:t xml:space="preserve"> </w:t>
      </w:r>
      <w:r w:rsidR="00723121" w:rsidRPr="002033B3">
        <w:t>is</w:t>
      </w:r>
      <w:r w:rsidR="00F00B88" w:rsidRPr="002033B3">
        <w:t xml:space="preserve"> not sufficiently detailed to be directly effective.</w:t>
      </w:r>
      <w:r w:rsidR="00F00B88" w:rsidRPr="002033B3">
        <w:rPr>
          <w:rStyle w:val="FootnoteReference"/>
        </w:rPr>
        <w:footnoteReference w:id="64"/>
      </w:r>
      <w:r w:rsidR="00F00B88" w:rsidRPr="002033B3">
        <w:t xml:space="preserve"> </w:t>
      </w:r>
      <w:r w:rsidR="00830B82" w:rsidRPr="002033B3">
        <w:t>The CJEU’s case-law on the interplay between environment</w:t>
      </w:r>
      <w:r w:rsidR="00712249" w:rsidRPr="002033B3">
        <w:t>al</w:t>
      </w:r>
      <w:r w:rsidR="00830B82" w:rsidRPr="002033B3">
        <w:t xml:space="preserve"> law and procedural rights suggests a “dominance of procedural fundamental rights, in the environment case law of the CJEU, most notably Article 47 of the EU Charter [access to justice]”.</w:t>
      </w:r>
      <w:r w:rsidR="00830B82" w:rsidRPr="002033B3">
        <w:rPr>
          <w:rStyle w:val="FootnoteReference"/>
        </w:rPr>
        <w:footnoteReference w:id="65"/>
      </w:r>
    </w:p>
    <w:p w14:paraId="25208D1C" w14:textId="77777777" w:rsidR="00830B82" w:rsidRPr="002033B3" w:rsidRDefault="00830B82" w:rsidP="002033B3">
      <w:pPr>
        <w:pStyle w:val="ListParagraph"/>
        <w:numPr>
          <w:ilvl w:val="0"/>
          <w:numId w:val="0"/>
        </w:numPr>
        <w:spacing w:line="276" w:lineRule="auto"/>
        <w:ind w:left="720"/>
      </w:pPr>
    </w:p>
    <w:p w14:paraId="6CD234D3" w14:textId="23B89C56" w:rsidR="00830B82" w:rsidRPr="002033B3" w:rsidRDefault="00830B82" w:rsidP="002033B3">
      <w:pPr>
        <w:pStyle w:val="ListParagraph"/>
        <w:spacing w:line="276" w:lineRule="auto"/>
      </w:pPr>
      <w:r w:rsidRPr="002033B3">
        <w:t xml:space="preserve">The </w:t>
      </w:r>
      <w:r w:rsidRPr="002033B3">
        <w:rPr>
          <w:i/>
          <w:iCs/>
        </w:rPr>
        <w:t>Brown Bears II</w:t>
      </w:r>
      <w:r w:rsidRPr="002033B3">
        <w:rPr>
          <w:rStyle w:val="FootnoteReference"/>
          <w:i/>
          <w:iCs/>
        </w:rPr>
        <w:footnoteReference w:id="66"/>
      </w:r>
      <w:r w:rsidRPr="002033B3">
        <w:t xml:space="preserve"> case illustrates how the CJEU links together procedural environmental rights derived from the Aarhus Convention with human rights under the EU Charter of Fundamental Rights and </w:t>
      </w:r>
      <w:r w:rsidR="005E7B77" w:rsidRPr="002033B3">
        <w:t xml:space="preserve">EU </w:t>
      </w:r>
      <w:r w:rsidRPr="002033B3">
        <w:t xml:space="preserve">environmental protection standards. The </w:t>
      </w:r>
      <w:r w:rsidRPr="002033B3">
        <w:rPr>
          <w:i/>
          <w:iCs/>
        </w:rPr>
        <w:t>Brown Bears II</w:t>
      </w:r>
      <w:r w:rsidRPr="002033B3">
        <w:t xml:space="preserve"> case revolves around an area in Slovakia designated as a Natura 2000 site under the EU Habitats Directive.</w:t>
      </w:r>
      <w:r w:rsidRPr="002033B3">
        <w:rPr>
          <w:rStyle w:val="FootnoteReference"/>
        </w:rPr>
        <w:footnoteReference w:id="67"/>
      </w:r>
      <w:r w:rsidRPr="002033B3">
        <w:t xml:space="preserve"> Public authorities in </w:t>
      </w:r>
      <w:proofErr w:type="spellStart"/>
      <w:r w:rsidRPr="002033B3">
        <w:t>Trencin</w:t>
      </w:r>
      <w:proofErr w:type="spellEnd"/>
      <w:r w:rsidRPr="002033B3">
        <w:t>, Slovakia authorised the construction of an enclosure within the designated area to facilitate deer hunting. LZ, which is a forest protection association</w:t>
      </w:r>
      <w:r w:rsidR="00EF749E" w:rsidRPr="002033B3">
        <w:t xml:space="preserve"> whose purpose</w:t>
      </w:r>
      <w:r w:rsidR="00BB0C13" w:rsidRPr="002033B3">
        <w:t xml:space="preserve"> is the </w:t>
      </w:r>
      <w:r w:rsidR="00BB0C13" w:rsidRPr="002033B3">
        <w:lastRenderedPageBreak/>
        <w:t>protection of the environment</w:t>
      </w:r>
      <w:r w:rsidRPr="002033B3">
        <w:t>, was prevented from participating in the authorisation decision.</w:t>
      </w:r>
    </w:p>
    <w:p w14:paraId="574171B2" w14:textId="77777777" w:rsidR="00830B82" w:rsidRPr="002033B3" w:rsidRDefault="00830B82" w:rsidP="002033B3">
      <w:pPr>
        <w:pStyle w:val="ListParagraph"/>
        <w:numPr>
          <w:ilvl w:val="0"/>
          <w:numId w:val="0"/>
        </w:numPr>
        <w:spacing w:line="276" w:lineRule="auto"/>
        <w:ind w:left="720"/>
      </w:pPr>
    </w:p>
    <w:p w14:paraId="04B39B00" w14:textId="4643C2B9" w:rsidR="00830B82" w:rsidRPr="002033B3" w:rsidRDefault="00830B82" w:rsidP="002033B3">
      <w:pPr>
        <w:pStyle w:val="ListParagraph"/>
        <w:spacing w:line="276" w:lineRule="auto"/>
      </w:pPr>
      <w:r w:rsidRPr="002033B3">
        <w:t xml:space="preserve">Whilst LZ </w:t>
      </w:r>
      <w:r w:rsidR="1E90D6D1" w:rsidRPr="002033B3">
        <w:t>objected</w:t>
      </w:r>
      <w:r w:rsidR="000D066A" w:rsidRPr="002033B3">
        <w:t xml:space="preserve"> to their </w:t>
      </w:r>
      <w:r w:rsidR="00AE211F" w:rsidRPr="002033B3">
        <w:t>exclusion</w:t>
      </w:r>
      <w:r w:rsidRPr="002033B3">
        <w:t xml:space="preserve">, the </w:t>
      </w:r>
      <w:proofErr w:type="spellStart"/>
      <w:r w:rsidRPr="002033B3">
        <w:t>Trencin</w:t>
      </w:r>
      <w:proofErr w:type="spellEnd"/>
      <w:r w:rsidRPr="002033B3">
        <w:t xml:space="preserve"> public authority authorised the project, essentially preventing LZ from exercising their procedural environmental right to participate in the decision. At this point the Slovakian Supreme Court referred the case to the CJEU for an interpretation of the effect of Article 47 of the EU Charter of Fundamental Rights (</w:t>
      </w:r>
      <w:r w:rsidR="000D514A" w:rsidRPr="002033B3">
        <w:t>r</w:t>
      </w:r>
      <w:r w:rsidRPr="002033B3">
        <w:t xml:space="preserve">ight to access to justice), read together with the relevant provisions in the Aarhus Convention (Article 6(1) on public participation in decisions), as well as with the relevant procedures in EU Habitats Directive (Article 6(3) which requires authorities to agree a plan only after obtaining the opinion of </w:t>
      </w:r>
      <w:r w:rsidR="003058DD">
        <w:t xml:space="preserve">members of </w:t>
      </w:r>
      <w:r w:rsidRPr="002033B3">
        <w:t>the public).</w:t>
      </w:r>
    </w:p>
    <w:p w14:paraId="794E0099" w14:textId="77777777" w:rsidR="00830B82" w:rsidRPr="002033B3" w:rsidRDefault="00830B82" w:rsidP="002033B3">
      <w:pPr>
        <w:pStyle w:val="ListParagraph"/>
        <w:numPr>
          <w:ilvl w:val="0"/>
          <w:numId w:val="0"/>
        </w:numPr>
        <w:spacing w:line="276" w:lineRule="auto"/>
        <w:ind w:left="720"/>
      </w:pPr>
    </w:p>
    <w:p w14:paraId="4079F73A" w14:textId="33690B35" w:rsidR="00830B82" w:rsidRPr="002033B3" w:rsidRDefault="00830B82" w:rsidP="002033B3">
      <w:pPr>
        <w:pStyle w:val="ListParagraph"/>
        <w:spacing w:line="276" w:lineRule="auto"/>
      </w:pPr>
      <w:r w:rsidRPr="002033B3">
        <w:t xml:space="preserve">The CJEU </w:t>
      </w:r>
      <w:r w:rsidR="272B097D" w:rsidRPr="002033B3">
        <w:t xml:space="preserve">judgment </w:t>
      </w:r>
      <w:r w:rsidRPr="002033B3">
        <w:t xml:space="preserve">included several important conclusions. First, the Court affirmed that the procedural right in the EU Habitats Directive in question, Article 6(3) of the EU Habitats Directive, plays a part in fulfilling the overall purpose of the </w:t>
      </w:r>
      <w:r w:rsidR="00F75086" w:rsidRPr="002033B3">
        <w:t>Directive</w:t>
      </w:r>
      <w:r w:rsidRPr="002033B3">
        <w:t>, which is to ensure a high level of environmental protection.</w:t>
      </w:r>
      <w:r w:rsidRPr="002033B3">
        <w:rPr>
          <w:rStyle w:val="FootnoteReference"/>
        </w:rPr>
        <w:footnoteReference w:id="68"/>
      </w:r>
      <w:r w:rsidRPr="002033B3">
        <w:t xml:space="preserve"> The CJEU stated that this provision must be read in conjunction with Article 6(1)(b) of the Aarhus Convention, which “forms an integral part of the EU legal order”.</w:t>
      </w:r>
      <w:r w:rsidRPr="002033B3">
        <w:rPr>
          <w:rStyle w:val="FootnoteReference"/>
        </w:rPr>
        <w:footnoteReference w:id="69"/>
      </w:r>
      <w:r w:rsidRPr="002033B3">
        <w:t xml:space="preserve"> The </w:t>
      </w:r>
      <w:r w:rsidR="448A8D89" w:rsidRPr="002033B3">
        <w:t>C</w:t>
      </w:r>
      <w:r w:rsidRPr="002033B3">
        <w:t xml:space="preserve">ourt recalled previous case-law on the principle of </w:t>
      </w:r>
      <w:r w:rsidR="009A3760" w:rsidRPr="002033B3">
        <w:t>“</w:t>
      </w:r>
      <w:r w:rsidRPr="002033B3">
        <w:t>sincere cooperation</w:t>
      </w:r>
      <w:r w:rsidR="009A3760" w:rsidRPr="002033B3">
        <w:t>”</w:t>
      </w:r>
      <w:r w:rsidRPr="002033B3">
        <w:t xml:space="preserve"> under Article 4(3) TEU which laid down that it is for domestic courts to ensure judicial protection of a person’s rights under EU law, including the provision of sufficient remedies.</w:t>
      </w:r>
      <w:r w:rsidRPr="002033B3">
        <w:rPr>
          <w:rStyle w:val="FootnoteReference"/>
        </w:rPr>
        <w:footnoteReference w:id="70"/>
      </w:r>
      <w:r w:rsidRPr="002033B3">
        <w:t xml:space="preserve"> Crucially, the CJEU reiterated that the scope of Article 47 of the EU Cha</w:t>
      </w:r>
      <w:r w:rsidR="00016606">
        <w:t>r</w:t>
      </w:r>
      <w:r w:rsidRPr="002033B3">
        <w:t>ter of Fundamental Rights is such that the fundamental rights guaranteed in the EU legal order are applicable in all areas governed by EU law.</w:t>
      </w:r>
      <w:r w:rsidRPr="002033B3">
        <w:rPr>
          <w:rStyle w:val="FootnoteReference"/>
        </w:rPr>
        <w:footnoteReference w:id="71"/>
      </w:r>
      <w:r w:rsidRPr="002033B3">
        <w:t xml:space="preserve"> The Court concluded that:</w:t>
      </w:r>
    </w:p>
    <w:p w14:paraId="220E3979" w14:textId="77777777" w:rsidR="00830B82" w:rsidRPr="002033B3" w:rsidRDefault="00830B82" w:rsidP="002033B3">
      <w:pPr>
        <w:pStyle w:val="ListParagraph"/>
        <w:numPr>
          <w:ilvl w:val="0"/>
          <w:numId w:val="0"/>
        </w:numPr>
        <w:spacing w:line="276" w:lineRule="auto"/>
        <w:ind w:left="720"/>
      </w:pPr>
    </w:p>
    <w:p w14:paraId="16BFA2CA" w14:textId="77777777" w:rsidR="00830B82" w:rsidRPr="002033B3" w:rsidRDefault="00830B82" w:rsidP="002033B3">
      <w:pPr>
        <w:pStyle w:val="Quote"/>
        <w:spacing w:line="276" w:lineRule="auto"/>
        <w:ind w:left="1440"/>
      </w:pPr>
      <w:r w:rsidRPr="002033B3">
        <w:t xml:space="preserve">Where a Member State lays down rules of procedural law applicable to actions concerning exercise of the rights which an environmental organisation derives from Article 6(3) of [the EU Habitats] Directive 92/43, read in conjunction with Article 6(1)(b) of the Aarhus Convention, in order for decisions of the competent national authorities to be reviewed in the light of their obligations under those provisions, that </w:t>
      </w:r>
      <w:r w:rsidRPr="002033B3">
        <w:lastRenderedPageBreak/>
        <w:t xml:space="preserve">Member State is implementing obligations stemming from those provisions and must therefore be regarded as implementing EU law, for the purposes of Article 51(1) of the EU Charter. Accordingly, the Court has jurisdiction to answer the request for a preliminary ruling </w:t>
      </w:r>
      <w:proofErr w:type="gramStart"/>
      <w:r w:rsidRPr="002033B3">
        <w:t>inasmuch as</w:t>
      </w:r>
      <w:proofErr w:type="gramEnd"/>
      <w:r w:rsidRPr="002033B3">
        <w:t xml:space="preserve"> it relates to Article 47 of the EU Charter.</w:t>
      </w:r>
      <w:r w:rsidRPr="002033B3">
        <w:rPr>
          <w:rStyle w:val="FootnoteReference"/>
        </w:rPr>
        <w:footnoteReference w:id="72"/>
      </w:r>
    </w:p>
    <w:p w14:paraId="50D4CBF7" w14:textId="77777777" w:rsidR="00830B82" w:rsidRPr="002033B3" w:rsidRDefault="00830B82" w:rsidP="002033B3">
      <w:pPr>
        <w:spacing w:line="276" w:lineRule="auto"/>
      </w:pPr>
    </w:p>
    <w:p w14:paraId="0EA19F7F" w14:textId="247200A5" w:rsidR="00830B82" w:rsidRPr="002033B3" w:rsidRDefault="00830B82" w:rsidP="002033B3">
      <w:pPr>
        <w:pStyle w:val="ListParagraph"/>
        <w:spacing w:line="276" w:lineRule="auto"/>
      </w:pPr>
      <w:r w:rsidRPr="002033B3">
        <w:t>The Court elaborated that the right to an effective remedy set out in Article 47 of the EU Charter must be read alongside those provisions of the EU Habitats Directive that list the types of decisions that environmental organisations can challenge,</w:t>
      </w:r>
      <w:r w:rsidRPr="002033B3">
        <w:rPr>
          <w:rStyle w:val="FootnoteReference"/>
        </w:rPr>
        <w:footnoteReference w:id="73"/>
      </w:r>
      <w:r w:rsidRPr="002033B3">
        <w:t xml:space="preserve"> and that the rights granted by Article 47 of the EU Charter must be understood in light of Article 9(2) of the Aarhus convention and the objective of granting a ‘wide access to justice’ to environmental organisations.</w:t>
      </w:r>
      <w:r w:rsidRPr="002033B3">
        <w:rPr>
          <w:rStyle w:val="FootnoteReference"/>
        </w:rPr>
        <w:footnoteReference w:id="74"/>
      </w:r>
    </w:p>
    <w:p w14:paraId="697079AA" w14:textId="77777777" w:rsidR="00830B82" w:rsidRPr="002033B3" w:rsidRDefault="00830B82" w:rsidP="002033B3">
      <w:pPr>
        <w:pStyle w:val="ListParagraph"/>
        <w:numPr>
          <w:ilvl w:val="0"/>
          <w:numId w:val="0"/>
        </w:numPr>
        <w:spacing w:line="276" w:lineRule="auto"/>
        <w:ind w:left="720"/>
      </w:pPr>
      <w:r w:rsidRPr="002033B3">
        <w:t xml:space="preserve"> </w:t>
      </w:r>
    </w:p>
    <w:p w14:paraId="00908F74" w14:textId="3A6A318D" w:rsidR="00681363" w:rsidRPr="002033B3" w:rsidRDefault="009E55F2" w:rsidP="002033B3">
      <w:pPr>
        <w:pStyle w:val="ListParagraph"/>
        <w:spacing w:line="276" w:lineRule="auto"/>
      </w:pPr>
      <w:r w:rsidRPr="002033B3">
        <w:t xml:space="preserve">The CJEU </w:t>
      </w:r>
      <w:r w:rsidR="00BB4392" w:rsidRPr="002033B3">
        <w:t xml:space="preserve">considered both procedural and substantive rights </w:t>
      </w:r>
      <w:r w:rsidRPr="002033B3">
        <w:t>in</w:t>
      </w:r>
      <w:r w:rsidRPr="002033B3">
        <w:rPr>
          <w:i/>
          <w:iCs/>
        </w:rPr>
        <w:t xml:space="preserve"> </w:t>
      </w:r>
      <w:proofErr w:type="spellStart"/>
      <w:r w:rsidRPr="002033B3">
        <w:rPr>
          <w:i/>
          <w:iCs/>
        </w:rPr>
        <w:t>Craeynest</w:t>
      </w:r>
      <w:proofErr w:type="spellEnd"/>
      <w:r w:rsidRPr="002033B3">
        <w:rPr>
          <w:rStyle w:val="FootnoteReference"/>
          <w:i/>
          <w:iCs/>
        </w:rPr>
        <w:footnoteReference w:id="75"/>
      </w:r>
      <w:r w:rsidRPr="002033B3">
        <w:t>, a case centred around air pollution concerns in Brussels</w:t>
      </w:r>
      <w:r w:rsidR="002625AA" w:rsidRPr="002033B3">
        <w:t xml:space="preserve">, </w:t>
      </w:r>
      <w:r w:rsidRPr="002033B3">
        <w:t>ma</w:t>
      </w:r>
      <w:r w:rsidR="002F788F" w:rsidRPr="002033B3">
        <w:t>king</w:t>
      </w:r>
      <w:r w:rsidRPr="002033B3">
        <w:t xml:space="preserve"> an explicit connection between </w:t>
      </w:r>
      <w:r w:rsidR="0014693E" w:rsidRPr="002033B3">
        <w:t>the requirement to maintain certain levels of air purity</w:t>
      </w:r>
      <w:r w:rsidR="0026554C" w:rsidRPr="002033B3">
        <w:t xml:space="preserve"> with</w:t>
      </w:r>
      <w:r w:rsidR="0014693E" w:rsidRPr="002033B3">
        <w:t xml:space="preserve"> the </w:t>
      </w:r>
      <w:r w:rsidRPr="002033B3">
        <w:t>sampling points used to measure air</w:t>
      </w:r>
      <w:r w:rsidR="00874DC8" w:rsidRPr="002033B3">
        <w:t xml:space="preserve"> pollution</w:t>
      </w:r>
      <w:r w:rsidRPr="002033B3">
        <w:t>, the protection of the environment and the right to health.</w:t>
      </w:r>
      <w:r w:rsidRPr="002033B3">
        <w:rPr>
          <w:rStyle w:val="FootnoteReference"/>
        </w:rPr>
        <w:footnoteReference w:id="76"/>
      </w:r>
    </w:p>
    <w:p w14:paraId="44DBFE47" w14:textId="77777777" w:rsidR="00681363" w:rsidRPr="002033B3" w:rsidRDefault="00681363" w:rsidP="002033B3">
      <w:pPr>
        <w:pStyle w:val="ListParagraph"/>
        <w:numPr>
          <w:ilvl w:val="0"/>
          <w:numId w:val="0"/>
        </w:numPr>
        <w:spacing w:line="276" w:lineRule="auto"/>
        <w:ind w:left="720"/>
      </w:pPr>
    </w:p>
    <w:p w14:paraId="5A831816" w14:textId="4984594D" w:rsidR="00536AFD" w:rsidRPr="002033B3" w:rsidRDefault="009E55F2" w:rsidP="002033B3">
      <w:pPr>
        <w:pStyle w:val="ListParagraph"/>
        <w:spacing w:line="276" w:lineRule="auto"/>
      </w:pPr>
      <w:r w:rsidRPr="002033B3">
        <w:t>The EU Ambient Air Directive</w:t>
      </w:r>
      <w:r w:rsidR="00681363" w:rsidRPr="002033B3">
        <w:rPr>
          <w:rStyle w:val="FootnoteReference"/>
        </w:rPr>
        <w:footnoteReference w:id="77"/>
      </w:r>
      <w:r w:rsidRPr="002033B3">
        <w:t xml:space="preserve"> </w:t>
      </w:r>
      <w:r w:rsidR="0020178E" w:rsidRPr="002033B3">
        <w:t>includes the protection of human health among its objectives</w:t>
      </w:r>
      <w:r w:rsidR="001571E8" w:rsidRPr="002033B3">
        <w:rPr>
          <w:rStyle w:val="FootnoteReference"/>
        </w:rPr>
        <w:footnoteReference w:id="78"/>
      </w:r>
      <w:r w:rsidR="0020178E" w:rsidRPr="002033B3">
        <w:t xml:space="preserve"> and </w:t>
      </w:r>
      <w:r w:rsidRPr="002033B3">
        <w:t xml:space="preserve">lays down rules for the assessment of air quality that should be followed according to common assessment criteria. </w:t>
      </w:r>
      <w:r w:rsidR="00E77BFD" w:rsidRPr="002033B3">
        <w:t>Article</w:t>
      </w:r>
      <w:r w:rsidR="00B173DF" w:rsidRPr="002033B3">
        <w:t>s</w:t>
      </w:r>
      <w:r w:rsidR="00E77BFD" w:rsidRPr="002033B3">
        <w:t xml:space="preserve"> 7</w:t>
      </w:r>
      <w:r w:rsidR="00B173DF" w:rsidRPr="002033B3">
        <w:t>-10</w:t>
      </w:r>
      <w:r w:rsidR="00E77BFD" w:rsidRPr="002033B3">
        <w:t xml:space="preserve"> </w:t>
      </w:r>
      <w:r w:rsidR="009A3487" w:rsidRPr="002033B3">
        <w:t>la</w:t>
      </w:r>
      <w:r w:rsidR="00B173DF" w:rsidRPr="002033B3">
        <w:t>y</w:t>
      </w:r>
      <w:r w:rsidR="009A3487" w:rsidRPr="002033B3">
        <w:t xml:space="preserve"> down rules for sampling p</w:t>
      </w:r>
      <w:r w:rsidR="001E15A0" w:rsidRPr="002033B3">
        <w:t>o</w:t>
      </w:r>
      <w:r w:rsidR="009A3487" w:rsidRPr="002033B3">
        <w:t>ints to be u</w:t>
      </w:r>
      <w:r w:rsidR="001E15A0" w:rsidRPr="002033B3">
        <w:t>s</w:t>
      </w:r>
      <w:r w:rsidR="009A3487" w:rsidRPr="002033B3">
        <w:t>ed to measure air quality and Article</w:t>
      </w:r>
      <w:r w:rsidR="00B173DF" w:rsidRPr="002033B3">
        <w:t xml:space="preserve"> 23 </w:t>
      </w:r>
      <w:r w:rsidR="00536AFD" w:rsidRPr="002033B3">
        <w:t>requires</w:t>
      </w:r>
      <w:r w:rsidR="00B173DF" w:rsidRPr="002033B3">
        <w:t xml:space="preserve"> Member States to develop air quality plans when levels of air pollution </w:t>
      </w:r>
      <w:r w:rsidR="00536AFD" w:rsidRPr="002033B3">
        <w:t>exceed the limits set by the directive.</w:t>
      </w:r>
    </w:p>
    <w:p w14:paraId="723FF1D6" w14:textId="77777777" w:rsidR="00536AFD" w:rsidRPr="002033B3" w:rsidRDefault="00536AFD" w:rsidP="002033B3">
      <w:pPr>
        <w:pStyle w:val="ListParagraph"/>
        <w:numPr>
          <w:ilvl w:val="0"/>
          <w:numId w:val="0"/>
        </w:numPr>
        <w:spacing w:line="276" w:lineRule="auto"/>
        <w:ind w:left="720"/>
      </w:pPr>
    </w:p>
    <w:p w14:paraId="2CCF5D6B" w14:textId="59D7B926" w:rsidR="009E55F2" w:rsidRPr="002033B3" w:rsidRDefault="009E55F2" w:rsidP="002033B3">
      <w:pPr>
        <w:pStyle w:val="ListParagraph"/>
        <w:spacing w:line="276" w:lineRule="auto"/>
      </w:pPr>
      <w:r w:rsidRPr="002033B3">
        <w:t xml:space="preserve">The </w:t>
      </w:r>
      <w:r w:rsidR="44AA0BA5" w:rsidRPr="002033B3">
        <w:t>A</w:t>
      </w:r>
      <w:r w:rsidRPr="002033B3">
        <w:t xml:space="preserve">pplicants in </w:t>
      </w:r>
      <w:r w:rsidR="2A2FAD19" w:rsidRPr="002033B3">
        <w:t xml:space="preserve">that </w:t>
      </w:r>
      <w:r w:rsidRPr="002033B3">
        <w:t xml:space="preserve">case </w:t>
      </w:r>
      <w:r w:rsidR="0AF4D321" w:rsidRPr="002033B3">
        <w:t xml:space="preserve">contended </w:t>
      </w:r>
      <w:r w:rsidRPr="002033B3">
        <w:t xml:space="preserve">that requirements </w:t>
      </w:r>
      <w:r w:rsidR="579384EF" w:rsidRPr="002033B3">
        <w:t>of</w:t>
      </w:r>
      <w:r w:rsidRPr="002033B3">
        <w:t xml:space="preserve"> the </w:t>
      </w:r>
      <w:r w:rsidRPr="002033B3" w:rsidDel="0014645D">
        <w:t>D</w:t>
      </w:r>
      <w:r w:rsidRPr="002033B3">
        <w:t xml:space="preserve">irective were not complied with by the relevant </w:t>
      </w:r>
      <w:r w:rsidR="001E6566" w:rsidRPr="002033B3">
        <w:t xml:space="preserve">local </w:t>
      </w:r>
      <w:r w:rsidRPr="002033B3">
        <w:t xml:space="preserve">authorities in Brussels and challenged the location of the sampling points used to measure the quality of the air. </w:t>
      </w:r>
      <w:bookmarkEnd w:id="30"/>
      <w:r w:rsidRPr="002033B3">
        <w:t>The CJEU</w:t>
      </w:r>
      <w:r w:rsidR="00194EBC" w:rsidRPr="002033B3">
        <w:t xml:space="preserve"> </w:t>
      </w:r>
      <w:r w:rsidRPr="002033B3">
        <w:t>concluded that</w:t>
      </w:r>
      <w:r w:rsidR="00F75A12" w:rsidRPr="002033B3">
        <w:t xml:space="preserve">, </w:t>
      </w:r>
      <w:r w:rsidR="000A2452" w:rsidRPr="002033B3">
        <w:t xml:space="preserve">in </w:t>
      </w:r>
      <w:r w:rsidR="00F75A12" w:rsidRPr="002033B3">
        <w:t>stemming from EU treat</w:t>
      </w:r>
      <w:r w:rsidR="000A2452" w:rsidRPr="002033B3">
        <w:t>y provisions</w:t>
      </w:r>
      <w:r w:rsidR="000D6829" w:rsidRPr="002033B3">
        <w:t>:</w:t>
      </w:r>
      <w:r w:rsidRPr="002033B3">
        <w:t xml:space="preserve"> </w:t>
      </w:r>
    </w:p>
    <w:p w14:paraId="2A3FAC29" w14:textId="77777777" w:rsidR="009E55F2" w:rsidRPr="002033B3" w:rsidRDefault="009E55F2" w:rsidP="002033B3">
      <w:pPr>
        <w:pStyle w:val="ListParagraph"/>
        <w:numPr>
          <w:ilvl w:val="0"/>
          <w:numId w:val="0"/>
        </w:numPr>
        <w:spacing w:line="276" w:lineRule="auto"/>
        <w:ind w:left="720"/>
      </w:pPr>
    </w:p>
    <w:p w14:paraId="67BC7603" w14:textId="11A810FC" w:rsidR="009E55F2" w:rsidRPr="002033B3" w:rsidRDefault="009E55F2" w:rsidP="002033B3">
      <w:pPr>
        <w:pStyle w:val="Quote"/>
        <w:spacing w:line="276" w:lineRule="auto"/>
        <w:ind w:left="1440"/>
      </w:pPr>
      <w:r w:rsidRPr="002033B3">
        <w:lastRenderedPageBreak/>
        <w:t>the rules laid down in Directive 2008/50 on ambient air quality put into concrete terms the EU’s obligations concerning environmental protection and the protection of public health.</w:t>
      </w:r>
      <w:r w:rsidRPr="002033B3">
        <w:rPr>
          <w:rStyle w:val="FootnoteReference"/>
        </w:rPr>
        <w:footnoteReference w:id="79"/>
      </w:r>
      <w:r w:rsidRPr="002033B3">
        <w:t xml:space="preserve">  </w:t>
      </w:r>
    </w:p>
    <w:p w14:paraId="4408381E" w14:textId="77777777" w:rsidR="009E55F2" w:rsidRPr="002033B3" w:rsidRDefault="009E55F2" w:rsidP="002033B3">
      <w:pPr>
        <w:pStyle w:val="ListParagraph"/>
        <w:numPr>
          <w:ilvl w:val="0"/>
          <w:numId w:val="0"/>
        </w:numPr>
        <w:spacing w:line="276" w:lineRule="auto"/>
        <w:ind w:left="720"/>
      </w:pPr>
    </w:p>
    <w:p w14:paraId="0A5DA760" w14:textId="78E6A162" w:rsidR="009E55F2" w:rsidRPr="002033B3" w:rsidRDefault="009E55F2" w:rsidP="002033B3">
      <w:pPr>
        <w:pStyle w:val="ListParagraph"/>
        <w:spacing w:line="276" w:lineRule="auto"/>
      </w:pPr>
      <w:r w:rsidRPr="002033B3">
        <w:t>The Court concluded that some of the provisions of the Ambient Air Directive met the criteria for direct effect and as such individuals can invoke them before a court.</w:t>
      </w:r>
      <w:r w:rsidRPr="002033B3">
        <w:rPr>
          <w:rStyle w:val="FootnoteReference"/>
        </w:rPr>
        <w:footnoteReference w:id="80"/>
      </w:r>
      <w:r w:rsidRPr="002033B3">
        <w:t xml:space="preserve"> In particular, the Court </w:t>
      </w:r>
      <w:r w:rsidR="004E6927" w:rsidRPr="002033B3">
        <w:t>acknowledged the location</w:t>
      </w:r>
      <w:r w:rsidR="000F7735" w:rsidRPr="002033B3">
        <w:t xml:space="preserve"> of</w:t>
      </w:r>
      <w:r w:rsidRPr="002033B3">
        <w:t xml:space="preserve"> sampling points</w:t>
      </w:r>
      <w:r w:rsidR="000F7735" w:rsidRPr="002033B3">
        <w:t xml:space="preserve"> </w:t>
      </w:r>
      <w:r w:rsidR="00282C6E" w:rsidRPr="002033B3">
        <w:t xml:space="preserve">as </w:t>
      </w:r>
      <w:r w:rsidR="000F7735" w:rsidRPr="002033B3">
        <w:t>central to the air quality assessment and improvement system</w:t>
      </w:r>
      <w:r w:rsidRPr="002033B3">
        <w:t>.</w:t>
      </w:r>
      <w:r w:rsidRPr="002033B3">
        <w:rPr>
          <w:rStyle w:val="FootnoteReference"/>
        </w:rPr>
        <w:footnoteReference w:id="81"/>
      </w:r>
      <w:r w:rsidRPr="002033B3">
        <w:t xml:space="preserve">  Although Member States enjoy some discretionary powers regarding the locations, the discretion is limited by the purpose and objectives pursued by the relevant rules.</w:t>
      </w:r>
      <w:r w:rsidRPr="002033B3">
        <w:rPr>
          <w:rStyle w:val="FootnoteReference"/>
        </w:rPr>
        <w:footnoteReference w:id="82"/>
      </w:r>
      <w:r w:rsidRPr="002033B3">
        <w:t xml:space="preserve"> </w:t>
      </w:r>
      <w:r w:rsidR="00150203" w:rsidRPr="002033B3">
        <w:t xml:space="preserve">The court referenced the </w:t>
      </w:r>
      <w:r w:rsidR="007450F8" w:rsidRPr="002033B3">
        <w:t xml:space="preserve">right to an effective remedy under Article 47 of the EU Charter and </w:t>
      </w:r>
      <w:r w:rsidR="00735E7B" w:rsidRPr="002033B3">
        <w:t xml:space="preserve">the role of </w:t>
      </w:r>
      <w:r w:rsidRPr="002033B3">
        <w:t xml:space="preserve">national courts and tribunals </w:t>
      </w:r>
      <w:r w:rsidR="00735E7B" w:rsidRPr="002033B3">
        <w:t xml:space="preserve">in </w:t>
      </w:r>
      <w:r w:rsidR="00B20FE3" w:rsidRPr="002033B3">
        <w:t>“</w:t>
      </w:r>
      <w:r w:rsidR="00430AA6" w:rsidRPr="002033B3">
        <w:t>safeguard</w:t>
      </w:r>
      <w:r w:rsidR="00B20FE3" w:rsidRPr="002033B3">
        <w:t>ing</w:t>
      </w:r>
      <w:r w:rsidR="00430AA6" w:rsidRPr="002033B3">
        <w:t xml:space="preserve"> </w:t>
      </w:r>
      <w:r w:rsidR="004532D9" w:rsidRPr="002033B3">
        <w:t xml:space="preserve">rights </w:t>
      </w:r>
      <w:r w:rsidR="00BB5C32" w:rsidRPr="002033B3">
        <w:t xml:space="preserve">which </w:t>
      </w:r>
      <w:r w:rsidRPr="002033B3">
        <w:t>individuals derive from EU law</w:t>
      </w:r>
      <w:r w:rsidR="00513AD5" w:rsidRPr="002033B3">
        <w:t xml:space="preserve"> such as Directive 2008/50</w:t>
      </w:r>
      <w:r w:rsidRPr="002033B3">
        <w:t>.</w:t>
      </w:r>
      <w:r w:rsidR="00BB5C32" w:rsidRPr="002033B3">
        <w:t>”</w:t>
      </w:r>
      <w:r w:rsidRPr="002033B3">
        <w:rPr>
          <w:rStyle w:val="FootnoteReference"/>
        </w:rPr>
        <w:footnoteReference w:id="83"/>
      </w:r>
    </w:p>
    <w:p w14:paraId="45EAC47F" w14:textId="77777777" w:rsidR="009E55F2" w:rsidRPr="002033B3" w:rsidRDefault="009E55F2" w:rsidP="002033B3">
      <w:pPr>
        <w:spacing w:line="276" w:lineRule="auto"/>
      </w:pPr>
    </w:p>
    <w:p w14:paraId="4264E65B" w14:textId="023D880C" w:rsidR="007D35A6" w:rsidRPr="002033B3" w:rsidRDefault="009E55F2" w:rsidP="002033B3">
      <w:pPr>
        <w:pStyle w:val="ListParagraph"/>
        <w:spacing w:line="276" w:lineRule="auto"/>
      </w:pPr>
      <w:r w:rsidRPr="002033B3">
        <w:t xml:space="preserve">The CJEU </w:t>
      </w:r>
      <w:r w:rsidR="45F85C8F" w:rsidRPr="002033B3">
        <w:t xml:space="preserve">held </w:t>
      </w:r>
      <w:r w:rsidR="007D0A40" w:rsidRPr="002033B3">
        <w:t xml:space="preserve">that individuals </w:t>
      </w:r>
      <w:r w:rsidR="4D9EE727" w:rsidRPr="002033B3">
        <w:t xml:space="preserve">must </w:t>
      </w:r>
      <w:r w:rsidR="007D0A40" w:rsidRPr="002033B3">
        <w:t xml:space="preserve">be able to rely on the provisions in </w:t>
      </w:r>
      <w:r w:rsidR="00214C5E" w:rsidRPr="002033B3">
        <w:t>EU d</w:t>
      </w:r>
      <w:r w:rsidR="007D0A40" w:rsidRPr="002033B3">
        <w:t xml:space="preserve">irectives directly before national Courts </w:t>
      </w:r>
      <w:r w:rsidR="008F29DC" w:rsidRPr="002033B3">
        <w:t>i</w:t>
      </w:r>
      <w:r w:rsidRPr="002033B3">
        <w:t xml:space="preserve">n </w:t>
      </w:r>
      <w:r w:rsidRPr="002033B3">
        <w:rPr>
          <w:i/>
          <w:iCs/>
        </w:rPr>
        <w:t>Janecek</w:t>
      </w:r>
      <w:r w:rsidRPr="002033B3">
        <w:rPr>
          <w:rStyle w:val="FootnoteReference"/>
          <w:i/>
          <w:iCs/>
        </w:rPr>
        <w:footnoteReference w:id="84"/>
      </w:r>
      <w:r w:rsidRPr="002033B3">
        <w:t xml:space="preserve"> and </w:t>
      </w:r>
      <w:r w:rsidRPr="002033B3">
        <w:rPr>
          <w:i/>
          <w:iCs/>
        </w:rPr>
        <w:t>ClientEarth</w:t>
      </w:r>
      <w:r w:rsidRPr="002033B3">
        <w:rPr>
          <w:rStyle w:val="FootnoteReference"/>
          <w:i/>
          <w:iCs/>
        </w:rPr>
        <w:footnoteReference w:id="85"/>
      </w:r>
      <w:r w:rsidR="00214C5E" w:rsidRPr="002033B3">
        <w:t xml:space="preserve"> </w:t>
      </w:r>
      <w:r w:rsidR="00016606">
        <w:t>where those provisions</w:t>
      </w:r>
      <w:r w:rsidR="00016606" w:rsidRPr="002033B3">
        <w:t xml:space="preserve"> </w:t>
      </w:r>
      <w:r w:rsidR="00214C5E" w:rsidRPr="002033B3">
        <w:t xml:space="preserve">meet the criteria for </w:t>
      </w:r>
      <w:r w:rsidR="00117C17" w:rsidRPr="002033B3">
        <w:t xml:space="preserve">direct </w:t>
      </w:r>
      <w:r w:rsidR="00214C5E" w:rsidRPr="002033B3">
        <w:t>effect (</w:t>
      </w:r>
      <w:r w:rsidR="00CB7329" w:rsidRPr="002033B3">
        <w:t xml:space="preserve">sufficiently </w:t>
      </w:r>
      <w:r w:rsidR="00214C5E" w:rsidRPr="002033B3">
        <w:t>clear, precise and unconditional)</w:t>
      </w:r>
      <w:r w:rsidR="007D0A40" w:rsidRPr="002033B3">
        <w:t>.</w:t>
      </w:r>
      <w:r w:rsidR="00C93760" w:rsidRPr="002033B3">
        <w:t xml:space="preserve"> </w:t>
      </w:r>
    </w:p>
    <w:p w14:paraId="131C9A3C" w14:textId="77777777" w:rsidR="0054431A" w:rsidRPr="002033B3" w:rsidRDefault="0054431A" w:rsidP="002033B3">
      <w:pPr>
        <w:pStyle w:val="ListParagraph"/>
        <w:numPr>
          <w:ilvl w:val="0"/>
          <w:numId w:val="0"/>
        </w:numPr>
        <w:spacing w:line="276" w:lineRule="auto"/>
        <w:ind w:left="720"/>
      </w:pPr>
    </w:p>
    <w:p w14:paraId="49D37A2A" w14:textId="076C7889" w:rsidR="00AC0F6E" w:rsidRPr="002033B3" w:rsidRDefault="00AC0F6E" w:rsidP="002033B3">
      <w:pPr>
        <w:pStyle w:val="ListParagraph"/>
        <w:spacing w:line="276" w:lineRule="auto"/>
      </w:pPr>
      <w:r w:rsidRPr="002033B3">
        <w:t>Th</w:t>
      </w:r>
      <w:r w:rsidR="00B36A0E" w:rsidRPr="002033B3">
        <w:t>ese</w:t>
      </w:r>
      <w:r w:rsidRPr="002033B3">
        <w:t xml:space="preserve"> case</w:t>
      </w:r>
      <w:r w:rsidR="00B36A0E" w:rsidRPr="002033B3">
        <w:t>s</w:t>
      </w:r>
      <w:r w:rsidRPr="002033B3">
        <w:t xml:space="preserve"> </w:t>
      </w:r>
      <w:r w:rsidR="00B36A0E" w:rsidRPr="002033B3">
        <w:t>are</w:t>
      </w:r>
      <w:r w:rsidRPr="002033B3">
        <w:t xml:space="preserve"> significant because </w:t>
      </w:r>
      <w:r w:rsidR="00B36A0E" w:rsidRPr="002033B3">
        <w:t xml:space="preserve">they </w:t>
      </w:r>
      <w:r w:rsidRPr="002033B3">
        <w:t xml:space="preserve">demonstrate how the CJEU positions environmental rights, such as the Aarhus rights, but also those procedural rights found in the EU environmental directives, not outside of or separate from the EU fundamental rights framework but </w:t>
      </w:r>
      <w:r w:rsidR="48F1AFC3" w:rsidRPr="002033B3">
        <w:t>within the</w:t>
      </w:r>
      <w:r w:rsidRPr="002033B3">
        <w:t xml:space="preserve"> rights framework and the overall EU legal order. In other cases, such as </w:t>
      </w:r>
      <w:proofErr w:type="spellStart"/>
      <w:r w:rsidRPr="002033B3">
        <w:rPr>
          <w:i/>
          <w:iCs/>
        </w:rPr>
        <w:t>Crayenest</w:t>
      </w:r>
      <w:proofErr w:type="spellEnd"/>
      <w:r w:rsidRPr="002033B3">
        <w:t>,</w:t>
      </w:r>
      <w:r w:rsidRPr="002033B3">
        <w:rPr>
          <w:rStyle w:val="FootnoteReference"/>
        </w:rPr>
        <w:footnoteReference w:id="86"/>
      </w:r>
      <w:r w:rsidRPr="002033B3">
        <w:t xml:space="preserve"> </w:t>
      </w:r>
      <w:proofErr w:type="spellStart"/>
      <w:r w:rsidRPr="002033B3">
        <w:rPr>
          <w:i/>
          <w:iCs/>
        </w:rPr>
        <w:t>Wasserlitungsverband</w:t>
      </w:r>
      <w:proofErr w:type="spellEnd"/>
      <w:r w:rsidRPr="002033B3">
        <w:t>,</w:t>
      </w:r>
      <w:r w:rsidRPr="002033B3">
        <w:rPr>
          <w:rStyle w:val="FootnoteReference"/>
        </w:rPr>
        <w:footnoteReference w:id="87"/>
      </w:r>
      <w:r w:rsidRPr="002033B3">
        <w:t xml:space="preserve"> </w:t>
      </w:r>
      <w:proofErr w:type="spellStart"/>
      <w:r w:rsidRPr="002033B3">
        <w:rPr>
          <w:i/>
          <w:iCs/>
        </w:rPr>
        <w:t>Kraaijeved</w:t>
      </w:r>
      <w:proofErr w:type="spellEnd"/>
      <w:r w:rsidRPr="002033B3">
        <w:t>,</w:t>
      </w:r>
      <w:r w:rsidRPr="002033B3">
        <w:rPr>
          <w:rStyle w:val="FootnoteReference"/>
        </w:rPr>
        <w:footnoteReference w:id="88"/>
      </w:r>
      <w:r w:rsidRPr="002033B3">
        <w:t xml:space="preserve"> </w:t>
      </w:r>
      <w:r w:rsidRPr="002033B3">
        <w:rPr>
          <w:i/>
          <w:iCs/>
        </w:rPr>
        <w:t>Janecek</w:t>
      </w:r>
      <w:r w:rsidRPr="002033B3">
        <w:rPr>
          <w:rStyle w:val="FootnoteReference"/>
          <w:i/>
          <w:iCs/>
        </w:rPr>
        <w:footnoteReference w:id="89"/>
      </w:r>
      <w:r w:rsidRPr="002033B3">
        <w:t xml:space="preserve"> and others, the CJEU </w:t>
      </w:r>
      <w:r w:rsidR="4000387C" w:rsidRPr="002033B3">
        <w:t>held</w:t>
      </w:r>
      <w:r w:rsidRPr="002033B3">
        <w:t xml:space="preserve"> that some of the provisions of EU directives like the EU Habitats Directive, the EU Water Framework Directive</w:t>
      </w:r>
      <w:r w:rsidRPr="002033B3">
        <w:rPr>
          <w:rStyle w:val="FootnoteReference"/>
        </w:rPr>
        <w:footnoteReference w:id="90"/>
      </w:r>
      <w:r w:rsidRPr="002033B3">
        <w:t>, the EU Nitrates Directive,</w:t>
      </w:r>
      <w:r w:rsidRPr="002033B3">
        <w:rPr>
          <w:rStyle w:val="FootnoteReference"/>
        </w:rPr>
        <w:footnoteReference w:id="91"/>
      </w:r>
      <w:r w:rsidRPr="002033B3">
        <w:t xml:space="preserve"> and other environmental directives, are </w:t>
      </w:r>
      <w:r w:rsidR="00816079" w:rsidRPr="002033B3">
        <w:t xml:space="preserve">directly effective </w:t>
      </w:r>
      <w:r w:rsidRPr="002033B3">
        <w:t xml:space="preserve">and therefore can be relied upon by individuals and NGOs when pursuing their </w:t>
      </w:r>
      <w:r w:rsidRPr="002033B3">
        <w:lastRenderedPageBreak/>
        <w:t xml:space="preserve">procedural environmental rights. Cases like </w:t>
      </w:r>
      <w:r w:rsidRPr="002033B3">
        <w:rPr>
          <w:i/>
          <w:iCs/>
        </w:rPr>
        <w:t xml:space="preserve">Protect </w:t>
      </w:r>
      <w:proofErr w:type="spellStart"/>
      <w:r w:rsidRPr="002033B3">
        <w:rPr>
          <w:i/>
          <w:iCs/>
        </w:rPr>
        <w:t>Natur</w:t>
      </w:r>
      <w:proofErr w:type="spellEnd"/>
      <w:r w:rsidRPr="002033B3">
        <w:rPr>
          <w:rStyle w:val="FootnoteReference"/>
          <w:i/>
          <w:iCs/>
        </w:rPr>
        <w:footnoteReference w:id="92"/>
      </w:r>
      <w:r w:rsidRPr="002033B3">
        <w:t xml:space="preserve"> further demonstrate the link with Article 47 of the EU Charter of Fundamental Rights</w:t>
      </w:r>
      <w:r w:rsidR="009A1203" w:rsidRPr="002033B3">
        <w:t>,</w:t>
      </w:r>
      <w:r w:rsidRPr="002033B3">
        <w:t xml:space="preserve"> strengthening the ability of NGOs to challenge projects seen to be damaging the environment. Cases like </w:t>
      </w:r>
      <w:proofErr w:type="gramStart"/>
      <w:r w:rsidRPr="002033B3">
        <w:rPr>
          <w:i/>
          <w:iCs/>
        </w:rPr>
        <w:t>North East</w:t>
      </w:r>
      <w:proofErr w:type="gramEnd"/>
      <w:r w:rsidRPr="002033B3">
        <w:rPr>
          <w:i/>
          <w:iCs/>
        </w:rPr>
        <w:t xml:space="preserve"> Pylon</w:t>
      </w:r>
      <w:r w:rsidRPr="002033B3">
        <w:rPr>
          <w:rStyle w:val="FootnoteReference"/>
          <w:i/>
          <w:iCs/>
        </w:rPr>
        <w:footnoteReference w:id="93"/>
      </w:r>
      <w:r w:rsidRPr="002033B3">
        <w:t xml:space="preserve"> </w:t>
      </w:r>
      <w:r w:rsidR="00076A86" w:rsidRPr="002033B3">
        <w:t xml:space="preserve">further </w:t>
      </w:r>
      <w:r w:rsidRPr="002033B3">
        <w:t xml:space="preserve">protect </w:t>
      </w:r>
      <w:r w:rsidR="00076A86" w:rsidRPr="002033B3">
        <w:t xml:space="preserve">the procedural environmental right to seeking judicial review </w:t>
      </w:r>
      <w:r w:rsidRPr="002033B3">
        <w:t xml:space="preserve">from </w:t>
      </w:r>
      <w:r w:rsidR="00076A86" w:rsidRPr="002033B3">
        <w:t xml:space="preserve">prohibitive </w:t>
      </w:r>
      <w:r w:rsidRPr="002033B3">
        <w:t>legals costs</w:t>
      </w:r>
      <w:r w:rsidR="00076A86" w:rsidRPr="002033B3">
        <w:t>.</w:t>
      </w:r>
    </w:p>
    <w:p w14:paraId="65D0F2F5" w14:textId="77777777" w:rsidR="009E55F2" w:rsidRPr="002033B3" w:rsidRDefault="009E55F2" w:rsidP="002033B3">
      <w:pPr>
        <w:pStyle w:val="ListParagraph"/>
        <w:numPr>
          <w:ilvl w:val="0"/>
          <w:numId w:val="0"/>
        </w:numPr>
        <w:spacing w:line="276" w:lineRule="auto"/>
        <w:ind w:left="720"/>
      </w:pPr>
    </w:p>
    <w:p w14:paraId="1B576A59" w14:textId="0652E5E0" w:rsidR="009E55F2" w:rsidRPr="002033B3" w:rsidRDefault="009E55F2" w:rsidP="002033B3">
      <w:pPr>
        <w:pStyle w:val="ListParagraph"/>
        <w:spacing w:line="276" w:lineRule="auto"/>
      </w:pPr>
      <w:r w:rsidRPr="002033B3">
        <w:t xml:space="preserve">In summary, </w:t>
      </w:r>
      <w:r w:rsidR="2AB2BF1D" w:rsidRPr="002033B3">
        <w:t xml:space="preserve">the above </w:t>
      </w:r>
      <w:r w:rsidRPr="002033B3">
        <w:t xml:space="preserve">informs our </w:t>
      </w:r>
      <w:r w:rsidR="1B6A0AC8" w:rsidRPr="002033B3">
        <w:t xml:space="preserve">analysis </w:t>
      </w:r>
      <w:r w:rsidR="00BB08C8" w:rsidRPr="002033B3">
        <w:t>that EU</w:t>
      </w:r>
      <w:r w:rsidRPr="002033B3">
        <w:t xml:space="preserve"> environmental </w:t>
      </w:r>
      <w:r w:rsidR="002C6F45" w:rsidRPr="002033B3">
        <w:t xml:space="preserve">law </w:t>
      </w:r>
      <w:r w:rsidRPr="002033B3">
        <w:t>form</w:t>
      </w:r>
      <w:r w:rsidR="002C6F45" w:rsidRPr="002033B3">
        <w:t>s</w:t>
      </w:r>
      <w:r w:rsidRPr="002033B3">
        <w:t xml:space="preserve"> part of the EU’s fundamental rights framework and therefore the standards and procedures laid in the relevant EU directives engage the non-diminution commitment in W</w:t>
      </w:r>
      <w:r w:rsidR="0014560F" w:rsidRPr="002033B3">
        <w:t xml:space="preserve">indsor </w:t>
      </w:r>
      <w:r w:rsidRPr="002033B3">
        <w:t>F</w:t>
      </w:r>
      <w:r w:rsidR="0014560F" w:rsidRPr="002033B3">
        <w:t xml:space="preserve">ramework </w:t>
      </w:r>
      <w:r w:rsidRPr="002033B3">
        <w:t>A</w:t>
      </w:r>
      <w:r w:rsidR="0014560F" w:rsidRPr="002033B3">
        <w:t xml:space="preserve">rticle </w:t>
      </w:r>
      <w:r w:rsidRPr="002033B3">
        <w:t xml:space="preserve">2. </w:t>
      </w:r>
    </w:p>
    <w:p w14:paraId="3C55FCF9" w14:textId="77777777" w:rsidR="009A5C5E" w:rsidRPr="002033B3" w:rsidRDefault="009A5C5E" w:rsidP="002033B3">
      <w:pPr>
        <w:pStyle w:val="ListParagraph"/>
        <w:numPr>
          <w:ilvl w:val="0"/>
          <w:numId w:val="0"/>
        </w:numPr>
        <w:spacing w:line="276" w:lineRule="auto"/>
        <w:ind w:left="720"/>
      </w:pPr>
    </w:p>
    <w:p w14:paraId="4356F95C" w14:textId="30E5B02E" w:rsidR="001F757A" w:rsidRPr="002033B3" w:rsidRDefault="001F757A" w:rsidP="002033B3">
      <w:pPr>
        <w:pStyle w:val="ListParagraph"/>
        <w:spacing w:line="276" w:lineRule="auto"/>
        <w:rPr>
          <w:b/>
          <w:bCs/>
        </w:rPr>
      </w:pPr>
      <w:bookmarkStart w:id="31" w:name="_Hlk200380680"/>
      <w:r w:rsidRPr="002033B3">
        <w:rPr>
          <w:b/>
          <w:bCs/>
        </w:rPr>
        <w:t xml:space="preserve">The NIHRC advises that EU environmental law </w:t>
      </w:r>
      <w:r w:rsidR="00F36F3E" w:rsidRPr="002033B3">
        <w:rPr>
          <w:b/>
          <w:bCs/>
        </w:rPr>
        <w:t xml:space="preserve">that underpins </w:t>
      </w:r>
      <w:r w:rsidR="00750ED9" w:rsidRPr="002033B3">
        <w:rPr>
          <w:b/>
          <w:bCs/>
        </w:rPr>
        <w:t>commitments in the</w:t>
      </w:r>
      <w:r w:rsidR="00F36F3E" w:rsidRPr="002033B3">
        <w:rPr>
          <w:b/>
          <w:bCs/>
        </w:rPr>
        <w:t xml:space="preserve"> </w:t>
      </w:r>
      <w:r w:rsidR="004755AA" w:rsidRPr="002033B3">
        <w:rPr>
          <w:b/>
          <w:bCs/>
        </w:rPr>
        <w:t>R</w:t>
      </w:r>
      <w:r w:rsidR="004E1035" w:rsidRPr="002033B3">
        <w:rPr>
          <w:b/>
          <w:bCs/>
        </w:rPr>
        <w:t>ights</w:t>
      </w:r>
      <w:r w:rsidR="00750ED9" w:rsidRPr="002033B3">
        <w:rPr>
          <w:b/>
          <w:bCs/>
        </w:rPr>
        <w:t>,</w:t>
      </w:r>
      <w:r w:rsidR="004E1035" w:rsidRPr="002033B3">
        <w:rPr>
          <w:b/>
          <w:bCs/>
        </w:rPr>
        <w:t xml:space="preserve"> </w:t>
      </w:r>
      <w:r w:rsidR="004755AA" w:rsidRPr="002033B3">
        <w:rPr>
          <w:b/>
          <w:bCs/>
        </w:rPr>
        <w:t>S</w:t>
      </w:r>
      <w:r w:rsidR="004E1035" w:rsidRPr="002033B3">
        <w:rPr>
          <w:b/>
          <w:bCs/>
        </w:rPr>
        <w:t xml:space="preserve">afeguards and </w:t>
      </w:r>
      <w:r w:rsidR="004755AA" w:rsidRPr="002033B3">
        <w:rPr>
          <w:b/>
          <w:bCs/>
        </w:rPr>
        <w:t>E</w:t>
      </w:r>
      <w:r w:rsidR="004E1035" w:rsidRPr="002033B3">
        <w:rPr>
          <w:b/>
          <w:bCs/>
        </w:rPr>
        <w:t xml:space="preserve">quality of </w:t>
      </w:r>
      <w:r w:rsidR="004755AA" w:rsidRPr="002033B3">
        <w:rPr>
          <w:b/>
          <w:bCs/>
        </w:rPr>
        <w:t>O</w:t>
      </w:r>
      <w:r w:rsidR="004E1035" w:rsidRPr="002033B3">
        <w:rPr>
          <w:b/>
          <w:bCs/>
        </w:rPr>
        <w:t xml:space="preserve">pportunity </w:t>
      </w:r>
      <w:r w:rsidR="00525B80" w:rsidRPr="002033B3">
        <w:rPr>
          <w:b/>
          <w:bCs/>
        </w:rPr>
        <w:t xml:space="preserve">Chapter </w:t>
      </w:r>
      <w:r w:rsidR="00750ED9" w:rsidRPr="002033B3">
        <w:rPr>
          <w:b/>
          <w:bCs/>
        </w:rPr>
        <w:t>of the B</w:t>
      </w:r>
      <w:r w:rsidR="004755AA" w:rsidRPr="002033B3">
        <w:rPr>
          <w:b/>
          <w:bCs/>
        </w:rPr>
        <w:t>elfast (</w:t>
      </w:r>
      <w:r w:rsidR="00750ED9" w:rsidRPr="002033B3">
        <w:rPr>
          <w:b/>
          <w:bCs/>
        </w:rPr>
        <w:t>G</w:t>
      </w:r>
      <w:r w:rsidR="004755AA" w:rsidRPr="002033B3">
        <w:rPr>
          <w:b/>
          <w:bCs/>
        </w:rPr>
        <w:t xml:space="preserve">ood </w:t>
      </w:r>
      <w:r w:rsidR="00750ED9" w:rsidRPr="002033B3">
        <w:rPr>
          <w:b/>
          <w:bCs/>
        </w:rPr>
        <w:t>F</w:t>
      </w:r>
      <w:r w:rsidR="004755AA" w:rsidRPr="002033B3">
        <w:rPr>
          <w:b/>
          <w:bCs/>
        </w:rPr>
        <w:t xml:space="preserve">riday) </w:t>
      </w:r>
      <w:r w:rsidR="00750ED9" w:rsidRPr="002033B3">
        <w:rPr>
          <w:b/>
          <w:bCs/>
        </w:rPr>
        <w:t>A</w:t>
      </w:r>
      <w:r w:rsidR="004755AA" w:rsidRPr="002033B3">
        <w:rPr>
          <w:b/>
          <w:bCs/>
        </w:rPr>
        <w:t>greement</w:t>
      </w:r>
      <w:r w:rsidR="00750ED9" w:rsidRPr="002033B3">
        <w:rPr>
          <w:b/>
          <w:bCs/>
        </w:rPr>
        <w:t xml:space="preserve">, is </w:t>
      </w:r>
      <w:r w:rsidRPr="002033B3">
        <w:rPr>
          <w:b/>
          <w:bCs/>
        </w:rPr>
        <w:t>within the scope of W</w:t>
      </w:r>
      <w:r w:rsidR="004755AA" w:rsidRPr="002033B3">
        <w:rPr>
          <w:b/>
          <w:bCs/>
        </w:rPr>
        <w:t xml:space="preserve">indsor </w:t>
      </w:r>
      <w:r w:rsidRPr="002033B3">
        <w:rPr>
          <w:b/>
          <w:bCs/>
        </w:rPr>
        <w:t>F</w:t>
      </w:r>
      <w:r w:rsidR="004755AA" w:rsidRPr="002033B3">
        <w:rPr>
          <w:b/>
          <w:bCs/>
        </w:rPr>
        <w:t xml:space="preserve">ramework </w:t>
      </w:r>
      <w:r w:rsidRPr="002033B3">
        <w:rPr>
          <w:b/>
          <w:bCs/>
        </w:rPr>
        <w:t>A</w:t>
      </w:r>
      <w:r w:rsidR="004755AA" w:rsidRPr="002033B3">
        <w:rPr>
          <w:b/>
          <w:bCs/>
        </w:rPr>
        <w:t xml:space="preserve">rticle </w:t>
      </w:r>
      <w:r w:rsidRPr="002033B3">
        <w:rPr>
          <w:b/>
          <w:bCs/>
        </w:rPr>
        <w:t xml:space="preserve">2. </w:t>
      </w:r>
    </w:p>
    <w:p w14:paraId="7AA92093" w14:textId="77777777" w:rsidR="001F757A" w:rsidRPr="002033B3" w:rsidRDefault="001F757A" w:rsidP="002033B3">
      <w:pPr>
        <w:pStyle w:val="ListParagraph"/>
        <w:numPr>
          <w:ilvl w:val="0"/>
          <w:numId w:val="0"/>
        </w:numPr>
        <w:spacing w:line="276" w:lineRule="auto"/>
        <w:ind w:left="720"/>
        <w:rPr>
          <w:b/>
          <w:bCs/>
        </w:rPr>
      </w:pPr>
    </w:p>
    <w:p w14:paraId="000E36B9" w14:textId="2BB0825D" w:rsidR="009A5C5E" w:rsidRPr="002033B3" w:rsidRDefault="009A5C5E" w:rsidP="002033B3">
      <w:pPr>
        <w:pStyle w:val="ListParagraph"/>
        <w:spacing w:line="276" w:lineRule="auto"/>
        <w:rPr>
          <w:b/>
          <w:bCs/>
        </w:rPr>
      </w:pPr>
      <w:r w:rsidRPr="002033B3">
        <w:rPr>
          <w:b/>
          <w:bCs/>
        </w:rPr>
        <w:t xml:space="preserve">The NIHRC advises that rights found in the Aarhus Convention are an integral part of the EU legal order and </w:t>
      </w:r>
      <w:r w:rsidR="00E743F5" w:rsidRPr="002033B3">
        <w:rPr>
          <w:b/>
          <w:bCs/>
        </w:rPr>
        <w:t xml:space="preserve">must therefore be interpreted in line with </w:t>
      </w:r>
      <w:r w:rsidR="00A227A1" w:rsidRPr="002033B3">
        <w:rPr>
          <w:b/>
          <w:bCs/>
        </w:rPr>
        <w:t>the rights in</w:t>
      </w:r>
      <w:r w:rsidR="00857F7C" w:rsidRPr="002033B3">
        <w:rPr>
          <w:b/>
          <w:bCs/>
        </w:rPr>
        <w:t xml:space="preserve"> the</w:t>
      </w:r>
      <w:r w:rsidR="00A227A1" w:rsidRPr="002033B3">
        <w:rPr>
          <w:b/>
          <w:bCs/>
        </w:rPr>
        <w:t xml:space="preserve"> </w:t>
      </w:r>
      <w:r w:rsidRPr="002033B3">
        <w:rPr>
          <w:b/>
          <w:bCs/>
        </w:rPr>
        <w:t>EU Charter of Fundamental</w:t>
      </w:r>
      <w:r w:rsidR="00A227A1" w:rsidRPr="002033B3">
        <w:rPr>
          <w:b/>
          <w:bCs/>
        </w:rPr>
        <w:t xml:space="preserve"> </w:t>
      </w:r>
      <w:r w:rsidRPr="002033B3">
        <w:rPr>
          <w:b/>
          <w:bCs/>
        </w:rPr>
        <w:t>Rights</w:t>
      </w:r>
      <w:r w:rsidR="00A227A1" w:rsidRPr="002033B3">
        <w:rPr>
          <w:b/>
          <w:bCs/>
        </w:rPr>
        <w:t>, including the right to an effective remedy in Article 47</w:t>
      </w:r>
      <w:r w:rsidRPr="002033B3">
        <w:rPr>
          <w:b/>
          <w:bCs/>
        </w:rPr>
        <w:t xml:space="preserve">. </w:t>
      </w:r>
      <w:r w:rsidR="00A227A1" w:rsidRPr="002033B3">
        <w:rPr>
          <w:b/>
          <w:bCs/>
        </w:rPr>
        <w:t>A</w:t>
      </w:r>
      <w:r w:rsidRPr="002033B3">
        <w:rPr>
          <w:b/>
          <w:bCs/>
        </w:rPr>
        <w:t xml:space="preserve">ny diminution of </w:t>
      </w:r>
      <w:r w:rsidR="0079132D" w:rsidRPr="002033B3">
        <w:rPr>
          <w:b/>
          <w:bCs/>
        </w:rPr>
        <w:t xml:space="preserve">these </w:t>
      </w:r>
      <w:r w:rsidRPr="002033B3">
        <w:rPr>
          <w:b/>
          <w:bCs/>
        </w:rPr>
        <w:t xml:space="preserve">rights </w:t>
      </w:r>
      <w:r w:rsidR="0079132D" w:rsidRPr="002033B3">
        <w:rPr>
          <w:b/>
          <w:bCs/>
        </w:rPr>
        <w:t xml:space="preserve">may be </w:t>
      </w:r>
      <w:r w:rsidRPr="002033B3">
        <w:rPr>
          <w:b/>
          <w:bCs/>
        </w:rPr>
        <w:t xml:space="preserve">contrary to the commitment in </w:t>
      </w:r>
      <w:r w:rsidR="00A227A1" w:rsidRPr="002033B3">
        <w:rPr>
          <w:b/>
          <w:bCs/>
        </w:rPr>
        <w:t>Windsor Framework Article 2</w:t>
      </w:r>
      <w:r w:rsidRPr="002033B3">
        <w:rPr>
          <w:b/>
          <w:bCs/>
        </w:rPr>
        <w:t>.</w:t>
      </w:r>
    </w:p>
    <w:p w14:paraId="58C09482" w14:textId="77777777" w:rsidR="00857F7C" w:rsidRPr="002033B3" w:rsidRDefault="00857F7C" w:rsidP="002033B3">
      <w:pPr>
        <w:pStyle w:val="ListParagraph"/>
        <w:numPr>
          <w:ilvl w:val="0"/>
          <w:numId w:val="0"/>
        </w:numPr>
        <w:spacing w:line="276" w:lineRule="auto"/>
        <w:ind w:left="720"/>
        <w:rPr>
          <w:b/>
          <w:bCs/>
          <w:highlight w:val="yellow"/>
        </w:rPr>
      </w:pPr>
    </w:p>
    <w:p w14:paraId="4823A8A3" w14:textId="7C048BCF" w:rsidR="00C87A4A" w:rsidRPr="002033B3" w:rsidRDefault="00C87A4A" w:rsidP="002033B3">
      <w:pPr>
        <w:pStyle w:val="ListParagraph"/>
        <w:spacing w:line="276" w:lineRule="auto"/>
        <w:rPr>
          <w:b/>
          <w:bCs/>
        </w:rPr>
      </w:pPr>
      <w:r w:rsidRPr="002033B3">
        <w:rPr>
          <w:b/>
          <w:bCs/>
        </w:rPr>
        <w:t xml:space="preserve">The NIHRC advises that EU minimum environmental standards include the right </w:t>
      </w:r>
      <w:r w:rsidR="00167061" w:rsidRPr="002033B3">
        <w:rPr>
          <w:b/>
          <w:bCs/>
        </w:rPr>
        <w:t>of</w:t>
      </w:r>
      <w:r w:rsidR="00B44C62" w:rsidRPr="002033B3">
        <w:rPr>
          <w:b/>
          <w:bCs/>
        </w:rPr>
        <w:t xml:space="preserve"> individuals </w:t>
      </w:r>
      <w:r w:rsidRPr="002033B3">
        <w:rPr>
          <w:b/>
          <w:bCs/>
        </w:rPr>
        <w:t xml:space="preserve">to challenge decisions seen to be in violation of </w:t>
      </w:r>
      <w:r w:rsidR="00FD5BDB" w:rsidRPr="002033B3">
        <w:rPr>
          <w:b/>
          <w:bCs/>
        </w:rPr>
        <w:t>those obligations</w:t>
      </w:r>
      <w:r w:rsidRPr="002033B3">
        <w:rPr>
          <w:b/>
          <w:bCs/>
        </w:rPr>
        <w:t xml:space="preserve">, where such standards are capable of direct effect. </w:t>
      </w:r>
    </w:p>
    <w:p w14:paraId="1B095919" w14:textId="77777777" w:rsidR="00C87A4A" w:rsidRPr="002033B3" w:rsidRDefault="00C87A4A" w:rsidP="002033B3">
      <w:pPr>
        <w:spacing w:line="276" w:lineRule="auto"/>
        <w:rPr>
          <w:b/>
          <w:bCs/>
        </w:rPr>
      </w:pPr>
    </w:p>
    <w:p w14:paraId="2D9AB20C" w14:textId="72F845E4" w:rsidR="00C87A4A" w:rsidRPr="002033B3" w:rsidRDefault="00C87A4A" w:rsidP="002033B3">
      <w:pPr>
        <w:pStyle w:val="ListParagraph"/>
        <w:spacing w:line="276" w:lineRule="auto"/>
        <w:rPr>
          <w:b/>
          <w:bCs/>
        </w:rPr>
      </w:pPr>
      <w:r w:rsidRPr="002033B3">
        <w:rPr>
          <w:b/>
          <w:bCs/>
        </w:rPr>
        <w:t xml:space="preserve">The NIHRC recommends that </w:t>
      </w:r>
      <w:r w:rsidR="00CC17DC" w:rsidRPr="002033B3">
        <w:rPr>
          <w:b/>
          <w:bCs/>
        </w:rPr>
        <w:t xml:space="preserve">the Department of Agriculture, Environment and Rural Affairs </w:t>
      </w:r>
      <w:r w:rsidRPr="002033B3">
        <w:rPr>
          <w:b/>
          <w:bCs/>
        </w:rPr>
        <w:t>study in detail the relevant EU environmental law and relevant CJEU jurisprudence with the objective of identifying and clarifying binding minimum standards on environmental protection that underpin human rights.</w:t>
      </w:r>
    </w:p>
    <w:bookmarkEnd w:id="31"/>
    <w:p w14:paraId="36F245A4" w14:textId="77777777" w:rsidR="00EB1890" w:rsidRPr="002033B3" w:rsidRDefault="00EB1890" w:rsidP="002033B3">
      <w:pPr>
        <w:pStyle w:val="ListParagraph"/>
        <w:numPr>
          <w:ilvl w:val="0"/>
          <w:numId w:val="0"/>
        </w:numPr>
        <w:spacing w:line="276" w:lineRule="auto"/>
        <w:ind w:left="720"/>
      </w:pPr>
    </w:p>
    <w:p w14:paraId="52B3B829" w14:textId="70A61B60" w:rsidR="00EB1890" w:rsidRPr="002033B3" w:rsidRDefault="2E515FFB" w:rsidP="00F62570">
      <w:pPr>
        <w:pStyle w:val="Heading1"/>
        <w:keepNext/>
        <w:widowControl/>
        <w:spacing w:line="276" w:lineRule="auto"/>
      </w:pPr>
      <w:bookmarkStart w:id="32" w:name="_Toc201578305"/>
      <w:r w:rsidRPr="002033B3">
        <w:lastRenderedPageBreak/>
        <w:t xml:space="preserve">Is there a </w:t>
      </w:r>
      <w:r w:rsidR="00EB1890" w:rsidRPr="002033B3">
        <w:t>diminution of environmental rights : case-stud</w:t>
      </w:r>
      <w:r w:rsidR="00614C20" w:rsidRPr="002033B3">
        <w:t>y</w:t>
      </w:r>
      <w:r w:rsidR="00EB1890" w:rsidRPr="002033B3">
        <w:t>.</w:t>
      </w:r>
      <w:bookmarkEnd w:id="32"/>
      <w:r w:rsidR="00EB1890" w:rsidRPr="002033B3">
        <w:t xml:space="preserve"> </w:t>
      </w:r>
    </w:p>
    <w:p w14:paraId="47A85017" w14:textId="206074AF" w:rsidR="00A87AD7" w:rsidRPr="002033B3" w:rsidRDefault="00A87AD7" w:rsidP="00F62570">
      <w:pPr>
        <w:keepNext/>
        <w:spacing w:line="276" w:lineRule="auto"/>
      </w:pPr>
      <w:bookmarkStart w:id="33" w:name="_Hlk198657713"/>
    </w:p>
    <w:bookmarkEnd w:id="33"/>
    <w:p w14:paraId="4B116EF9" w14:textId="77777777" w:rsidR="00504681" w:rsidRPr="002033B3" w:rsidRDefault="00504681" w:rsidP="00F62570">
      <w:pPr>
        <w:pStyle w:val="ListParagraph"/>
        <w:keepNext/>
        <w:numPr>
          <w:ilvl w:val="0"/>
          <w:numId w:val="10"/>
        </w:numPr>
        <w:spacing w:line="276" w:lineRule="auto"/>
        <w:jc w:val="both"/>
        <w:rPr>
          <w:vanish/>
        </w:rPr>
      </w:pPr>
    </w:p>
    <w:p w14:paraId="4189646B" w14:textId="6413DA99" w:rsidR="005B12F5" w:rsidRPr="002033B3" w:rsidRDefault="00546956" w:rsidP="00F62570">
      <w:pPr>
        <w:pStyle w:val="ListParagraph"/>
        <w:keepNext/>
        <w:spacing w:line="276" w:lineRule="auto"/>
      </w:pPr>
      <w:r w:rsidRPr="002033B3">
        <w:t xml:space="preserve">The </w:t>
      </w:r>
      <w:r w:rsidR="004D125F" w:rsidRPr="002033B3">
        <w:t>authors</w:t>
      </w:r>
      <w:r w:rsidRPr="002033B3">
        <w:t xml:space="preserve"> of the </w:t>
      </w:r>
      <w:r w:rsidR="004D125F" w:rsidRPr="002033B3">
        <w:t>independent</w:t>
      </w:r>
      <w:r w:rsidRPr="002033B3">
        <w:t xml:space="preserve"> report </w:t>
      </w:r>
      <w:r w:rsidR="6EA2FE62" w:rsidRPr="002033B3">
        <w:t xml:space="preserve">include </w:t>
      </w:r>
      <w:r w:rsidR="00927544" w:rsidRPr="002033B3">
        <w:t xml:space="preserve">three </w:t>
      </w:r>
      <w:r w:rsidR="00601CD6" w:rsidRPr="002033B3">
        <w:t>case-studies</w:t>
      </w:r>
      <w:r w:rsidR="00722CD8" w:rsidRPr="002033B3">
        <w:t xml:space="preserve"> </w:t>
      </w:r>
      <w:r w:rsidR="00D96AE0" w:rsidRPr="002033B3">
        <w:t xml:space="preserve">on </w:t>
      </w:r>
      <w:r w:rsidR="00BD17A8" w:rsidRPr="002033B3">
        <w:t xml:space="preserve">the potential for diminution of </w:t>
      </w:r>
      <w:r w:rsidR="00D96AE0" w:rsidRPr="002033B3">
        <w:t>environmental rights</w:t>
      </w:r>
      <w:r w:rsidR="00126F88" w:rsidRPr="002033B3">
        <w:t xml:space="preserve">, </w:t>
      </w:r>
      <w:r w:rsidR="00BD17A8" w:rsidRPr="002033B3">
        <w:t>in the area</w:t>
      </w:r>
      <w:r w:rsidR="00A90BF7" w:rsidRPr="002033B3">
        <w:t>s</w:t>
      </w:r>
      <w:r w:rsidR="00BD17A8" w:rsidRPr="002033B3">
        <w:t xml:space="preserve"> of air quality, Aarhus convention rights and nature preservation</w:t>
      </w:r>
      <w:r w:rsidR="00126F88" w:rsidRPr="002033B3">
        <w:t>,</w:t>
      </w:r>
      <w:r w:rsidR="00BD17A8" w:rsidRPr="002033B3">
        <w:rPr>
          <w:rStyle w:val="FootnoteReference"/>
        </w:rPr>
        <w:footnoteReference w:id="94"/>
      </w:r>
      <w:r w:rsidR="00126F88" w:rsidRPr="002033B3">
        <w:t xml:space="preserve"> which illustrate in practice </w:t>
      </w:r>
      <w:r w:rsidR="00F208EF" w:rsidRPr="002033B3">
        <w:t>how the minimum EU standards on environmental law that are binding in NI might be affected by law and policy following the UK’s departure f</w:t>
      </w:r>
      <w:r w:rsidR="003C0CA5" w:rsidRPr="002033B3">
        <w:t>r</w:t>
      </w:r>
      <w:r w:rsidR="00F208EF" w:rsidRPr="002033B3">
        <w:t>om the EU.</w:t>
      </w:r>
    </w:p>
    <w:p w14:paraId="3A34A956" w14:textId="77777777" w:rsidR="00F208EF" w:rsidRPr="002033B3" w:rsidRDefault="00F208EF" w:rsidP="002033B3">
      <w:pPr>
        <w:pStyle w:val="ListParagraph"/>
        <w:numPr>
          <w:ilvl w:val="0"/>
          <w:numId w:val="0"/>
        </w:numPr>
        <w:spacing w:line="276" w:lineRule="auto"/>
        <w:ind w:left="720"/>
      </w:pPr>
    </w:p>
    <w:p w14:paraId="22B5F996" w14:textId="3A4417CA" w:rsidR="00F208EF" w:rsidRPr="002033B3" w:rsidRDefault="00F208EF" w:rsidP="002033B3">
      <w:pPr>
        <w:pStyle w:val="ListParagraph"/>
        <w:spacing w:line="276" w:lineRule="auto"/>
      </w:pPr>
      <w:r w:rsidRPr="002033B3">
        <w:t xml:space="preserve">In this section we </w:t>
      </w:r>
      <w:r w:rsidR="78E60487" w:rsidRPr="002033B3">
        <w:t>refer to</w:t>
      </w:r>
      <w:r w:rsidR="004D3126" w:rsidRPr="002033B3">
        <w:t xml:space="preserve"> the case-studies </w:t>
      </w:r>
      <w:r w:rsidR="283DE1FC" w:rsidRPr="002033B3">
        <w:t xml:space="preserve">that form part of our own assessment and that provide a </w:t>
      </w:r>
      <w:r w:rsidR="004D3126" w:rsidRPr="002033B3">
        <w:t xml:space="preserve">basis for advice and </w:t>
      </w:r>
      <w:r w:rsidR="00BF6ADE" w:rsidRPr="002033B3">
        <w:t>recommendations</w:t>
      </w:r>
      <w:r w:rsidR="004D3126" w:rsidRPr="002033B3">
        <w:t xml:space="preserve"> on </w:t>
      </w:r>
      <w:r w:rsidR="002012DD" w:rsidRPr="002033B3">
        <w:t>the relevance of the non-diminution commitment in Windsor Framework Article 2 for the protection of environmental rights.</w:t>
      </w:r>
      <w:r w:rsidR="00F34E9A" w:rsidRPr="002033B3">
        <w:t xml:space="preserve"> </w:t>
      </w:r>
      <w:r w:rsidR="663D163D" w:rsidRPr="002033B3">
        <w:t xml:space="preserve">To recap, </w:t>
      </w:r>
      <w:r w:rsidR="0DF6D2FF" w:rsidRPr="002033B3">
        <w:t>w</w:t>
      </w:r>
      <w:r w:rsidR="00F34E9A" w:rsidRPr="002033B3">
        <w:t xml:space="preserve">e </w:t>
      </w:r>
      <w:r w:rsidR="005546A4" w:rsidRPr="002033B3">
        <w:t xml:space="preserve">consider </w:t>
      </w:r>
      <w:r w:rsidR="5064A607" w:rsidRPr="002033B3">
        <w:t xml:space="preserve">whether </w:t>
      </w:r>
      <w:r w:rsidR="005546A4" w:rsidRPr="002033B3">
        <w:t xml:space="preserve">the rights in question </w:t>
      </w:r>
      <w:proofErr w:type="gramStart"/>
      <w:r w:rsidR="64D158BB" w:rsidRPr="002033B3">
        <w:t>are located in</w:t>
      </w:r>
      <w:proofErr w:type="gramEnd"/>
      <w:r w:rsidR="005546A4" w:rsidRPr="002033B3">
        <w:t xml:space="preserve"> the relevant chapter of the Belfast (Good Friday) Agreement, secondly, </w:t>
      </w:r>
      <w:r w:rsidR="0A914B8B" w:rsidRPr="002033B3">
        <w:t xml:space="preserve">we consider </w:t>
      </w:r>
      <w:r w:rsidR="005546A4" w:rsidRPr="002033B3">
        <w:t>the degree to which such rights are underpinned by EU law</w:t>
      </w:r>
      <w:r w:rsidR="00D26F74" w:rsidRPr="002033B3">
        <w:t xml:space="preserve"> and thirdly</w:t>
      </w:r>
      <w:r w:rsidR="003D70C7" w:rsidRPr="002033B3">
        <w:t>,</w:t>
      </w:r>
      <w:r w:rsidR="00D26F74" w:rsidRPr="002033B3">
        <w:t xml:space="preserve"> </w:t>
      </w:r>
      <w:r w:rsidR="2C265AE3" w:rsidRPr="002033B3">
        <w:t xml:space="preserve">we assess whether there is a </w:t>
      </w:r>
      <w:r w:rsidR="00D26F74" w:rsidRPr="002033B3">
        <w:t>diminution of rights. We conclude by making recommendations to protect rights and ensure compliance with WFA2.</w:t>
      </w:r>
    </w:p>
    <w:p w14:paraId="6C6462A5" w14:textId="77777777" w:rsidR="002012DD" w:rsidRPr="002033B3" w:rsidRDefault="002012DD" w:rsidP="002033B3">
      <w:pPr>
        <w:spacing w:line="276" w:lineRule="auto"/>
      </w:pPr>
    </w:p>
    <w:p w14:paraId="1BD045EC" w14:textId="24FA6858" w:rsidR="00352AB7" w:rsidRPr="002033B3" w:rsidRDefault="00F40431" w:rsidP="00F62570">
      <w:pPr>
        <w:pStyle w:val="Heading2"/>
        <w:keepNext/>
        <w:spacing w:line="276" w:lineRule="auto"/>
      </w:pPr>
      <w:bookmarkStart w:id="35" w:name="_Toc201578306"/>
      <w:r w:rsidRPr="002033B3">
        <w:t>Downgrading air quality laws</w:t>
      </w:r>
      <w:bookmarkEnd w:id="35"/>
    </w:p>
    <w:p w14:paraId="4B923AF7" w14:textId="77777777" w:rsidR="00293BF0" w:rsidRPr="002033B3" w:rsidRDefault="00293BF0" w:rsidP="00F62570">
      <w:pPr>
        <w:keepNext/>
        <w:spacing w:line="276" w:lineRule="auto"/>
      </w:pPr>
    </w:p>
    <w:p w14:paraId="23180AD5" w14:textId="2DC364E8" w:rsidR="002012DD" w:rsidRPr="002033B3" w:rsidRDefault="00703B7D" w:rsidP="00F62570">
      <w:pPr>
        <w:pStyle w:val="ListParagraph"/>
        <w:keepNext/>
        <w:spacing w:line="276" w:lineRule="auto"/>
      </w:pPr>
      <w:r w:rsidRPr="002033B3">
        <w:t xml:space="preserve">In 2023, </w:t>
      </w:r>
      <w:r w:rsidR="009D2B25" w:rsidRPr="002033B3">
        <w:t xml:space="preserve">the UK Government placed </w:t>
      </w:r>
      <w:r w:rsidR="003918A1" w:rsidRPr="002033B3">
        <w:t xml:space="preserve">two environmental regulations on </w:t>
      </w:r>
      <w:r w:rsidR="00A611F9" w:rsidRPr="002033B3">
        <w:t>a list o</w:t>
      </w:r>
      <w:r w:rsidR="00AC5A85" w:rsidRPr="002033B3">
        <w:t>f</w:t>
      </w:r>
      <w:r w:rsidR="00A611F9" w:rsidRPr="002033B3">
        <w:t xml:space="preserve"> </w:t>
      </w:r>
      <w:r w:rsidR="00EE7F92" w:rsidRPr="002033B3">
        <w:t>retained</w:t>
      </w:r>
      <w:r w:rsidR="00A611F9" w:rsidRPr="002033B3">
        <w:t xml:space="preserve"> EU law</w:t>
      </w:r>
      <w:r w:rsidR="005B536F" w:rsidRPr="002033B3">
        <w:t xml:space="preserve"> to be revoked unless</w:t>
      </w:r>
      <w:r w:rsidR="00EE7F92" w:rsidRPr="002033B3">
        <w:t xml:space="preserve"> retained by ministers.</w:t>
      </w:r>
      <w:r w:rsidR="00EE7F92" w:rsidRPr="002033B3">
        <w:rPr>
          <w:rStyle w:val="FootnoteReference"/>
        </w:rPr>
        <w:footnoteReference w:id="95"/>
      </w:r>
      <w:r w:rsidR="00EE7F92" w:rsidRPr="002033B3">
        <w:t xml:space="preserve"> </w:t>
      </w:r>
      <w:r w:rsidR="009D2B25" w:rsidRPr="002033B3">
        <w:t xml:space="preserve">Regulation 9 and Regulation 10 </w:t>
      </w:r>
      <w:r w:rsidR="002A6031" w:rsidRPr="002033B3">
        <w:t>we</w:t>
      </w:r>
      <w:r w:rsidR="00BE6F9F" w:rsidRPr="002033B3">
        <w:t xml:space="preserve">re part of the </w:t>
      </w:r>
      <w:r w:rsidR="009142EC" w:rsidRPr="002033B3">
        <w:t>National Emissions Ceiling Regulations 2018</w:t>
      </w:r>
      <w:r w:rsidR="00A22CCF" w:rsidRPr="002033B3">
        <w:t xml:space="preserve">, which </w:t>
      </w:r>
      <w:r w:rsidR="00F65127" w:rsidRPr="002033B3">
        <w:t>are the</w:t>
      </w:r>
      <w:r w:rsidR="009142EC" w:rsidRPr="002033B3">
        <w:t xml:space="preserve"> UK’s statutory instrument implementing the </w:t>
      </w:r>
      <w:r w:rsidR="00C90148" w:rsidRPr="002033B3">
        <w:t xml:space="preserve">EU </w:t>
      </w:r>
      <w:r w:rsidR="009142EC" w:rsidRPr="002033B3">
        <w:t>National Emission Reduction Commitments Directive</w:t>
      </w:r>
      <w:r w:rsidR="00F65127" w:rsidRPr="002033B3">
        <w:rPr>
          <w:rStyle w:val="FootnoteReference"/>
        </w:rPr>
        <w:footnoteReference w:id="96"/>
      </w:r>
      <w:r w:rsidR="009142EC" w:rsidRPr="002033B3">
        <w:t xml:space="preserve"> and a related EU Commission Implementing Decision</w:t>
      </w:r>
      <w:r w:rsidR="00F65127" w:rsidRPr="002033B3">
        <w:t>.</w:t>
      </w:r>
      <w:r w:rsidR="00F65127" w:rsidRPr="002033B3">
        <w:rPr>
          <w:rStyle w:val="FootnoteReference"/>
        </w:rPr>
        <w:footnoteReference w:id="97"/>
      </w:r>
      <w:r w:rsidR="005753C7" w:rsidRPr="002033B3">
        <w:t xml:space="preserve"> </w:t>
      </w:r>
      <w:r w:rsidR="00676004" w:rsidRPr="002033B3">
        <w:t xml:space="preserve">The Regulations </w:t>
      </w:r>
      <w:r w:rsidR="002A1683" w:rsidRPr="002033B3">
        <w:t>were revoked.</w:t>
      </w:r>
    </w:p>
    <w:p w14:paraId="5A6F8F77" w14:textId="77777777" w:rsidR="00C6734A" w:rsidRPr="002033B3" w:rsidRDefault="00C6734A" w:rsidP="002033B3">
      <w:pPr>
        <w:pStyle w:val="ListParagraph"/>
        <w:numPr>
          <w:ilvl w:val="0"/>
          <w:numId w:val="0"/>
        </w:numPr>
        <w:spacing w:line="276" w:lineRule="auto"/>
        <w:ind w:left="720"/>
      </w:pPr>
    </w:p>
    <w:p w14:paraId="33F53EF3" w14:textId="675EBF05" w:rsidR="00225FC8" w:rsidRPr="002033B3" w:rsidRDefault="00C95814" w:rsidP="002033B3">
      <w:pPr>
        <w:pStyle w:val="ListParagraph"/>
        <w:spacing w:line="276" w:lineRule="auto"/>
      </w:pPr>
      <w:r w:rsidRPr="002033B3">
        <w:lastRenderedPageBreak/>
        <w:t xml:space="preserve">The </w:t>
      </w:r>
      <w:r w:rsidR="00753F72" w:rsidRPr="002033B3">
        <w:t xml:space="preserve">National Emissions Ceiling Regulations 2018 </w:t>
      </w:r>
      <w:r w:rsidR="00242F13" w:rsidRPr="002033B3">
        <w:t xml:space="preserve">transpose the legally binding emission reduction </w:t>
      </w:r>
      <w:r w:rsidR="007128ED" w:rsidRPr="002033B3">
        <w:t>commitments derived from the EU National Emission Reduction Commitments Directive</w:t>
      </w:r>
      <w:r w:rsidR="00C6734A" w:rsidRPr="002033B3">
        <w:t xml:space="preserve">. </w:t>
      </w:r>
      <w:r w:rsidR="00EB5CF3" w:rsidRPr="002033B3">
        <w:t xml:space="preserve">The emission reduction commitments cover five major air pollutants that can damage human health, crops, </w:t>
      </w:r>
      <w:r w:rsidR="006B406A" w:rsidRPr="002033B3">
        <w:t>wildlife</w:t>
      </w:r>
      <w:r w:rsidR="00EB5CF3" w:rsidRPr="002033B3">
        <w:t xml:space="preserve"> and the environment</w:t>
      </w:r>
      <w:r w:rsidR="00D83D64" w:rsidRPr="002033B3">
        <w:t xml:space="preserve">. </w:t>
      </w:r>
      <w:r w:rsidR="00A23470" w:rsidRPr="002033B3">
        <w:t>T</w:t>
      </w:r>
      <w:r w:rsidR="002B0AD2" w:rsidRPr="002033B3">
        <w:t xml:space="preserve">he EU National Emission Reduction Commitments Directive contains two legally binding targets for each pollutant, </w:t>
      </w:r>
      <w:r w:rsidR="00D629B2" w:rsidRPr="002033B3">
        <w:t xml:space="preserve">one applying for the period of 2020 to </w:t>
      </w:r>
      <w:r w:rsidR="00FD0312" w:rsidRPr="002033B3">
        <w:t xml:space="preserve">2029, and another </w:t>
      </w:r>
      <w:r w:rsidR="00225FC8" w:rsidRPr="002033B3">
        <w:t>for the period of 2030 onwards.</w:t>
      </w:r>
      <w:r w:rsidR="00225FC8" w:rsidRPr="002033B3">
        <w:rPr>
          <w:rStyle w:val="FootnoteReference"/>
        </w:rPr>
        <w:footnoteReference w:id="98"/>
      </w:r>
      <w:r w:rsidR="00C928EC" w:rsidRPr="002033B3">
        <w:t xml:space="preserve">  Furthermore, the Commission Implementing Decision sets out a common format for the provision of a minimum level of information </w:t>
      </w:r>
      <w:r w:rsidR="009276EE" w:rsidRPr="002033B3">
        <w:t>in domestic measures implementing the</w:t>
      </w:r>
      <w:r w:rsidR="00BB1973" w:rsidRPr="002033B3">
        <w:t xml:space="preserve"> </w:t>
      </w:r>
      <w:r w:rsidR="00CF244F" w:rsidRPr="002033B3">
        <w:t>Directive’s targets.</w:t>
      </w:r>
      <w:r w:rsidR="00E87DC6" w:rsidRPr="002033B3">
        <w:rPr>
          <w:rStyle w:val="FootnoteReference"/>
        </w:rPr>
        <w:footnoteReference w:id="99"/>
      </w:r>
      <w:r w:rsidR="00CF244F" w:rsidRPr="002033B3">
        <w:t xml:space="preserve"> </w:t>
      </w:r>
    </w:p>
    <w:p w14:paraId="627CCB9D" w14:textId="77777777" w:rsidR="00225FC8" w:rsidRPr="002033B3" w:rsidRDefault="00225FC8" w:rsidP="002033B3">
      <w:pPr>
        <w:pStyle w:val="ListParagraph"/>
        <w:numPr>
          <w:ilvl w:val="0"/>
          <w:numId w:val="0"/>
        </w:numPr>
        <w:spacing w:line="276" w:lineRule="auto"/>
        <w:ind w:left="720"/>
      </w:pPr>
    </w:p>
    <w:p w14:paraId="74F0DCB2" w14:textId="2D85FCE2" w:rsidR="000C4993" w:rsidRPr="002033B3" w:rsidRDefault="00EF0506" w:rsidP="002033B3">
      <w:pPr>
        <w:pStyle w:val="ListParagraph"/>
        <w:spacing w:line="276" w:lineRule="auto"/>
      </w:pPr>
      <w:r w:rsidRPr="002033B3">
        <w:t xml:space="preserve">The </w:t>
      </w:r>
      <w:r w:rsidR="00B7650F" w:rsidRPr="002033B3">
        <w:t xml:space="preserve">now </w:t>
      </w:r>
      <w:r w:rsidRPr="002033B3">
        <w:t xml:space="preserve">revoked Regulation 9 </w:t>
      </w:r>
      <w:r w:rsidR="00CF04C9" w:rsidRPr="002033B3">
        <w:t xml:space="preserve">required the UK </w:t>
      </w:r>
      <w:r w:rsidR="00525B80" w:rsidRPr="002033B3">
        <w:t>Go</w:t>
      </w:r>
      <w:r w:rsidR="00CF04C9" w:rsidRPr="002033B3">
        <w:t>vernment to</w:t>
      </w:r>
      <w:r w:rsidR="005F4A77" w:rsidRPr="002033B3">
        <w:t xml:space="preserve"> </w:t>
      </w:r>
      <w:r w:rsidR="00AC7D76" w:rsidRPr="002033B3">
        <w:t xml:space="preserve">prepare and implement a National Air Pollution Control Programme </w:t>
      </w:r>
      <w:r w:rsidR="00D52323" w:rsidRPr="002033B3">
        <w:t xml:space="preserve">detailing how the targets established by the EU </w:t>
      </w:r>
      <w:r w:rsidR="007C6CF0" w:rsidRPr="002033B3">
        <w:t xml:space="preserve">National Emission Reduction Commitments </w:t>
      </w:r>
      <w:r w:rsidR="00D52323" w:rsidRPr="002033B3">
        <w:t>Directive w</w:t>
      </w:r>
      <w:r w:rsidR="0031700E" w:rsidRPr="002033B3">
        <w:t>ould have</w:t>
      </w:r>
      <w:r w:rsidR="00D52323" w:rsidRPr="002033B3">
        <w:t xml:space="preserve"> </w:t>
      </w:r>
      <w:r w:rsidR="003375C7" w:rsidRPr="002033B3">
        <w:t>been</w:t>
      </w:r>
      <w:r w:rsidR="00D52323" w:rsidRPr="002033B3">
        <w:t xml:space="preserve"> </w:t>
      </w:r>
      <w:r w:rsidR="007C6CF0" w:rsidRPr="002033B3">
        <w:t>m</w:t>
      </w:r>
      <w:r w:rsidR="00D52323" w:rsidRPr="002033B3">
        <w:t>et, as well as an obligation to review th</w:t>
      </w:r>
      <w:r w:rsidR="007C6CF0" w:rsidRPr="002033B3">
        <w:t>e</w:t>
      </w:r>
      <w:r w:rsidR="007C381E" w:rsidRPr="002033B3">
        <w:t xml:space="preserve"> </w:t>
      </w:r>
      <w:r w:rsidR="007C6CF0" w:rsidRPr="002033B3">
        <w:t xml:space="preserve">National Air Pollution </w:t>
      </w:r>
      <w:r w:rsidR="007C381E" w:rsidRPr="002033B3">
        <w:t xml:space="preserve">Programme </w:t>
      </w:r>
      <w:r w:rsidR="00E43231" w:rsidRPr="002033B3">
        <w:t xml:space="preserve">if the level of air pollution </w:t>
      </w:r>
      <w:r w:rsidR="007C6CF0" w:rsidRPr="002033B3">
        <w:t xml:space="preserve">exceeds or is projected to exceed the reduction commitment. </w:t>
      </w:r>
    </w:p>
    <w:p w14:paraId="4DF59CB4" w14:textId="77777777" w:rsidR="00E206CF" w:rsidRPr="002033B3" w:rsidRDefault="00E206CF" w:rsidP="002033B3">
      <w:pPr>
        <w:pStyle w:val="ListParagraph"/>
        <w:numPr>
          <w:ilvl w:val="0"/>
          <w:numId w:val="0"/>
        </w:numPr>
        <w:spacing w:line="276" w:lineRule="auto"/>
        <w:ind w:left="720"/>
      </w:pPr>
    </w:p>
    <w:p w14:paraId="6DE38F19" w14:textId="1278E8B5" w:rsidR="00E206CF" w:rsidRPr="002033B3" w:rsidRDefault="00E206CF" w:rsidP="002033B3">
      <w:pPr>
        <w:pStyle w:val="ListParagraph"/>
        <w:spacing w:line="276" w:lineRule="auto"/>
      </w:pPr>
      <w:r w:rsidRPr="002033B3">
        <w:t xml:space="preserve">The now revoked Regulation 10 </w:t>
      </w:r>
      <w:r w:rsidR="02D1AF7A" w:rsidRPr="002033B3">
        <w:t xml:space="preserve">required </w:t>
      </w:r>
      <w:r w:rsidR="005666D2" w:rsidRPr="002033B3">
        <w:t xml:space="preserve">a public consultation </w:t>
      </w:r>
      <w:r w:rsidR="701F0EC9" w:rsidRPr="002033B3">
        <w:t xml:space="preserve">in advance of preparation or amendment </w:t>
      </w:r>
      <w:r w:rsidR="3390F76A" w:rsidRPr="002033B3">
        <w:t xml:space="preserve">to </w:t>
      </w:r>
      <w:r w:rsidR="005666D2" w:rsidRPr="002033B3">
        <w:t xml:space="preserve">the National Air Pollution Control </w:t>
      </w:r>
      <w:r w:rsidR="00043E2C" w:rsidRPr="002033B3">
        <w:t xml:space="preserve">Programme. </w:t>
      </w:r>
      <w:r w:rsidR="00BA43AC" w:rsidRPr="002033B3">
        <w:t xml:space="preserve">Since </w:t>
      </w:r>
      <w:r w:rsidR="00F14EFC" w:rsidRPr="002033B3">
        <w:t xml:space="preserve">revocation, Regulations </w:t>
      </w:r>
      <w:r w:rsidR="5456B8F2" w:rsidRPr="002033B3">
        <w:t xml:space="preserve">9 and 10 </w:t>
      </w:r>
      <w:r w:rsidR="40734AD3" w:rsidRPr="002033B3">
        <w:t>h</w:t>
      </w:r>
      <w:r w:rsidR="00F14EFC" w:rsidRPr="002033B3">
        <w:t xml:space="preserve">ave not been replaced by equivalent UK measures to address air pollution. </w:t>
      </w:r>
      <w:r w:rsidR="00135A94" w:rsidRPr="002033B3">
        <w:t xml:space="preserve"> The </w:t>
      </w:r>
      <w:r w:rsidR="00114EE9" w:rsidRPr="002033B3">
        <w:t xml:space="preserve">UK </w:t>
      </w:r>
      <w:r w:rsidR="00135A94" w:rsidRPr="002033B3">
        <w:t>Office of Environment</w:t>
      </w:r>
      <w:r w:rsidR="00114EE9" w:rsidRPr="002033B3">
        <w:t xml:space="preserve"> </w:t>
      </w:r>
      <w:r w:rsidR="00135A94" w:rsidRPr="002033B3">
        <w:t>Protection has repeatedly raised concerns that the removal of these laws would significantly weaken legal air quality protections in the UK.</w:t>
      </w:r>
      <w:r w:rsidR="00135A94" w:rsidRPr="002033B3">
        <w:rPr>
          <w:rStyle w:val="FootnoteReference"/>
        </w:rPr>
        <w:footnoteReference w:id="100"/>
      </w:r>
      <w:r w:rsidR="008B1850" w:rsidRPr="002033B3">
        <w:t xml:space="preserve"> This</w:t>
      </w:r>
      <w:r w:rsidR="00916518" w:rsidRPr="002033B3">
        <w:t xml:space="preserve"> weakening of UK a</w:t>
      </w:r>
      <w:r w:rsidR="00DC2399" w:rsidRPr="002033B3">
        <w:t xml:space="preserve">ir quality laws raises the question of </w:t>
      </w:r>
      <w:r w:rsidR="00B97FFC" w:rsidRPr="002033B3">
        <w:t xml:space="preserve">a </w:t>
      </w:r>
      <w:r w:rsidR="00DC2399" w:rsidRPr="002033B3">
        <w:t xml:space="preserve">potential diminution of environmental rights contrary to the commitment </w:t>
      </w:r>
      <w:r w:rsidR="00B97FFC" w:rsidRPr="002033B3">
        <w:t xml:space="preserve">in Windsor Framework Article 2. </w:t>
      </w:r>
    </w:p>
    <w:p w14:paraId="7A886693" w14:textId="77777777" w:rsidR="00BE06D5" w:rsidRPr="002033B3" w:rsidRDefault="00BE06D5" w:rsidP="002033B3">
      <w:pPr>
        <w:spacing w:line="276" w:lineRule="auto"/>
      </w:pPr>
    </w:p>
    <w:p w14:paraId="5F8C41EB" w14:textId="40F4630B" w:rsidR="00B97FFC" w:rsidRPr="002033B3" w:rsidRDefault="00BE06D5" w:rsidP="00F62570">
      <w:pPr>
        <w:pStyle w:val="Heading2"/>
        <w:keepNext/>
        <w:spacing w:line="276" w:lineRule="auto"/>
      </w:pPr>
      <w:bookmarkStart w:id="36" w:name="_Toc201578307"/>
      <w:r w:rsidRPr="002033B3">
        <w:t>Rights protected</w:t>
      </w:r>
      <w:bookmarkEnd w:id="36"/>
    </w:p>
    <w:p w14:paraId="6E63612A" w14:textId="77777777" w:rsidR="00BE06D5" w:rsidRPr="002033B3" w:rsidRDefault="00BE06D5" w:rsidP="00F62570">
      <w:pPr>
        <w:keepNext/>
        <w:spacing w:line="276" w:lineRule="auto"/>
      </w:pPr>
    </w:p>
    <w:p w14:paraId="23F8CAC7" w14:textId="006D38B8" w:rsidR="000C4993" w:rsidRPr="002033B3" w:rsidRDefault="00C46B86" w:rsidP="00F62570">
      <w:pPr>
        <w:pStyle w:val="ListParagraph"/>
        <w:keepNext/>
        <w:spacing w:line="276" w:lineRule="auto"/>
      </w:pPr>
      <w:r w:rsidRPr="002033B3">
        <w:t xml:space="preserve">Having air free from levels of pollution which are dangerous to human health </w:t>
      </w:r>
      <w:r w:rsidR="00C1215E" w:rsidRPr="002033B3">
        <w:t>is</w:t>
      </w:r>
      <w:r w:rsidRPr="002033B3">
        <w:t xml:space="preserve"> an important prerequisite to being able to enjoy </w:t>
      </w:r>
      <w:r w:rsidR="5406CBC1" w:rsidRPr="002033B3">
        <w:t xml:space="preserve">all of </w:t>
      </w:r>
      <w:r w:rsidRPr="002033B3">
        <w:t xml:space="preserve">one’s </w:t>
      </w:r>
      <w:r w:rsidRPr="002033B3">
        <w:lastRenderedPageBreak/>
        <w:t xml:space="preserve">human rights.  </w:t>
      </w:r>
      <w:r w:rsidR="00BD7C9F" w:rsidRPr="002033B3">
        <w:t xml:space="preserve">ECHR rights contain </w:t>
      </w:r>
      <w:r w:rsidR="002654A3" w:rsidRPr="002033B3">
        <w:t xml:space="preserve">positive </w:t>
      </w:r>
      <w:r w:rsidR="00BD7C9F" w:rsidRPr="002033B3">
        <w:t xml:space="preserve">obligations on States to take measures to combat threats to life that stem from air pollution. The jurisprudence of the ECtHR </w:t>
      </w:r>
      <w:r w:rsidR="00F15FB0" w:rsidRPr="002033B3">
        <w:t>outlines the Court’s approach</w:t>
      </w:r>
      <w:r w:rsidR="00FA53E1" w:rsidRPr="002033B3">
        <w:t>:</w:t>
      </w:r>
      <w:r w:rsidR="00F15FB0" w:rsidRPr="002033B3">
        <w:t xml:space="preserve"> reading an obligation to effectively protect the right to life (Article 2 ECHR) and the right to private and family life (Article 8 ECHR) </w:t>
      </w:r>
      <w:r w:rsidR="00EA541B" w:rsidRPr="002033B3">
        <w:t xml:space="preserve">as requiring protection </w:t>
      </w:r>
      <w:r w:rsidR="00F15FB0" w:rsidRPr="002033B3">
        <w:t>from the effects of environmental degradation.</w:t>
      </w:r>
      <w:r w:rsidR="00F15FB0" w:rsidRPr="002033B3">
        <w:rPr>
          <w:rStyle w:val="FootnoteReference"/>
        </w:rPr>
        <w:footnoteReference w:id="101"/>
      </w:r>
    </w:p>
    <w:p w14:paraId="223B6D2A" w14:textId="77777777" w:rsidR="009B40E3" w:rsidRPr="002033B3" w:rsidRDefault="009B40E3" w:rsidP="002033B3">
      <w:pPr>
        <w:pStyle w:val="ListParagraph"/>
        <w:numPr>
          <w:ilvl w:val="0"/>
          <w:numId w:val="0"/>
        </w:numPr>
        <w:spacing w:line="276" w:lineRule="auto"/>
        <w:ind w:left="720"/>
      </w:pPr>
    </w:p>
    <w:p w14:paraId="4D59E9C1" w14:textId="79259720" w:rsidR="009B40E3" w:rsidRPr="002033B3" w:rsidRDefault="009B40E3" w:rsidP="002033B3">
      <w:pPr>
        <w:pStyle w:val="ListParagraph"/>
        <w:spacing w:line="276" w:lineRule="auto"/>
      </w:pPr>
      <w:r w:rsidRPr="002033B3">
        <w:t>The rights</w:t>
      </w:r>
      <w:r w:rsidR="004F6C23" w:rsidRPr="002033B3">
        <w:t xml:space="preserve">  </w:t>
      </w:r>
      <w:r w:rsidR="5BE20400" w:rsidRPr="002033B3">
        <w:t xml:space="preserve">protected by </w:t>
      </w:r>
      <w:r w:rsidR="004F6C23" w:rsidRPr="002033B3">
        <w:t xml:space="preserve">the ECHR are within </w:t>
      </w:r>
      <w:r w:rsidR="13F71C3B" w:rsidRPr="002033B3">
        <w:t xml:space="preserve">the </w:t>
      </w:r>
      <w:r w:rsidR="004F6C23" w:rsidRPr="002033B3">
        <w:t xml:space="preserve">scope of the </w:t>
      </w:r>
      <w:r w:rsidR="00A32022" w:rsidRPr="002033B3">
        <w:t xml:space="preserve">Rights, Safeguards and Equality of </w:t>
      </w:r>
      <w:r w:rsidR="003616C4" w:rsidRPr="002033B3">
        <w:t>Opportunity</w:t>
      </w:r>
      <w:r w:rsidR="00A32022" w:rsidRPr="002033B3">
        <w:t xml:space="preserve"> Chapter of the Belfast (Good Friday</w:t>
      </w:r>
      <w:r w:rsidR="009E7CFB" w:rsidRPr="002033B3">
        <w:t xml:space="preserve">) </w:t>
      </w:r>
      <w:r w:rsidR="00A32022" w:rsidRPr="002033B3">
        <w:t>Agreement, as outlined in Part 2 of this briefing note, therefore the envir</w:t>
      </w:r>
      <w:r w:rsidR="003616C4" w:rsidRPr="002033B3">
        <w:t xml:space="preserve">onmental dimension of Article 2 ECHR and Article 8 ECHR fall within the scope of the non-diminution commitment in Windsor Framework Article 2. </w:t>
      </w:r>
      <w:r w:rsidR="005F1BC0" w:rsidRPr="002033B3">
        <w:t xml:space="preserve">This environmental dimension also covers procedural obligations, </w:t>
      </w:r>
      <w:r w:rsidR="0080736F" w:rsidRPr="002033B3">
        <w:t>such</w:t>
      </w:r>
      <w:r w:rsidR="005F1BC0" w:rsidRPr="002033B3">
        <w:t xml:space="preserve"> as sufficient </w:t>
      </w:r>
      <w:r w:rsidR="0080736F" w:rsidRPr="002033B3">
        <w:t>involvement</w:t>
      </w:r>
      <w:r w:rsidR="005F1BC0" w:rsidRPr="002033B3">
        <w:t xml:space="preserve"> in environmental </w:t>
      </w:r>
      <w:r w:rsidR="0080736F" w:rsidRPr="002033B3">
        <w:t>decision</w:t>
      </w:r>
      <w:r w:rsidR="005F1BC0" w:rsidRPr="002033B3">
        <w:t xml:space="preserve">-making and access to review </w:t>
      </w:r>
      <w:r w:rsidR="0080736F" w:rsidRPr="002033B3">
        <w:t>procedures to challenge environmental decisions.</w:t>
      </w:r>
      <w:r w:rsidR="0080736F" w:rsidRPr="002033B3">
        <w:rPr>
          <w:rStyle w:val="FootnoteReference"/>
        </w:rPr>
        <w:footnoteReference w:id="102"/>
      </w:r>
      <w:r w:rsidR="0080736F" w:rsidRPr="002033B3">
        <w:t xml:space="preserve"> </w:t>
      </w:r>
    </w:p>
    <w:p w14:paraId="67554FE9" w14:textId="77777777" w:rsidR="009E7CFB" w:rsidRPr="002033B3" w:rsidRDefault="009E7CFB" w:rsidP="002033B3">
      <w:pPr>
        <w:pStyle w:val="ListParagraph"/>
        <w:numPr>
          <w:ilvl w:val="0"/>
          <w:numId w:val="0"/>
        </w:numPr>
        <w:spacing w:line="276" w:lineRule="auto"/>
        <w:ind w:left="720"/>
      </w:pPr>
    </w:p>
    <w:p w14:paraId="7965645E" w14:textId="6973B840" w:rsidR="003616C4" w:rsidRPr="002033B3" w:rsidRDefault="0080736F" w:rsidP="00F62570">
      <w:pPr>
        <w:pStyle w:val="Heading2"/>
        <w:keepNext/>
        <w:spacing w:line="276" w:lineRule="auto"/>
      </w:pPr>
      <w:bookmarkStart w:id="37" w:name="_Toc201578308"/>
      <w:r w:rsidRPr="002033B3">
        <w:t>Underpinned</w:t>
      </w:r>
      <w:r w:rsidR="003616C4" w:rsidRPr="002033B3">
        <w:t xml:space="preserve"> by EU Law</w:t>
      </w:r>
      <w:bookmarkEnd w:id="37"/>
    </w:p>
    <w:p w14:paraId="25AC842A" w14:textId="77777777" w:rsidR="009E7CFB" w:rsidRPr="002033B3" w:rsidRDefault="009E7CFB" w:rsidP="00F62570">
      <w:pPr>
        <w:keepNext/>
        <w:spacing w:line="276" w:lineRule="auto"/>
        <w:rPr>
          <w:i/>
          <w:iCs/>
        </w:rPr>
      </w:pPr>
    </w:p>
    <w:p w14:paraId="35AAED7B" w14:textId="37915D30" w:rsidR="003616C4" w:rsidRPr="002033B3" w:rsidRDefault="009E7CFB" w:rsidP="00F62570">
      <w:pPr>
        <w:pStyle w:val="ListParagraph"/>
        <w:keepNext/>
        <w:spacing w:line="276" w:lineRule="auto"/>
      </w:pPr>
      <w:r w:rsidRPr="002033B3">
        <w:t xml:space="preserve">The environmental dimension of the right to life and </w:t>
      </w:r>
      <w:r w:rsidR="005D5BDA" w:rsidRPr="002033B3">
        <w:t xml:space="preserve">the right to </w:t>
      </w:r>
      <w:r w:rsidRPr="002033B3">
        <w:t xml:space="preserve">private and family life has been underpinned by EU law in several ways. </w:t>
      </w:r>
      <w:r w:rsidR="00AE1953" w:rsidRPr="002033B3">
        <w:t>First,</w:t>
      </w:r>
      <w:r w:rsidR="00D45941" w:rsidRPr="002033B3">
        <w:t xml:space="preserve"> </w:t>
      </w:r>
      <w:r w:rsidR="00A6689E" w:rsidRPr="002033B3">
        <w:t xml:space="preserve">as mentioned </w:t>
      </w:r>
      <w:r w:rsidR="00636AAA" w:rsidRPr="002033B3">
        <w:t>in section 4</w:t>
      </w:r>
      <w:r w:rsidR="00A6689E" w:rsidRPr="002033B3">
        <w:t xml:space="preserve">, </w:t>
      </w:r>
      <w:r w:rsidR="00483408" w:rsidRPr="002033B3">
        <w:t>Article 3 TEU</w:t>
      </w:r>
      <w:r w:rsidR="00E67C21" w:rsidRPr="002033B3">
        <w:t xml:space="preserve"> </w:t>
      </w:r>
      <w:r w:rsidR="003F2918" w:rsidRPr="002033B3">
        <w:t xml:space="preserve">sets out the </w:t>
      </w:r>
      <w:r w:rsidR="0095012D" w:rsidRPr="002033B3">
        <w:t>high-level</w:t>
      </w:r>
      <w:r w:rsidR="003F2918" w:rsidRPr="002033B3">
        <w:t xml:space="preserve"> </w:t>
      </w:r>
      <w:r w:rsidR="005B122C" w:rsidRPr="002033B3">
        <w:t>objective</w:t>
      </w:r>
      <w:r w:rsidR="003F2918" w:rsidRPr="002033B3">
        <w:t xml:space="preserve">s of the Union including </w:t>
      </w:r>
      <w:r w:rsidR="005B122C" w:rsidRPr="002033B3">
        <w:t>“</w:t>
      </w:r>
      <w:r w:rsidR="00204E1D" w:rsidRPr="002033B3">
        <w:t xml:space="preserve">a </w:t>
      </w:r>
      <w:r w:rsidR="00555D5B" w:rsidRPr="002033B3">
        <w:t>high level of protection and improvement of the quality of the environment</w:t>
      </w:r>
      <w:r w:rsidR="005B122C" w:rsidRPr="002033B3">
        <w:t>.”</w:t>
      </w:r>
      <w:r w:rsidR="007C1F54" w:rsidRPr="002033B3">
        <w:t xml:space="preserve"> </w:t>
      </w:r>
      <w:r w:rsidR="00483408" w:rsidRPr="002033B3">
        <w:t>Article 191 TFEU</w:t>
      </w:r>
      <w:r w:rsidR="004239F0" w:rsidRPr="002033B3">
        <w:t xml:space="preserve"> </w:t>
      </w:r>
      <w:r w:rsidR="00BF3F44" w:rsidRPr="002033B3">
        <w:t xml:space="preserve">lists the objectives of </w:t>
      </w:r>
      <w:r w:rsidR="004239F0" w:rsidRPr="002033B3">
        <w:t xml:space="preserve">EU policy on the environment </w:t>
      </w:r>
      <w:r w:rsidR="00303BFF" w:rsidRPr="002033B3">
        <w:t>including “protecting human health”</w:t>
      </w:r>
      <w:r w:rsidR="00184356" w:rsidRPr="002033B3">
        <w:t xml:space="preserve"> </w:t>
      </w:r>
      <w:r w:rsidR="009F64F3" w:rsidRPr="002033B3">
        <w:t>as well as</w:t>
      </w:r>
      <w:r w:rsidR="005E171F" w:rsidRPr="002033B3">
        <w:t xml:space="preserve"> </w:t>
      </w:r>
      <w:r w:rsidR="009F64F3" w:rsidRPr="002033B3">
        <w:t>“</w:t>
      </w:r>
      <w:r w:rsidR="005E171F" w:rsidRPr="002033B3">
        <w:t>a high level of protection of the environment</w:t>
      </w:r>
      <w:r w:rsidR="00281AA5" w:rsidRPr="002033B3">
        <w:t>,</w:t>
      </w:r>
      <w:r w:rsidR="009F64F3" w:rsidRPr="002033B3">
        <w:t xml:space="preserve">” </w:t>
      </w:r>
      <w:r w:rsidR="00281AA5" w:rsidRPr="002033B3">
        <w:t>based on the precautionary principle and preventive action</w:t>
      </w:r>
      <w:r w:rsidR="00483408" w:rsidRPr="002033B3">
        <w:t>.</w:t>
      </w:r>
      <w:r w:rsidR="00E67C21" w:rsidRPr="002033B3">
        <w:t xml:space="preserve"> </w:t>
      </w:r>
      <w:r w:rsidR="00E00D02" w:rsidRPr="002033B3">
        <w:t xml:space="preserve">As discussed above in </w:t>
      </w:r>
      <w:r w:rsidR="00714D23" w:rsidRPr="002033B3">
        <w:t xml:space="preserve">section </w:t>
      </w:r>
      <w:r w:rsidR="00E00D02" w:rsidRPr="002033B3">
        <w:t xml:space="preserve">3 of the briefing note, all EU law must be read and interpreted </w:t>
      </w:r>
      <w:proofErr w:type="gramStart"/>
      <w:r w:rsidR="00E00D02" w:rsidRPr="002033B3">
        <w:t>in light of</w:t>
      </w:r>
      <w:proofErr w:type="gramEnd"/>
      <w:r w:rsidR="00E00D02" w:rsidRPr="002033B3">
        <w:t xml:space="preserve"> EU legal principles and </w:t>
      </w:r>
      <w:r w:rsidR="003E45AB" w:rsidRPr="002033B3">
        <w:t xml:space="preserve">treaty </w:t>
      </w:r>
      <w:r w:rsidR="00E00D02" w:rsidRPr="002033B3">
        <w:t xml:space="preserve">commitments. </w:t>
      </w:r>
    </w:p>
    <w:p w14:paraId="2024386E" w14:textId="77777777" w:rsidR="00483408" w:rsidRPr="002033B3" w:rsidRDefault="00483408" w:rsidP="002033B3">
      <w:pPr>
        <w:pStyle w:val="ListParagraph"/>
        <w:numPr>
          <w:ilvl w:val="0"/>
          <w:numId w:val="0"/>
        </w:numPr>
        <w:spacing w:line="276" w:lineRule="auto"/>
        <w:ind w:left="720"/>
      </w:pPr>
    </w:p>
    <w:p w14:paraId="4E7A5689" w14:textId="14594B58" w:rsidR="009A5C5E" w:rsidRPr="002033B3" w:rsidRDefault="009553E2" w:rsidP="002033B3">
      <w:pPr>
        <w:pStyle w:val="ListParagraph"/>
        <w:spacing w:line="276" w:lineRule="auto"/>
      </w:pPr>
      <w:r w:rsidRPr="002033B3">
        <w:t xml:space="preserve">Second, </w:t>
      </w:r>
      <w:r w:rsidR="006D0C82" w:rsidRPr="002033B3">
        <w:t xml:space="preserve">Article 4 of </w:t>
      </w:r>
      <w:r w:rsidRPr="002033B3">
        <w:t>the EU National Emission Reduction Commitments Directive</w:t>
      </w:r>
      <w:r w:rsidR="00E25F2C" w:rsidRPr="002033B3">
        <w:t xml:space="preserve">, read in conjunction with Article 6 of the </w:t>
      </w:r>
      <w:r w:rsidR="002654A3" w:rsidRPr="002033B3">
        <w:t>D</w:t>
      </w:r>
      <w:r w:rsidR="00E25F2C" w:rsidRPr="002033B3">
        <w:t>irective (</w:t>
      </w:r>
      <w:r w:rsidR="002654A3" w:rsidRPr="002033B3">
        <w:t>National Air Pollution Control Programmes</w:t>
      </w:r>
      <w:r w:rsidR="00FE7F9F" w:rsidRPr="002033B3">
        <w:t>)</w:t>
      </w:r>
      <w:r w:rsidR="002654A3" w:rsidRPr="002033B3">
        <w:t>,</w:t>
      </w:r>
      <w:r w:rsidR="00FE7F9F" w:rsidRPr="002033B3">
        <w:t xml:space="preserve"> </w:t>
      </w:r>
      <w:r w:rsidR="005E171F" w:rsidRPr="002033B3">
        <w:t xml:space="preserve">requires Member States to </w:t>
      </w:r>
      <w:r w:rsidR="006D0C82" w:rsidRPr="002033B3">
        <w:t xml:space="preserve">draw up, adopt and implement their respective national air pollution control programmes </w:t>
      </w:r>
      <w:proofErr w:type="gramStart"/>
      <w:r w:rsidR="00FE7F9F" w:rsidRPr="002033B3">
        <w:t>in order to</w:t>
      </w:r>
      <w:proofErr w:type="gramEnd"/>
      <w:r w:rsidR="00FE7F9F" w:rsidRPr="002033B3">
        <w:t xml:space="preserve"> </w:t>
      </w:r>
      <w:r w:rsidR="005D5BDA" w:rsidRPr="002033B3">
        <w:t>meet their commitments</w:t>
      </w:r>
      <w:r w:rsidR="006D0C82" w:rsidRPr="002033B3">
        <w:t>.</w:t>
      </w:r>
      <w:r w:rsidR="002A12B5" w:rsidRPr="002033B3">
        <w:t xml:space="preserve"> </w:t>
      </w:r>
      <w:r w:rsidR="00D85CE6" w:rsidRPr="002033B3">
        <w:t xml:space="preserve">Furthermore, Article 14 of the </w:t>
      </w:r>
      <w:r w:rsidR="002654A3" w:rsidRPr="002033B3">
        <w:t>D</w:t>
      </w:r>
      <w:r w:rsidR="00D85CE6" w:rsidRPr="002033B3">
        <w:t xml:space="preserve">irective </w:t>
      </w:r>
      <w:r w:rsidR="00920036" w:rsidRPr="002033B3">
        <w:t xml:space="preserve">mandates Member States to ensure active and systematic </w:t>
      </w:r>
      <w:r w:rsidR="000C2E83" w:rsidRPr="002033B3">
        <w:t xml:space="preserve">dissemination of information on the </w:t>
      </w:r>
      <w:r w:rsidR="000477D4" w:rsidRPr="002033B3">
        <w:t xml:space="preserve">national air pollution control programmes. </w:t>
      </w:r>
    </w:p>
    <w:p w14:paraId="4B0DCB68" w14:textId="77777777" w:rsidR="00B227E4" w:rsidRPr="002033B3" w:rsidRDefault="00B227E4" w:rsidP="002033B3">
      <w:pPr>
        <w:pStyle w:val="ListParagraph"/>
        <w:numPr>
          <w:ilvl w:val="0"/>
          <w:numId w:val="0"/>
        </w:numPr>
        <w:spacing w:line="276" w:lineRule="auto"/>
        <w:ind w:left="720"/>
      </w:pPr>
    </w:p>
    <w:p w14:paraId="70175B13" w14:textId="619F56BC" w:rsidR="00B227E4" w:rsidRPr="002033B3" w:rsidRDefault="000477D4" w:rsidP="002033B3">
      <w:pPr>
        <w:pStyle w:val="ListParagraph"/>
        <w:spacing w:line="276" w:lineRule="auto"/>
      </w:pPr>
      <w:r w:rsidRPr="002033B3">
        <w:t>Third, a</w:t>
      </w:r>
      <w:r w:rsidR="00B227E4" w:rsidRPr="002033B3">
        <w:t xml:space="preserve">s discussed in Part </w:t>
      </w:r>
      <w:r w:rsidR="00F66574" w:rsidRPr="002033B3">
        <w:t>4</w:t>
      </w:r>
      <w:r w:rsidR="00B227E4" w:rsidRPr="002033B3">
        <w:t xml:space="preserve"> of the </w:t>
      </w:r>
      <w:r w:rsidR="00D9144B" w:rsidRPr="002033B3">
        <w:t>briefing</w:t>
      </w:r>
      <w:r w:rsidR="00B227E4" w:rsidRPr="002033B3">
        <w:t xml:space="preserve"> note, and based on the discussion on the </w:t>
      </w:r>
      <w:proofErr w:type="spellStart"/>
      <w:r w:rsidR="00B227E4" w:rsidRPr="002033B3">
        <w:rPr>
          <w:i/>
          <w:iCs/>
        </w:rPr>
        <w:t>Cr</w:t>
      </w:r>
      <w:r w:rsidRPr="002033B3">
        <w:rPr>
          <w:i/>
          <w:iCs/>
        </w:rPr>
        <w:t>a</w:t>
      </w:r>
      <w:r w:rsidR="00DC3BBE" w:rsidRPr="002033B3">
        <w:rPr>
          <w:i/>
          <w:iCs/>
        </w:rPr>
        <w:t>e</w:t>
      </w:r>
      <w:r w:rsidR="00B227E4" w:rsidRPr="002033B3">
        <w:rPr>
          <w:i/>
          <w:iCs/>
        </w:rPr>
        <w:t>ynest</w:t>
      </w:r>
      <w:proofErr w:type="spellEnd"/>
      <w:r w:rsidR="00B227E4" w:rsidRPr="002033B3">
        <w:rPr>
          <w:i/>
          <w:iCs/>
        </w:rPr>
        <w:t xml:space="preserve"> </w:t>
      </w:r>
      <w:r w:rsidR="00B227E4" w:rsidRPr="002033B3">
        <w:t>case</w:t>
      </w:r>
      <w:r w:rsidR="00D9144B" w:rsidRPr="002033B3">
        <w:t xml:space="preserve">, </w:t>
      </w:r>
      <w:r w:rsidRPr="002033B3">
        <w:t>the provisions of</w:t>
      </w:r>
      <w:r w:rsidR="00D9144B" w:rsidRPr="002033B3">
        <w:t xml:space="preserve"> the EU National Emission Reduction Commitments Directive should be read in conjunction </w:t>
      </w:r>
      <w:r w:rsidRPr="002033B3">
        <w:t>with</w:t>
      </w:r>
      <w:r w:rsidR="00D9144B" w:rsidRPr="002033B3">
        <w:t xml:space="preserve"> the environmental rights </w:t>
      </w:r>
      <w:r w:rsidRPr="002033B3">
        <w:t>granted</w:t>
      </w:r>
      <w:r w:rsidR="00D9144B" w:rsidRPr="002033B3">
        <w:t xml:space="preserve"> by the Aarhus </w:t>
      </w:r>
      <w:r w:rsidR="002654A3" w:rsidRPr="002033B3">
        <w:t>C</w:t>
      </w:r>
      <w:r w:rsidR="00D9144B" w:rsidRPr="002033B3">
        <w:t xml:space="preserve">onvention, </w:t>
      </w:r>
      <w:r w:rsidRPr="002033B3">
        <w:t xml:space="preserve">which guarantee </w:t>
      </w:r>
      <w:r w:rsidR="00220B4B">
        <w:t>members of the public</w:t>
      </w:r>
      <w:r w:rsidRPr="002033B3">
        <w:t xml:space="preserve"> important procedural aspects of their environmental rights, such as the right to participate in decision-making and the right to challenge environmental decisions (Article</w:t>
      </w:r>
      <w:r w:rsidR="00D9144B" w:rsidRPr="002033B3">
        <w:t xml:space="preserve"> 6 of the </w:t>
      </w:r>
      <w:r w:rsidRPr="002033B3">
        <w:t>Aarhus</w:t>
      </w:r>
      <w:r w:rsidR="00D9144B" w:rsidRPr="002033B3">
        <w:t xml:space="preserve"> Convention</w:t>
      </w:r>
      <w:r w:rsidRPr="002033B3">
        <w:t xml:space="preserve">). </w:t>
      </w:r>
    </w:p>
    <w:p w14:paraId="547D164C" w14:textId="77777777" w:rsidR="000477D4" w:rsidRPr="002033B3" w:rsidRDefault="000477D4" w:rsidP="002033B3">
      <w:pPr>
        <w:pStyle w:val="ListParagraph"/>
        <w:numPr>
          <w:ilvl w:val="0"/>
          <w:numId w:val="0"/>
        </w:numPr>
        <w:spacing w:line="276" w:lineRule="auto"/>
        <w:ind w:left="720"/>
      </w:pPr>
    </w:p>
    <w:p w14:paraId="2AD1FA53" w14:textId="38995806" w:rsidR="000477D4" w:rsidRPr="002033B3" w:rsidRDefault="00DD7A70" w:rsidP="002033B3">
      <w:pPr>
        <w:pStyle w:val="ListParagraph"/>
        <w:spacing w:line="276" w:lineRule="auto"/>
      </w:pPr>
      <w:r w:rsidRPr="002033B3">
        <w:t xml:space="preserve">Fourth, as outlined in </w:t>
      </w:r>
      <w:r w:rsidR="00B37BA5" w:rsidRPr="002033B3">
        <w:t>section</w:t>
      </w:r>
      <w:r w:rsidRPr="002033B3">
        <w:t xml:space="preserve"> 4</w:t>
      </w:r>
      <w:r w:rsidR="00F66574" w:rsidRPr="002033B3">
        <w:t xml:space="preserve"> of th</w:t>
      </w:r>
      <w:r w:rsidR="00B37BA5" w:rsidRPr="002033B3">
        <w:t>is</w:t>
      </w:r>
      <w:r w:rsidR="00F66574" w:rsidRPr="002033B3">
        <w:t xml:space="preserve"> briefing note,</w:t>
      </w:r>
      <w:r w:rsidR="001112C2" w:rsidRPr="002033B3">
        <w:t xml:space="preserve"> and based on the </w:t>
      </w:r>
      <w:r w:rsidR="001112C2" w:rsidRPr="002033B3">
        <w:rPr>
          <w:i/>
          <w:iCs/>
        </w:rPr>
        <w:t>Brown Bears II</w:t>
      </w:r>
      <w:r w:rsidR="001112C2" w:rsidRPr="002033B3">
        <w:t xml:space="preserve"> case discussion, the EU law principle of consistent interpretation</w:t>
      </w:r>
      <w:r w:rsidR="00380962" w:rsidRPr="002033B3">
        <w:t xml:space="preserve"> allows for</w:t>
      </w:r>
      <w:r w:rsidR="00761B2A" w:rsidRPr="002033B3">
        <w:t xml:space="preserve"> </w:t>
      </w:r>
      <w:r w:rsidR="001112C2" w:rsidRPr="002033B3">
        <w:t>the provision</w:t>
      </w:r>
      <w:r w:rsidR="00761B2A" w:rsidRPr="002033B3">
        <w:t>s</w:t>
      </w:r>
      <w:r w:rsidR="001112C2" w:rsidRPr="002033B3">
        <w:t xml:space="preserve"> of the EU National Emission Reduction Commitments Directive and the rights derived from the Aarhus Convention </w:t>
      </w:r>
      <w:r w:rsidR="00380962" w:rsidRPr="002033B3">
        <w:t>to</w:t>
      </w:r>
      <w:r w:rsidR="001112C2" w:rsidRPr="002033B3">
        <w:t xml:space="preserve"> be read in </w:t>
      </w:r>
      <w:r w:rsidR="00380962" w:rsidRPr="002033B3">
        <w:t>light of</w:t>
      </w:r>
      <w:r w:rsidR="001112C2" w:rsidRPr="002033B3">
        <w:t xml:space="preserve"> the EU Charter of Fundamental Rights, in particular Article 37 (protection for the </w:t>
      </w:r>
      <w:r w:rsidR="00761B2A" w:rsidRPr="002033B3">
        <w:t>environment</w:t>
      </w:r>
      <w:r w:rsidR="001112C2" w:rsidRPr="002033B3">
        <w:t>) and Article 47 (access to justice)</w:t>
      </w:r>
      <w:r w:rsidR="00380962" w:rsidRPr="002033B3">
        <w:t>.</w:t>
      </w:r>
    </w:p>
    <w:p w14:paraId="7B37DDD6" w14:textId="77777777" w:rsidR="00380962" w:rsidRPr="002033B3" w:rsidRDefault="00380962" w:rsidP="002033B3">
      <w:pPr>
        <w:pStyle w:val="ListParagraph"/>
        <w:numPr>
          <w:ilvl w:val="0"/>
          <w:numId w:val="0"/>
        </w:numPr>
        <w:spacing w:line="276" w:lineRule="auto"/>
        <w:ind w:left="720"/>
      </w:pPr>
    </w:p>
    <w:p w14:paraId="164F4C89" w14:textId="25A6ED1D" w:rsidR="00380962" w:rsidRPr="002033B3" w:rsidRDefault="00380962" w:rsidP="002033B3">
      <w:pPr>
        <w:pStyle w:val="ListParagraph"/>
        <w:spacing w:line="276" w:lineRule="auto"/>
      </w:pPr>
      <w:r w:rsidRPr="002033B3">
        <w:t xml:space="preserve">In summary, there is a clear </w:t>
      </w:r>
      <w:r w:rsidR="003A6486" w:rsidRPr="002033B3">
        <w:t>EU law underpinning of the</w:t>
      </w:r>
      <w:r w:rsidRPr="002033B3">
        <w:t xml:space="preserve"> </w:t>
      </w:r>
      <w:r w:rsidR="003A6486" w:rsidRPr="002033B3">
        <w:t xml:space="preserve">right to </w:t>
      </w:r>
      <w:r w:rsidR="00E403CB" w:rsidRPr="002033B3">
        <w:t xml:space="preserve">environmental protection in the context of the right to life and the right to private and family life which includes </w:t>
      </w:r>
      <w:r w:rsidR="00B23903" w:rsidRPr="002033B3">
        <w:t xml:space="preserve">the </w:t>
      </w:r>
      <w:r w:rsidR="007A5ABB" w:rsidRPr="002033B3">
        <w:t>obligation</w:t>
      </w:r>
      <w:r w:rsidR="00B23903" w:rsidRPr="002033B3">
        <w:t xml:space="preserve"> on </w:t>
      </w:r>
      <w:r w:rsidR="00116622" w:rsidRPr="002033B3">
        <w:t>M</w:t>
      </w:r>
      <w:r w:rsidR="00B23903" w:rsidRPr="002033B3">
        <w:t xml:space="preserve">ember States to take concrete </w:t>
      </w:r>
      <w:r w:rsidR="007A5ABB" w:rsidRPr="002033B3">
        <w:t>measures</w:t>
      </w:r>
      <w:r w:rsidR="00B23903" w:rsidRPr="002033B3">
        <w:t xml:space="preserve"> to tackle </w:t>
      </w:r>
      <w:r w:rsidR="007A5ABB" w:rsidRPr="002033B3">
        <w:t>environmental threats</w:t>
      </w:r>
      <w:r w:rsidR="00B23903" w:rsidRPr="002033B3">
        <w:t xml:space="preserve">, such as </w:t>
      </w:r>
      <w:r w:rsidR="007A5ABB" w:rsidRPr="002033B3">
        <w:t>air</w:t>
      </w:r>
      <w:r w:rsidR="00B23903" w:rsidRPr="002033B3">
        <w:t xml:space="preserve"> pollution, by adopting </w:t>
      </w:r>
      <w:r w:rsidR="007A5ABB" w:rsidRPr="002033B3">
        <w:t>national programmes</w:t>
      </w:r>
      <w:r w:rsidR="00B23903" w:rsidRPr="002033B3">
        <w:t xml:space="preserve">, as well as </w:t>
      </w:r>
      <w:r w:rsidR="007A5ABB" w:rsidRPr="002033B3">
        <w:t xml:space="preserve">the procedural rights to participation, information and legal challenge. </w:t>
      </w:r>
    </w:p>
    <w:p w14:paraId="7746CBEC" w14:textId="77777777" w:rsidR="007A5ABB" w:rsidRPr="002033B3" w:rsidRDefault="007A5ABB" w:rsidP="002033B3">
      <w:pPr>
        <w:pStyle w:val="ListParagraph"/>
        <w:numPr>
          <w:ilvl w:val="0"/>
          <w:numId w:val="0"/>
        </w:numPr>
        <w:spacing w:line="276" w:lineRule="auto"/>
        <w:ind w:left="720"/>
      </w:pPr>
    </w:p>
    <w:p w14:paraId="5EA17E8A" w14:textId="668E34D6" w:rsidR="007A5ABB" w:rsidRPr="002033B3" w:rsidRDefault="007A5ABB" w:rsidP="00F62570">
      <w:pPr>
        <w:pStyle w:val="Heading2"/>
        <w:keepNext/>
        <w:spacing w:line="276" w:lineRule="auto"/>
      </w:pPr>
      <w:bookmarkStart w:id="38" w:name="_Toc201578309"/>
      <w:r w:rsidRPr="002033B3">
        <w:t>Possible diminution</w:t>
      </w:r>
      <w:bookmarkEnd w:id="38"/>
    </w:p>
    <w:p w14:paraId="33F213DA" w14:textId="77777777" w:rsidR="007A5ABB" w:rsidRPr="002033B3" w:rsidRDefault="007A5ABB" w:rsidP="00F62570">
      <w:pPr>
        <w:keepNext/>
        <w:spacing w:line="276" w:lineRule="auto"/>
        <w:rPr>
          <w:i/>
          <w:iCs/>
        </w:rPr>
      </w:pPr>
    </w:p>
    <w:p w14:paraId="54C9D948" w14:textId="3223A4E0" w:rsidR="007A5ABB" w:rsidRPr="002033B3" w:rsidRDefault="007A5ABB" w:rsidP="00F62570">
      <w:pPr>
        <w:pStyle w:val="ListParagraph"/>
        <w:keepNext/>
        <w:spacing w:line="276" w:lineRule="auto"/>
      </w:pPr>
      <w:r w:rsidRPr="002033B3">
        <w:t xml:space="preserve">The revoked Regulations 9 and 10 of the </w:t>
      </w:r>
      <w:r w:rsidR="007D4678" w:rsidRPr="002033B3">
        <w:t>National Emissions Ceiling Regulations 2018</w:t>
      </w:r>
      <w:r w:rsidR="004728CE" w:rsidRPr="002033B3">
        <w:t xml:space="preserve"> provided domestic underpinning for the requirement to publish a National Air Pollution Control Programme, to monitor this programme against </w:t>
      </w:r>
      <w:r w:rsidR="00F95A5E" w:rsidRPr="002033B3">
        <w:t xml:space="preserve">agreed targets for air pollution </w:t>
      </w:r>
      <w:r w:rsidR="00C3222B" w:rsidRPr="002033B3">
        <w:t>reduction</w:t>
      </w:r>
      <w:r w:rsidR="004728CE" w:rsidRPr="002033B3">
        <w:t>,</w:t>
      </w:r>
      <w:r w:rsidR="00E02292" w:rsidRPr="002033B3">
        <w:t xml:space="preserve"> and </w:t>
      </w:r>
      <w:r w:rsidR="004728CE" w:rsidRPr="002033B3">
        <w:t xml:space="preserve">to </w:t>
      </w:r>
      <w:r w:rsidR="00C3222B" w:rsidRPr="002033B3">
        <w:t xml:space="preserve">ensure there is public consultation on the </w:t>
      </w:r>
      <w:r w:rsidR="00E72AAD" w:rsidRPr="002033B3">
        <w:t>p</w:t>
      </w:r>
      <w:r w:rsidR="00C3222B" w:rsidRPr="002033B3">
        <w:t>rogramme.</w:t>
      </w:r>
    </w:p>
    <w:p w14:paraId="48CBD6C4" w14:textId="77777777" w:rsidR="00C3222B" w:rsidRPr="002033B3" w:rsidRDefault="00C3222B" w:rsidP="002033B3">
      <w:pPr>
        <w:pStyle w:val="ListParagraph"/>
        <w:numPr>
          <w:ilvl w:val="0"/>
          <w:numId w:val="0"/>
        </w:numPr>
        <w:spacing w:line="276" w:lineRule="auto"/>
        <w:ind w:left="720"/>
      </w:pPr>
    </w:p>
    <w:p w14:paraId="557D5FD9" w14:textId="7808D040" w:rsidR="00C3222B" w:rsidRPr="002033B3" w:rsidRDefault="00E72AAD" w:rsidP="002033B3">
      <w:pPr>
        <w:pStyle w:val="ListParagraph"/>
        <w:spacing w:line="276" w:lineRule="auto"/>
      </w:pPr>
      <w:r w:rsidRPr="002033B3">
        <w:t>T</w:t>
      </w:r>
      <w:r w:rsidR="00B43864" w:rsidRPr="002033B3">
        <w:t>he</w:t>
      </w:r>
      <w:r w:rsidRPr="002033B3">
        <w:t xml:space="preserve"> absence of</w:t>
      </w:r>
      <w:r w:rsidR="00C3222B" w:rsidRPr="002033B3">
        <w:t xml:space="preserve"> </w:t>
      </w:r>
      <w:r w:rsidR="001706A2" w:rsidRPr="002033B3">
        <w:t xml:space="preserve">the </w:t>
      </w:r>
      <w:r w:rsidR="00C3222B" w:rsidRPr="002033B3">
        <w:t>Regulations</w:t>
      </w:r>
      <w:r w:rsidR="00815225" w:rsidRPr="002033B3">
        <w:t xml:space="preserve">, </w:t>
      </w:r>
      <w:r w:rsidR="001706A2" w:rsidRPr="002033B3">
        <w:t xml:space="preserve">or </w:t>
      </w:r>
      <w:r w:rsidR="00815225" w:rsidRPr="002033B3">
        <w:t xml:space="preserve">alternative domestic legislation, </w:t>
      </w:r>
      <w:r w:rsidR="00B43864" w:rsidRPr="002033B3">
        <w:t>raises serio</w:t>
      </w:r>
      <w:r w:rsidR="00A96D1B" w:rsidRPr="002033B3">
        <w:t>u</w:t>
      </w:r>
      <w:r w:rsidR="00B43864" w:rsidRPr="002033B3">
        <w:t>s concern</w:t>
      </w:r>
      <w:r w:rsidR="3878C7C6" w:rsidRPr="002033B3">
        <w:t xml:space="preserve"> that there has been </w:t>
      </w:r>
      <w:r w:rsidR="00B43864" w:rsidRPr="002033B3">
        <w:t>a diminution of the rights derived from Article 6 of the EU National Emission Reduction Commitments Directive</w:t>
      </w:r>
      <w:r w:rsidR="001A5E86" w:rsidRPr="002033B3">
        <w:t xml:space="preserve"> and</w:t>
      </w:r>
      <w:r w:rsidR="00B43864" w:rsidRPr="002033B3">
        <w:t xml:space="preserve"> Article 6 of the Aarhus Convention when read in conjunction with relevant provisions of the EU Charter of Fundamental Rights.</w:t>
      </w:r>
    </w:p>
    <w:p w14:paraId="67035C33" w14:textId="77777777" w:rsidR="00796270" w:rsidRPr="002033B3" w:rsidRDefault="00796270" w:rsidP="002033B3">
      <w:pPr>
        <w:pStyle w:val="ListParagraph"/>
        <w:numPr>
          <w:ilvl w:val="0"/>
          <w:numId w:val="0"/>
        </w:numPr>
        <w:spacing w:line="276" w:lineRule="auto"/>
        <w:ind w:left="720"/>
      </w:pPr>
    </w:p>
    <w:p w14:paraId="6B44A78E" w14:textId="58E85D9E" w:rsidR="00B43864" w:rsidRPr="002033B3" w:rsidRDefault="0039613E" w:rsidP="002033B3">
      <w:pPr>
        <w:pStyle w:val="ListParagraph"/>
        <w:spacing w:line="276" w:lineRule="auto"/>
      </w:pPr>
      <w:r w:rsidRPr="002033B3">
        <w:t xml:space="preserve">The authors of the independent research provide two </w:t>
      </w:r>
      <w:r w:rsidR="003F289A" w:rsidRPr="002033B3">
        <w:t xml:space="preserve">other case-studies on </w:t>
      </w:r>
      <w:r w:rsidR="77B3688C" w:rsidRPr="002033B3">
        <w:t xml:space="preserve">the </w:t>
      </w:r>
      <w:r w:rsidR="003F289A" w:rsidRPr="002033B3">
        <w:t>potential diminution of human rights connected to the environment</w:t>
      </w:r>
      <w:r w:rsidR="001C2A8D" w:rsidRPr="002033B3">
        <w:t xml:space="preserve">. </w:t>
      </w:r>
      <w:r w:rsidR="001C2A8D" w:rsidRPr="002033B3">
        <w:lastRenderedPageBreak/>
        <w:t xml:space="preserve">These case-studies </w:t>
      </w:r>
      <w:r w:rsidR="003F289A" w:rsidRPr="002033B3">
        <w:t xml:space="preserve">focus </w:t>
      </w:r>
      <w:r w:rsidR="003A7E54" w:rsidRPr="002033B3">
        <w:t>further on the rights derived from the Aarhus Convention</w:t>
      </w:r>
      <w:r w:rsidR="001C2A8D" w:rsidRPr="002033B3">
        <w:rPr>
          <w:rStyle w:val="FootnoteReference"/>
        </w:rPr>
        <w:footnoteReference w:id="103"/>
      </w:r>
      <w:r w:rsidR="003A7E54" w:rsidRPr="002033B3">
        <w:t xml:space="preserve"> and on </w:t>
      </w:r>
      <w:r w:rsidR="0042487A" w:rsidRPr="002033B3">
        <w:t>environmental safeguards around nature conservation.</w:t>
      </w:r>
      <w:r w:rsidR="0042487A" w:rsidRPr="002033B3">
        <w:rPr>
          <w:rStyle w:val="FootnoteReference"/>
        </w:rPr>
        <w:footnoteReference w:id="104"/>
      </w:r>
    </w:p>
    <w:p w14:paraId="46DC5ADC" w14:textId="77777777" w:rsidR="009050E8" w:rsidRPr="002033B3" w:rsidRDefault="009050E8" w:rsidP="002033B3">
      <w:pPr>
        <w:pStyle w:val="ListParagraph"/>
        <w:numPr>
          <w:ilvl w:val="0"/>
          <w:numId w:val="0"/>
        </w:numPr>
        <w:spacing w:line="276" w:lineRule="auto"/>
        <w:ind w:left="720"/>
      </w:pPr>
    </w:p>
    <w:p w14:paraId="4341D287" w14:textId="0091AA37" w:rsidR="008311ED" w:rsidRPr="002033B3" w:rsidRDefault="009A5C5E" w:rsidP="002033B3">
      <w:pPr>
        <w:pStyle w:val="ListParagraph"/>
        <w:spacing w:line="276" w:lineRule="auto"/>
        <w:rPr>
          <w:b/>
          <w:bCs/>
        </w:rPr>
      </w:pPr>
      <w:bookmarkStart w:id="39" w:name="_Hlk200380738"/>
      <w:r w:rsidRPr="002033B3">
        <w:rPr>
          <w:b/>
          <w:bCs/>
        </w:rPr>
        <w:t>The NIHRC advises that the removal of Regulations 9 and 10 of the National Emissions Ceiling Regulations 2018</w:t>
      </w:r>
      <w:r w:rsidR="005076B2" w:rsidRPr="002033B3">
        <w:rPr>
          <w:b/>
          <w:bCs/>
        </w:rPr>
        <w:t>,</w:t>
      </w:r>
      <w:r w:rsidR="006126C4" w:rsidRPr="002033B3">
        <w:rPr>
          <w:b/>
          <w:bCs/>
        </w:rPr>
        <w:t xml:space="preserve"> </w:t>
      </w:r>
      <w:r w:rsidR="008F5C5E" w:rsidRPr="002033B3">
        <w:rPr>
          <w:b/>
          <w:bCs/>
        </w:rPr>
        <w:t>if not</w:t>
      </w:r>
      <w:r w:rsidR="006126C4" w:rsidRPr="002033B3">
        <w:rPr>
          <w:b/>
          <w:bCs/>
        </w:rPr>
        <w:t xml:space="preserve"> replac</w:t>
      </w:r>
      <w:r w:rsidR="008F5C5E" w:rsidRPr="002033B3">
        <w:rPr>
          <w:b/>
          <w:bCs/>
        </w:rPr>
        <w:t>ed,</w:t>
      </w:r>
      <w:r w:rsidR="006126C4" w:rsidRPr="002033B3">
        <w:rPr>
          <w:b/>
          <w:bCs/>
        </w:rPr>
        <w:t xml:space="preserve"> </w:t>
      </w:r>
      <w:r w:rsidRPr="002033B3">
        <w:rPr>
          <w:b/>
          <w:bCs/>
        </w:rPr>
        <w:t xml:space="preserve">significantly </w:t>
      </w:r>
      <w:r w:rsidR="000C785D" w:rsidRPr="002033B3">
        <w:rPr>
          <w:b/>
          <w:bCs/>
        </w:rPr>
        <w:t xml:space="preserve">diminishes </w:t>
      </w:r>
      <w:r w:rsidR="00900E2F" w:rsidRPr="002033B3">
        <w:rPr>
          <w:b/>
          <w:bCs/>
        </w:rPr>
        <w:t>the duty</w:t>
      </w:r>
      <w:r w:rsidR="00286AFA" w:rsidRPr="002033B3">
        <w:rPr>
          <w:b/>
          <w:bCs/>
        </w:rPr>
        <w:t xml:space="preserve"> </w:t>
      </w:r>
      <w:r w:rsidRPr="002033B3">
        <w:rPr>
          <w:b/>
          <w:bCs/>
        </w:rPr>
        <w:t>to tackle air pollution</w:t>
      </w:r>
      <w:r w:rsidR="000774DE" w:rsidRPr="002033B3">
        <w:rPr>
          <w:b/>
          <w:bCs/>
        </w:rPr>
        <w:t>,</w:t>
      </w:r>
      <w:r w:rsidRPr="002033B3">
        <w:rPr>
          <w:b/>
          <w:bCs/>
        </w:rPr>
        <w:t xml:space="preserve"> </w:t>
      </w:r>
      <w:r w:rsidR="006375A1" w:rsidRPr="002033B3">
        <w:rPr>
          <w:b/>
          <w:bCs/>
        </w:rPr>
        <w:t xml:space="preserve">below </w:t>
      </w:r>
      <w:r w:rsidR="001D64FF" w:rsidRPr="002033B3">
        <w:rPr>
          <w:b/>
          <w:bCs/>
        </w:rPr>
        <w:t xml:space="preserve">relevant </w:t>
      </w:r>
      <w:r w:rsidR="006375A1" w:rsidRPr="002033B3">
        <w:rPr>
          <w:b/>
          <w:bCs/>
        </w:rPr>
        <w:t xml:space="preserve">EU </w:t>
      </w:r>
      <w:r w:rsidR="00640845" w:rsidRPr="002033B3">
        <w:rPr>
          <w:b/>
          <w:bCs/>
        </w:rPr>
        <w:t xml:space="preserve">minimum </w:t>
      </w:r>
      <w:r w:rsidR="006375A1" w:rsidRPr="002033B3">
        <w:rPr>
          <w:b/>
          <w:bCs/>
        </w:rPr>
        <w:t>standards</w:t>
      </w:r>
      <w:r w:rsidRPr="002033B3">
        <w:rPr>
          <w:b/>
          <w:bCs/>
        </w:rPr>
        <w:t>.</w:t>
      </w:r>
    </w:p>
    <w:p w14:paraId="4F36615B" w14:textId="77777777" w:rsidR="008311ED" w:rsidRPr="002033B3" w:rsidRDefault="008311ED" w:rsidP="002033B3">
      <w:pPr>
        <w:pStyle w:val="ListParagraph"/>
        <w:numPr>
          <w:ilvl w:val="0"/>
          <w:numId w:val="0"/>
        </w:numPr>
        <w:spacing w:line="276" w:lineRule="auto"/>
        <w:ind w:left="720"/>
        <w:rPr>
          <w:b/>
          <w:bCs/>
        </w:rPr>
      </w:pPr>
    </w:p>
    <w:p w14:paraId="7382015D" w14:textId="0615B8BB" w:rsidR="001C2FCB" w:rsidRPr="002033B3" w:rsidRDefault="009A5C5E" w:rsidP="002033B3">
      <w:pPr>
        <w:pStyle w:val="ListParagraph"/>
        <w:spacing w:line="276" w:lineRule="auto"/>
        <w:rPr>
          <w:b/>
          <w:bCs/>
        </w:rPr>
      </w:pPr>
      <w:r w:rsidRPr="002033B3">
        <w:rPr>
          <w:b/>
          <w:bCs/>
        </w:rPr>
        <w:t xml:space="preserve">The NIHRC advises that </w:t>
      </w:r>
      <w:r w:rsidR="00E73AB1" w:rsidRPr="002033B3">
        <w:rPr>
          <w:b/>
          <w:bCs/>
        </w:rPr>
        <w:t xml:space="preserve">the </w:t>
      </w:r>
      <w:r w:rsidRPr="002033B3">
        <w:rPr>
          <w:b/>
          <w:bCs/>
        </w:rPr>
        <w:t>loss of EU</w:t>
      </w:r>
      <w:r w:rsidR="00777938" w:rsidRPr="002033B3">
        <w:rPr>
          <w:b/>
          <w:bCs/>
        </w:rPr>
        <w:t>-</w:t>
      </w:r>
      <w:r w:rsidRPr="002033B3">
        <w:rPr>
          <w:b/>
          <w:bCs/>
        </w:rPr>
        <w:t xml:space="preserve">derived regulatory and procedural mechanisms to achieve clean air may result in a diminution of </w:t>
      </w:r>
      <w:r w:rsidR="00986695" w:rsidRPr="002033B3">
        <w:rPr>
          <w:b/>
          <w:bCs/>
        </w:rPr>
        <w:t xml:space="preserve">the </w:t>
      </w:r>
      <w:r w:rsidR="009844D4" w:rsidRPr="002033B3">
        <w:rPr>
          <w:b/>
          <w:bCs/>
        </w:rPr>
        <w:t>ability of an individual to assert their right</w:t>
      </w:r>
      <w:r w:rsidR="000966BA" w:rsidRPr="002033B3">
        <w:rPr>
          <w:b/>
          <w:bCs/>
        </w:rPr>
        <w:t xml:space="preserve"> to health</w:t>
      </w:r>
      <w:r w:rsidR="00116622" w:rsidRPr="002033B3">
        <w:rPr>
          <w:b/>
          <w:bCs/>
        </w:rPr>
        <w:t>,</w:t>
      </w:r>
      <w:r w:rsidR="000966BA" w:rsidRPr="002033B3">
        <w:rPr>
          <w:b/>
          <w:bCs/>
        </w:rPr>
        <w:t xml:space="preserve"> </w:t>
      </w:r>
      <w:r w:rsidR="00EC617F" w:rsidRPr="002033B3">
        <w:rPr>
          <w:b/>
          <w:bCs/>
        </w:rPr>
        <w:t xml:space="preserve">such as </w:t>
      </w:r>
      <w:r w:rsidRPr="002033B3">
        <w:rPr>
          <w:b/>
          <w:bCs/>
        </w:rPr>
        <w:t>the right to challenge air pollution derived from EU law, such as the EU Ambient Air Directive and the EU National Emission Reduction Commitments Directive.</w:t>
      </w:r>
    </w:p>
    <w:p w14:paraId="5D7B3413" w14:textId="77777777" w:rsidR="001C2FCB" w:rsidRPr="002033B3" w:rsidRDefault="001C2FCB" w:rsidP="002033B3">
      <w:pPr>
        <w:pStyle w:val="ListParagraph"/>
        <w:numPr>
          <w:ilvl w:val="0"/>
          <w:numId w:val="0"/>
        </w:numPr>
        <w:spacing w:line="276" w:lineRule="auto"/>
        <w:ind w:left="720"/>
        <w:rPr>
          <w:b/>
          <w:bCs/>
        </w:rPr>
      </w:pPr>
    </w:p>
    <w:p w14:paraId="4B0CF5A9" w14:textId="063E33AD" w:rsidR="00441AF2" w:rsidRPr="002033B3" w:rsidRDefault="009A5C5E" w:rsidP="002033B3">
      <w:pPr>
        <w:pStyle w:val="ListParagraph"/>
        <w:spacing w:line="276" w:lineRule="auto"/>
        <w:rPr>
          <w:b/>
          <w:bCs/>
        </w:rPr>
      </w:pPr>
      <w:r w:rsidRPr="002033B3">
        <w:rPr>
          <w:b/>
          <w:bCs/>
        </w:rPr>
        <w:t>The NIHRC further advises that the removal of Regulations 9 and 10 of the National Emissions Ceiling Regulations 2018 may result in a diminution of procedural environmental rights to challenge the removal of key EU</w:t>
      </w:r>
      <w:r w:rsidR="002B4BC8" w:rsidRPr="002033B3">
        <w:rPr>
          <w:b/>
          <w:bCs/>
        </w:rPr>
        <w:t>-</w:t>
      </w:r>
      <w:r w:rsidRPr="002033B3">
        <w:rPr>
          <w:b/>
          <w:bCs/>
        </w:rPr>
        <w:t>derived measures to tackle air pollution that were underpinned by the EU National Emission Reduction Commitments Directive.</w:t>
      </w:r>
      <w:r w:rsidR="00237CEE" w:rsidRPr="002033B3">
        <w:rPr>
          <w:b/>
          <w:bCs/>
        </w:rPr>
        <w:t xml:space="preserve"> </w:t>
      </w:r>
    </w:p>
    <w:p w14:paraId="4B3934FA" w14:textId="77777777" w:rsidR="00441AF2" w:rsidRPr="002033B3" w:rsidRDefault="00441AF2" w:rsidP="002033B3">
      <w:pPr>
        <w:pStyle w:val="ListParagraph"/>
        <w:numPr>
          <w:ilvl w:val="0"/>
          <w:numId w:val="0"/>
        </w:numPr>
        <w:spacing w:line="276" w:lineRule="auto"/>
        <w:ind w:left="720"/>
        <w:rPr>
          <w:b/>
          <w:bCs/>
        </w:rPr>
      </w:pPr>
    </w:p>
    <w:p w14:paraId="5F852217" w14:textId="6F5D5A0D" w:rsidR="00441AF2" w:rsidRPr="002033B3" w:rsidRDefault="009A5C5E" w:rsidP="002033B3">
      <w:pPr>
        <w:pStyle w:val="ListParagraph"/>
        <w:spacing w:line="276" w:lineRule="auto"/>
        <w:rPr>
          <w:b/>
          <w:bCs/>
        </w:rPr>
      </w:pPr>
      <w:bookmarkStart w:id="40" w:name="_Hlk200701378"/>
      <w:r w:rsidRPr="002033B3">
        <w:rPr>
          <w:b/>
          <w:bCs/>
        </w:rPr>
        <w:t xml:space="preserve">The NIHRC </w:t>
      </w:r>
      <w:r w:rsidR="00DB4613" w:rsidRPr="002033B3">
        <w:rPr>
          <w:b/>
          <w:bCs/>
        </w:rPr>
        <w:t>advise</w:t>
      </w:r>
      <w:r w:rsidR="004F2E3A" w:rsidRPr="002033B3">
        <w:rPr>
          <w:b/>
          <w:bCs/>
        </w:rPr>
        <w:t>s</w:t>
      </w:r>
      <w:r w:rsidR="00DB4613" w:rsidRPr="002033B3">
        <w:rPr>
          <w:b/>
          <w:bCs/>
        </w:rPr>
        <w:t xml:space="preserve"> </w:t>
      </w:r>
      <w:r w:rsidRPr="002033B3">
        <w:rPr>
          <w:b/>
          <w:bCs/>
        </w:rPr>
        <w:t xml:space="preserve">the </w:t>
      </w:r>
      <w:r w:rsidR="00CC17DC" w:rsidRPr="002033B3">
        <w:rPr>
          <w:b/>
          <w:bCs/>
        </w:rPr>
        <w:t>Department of Agriculture, Environment and Rural Affairs</w:t>
      </w:r>
      <w:r w:rsidR="00237CEE" w:rsidRPr="002033B3">
        <w:rPr>
          <w:b/>
          <w:bCs/>
        </w:rPr>
        <w:t>, the NI Office and</w:t>
      </w:r>
      <w:r w:rsidR="00173C2D" w:rsidRPr="002033B3">
        <w:rPr>
          <w:b/>
          <w:bCs/>
        </w:rPr>
        <w:t xml:space="preserve"> the Department </w:t>
      </w:r>
      <w:r w:rsidR="00045E62" w:rsidRPr="002033B3">
        <w:rPr>
          <w:b/>
          <w:bCs/>
        </w:rPr>
        <w:t>for Environment, Food and Rural Affairs to</w:t>
      </w:r>
      <w:r w:rsidR="00CC17DC" w:rsidRPr="002033B3">
        <w:rPr>
          <w:b/>
          <w:bCs/>
        </w:rPr>
        <w:t xml:space="preserve"> </w:t>
      </w:r>
      <w:r w:rsidRPr="002033B3">
        <w:rPr>
          <w:b/>
          <w:bCs/>
        </w:rPr>
        <w:t>conduct in-depth analysis</w:t>
      </w:r>
      <w:r w:rsidR="0074665E" w:rsidRPr="002033B3">
        <w:rPr>
          <w:b/>
          <w:bCs/>
        </w:rPr>
        <w:t xml:space="preserve"> </w:t>
      </w:r>
      <w:r w:rsidRPr="002033B3">
        <w:rPr>
          <w:b/>
          <w:bCs/>
        </w:rPr>
        <w:t xml:space="preserve">on the impact the removal of Regulations 9 and 10 of the National Emissions Ceiling Regulations 2018 has had on the </w:t>
      </w:r>
      <w:r w:rsidR="00AA50FD" w:rsidRPr="002033B3">
        <w:rPr>
          <w:b/>
          <w:bCs/>
        </w:rPr>
        <w:t>duty</w:t>
      </w:r>
      <w:r w:rsidR="003D6F69" w:rsidRPr="002033B3">
        <w:rPr>
          <w:b/>
          <w:bCs/>
        </w:rPr>
        <w:t xml:space="preserve"> </w:t>
      </w:r>
      <w:r w:rsidRPr="002033B3">
        <w:rPr>
          <w:b/>
          <w:bCs/>
        </w:rPr>
        <w:t>to combat air pollution in NI.</w:t>
      </w:r>
      <w:r w:rsidR="0074665E" w:rsidRPr="002033B3">
        <w:rPr>
          <w:b/>
          <w:bCs/>
        </w:rPr>
        <w:t xml:space="preserve"> The removal of the statutory framework without a domestic equivalent</w:t>
      </w:r>
      <w:r w:rsidR="00851D97" w:rsidRPr="002033B3">
        <w:rPr>
          <w:b/>
          <w:bCs/>
        </w:rPr>
        <w:t xml:space="preserve"> replacing the EU minimum standards</w:t>
      </w:r>
      <w:r w:rsidR="0074665E" w:rsidRPr="002033B3">
        <w:rPr>
          <w:b/>
          <w:bCs/>
        </w:rPr>
        <w:t xml:space="preserve"> may have resulted in a diminution of rights contrary to the commitment in Windsor Framework Article 2.</w:t>
      </w:r>
    </w:p>
    <w:bookmarkEnd w:id="39"/>
    <w:bookmarkEnd w:id="40"/>
    <w:p w14:paraId="4DB357D9" w14:textId="5E186D63" w:rsidR="00D95EAE" w:rsidRPr="002033B3" w:rsidRDefault="00D95EAE" w:rsidP="002033B3">
      <w:pPr>
        <w:spacing w:line="276" w:lineRule="auto"/>
        <w:contextualSpacing w:val="0"/>
        <w:rPr>
          <w:rFonts w:cs="MinionPro-Regular"/>
          <w:color w:val="000000"/>
        </w:rPr>
      </w:pPr>
    </w:p>
    <w:p w14:paraId="55E9DD6B" w14:textId="77777777" w:rsidR="008F29DC" w:rsidRPr="002033B3" w:rsidRDefault="008F29DC" w:rsidP="002033B3">
      <w:pPr>
        <w:pStyle w:val="BasicParagraph"/>
        <w:spacing w:line="276" w:lineRule="auto"/>
        <w:rPr>
          <w:rFonts w:ascii="Verdana" w:hAnsi="Verdana"/>
        </w:rPr>
      </w:pPr>
    </w:p>
    <w:p w14:paraId="0721BE5C" w14:textId="77777777" w:rsidR="008F29DC" w:rsidRPr="002033B3" w:rsidRDefault="008F29DC" w:rsidP="002033B3">
      <w:pPr>
        <w:pStyle w:val="BasicParagraph"/>
        <w:spacing w:line="276" w:lineRule="auto"/>
        <w:rPr>
          <w:rFonts w:ascii="Verdana" w:hAnsi="Verdana"/>
        </w:rPr>
      </w:pPr>
    </w:p>
    <w:p w14:paraId="41931938" w14:textId="7DF449C7" w:rsidR="008E3C65" w:rsidRDefault="00F62570">
      <w:pPr>
        <w:spacing w:line="240" w:lineRule="auto"/>
        <w:contextualSpacing w:val="0"/>
        <w:rPr>
          <w:rFonts w:cs="MinionPro-Regular"/>
          <w:color w:val="000000"/>
        </w:rPr>
      </w:pPr>
      <w:r>
        <w:br w:type="page"/>
      </w:r>
    </w:p>
    <w:p w14:paraId="1FBF6177" w14:textId="77777777" w:rsidR="008E3C65" w:rsidRDefault="008E3C65" w:rsidP="002033B3">
      <w:pPr>
        <w:pStyle w:val="BasicParagraph"/>
        <w:spacing w:line="276" w:lineRule="auto"/>
        <w:rPr>
          <w:rFonts w:ascii="Verdana" w:hAnsi="Verdana"/>
        </w:rPr>
      </w:pPr>
    </w:p>
    <w:p w14:paraId="13FF060D" w14:textId="77777777" w:rsidR="00F62570" w:rsidRDefault="00F62570" w:rsidP="002033B3">
      <w:pPr>
        <w:pStyle w:val="BasicParagraph"/>
        <w:spacing w:line="276" w:lineRule="auto"/>
        <w:rPr>
          <w:rFonts w:ascii="Verdana" w:hAnsi="Verdana"/>
        </w:rPr>
      </w:pPr>
    </w:p>
    <w:p w14:paraId="10AEBA76" w14:textId="77777777" w:rsidR="00F62570" w:rsidRDefault="00F62570" w:rsidP="002033B3">
      <w:pPr>
        <w:pStyle w:val="BasicParagraph"/>
        <w:spacing w:line="276" w:lineRule="auto"/>
        <w:rPr>
          <w:rFonts w:ascii="Verdana" w:hAnsi="Verdana"/>
        </w:rPr>
      </w:pPr>
    </w:p>
    <w:p w14:paraId="575C9831" w14:textId="77777777" w:rsidR="00F62570" w:rsidRDefault="00F62570" w:rsidP="002033B3">
      <w:pPr>
        <w:pStyle w:val="BasicParagraph"/>
        <w:spacing w:line="276" w:lineRule="auto"/>
        <w:rPr>
          <w:rFonts w:ascii="Verdana" w:hAnsi="Verdana"/>
        </w:rPr>
      </w:pPr>
    </w:p>
    <w:p w14:paraId="4B9E5668" w14:textId="77777777" w:rsidR="00F62570" w:rsidRDefault="00F62570" w:rsidP="002033B3">
      <w:pPr>
        <w:pStyle w:val="BasicParagraph"/>
        <w:spacing w:line="276" w:lineRule="auto"/>
        <w:rPr>
          <w:rFonts w:ascii="Verdana" w:hAnsi="Verdana"/>
        </w:rPr>
      </w:pPr>
    </w:p>
    <w:p w14:paraId="1C40F8BF" w14:textId="77777777" w:rsidR="00F62570" w:rsidRDefault="00F62570" w:rsidP="002033B3">
      <w:pPr>
        <w:pStyle w:val="BasicParagraph"/>
        <w:spacing w:line="276" w:lineRule="auto"/>
        <w:rPr>
          <w:rFonts w:ascii="Verdana" w:hAnsi="Verdana"/>
        </w:rPr>
      </w:pPr>
    </w:p>
    <w:p w14:paraId="4AF8A0A1" w14:textId="77777777" w:rsidR="00F62570" w:rsidRDefault="00F62570" w:rsidP="002033B3">
      <w:pPr>
        <w:pStyle w:val="BasicParagraph"/>
        <w:spacing w:line="276" w:lineRule="auto"/>
        <w:rPr>
          <w:rFonts w:ascii="Verdana" w:hAnsi="Verdana"/>
        </w:rPr>
      </w:pPr>
    </w:p>
    <w:p w14:paraId="3DA3F516" w14:textId="77777777" w:rsidR="00F62570" w:rsidRDefault="00F62570" w:rsidP="002033B3">
      <w:pPr>
        <w:pStyle w:val="BasicParagraph"/>
        <w:spacing w:line="276" w:lineRule="auto"/>
        <w:rPr>
          <w:rFonts w:ascii="Verdana" w:hAnsi="Verdana"/>
        </w:rPr>
      </w:pPr>
    </w:p>
    <w:p w14:paraId="140D3511" w14:textId="77777777" w:rsidR="00F62570" w:rsidRDefault="00F62570" w:rsidP="002033B3">
      <w:pPr>
        <w:pStyle w:val="BasicParagraph"/>
        <w:spacing w:line="276" w:lineRule="auto"/>
        <w:rPr>
          <w:rFonts w:ascii="Verdana" w:hAnsi="Verdana"/>
        </w:rPr>
      </w:pPr>
    </w:p>
    <w:p w14:paraId="40B6A83B" w14:textId="77777777" w:rsidR="00F62570" w:rsidRDefault="00F62570" w:rsidP="002033B3">
      <w:pPr>
        <w:pStyle w:val="BasicParagraph"/>
        <w:spacing w:line="276" w:lineRule="auto"/>
        <w:rPr>
          <w:rFonts w:ascii="Verdana" w:hAnsi="Verdana"/>
        </w:rPr>
      </w:pPr>
    </w:p>
    <w:p w14:paraId="2BD8C24B" w14:textId="77777777" w:rsidR="00F62570" w:rsidRDefault="00F62570" w:rsidP="002033B3">
      <w:pPr>
        <w:pStyle w:val="BasicParagraph"/>
        <w:spacing w:line="276" w:lineRule="auto"/>
        <w:rPr>
          <w:rFonts w:ascii="Verdana" w:hAnsi="Verdana"/>
        </w:rPr>
      </w:pPr>
    </w:p>
    <w:p w14:paraId="35ADECCF" w14:textId="77777777" w:rsidR="00F62570" w:rsidRDefault="00F62570" w:rsidP="002033B3">
      <w:pPr>
        <w:pStyle w:val="BasicParagraph"/>
        <w:spacing w:line="276" w:lineRule="auto"/>
        <w:rPr>
          <w:rFonts w:ascii="Verdana" w:hAnsi="Verdana"/>
        </w:rPr>
      </w:pPr>
    </w:p>
    <w:p w14:paraId="1A228B81" w14:textId="77777777" w:rsidR="00F62570" w:rsidRDefault="00F62570" w:rsidP="002033B3">
      <w:pPr>
        <w:pStyle w:val="BasicParagraph"/>
        <w:spacing w:line="276" w:lineRule="auto"/>
        <w:rPr>
          <w:rFonts w:ascii="Verdana" w:hAnsi="Verdana"/>
        </w:rPr>
      </w:pPr>
    </w:p>
    <w:p w14:paraId="34E7C4E4" w14:textId="77777777" w:rsidR="00F62570" w:rsidRPr="002033B3" w:rsidRDefault="00F62570" w:rsidP="002033B3">
      <w:pPr>
        <w:pStyle w:val="BasicParagraph"/>
        <w:spacing w:line="276" w:lineRule="auto"/>
        <w:rPr>
          <w:rFonts w:ascii="Verdana" w:hAnsi="Verdana"/>
        </w:rPr>
      </w:pPr>
    </w:p>
    <w:p w14:paraId="32C007E5" w14:textId="77777777" w:rsidR="008E3C65" w:rsidRPr="002033B3" w:rsidRDefault="008E3C65" w:rsidP="002033B3">
      <w:pPr>
        <w:spacing w:line="276" w:lineRule="auto"/>
        <w:ind w:left="720" w:hanging="720"/>
        <w:jc w:val="center"/>
      </w:pPr>
      <w:r w:rsidRPr="002033B3">
        <w:rPr>
          <w:rFonts w:cs="Arial"/>
          <w:b/>
          <w:bCs/>
          <w:color w:val="77328A"/>
          <w:sz w:val="36"/>
          <w:szCs w:val="36"/>
        </w:rPr>
        <w:t>Contact us</w:t>
      </w:r>
    </w:p>
    <w:p w14:paraId="0BFBB25D" w14:textId="77777777" w:rsidR="008E3C65" w:rsidRPr="002033B3" w:rsidRDefault="008E3C65" w:rsidP="002033B3">
      <w:pPr>
        <w:pStyle w:val="BasicParagraph"/>
        <w:suppressAutoHyphens/>
        <w:spacing w:line="276" w:lineRule="auto"/>
        <w:jc w:val="center"/>
        <w:rPr>
          <w:rFonts w:ascii="Verdana" w:hAnsi="Verdana" w:cs="Arial"/>
          <w:b/>
          <w:color w:val="77328A"/>
          <w:sz w:val="36"/>
          <w:szCs w:val="36"/>
        </w:rPr>
      </w:pPr>
    </w:p>
    <w:p w14:paraId="51F648EA" w14:textId="77777777" w:rsidR="008E3C65" w:rsidRPr="002033B3" w:rsidRDefault="008E3C65" w:rsidP="002033B3">
      <w:pPr>
        <w:pStyle w:val="BasicParagraph"/>
        <w:suppressAutoHyphens/>
        <w:spacing w:line="276" w:lineRule="auto"/>
        <w:jc w:val="center"/>
        <w:rPr>
          <w:rFonts w:ascii="Verdana" w:hAnsi="Verdana" w:cs="Arial"/>
          <w:b/>
          <w:color w:val="77328A"/>
          <w:sz w:val="36"/>
          <w:szCs w:val="36"/>
        </w:rPr>
      </w:pPr>
    </w:p>
    <w:p w14:paraId="70581C83" w14:textId="6746014A" w:rsidR="008E3C65" w:rsidRPr="002033B3" w:rsidRDefault="008E3C65" w:rsidP="002033B3">
      <w:pPr>
        <w:spacing w:line="276" w:lineRule="auto"/>
        <w:jc w:val="center"/>
        <w:rPr>
          <w:rFonts w:cs="Arial"/>
          <w:b/>
          <w:color w:val="232120"/>
          <w:sz w:val="30"/>
          <w:szCs w:val="30"/>
        </w:rPr>
      </w:pPr>
      <w:r w:rsidRPr="002033B3">
        <w:rPr>
          <w:rFonts w:cs="Arial"/>
          <w:b/>
          <w:color w:val="232120"/>
          <w:sz w:val="30"/>
          <w:szCs w:val="30"/>
        </w:rPr>
        <w:t xml:space="preserve">Please send any queries to </w:t>
      </w:r>
      <w:hyperlink r:id="rId9" w:history="1">
        <w:r w:rsidRPr="002033B3">
          <w:rPr>
            <w:rStyle w:val="Hyperlink"/>
            <w:rFonts w:cs="Arial"/>
            <w:b/>
            <w:sz w:val="30"/>
            <w:szCs w:val="30"/>
          </w:rPr>
          <w:t>Eilis.Haughey@nihrc.org</w:t>
        </w:r>
      </w:hyperlink>
      <w:r w:rsidRPr="002033B3">
        <w:rPr>
          <w:rFonts w:cs="Arial"/>
          <w:b/>
          <w:color w:val="232120"/>
          <w:sz w:val="30"/>
          <w:szCs w:val="30"/>
        </w:rPr>
        <w:t xml:space="preserve"> </w:t>
      </w:r>
    </w:p>
    <w:p w14:paraId="7F4AAFD1" w14:textId="77777777" w:rsidR="008E3C65" w:rsidRPr="002033B3" w:rsidRDefault="008E3C65" w:rsidP="002033B3">
      <w:pPr>
        <w:spacing w:line="276" w:lineRule="auto"/>
        <w:rPr>
          <w:rFonts w:cs="Arial"/>
          <w:b/>
          <w:color w:val="232120"/>
          <w:sz w:val="30"/>
          <w:szCs w:val="30"/>
        </w:rPr>
      </w:pPr>
    </w:p>
    <w:p w14:paraId="6F47EA38" w14:textId="77777777" w:rsidR="008E3C65" w:rsidRPr="002033B3" w:rsidRDefault="008E3C65" w:rsidP="002033B3">
      <w:pPr>
        <w:spacing w:line="276" w:lineRule="auto"/>
        <w:jc w:val="center"/>
        <w:rPr>
          <w:rFonts w:cs="Arial"/>
          <w:b/>
          <w:color w:val="232120"/>
          <w:sz w:val="30"/>
          <w:szCs w:val="30"/>
        </w:rPr>
      </w:pPr>
    </w:p>
    <w:p w14:paraId="34F16BF1" w14:textId="77777777" w:rsidR="008E3C65" w:rsidRPr="002033B3" w:rsidRDefault="008E3C65" w:rsidP="002033B3">
      <w:pPr>
        <w:spacing w:line="276" w:lineRule="auto"/>
        <w:jc w:val="center"/>
        <w:rPr>
          <w:rFonts w:cs="Arial"/>
          <w:b/>
          <w:color w:val="232120"/>
          <w:sz w:val="30"/>
          <w:szCs w:val="30"/>
        </w:rPr>
      </w:pPr>
    </w:p>
    <w:p w14:paraId="2CC6D14C" w14:textId="77777777" w:rsidR="008E3C65" w:rsidRPr="002033B3" w:rsidRDefault="008E3C65" w:rsidP="002033B3">
      <w:pPr>
        <w:spacing w:line="276" w:lineRule="auto"/>
        <w:jc w:val="center"/>
        <w:rPr>
          <w:rFonts w:cs="Arial"/>
          <w:color w:val="232120"/>
          <w:sz w:val="28"/>
          <w:szCs w:val="28"/>
        </w:rPr>
      </w:pPr>
      <w:hyperlink r:id="rId10" w:history="1">
        <w:r w:rsidRPr="002033B3">
          <w:rPr>
            <w:rStyle w:val="Hyperlink"/>
            <w:rFonts w:cs="Arial"/>
            <w:color w:val="232120"/>
            <w:sz w:val="28"/>
            <w:szCs w:val="28"/>
          </w:rPr>
          <w:t>www.nihrc.org</w:t>
        </w:r>
      </w:hyperlink>
      <w:r w:rsidRPr="002033B3">
        <w:rPr>
          <w:rFonts w:cs="Arial"/>
          <w:color w:val="232120"/>
          <w:sz w:val="28"/>
          <w:szCs w:val="28"/>
        </w:rPr>
        <w:t xml:space="preserve">  |  </w:t>
      </w:r>
      <w:hyperlink r:id="rId11" w:history="1">
        <w:r w:rsidRPr="002033B3">
          <w:rPr>
            <w:rStyle w:val="Hyperlink"/>
            <w:rFonts w:cs="Arial"/>
            <w:color w:val="232120"/>
            <w:sz w:val="28"/>
            <w:szCs w:val="28"/>
          </w:rPr>
          <w:t>info@nihrc.org</w:t>
        </w:r>
      </w:hyperlink>
      <w:r w:rsidRPr="002033B3">
        <w:rPr>
          <w:rFonts w:cs="Arial"/>
          <w:color w:val="232120"/>
          <w:sz w:val="28"/>
          <w:szCs w:val="28"/>
        </w:rPr>
        <w:t xml:space="preserve">  |  +44 (0)28 9024 3987</w:t>
      </w:r>
    </w:p>
    <w:p w14:paraId="625814CB" w14:textId="77777777" w:rsidR="008E3C65" w:rsidRPr="002033B3" w:rsidRDefault="008E3C65" w:rsidP="002033B3">
      <w:pPr>
        <w:spacing w:line="276" w:lineRule="auto"/>
        <w:jc w:val="center"/>
        <w:rPr>
          <w:rFonts w:cs="Arial"/>
          <w:color w:val="232120"/>
          <w:sz w:val="28"/>
          <w:szCs w:val="28"/>
        </w:rPr>
      </w:pPr>
      <w:r w:rsidRPr="002033B3">
        <w:rPr>
          <w:rFonts w:cs="Arial"/>
          <w:color w:val="232120"/>
          <w:sz w:val="28"/>
          <w:szCs w:val="28"/>
        </w:rPr>
        <w:t>4</w:t>
      </w:r>
      <w:r w:rsidRPr="002033B3">
        <w:rPr>
          <w:rFonts w:cs="Arial"/>
          <w:color w:val="232120"/>
          <w:sz w:val="28"/>
          <w:szCs w:val="28"/>
          <w:vertAlign w:val="superscript"/>
        </w:rPr>
        <w:t>th</w:t>
      </w:r>
      <w:r w:rsidRPr="002033B3">
        <w:rPr>
          <w:rFonts w:cs="Arial"/>
          <w:color w:val="232120"/>
          <w:sz w:val="28"/>
          <w:szCs w:val="28"/>
        </w:rPr>
        <w:t xml:space="preserve"> Floor, Alfred House, 19-21 Alfred Street, Belfast, BT2 8ED</w:t>
      </w:r>
    </w:p>
    <w:p w14:paraId="09854841" w14:textId="055F1BC8" w:rsidR="00705833" w:rsidRPr="002033B3" w:rsidRDefault="00705833" w:rsidP="002033B3">
      <w:pPr>
        <w:spacing w:line="276" w:lineRule="auto"/>
      </w:pPr>
    </w:p>
    <w:p w14:paraId="352E30B5" w14:textId="77777777" w:rsidR="008E3C65" w:rsidRPr="002033B3" w:rsidRDefault="008E3C65" w:rsidP="002033B3">
      <w:pPr>
        <w:spacing w:line="276" w:lineRule="auto"/>
      </w:pPr>
    </w:p>
    <w:p w14:paraId="1D9AD3EE" w14:textId="57C1259B" w:rsidR="008E3C65" w:rsidRPr="002033B3" w:rsidRDefault="008E3C65" w:rsidP="002033B3">
      <w:pPr>
        <w:spacing w:line="276" w:lineRule="auto"/>
        <w:jc w:val="center"/>
      </w:pPr>
      <w:r w:rsidRPr="002033B3">
        <w:rPr>
          <w:rFonts w:cs="Arial"/>
          <w:noProof/>
          <w:color w:val="232120"/>
          <w:sz w:val="28"/>
          <w:szCs w:val="28"/>
          <w:lang w:eastAsia="en-GB"/>
        </w:rPr>
        <w:drawing>
          <wp:inline distT="0" distB="0" distL="0" distR="0" wp14:anchorId="27CC847A" wp14:editId="6C02F5A3">
            <wp:extent cx="1515406" cy="274540"/>
            <wp:effectExtent l="0" t="0" r="889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1554" cy="275654"/>
                    </a:xfrm>
                    <a:prstGeom prst="rect">
                      <a:avLst/>
                    </a:prstGeom>
                    <a:noFill/>
                    <a:ln>
                      <a:noFill/>
                    </a:ln>
                  </pic:spPr>
                </pic:pic>
              </a:graphicData>
            </a:graphic>
          </wp:inline>
        </w:drawing>
      </w:r>
    </w:p>
    <w:sectPr w:rsidR="008E3C65" w:rsidRPr="002033B3" w:rsidSect="006B1AF0">
      <w:footerReference w:type="default" r:id="rId13"/>
      <w:footerReference w:type="first" r:id="rId14"/>
      <w:pgSz w:w="11900" w:h="16820"/>
      <w:pgMar w:top="1021" w:right="1021" w:bottom="1021" w:left="1021" w:header="1021"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55FE9" w14:textId="77777777" w:rsidR="002F0613" w:rsidRDefault="002F0613" w:rsidP="00B4519C">
      <w:r>
        <w:separator/>
      </w:r>
    </w:p>
  </w:endnote>
  <w:endnote w:type="continuationSeparator" w:id="0">
    <w:p w14:paraId="4C827CA4" w14:textId="77777777" w:rsidR="002F0613" w:rsidRDefault="002F0613" w:rsidP="00B4519C">
      <w:r>
        <w:continuationSeparator/>
      </w:r>
    </w:p>
  </w:endnote>
  <w:endnote w:type="continuationNotice" w:id="1">
    <w:p w14:paraId="751BCA6C" w14:textId="77777777" w:rsidR="002F0613" w:rsidRDefault="002F06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574354"/>
      <w:docPartObj>
        <w:docPartGallery w:val="Page Numbers (Bottom of Page)"/>
        <w:docPartUnique/>
      </w:docPartObj>
    </w:sdtPr>
    <w:sdtEndPr>
      <w:rPr>
        <w:noProof/>
        <w:color w:val="77328A"/>
      </w:rPr>
    </w:sdtEndPr>
    <w:sdtContent>
      <w:p w14:paraId="59BE6073" w14:textId="10F8A6B1" w:rsidR="007F56F3" w:rsidRPr="007F56F3" w:rsidRDefault="007F56F3">
        <w:pPr>
          <w:pStyle w:val="Footer"/>
          <w:jc w:val="center"/>
          <w:rPr>
            <w:color w:val="77328A"/>
          </w:rPr>
        </w:pPr>
        <w:r w:rsidRPr="007F56F3">
          <w:rPr>
            <w:color w:val="77328A"/>
          </w:rPr>
          <w:fldChar w:fldCharType="begin"/>
        </w:r>
        <w:r w:rsidRPr="007F56F3">
          <w:rPr>
            <w:color w:val="77328A"/>
          </w:rPr>
          <w:instrText xml:space="preserve"> PAGE   \* MERGEFORMAT </w:instrText>
        </w:r>
        <w:r w:rsidRPr="007F56F3">
          <w:rPr>
            <w:color w:val="77328A"/>
          </w:rPr>
          <w:fldChar w:fldCharType="separate"/>
        </w:r>
        <w:r w:rsidRPr="007F56F3">
          <w:rPr>
            <w:noProof/>
            <w:color w:val="77328A"/>
          </w:rPr>
          <w:t>2</w:t>
        </w:r>
        <w:r w:rsidRPr="007F56F3">
          <w:rPr>
            <w:noProof/>
            <w:color w:val="77328A"/>
          </w:rPr>
          <w:fldChar w:fldCharType="end"/>
        </w:r>
      </w:p>
    </w:sdtContent>
  </w:sdt>
  <w:p w14:paraId="566CD72E" w14:textId="5AA07BE8" w:rsidR="00D2770F" w:rsidRPr="007F56F3" w:rsidRDefault="00D2770F" w:rsidP="00B4519C">
    <w:pPr>
      <w:pStyle w:val="Footer"/>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A4E64" w14:textId="3BE6BC33" w:rsidR="00D2770F" w:rsidRDefault="00D2770F" w:rsidP="00B4519C">
    <w:pPr>
      <w:pStyle w:val="Footer"/>
      <w:rPr>
        <w:rStyle w:val="PageNumber"/>
        <w:rFonts w:ascii="Arial" w:hAnsi="Arial" w:cs="Arial"/>
        <w:b/>
        <w:sz w:val="16"/>
        <w:szCs w:val="16"/>
      </w:rPr>
    </w:pPr>
  </w:p>
  <w:p w14:paraId="6A7DEF28" w14:textId="1DCEB28B" w:rsidR="00D2770F" w:rsidRPr="00D12EF8" w:rsidRDefault="00D2770F" w:rsidP="00B4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8F9FE" w14:textId="77777777" w:rsidR="002F0613" w:rsidRDefault="002F0613" w:rsidP="00B4519C">
      <w:r>
        <w:continuationSeparator/>
      </w:r>
    </w:p>
    <w:p w14:paraId="361B5E10" w14:textId="77777777" w:rsidR="002F0613" w:rsidRPr="00B96D34" w:rsidRDefault="002F0613" w:rsidP="00B4519C">
      <w:pPr>
        <w:pStyle w:val="Footer"/>
      </w:pPr>
    </w:p>
  </w:footnote>
  <w:footnote w:type="continuationSeparator" w:id="0">
    <w:p w14:paraId="0653D92E" w14:textId="77777777" w:rsidR="002F0613" w:rsidRDefault="002F0613" w:rsidP="00B4519C">
      <w:r>
        <w:continuationSeparator/>
      </w:r>
    </w:p>
  </w:footnote>
  <w:footnote w:type="continuationNotice" w:id="1">
    <w:p w14:paraId="1D45D936" w14:textId="77777777" w:rsidR="002F0613" w:rsidRDefault="002F0613" w:rsidP="00B4519C"/>
  </w:footnote>
  <w:footnote w:id="2">
    <w:p w14:paraId="2E9C1C69" w14:textId="77777777" w:rsidR="00E44C70" w:rsidRPr="000B5BFD" w:rsidRDefault="00FD79A6" w:rsidP="00456D97">
      <w:pPr>
        <w:pStyle w:val="NIHRCFootnotes"/>
        <w:spacing w:line="240" w:lineRule="auto"/>
      </w:pPr>
      <w:r w:rsidRPr="000B5BFD">
        <w:rPr>
          <w:rStyle w:val="FootnoteReference"/>
        </w:rPr>
        <w:footnoteRef/>
      </w:r>
      <w:r w:rsidRPr="000B5BFD">
        <w:t xml:space="preserve"> </w:t>
      </w:r>
      <w:r w:rsidR="00A23816" w:rsidRPr="000B5BFD">
        <w:t>A/73/188, ‘Report of the Special Rapporteur on the issue of human rights obligations relating to the enjoyment of a safe, clean, healthy and sustainable environment’</w:t>
      </w:r>
      <w:r w:rsidR="00736C33" w:rsidRPr="000B5BFD">
        <w:t xml:space="preserve">, </w:t>
      </w:r>
      <w:r w:rsidR="00A23816" w:rsidRPr="000B5BFD">
        <w:t>19 July 2018</w:t>
      </w:r>
      <w:r w:rsidR="000944A5" w:rsidRPr="000B5BFD">
        <w:t xml:space="preserve">; </w:t>
      </w:r>
      <w:r w:rsidR="00984133" w:rsidRPr="000B5BFD">
        <w:t>A/HRC/RES/48/13, ‘Resolution adopted by the Human Rights Council: The human right to a clean, healthy and sustainable environment’, 18 October 2021.</w:t>
      </w:r>
      <w:r w:rsidR="00736C33" w:rsidRPr="000B5BFD">
        <w:t xml:space="preserve"> Increasingly, UN human rights treaty bodies are addressing climate change in their recommendations and guidance to State parties. See </w:t>
      </w:r>
      <w:r w:rsidR="00587457" w:rsidRPr="000B5BFD">
        <w:t xml:space="preserve">E/C.12/2002/11, ‘General Comment No. 15: The Right to Water (Arts. 11 and 12 of the Covenant)’, 20 January 2003; </w:t>
      </w:r>
      <w:r w:rsidR="00E44C70" w:rsidRPr="000B5BFD">
        <w:t xml:space="preserve">CRC/C/GC/15, ‘UN CRC Committee General comment No. 15 on the right of the child to the enjoyment of the highest </w:t>
      </w:r>
    </w:p>
    <w:p w14:paraId="21393D71" w14:textId="30EFEAAB" w:rsidR="00FD79A6" w:rsidRPr="002F6A2B" w:rsidRDefault="00E44C70" w:rsidP="00456D97">
      <w:pPr>
        <w:pStyle w:val="NIHRCFootnotes"/>
        <w:spacing w:line="240" w:lineRule="auto"/>
      </w:pPr>
      <w:r w:rsidRPr="000B5BFD">
        <w:t xml:space="preserve">attainable standard of health (art. 24)’, 17 April 2013; CCPR/C/GC/36, ‘UN Human Rights Committee General Comment No.36 on Article 6: the right to life’, 3 September 2019; </w:t>
      </w:r>
      <w:r w:rsidR="00CD42BA" w:rsidRPr="000B5BFD">
        <w:t>CEDAW/C/GC/37, ‘UN CEDAW Committee General</w:t>
      </w:r>
      <w:r w:rsidR="00B96D0F" w:rsidRPr="000B5BFD">
        <w:t xml:space="preserve"> </w:t>
      </w:r>
      <w:r w:rsidR="00CD42BA" w:rsidRPr="000B5BFD">
        <w:t>Recommendation No. 37 on Gender-related dimensions of disaster risk reduction in the context of climate change’, 13 March 2018</w:t>
      </w:r>
      <w:r w:rsidR="00425ED9" w:rsidRPr="000B5BFD">
        <w:t xml:space="preserve">; CRC/C/GC/26, ‘UN CRC Committee General comment No. 26 on children’s rights and the environment with a </w:t>
      </w:r>
      <w:r w:rsidR="00425ED9" w:rsidRPr="002F6A2B">
        <w:t>special focus on climate change’, 22 August 2023.</w:t>
      </w:r>
    </w:p>
  </w:footnote>
  <w:footnote w:id="3">
    <w:p w14:paraId="5F2F0375" w14:textId="4CDCF7C2" w:rsidR="00723DD0" w:rsidRPr="002F6A2B" w:rsidRDefault="00723DD0" w:rsidP="00456D97">
      <w:pPr>
        <w:pStyle w:val="NIHRCFootnotes"/>
        <w:spacing w:line="240" w:lineRule="auto"/>
      </w:pPr>
      <w:r w:rsidRPr="002F6A2B">
        <w:rPr>
          <w:rStyle w:val="FootnoteReference"/>
        </w:rPr>
        <w:footnoteRef/>
      </w:r>
      <w:r w:rsidRPr="002F6A2B">
        <w:t xml:space="preserve"> </w:t>
      </w:r>
      <w:r w:rsidR="00EB2142" w:rsidRPr="002F6A2B">
        <w:rPr>
          <w:i/>
          <w:iCs/>
        </w:rPr>
        <w:t>Carême v France</w:t>
      </w:r>
      <w:r w:rsidR="00EB2142" w:rsidRPr="002F6A2B">
        <w:t xml:space="preserve"> </w:t>
      </w:r>
      <w:r w:rsidR="00D019FE" w:rsidRPr="002F6A2B">
        <w:t>(</w:t>
      </w:r>
      <w:r w:rsidR="00EB2142" w:rsidRPr="002F6A2B">
        <w:t>2024</w:t>
      </w:r>
      <w:r w:rsidR="00D019FE" w:rsidRPr="002F6A2B">
        <w:t xml:space="preserve">) </w:t>
      </w:r>
      <w:r w:rsidR="00EB2142" w:rsidRPr="002F6A2B">
        <w:t xml:space="preserve">ECHR 7189/21; </w:t>
      </w:r>
      <w:r w:rsidR="00EB2142" w:rsidRPr="002F6A2B">
        <w:rPr>
          <w:i/>
          <w:iCs/>
        </w:rPr>
        <w:t>Duarte Agostinho v Portugal and 32 others</w:t>
      </w:r>
      <w:r w:rsidR="00EB2142" w:rsidRPr="002F6A2B">
        <w:t xml:space="preserve"> </w:t>
      </w:r>
      <w:r w:rsidR="00262C54" w:rsidRPr="002F6A2B">
        <w:t>(</w:t>
      </w:r>
      <w:r w:rsidR="00EB2142" w:rsidRPr="002F6A2B">
        <w:t>2024</w:t>
      </w:r>
      <w:r w:rsidR="00262C54" w:rsidRPr="002F6A2B">
        <w:t>)</w:t>
      </w:r>
      <w:r w:rsidR="00EB2142" w:rsidRPr="002F6A2B">
        <w:t xml:space="preserve"> ECHR 39371/20; and </w:t>
      </w:r>
      <w:r w:rsidR="00EB2142" w:rsidRPr="002F6A2B">
        <w:rPr>
          <w:i/>
          <w:iCs/>
        </w:rPr>
        <w:t xml:space="preserve">Verein </w:t>
      </w:r>
      <w:r w:rsidR="00EB2142" w:rsidRPr="002F6A2B">
        <w:rPr>
          <w:i/>
          <w:iCs/>
        </w:rPr>
        <w:t>Klimaseniorinnen v Switzerland</w:t>
      </w:r>
      <w:r w:rsidR="00EB2142" w:rsidRPr="002F6A2B">
        <w:t xml:space="preserve"> </w:t>
      </w:r>
      <w:r w:rsidR="00262C54" w:rsidRPr="002F6A2B">
        <w:t>(</w:t>
      </w:r>
      <w:r w:rsidR="00EB2142" w:rsidRPr="002F6A2B">
        <w:t>2024</w:t>
      </w:r>
      <w:r w:rsidR="00262C54" w:rsidRPr="002F6A2B">
        <w:t xml:space="preserve">) </w:t>
      </w:r>
      <w:r w:rsidR="00EB2142" w:rsidRPr="002F6A2B">
        <w:t>ECHR 304.</w:t>
      </w:r>
    </w:p>
  </w:footnote>
  <w:footnote w:id="4">
    <w:p w14:paraId="22949A6B" w14:textId="22C377F2" w:rsidR="00003C0E" w:rsidRDefault="00003C0E" w:rsidP="00456D97">
      <w:pPr>
        <w:pStyle w:val="NIHRCFootnotes"/>
        <w:spacing w:line="240" w:lineRule="auto"/>
      </w:pPr>
      <w:r w:rsidRPr="002F6A2B">
        <w:rPr>
          <w:rStyle w:val="FootnoteReference"/>
        </w:rPr>
        <w:footnoteRef/>
      </w:r>
      <w:r w:rsidRPr="002F6A2B">
        <w:t xml:space="preserve"> </w:t>
      </w:r>
      <w:r w:rsidRPr="00D44441">
        <w:rPr>
          <w:i/>
          <w:iCs/>
        </w:rPr>
        <w:t xml:space="preserve">Verein </w:t>
      </w:r>
      <w:r w:rsidRPr="00D44441">
        <w:rPr>
          <w:i/>
          <w:iCs/>
        </w:rPr>
        <w:t>Klimaseniorinnen v Switzerland</w:t>
      </w:r>
      <w:r w:rsidRPr="002F6A2B">
        <w:t xml:space="preserve"> (2024) ECHR 304</w:t>
      </w:r>
      <w:r w:rsidR="002F6A2B">
        <w:t>.</w:t>
      </w:r>
    </w:p>
  </w:footnote>
  <w:footnote w:id="5">
    <w:p w14:paraId="0432C95C" w14:textId="6351E80A" w:rsidR="006663D0" w:rsidRPr="00F17F59" w:rsidRDefault="006663D0" w:rsidP="00456D97">
      <w:pPr>
        <w:pStyle w:val="NIHRCFootnotes"/>
        <w:spacing w:line="240" w:lineRule="auto"/>
      </w:pPr>
      <w:r w:rsidRPr="000B5BFD">
        <w:rPr>
          <w:rStyle w:val="FootnoteReference"/>
        </w:rPr>
        <w:footnoteRef/>
      </w:r>
      <w:r w:rsidRPr="000B5BFD">
        <w:t xml:space="preserve"> </w:t>
      </w:r>
      <w:r w:rsidR="007600DA" w:rsidRPr="000B5BFD">
        <w:t xml:space="preserve">Section 69(1) and Section 78A(1) </w:t>
      </w:r>
      <w:bookmarkStart w:id="3" w:name="_Hlk199496364"/>
      <w:r w:rsidR="007600DA" w:rsidRPr="000B5BFD">
        <w:t>Northern Ireland (NI) Act 1998</w:t>
      </w:r>
      <w:bookmarkEnd w:id="3"/>
      <w:r w:rsidR="003D69A8" w:rsidRPr="000B5BFD">
        <w:t xml:space="preserve">. </w:t>
      </w:r>
      <w:r w:rsidRPr="000B5BFD">
        <w:t>The Protocol on Ireland/Northern Ireland to the UK-EU Withdrawal Agreement 2020 was renamed by Decision No 1/2023 of the Joint Committee established by the Agreement on the Withdrawal of the United Kingdom of Great Britain and Northern Ireland from the European Union and the European Atomic Energy Community of 24 March 2023 laying down arrangements relating to the Windsor Framework.</w:t>
      </w:r>
    </w:p>
  </w:footnote>
  <w:footnote w:id="6">
    <w:p w14:paraId="2B1736F3" w14:textId="387505CF" w:rsidR="00692BC8" w:rsidRPr="000B5BFD" w:rsidRDefault="00692BC8" w:rsidP="00456D97">
      <w:pPr>
        <w:pStyle w:val="NIHRCFootnotes"/>
        <w:spacing w:line="240" w:lineRule="auto"/>
      </w:pPr>
      <w:r w:rsidRPr="000B5BFD">
        <w:rPr>
          <w:rStyle w:val="FootnoteReference"/>
        </w:rPr>
        <w:footnoteRef/>
      </w:r>
      <w:r w:rsidRPr="000B5BFD">
        <w:t xml:space="preserve"> </w:t>
      </w:r>
      <w:r w:rsidR="00966799" w:rsidRPr="000B5BFD">
        <w:t>Ciara Brennan, Mary Dobbs, Alison Hough, Orla Kelleher and Lisa Whitten, ‘The Environment, Human Rights and the Windsor Framework’ (NIHRC</w:t>
      </w:r>
      <w:r w:rsidR="00121DFC" w:rsidRPr="000B5BFD">
        <w:t>,</w:t>
      </w:r>
      <w:r w:rsidR="00966799" w:rsidRPr="000B5BFD">
        <w:t xml:space="preserve"> 2025).</w:t>
      </w:r>
    </w:p>
  </w:footnote>
  <w:footnote w:id="7">
    <w:p w14:paraId="2D7A4EE7" w14:textId="6F1C2CD7" w:rsidR="00F57724" w:rsidRPr="000B5BFD" w:rsidRDefault="00F57724" w:rsidP="00456D97">
      <w:pPr>
        <w:pStyle w:val="NIHRCFootnotes"/>
        <w:spacing w:line="240" w:lineRule="auto"/>
      </w:pPr>
      <w:r w:rsidRPr="000B5BFD">
        <w:rPr>
          <w:rStyle w:val="FootnoteReference"/>
        </w:rPr>
        <w:footnoteRef/>
      </w:r>
      <w:r w:rsidRPr="000B5BFD">
        <w:t xml:space="preserve"> </w:t>
      </w:r>
      <w:r w:rsidR="00D064FD">
        <w:t xml:space="preserve">Shared competence means </w:t>
      </w:r>
      <w:r w:rsidR="00B94BBC">
        <w:t xml:space="preserve">competence that is not exclusive </w:t>
      </w:r>
      <w:r w:rsidR="00693561">
        <w:t xml:space="preserve">to the EU </w:t>
      </w:r>
      <w:r w:rsidR="00D064FD">
        <w:t xml:space="preserve">and can only be exercised in conformity with the </w:t>
      </w:r>
      <w:r w:rsidR="00B94BBC">
        <w:t xml:space="preserve">EU law </w:t>
      </w:r>
      <w:r w:rsidR="00D064FD">
        <w:t>principles of conferral and subsidiarity where the objective of the proposed action cannot be sufficiently achieved by Member State level action, but where the objective can be better achieved by action at EU level</w:t>
      </w:r>
      <w:r w:rsidR="00E36DDC">
        <w:t xml:space="preserve">. </w:t>
      </w:r>
      <w:r w:rsidR="00197F55" w:rsidRPr="000B5BFD">
        <w:t>See Chapter 4 (</w:t>
      </w:r>
      <w:r w:rsidR="00B95A8D" w:rsidRPr="000B5BFD">
        <w:t xml:space="preserve">Brexit and </w:t>
      </w:r>
      <w:r w:rsidR="001265BB" w:rsidRPr="000B5BFD">
        <w:t>Environmental Protection in Northern Ireland), in Ciara Brennan, Mary Dobbs, Alison Hough,</w:t>
      </w:r>
      <w:r w:rsidR="000A4E1D" w:rsidRPr="000B5BFD">
        <w:t xml:space="preserve"> </w:t>
      </w:r>
      <w:r w:rsidR="001265BB" w:rsidRPr="000B5BFD">
        <w:t xml:space="preserve">Orla Kelleher and Lisa Whitten, ‘The Environment, Human Rights and the Windsor Framework’ (NIHRC, 2025) for detailed discussion on the EU’s contribution to </w:t>
      </w:r>
      <w:r w:rsidR="00A43238" w:rsidRPr="000B5BFD">
        <w:t>environmental law and policy across Europe and in NI.</w:t>
      </w:r>
    </w:p>
  </w:footnote>
  <w:footnote w:id="8">
    <w:p w14:paraId="418368A5" w14:textId="5F01E191" w:rsidR="00E35785" w:rsidRPr="00B77ADE" w:rsidRDefault="00E35785" w:rsidP="00E35785">
      <w:pPr>
        <w:pStyle w:val="NIHRCFootnotes"/>
        <w:spacing w:line="240" w:lineRule="auto"/>
      </w:pPr>
      <w:r w:rsidRPr="00B77ADE">
        <w:rPr>
          <w:rStyle w:val="FootnoteReference"/>
        </w:rPr>
        <w:footnoteRef/>
      </w:r>
      <w:r w:rsidRPr="00B77ADE">
        <w:rPr>
          <w:rStyle w:val="normaltextrun"/>
          <w:shd w:val="clear" w:color="auto" w:fill="FFFFFF"/>
        </w:rPr>
        <w:t xml:space="preserve"> </w:t>
      </w:r>
      <w:r w:rsidRPr="00B77ADE">
        <w:t>UN/ECE Convention on Access to Information, Public Participation in Decision-Making and Access to Justice in Environmental Matters, 1998</w:t>
      </w:r>
      <w:r>
        <w:t xml:space="preserve"> (Aarhus Convention)</w:t>
      </w:r>
      <w:r w:rsidRPr="00B77ADE">
        <w:rPr>
          <w:shd w:val="clear" w:color="auto" w:fill="FFFFFF"/>
        </w:rPr>
        <w:t>.</w:t>
      </w:r>
    </w:p>
  </w:footnote>
  <w:footnote w:id="9">
    <w:p w14:paraId="54CDD76A" w14:textId="039D699F" w:rsidR="00D15FFF" w:rsidRPr="00F17F59" w:rsidRDefault="00D15FFF" w:rsidP="00456D97">
      <w:pPr>
        <w:pStyle w:val="NIHRCFootnotes"/>
        <w:spacing w:line="240" w:lineRule="auto"/>
      </w:pPr>
      <w:r w:rsidRPr="000B5BFD">
        <w:rPr>
          <w:rStyle w:val="FootnoteReference"/>
        </w:rPr>
        <w:footnoteRef/>
      </w:r>
      <w:r w:rsidRPr="000B5BFD">
        <w:t xml:space="preserve"> </w:t>
      </w:r>
      <w:r w:rsidRPr="000B5BFD">
        <w:rPr>
          <w:i/>
          <w:iCs/>
        </w:rPr>
        <w:t>SPUC</w:t>
      </w:r>
      <w:r w:rsidR="00966799" w:rsidRPr="000B5BFD">
        <w:rPr>
          <w:i/>
          <w:iCs/>
        </w:rPr>
        <w:t xml:space="preserve"> Pro</w:t>
      </w:r>
      <w:r w:rsidR="002E65E1" w:rsidRPr="000B5BFD">
        <w:rPr>
          <w:i/>
          <w:iCs/>
        </w:rPr>
        <w:t>- Life Limited Application for Judicial review</w:t>
      </w:r>
      <w:r w:rsidR="002E65E1" w:rsidRPr="000B5BFD">
        <w:t xml:space="preserve"> </w:t>
      </w:r>
      <w:r w:rsidR="00966799" w:rsidRPr="000B5BFD">
        <w:t xml:space="preserve">[2023] NICA 35; </w:t>
      </w:r>
      <w:r w:rsidR="006B4F8C" w:rsidRPr="000C41EB">
        <w:rPr>
          <w:i/>
          <w:iCs/>
        </w:rPr>
        <w:t>The Northern Ireland Human Rights Commission and JR 295’s Applications and In the matter of the Illegal Migration Act 2023</w:t>
      </w:r>
      <w:r w:rsidR="006B10CA" w:rsidRPr="000B5BFD">
        <w:t xml:space="preserve"> [2024] NIKB 44</w:t>
      </w:r>
      <w:r w:rsidR="00966799" w:rsidRPr="000B5BFD">
        <w:t xml:space="preserve">; </w:t>
      </w:r>
      <w:r w:rsidR="007567F1" w:rsidRPr="000C41EB">
        <w:rPr>
          <w:i/>
          <w:iCs/>
        </w:rPr>
        <w:t>In the Matter of an Application by Martina Dillon and others - NI Troubles (Legacy and Reconciliation) Act 2023</w:t>
      </w:r>
      <w:r w:rsidR="007567F1" w:rsidRPr="000B5BFD">
        <w:t xml:space="preserve"> </w:t>
      </w:r>
      <w:r w:rsidR="00A0136C" w:rsidRPr="000B5BFD">
        <w:t>[2024] NICA 59</w:t>
      </w:r>
      <w:r w:rsidR="004319C3">
        <w:t>, subject to appeal</w:t>
      </w:r>
      <w:r w:rsidR="00A0136C" w:rsidRPr="000B5BFD">
        <w:t>.</w:t>
      </w:r>
      <w:r w:rsidR="00A0136C" w:rsidRPr="00F17F59">
        <w:t xml:space="preserve"> </w:t>
      </w:r>
    </w:p>
  </w:footnote>
  <w:footnote w:id="10">
    <w:p w14:paraId="0F7C9997" w14:textId="68C04BEA" w:rsidR="00F12201" w:rsidRPr="000B5BFD" w:rsidRDefault="00F12201" w:rsidP="00456D97">
      <w:pPr>
        <w:pStyle w:val="NIHRCFootnotes"/>
        <w:spacing w:line="240" w:lineRule="auto"/>
      </w:pPr>
      <w:r w:rsidRPr="00F17F59">
        <w:rPr>
          <w:rStyle w:val="FootnoteReference"/>
        </w:rPr>
        <w:footnoteRef/>
      </w:r>
      <w:r w:rsidRPr="00F17F59">
        <w:t xml:space="preserve"> </w:t>
      </w:r>
      <w:r w:rsidR="00085869" w:rsidRPr="00F17F59">
        <w:t xml:space="preserve">Directive 2000/43/EC, ‘EU Council Directive on Implementing the Principle of Equal Treatment between Persons Irrespective of Racial or Ethnic Origin’, 29 June 2000; Directive 2000/78/EC, ‘EU Council Directive on Establishing a General Framework for Equal Treatment in Employment and Occupation’, 27 November 2000; Directive 2004/113/EC, ‘EU Council Directive on Implementing the Principle of Equal Treatment between Men and Women in the access to and supply </w:t>
      </w:r>
      <w:r w:rsidR="00085869" w:rsidRPr="000B5BFD">
        <w:t>of goods and Services’, 13 December 2004; Directive 2006/54/EC, ‘EU Council Directive on the Implementation of the Principle of Equal Opportunities and Equal Treatment of Men and Women in Matters of Employment and Occupation’, 5 July 2006; Directive 2010/41/EU, ‘EU Parliament and EU Council Directive on the Application of the Principle of Equal Treatment between Men and Women Engaged in an Activity in a Self-employed Capacity’, 7 July 2010; Directive 79/7/EEC, ‘EU Council Directive on the Progressive Implementation of the Principle of Equal Treatment for Men and Women in Matters of Social Security’, 19 December 1978.</w:t>
      </w:r>
    </w:p>
  </w:footnote>
  <w:footnote w:id="11">
    <w:p w14:paraId="31320D04" w14:textId="03F31A0E" w:rsidR="00D717CF" w:rsidRPr="000B5BFD" w:rsidRDefault="00D717CF" w:rsidP="00456D97">
      <w:pPr>
        <w:pStyle w:val="NIHRCFootnotes"/>
        <w:spacing w:line="240" w:lineRule="auto"/>
      </w:pPr>
      <w:r w:rsidRPr="000B5BFD">
        <w:rPr>
          <w:rStyle w:val="FootnoteReference"/>
        </w:rPr>
        <w:footnoteRef/>
      </w:r>
      <w:r w:rsidRPr="000B5BFD">
        <w:t xml:space="preserve"> </w:t>
      </w:r>
      <w:r w:rsidR="006B7E90" w:rsidRPr="000B5BFD">
        <w:t xml:space="preserve">See, for example, </w:t>
      </w:r>
      <w:r w:rsidR="00C82E53" w:rsidRPr="000B5BFD">
        <w:rPr>
          <w:i/>
          <w:iCs/>
        </w:rPr>
        <w:t>In the Matter of an Application by Martina Dillon and others - NI Troubles (Legacy and Reconciliation) Act 2023</w:t>
      </w:r>
      <w:r w:rsidR="00C82E53" w:rsidRPr="000B5BFD">
        <w:t xml:space="preserve"> [2024] NICA 59</w:t>
      </w:r>
      <w:r w:rsidR="003C3837" w:rsidRPr="000B5BFD">
        <w:t xml:space="preserve"> </w:t>
      </w:r>
      <w:r w:rsidR="006B7E90" w:rsidRPr="000B5BFD">
        <w:t xml:space="preserve">and </w:t>
      </w:r>
      <w:r w:rsidR="0045626E" w:rsidRPr="000B5BFD">
        <w:rPr>
          <w:i/>
          <w:iCs/>
        </w:rPr>
        <w:t>Northern Ireland Human Rights Commission's Application and JR295's Application and In the matter of The Illegal Migration Act 2023</w:t>
      </w:r>
      <w:r w:rsidR="00195E94" w:rsidRPr="000B5BFD">
        <w:t xml:space="preserve"> [2024] NIKB </w:t>
      </w:r>
      <w:r w:rsidR="0045626E" w:rsidRPr="000B5BFD">
        <w:t>35</w:t>
      </w:r>
      <w:r w:rsidR="006B7E90" w:rsidRPr="000B5BFD">
        <w:t>.</w:t>
      </w:r>
    </w:p>
  </w:footnote>
  <w:footnote w:id="12">
    <w:p w14:paraId="4E523107" w14:textId="54916483" w:rsidR="00D717CF" w:rsidRPr="000B5BFD" w:rsidRDefault="00D717CF" w:rsidP="00456D97">
      <w:pPr>
        <w:pStyle w:val="NIHRCFootnotes"/>
        <w:spacing w:line="240" w:lineRule="auto"/>
      </w:pPr>
      <w:r w:rsidRPr="000B5BFD">
        <w:rPr>
          <w:rStyle w:val="FootnoteReference"/>
        </w:rPr>
        <w:footnoteRef/>
      </w:r>
      <w:r w:rsidRPr="000B5BFD">
        <w:t xml:space="preserve"> </w:t>
      </w:r>
      <w:r w:rsidR="00C610C9" w:rsidRPr="000B5BFD">
        <w:t>Jayne McCormack, ‘Criticism of Courts' decision to allow Legacy Act appeal’, BBC News, 10 April 2025.</w:t>
      </w:r>
    </w:p>
  </w:footnote>
  <w:footnote w:id="13">
    <w:p w14:paraId="2932A03F" w14:textId="4CC04D78" w:rsidR="00B35A69" w:rsidRPr="000B5BFD" w:rsidRDefault="00B35A69" w:rsidP="00456D97">
      <w:pPr>
        <w:pStyle w:val="NIHRCFootnotes"/>
        <w:spacing w:line="240" w:lineRule="auto"/>
      </w:pPr>
      <w:r w:rsidRPr="000B5BFD">
        <w:rPr>
          <w:rStyle w:val="FootnoteReference"/>
        </w:rPr>
        <w:footnoteRef/>
      </w:r>
      <w:r w:rsidRPr="000B5BFD">
        <w:t xml:space="preserve"> </w:t>
      </w:r>
      <w:r w:rsidR="00D91E5D" w:rsidRPr="000B5BFD">
        <w:rPr>
          <w:i/>
          <w:iCs/>
        </w:rPr>
        <w:t>In the Matter of an Application by Martina Dillon and others - NI Troubles (Legacy and Reconciliation) Act 2023</w:t>
      </w:r>
      <w:r w:rsidR="00D91E5D" w:rsidRPr="000B5BFD">
        <w:t xml:space="preserve"> </w:t>
      </w:r>
      <w:r w:rsidR="007F5854" w:rsidRPr="000B5BFD">
        <w:t xml:space="preserve">[2024] NICA 59. </w:t>
      </w:r>
    </w:p>
  </w:footnote>
  <w:footnote w:id="14">
    <w:p w14:paraId="799ABBB8" w14:textId="09D0DED0" w:rsidR="007F5854" w:rsidRPr="000B5BFD" w:rsidRDefault="007F5854" w:rsidP="00456D97">
      <w:pPr>
        <w:pStyle w:val="NIHRCFootnotes"/>
        <w:spacing w:line="240" w:lineRule="auto"/>
      </w:pPr>
      <w:r w:rsidRPr="000B5BFD">
        <w:rPr>
          <w:rStyle w:val="FootnoteReference"/>
        </w:rPr>
        <w:footnoteRef/>
      </w:r>
      <w:r w:rsidRPr="000B5BFD">
        <w:t xml:space="preserve"> </w:t>
      </w:r>
      <w:r w:rsidR="004D5CDA" w:rsidRPr="000C41EB">
        <w:t>Ibid</w:t>
      </w:r>
      <w:r w:rsidR="00EC78C7" w:rsidRPr="004D5CDA">
        <w:t>,</w:t>
      </w:r>
      <w:r w:rsidR="00EC78C7" w:rsidRPr="000B5BFD">
        <w:t xml:space="preserve"> </w:t>
      </w:r>
      <w:r w:rsidR="00CF1A71">
        <w:t xml:space="preserve">at </w:t>
      </w:r>
      <w:r w:rsidR="00EC78C7" w:rsidRPr="000B5BFD">
        <w:t xml:space="preserve">paras 57, 63-72, 83-85, 89. </w:t>
      </w:r>
    </w:p>
  </w:footnote>
  <w:footnote w:id="15">
    <w:p w14:paraId="70B5075F" w14:textId="663498C0" w:rsidR="002943B9" w:rsidRPr="000B5BFD" w:rsidRDefault="002943B9" w:rsidP="00456D97">
      <w:pPr>
        <w:pStyle w:val="NIHRCFootnotes"/>
        <w:spacing w:line="240" w:lineRule="auto"/>
      </w:pPr>
      <w:r w:rsidRPr="000B5BFD">
        <w:rPr>
          <w:rStyle w:val="FootnoteReference"/>
        </w:rPr>
        <w:footnoteRef/>
      </w:r>
      <w:r w:rsidRPr="000B5BFD">
        <w:t xml:space="preserve"> </w:t>
      </w:r>
      <w:r w:rsidR="004D5CDA" w:rsidRPr="000C41EB">
        <w:t>Ibid</w:t>
      </w:r>
      <w:r w:rsidRPr="000B5BFD">
        <w:t xml:space="preserve">, </w:t>
      </w:r>
      <w:r w:rsidR="00CF1A71">
        <w:t xml:space="preserve">at </w:t>
      </w:r>
      <w:r w:rsidR="0070548B" w:rsidRPr="000B5BFD">
        <w:t xml:space="preserve">para 115. </w:t>
      </w:r>
    </w:p>
  </w:footnote>
  <w:footnote w:id="16">
    <w:p w14:paraId="3200D88D" w14:textId="6E5AC348" w:rsidR="0070548B" w:rsidRPr="000B5BFD" w:rsidRDefault="0070548B" w:rsidP="00456D97">
      <w:pPr>
        <w:pStyle w:val="NIHRCFootnotes"/>
        <w:spacing w:line="240" w:lineRule="auto"/>
      </w:pPr>
      <w:r w:rsidRPr="000B5BFD">
        <w:rPr>
          <w:rStyle w:val="FootnoteReference"/>
        </w:rPr>
        <w:footnoteRef/>
      </w:r>
      <w:r w:rsidRPr="000B5BFD">
        <w:t xml:space="preserve"> </w:t>
      </w:r>
      <w:r w:rsidR="008F3E3D" w:rsidRPr="000C41EB">
        <w:t>Ibid</w:t>
      </w:r>
      <w:r w:rsidR="00601FEE" w:rsidRPr="000B5BFD">
        <w:t>,</w:t>
      </w:r>
      <w:r w:rsidR="00A73B40" w:rsidRPr="000B5BFD">
        <w:t xml:space="preserve"> </w:t>
      </w:r>
      <w:r w:rsidR="00CF1A71">
        <w:t xml:space="preserve">at </w:t>
      </w:r>
      <w:r w:rsidR="00A73B40" w:rsidRPr="000B5BFD">
        <w:t xml:space="preserve">paras 117 and 121. See also </w:t>
      </w:r>
      <w:r w:rsidR="00C64651" w:rsidRPr="000B5BFD">
        <w:rPr>
          <w:i/>
          <w:iCs/>
        </w:rPr>
        <w:t>Northern Ireland Human Rights Commission's Application and JR295's Application and In the matter of The Illegal Migration Act 2023</w:t>
      </w:r>
      <w:r w:rsidR="00A73B40" w:rsidRPr="000B5BFD">
        <w:t xml:space="preserve"> [2024] NIKB </w:t>
      </w:r>
      <w:r w:rsidR="00ED70D1" w:rsidRPr="000B5BFD">
        <w:t>44</w:t>
      </w:r>
      <w:r w:rsidR="00BE2368" w:rsidRPr="000B5BFD">
        <w:t>,</w:t>
      </w:r>
      <w:r w:rsidR="00A73B40" w:rsidRPr="000B5BFD">
        <w:t xml:space="preserve"> at para 171.</w:t>
      </w:r>
    </w:p>
  </w:footnote>
  <w:footnote w:id="17">
    <w:p w14:paraId="5C4793A8" w14:textId="1C06DA00" w:rsidR="00DE0984" w:rsidRPr="000C41EB" w:rsidRDefault="00DE0984" w:rsidP="00456D97">
      <w:pPr>
        <w:pStyle w:val="FootnoteText"/>
        <w:spacing w:line="240" w:lineRule="auto"/>
        <w:rPr>
          <w:color w:val="77328A"/>
          <w:sz w:val="16"/>
          <w:szCs w:val="16"/>
        </w:rPr>
      </w:pPr>
      <w:r w:rsidRPr="007F1ECA">
        <w:rPr>
          <w:rStyle w:val="FootnoteReference"/>
          <w:color w:val="77328A"/>
          <w:sz w:val="16"/>
          <w:szCs w:val="16"/>
        </w:rPr>
        <w:footnoteRef/>
      </w:r>
      <w:r w:rsidRPr="007F1ECA">
        <w:rPr>
          <w:color w:val="77328A"/>
          <w:sz w:val="16"/>
          <w:szCs w:val="16"/>
        </w:rPr>
        <w:t xml:space="preserve"> </w:t>
      </w:r>
      <w:r w:rsidR="008F3E3D" w:rsidRPr="000C41EB">
        <w:rPr>
          <w:rFonts w:cstheme="minorHAnsi"/>
          <w:color w:val="77328A"/>
          <w:sz w:val="16"/>
          <w:szCs w:val="16"/>
        </w:rPr>
        <w:t>Ibid,</w:t>
      </w:r>
      <w:r w:rsidR="00354B7F" w:rsidRPr="000C41EB">
        <w:rPr>
          <w:rFonts w:cstheme="minorHAnsi"/>
          <w:color w:val="77328A"/>
          <w:sz w:val="16"/>
          <w:szCs w:val="16"/>
        </w:rPr>
        <w:t xml:space="preserve"> </w:t>
      </w:r>
      <w:r w:rsidRPr="000C41EB">
        <w:rPr>
          <w:rFonts w:cstheme="minorHAnsi"/>
          <w:color w:val="77328A"/>
          <w:sz w:val="16"/>
          <w:szCs w:val="16"/>
        </w:rPr>
        <w:t xml:space="preserve">at </w:t>
      </w:r>
      <w:r w:rsidR="009163EC" w:rsidRPr="000C41EB">
        <w:rPr>
          <w:rFonts w:cstheme="minorHAnsi"/>
          <w:color w:val="77328A"/>
          <w:sz w:val="16"/>
          <w:szCs w:val="16"/>
        </w:rPr>
        <w:t xml:space="preserve">para </w:t>
      </w:r>
      <w:r w:rsidRPr="000C41EB">
        <w:rPr>
          <w:rFonts w:cstheme="minorHAnsi"/>
          <w:color w:val="77328A"/>
          <w:sz w:val="16"/>
          <w:szCs w:val="16"/>
        </w:rPr>
        <w:t>126</w:t>
      </w:r>
      <w:r w:rsidR="009163EC" w:rsidRPr="000C41EB">
        <w:rPr>
          <w:rFonts w:cstheme="minorHAnsi"/>
          <w:color w:val="77328A"/>
          <w:sz w:val="16"/>
          <w:szCs w:val="16"/>
        </w:rPr>
        <w:t>.</w:t>
      </w:r>
    </w:p>
  </w:footnote>
  <w:footnote w:id="18">
    <w:p w14:paraId="55FA234D" w14:textId="0A831BE9" w:rsidR="00AD657D" w:rsidRPr="000C41EB" w:rsidRDefault="00AD657D" w:rsidP="00456D97">
      <w:pPr>
        <w:pStyle w:val="NIHRCFootnotes"/>
        <w:spacing w:line="240" w:lineRule="auto"/>
      </w:pPr>
      <w:r w:rsidRPr="000C41EB">
        <w:rPr>
          <w:rStyle w:val="FootnoteReference"/>
        </w:rPr>
        <w:footnoteRef/>
      </w:r>
      <w:r w:rsidRPr="000C41EB">
        <w:t xml:space="preserve"> </w:t>
      </w:r>
      <w:r w:rsidR="005B36B2" w:rsidRPr="000C41EB">
        <w:t>Ibid,</w:t>
      </w:r>
      <w:r w:rsidR="00A85971" w:rsidRPr="000C41EB">
        <w:t xml:space="preserve"> at paras 57 and 151-158.</w:t>
      </w:r>
    </w:p>
  </w:footnote>
  <w:footnote w:id="19">
    <w:p w14:paraId="04FC7F8B" w14:textId="4889E5F5" w:rsidR="00F270BE" w:rsidRPr="00F17F59" w:rsidRDefault="00F270BE" w:rsidP="00456D97">
      <w:pPr>
        <w:pStyle w:val="NIHRCFootnotes"/>
        <w:spacing w:line="240" w:lineRule="auto"/>
      </w:pPr>
      <w:r w:rsidRPr="00F17F59">
        <w:rPr>
          <w:rStyle w:val="FootnoteReference"/>
        </w:rPr>
        <w:footnoteRef/>
      </w:r>
      <w:r w:rsidRPr="00F17F59">
        <w:t xml:space="preserve"> </w:t>
      </w:r>
      <w:r w:rsidR="00130132" w:rsidRPr="00F17F59">
        <w:t>NI Human Rights Commission and Equality Commission for NI, ‘Working Paper: Scope of Article 2(1) of the Ireland/Northern Ireland Protocol to the UK-EU Withdrawal Agreement 2020’ (NIHRC and ECNI, 2022).</w:t>
      </w:r>
    </w:p>
  </w:footnote>
  <w:footnote w:id="20">
    <w:p w14:paraId="5E184810" w14:textId="71A88A5E" w:rsidR="00F270BE" w:rsidRPr="00F17F59" w:rsidRDefault="00F270BE" w:rsidP="00456D97">
      <w:pPr>
        <w:pStyle w:val="NIHRCFootnotes"/>
        <w:spacing w:line="240" w:lineRule="auto"/>
      </w:pPr>
      <w:r w:rsidRPr="00F17F59">
        <w:rPr>
          <w:rStyle w:val="FootnoteReference"/>
        </w:rPr>
        <w:footnoteRef/>
      </w:r>
      <w:r w:rsidRPr="00F17F59">
        <w:t xml:space="preserve"> </w:t>
      </w:r>
      <w:r w:rsidR="00D3335C" w:rsidRPr="00D3335C">
        <w:rPr>
          <w:i/>
          <w:iCs/>
        </w:rPr>
        <w:t xml:space="preserve">In the Matter of an Application by Martina Dillon and others - NI Troubles (Legacy and Reconciliation) Act 2023 </w:t>
      </w:r>
      <w:r w:rsidR="00130132" w:rsidRPr="00F17F59">
        <w:t>[2024] NICA 59</w:t>
      </w:r>
      <w:r w:rsidR="00D3335C">
        <w:t>,</w:t>
      </w:r>
      <w:r w:rsidR="00130132" w:rsidRPr="00F17F59">
        <w:t xml:space="preserve"> at para 112; </w:t>
      </w:r>
      <w:r w:rsidR="00E2159C" w:rsidRPr="00E2159C">
        <w:rPr>
          <w:i/>
          <w:iCs/>
        </w:rPr>
        <w:t>SPUC Pro- Life Limited Application for Judicial review</w:t>
      </w:r>
      <w:r w:rsidR="00130132" w:rsidRPr="00F17F59">
        <w:t xml:space="preserve"> [2023] NICA 35</w:t>
      </w:r>
      <w:r w:rsidR="00E2159C">
        <w:t>,</w:t>
      </w:r>
      <w:r w:rsidR="00130132" w:rsidRPr="00F17F59">
        <w:t xml:space="preserve"> at para 72.</w:t>
      </w:r>
    </w:p>
  </w:footnote>
  <w:footnote w:id="21">
    <w:p w14:paraId="418DD948" w14:textId="77777777" w:rsidR="0028268D" w:rsidRPr="00F17F59" w:rsidRDefault="0028268D" w:rsidP="00456D97">
      <w:pPr>
        <w:pStyle w:val="NIHRCFootnotes"/>
        <w:spacing w:line="240" w:lineRule="auto"/>
      </w:pPr>
      <w:r w:rsidRPr="00F17F59">
        <w:rPr>
          <w:rStyle w:val="FootnoteReference"/>
        </w:rPr>
        <w:footnoteRef/>
      </w:r>
      <w:r w:rsidRPr="00F17F59">
        <w:t xml:space="preserve"> Where UK law was out of alignment with EU law on 31 December 2020, the absence of a domestic implementing measure is not an insurmountable obstacle to demonstrating a diminution of rights contrary to Windsor Framework Article 2, provided the EU obligation existed and </w:t>
      </w:r>
      <w:r w:rsidRPr="00F17F59">
        <w:t xml:space="preserve">was capable of having </w:t>
      </w:r>
      <w:r>
        <w:t>binding</w:t>
      </w:r>
      <w:r w:rsidRPr="00F17F59">
        <w:t xml:space="preserve"> effect on that date.</w:t>
      </w:r>
    </w:p>
  </w:footnote>
  <w:footnote w:id="22">
    <w:p w14:paraId="79D58940" w14:textId="77777777" w:rsidR="0028268D" w:rsidRPr="00F17F59" w:rsidRDefault="0028268D" w:rsidP="00456D97">
      <w:pPr>
        <w:pStyle w:val="NIHRCFootnotes"/>
        <w:spacing w:line="240" w:lineRule="auto"/>
      </w:pPr>
      <w:r w:rsidRPr="00F17F59">
        <w:rPr>
          <w:rStyle w:val="FootnoteReference"/>
        </w:rPr>
        <w:footnoteRef/>
      </w:r>
      <w:r w:rsidRPr="00F17F59">
        <w:t xml:space="preserve"> For more detail, see </w:t>
      </w:r>
      <w:bookmarkStart w:id="6" w:name="_Hlk201568313"/>
      <w:r w:rsidRPr="00F17F59">
        <w:t>NI Human Rights Commission and Equality Commission for NI, ‘Working Paper: The Scope of Article 2(1) of the Ireland/Northern Ireland Protocol’, (NIHRC and ECNI, 2022).</w:t>
      </w:r>
      <w:bookmarkEnd w:id="6"/>
    </w:p>
  </w:footnote>
  <w:footnote w:id="23">
    <w:p w14:paraId="4C5EABCC" w14:textId="63073712" w:rsidR="00FA4C07" w:rsidRDefault="00FA4C07" w:rsidP="00456D97">
      <w:pPr>
        <w:pStyle w:val="NIHRCFootnotes"/>
        <w:spacing w:line="240" w:lineRule="auto"/>
      </w:pPr>
      <w:r>
        <w:rPr>
          <w:rStyle w:val="FootnoteReference"/>
        </w:rPr>
        <w:footnoteRef/>
      </w:r>
      <w:r>
        <w:t xml:space="preserve"> </w:t>
      </w:r>
      <w:r w:rsidRPr="000C41EB">
        <w:rPr>
          <w:i/>
          <w:iCs/>
        </w:rPr>
        <w:t>In the Matter of an Application by Martina Dillon and others - NI Troubles (Legacy and Reconciliation) Act 2023</w:t>
      </w:r>
      <w:r w:rsidRPr="00FA4C07">
        <w:t xml:space="preserve"> [2024] NICA 59</w:t>
      </w:r>
      <w:r>
        <w:t xml:space="preserve">, </w:t>
      </w:r>
      <w:r w:rsidRPr="000C41EB">
        <w:t xml:space="preserve">at para </w:t>
      </w:r>
      <w:r w:rsidR="000C41EB">
        <w:t>96</w:t>
      </w:r>
      <w:r w:rsidR="00E35785">
        <w:t>.</w:t>
      </w:r>
    </w:p>
  </w:footnote>
  <w:footnote w:id="24">
    <w:p w14:paraId="0856B747" w14:textId="6CD44072" w:rsidR="00C44531" w:rsidRPr="00117073" w:rsidRDefault="00C44531" w:rsidP="00456D97">
      <w:pPr>
        <w:pStyle w:val="NIHRCFootnotes"/>
        <w:spacing w:line="240" w:lineRule="auto"/>
      </w:pPr>
      <w:r w:rsidRPr="00117073">
        <w:rPr>
          <w:rStyle w:val="FootnoteReference"/>
        </w:rPr>
        <w:footnoteRef/>
      </w:r>
      <w:r w:rsidRPr="00117073">
        <w:t xml:space="preserve"> </w:t>
      </w:r>
      <w:r w:rsidR="00083A88" w:rsidRPr="00083A88">
        <w:rPr>
          <w:i/>
          <w:iCs/>
        </w:rPr>
        <w:t>SSWP v AT</w:t>
      </w:r>
      <w:r w:rsidR="00083A88" w:rsidRPr="00083A88">
        <w:t xml:space="preserve"> [2023] EWCA </w:t>
      </w:r>
      <w:r w:rsidR="00083A88" w:rsidRPr="00083A88">
        <w:t>Civ 1307</w:t>
      </w:r>
      <w:r w:rsidR="00B70679">
        <w:t>,</w:t>
      </w:r>
      <w:r w:rsidR="00117073">
        <w:t xml:space="preserve"> at</w:t>
      </w:r>
      <w:r w:rsidR="000C41EB">
        <w:t xml:space="preserve"> para</w:t>
      </w:r>
      <w:r w:rsidR="00117073">
        <w:t xml:space="preserve"> 92.</w:t>
      </w:r>
    </w:p>
  </w:footnote>
  <w:footnote w:id="25">
    <w:p w14:paraId="09377D5B" w14:textId="2A815039" w:rsidR="007004F4" w:rsidRPr="007F1ECA" w:rsidRDefault="007004F4" w:rsidP="00456D97">
      <w:pPr>
        <w:pStyle w:val="FootnoteText"/>
        <w:spacing w:line="240" w:lineRule="auto"/>
        <w:rPr>
          <w:color w:val="77328A"/>
          <w:sz w:val="16"/>
          <w:szCs w:val="16"/>
        </w:rPr>
      </w:pPr>
      <w:r w:rsidRPr="007F1ECA">
        <w:rPr>
          <w:rStyle w:val="FootnoteReference"/>
          <w:color w:val="77328A"/>
          <w:sz w:val="16"/>
          <w:szCs w:val="16"/>
        </w:rPr>
        <w:footnoteRef/>
      </w:r>
      <w:r w:rsidRPr="007F1ECA">
        <w:rPr>
          <w:color w:val="77328A"/>
          <w:sz w:val="16"/>
          <w:szCs w:val="16"/>
        </w:rPr>
        <w:t xml:space="preserve"> </w:t>
      </w:r>
      <w:r w:rsidRPr="00354B7F">
        <w:rPr>
          <w:rFonts w:cstheme="minorHAnsi"/>
          <w:i/>
          <w:iCs/>
          <w:color w:val="77328A"/>
          <w:sz w:val="16"/>
          <w:szCs w:val="16"/>
        </w:rPr>
        <w:t xml:space="preserve">In the Matter of an Application by Martina Dillon and others - NI Troubles (Legacy and Reconciliation) Act 2023 </w:t>
      </w:r>
      <w:r w:rsidRPr="00354B7F">
        <w:rPr>
          <w:rFonts w:cstheme="minorHAnsi"/>
          <w:color w:val="77328A"/>
          <w:sz w:val="16"/>
          <w:szCs w:val="16"/>
        </w:rPr>
        <w:t>[2024] NICA 59</w:t>
      </w:r>
      <w:r w:rsidR="000C41EB">
        <w:rPr>
          <w:rFonts w:cstheme="minorHAnsi"/>
          <w:color w:val="77328A"/>
          <w:sz w:val="16"/>
          <w:szCs w:val="16"/>
        </w:rPr>
        <w:t>,</w:t>
      </w:r>
      <w:r>
        <w:rPr>
          <w:rFonts w:cstheme="minorHAnsi"/>
          <w:i/>
          <w:iCs/>
          <w:color w:val="77328A"/>
          <w:sz w:val="16"/>
          <w:szCs w:val="16"/>
        </w:rPr>
        <w:t xml:space="preserve"> </w:t>
      </w:r>
      <w:r w:rsidRPr="007F1ECA">
        <w:rPr>
          <w:rFonts w:cstheme="minorHAnsi"/>
          <w:color w:val="77328A"/>
          <w:sz w:val="16"/>
          <w:szCs w:val="16"/>
        </w:rPr>
        <w:t xml:space="preserve">at </w:t>
      </w:r>
      <w:r>
        <w:rPr>
          <w:rFonts w:cstheme="minorHAnsi"/>
          <w:color w:val="77328A"/>
          <w:sz w:val="16"/>
          <w:szCs w:val="16"/>
        </w:rPr>
        <w:t xml:space="preserve">para </w:t>
      </w:r>
      <w:r w:rsidRPr="007F1ECA">
        <w:rPr>
          <w:rFonts w:cstheme="minorHAnsi"/>
          <w:color w:val="77328A"/>
          <w:sz w:val="16"/>
          <w:szCs w:val="16"/>
        </w:rPr>
        <w:t>126</w:t>
      </w:r>
      <w:r>
        <w:rPr>
          <w:rFonts w:cstheme="minorHAnsi"/>
          <w:color w:val="77328A"/>
          <w:sz w:val="16"/>
          <w:szCs w:val="16"/>
        </w:rPr>
        <w:t>.</w:t>
      </w:r>
    </w:p>
  </w:footnote>
  <w:footnote w:id="26">
    <w:p w14:paraId="500347BE" w14:textId="068F3B4D" w:rsidR="0003413E" w:rsidRPr="00F17F59" w:rsidRDefault="0003413E" w:rsidP="00456D97">
      <w:pPr>
        <w:pStyle w:val="NIHRCFootnotes"/>
        <w:spacing w:line="240" w:lineRule="auto"/>
      </w:pPr>
      <w:r w:rsidRPr="00F17F59">
        <w:rPr>
          <w:rStyle w:val="FootnoteReference"/>
        </w:rPr>
        <w:footnoteRef/>
      </w:r>
      <w:r w:rsidRPr="00F17F59">
        <w:t xml:space="preserve"> </w:t>
      </w:r>
      <w:r w:rsidR="00581DC9" w:rsidRPr="00F17F59">
        <w:t xml:space="preserve">Section 5, EU (Withdrawal) Act 2018. See </w:t>
      </w:r>
      <w:r w:rsidR="00581DC9" w:rsidRPr="00F17F59">
        <w:rPr>
          <w:i/>
          <w:iCs/>
        </w:rPr>
        <w:t>Re SPUC Pro-Life Limited</w:t>
      </w:r>
      <w:r w:rsidR="00581DC9" w:rsidRPr="00F17F59">
        <w:t xml:space="preserve"> [2022] NIQB 9, at paras 78 and 115. </w:t>
      </w:r>
    </w:p>
  </w:footnote>
  <w:footnote w:id="27">
    <w:p w14:paraId="13E4390C" w14:textId="6EA8A707" w:rsidR="00973B5F" w:rsidRDefault="00973B5F" w:rsidP="00456D97">
      <w:pPr>
        <w:pStyle w:val="NIHRCFootnotes"/>
        <w:spacing w:line="240" w:lineRule="auto"/>
      </w:pPr>
      <w:r>
        <w:rPr>
          <w:rStyle w:val="FootnoteReference"/>
        </w:rPr>
        <w:footnoteRef/>
      </w:r>
      <w:r>
        <w:t xml:space="preserve"> </w:t>
      </w:r>
      <w:r w:rsidR="00805036">
        <w:t xml:space="preserve">Tobias Lock, Eleni </w:t>
      </w:r>
      <w:r w:rsidR="00805036">
        <w:t xml:space="preserve">Frantziou and Anurag Deb, ‘The Interaction </w:t>
      </w:r>
      <w:r w:rsidR="001E4A5E">
        <w:t xml:space="preserve">between the EU Charter of Fundamental Rights and general principles with the Windsor Framework’ (NIHRC, 2024), at 54. </w:t>
      </w:r>
      <w:r w:rsidR="00DA7F75">
        <w:t xml:space="preserve">See also </w:t>
      </w:r>
      <w:r w:rsidR="00DA7F75" w:rsidRPr="00F17F59">
        <w:t>NI Human Rights Commission and Equality Commission for NI, ‘Working Paper: Scope of Article 2(1) of the Ireland/Northern Ireland Protocol to the UK-EU Withdrawal Agreement 2020’ (NIHRC and ECNI, 2022)</w:t>
      </w:r>
      <w:r w:rsidR="00DA7F75">
        <w:t>, at para 7.2.</w:t>
      </w:r>
    </w:p>
  </w:footnote>
  <w:footnote w:id="28">
    <w:p w14:paraId="4F270D7B" w14:textId="26B289B4" w:rsidR="00E86FDD" w:rsidRDefault="00E86FDD" w:rsidP="00456D97">
      <w:pPr>
        <w:pStyle w:val="NIHRCFootnotes"/>
        <w:spacing w:line="240" w:lineRule="auto"/>
      </w:pPr>
      <w:r>
        <w:rPr>
          <w:rStyle w:val="FootnoteReference"/>
        </w:rPr>
        <w:footnoteRef/>
      </w:r>
      <w:r>
        <w:t xml:space="preserve"> </w:t>
      </w:r>
      <w:r w:rsidR="00AA2314" w:rsidRPr="00AA2314">
        <w:t>Ciara Brennan, Mary Dobbs, Alison Hough, Orla Kelleher and Lisa Whitten, ‘The Environment, Human Rights and the Windsor Framework’ (NIHRC, 2025),</w:t>
      </w:r>
      <w:r w:rsidR="00AA2314">
        <w:t xml:space="preserve"> </w:t>
      </w:r>
      <w:r w:rsidR="003D762F">
        <w:t xml:space="preserve">Chapter 1. </w:t>
      </w:r>
    </w:p>
  </w:footnote>
  <w:footnote w:id="29">
    <w:p w14:paraId="4C900482" w14:textId="2D21CCFE" w:rsidR="00563CAD" w:rsidRPr="00F17F59" w:rsidRDefault="00563CAD" w:rsidP="00456D97">
      <w:pPr>
        <w:pStyle w:val="NIHRCFootnotes"/>
        <w:spacing w:line="240" w:lineRule="auto"/>
      </w:pPr>
      <w:r w:rsidRPr="00F17F59">
        <w:rPr>
          <w:rStyle w:val="FootnoteReference"/>
        </w:rPr>
        <w:footnoteRef/>
      </w:r>
      <w:r w:rsidRPr="00F17F59">
        <w:t xml:space="preserve"> </w:t>
      </w:r>
      <w:r w:rsidR="008D118C" w:rsidRPr="00F17F59">
        <w:t>Belfast (Good Friday) Agreement, Part 6 on Rights, Safeguards and Equality of Opportunity – Human Rights, 10 April 1998.</w:t>
      </w:r>
    </w:p>
  </w:footnote>
  <w:footnote w:id="30">
    <w:p w14:paraId="24E150FF" w14:textId="2F3816E0" w:rsidR="00D43AB9" w:rsidRPr="00F17F59" w:rsidRDefault="00D43AB9" w:rsidP="00456D97">
      <w:pPr>
        <w:pStyle w:val="NIHRCFootnotes"/>
        <w:spacing w:line="240" w:lineRule="auto"/>
      </w:pPr>
      <w:r w:rsidRPr="00F17F59">
        <w:rPr>
          <w:rStyle w:val="FootnoteReference"/>
        </w:rPr>
        <w:footnoteRef/>
      </w:r>
      <w:r w:rsidRPr="00F17F59">
        <w:t xml:space="preserve"> </w:t>
      </w:r>
      <w:r w:rsidRPr="00FC09BE">
        <w:rPr>
          <w:i/>
          <w:iCs/>
        </w:rPr>
        <w:t>In the Matter of an Application by Martina Dillon and others - NI Troubles (Legacy and Reconciliation) Act 2023</w:t>
      </w:r>
      <w:r w:rsidRPr="00693561">
        <w:t xml:space="preserve"> [2024] NICA 59, </w:t>
      </w:r>
      <w:r w:rsidR="00DD4B30">
        <w:t xml:space="preserve">at </w:t>
      </w:r>
      <w:r w:rsidRPr="00F17F59">
        <w:t>para 115.</w:t>
      </w:r>
    </w:p>
  </w:footnote>
  <w:footnote w:id="31">
    <w:p w14:paraId="72ED0832" w14:textId="17FD54EE" w:rsidR="00D43AB9" w:rsidRPr="00F17F59" w:rsidRDefault="00D43AB9" w:rsidP="00456D97">
      <w:pPr>
        <w:pStyle w:val="NIHRCFootnotes"/>
        <w:spacing w:line="240" w:lineRule="auto"/>
      </w:pPr>
      <w:r w:rsidRPr="00F17F59">
        <w:rPr>
          <w:rStyle w:val="FootnoteReference"/>
        </w:rPr>
        <w:footnoteRef/>
      </w:r>
      <w:r w:rsidRPr="00F17F59">
        <w:t xml:space="preserve"> </w:t>
      </w:r>
      <w:r w:rsidR="00A62D5C" w:rsidRPr="000C41EB">
        <w:t>Ibid</w:t>
      </w:r>
      <w:r w:rsidRPr="005C69F5">
        <w:t>,</w:t>
      </w:r>
      <w:r w:rsidRPr="00F17F59">
        <w:t xml:space="preserve"> </w:t>
      </w:r>
      <w:r w:rsidR="005C69F5">
        <w:t xml:space="preserve">at </w:t>
      </w:r>
      <w:r w:rsidRPr="00F17F59">
        <w:t>para 115.</w:t>
      </w:r>
    </w:p>
  </w:footnote>
  <w:footnote w:id="32">
    <w:p w14:paraId="4670FDDF" w14:textId="0688BD32" w:rsidR="00563CAD" w:rsidRPr="00F17F59" w:rsidRDefault="00563CAD" w:rsidP="00456D97">
      <w:pPr>
        <w:pStyle w:val="NIHRCFootnotes"/>
        <w:spacing w:line="240" w:lineRule="auto"/>
      </w:pPr>
      <w:r w:rsidRPr="00F17F59">
        <w:rPr>
          <w:rStyle w:val="FootnoteReference"/>
        </w:rPr>
        <w:footnoteRef/>
      </w:r>
      <w:r w:rsidRPr="00F17F59">
        <w:t xml:space="preserve"> </w:t>
      </w:r>
      <w:r w:rsidR="008D118C" w:rsidRPr="00F17F59">
        <w:t>Belfast (Good Friday) Agreement, Part 6 on Rights, Safeguards and Equality of Opportunity – Human Rights, 10 April 1998.</w:t>
      </w:r>
      <w:r w:rsidR="00743697">
        <w:t xml:space="preserve"> The Human Rights Act 1998 in</w:t>
      </w:r>
      <w:r w:rsidR="001C5D89">
        <w:t>corporated many of the ECHR rights into domestic UK law.</w:t>
      </w:r>
    </w:p>
  </w:footnote>
  <w:footnote w:id="33">
    <w:p w14:paraId="38838B64" w14:textId="533B3C01" w:rsidR="000809BC" w:rsidRPr="00F17F59" w:rsidRDefault="000809BC" w:rsidP="00456D97">
      <w:pPr>
        <w:pStyle w:val="NIHRCFootnotes"/>
        <w:spacing w:line="240" w:lineRule="auto"/>
      </w:pPr>
      <w:r w:rsidRPr="00F17F59">
        <w:rPr>
          <w:rStyle w:val="FootnoteReference"/>
        </w:rPr>
        <w:footnoteRef/>
      </w:r>
      <w:r w:rsidRPr="00F17F59">
        <w:t xml:space="preserve"> </w:t>
      </w:r>
      <w:r w:rsidR="000D45F0" w:rsidRPr="00F17F59">
        <w:t>NI Office, ‘UK Government Commitment to “No Diminution of Rights, Safeguards and Equality of Opportunity” in Northern Ireland: What does it Mean and How will it be Implemented?’ (NIO, 2020), at para 3.</w:t>
      </w:r>
    </w:p>
  </w:footnote>
  <w:footnote w:id="34">
    <w:p w14:paraId="54BC7C3D" w14:textId="614A0F1F" w:rsidR="00BA5DC8" w:rsidRPr="00F17F59" w:rsidRDefault="00BA5DC8" w:rsidP="00456D97">
      <w:pPr>
        <w:pStyle w:val="NIHRCFootnotes"/>
        <w:spacing w:line="240" w:lineRule="auto"/>
      </w:pPr>
      <w:r w:rsidRPr="00F17F59">
        <w:rPr>
          <w:rStyle w:val="FootnoteReference"/>
        </w:rPr>
        <w:footnoteRef/>
      </w:r>
      <w:r w:rsidRPr="00F17F59">
        <w:t xml:space="preserve"> </w:t>
      </w:r>
      <w:r w:rsidR="006138F1" w:rsidRPr="006138F1">
        <w:t>NI Human Rights Commission and Equality Commission for NI, ‘Working Paper: The Scope of Article 2(1) of the Ireland/Northern Ireland Protocol’, (NIHRC and ECNI, 2022</w:t>
      </w:r>
      <w:r w:rsidR="006138F1" w:rsidRPr="006138F1">
        <w:t>)</w:t>
      </w:r>
      <w:r w:rsidR="006138F1">
        <w:t>,</w:t>
      </w:r>
      <w:r w:rsidRPr="00F17F59">
        <w:t xml:space="preserve">, </w:t>
      </w:r>
      <w:r w:rsidR="006138F1">
        <w:t xml:space="preserve">at </w:t>
      </w:r>
      <w:r w:rsidRPr="00F17F59">
        <w:t xml:space="preserve">para 3.4. </w:t>
      </w:r>
    </w:p>
  </w:footnote>
  <w:footnote w:id="35">
    <w:p w14:paraId="7D7C4697" w14:textId="0D39EDE0" w:rsidR="006441B1" w:rsidRPr="00F227E4" w:rsidRDefault="006441B1" w:rsidP="00456D97">
      <w:pPr>
        <w:pStyle w:val="NIHRCFootnotes"/>
        <w:spacing w:line="240" w:lineRule="auto"/>
      </w:pPr>
      <w:r w:rsidRPr="00F227E4">
        <w:rPr>
          <w:rStyle w:val="FootnoteReference"/>
          <w:rFonts w:cstheme="minorHAnsi"/>
        </w:rPr>
        <w:footnoteRef/>
      </w:r>
      <w:r w:rsidRPr="00F227E4">
        <w:t xml:space="preserve"> </w:t>
      </w:r>
      <w:r w:rsidR="00A7710D" w:rsidRPr="00A7710D">
        <w:rPr>
          <w:i/>
          <w:iCs/>
        </w:rPr>
        <w:t xml:space="preserve">In the Matter of an Application by Martina Dillon and others - NI Troubles (Legacy and Reconciliation) Act 2023 </w:t>
      </w:r>
      <w:r w:rsidRPr="00F227E4">
        <w:t xml:space="preserve">[2024] NICA 59, at paras 115-117. </w:t>
      </w:r>
    </w:p>
  </w:footnote>
  <w:footnote w:id="36">
    <w:p w14:paraId="49751618" w14:textId="6A475400" w:rsidR="006441B1" w:rsidRPr="00C709AD" w:rsidRDefault="006441B1" w:rsidP="00456D97">
      <w:pPr>
        <w:pStyle w:val="NIHRCFootnotes"/>
        <w:spacing w:line="240" w:lineRule="auto"/>
        <w:rPr>
          <w:rFonts w:cstheme="minorHAnsi"/>
        </w:rPr>
      </w:pPr>
      <w:r w:rsidRPr="00C709AD">
        <w:rPr>
          <w:rStyle w:val="FootnoteReference"/>
          <w:rFonts w:cstheme="minorHAnsi"/>
        </w:rPr>
        <w:footnoteRef/>
      </w:r>
      <w:r w:rsidRPr="00C709AD">
        <w:rPr>
          <w:rFonts w:cstheme="minorHAnsi"/>
        </w:rPr>
        <w:t xml:space="preserve"> </w:t>
      </w:r>
      <w:r w:rsidR="00FC2FD3" w:rsidRPr="000C41EB">
        <w:rPr>
          <w:rFonts w:cstheme="minorHAnsi"/>
        </w:rPr>
        <w:t>Ibid</w:t>
      </w:r>
      <w:r w:rsidR="0012035F" w:rsidRPr="00FC2FD3">
        <w:rPr>
          <w:rFonts w:cstheme="minorHAnsi"/>
        </w:rPr>
        <w:t>,</w:t>
      </w:r>
      <w:r w:rsidRPr="00C709AD">
        <w:rPr>
          <w:rFonts w:cstheme="minorHAnsi"/>
        </w:rPr>
        <w:t xml:space="preserve"> at para </w:t>
      </w:r>
      <w:r>
        <w:rPr>
          <w:rFonts w:cstheme="minorHAnsi"/>
        </w:rPr>
        <w:t>119</w:t>
      </w:r>
      <w:r w:rsidR="001336C7">
        <w:rPr>
          <w:rFonts w:cstheme="minorHAnsi"/>
        </w:rPr>
        <w:t xml:space="preserve"> and 126</w:t>
      </w:r>
      <w:r w:rsidRPr="00C709AD">
        <w:rPr>
          <w:rFonts w:cstheme="minorHAnsi"/>
        </w:rPr>
        <w:t xml:space="preserve">. </w:t>
      </w:r>
    </w:p>
  </w:footnote>
  <w:footnote w:id="37">
    <w:p w14:paraId="1E55F013" w14:textId="2CB8B63B" w:rsidR="00D70D49" w:rsidRDefault="00D70D49" w:rsidP="00456D97">
      <w:pPr>
        <w:pStyle w:val="NIHRCFootnotes"/>
        <w:spacing w:line="240" w:lineRule="auto"/>
      </w:pPr>
      <w:r>
        <w:rPr>
          <w:rStyle w:val="FootnoteReference"/>
        </w:rPr>
        <w:footnoteRef/>
      </w:r>
      <w:r>
        <w:t xml:space="preserve"> </w:t>
      </w:r>
      <w:r w:rsidR="00C63403">
        <w:t xml:space="preserve">The ECtHR has developed an extensive case-law on human rights and the </w:t>
      </w:r>
      <w:r w:rsidR="000703C4">
        <w:t>environment</w:t>
      </w:r>
      <w:r w:rsidR="00C63403">
        <w:t xml:space="preserve"> and on human rights and climate change. See </w:t>
      </w:r>
      <w:r w:rsidR="00EA7484">
        <w:t>European Court of Human Rights, ‘F</w:t>
      </w:r>
      <w:r w:rsidR="0013391B">
        <w:t xml:space="preserve">act sheet- environment and the European </w:t>
      </w:r>
      <w:r w:rsidR="00FD3DD1">
        <w:t>Convention</w:t>
      </w:r>
      <w:r w:rsidR="0013391B">
        <w:t xml:space="preserve"> on Human Rights’. Available at:</w:t>
      </w:r>
      <w:r w:rsidR="00D856CC">
        <w:t xml:space="preserve"> </w:t>
      </w:r>
      <w:hyperlink r:id="rId1" w:history="1">
        <w:r w:rsidR="00D856CC" w:rsidRPr="00321C9A">
          <w:rPr>
            <w:rStyle w:val="Hyperlink"/>
          </w:rPr>
          <w:t>https://www.echr.coe.int/documents/d/echr/FS_Environment_ENG</w:t>
        </w:r>
      </w:hyperlink>
      <w:r w:rsidR="00FD3DD1">
        <w:t xml:space="preserve"> See </w:t>
      </w:r>
      <w:r w:rsidR="00FD3DD1" w:rsidRPr="00FD3DD1">
        <w:t xml:space="preserve">European Court of Human Rights, ‘Fact sheet- </w:t>
      </w:r>
      <w:r w:rsidR="00FD3DD1">
        <w:t>climate change</w:t>
      </w:r>
      <w:r w:rsidR="00FD3DD1" w:rsidRPr="00FD3DD1">
        <w:t>’</w:t>
      </w:r>
      <w:r w:rsidR="00D856CC">
        <w:t xml:space="preserve">. Available at </w:t>
      </w:r>
      <w:hyperlink r:id="rId2" w:history="1">
        <w:r w:rsidR="00D856CC" w:rsidRPr="00321C9A">
          <w:rPr>
            <w:rStyle w:val="Hyperlink"/>
          </w:rPr>
          <w:t>https://www.echr.coe.int/documents/d/echr/FS_Climate_change_ENG</w:t>
        </w:r>
      </w:hyperlink>
      <w:r w:rsidR="00D856CC">
        <w:t xml:space="preserve">  See also </w:t>
      </w:r>
      <w:r w:rsidR="00432878" w:rsidRPr="00432878">
        <w:t>Ciara Brennan, Mary Dobbs, Alison Hough, Orla Kelleher and Lisa Whitten, ‘The Environment, Human Rights and the Windsor Framework’ (NIHRC, 2025)</w:t>
      </w:r>
      <w:r w:rsidR="00432878">
        <w:t xml:space="preserve">, Chapter </w:t>
      </w:r>
      <w:r w:rsidR="0072223F">
        <w:t xml:space="preserve">2. </w:t>
      </w:r>
    </w:p>
  </w:footnote>
  <w:footnote w:id="38">
    <w:p w14:paraId="41735DD5" w14:textId="7F6E1E2C" w:rsidR="00005B07" w:rsidRPr="00F17F59" w:rsidRDefault="00005B07" w:rsidP="00456D97">
      <w:pPr>
        <w:pStyle w:val="NIHRCFootnotes"/>
        <w:spacing w:line="240" w:lineRule="auto"/>
      </w:pPr>
      <w:r w:rsidRPr="00F17F59">
        <w:rPr>
          <w:rStyle w:val="FootnoteReference"/>
        </w:rPr>
        <w:footnoteRef/>
      </w:r>
      <w:r w:rsidRPr="00F17F59">
        <w:t xml:space="preserve"> </w:t>
      </w:r>
      <w:r w:rsidRPr="00424AEB">
        <w:rPr>
          <w:i/>
          <w:iCs/>
        </w:rPr>
        <w:t xml:space="preserve">Verein </w:t>
      </w:r>
      <w:r w:rsidRPr="00424AEB">
        <w:rPr>
          <w:i/>
          <w:iCs/>
        </w:rPr>
        <w:t>KlimaSeniorinnen Schweiz and Others v Switzerland</w:t>
      </w:r>
      <w:r w:rsidR="00537BD2">
        <w:t xml:space="preserve"> (2024)</w:t>
      </w:r>
      <w:r w:rsidR="00424AEB">
        <w:t xml:space="preserve"> </w:t>
      </w:r>
      <w:r w:rsidR="00693561">
        <w:t>ECHR 304</w:t>
      </w:r>
      <w:r w:rsidR="004706D7" w:rsidRPr="00F17F59">
        <w:t xml:space="preserve">. </w:t>
      </w:r>
    </w:p>
  </w:footnote>
  <w:footnote w:id="39">
    <w:p w14:paraId="480F0F99" w14:textId="79C378D8" w:rsidR="00F34256" w:rsidRPr="00F17F59" w:rsidRDefault="00F34256" w:rsidP="00456D97">
      <w:pPr>
        <w:pStyle w:val="NIHRCFootnotes"/>
        <w:spacing w:line="240" w:lineRule="auto"/>
      </w:pPr>
      <w:r w:rsidRPr="00F17F59">
        <w:rPr>
          <w:rStyle w:val="FootnoteReference"/>
        </w:rPr>
        <w:footnoteRef/>
      </w:r>
      <w:r w:rsidRPr="00F17F59">
        <w:t xml:space="preserve"> </w:t>
      </w:r>
      <w:r w:rsidR="00457C01" w:rsidRPr="000C41EB">
        <w:t>Ibid</w:t>
      </w:r>
      <w:r w:rsidRPr="00457C01">
        <w:t xml:space="preserve">, </w:t>
      </w:r>
      <w:r w:rsidR="00457C01">
        <w:t xml:space="preserve">at </w:t>
      </w:r>
      <w:r w:rsidRPr="00F17F59">
        <w:t xml:space="preserve">para </w:t>
      </w:r>
      <w:r w:rsidR="007D6197" w:rsidRPr="00F17F59">
        <w:t xml:space="preserve">513 and para 519. </w:t>
      </w:r>
    </w:p>
  </w:footnote>
  <w:footnote w:id="40">
    <w:p w14:paraId="1A6B5AED" w14:textId="14C5F54F" w:rsidR="00D86E58" w:rsidRPr="00F17F59" w:rsidRDefault="00D86E58" w:rsidP="00456D97">
      <w:pPr>
        <w:pStyle w:val="NIHRCFootnotes"/>
        <w:spacing w:line="240" w:lineRule="auto"/>
      </w:pPr>
      <w:r w:rsidRPr="00F17F59">
        <w:rPr>
          <w:rStyle w:val="FootnoteReference"/>
        </w:rPr>
        <w:footnoteRef/>
      </w:r>
      <w:r w:rsidRPr="00F17F59">
        <w:t xml:space="preserve"> </w:t>
      </w:r>
      <w:r w:rsidR="00895856" w:rsidRPr="00F17F59">
        <w:t xml:space="preserve">Annalisa </w:t>
      </w:r>
      <w:r w:rsidR="00895856" w:rsidRPr="00F17F59">
        <w:t xml:space="preserve">Savaresi and Joana Setzer, ‘Rights-based Litigation in the Climate Emergency: Mapping the Landscape and New Knowledge Frontiers’, (2022) 13(1) </w:t>
      </w:r>
      <w:r w:rsidR="00895856" w:rsidRPr="002B6684">
        <w:rPr>
          <w:i/>
          <w:iCs/>
        </w:rPr>
        <w:t>Journal of Human Rights and the Environment</w:t>
      </w:r>
      <w:r w:rsidR="00895856" w:rsidRPr="00F17F59">
        <w:t xml:space="preserve"> (2022), </w:t>
      </w:r>
      <w:r w:rsidR="00457C01">
        <w:t xml:space="preserve">at </w:t>
      </w:r>
      <w:r w:rsidR="00895856" w:rsidRPr="00F17F59">
        <w:t>7.</w:t>
      </w:r>
    </w:p>
  </w:footnote>
  <w:footnote w:id="41">
    <w:p w14:paraId="0A82CA94" w14:textId="592A2690" w:rsidR="00D86E58" w:rsidRPr="00F17F59" w:rsidRDefault="00D86E58" w:rsidP="00456D97">
      <w:pPr>
        <w:pStyle w:val="NIHRCFootnotes"/>
        <w:spacing w:line="240" w:lineRule="auto"/>
      </w:pPr>
      <w:r w:rsidRPr="00F17F59">
        <w:rPr>
          <w:rStyle w:val="FootnoteReference"/>
        </w:rPr>
        <w:footnoteRef/>
      </w:r>
      <w:r w:rsidRPr="00F17F59">
        <w:t xml:space="preserve"> </w:t>
      </w:r>
      <w:r w:rsidR="00F866D0" w:rsidRPr="00F17F59">
        <w:rPr>
          <w:i/>
          <w:iCs/>
        </w:rPr>
        <w:t>Öneryıldız v. Turkey</w:t>
      </w:r>
      <w:r w:rsidR="00424AEB">
        <w:t xml:space="preserve"> (2004)</w:t>
      </w:r>
      <w:r w:rsidR="00F866D0" w:rsidRPr="00F17F59">
        <w:t xml:space="preserve"> 48939/99.</w:t>
      </w:r>
    </w:p>
  </w:footnote>
  <w:footnote w:id="42">
    <w:p w14:paraId="0910030F" w14:textId="0F9CBD4C" w:rsidR="00D86E58" w:rsidRPr="00F17F59" w:rsidRDefault="00D86E58" w:rsidP="00456D97">
      <w:pPr>
        <w:pStyle w:val="NIHRCFootnotes"/>
        <w:spacing w:line="240" w:lineRule="auto"/>
      </w:pPr>
      <w:r w:rsidRPr="00F17F59">
        <w:rPr>
          <w:rStyle w:val="FootnoteReference"/>
        </w:rPr>
        <w:footnoteRef/>
      </w:r>
      <w:r w:rsidRPr="00F17F59">
        <w:t xml:space="preserve"> </w:t>
      </w:r>
      <w:r w:rsidR="007E04CF" w:rsidRPr="00F17F59">
        <w:rPr>
          <w:i/>
          <w:iCs/>
        </w:rPr>
        <w:t xml:space="preserve">López </w:t>
      </w:r>
      <w:r w:rsidR="007E04CF" w:rsidRPr="00F17F59">
        <w:rPr>
          <w:i/>
          <w:iCs/>
        </w:rPr>
        <w:t>Ostra v. Spain</w:t>
      </w:r>
      <w:r w:rsidR="00424AEB">
        <w:rPr>
          <w:i/>
          <w:iCs/>
        </w:rPr>
        <w:t xml:space="preserve"> </w:t>
      </w:r>
      <w:r w:rsidR="00424AEB" w:rsidRPr="00424AEB">
        <w:t>(1994)</w:t>
      </w:r>
      <w:r w:rsidR="00424AEB">
        <w:t xml:space="preserve"> </w:t>
      </w:r>
      <w:r w:rsidR="007E04CF" w:rsidRPr="00F17F59">
        <w:t>16798/90.</w:t>
      </w:r>
    </w:p>
  </w:footnote>
  <w:footnote w:id="43">
    <w:p w14:paraId="28FD5E27" w14:textId="62A48DC0" w:rsidR="00D86E58" w:rsidRPr="00F17F59" w:rsidRDefault="00D86E58" w:rsidP="00456D97">
      <w:pPr>
        <w:pStyle w:val="NIHRCFootnotes"/>
        <w:spacing w:line="240" w:lineRule="auto"/>
      </w:pPr>
      <w:r w:rsidRPr="00F17F59">
        <w:rPr>
          <w:rStyle w:val="FootnoteReference"/>
        </w:rPr>
        <w:footnoteRef/>
      </w:r>
      <w:r w:rsidRPr="00F17F59">
        <w:t xml:space="preserve"> </w:t>
      </w:r>
      <w:r w:rsidR="004D31A6" w:rsidRPr="00F17F59">
        <w:rPr>
          <w:i/>
          <w:iCs/>
        </w:rPr>
        <w:t>L’Erablière A.S.B.L. v. Belgium</w:t>
      </w:r>
      <w:r w:rsidR="00424AEB">
        <w:rPr>
          <w:i/>
          <w:iCs/>
        </w:rPr>
        <w:t xml:space="preserve"> </w:t>
      </w:r>
      <w:r w:rsidR="00424AEB" w:rsidRPr="00424AEB">
        <w:t>(2009)</w:t>
      </w:r>
      <w:r w:rsidR="00424AEB">
        <w:t xml:space="preserve"> </w:t>
      </w:r>
      <w:r w:rsidR="004D31A6" w:rsidRPr="00F17F59">
        <w:t>49230/07.</w:t>
      </w:r>
    </w:p>
  </w:footnote>
  <w:footnote w:id="44">
    <w:p w14:paraId="41ECD977" w14:textId="68EADA8B" w:rsidR="00D86E58" w:rsidRPr="00F17F59" w:rsidRDefault="00D86E58" w:rsidP="00456D97">
      <w:pPr>
        <w:pStyle w:val="NIHRCFootnotes"/>
        <w:spacing w:line="240" w:lineRule="auto"/>
      </w:pPr>
      <w:r w:rsidRPr="00F17F59">
        <w:rPr>
          <w:rStyle w:val="FootnoteReference"/>
        </w:rPr>
        <w:footnoteRef/>
      </w:r>
      <w:r w:rsidRPr="00F17F59">
        <w:t xml:space="preserve"> </w:t>
      </w:r>
      <w:r w:rsidR="000327B2" w:rsidRPr="00F17F59">
        <w:rPr>
          <w:i/>
          <w:iCs/>
        </w:rPr>
        <w:t>Cordella and Others v. Italy</w:t>
      </w:r>
      <w:r w:rsidR="00424AEB">
        <w:rPr>
          <w:i/>
          <w:iCs/>
        </w:rPr>
        <w:t xml:space="preserve"> </w:t>
      </w:r>
      <w:r w:rsidR="00424AEB" w:rsidRPr="00424AEB">
        <w:t>(2019)</w:t>
      </w:r>
      <w:r w:rsidR="000327B2" w:rsidRPr="00F17F59">
        <w:t>, 54414/13 and 54264/15.</w:t>
      </w:r>
    </w:p>
  </w:footnote>
  <w:footnote w:id="45">
    <w:p w14:paraId="3F9A9920" w14:textId="347FC1F3" w:rsidR="001C344E" w:rsidRPr="00F17F59" w:rsidRDefault="001C344E" w:rsidP="00456D97">
      <w:pPr>
        <w:pStyle w:val="NIHRCFootnotes"/>
        <w:spacing w:line="240" w:lineRule="auto"/>
      </w:pPr>
      <w:r w:rsidRPr="00F17F59">
        <w:rPr>
          <w:rStyle w:val="FootnoteReference"/>
        </w:rPr>
        <w:footnoteRef/>
      </w:r>
      <w:r w:rsidRPr="00F17F59">
        <w:t xml:space="preserve"> </w:t>
      </w:r>
      <w:r w:rsidR="00765EAD" w:rsidRPr="00765EAD">
        <w:t>Ciara Brennan, Mary Dobbs, Alison Hough, Orla Kelleher and Lisa Whitten, ‘The Environment, Human Rights and the Windsor Framework’ (NIHRC, 2025)</w:t>
      </w:r>
      <w:r w:rsidR="001E6566">
        <w:t>,</w:t>
      </w:r>
      <w:r w:rsidR="00765EAD">
        <w:t xml:space="preserve"> at </w:t>
      </w:r>
      <w:r w:rsidR="00401E19" w:rsidRPr="00765EAD">
        <w:t>39.</w:t>
      </w:r>
      <w:r w:rsidR="00401E19" w:rsidRPr="00F17F59">
        <w:t xml:space="preserve"> </w:t>
      </w:r>
    </w:p>
  </w:footnote>
  <w:footnote w:id="46">
    <w:p w14:paraId="12BD7644" w14:textId="5AFFEC1B" w:rsidR="00B955B4" w:rsidRPr="00F17F59" w:rsidRDefault="00B955B4" w:rsidP="00456D97">
      <w:pPr>
        <w:pStyle w:val="NIHRCFootnotes"/>
        <w:spacing w:line="240" w:lineRule="auto"/>
      </w:pPr>
      <w:r w:rsidRPr="00F17F59">
        <w:rPr>
          <w:rStyle w:val="FootnoteReference"/>
        </w:rPr>
        <w:footnoteRef/>
      </w:r>
      <w:r w:rsidRPr="00F17F59">
        <w:t xml:space="preserve"> </w:t>
      </w:r>
      <w:r w:rsidR="00457C01">
        <w:t>Ibid</w:t>
      </w:r>
      <w:r>
        <w:t>, at</w:t>
      </w:r>
      <w:r w:rsidRPr="00F17F59">
        <w:t xml:space="preserve"> 34. </w:t>
      </w:r>
    </w:p>
  </w:footnote>
  <w:footnote w:id="47">
    <w:p w14:paraId="45855688" w14:textId="40F09DB9" w:rsidR="007756FF" w:rsidRPr="008E0089" w:rsidRDefault="007756FF" w:rsidP="00456D97">
      <w:pPr>
        <w:pStyle w:val="NIHRCFootnotes"/>
        <w:spacing w:line="240" w:lineRule="auto"/>
      </w:pPr>
      <w:r w:rsidRPr="00557132">
        <w:rPr>
          <w:rStyle w:val="FootnoteReference"/>
        </w:rPr>
        <w:footnoteRef/>
      </w:r>
      <w:r w:rsidRPr="00557132">
        <w:t xml:space="preserve"> See </w:t>
      </w:r>
      <w:r w:rsidR="00457C01">
        <w:t xml:space="preserve">Ibid, </w:t>
      </w:r>
      <w:r w:rsidRPr="00557132">
        <w:t xml:space="preserve">Chapter 3 for a discussion on the EU shared competency </w:t>
      </w:r>
      <w:r w:rsidRPr="00557132">
        <w:t xml:space="preserve">in the area of the environment. </w:t>
      </w:r>
    </w:p>
  </w:footnote>
  <w:footnote w:id="48">
    <w:p w14:paraId="27557A5F" w14:textId="77914AF7" w:rsidR="007756FF" w:rsidRPr="00557132" w:rsidRDefault="007756FF" w:rsidP="00456D97">
      <w:pPr>
        <w:pStyle w:val="NIHRCFootnotes"/>
        <w:spacing w:line="240" w:lineRule="auto"/>
        <w:rPr>
          <w:rFonts w:cstheme="minorHAnsi"/>
        </w:rPr>
      </w:pPr>
      <w:r w:rsidRPr="00557132">
        <w:rPr>
          <w:rStyle w:val="FootnoteReference"/>
          <w:rFonts w:cstheme="minorHAnsi"/>
        </w:rPr>
        <w:footnoteRef/>
      </w:r>
      <w:r w:rsidRPr="00557132">
        <w:rPr>
          <w:rFonts w:cstheme="minorHAnsi"/>
        </w:rPr>
        <w:t xml:space="preserve"> Article 2, </w:t>
      </w:r>
      <w:r w:rsidR="00B437DD" w:rsidRPr="00B437DD">
        <w:rPr>
          <w:rFonts w:cstheme="minorHAnsi"/>
        </w:rPr>
        <w:t>UK-EU Withdrawal Agreement 2020</w:t>
      </w:r>
      <w:r w:rsidRPr="00B437DD">
        <w:rPr>
          <w:rFonts w:cstheme="minorHAnsi"/>
        </w:rPr>
        <w:t>.</w:t>
      </w:r>
    </w:p>
  </w:footnote>
  <w:footnote w:id="49">
    <w:p w14:paraId="1544559F" w14:textId="707812DD" w:rsidR="007756FF" w:rsidRPr="008E0089" w:rsidRDefault="007756FF" w:rsidP="00456D97">
      <w:pPr>
        <w:pStyle w:val="NIHRCFootnotes"/>
        <w:spacing w:line="240" w:lineRule="auto"/>
      </w:pPr>
      <w:r w:rsidRPr="00557132">
        <w:rPr>
          <w:rStyle w:val="FootnoteReference"/>
        </w:rPr>
        <w:footnoteRef/>
      </w:r>
      <w:r w:rsidRPr="00557132">
        <w:t xml:space="preserve"> </w:t>
      </w:r>
      <w:r w:rsidR="0074169E">
        <w:t xml:space="preserve">Article 51, EU Charter of Fundamental Rights. For further discussion of what this means in practice see </w:t>
      </w:r>
      <w:r w:rsidRPr="00557132">
        <w:t xml:space="preserve">Tobias Lock, Eleni </w:t>
      </w:r>
      <w:r w:rsidRPr="00557132">
        <w:t>Frantziou and Anurag Deb, ‘The Interaction between the EU Charter of Fundamental Rights and general principles with the Windsor Framework’ (NIHRC, 2024).</w:t>
      </w:r>
    </w:p>
  </w:footnote>
  <w:footnote w:id="50">
    <w:p w14:paraId="799576B2" w14:textId="77777777" w:rsidR="007756FF" w:rsidRPr="00557132" w:rsidRDefault="007756FF" w:rsidP="00456D97">
      <w:pPr>
        <w:pStyle w:val="FootnoteText"/>
        <w:spacing w:line="240" w:lineRule="auto"/>
        <w:rPr>
          <w:rFonts w:cstheme="minorHAnsi"/>
          <w:color w:val="77328A"/>
          <w:sz w:val="16"/>
          <w:szCs w:val="16"/>
        </w:rPr>
      </w:pPr>
      <w:r w:rsidRPr="00557132">
        <w:rPr>
          <w:rStyle w:val="FootnoteReference"/>
          <w:rFonts w:cstheme="minorHAnsi"/>
          <w:color w:val="77328A"/>
          <w:sz w:val="16"/>
          <w:szCs w:val="16"/>
        </w:rPr>
        <w:footnoteRef/>
      </w:r>
      <w:r w:rsidRPr="00557132">
        <w:rPr>
          <w:rFonts w:cstheme="minorHAnsi"/>
          <w:color w:val="77328A"/>
          <w:sz w:val="16"/>
          <w:szCs w:val="16"/>
        </w:rPr>
        <w:t xml:space="preserve"> </w:t>
      </w:r>
      <w:r w:rsidRPr="00557132">
        <w:rPr>
          <w:rFonts w:cstheme="minorHAnsi"/>
          <w:i/>
          <w:iCs/>
          <w:color w:val="77328A"/>
          <w:sz w:val="16"/>
          <w:szCs w:val="16"/>
        </w:rPr>
        <w:t xml:space="preserve">Internationale </w:t>
      </w:r>
      <w:r w:rsidRPr="00557132">
        <w:rPr>
          <w:rFonts w:cstheme="minorHAnsi"/>
          <w:i/>
          <w:iCs/>
          <w:color w:val="77328A"/>
          <w:sz w:val="16"/>
          <w:szCs w:val="16"/>
        </w:rPr>
        <w:t>Handelsgesellschaft mbH v Einfuhr und Vorratsstelle für Getreide und Futtermittel</w:t>
      </w:r>
      <w:r w:rsidRPr="00557132">
        <w:rPr>
          <w:rFonts w:cstheme="minorHAnsi"/>
          <w:color w:val="77328A"/>
          <w:sz w:val="16"/>
          <w:szCs w:val="16"/>
        </w:rPr>
        <w:t>, Case 11/70, 17 December 1970, at para 4.</w:t>
      </w:r>
    </w:p>
  </w:footnote>
  <w:footnote w:id="51">
    <w:p w14:paraId="75F784DF" w14:textId="77777777" w:rsidR="007756FF" w:rsidRPr="00557132" w:rsidRDefault="007756FF" w:rsidP="00456D97">
      <w:pPr>
        <w:pStyle w:val="FootnoteText"/>
        <w:spacing w:line="240" w:lineRule="auto"/>
        <w:rPr>
          <w:rFonts w:cstheme="minorHAnsi"/>
          <w:color w:val="77328A"/>
          <w:sz w:val="16"/>
          <w:szCs w:val="16"/>
        </w:rPr>
      </w:pPr>
      <w:r w:rsidRPr="00557132">
        <w:rPr>
          <w:rStyle w:val="FootnoteReference"/>
          <w:rFonts w:cstheme="minorHAnsi"/>
          <w:color w:val="77328A"/>
          <w:sz w:val="16"/>
          <w:szCs w:val="16"/>
        </w:rPr>
        <w:footnoteRef/>
      </w:r>
      <w:r w:rsidRPr="00557132">
        <w:rPr>
          <w:rFonts w:cstheme="minorHAnsi"/>
          <w:color w:val="77328A"/>
          <w:sz w:val="16"/>
          <w:szCs w:val="16"/>
        </w:rPr>
        <w:t xml:space="preserve"> </w:t>
      </w:r>
      <w:r w:rsidRPr="00557132">
        <w:rPr>
          <w:rFonts w:cstheme="minorHAnsi"/>
          <w:i/>
          <w:iCs/>
          <w:color w:val="77328A"/>
          <w:sz w:val="16"/>
          <w:szCs w:val="16"/>
        </w:rPr>
        <w:t>R v Secretary of State for Health (British American Tobacco (Investments) Ltd and Imperial Tobacco Ltd)</w:t>
      </w:r>
      <w:r w:rsidRPr="00557132">
        <w:rPr>
          <w:rFonts w:cstheme="minorHAnsi"/>
          <w:color w:val="77328A"/>
          <w:sz w:val="16"/>
          <w:szCs w:val="16"/>
        </w:rPr>
        <w:t>, Case 491/01, 10 December 2002.</w:t>
      </w:r>
    </w:p>
  </w:footnote>
  <w:footnote w:id="52">
    <w:p w14:paraId="33B142BE" w14:textId="77777777" w:rsidR="007756FF" w:rsidRPr="00557132" w:rsidRDefault="007756FF" w:rsidP="00456D97">
      <w:pPr>
        <w:pStyle w:val="FootnoteText"/>
        <w:spacing w:line="240" w:lineRule="auto"/>
        <w:rPr>
          <w:rFonts w:cstheme="minorHAnsi"/>
          <w:color w:val="77328A"/>
          <w:sz w:val="16"/>
          <w:szCs w:val="16"/>
        </w:rPr>
      </w:pPr>
      <w:r w:rsidRPr="00557132">
        <w:rPr>
          <w:rStyle w:val="FootnoteReference"/>
          <w:rFonts w:cstheme="minorHAnsi"/>
          <w:color w:val="77328A"/>
          <w:sz w:val="16"/>
          <w:szCs w:val="16"/>
        </w:rPr>
        <w:footnoteRef/>
      </w:r>
      <w:r w:rsidRPr="00557132">
        <w:rPr>
          <w:rFonts w:cstheme="minorHAnsi"/>
          <w:color w:val="77328A"/>
          <w:sz w:val="16"/>
          <w:szCs w:val="16"/>
        </w:rPr>
        <w:t xml:space="preserve"> </w:t>
      </w:r>
      <w:r w:rsidRPr="00557132">
        <w:rPr>
          <w:rFonts w:cstheme="minorHAnsi"/>
          <w:i/>
          <w:iCs/>
          <w:color w:val="77328A"/>
          <w:sz w:val="16"/>
          <w:szCs w:val="16"/>
        </w:rPr>
        <w:t>R v Kent Kirk</w:t>
      </w:r>
      <w:r w:rsidRPr="00557132">
        <w:rPr>
          <w:rFonts w:cstheme="minorHAnsi"/>
          <w:color w:val="77328A"/>
          <w:sz w:val="16"/>
          <w:szCs w:val="16"/>
        </w:rPr>
        <w:t>, Case 63/83, 10 July 1984.</w:t>
      </w:r>
    </w:p>
  </w:footnote>
  <w:footnote w:id="53">
    <w:p w14:paraId="325A43DF" w14:textId="77777777" w:rsidR="007756FF" w:rsidRPr="00557132" w:rsidRDefault="007756FF" w:rsidP="00456D97">
      <w:pPr>
        <w:pStyle w:val="FootnoteText"/>
        <w:spacing w:line="240" w:lineRule="auto"/>
        <w:rPr>
          <w:rFonts w:cstheme="minorHAnsi"/>
          <w:color w:val="77328A"/>
          <w:sz w:val="16"/>
          <w:szCs w:val="16"/>
        </w:rPr>
      </w:pPr>
      <w:r w:rsidRPr="00557132">
        <w:rPr>
          <w:rStyle w:val="FootnoteReference"/>
          <w:rFonts w:cstheme="minorHAnsi"/>
          <w:color w:val="77328A"/>
          <w:sz w:val="16"/>
          <w:szCs w:val="16"/>
        </w:rPr>
        <w:footnoteRef/>
      </w:r>
      <w:r w:rsidRPr="00557132">
        <w:rPr>
          <w:rFonts w:cstheme="minorHAnsi"/>
          <w:color w:val="77328A"/>
          <w:sz w:val="16"/>
          <w:szCs w:val="16"/>
        </w:rPr>
        <w:t xml:space="preserve"> </w:t>
      </w:r>
      <w:r w:rsidRPr="00557132">
        <w:rPr>
          <w:rFonts w:cstheme="minorHAnsi"/>
          <w:i/>
          <w:iCs/>
          <w:color w:val="77328A"/>
          <w:sz w:val="16"/>
          <w:szCs w:val="16"/>
        </w:rPr>
        <w:t xml:space="preserve">Dineke </w:t>
      </w:r>
      <w:r w:rsidRPr="00557132">
        <w:rPr>
          <w:rFonts w:cstheme="minorHAnsi"/>
          <w:i/>
          <w:iCs/>
          <w:color w:val="77328A"/>
          <w:sz w:val="16"/>
          <w:szCs w:val="16"/>
        </w:rPr>
        <w:t>Algera, Giacomo Cicconardi, Simone Couturaud, Ignazio Genuardi, Félicie Steichen v Common Assembly of the European Coal and Steel Community</w:t>
      </w:r>
      <w:r w:rsidRPr="00557132">
        <w:rPr>
          <w:rFonts w:cstheme="minorHAnsi"/>
          <w:color w:val="77328A"/>
          <w:sz w:val="16"/>
          <w:szCs w:val="16"/>
        </w:rPr>
        <w:t>, Cases 7/56, 3/57-7/57, 12 July 1957</w:t>
      </w:r>
    </w:p>
  </w:footnote>
  <w:footnote w:id="54">
    <w:p w14:paraId="4BEA9B7A" w14:textId="77777777" w:rsidR="007756FF" w:rsidRPr="00557132" w:rsidRDefault="007756FF" w:rsidP="00456D97">
      <w:pPr>
        <w:pStyle w:val="FootnoteText"/>
        <w:spacing w:line="240" w:lineRule="auto"/>
        <w:rPr>
          <w:rFonts w:cstheme="minorHAnsi"/>
          <w:color w:val="77328A"/>
          <w:sz w:val="16"/>
          <w:szCs w:val="16"/>
        </w:rPr>
      </w:pPr>
      <w:r w:rsidRPr="00557132">
        <w:rPr>
          <w:rStyle w:val="FootnoteReference"/>
          <w:rFonts w:cstheme="minorHAnsi"/>
          <w:color w:val="77328A"/>
          <w:sz w:val="16"/>
          <w:szCs w:val="16"/>
        </w:rPr>
        <w:footnoteRef/>
      </w:r>
      <w:r w:rsidRPr="00557132">
        <w:rPr>
          <w:rFonts w:cstheme="minorHAnsi"/>
          <w:color w:val="77328A"/>
          <w:sz w:val="16"/>
          <w:szCs w:val="16"/>
        </w:rPr>
        <w:t xml:space="preserve"> </w:t>
      </w:r>
      <w:r w:rsidRPr="00557132">
        <w:rPr>
          <w:rFonts w:cstheme="minorHAnsi"/>
          <w:i/>
          <w:iCs/>
          <w:color w:val="77328A"/>
          <w:sz w:val="16"/>
          <w:szCs w:val="16"/>
        </w:rPr>
        <w:t>Albert Ruckdeschel &amp; Co and Hansa-</w:t>
      </w:r>
      <w:r w:rsidRPr="00557132">
        <w:rPr>
          <w:rFonts w:cstheme="minorHAnsi"/>
          <w:i/>
          <w:iCs/>
          <w:color w:val="77328A"/>
          <w:sz w:val="16"/>
          <w:szCs w:val="16"/>
        </w:rPr>
        <w:t>Lagerhaus Ströh &amp; Co v Hauptzollamt Hamburg-St. Annen; Diamalt AG v Hauptzollamt Itzehoe</w:t>
      </w:r>
      <w:r w:rsidRPr="00557132">
        <w:rPr>
          <w:rFonts w:cstheme="minorHAnsi"/>
          <w:color w:val="77328A"/>
          <w:sz w:val="16"/>
          <w:szCs w:val="16"/>
        </w:rPr>
        <w:t>, Cases 117/76 and 16/77, 19 October 1977.</w:t>
      </w:r>
    </w:p>
  </w:footnote>
  <w:footnote w:id="55">
    <w:p w14:paraId="025B6C85" w14:textId="77777777" w:rsidR="007756FF" w:rsidRPr="00557132" w:rsidRDefault="007756FF" w:rsidP="00456D97">
      <w:pPr>
        <w:pStyle w:val="FootnoteText"/>
        <w:spacing w:line="240" w:lineRule="auto"/>
        <w:rPr>
          <w:rFonts w:cstheme="minorHAnsi"/>
          <w:color w:val="77328A"/>
          <w:sz w:val="16"/>
          <w:szCs w:val="16"/>
        </w:rPr>
      </w:pPr>
      <w:r w:rsidRPr="00557132">
        <w:rPr>
          <w:rStyle w:val="FootnoteReference"/>
          <w:rFonts w:cstheme="minorHAnsi"/>
          <w:color w:val="77328A"/>
          <w:sz w:val="16"/>
          <w:szCs w:val="16"/>
        </w:rPr>
        <w:footnoteRef/>
      </w:r>
      <w:r w:rsidRPr="00557132">
        <w:rPr>
          <w:rFonts w:cstheme="minorHAnsi"/>
          <w:color w:val="77328A"/>
          <w:sz w:val="16"/>
          <w:szCs w:val="16"/>
        </w:rPr>
        <w:t xml:space="preserve"> </w:t>
      </w:r>
      <w:r w:rsidRPr="00557132">
        <w:rPr>
          <w:rFonts w:cstheme="minorHAnsi"/>
          <w:i/>
          <w:iCs/>
          <w:color w:val="77328A"/>
          <w:sz w:val="16"/>
          <w:szCs w:val="16"/>
        </w:rPr>
        <w:t>R (Alliance for Natural Health and Nutri-Link Ltd) v Secretary of State for Health; R (National Association of Health Stores and Health Food Manufacturers Ltd) v Secretary of State for Health and the National Assembly of Wales</w:t>
      </w:r>
      <w:r w:rsidRPr="00557132">
        <w:rPr>
          <w:rFonts w:cstheme="minorHAnsi"/>
          <w:color w:val="77328A"/>
          <w:sz w:val="16"/>
          <w:szCs w:val="16"/>
        </w:rPr>
        <w:t>, Cases C-154/04 and 155/04, 12 July 2005.</w:t>
      </w:r>
    </w:p>
  </w:footnote>
  <w:footnote w:id="56">
    <w:p w14:paraId="085ECB97" w14:textId="77777777" w:rsidR="007756FF" w:rsidRPr="00557132" w:rsidRDefault="007756FF" w:rsidP="00456D97">
      <w:pPr>
        <w:pStyle w:val="FootnoteText"/>
        <w:spacing w:line="240" w:lineRule="auto"/>
        <w:rPr>
          <w:rFonts w:cstheme="minorHAnsi"/>
          <w:color w:val="77328A"/>
          <w:sz w:val="16"/>
          <w:szCs w:val="16"/>
        </w:rPr>
      </w:pPr>
      <w:r w:rsidRPr="00557132">
        <w:rPr>
          <w:rStyle w:val="FootnoteReference"/>
          <w:rFonts w:cstheme="minorHAnsi"/>
          <w:color w:val="77328A"/>
          <w:sz w:val="16"/>
          <w:szCs w:val="16"/>
        </w:rPr>
        <w:footnoteRef/>
      </w:r>
      <w:r w:rsidRPr="00557132">
        <w:rPr>
          <w:rFonts w:cstheme="minorHAnsi"/>
          <w:color w:val="77328A"/>
          <w:sz w:val="16"/>
          <w:szCs w:val="16"/>
        </w:rPr>
        <w:t xml:space="preserve"> </w:t>
      </w:r>
      <w:r w:rsidRPr="00557132">
        <w:rPr>
          <w:rFonts w:cstheme="minorHAnsi"/>
          <w:i/>
          <w:iCs/>
          <w:color w:val="77328A"/>
          <w:sz w:val="16"/>
          <w:szCs w:val="16"/>
        </w:rPr>
        <w:t>UK v Commission</w:t>
      </w:r>
      <w:r w:rsidRPr="00557132">
        <w:rPr>
          <w:rFonts w:cstheme="minorHAnsi"/>
          <w:color w:val="77328A"/>
          <w:sz w:val="16"/>
          <w:szCs w:val="16"/>
        </w:rPr>
        <w:t>, Case-180/96, 5 May 1998.</w:t>
      </w:r>
    </w:p>
  </w:footnote>
  <w:footnote w:id="57">
    <w:p w14:paraId="37B505D9" w14:textId="77777777" w:rsidR="007756FF" w:rsidRPr="00557132" w:rsidRDefault="007756FF" w:rsidP="00456D97">
      <w:pPr>
        <w:pStyle w:val="FootnoteText"/>
        <w:spacing w:line="240" w:lineRule="auto"/>
        <w:rPr>
          <w:color w:val="77328A"/>
          <w:sz w:val="16"/>
          <w:szCs w:val="16"/>
        </w:rPr>
      </w:pPr>
      <w:r w:rsidRPr="00557132">
        <w:rPr>
          <w:rStyle w:val="FootnoteReference"/>
          <w:color w:val="77328A"/>
          <w:sz w:val="16"/>
          <w:szCs w:val="16"/>
        </w:rPr>
        <w:footnoteRef/>
      </w:r>
      <w:r w:rsidRPr="00557132">
        <w:rPr>
          <w:color w:val="77328A"/>
          <w:sz w:val="16"/>
          <w:szCs w:val="16"/>
        </w:rPr>
        <w:t xml:space="preserve"> Paul Craig and Gráinne de </w:t>
      </w:r>
      <w:r w:rsidRPr="00557132">
        <w:rPr>
          <w:color w:val="77328A"/>
          <w:sz w:val="16"/>
          <w:szCs w:val="16"/>
        </w:rPr>
        <w:t>Búrca, ‘EU Law – Text, Cases and Materials (7</w:t>
      </w:r>
      <w:r w:rsidRPr="00557132">
        <w:rPr>
          <w:color w:val="77328A"/>
          <w:sz w:val="16"/>
          <w:szCs w:val="16"/>
          <w:vertAlign w:val="superscript"/>
        </w:rPr>
        <w:t>th</w:t>
      </w:r>
      <w:r w:rsidRPr="00557132">
        <w:rPr>
          <w:color w:val="77328A"/>
          <w:sz w:val="16"/>
          <w:szCs w:val="16"/>
        </w:rPr>
        <w:t xml:space="preserve">Ed)’ (UK Version) (OUP, 2020), at 272. </w:t>
      </w:r>
    </w:p>
  </w:footnote>
  <w:footnote w:id="58">
    <w:p w14:paraId="36AE23D3" w14:textId="2D086581" w:rsidR="007756FF" w:rsidRPr="00557132" w:rsidRDefault="007756FF" w:rsidP="00456D97">
      <w:pPr>
        <w:pStyle w:val="FootnoteText"/>
        <w:spacing w:line="240" w:lineRule="auto"/>
        <w:rPr>
          <w:color w:val="77328A"/>
          <w:sz w:val="16"/>
          <w:szCs w:val="16"/>
        </w:rPr>
      </w:pPr>
      <w:r w:rsidRPr="00557132">
        <w:rPr>
          <w:rStyle w:val="FootnoteReference"/>
          <w:color w:val="77328A"/>
          <w:sz w:val="16"/>
          <w:szCs w:val="16"/>
        </w:rPr>
        <w:footnoteRef/>
      </w:r>
      <w:r w:rsidRPr="00557132">
        <w:rPr>
          <w:color w:val="77328A"/>
          <w:sz w:val="16"/>
          <w:szCs w:val="16"/>
        </w:rPr>
        <w:t xml:space="preserve"> </w:t>
      </w:r>
      <w:r w:rsidR="00896CD7">
        <w:rPr>
          <w:color w:val="77328A"/>
          <w:sz w:val="16"/>
          <w:szCs w:val="16"/>
        </w:rPr>
        <w:t>Ibid</w:t>
      </w:r>
      <w:r w:rsidRPr="00557132">
        <w:rPr>
          <w:color w:val="77328A"/>
          <w:sz w:val="16"/>
          <w:szCs w:val="16"/>
        </w:rPr>
        <w:t>, at 312 and at 286-298.</w:t>
      </w:r>
    </w:p>
  </w:footnote>
  <w:footnote w:id="59">
    <w:p w14:paraId="51A12394" w14:textId="7985AE39" w:rsidR="007756FF" w:rsidRPr="008E0089" w:rsidRDefault="007756FF" w:rsidP="00456D97">
      <w:pPr>
        <w:pStyle w:val="NIHRCFootnotes"/>
        <w:spacing w:line="240" w:lineRule="auto"/>
      </w:pPr>
      <w:r w:rsidRPr="00557132">
        <w:rPr>
          <w:rStyle w:val="FootnoteReference"/>
        </w:rPr>
        <w:footnoteRef/>
      </w:r>
      <w:r w:rsidRPr="00557132">
        <w:t xml:space="preserve"> See Chapter 8</w:t>
      </w:r>
      <w:r w:rsidRPr="00557132" w:rsidDel="00CB284C">
        <w:t xml:space="preserve">, </w:t>
      </w:r>
      <w:r w:rsidRPr="00557132">
        <w:t xml:space="preserve">Ciara Brennan, Mary Dobbs, Alison Hough, Orla Kelleher and Lisa Whitten, ‘The Environment, Human Rights and the Windsor Framework’ (NIHRC, 2025) for a table of environmental measures the authors of the independent report consider </w:t>
      </w:r>
      <w:r w:rsidRPr="00557132">
        <w:t xml:space="preserve">to fall within the scope of Windsor Framework Article 2. </w:t>
      </w:r>
    </w:p>
  </w:footnote>
  <w:footnote w:id="60">
    <w:p w14:paraId="50B26E5C" w14:textId="28121398" w:rsidR="00830B82" w:rsidRPr="00B77ADE" w:rsidRDefault="00830B82" w:rsidP="00456D97">
      <w:pPr>
        <w:pStyle w:val="NIHRCFootnotes"/>
        <w:spacing w:line="240" w:lineRule="auto"/>
      </w:pPr>
      <w:r w:rsidRPr="00B77ADE">
        <w:rPr>
          <w:rStyle w:val="FootnoteReference"/>
        </w:rPr>
        <w:footnoteRef/>
      </w:r>
      <w:r w:rsidRPr="00B77ADE">
        <w:rPr>
          <w:rStyle w:val="normaltextrun"/>
          <w:shd w:val="clear" w:color="auto" w:fill="FFFFFF"/>
        </w:rPr>
        <w:t xml:space="preserve"> </w:t>
      </w:r>
      <w:r w:rsidRPr="00B77ADE">
        <w:t>UN/ECE Convention on Access to Information, Public Participation in Decision-Making and Access to Justice in Environmental Matters, 1998</w:t>
      </w:r>
      <w:r w:rsidR="000C41EB">
        <w:t xml:space="preserve"> (Aarhus Convention)</w:t>
      </w:r>
      <w:r w:rsidRPr="00B77ADE">
        <w:rPr>
          <w:rStyle w:val="normaltextrun"/>
          <w:shd w:val="clear" w:color="auto" w:fill="FFFFFF"/>
        </w:rPr>
        <w:t>.</w:t>
      </w:r>
      <w:r w:rsidRPr="00B77ADE">
        <w:rPr>
          <w:rStyle w:val="eop"/>
          <w:shd w:val="clear" w:color="auto" w:fill="FFFFFF"/>
        </w:rPr>
        <w:t xml:space="preserve"> Council Decision </w:t>
      </w:r>
      <w:r w:rsidRPr="00B77ADE">
        <w:rPr>
          <w:shd w:val="clear" w:color="auto" w:fill="FFFFFF"/>
        </w:rPr>
        <w:t>2005/370/EC, ‘Council Decision on the conclusion, on behalf of the European Community, of the Convention on access to information, public participation in decision-making and access to justice in environmental matters’, 17 February 2005.</w:t>
      </w:r>
    </w:p>
  </w:footnote>
  <w:footnote w:id="61">
    <w:p w14:paraId="68409E81" w14:textId="77777777" w:rsidR="00830B82" w:rsidRDefault="00830B82" w:rsidP="00456D97">
      <w:pPr>
        <w:pStyle w:val="NIHRCFootnotes"/>
        <w:spacing w:line="240" w:lineRule="auto"/>
      </w:pPr>
      <w:r>
        <w:rPr>
          <w:rStyle w:val="FootnoteReference"/>
        </w:rPr>
        <w:footnoteRef/>
      </w:r>
      <w:r>
        <w:t xml:space="preserve"> </w:t>
      </w:r>
      <w:r w:rsidRPr="00BF0315">
        <w:t>Directive 2003/35/EC, ‘</w:t>
      </w:r>
      <w:r>
        <w:t xml:space="preserve">Directive of the </w:t>
      </w:r>
      <w:r w:rsidRPr="00BF0315">
        <w:t>EU Parliament and Council Directive providing for public participation in respect of the drawing up of certain plans and programmes relating to the environment and amending with regard to public participation and access to justice Council Directives 85/337/EEC and 96/61/EC’, 26 May 2003; Directive 2003/4/EC, ‘</w:t>
      </w:r>
      <w:r>
        <w:t xml:space="preserve">Directive of the </w:t>
      </w:r>
      <w:r w:rsidRPr="00BF0315">
        <w:t>EU Parliament and Council Directive on public access to environmental information and repealing Council Directive 30/313/EEC’, 28 January 2003; Directive 2001/42/EC, ‘</w:t>
      </w:r>
      <w:r>
        <w:t xml:space="preserve">Directive of the </w:t>
      </w:r>
      <w:r w:rsidRPr="00BF0315">
        <w:t>EU Parliament and Council Directive on the assessment of the effects of certain plans and programmes on the environment’, 27 June 2001; Directive 2011/92/EU, ‘</w:t>
      </w:r>
      <w:r>
        <w:t xml:space="preserve">Directive of the </w:t>
      </w:r>
      <w:r w:rsidRPr="00BF0315">
        <w:t>EU Parliament and Council Directive on the assessment of the effects of certain public and private projects on the environment (codification)’, 13 December 2011 (as amended by Directive 2014/52/EU</w:t>
      </w:r>
      <w:r>
        <w:t xml:space="preserve">, ‘Directive of the </w:t>
      </w:r>
      <w:r w:rsidRPr="00BF0315">
        <w:t>EU Parliament and Council Directive amending Directive 2011/92/EU on the assessment of the effects of certain public and private projects on the environment’ 16 April 2014))</w:t>
      </w:r>
      <w:r>
        <w:t>.</w:t>
      </w:r>
    </w:p>
  </w:footnote>
  <w:footnote w:id="62">
    <w:p w14:paraId="120DA7F6" w14:textId="77777777" w:rsidR="00830B82" w:rsidRPr="00105235" w:rsidRDefault="00830B82" w:rsidP="00456D97">
      <w:pPr>
        <w:pStyle w:val="NIHRCFootnotes"/>
        <w:spacing w:line="240" w:lineRule="auto"/>
      </w:pPr>
      <w:r w:rsidRPr="00105235">
        <w:rPr>
          <w:rStyle w:val="FootnoteReference"/>
        </w:rPr>
        <w:footnoteRef/>
      </w:r>
      <w:r w:rsidRPr="00105235">
        <w:t xml:space="preserve"> </w:t>
      </w:r>
      <w:r>
        <w:rPr>
          <w:rStyle w:val="normaltextrun"/>
          <w:shd w:val="clear" w:color="auto" w:fill="FFFFFF"/>
        </w:rPr>
        <w:t xml:space="preserve">Article 2, UK-EU Withdrawal Agreement. </w:t>
      </w:r>
    </w:p>
  </w:footnote>
  <w:footnote w:id="63">
    <w:p w14:paraId="30F14DD4" w14:textId="6AD15F48" w:rsidR="00830B82" w:rsidRPr="00F17F59" w:rsidRDefault="00830B82" w:rsidP="00456D97">
      <w:pPr>
        <w:pStyle w:val="NIHRCFootnotes"/>
        <w:spacing w:line="240" w:lineRule="auto"/>
      </w:pPr>
      <w:r w:rsidRPr="00F17F59">
        <w:rPr>
          <w:rStyle w:val="FootnoteReference"/>
        </w:rPr>
        <w:footnoteRef/>
      </w:r>
      <w:r w:rsidRPr="00F17F59">
        <w:t xml:space="preserve"> </w:t>
      </w:r>
      <w:r w:rsidRPr="00E162DA">
        <w:rPr>
          <w:i/>
          <w:iCs/>
        </w:rPr>
        <w:t>Lesoochranárske zoskupenie VLK v Ministerstvo životného prostredia Slovenskej republiky (Brown Bears I),</w:t>
      </w:r>
      <w:r>
        <w:t xml:space="preserve"> </w:t>
      </w:r>
      <w:r w:rsidRPr="00F17F59">
        <w:t xml:space="preserve">Case C-240/09, 8 March 2011, </w:t>
      </w:r>
      <w:r w:rsidR="00016606">
        <w:t>at</w:t>
      </w:r>
      <w:r w:rsidRPr="00F17F59">
        <w:t xml:space="preserve"> para 28. </w:t>
      </w:r>
    </w:p>
  </w:footnote>
  <w:footnote w:id="64">
    <w:p w14:paraId="0FCA96C1" w14:textId="5C4C031C" w:rsidR="00F00B88" w:rsidRDefault="00F00B88" w:rsidP="00456D97">
      <w:pPr>
        <w:pStyle w:val="NIHRCFootnotes"/>
        <w:spacing w:line="240" w:lineRule="auto"/>
      </w:pPr>
      <w:r>
        <w:rPr>
          <w:rStyle w:val="FootnoteReference"/>
        </w:rPr>
        <w:footnoteRef/>
      </w:r>
      <w:r>
        <w:t xml:space="preserve"> </w:t>
      </w:r>
      <w:r w:rsidR="0029063F">
        <w:t>F</w:t>
      </w:r>
      <w:r w:rsidRPr="00F00B88">
        <w:t xml:space="preserve">or </w:t>
      </w:r>
      <w:r w:rsidRPr="00F00B88">
        <w:t>example when the objectives of the Convention to achieve a high level environmental protection align with the objectives of EU primary law, such as Article 19 (1) TEU and Article 191 TFEU.</w:t>
      </w:r>
      <w:r>
        <w:t xml:space="preserve"> See </w:t>
      </w:r>
      <w:r w:rsidRPr="00F17F59">
        <w:t>Alison Hough, ‘EJNI Consultation response: Access to Environmental justice in Northern Ireland 2025’ (EJNI, 2025), at para 2.3.</w:t>
      </w:r>
    </w:p>
  </w:footnote>
  <w:footnote w:id="65">
    <w:p w14:paraId="1C96473B" w14:textId="32370982" w:rsidR="00830B82" w:rsidRPr="00F17F59" w:rsidRDefault="00830B82" w:rsidP="00456D97">
      <w:pPr>
        <w:pStyle w:val="NIHRCFootnotes"/>
        <w:spacing w:line="240" w:lineRule="auto"/>
      </w:pPr>
      <w:r w:rsidRPr="00F17F59">
        <w:rPr>
          <w:rStyle w:val="FootnoteReference"/>
        </w:rPr>
        <w:footnoteRef/>
      </w:r>
      <w:r w:rsidRPr="00F17F59">
        <w:t xml:space="preserve"> Jasper </w:t>
      </w:r>
      <w:r w:rsidRPr="00F17F59">
        <w:t xml:space="preserve">Krommendijk and Dirk Sanderink, ‘The role of fundamental rights in the environmental case law of the CJEU’ (2023) </w:t>
      </w:r>
      <w:r w:rsidRPr="00F17F59">
        <w:rPr>
          <w:i/>
          <w:iCs/>
        </w:rPr>
        <w:t xml:space="preserve">European </w:t>
      </w:r>
      <w:r w:rsidR="00456D97">
        <w:rPr>
          <w:i/>
          <w:iCs/>
        </w:rPr>
        <w:t>L</w:t>
      </w:r>
      <w:r w:rsidRPr="00F17F59">
        <w:rPr>
          <w:i/>
          <w:iCs/>
        </w:rPr>
        <w:t>aw Open</w:t>
      </w:r>
      <w:r w:rsidRPr="00F17F59">
        <w:t xml:space="preserve"> 2</w:t>
      </w:r>
      <w:r w:rsidR="002905D8">
        <w:t>(</w:t>
      </w:r>
      <w:r w:rsidRPr="00F17F59">
        <w:t>3</w:t>
      </w:r>
      <w:r w:rsidR="002905D8">
        <w:t>)</w:t>
      </w:r>
      <w:r w:rsidRPr="00F17F59">
        <w:t xml:space="preserve">, 616-636, at 617. </w:t>
      </w:r>
    </w:p>
  </w:footnote>
  <w:footnote w:id="66">
    <w:p w14:paraId="4C37577B" w14:textId="77777777" w:rsidR="00830B82" w:rsidRPr="00F17F59" w:rsidRDefault="00830B82" w:rsidP="00456D97">
      <w:pPr>
        <w:pStyle w:val="NIHRCFootnotes"/>
        <w:spacing w:line="240" w:lineRule="auto"/>
      </w:pPr>
      <w:r w:rsidRPr="00F17F59">
        <w:rPr>
          <w:rStyle w:val="FootnoteReference"/>
        </w:rPr>
        <w:footnoteRef/>
      </w:r>
      <w:r w:rsidRPr="00F17F59">
        <w:t xml:space="preserve"> </w:t>
      </w:r>
      <w:r w:rsidRPr="00E162DA">
        <w:rPr>
          <w:i/>
          <w:iCs/>
        </w:rPr>
        <w:t>Lesoochranarske zoskupenie VLK v Obvodny urad Trencin (Brown Bears II)</w:t>
      </w:r>
      <w:r>
        <w:t xml:space="preserve">, </w:t>
      </w:r>
      <w:r w:rsidRPr="00F17F59">
        <w:t>Case C-243/15, 8 November 2016.</w:t>
      </w:r>
    </w:p>
  </w:footnote>
  <w:footnote w:id="67">
    <w:p w14:paraId="0223FA9B" w14:textId="77777777" w:rsidR="00830B82" w:rsidRPr="00F17F59" w:rsidRDefault="00830B82" w:rsidP="00456D97">
      <w:pPr>
        <w:pStyle w:val="NIHRCFootnotes"/>
        <w:spacing w:line="240" w:lineRule="auto"/>
      </w:pPr>
      <w:r w:rsidRPr="00F17F59">
        <w:rPr>
          <w:rStyle w:val="FootnoteReference"/>
        </w:rPr>
        <w:footnoteRef/>
      </w:r>
      <w:r w:rsidRPr="00F17F59">
        <w:t xml:space="preserve"> Council Directive 92/43/EEC, ‘Council Directive of 21 May 1992 on the conservation of natural habitats and of wild fauna and flora’, 21 May 1992. </w:t>
      </w:r>
    </w:p>
  </w:footnote>
  <w:footnote w:id="68">
    <w:p w14:paraId="3951B585" w14:textId="17DB2CFB" w:rsidR="00830B82" w:rsidRPr="00F17F59" w:rsidRDefault="00830B82" w:rsidP="00456D97">
      <w:pPr>
        <w:pStyle w:val="NIHRCFootnotes"/>
        <w:spacing w:line="240" w:lineRule="auto"/>
      </w:pPr>
      <w:r w:rsidRPr="00F17F59">
        <w:rPr>
          <w:rStyle w:val="FootnoteReference"/>
        </w:rPr>
        <w:footnoteRef/>
      </w:r>
      <w:r w:rsidRPr="00F17F59">
        <w:t xml:space="preserve"> </w:t>
      </w:r>
      <w:r w:rsidRPr="00E162DA">
        <w:rPr>
          <w:i/>
          <w:iCs/>
        </w:rPr>
        <w:t>Lesoochranarske zoskupenie VLK v Obvodny urad Trencin (Brown Bears II)</w:t>
      </w:r>
      <w:r w:rsidRPr="008973CE">
        <w:t>, Case C-243/15, 8 November 2016</w:t>
      </w:r>
      <w:r w:rsidRPr="00F17F59">
        <w:t xml:space="preserve">, </w:t>
      </w:r>
      <w:r w:rsidR="00964DDE">
        <w:t xml:space="preserve">at </w:t>
      </w:r>
      <w:r w:rsidRPr="00F17F59">
        <w:t xml:space="preserve">para 43.  </w:t>
      </w:r>
    </w:p>
  </w:footnote>
  <w:footnote w:id="69">
    <w:p w14:paraId="0EAD856A" w14:textId="21DB15FC" w:rsidR="00830B82" w:rsidRPr="00F17F59" w:rsidRDefault="00830B82" w:rsidP="00456D97">
      <w:pPr>
        <w:pStyle w:val="NIHRCFootnotes"/>
        <w:spacing w:line="240" w:lineRule="auto"/>
      </w:pPr>
      <w:r w:rsidRPr="00F17F59">
        <w:rPr>
          <w:rStyle w:val="FootnoteReference"/>
        </w:rPr>
        <w:footnoteRef/>
      </w:r>
      <w:r w:rsidRPr="00F17F59">
        <w:t xml:space="preserve"> </w:t>
      </w:r>
      <w:r w:rsidR="00964DDE" w:rsidRPr="00456D97">
        <w:t>Ibid</w:t>
      </w:r>
      <w:r w:rsidRPr="00F17F59">
        <w:t xml:space="preserve">, </w:t>
      </w:r>
      <w:r w:rsidR="00964DDE">
        <w:t xml:space="preserve">at </w:t>
      </w:r>
      <w:r w:rsidRPr="00F17F59">
        <w:t xml:space="preserve">para 45. </w:t>
      </w:r>
    </w:p>
  </w:footnote>
  <w:footnote w:id="70">
    <w:p w14:paraId="31E3F2AC" w14:textId="5D0FAC9C" w:rsidR="00830B82" w:rsidRPr="00F17F59" w:rsidRDefault="00830B82" w:rsidP="00456D97">
      <w:pPr>
        <w:pStyle w:val="NIHRCFootnotes"/>
        <w:spacing w:line="240" w:lineRule="auto"/>
      </w:pPr>
      <w:r w:rsidRPr="00F17F59">
        <w:rPr>
          <w:rStyle w:val="FootnoteReference"/>
        </w:rPr>
        <w:footnoteRef/>
      </w:r>
      <w:r w:rsidRPr="00F17F59">
        <w:t xml:space="preserve"> </w:t>
      </w:r>
      <w:r w:rsidR="00964DDE" w:rsidRPr="00456D97">
        <w:t>Ibid</w:t>
      </w:r>
      <w:r w:rsidRPr="00F17F59">
        <w:t xml:space="preserve">, </w:t>
      </w:r>
      <w:r w:rsidR="00964DDE">
        <w:t xml:space="preserve">at </w:t>
      </w:r>
      <w:r w:rsidRPr="00F17F59">
        <w:t xml:space="preserve">para 50. </w:t>
      </w:r>
    </w:p>
  </w:footnote>
  <w:footnote w:id="71">
    <w:p w14:paraId="10E18F0C" w14:textId="52BBE865" w:rsidR="00830B82" w:rsidRPr="00F17F59" w:rsidRDefault="00830B82" w:rsidP="00456D97">
      <w:pPr>
        <w:pStyle w:val="NIHRCFootnotes"/>
        <w:spacing w:line="240" w:lineRule="auto"/>
      </w:pPr>
      <w:r w:rsidRPr="00F17F59">
        <w:rPr>
          <w:rStyle w:val="FootnoteReference"/>
        </w:rPr>
        <w:footnoteRef/>
      </w:r>
      <w:r w:rsidRPr="00F17F59">
        <w:t xml:space="preserve"> </w:t>
      </w:r>
      <w:r w:rsidR="00964DDE" w:rsidRPr="00456D97">
        <w:t>Ibid</w:t>
      </w:r>
      <w:r w:rsidRPr="00F17F59">
        <w:t xml:space="preserve">, </w:t>
      </w:r>
      <w:r w:rsidR="00964DDE">
        <w:t xml:space="preserve">at </w:t>
      </w:r>
      <w:r w:rsidRPr="00F17F59">
        <w:t xml:space="preserve">para 51. </w:t>
      </w:r>
    </w:p>
  </w:footnote>
  <w:footnote w:id="72">
    <w:p w14:paraId="38397BAD" w14:textId="276F7B1D" w:rsidR="00830B82" w:rsidRPr="00F17F59" w:rsidRDefault="00830B82" w:rsidP="00456D97">
      <w:pPr>
        <w:pStyle w:val="NIHRCFootnotes"/>
        <w:spacing w:line="240" w:lineRule="auto"/>
      </w:pPr>
      <w:r w:rsidRPr="00F17F59">
        <w:rPr>
          <w:rStyle w:val="FootnoteReference"/>
        </w:rPr>
        <w:footnoteRef/>
      </w:r>
      <w:r w:rsidRPr="00F17F59">
        <w:t xml:space="preserve"> </w:t>
      </w:r>
      <w:r w:rsidR="00964DDE" w:rsidRPr="00456D97">
        <w:t>Ibid</w:t>
      </w:r>
      <w:r w:rsidRPr="00F17F59">
        <w:t xml:space="preserve">, </w:t>
      </w:r>
      <w:r w:rsidR="00964DDE">
        <w:t xml:space="preserve">at </w:t>
      </w:r>
      <w:r w:rsidRPr="00F17F59">
        <w:t>para 52</w:t>
      </w:r>
      <w:r>
        <w:t>-53</w:t>
      </w:r>
      <w:r w:rsidRPr="00F17F59">
        <w:t xml:space="preserve">. </w:t>
      </w:r>
    </w:p>
  </w:footnote>
  <w:footnote w:id="73">
    <w:p w14:paraId="104A7E28" w14:textId="03AD5920" w:rsidR="00830B82" w:rsidRDefault="00830B82" w:rsidP="00456D97">
      <w:pPr>
        <w:pStyle w:val="NIHRCFootnotes"/>
        <w:spacing w:line="240" w:lineRule="auto"/>
      </w:pPr>
      <w:r>
        <w:rPr>
          <w:rStyle w:val="FootnoteReference"/>
        </w:rPr>
        <w:footnoteRef/>
      </w:r>
      <w:r>
        <w:t xml:space="preserve"> </w:t>
      </w:r>
      <w:r w:rsidR="00964DDE" w:rsidRPr="00456D97">
        <w:t>Ibid</w:t>
      </w:r>
      <w:r>
        <w:t xml:space="preserve">, </w:t>
      </w:r>
      <w:r w:rsidR="00964DDE">
        <w:t xml:space="preserve">at </w:t>
      </w:r>
      <w:r>
        <w:t>para 56.</w:t>
      </w:r>
    </w:p>
  </w:footnote>
  <w:footnote w:id="74">
    <w:p w14:paraId="14D68400" w14:textId="751D2181" w:rsidR="00830B82" w:rsidRDefault="00830B82" w:rsidP="00456D97">
      <w:pPr>
        <w:pStyle w:val="NIHRCFootnotes"/>
        <w:spacing w:line="240" w:lineRule="auto"/>
      </w:pPr>
      <w:r>
        <w:rPr>
          <w:rStyle w:val="FootnoteReference"/>
        </w:rPr>
        <w:footnoteRef/>
      </w:r>
      <w:r>
        <w:t xml:space="preserve"> </w:t>
      </w:r>
      <w:r w:rsidR="00447B07" w:rsidRPr="00456D97">
        <w:t>Ibid</w:t>
      </w:r>
      <w:r>
        <w:t xml:space="preserve"> </w:t>
      </w:r>
      <w:r w:rsidR="00447B07">
        <w:t xml:space="preserve">at </w:t>
      </w:r>
      <w:r>
        <w:t xml:space="preserve">para 58. </w:t>
      </w:r>
    </w:p>
  </w:footnote>
  <w:footnote w:id="75">
    <w:p w14:paraId="5A03EF2C" w14:textId="3C1F761D" w:rsidR="009E55F2" w:rsidRPr="00F17F59" w:rsidRDefault="009E55F2" w:rsidP="00456D97">
      <w:pPr>
        <w:pStyle w:val="NIHRCFootnotes"/>
        <w:spacing w:line="240" w:lineRule="auto"/>
      </w:pPr>
      <w:r w:rsidRPr="00F17F59">
        <w:rPr>
          <w:rStyle w:val="FootnoteReference"/>
        </w:rPr>
        <w:footnoteRef/>
      </w:r>
      <w:r w:rsidRPr="00F17F59">
        <w:t xml:space="preserve"> </w:t>
      </w:r>
      <w:r w:rsidRPr="00307AA6">
        <w:rPr>
          <w:i/>
          <w:iCs/>
        </w:rPr>
        <w:t xml:space="preserve">Lies </w:t>
      </w:r>
      <w:r w:rsidRPr="00307AA6">
        <w:rPr>
          <w:i/>
          <w:iCs/>
        </w:rPr>
        <w:t>Craeynest and others v Brussels Hoofdstedelijk Gewest</w:t>
      </w:r>
      <w:r w:rsidRPr="00F17F59">
        <w:t>,</w:t>
      </w:r>
      <w:r w:rsidR="00971C3E">
        <w:t xml:space="preserve"> </w:t>
      </w:r>
      <w:r w:rsidR="00971C3E" w:rsidRPr="00F17F59">
        <w:t>Case C-723/17,</w:t>
      </w:r>
      <w:r w:rsidRPr="00F17F59">
        <w:t xml:space="preserve"> 26 June 2019. </w:t>
      </w:r>
    </w:p>
  </w:footnote>
  <w:footnote w:id="76">
    <w:p w14:paraId="63FB5AC7" w14:textId="580C97E3" w:rsidR="009E55F2" w:rsidRPr="00F17F59" w:rsidRDefault="009E55F2" w:rsidP="00456D97">
      <w:pPr>
        <w:pStyle w:val="NIHRCFootnotes"/>
        <w:spacing w:line="240" w:lineRule="auto"/>
      </w:pPr>
      <w:r w:rsidRPr="00F17F59">
        <w:rPr>
          <w:rStyle w:val="FootnoteReference"/>
        </w:rPr>
        <w:footnoteRef/>
      </w:r>
      <w:r w:rsidRPr="00F17F59">
        <w:t xml:space="preserve"> </w:t>
      </w:r>
      <w:r w:rsidR="00447B07" w:rsidRPr="00456D97">
        <w:t>Ibid</w:t>
      </w:r>
      <w:r w:rsidRPr="00693561">
        <w:t>,</w:t>
      </w:r>
      <w:r w:rsidRPr="00F17F59">
        <w:t xml:space="preserve"> </w:t>
      </w:r>
      <w:r w:rsidR="00447B07">
        <w:t xml:space="preserve">at </w:t>
      </w:r>
      <w:r w:rsidRPr="00F17F59">
        <w:t>para 32</w:t>
      </w:r>
      <w:r w:rsidR="009104B2">
        <w:t>-33</w:t>
      </w:r>
      <w:r w:rsidRPr="00F17F59">
        <w:t xml:space="preserve">. </w:t>
      </w:r>
    </w:p>
  </w:footnote>
  <w:footnote w:id="77">
    <w:p w14:paraId="463EBC5C" w14:textId="099F3F61" w:rsidR="00681363" w:rsidRDefault="00681363" w:rsidP="00456D97">
      <w:pPr>
        <w:pStyle w:val="NIHRCFootnotes"/>
        <w:spacing w:line="240" w:lineRule="auto"/>
      </w:pPr>
      <w:r>
        <w:rPr>
          <w:rStyle w:val="FootnoteReference"/>
        </w:rPr>
        <w:footnoteRef/>
      </w:r>
      <w:r>
        <w:t xml:space="preserve"> </w:t>
      </w:r>
      <w:r w:rsidR="00C97CA0" w:rsidRPr="00C97CA0">
        <w:t>Directive 2008/50/EC</w:t>
      </w:r>
      <w:r w:rsidR="00F1124E">
        <w:t xml:space="preserve">, </w:t>
      </w:r>
      <w:r w:rsidR="005E7EDA">
        <w:t>‘</w:t>
      </w:r>
      <w:r w:rsidR="005E7EDA" w:rsidRPr="005E7EDA">
        <w:t>Directive of the European Parliament and of the Council on ambient air quality and cleaner air for Europe</w:t>
      </w:r>
      <w:r w:rsidR="005E7EDA">
        <w:t xml:space="preserve">’, </w:t>
      </w:r>
      <w:r w:rsidR="005E7EDA" w:rsidRPr="005E7EDA">
        <w:t>21 May 2008</w:t>
      </w:r>
      <w:r w:rsidR="005E7EDA">
        <w:t>.</w:t>
      </w:r>
    </w:p>
  </w:footnote>
  <w:footnote w:id="78">
    <w:p w14:paraId="5F8A01E5" w14:textId="3674BA75" w:rsidR="001571E8" w:rsidRDefault="001571E8" w:rsidP="00456D97">
      <w:pPr>
        <w:pStyle w:val="FootnoteText"/>
        <w:spacing w:line="240" w:lineRule="auto"/>
      </w:pPr>
      <w:r w:rsidRPr="001571E8">
        <w:rPr>
          <w:rStyle w:val="FootnoteReference"/>
          <w:color w:val="77328A"/>
          <w:sz w:val="16"/>
          <w:szCs w:val="16"/>
        </w:rPr>
        <w:footnoteRef/>
      </w:r>
      <w:r w:rsidRPr="001571E8">
        <w:rPr>
          <w:color w:val="77328A"/>
          <w:sz w:val="16"/>
          <w:szCs w:val="16"/>
        </w:rPr>
        <w:t xml:space="preserve"> </w:t>
      </w:r>
      <w:r w:rsidR="00456D97">
        <w:rPr>
          <w:color w:val="77328A"/>
          <w:sz w:val="16"/>
          <w:szCs w:val="16"/>
        </w:rPr>
        <w:t xml:space="preserve">Article 1, </w:t>
      </w:r>
      <w:r w:rsidRPr="001571E8">
        <w:rPr>
          <w:color w:val="77328A"/>
          <w:sz w:val="16"/>
          <w:szCs w:val="16"/>
        </w:rPr>
        <w:t>Directive 2008/50/EC, ‘Directive of the European Parliament and of the Council on ambient air quality and cleaner air for Europe’, 21 May 2008</w:t>
      </w:r>
      <w:r w:rsidR="00456D97">
        <w:rPr>
          <w:color w:val="77328A"/>
          <w:sz w:val="16"/>
          <w:szCs w:val="16"/>
        </w:rPr>
        <w:t>.</w:t>
      </w:r>
      <w:r>
        <w:rPr>
          <w:color w:val="77328A"/>
          <w:sz w:val="16"/>
          <w:szCs w:val="16"/>
        </w:rPr>
        <w:t xml:space="preserve"> </w:t>
      </w:r>
    </w:p>
  </w:footnote>
  <w:footnote w:id="79">
    <w:p w14:paraId="3CD65E6F" w14:textId="27D7759F" w:rsidR="009E55F2" w:rsidRPr="00F17F59" w:rsidRDefault="009E55F2" w:rsidP="00456D97">
      <w:pPr>
        <w:pStyle w:val="NIHRCFootnotes"/>
        <w:spacing w:line="240" w:lineRule="auto"/>
      </w:pPr>
      <w:r w:rsidRPr="00F17F59">
        <w:rPr>
          <w:rStyle w:val="FootnoteReference"/>
        </w:rPr>
        <w:footnoteRef/>
      </w:r>
      <w:r w:rsidRPr="00F17F59">
        <w:t xml:space="preserve"> </w:t>
      </w:r>
      <w:r w:rsidR="00020442" w:rsidRPr="00020442">
        <w:rPr>
          <w:i/>
          <w:iCs/>
        </w:rPr>
        <w:t xml:space="preserve">Lies </w:t>
      </w:r>
      <w:r w:rsidR="00020442" w:rsidRPr="00020442">
        <w:rPr>
          <w:i/>
          <w:iCs/>
        </w:rPr>
        <w:t xml:space="preserve">Craeynest and others v Brussels Hoofdstedelijk Gewest, </w:t>
      </w:r>
      <w:r w:rsidR="00020442" w:rsidRPr="00693561">
        <w:t>Case C-723/17, 26 June 2019</w:t>
      </w:r>
      <w:r w:rsidRPr="00693561">
        <w:t xml:space="preserve">, </w:t>
      </w:r>
      <w:r w:rsidR="00447B07">
        <w:t xml:space="preserve">at </w:t>
      </w:r>
      <w:r w:rsidRPr="00F17F59">
        <w:t>para 32.</w:t>
      </w:r>
    </w:p>
  </w:footnote>
  <w:footnote w:id="80">
    <w:p w14:paraId="06F18F83" w14:textId="7B035DD5" w:rsidR="009E55F2" w:rsidRPr="00F17F59" w:rsidRDefault="009E55F2" w:rsidP="00456D97">
      <w:pPr>
        <w:pStyle w:val="NIHRCFootnotes"/>
        <w:spacing w:line="240" w:lineRule="auto"/>
      </w:pPr>
      <w:r w:rsidRPr="00F17F59">
        <w:rPr>
          <w:rStyle w:val="FootnoteReference"/>
        </w:rPr>
        <w:footnoteRef/>
      </w:r>
      <w:r w:rsidRPr="00F17F59">
        <w:t xml:space="preserve"> </w:t>
      </w:r>
      <w:r w:rsidR="00447B07">
        <w:t>Ibid</w:t>
      </w:r>
      <w:r w:rsidRPr="00693561">
        <w:t>,</w:t>
      </w:r>
      <w:r w:rsidRPr="00F17F59">
        <w:t xml:space="preserve"> </w:t>
      </w:r>
      <w:r w:rsidR="00337440">
        <w:t xml:space="preserve">at </w:t>
      </w:r>
      <w:r w:rsidRPr="00F17F59">
        <w:t xml:space="preserve">para 42. </w:t>
      </w:r>
    </w:p>
  </w:footnote>
  <w:footnote w:id="81">
    <w:p w14:paraId="7C1B3721" w14:textId="1B109987" w:rsidR="009E55F2" w:rsidRPr="00F17F59" w:rsidRDefault="009E55F2" w:rsidP="00456D97">
      <w:pPr>
        <w:pStyle w:val="NIHRCFootnotes"/>
        <w:spacing w:line="240" w:lineRule="auto"/>
      </w:pPr>
      <w:r w:rsidRPr="00F17F59">
        <w:rPr>
          <w:rStyle w:val="FootnoteReference"/>
        </w:rPr>
        <w:footnoteRef/>
      </w:r>
      <w:r w:rsidRPr="00F17F59">
        <w:t xml:space="preserve"> </w:t>
      </w:r>
      <w:r w:rsidR="00337440" w:rsidRPr="00456D97">
        <w:t>Ibid</w:t>
      </w:r>
      <w:r w:rsidRPr="00693561">
        <w:t>,</w:t>
      </w:r>
      <w:r w:rsidRPr="00F17F59">
        <w:t xml:space="preserve"> </w:t>
      </w:r>
      <w:r w:rsidR="00337440">
        <w:t xml:space="preserve">at </w:t>
      </w:r>
      <w:r w:rsidRPr="00F17F59">
        <w:t>para 4</w:t>
      </w:r>
      <w:r w:rsidR="00AB786A">
        <w:t>6</w:t>
      </w:r>
      <w:r w:rsidRPr="00F17F59">
        <w:t xml:space="preserve">. </w:t>
      </w:r>
    </w:p>
  </w:footnote>
  <w:footnote w:id="82">
    <w:p w14:paraId="3B1EE313" w14:textId="057BC80C" w:rsidR="009E55F2" w:rsidRPr="00F17F59" w:rsidRDefault="009E55F2" w:rsidP="00456D97">
      <w:pPr>
        <w:pStyle w:val="NIHRCFootnotes"/>
        <w:spacing w:line="240" w:lineRule="auto"/>
      </w:pPr>
      <w:r w:rsidRPr="00F17F59">
        <w:rPr>
          <w:rStyle w:val="FootnoteReference"/>
        </w:rPr>
        <w:footnoteRef/>
      </w:r>
      <w:r w:rsidRPr="00F17F59">
        <w:t xml:space="preserve"> </w:t>
      </w:r>
      <w:r w:rsidR="00337440" w:rsidRPr="00456D97">
        <w:t>Ibid</w:t>
      </w:r>
      <w:r w:rsidRPr="00693561">
        <w:t>,</w:t>
      </w:r>
      <w:r w:rsidRPr="00F17F59">
        <w:t xml:space="preserve"> </w:t>
      </w:r>
      <w:r w:rsidR="00337440">
        <w:t xml:space="preserve">at </w:t>
      </w:r>
      <w:r w:rsidRPr="00F17F59">
        <w:t xml:space="preserve">para 52. </w:t>
      </w:r>
    </w:p>
  </w:footnote>
  <w:footnote w:id="83">
    <w:p w14:paraId="2AFA33EF" w14:textId="7F1A6ECC" w:rsidR="009E55F2" w:rsidRPr="00F17F59" w:rsidRDefault="009E55F2" w:rsidP="00456D97">
      <w:pPr>
        <w:pStyle w:val="NIHRCFootnotes"/>
        <w:spacing w:line="240" w:lineRule="auto"/>
      </w:pPr>
      <w:r w:rsidRPr="00F17F59">
        <w:rPr>
          <w:rStyle w:val="FootnoteReference"/>
        </w:rPr>
        <w:footnoteRef/>
      </w:r>
      <w:r w:rsidRPr="00F17F59">
        <w:t xml:space="preserve"> </w:t>
      </w:r>
      <w:r w:rsidR="00337440" w:rsidRPr="00456D97">
        <w:t>Ibid</w:t>
      </w:r>
      <w:r w:rsidRPr="00693561">
        <w:t>,</w:t>
      </w:r>
      <w:r w:rsidRPr="00F17F59">
        <w:t xml:space="preserve"> </w:t>
      </w:r>
      <w:r w:rsidR="00337440">
        <w:t xml:space="preserve">at </w:t>
      </w:r>
      <w:r w:rsidRPr="00F17F59">
        <w:t>para 54.</w:t>
      </w:r>
    </w:p>
  </w:footnote>
  <w:footnote w:id="84">
    <w:p w14:paraId="5BA71E1B" w14:textId="56341C91" w:rsidR="009E55F2" w:rsidRPr="00F17F59" w:rsidRDefault="009E55F2" w:rsidP="00456D97">
      <w:pPr>
        <w:pStyle w:val="NIHRCFootnotes"/>
        <w:spacing w:line="240" w:lineRule="auto"/>
      </w:pPr>
      <w:r w:rsidRPr="00F17F59">
        <w:rPr>
          <w:rStyle w:val="FootnoteReference"/>
        </w:rPr>
        <w:footnoteRef/>
      </w:r>
      <w:r w:rsidRPr="00F17F59">
        <w:t xml:space="preserve"> </w:t>
      </w:r>
      <w:r w:rsidR="00931BCF" w:rsidRPr="00F17F59">
        <w:rPr>
          <w:i/>
          <w:iCs/>
        </w:rPr>
        <w:t>Janecek</w:t>
      </w:r>
      <w:r w:rsidR="00931BCF">
        <w:t xml:space="preserve">, </w:t>
      </w:r>
      <w:r w:rsidRPr="00F17F59">
        <w:t>Case C-237/07, 25 July 2008</w:t>
      </w:r>
      <w:r w:rsidR="00931BCF">
        <w:t>.</w:t>
      </w:r>
    </w:p>
  </w:footnote>
  <w:footnote w:id="85">
    <w:p w14:paraId="353ADA2F" w14:textId="1EC03667" w:rsidR="009E55F2" w:rsidRPr="00F17F59" w:rsidRDefault="009E55F2" w:rsidP="00456D97">
      <w:pPr>
        <w:pStyle w:val="NIHRCFootnotes"/>
        <w:spacing w:line="240" w:lineRule="auto"/>
      </w:pPr>
      <w:r w:rsidRPr="00F17F59">
        <w:rPr>
          <w:rStyle w:val="FootnoteReference"/>
        </w:rPr>
        <w:footnoteRef/>
      </w:r>
      <w:r w:rsidRPr="00F17F59">
        <w:t xml:space="preserve"> </w:t>
      </w:r>
      <w:r w:rsidR="00931BCF" w:rsidRPr="00F17F59">
        <w:rPr>
          <w:i/>
          <w:iCs/>
        </w:rPr>
        <w:t>ClientEarth</w:t>
      </w:r>
      <w:r w:rsidR="00931BCF">
        <w:rPr>
          <w:i/>
          <w:iCs/>
        </w:rPr>
        <w:t>,</w:t>
      </w:r>
      <w:r w:rsidR="00931BCF" w:rsidRPr="00F17F59">
        <w:t xml:space="preserve"> </w:t>
      </w:r>
      <w:r w:rsidRPr="00F17F59">
        <w:t>Case C-404/13,</w:t>
      </w:r>
      <w:r w:rsidR="00931BCF">
        <w:t xml:space="preserve"> </w:t>
      </w:r>
      <w:r w:rsidRPr="00F17F59">
        <w:t>19 November 2014.</w:t>
      </w:r>
    </w:p>
  </w:footnote>
  <w:footnote w:id="86">
    <w:p w14:paraId="6909CFF2" w14:textId="77777777" w:rsidR="00AC0F6E" w:rsidRPr="00F17F59" w:rsidRDefault="00AC0F6E" w:rsidP="00456D97">
      <w:pPr>
        <w:pStyle w:val="NIHRCFootnotes"/>
        <w:spacing w:line="240" w:lineRule="auto"/>
      </w:pPr>
      <w:r w:rsidRPr="00F17F59">
        <w:rPr>
          <w:rStyle w:val="FootnoteReference"/>
        </w:rPr>
        <w:footnoteRef/>
      </w:r>
      <w:r w:rsidRPr="00F17F59">
        <w:t xml:space="preserve"> </w:t>
      </w:r>
      <w:r w:rsidRPr="008973CE">
        <w:rPr>
          <w:i/>
          <w:iCs/>
        </w:rPr>
        <w:t xml:space="preserve">Lies </w:t>
      </w:r>
      <w:r w:rsidRPr="008973CE">
        <w:rPr>
          <w:i/>
          <w:iCs/>
        </w:rPr>
        <w:t>Craeynest and Others v Brussells Hoofdstedelijk Gewest</w:t>
      </w:r>
      <w:r>
        <w:t xml:space="preserve">, </w:t>
      </w:r>
      <w:r w:rsidRPr="00F17F59">
        <w:t xml:space="preserve">Case C-723/14, 26 June 2019. </w:t>
      </w:r>
    </w:p>
  </w:footnote>
  <w:footnote w:id="87">
    <w:p w14:paraId="387B72FF" w14:textId="77777777" w:rsidR="00AC0F6E" w:rsidRPr="00F17F59" w:rsidRDefault="00AC0F6E" w:rsidP="00456D97">
      <w:pPr>
        <w:pStyle w:val="NIHRCFootnotes"/>
        <w:spacing w:line="240" w:lineRule="auto"/>
      </w:pPr>
      <w:r w:rsidRPr="00F17F59">
        <w:rPr>
          <w:rStyle w:val="FootnoteReference"/>
        </w:rPr>
        <w:footnoteRef/>
      </w:r>
      <w:r w:rsidRPr="00F17F59">
        <w:t xml:space="preserve"> </w:t>
      </w:r>
      <w:r w:rsidRPr="008973CE">
        <w:rPr>
          <w:i/>
          <w:iCs/>
        </w:rPr>
        <w:t>Wasserleitungsverband Nördliches Burgenland and Others</w:t>
      </w:r>
      <w:r>
        <w:t>,</w:t>
      </w:r>
      <w:r w:rsidRPr="00F17F59">
        <w:t xml:space="preserve"> Case C-197/18, 3 October 2019. </w:t>
      </w:r>
    </w:p>
  </w:footnote>
  <w:footnote w:id="88">
    <w:p w14:paraId="72F772AE" w14:textId="77777777" w:rsidR="00AC0F6E" w:rsidRPr="00F17F59" w:rsidRDefault="00AC0F6E" w:rsidP="00456D97">
      <w:pPr>
        <w:pStyle w:val="NIHRCFootnotes"/>
        <w:spacing w:line="240" w:lineRule="auto"/>
      </w:pPr>
      <w:r w:rsidRPr="00F17F59">
        <w:rPr>
          <w:rStyle w:val="FootnoteReference"/>
        </w:rPr>
        <w:footnoteRef/>
      </w:r>
      <w:r w:rsidRPr="00F17F59">
        <w:t xml:space="preserve"> </w:t>
      </w:r>
      <w:r w:rsidRPr="008973CE">
        <w:t>Kraaijeveld and Others</w:t>
      </w:r>
      <w:r>
        <w:rPr>
          <w:i/>
          <w:iCs/>
        </w:rPr>
        <w:t>,</w:t>
      </w:r>
      <w:r w:rsidRPr="00F17F59">
        <w:t xml:space="preserve"> Case C-72/95, 24 October 1996. </w:t>
      </w:r>
    </w:p>
  </w:footnote>
  <w:footnote w:id="89">
    <w:p w14:paraId="19F77972" w14:textId="77777777" w:rsidR="00AC0F6E" w:rsidRPr="00F17F59" w:rsidRDefault="00AC0F6E" w:rsidP="00456D97">
      <w:pPr>
        <w:pStyle w:val="NIHRCFootnotes"/>
        <w:spacing w:line="240" w:lineRule="auto"/>
      </w:pPr>
      <w:r w:rsidRPr="00F17F59">
        <w:rPr>
          <w:rStyle w:val="FootnoteReference"/>
        </w:rPr>
        <w:footnoteRef/>
      </w:r>
      <w:r w:rsidRPr="00F17F59">
        <w:t xml:space="preserve"> </w:t>
      </w:r>
      <w:r w:rsidRPr="00F17F59">
        <w:rPr>
          <w:i/>
          <w:iCs/>
        </w:rPr>
        <w:t>Janecek</w:t>
      </w:r>
      <w:r>
        <w:t xml:space="preserve">, </w:t>
      </w:r>
      <w:r w:rsidRPr="00F17F59">
        <w:t>Case C-237/07, 25 July 2008.</w:t>
      </w:r>
    </w:p>
  </w:footnote>
  <w:footnote w:id="90">
    <w:p w14:paraId="45FAC42F" w14:textId="77777777" w:rsidR="00AC0F6E" w:rsidRPr="00F17F59" w:rsidRDefault="00AC0F6E" w:rsidP="00456D97">
      <w:pPr>
        <w:pStyle w:val="NIHRCFootnotes"/>
        <w:spacing w:line="240" w:lineRule="auto"/>
      </w:pPr>
      <w:r w:rsidRPr="00F17F59">
        <w:rPr>
          <w:rStyle w:val="FootnoteReference"/>
        </w:rPr>
        <w:footnoteRef/>
      </w:r>
      <w:r w:rsidRPr="00F17F59">
        <w:t xml:space="preserve"> Directive 2000/60/EC, ‘Directive of the European Parliament and of the Council of establishing a framework for Community action in the field of water policy’, 23 October 2000. </w:t>
      </w:r>
    </w:p>
  </w:footnote>
  <w:footnote w:id="91">
    <w:p w14:paraId="40451AA3" w14:textId="77777777" w:rsidR="00AC0F6E" w:rsidRPr="00F17F59" w:rsidRDefault="00AC0F6E" w:rsidP="00456D97">
      <w:pPr>
        <w:pStyle w:val="NIHRCFootnotes"/>
        <w:spacing w:line="240" w:lineRule="auto"/>
      </w:pPr>
      <w:r w:rsidRPr="00F17F59">
        <w:rPr>
          <w:rStyle w:val="FootnoteReference"/>
        </w:rPr>
        <w:footnoteRef/>
      </w:r>
      <w:r w:rsidRPr="00F17F59">
        <w:t xml:space="preserve"> Council Directive 91/676/EEC,  ‘Council Directive concerning the protection of waters against pollution caused by nitrates from agricultural sources’, 12 December 1991. </w:t>
      </w:r>
    </w:p>
  </w:footnote>
  <w:footnote w:id="92">
    <w:p w14:paraId="361BB7B5" w14:textId="77777777" w:rsidR="00AC0F6E" w:rsidRPr="00F17F59" w:rsidRDefault="00AC0F6E" w:rsidP="00456D97">
      <w:pPr>
        <w:pStyle w:val="NIHRCFootnotes"/>
        <w:spacing w:line="240" w:lineRule="auto"/>
      </w:pPr>
      <w:r w:rsidRPr="00F17F59">
        <w:rPr>
          <w:rStyle w:val="FootnoteReference"/>
        </w:rPr>
        <w:footnoteRef/>
      </w:r>
      <w:r w:rsidRPr="00F17F59">
        <w:t xml:space="preserve"> </w:t>
      </w:r>
      <w:r w:rsidRPr="008973CE">
        <w:rPr>
          <w:i/>
          <w:iCs/>
        </w:rPr>
        <w:t xml:space="preserve">Protect </w:t>
      </w:r>
      <w:r w:rsidRPr="008973CE">
        <w:rPr>
          <w:i/>
          <w:iCs/>
        </w:rPr>
        <w:t>Natur-, Arten- und Landschaftschutz Umweltorganisation</w:t>
      </w:r>
      <w:r>
        <w:t xml:space="preserve">, </w:t>
      </w:r>
      <w:r w:rsidRPr="00F17F59">
        <w:t xml:space="preserve">Case C-664/15, 20 December 2017. </w:t>
      </w:r>
    </w:p>
  </w:footnote>
  <w:footnote w:id="93">
    <w:p w14:paraId="60636216" w14:textId="77777777" w:rsidR="00AC0F6E" w:rsidRPr="00F17F59" w:rsidRDefault="00AC0F6E" w:rsidP="00456D97">
      <w:pPr>
        <w:pStyle w:val="NIHRCFootnotes"/>
        <w:spacing w:line="240" w:lineRule="auto"/>
      </w:pPr>
      <w:r w:rsidRPr="00F17F59">
        <w:rPr>
          <w:rStyle w:val="FootnoteReference"/>
        </w:rPr>
        <w:footnoteRef/>
      </w:r>
      <w:r w:rsidRPr="00F17F59">
        <w:t xml:space="preserve"> </w:t>
      </w:r>
      <w:r w:rsidRPr="008973CE">
        <w:rPr>
          <w:i/>
          <w:iCs/>
        </w:rPr>
        <w:t>North East Pylon Pressure Campaign and Sheehy</w:t>
      </w:r>
      <w:r w:rsidRPr="00F17F59">
        <w:t>,</w:t>
      </w:r>
      <w:r>
        <w:t xml:space="preserve"> </w:t>
      </w:r>
      <w:r w:rsidRPr="00F17F59">
        <w:t xml:space="preserve">Case C-470/16, 15 March 2018. </w:t>
      </w:r>
    </w:p>
  </w:footnote>
  <w:footnote w:id="94">
    <w:p w14:paraId="356F7D07" w14:textId="3B2A484C" w:rsidR="00BD17A8" w:rsidRDefault="00BD17A8" w:rsidP="00456D97">
      <w:pPr>
        <w:pStyle w:val="NIHRCFootnotes"/>
        <w:spacing w:line="240" w:lineRule="auto"/>
      </w:pPr>
      <w:r>
        <w:rPr>
          <w:rStyle w:val="FootnoteReference"/>
        </w:rPr>
        <w:footnoteRef/>
      </w:r>
      <w:r>
        <w:t xml:space="preserve"> </w:t>
      </w:r>
      <w:bookmarkStart w:id="34" w:name="_Hlk200367943"/>
      <w:r w:rsidR="00E4704E">
        <w:t xml:space="preserve">Chapters 5, 6 and 7, </w:t>
      </w:r>
      <w:r w:rsidR="001666D5" w:rsidRPr="001666D5">
        <w:t>Ciara Brennan, Mary Dobbs, Alison Hough, Orla Kelleher and Lisa Whitten, ‘The Environment, Human Rights and the Windsor Framework’ (NIHRC, 2025</w:t>
      </w:r>
      <w:bookmarkEnd w:id="34"/>
      <w:r w:rsidR="001666D5" w:rsidRPr="001666D5">
        <w:t>)</w:t>
      </w:r>
      <w:r w:rsidR="00E4704E">
        <w:t>.</w:t>
      </w:r>
    </w:p>
  </w:footnote>
  <w:footnote w:id="95">
    <w:p w14:paraId="5A87BE6D" w14:textId="77777777" w:rsidR="00E35C29" w:rsidRDefault="00EE7F92" w:rsidP="00456D97">
      <w:pPr>
        <w:pStyle w:val="NIHRCFootnotes"/>
        <w:spacing w:line="240" w:lineRule="auto"/>
      </w:pPr>
      <w:r>
        <w:rPr>
          <w:rStyle w:val="FootnoteReference"/>
        </w:rPr>
        <w:footnoteRef/>
      </w:r>
      <w:r>
        <w:t xml:space="preserve"> </w:t>
      </w:r>
      <w:r w:rsidR="008E2620">
        <w:t>Schedule 1 of the Retained EU Law</w:t>
      </w:r>
      <w:r w:rsidR="002D01F6">
        <w:t xml:space="preserve"> Act 2023. </w:t>
      </w:r>
      <w:r w:rsidR="00EB25F6">
        <w:t>See also ClientEarth</w:t>
      </w:r>
      <w:r w:rsidR="007F167F">
        <w:t>, ‘</w:t>
      </w:r>
      <w:r w:rsidR="00E35C29">
        <w:t xml:space="preserve">The importance of retaining the National </w:t>
      </w:r>
    </w:p>
    <w:p w14:paraId="7CFE9234" w14:textId="0D98F7F3" w:rsidR="00EE7F92" w:rsidRDefault="00E35C29" w:rsidP="00456D97">
      <w:pPr>
        <w:pStyle w:val="NIHRCFootnotes"/>
        <w:spacing w:line="240" w:lineRule="auto"/>
      </w:pPr>
      <w:r>
        <w:t xml:space="preserve">Emission Ceilings Regulations 2018: REUL Act briefing’ (ClientEarth, 2023). </w:t>
      </w:r>
      <w:r w:rsidR="007D3D45">
        <w:t xml:space="preserve">For an overall summary of the NIHRC’s concerns </w:t>
      </w:r>
      <w:r w:rsidR="007D2758">
        <w:t>around re</w:t>
      </w:r>
      <w:r w:rsidR="00324F2A">
        <w:t>tained EU Law, see NI</w:t>
      </w:r>
      <w:r w:rsidR="00954D80">
        <w:t xml:space="preserve"> </w:t>
      </w:r>
      <w:r w:rsidR="00324F2A">
        <w:t>H</w:t>
      </w:r>
      <w:r w:rsidR="00954D80">
        <w:t xml:space="preserve">uman </w:t>
      </w:r>
      <w:r w:rsidR="00324F2A">
        <w:t>R</w:t>
      </w:r>
      <w:r w:rsidR="00954D80">
        <w:t xml:space="preserve">ights </w:t>
      </w:r>
      <w:r w:rsidR="00324F2A">
        <w:t>C</w:t>
      </w:r>
      <w:r w:rsidR="00954D80">
        <w:t>ommission</w:t>
      </w:r>
      <w:r w:rsidR="00324F2A">
        <w:t xml:space="preserve"> </w:t>
      </w:r>
      <w:r w:rsidR="00117B29">
        <w:t>and</w:t>
      </w:r>
      <w:r w:rsidR="00324F2A">
        <w:t>E</w:t>
      </w:r>
      <w:r w:rsidR="00954D80">
        <w:t xml:space="preserve">quality </w:t>
      </w:r>
      <w:r w:rsidR="00324F2A">
        <w:t>C</w:t>
      </w:r>
      <w:r w:rsidR="00954D80">
        <w:t xml:space="preserve">ommission </w:t>
      </w:r>
      <w:r w:rsidR="00117B29">
        <w:t xml:space="preserve">for </w:t>
      </w:r>
      <w:r w:rsidR="00324F2A">
        <w:t>NI, ‘</w:t>
      </w:r>
      <w:r w:rsidR="00954D80" w:rsidRPr="00954D80">
        <w:t>Joint NIHRC &amp; ECNI Submission to the European Scrutiny Committee inquiry into ‘Retained EU law: the progress and mechanics of reform’</w:t>
      </w:r>
      <w:r w:rsidR="00E35785">
        <w:t>’</w:t>
      </w:r>
      <w:r w:rsidR="00954D80">
        <w:t xml:space="preserve"> (NIHRC </w:t>
      </w:r>
      <w:r w:rsidR="00E35785">
        <w:t xml:space="preserve">and </w:t>
      </w:r>
      <w:r w:rsidR="00954D80">
        <w:t xml:space="preserve">ECNI, 2024). </w:t>
      </w:r>
    </w:p>
  </w:footnote>
  <w:footnote w:id="96">
    <w:p w14:paraId="60E0FA9D" w14:textId="6940B0A2" w:rsidR="00F65127" w:rsidRDefault="00F65127" w:rsidP="00456D97">
      <w:pPr>
        <w:pStyle w:val="NIHRCFootnotes"/>
        <w:spacing w:line="240" w:lineRule="auto"/>
      </w:pPr>
      <w:r>
        <w:rPr>
          <w:rStyle w:val="FootnoteReference"/>
        </w:rPr>
        <w:footnoteRef/>
      </w:r>
      <w:r>
        <w:t xml:space="preserve"> </w:t>
      </w:r>
      <w:r w:rsidR="00056EC0">
        <w:t>Directive (EU) 2016/2284, ‘Directive of the European Parliament and of the Council of on the reduction of national emissions of certain atmospheric pollutants (The National Emission Reduction Commitments Directive)’,</w:t>
      </w:r>
      <w:r w:rsidR="00056EC0" w:rsidRPr="00056EC0">
        <w:t xml:space="preserve"> </w:t>
      </w:r>
      <w:r w:rsidR="00056EC0">
        <w:t>14 December 2016.</w:t>
      </w:r>
    </w:p>
  </w:footnote>
  <w:footnote w:id="97">
    <w:p w14:paraId="70778897" w14:textId="11C578B8" w:rsidR="00F65127" w:rsidRDefault="00F65127" w:rsidP="00456D97">
      <w:pPr>
        <w:pStyle w:val="NIHRCFootnotes"/>
        <w:spacing w:line="240" w:lineRule="auto"/>
      </w:pPr>
      <w:r>
        <w:rPr>
          <w:rStyle w:val="FootnoteReference"/>
        </w:rPr>
        <w:footnoteRef/>
      </w:r>
      <w:r>
        <w:t xml:space="preserve"> </w:t>
      </w:r>
      <w:r w:rsidR="00651717" w:rsidRPr="00651717">
        <w:t xml:space="preserve">Commission Implementing Decision (EU) 2018/1522, Commission Implementing Decision laying down a common format for national air pollution control programmes under Directive (EU) 2016/2284 of the European Parliament and of the Council on the reduction of national emissions of certain atmospheric pollutants (notified under document C(2018) 6549), 11 October </w:t>
      </w:r>
      <w:r w:rsidR="00E04273" w:rsidRPr="00E04273" w:rsidDel="00651717">
        <w:t>2018</w:t>
      </w:r>
      <w:r w:rsidR="00E04273">
        <w:t xml:space="preserve">. </w:t>
      </w:r>
      <w:r w:rsidR="00485119">
        <w:t>Implementing</w:t>
      </w:r>
      <w:r w:rsidR="00733D64">
        <w:t xml:space="preserve"> decisions aim to achieve a uniform </w:t>
      </w:r>
      <w:r w:rsidR="00485119">
        <w:t>implementation</w:t>
      </w:r>
      <w:r w:rsidR="00733D64">
        <w:t xml:space="preserve"> of EU law across Member States. See </w:t>
      </w:r>
      <w:r w:rsidR="00330AD5">
        <w:t>European Union</w:t>
      </w:r>
      <w:r w:rsidR="00485119">
        <w:t xml:space="preserve">, ‘How EU policy is decided’. Available at </w:t>
      </w:r>
      <w:hyperlink r:id="rId3" w:history="1">
        <w:r w:rsidR="00C1182A" w:rsidRPr="00321C9A">
          <w:rPr>
            <w:rStyle w:val="Hyperlink"/>
          </w:rPr>
          <w:t>https://european-union.europa.eu/institutions-law-budget/law/how-eu-policy-decided_en</w:t>
        </w:r>
      </w:hyperlink>
      <w:r w:rsidR="00C1182A">
        <w:t xml:space="preserve"> </w:t>
      </w:r>
    </w:p>
  </w:footnote>
  <w:footnote w:id="98">
    <w:p w14:paraId="5ED46E85" w14:textId="524C6BED" w:rsidR="00225FC8" w:rsidRDefault="00225FC8" w:rsidP="00456D97">
      <w:pPr>
        <w:pStyle w:val="NIHRCFootnotes"/>
        <w:spacing w:line="240" w:lineRule="auto"/>
      </w:pPr>
      <w:r>
        <w:rPr>
          <w:rStyle w:val="FootnoteReference"/>
        </w:rPr>
        <w:footnoteRef/>
      </w:r>
      <w:r>
        <w:t xml:space="preserve"> </w:t>
      </w:r>
      <w:r w:rsidR="00F37411">
        <w:t>Article 4,</w:t>
      </w:r>
      <w:r w:rsidR="00B7650F">
        <w:t xml:space="preserve"> </w:t>
      </w:r>
      <w:r w:rsidR="00B7650F" w:rsidRPr="00B7650F">
        <w:t>Directive (EU) 2016/2284, ‘Directive of the European Parliament and of the Council of on the reduction of national emissions of certain atmospheric pollutants (The National Emission Reduction Commitments Directive)’, 14 December 2016.</w:t>
      </w:r>
    </w:p>
  </w:footnote>
  <w:footnote w:id="99">
    <w:p w14:paraId="38D31023" w14:textId="2D6D3FE5" w:rsidR="00E87DC6" w:rsidRDefault="00E87DC6" w:rsidP="00016606">
      <w:pPr>
        <w:pStyle w:val="NIHRCFootnotes"/>
        <w:spacing w:line="240" w:lineRule="auto"/>
      </w:pPr>
      <w:r>
        <w:rPr>
          <w:rStyle w:val="FootnoteReference"/>
        </w:rPr>
        <w:footnoteRef/>
      </w:r>
      <w:r>
        <w:t xml:space="preserve"> </w:t>
      </w:r>
      <w:r w:rsidR="00070458" w:rsidRPr="00070458">
        <w:t>Commission Implementing Decision (EU) 2018/1522</w:t>
      </w:r>
      <w:r w:rsidR="000C5966">
        <w:t xml:space="preserve">, Commission Implementing Decision </w:t>
      </w:r>
      <w:r w:rsidR="00070458" w:rsidRPr="00070458">
        <w:t>laying down a common format for national air pollution control programmes under Directive (EU) 2016/2284 of the European Parliament and of the Council on the reduction of national emissions of certain atmospheric pollutants (notified under document C(2018) 6549)</w:t>
      </w:r>
      <w:r w:rsidR="000C5966">
        <w:t xml:space="preserve">, </w:t>
      </w:r>
      <w:r w:rsidR="000C5966" w:rsidRPr="000C5966">
        <w:t>11 October 2018</w:t>
      </w:r>
      <w:r w:rsidR="000C5966">
        <w:t>.</w:t>
      </w:r>
    </w:p>
  </w:footnote>
  <w:footnote w:id="100">
    <w:p w14:paraId="467D8B98" w14:textId="70D5B140" w:rsidR="00135A94" w:rsidRDefault="00135A94" w:rsidP="00456D97">
      <w:pPr>
        <w:pStyle w:val="NIHRCFootnotes"/>
        <w:spacing w:line="240" w:lineRule="auto"/>
      </w:pPr>
      <w:r>
        <w:rPr>
          <w:rStyle w:val="FootnoteReference"/>
        </w:rPr>
        <w:footnoteRef/>
      </w:r>
      <w:r>
        <w:t xml:space="preserve"> </w:t>
      </w:r>
      <w:r w:rsidR="00693561">
        <w:t xml:space="preserve">Letter from </w:t>
      </w:r>
      <w:r w:rsidR="00C7728A" w:rsidRPr="00C7728A">
        <w:t xml:space="preserve">Dame Glenys Stacey, Chair of the </w:t>
      </w:r>
      <w:r w:rsidR="00693561">
        <w:t>Office for Environmental Protection</w:t>
      </w:r>
      <w:r w:rsidR="00C7728A" w:rsidRPr="00C7728A">
        <w:t xml:space="preserve"> to Secretary of State for the Environment, 30 August 2023</w:t>
      </w:r>
      <w:r w:rsidR="00C7728A">
        <w:t xml:space="preserve">. </w:t>
      </w:r>
    </w:p>
  </w:footnote>
  <w:footnote w:id="101">
    <w:p w14:paraId="30B43790" w14:textId="3C70EF78" w:rsidR="00F15FB0" w:rsidRDefault="00F15FB0" w:rsidP="00456D97">
      <w:pPr>
        <w:pStyle w:val="NIHRCFootnotes"/>
        <w:spacing w:line="240" w:lineRule="auto"/>
      </w:pPr>
      <w:r>
        <w:rPr>
          <w:rStyle w:val="FootnoteReference"/>
        </w:rPr>
        <w:footnoteRef/>
      </w:r>
      <w:r>
        <w:t xml:space="preserve"> See </w:t>
      </w:r>
      <w:r w:rsidR="001B24BF" w:rsidRPr="00D33D59">
        <w:rPr>
          <w:i/>
          <w:iCs/>
        </w:rPr>
        <w:t>Öneryıldız v Turkey</w:t>
      </w:r>
      <w:r w:rsidR="001B24BF" w:rsidRPr="00D33D59">
        <w:t>, Application</w:t>
      </w:r>
      <w:r w:rsidR="001B24BF" w:rsidRPr="001B24BF">
        <w:t xml:space="preserve"> </w:t>
      </w:r>
      <w:r w:rsidR="00D33D59" w:rsidRPr="001B24BF">
        <w:t>No</w:t>
      </w:r>
      <w:r w:rsidR="001B24BF" w:rsidRPr="001B24BF">
        <w:t xml:space="preserve"> 48939/99</w:t>
      </w:r>
      <w:r w:rsidR="00D33D59">
        <w:t xml:space="preserve"> Judgment of 30 November </w:t>
      </w:r>
      <w:r w:rsidR="00D33D59">
        <w:t>2004</w:t>
      </w:r>
      <w:r w:rsidR="001B24BF">
        <w:t xml:space="preserve">; </w:t>
      </w:r>
      <w:r w:rsidR="001B24BF" w:rsidRPr="00D33D59">
        <w:rPr>
          <w:i/>
          <w:iCs/>
        </w:rPr>
        <w:t>Tătar v Romania</w:t>
      </w:r>
      <w:r w:rsidR="001B24BF" w:rsidRPr="001B24BF">
        <w:t>,</w:t>
      </w:r>
      <w:r w:rsidR="001B24BF">
        <w:t xml:space="preserve"> </w:t>
      </w:r>
      <w:r w:rsidR="001B24BF" w:rsidRPr="001B24BF">
        <w:t xml:space="preserve">Application </w:t>
      </w:r>
      <w:r w:rsidR="00D33D59" w:rsidRPr="001B24BF">
        <w:t>No</w:t>
      </w:r>
      <w:r w:rsidR="001B24BF" w:rsidRPr="001B24BF">
        <w:t xml:space="preserve"> 67021/01</w:t>
      </w:r>
      <w:r w:rsidR="00D33D59">
        <w:t>, Judgment of 27 January 2009</w:t>
      </w:r>
      <w:r w:rsidR="009E7CFB">
        <w:t xml:space="preserve">. </w:t>
      </w:r>
    </w:p>
  </w:footnote>
  <w:footnote w:id="102">
    <w:p w14:paraId="4F7086D0" w14:textId="3E4F3245" w:rsidR="0080736F" w:rsidRDefault="0080736F" w:rsidP="00456D97">
      <w:pPr>
        <w:pStyle w:val="NIHRCFootnotes"/>
        <w:spacing w:line="240" w:lineRule="auto"/>
      </w:pPr>
      <w:r>
        <w:rPr>
          <w:rStyle w:val="FootnoteReference"/>
        </w:rPr>
        <w:footnoteRef/>
      </w:r>
      <w:r>
        <w:t xml:space="preserve"> See </w:t>
      </w:r>
      <w:r w:rsidRPr="00D33D59">
        <w:rPr>
          <w:i/>
          <w:iCs/>
        </w:rPr>
        <w:t xml:space="preserve">Hatton and Others v the </w:t>
      </w:r>
      <w:r w:rsidR="00D33D59" w:rsidRPr="00D33D59">
        <w:rPr>
          <w:i/>
          <w:iCs/>
        </w:rPr>
        <w:t>UK</w:t>
      </w:r>
      <w:r w:rsidR="00B437DD">
        <w:rPr>
          <w:i/>
          <w:iCs/>
        </w:rPr>
        <w:t xml:space="preserve"> </w:t>
      </w:r>
      <w:r w:rsidR="00D33D59">
        <w:t>(2000) ECHR 709</w:t>
      </w:r>
      <w:r w:rsidRPr="0080736F">
        <w:t xml:space="preserve">; </w:t>
      </w:r>
      <w:r w:rsidRPr="00D33D59">
        <w:rPr>
          <w:i/>
          <w:iCs/>
        </w:rPr>
        <w:t>Taşkin et al v Turkey</w:t>
      </w:r>
      <w:r w:rsidRPr="0080736F">
        <w:t xml:space="preserve"> </w:t>
      </w:r>
      <w:r w:rsidR="00D33D59">
        <w:t>(2004) ECHR 621</w:t>
      </w:r>
      <w:r w:rsidRPr="0080736F">
        <w:t>.</w:t>
      </w:r>
    </w:p>
  </w:footnote>
  <w:footnote w:id="103">
    <w:p w14:paraId="7B71DAF6" w14:textId="4FA30E04" w:rsidR="001C2A8D" w:rsidRDefault="001C2A8D" w:rsidP="00456D97">
      <w:pPr>
        <w:pStyle w:val="NIHRCFootnotes"/>
        <w:spacing w:line="240" w:lineRule="auto"/>
      </w:pPr>
      <w:r>
        <w:rPr>
          <w:rStyle w:val="FootnoteReference"/>
        </w:rPr>
        <w:footnoteRef/>
      </w:r>
      <w:r>
        <w:t xml:space="preserve"> </w:t>
      </w:r>
      <w:r w:rsidR="0042487A">
        <w:t xml:space="preserve">Chapter </w:t>
      </w:r>
      <w:r w:rsidR="009A5576">
        <w:t xml:space="preserve">6, </w:t>
      </w:r>
      <w:r w:rsidR="009A5576" w:rsidRPr="009A5576">
        <w:t>Ciara Brennan, Mary Dobbs, Alison Hough, Orla Kelleher and Lisa Whitten, ‘The Environment, Human Rights and the Windsor Framework’ (NIHRC, 2025)</w:t>
      </w:r>
      <w:r w:rsidR="009050E8">
        <w:t>.</w:t>
      </w:r>
    </w:p>
  </w:footnote>
  <w:footnote w:id="104">
    <w:p w14:paraId="53D6BAC6" w14:textId="19E37C82" w:rsidR="0042487A" w:rsidRDefault="0042487A" w:rsidP="00456D97">
      <w:pPr>
        <w:pStyle w:val="NIHRCFootnotes"/>
        <w:spacing w:line="240" w:lineRule="auto"/>
      </w:pPr>
      <w:r>
        <w:rPr>
          <w:rStyle w:val="FootnoteReference"/>
        </w:rPr>
        <w:footnoteRef/>
      </w:r>
      <w:r>
        <w:t xml:space="preserve"> </w:t>
      </w:r>
      <w:r w:rsidR="009A5576">
        <w:t xml:space="preserve">Chapter </w:t>
      </w:r>
      <w:r w:rsidR="009050E8">
        <w:t xml:space="preserve">7, </w:t>
      </w:r>
      <w:r w:rsidR="00456D97">
        <w:t>Ibid</w:t>
      </w:r>
      <w:r w:rsidR="009050E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3ED0"/>
    <w:multiLevelType w:val="hybridMultilevel"/>
    <w:tmpl w:val="CB180A18"/>
    <w:lvl w:ilvl="0" w:tplc="1A12805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57018A"/>
    <w:multiLevelType w:val="hybridMultilevel"/>
    <w:tmpl w:val="8A30D634"/>
    <w:lvl w:ilvl="0" w:tplc="5D3429A0">
      <w:start w:val="1"/>
      <w:numFmt w:val="bullet"/>
      <w:lvlText w:val=""/>
      <w:lvlJc w:val="left"/>
      <w:pPr>
        <w:ind w:left="360" w:hanging="360"/>
      </w:pPr>
      <w:rPr>
        <w:rFonts w:ascii="Symbol" w:hAnsi="Symbol" w:hint="default"/>
        <w:color w:val="7347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7F5052"/>
    <w:multiLevelType w:val="hybridMultilevel"/>
    <w:tmpl w:val="8416D5E0"/>
    <w:lvl w:ilvl="0" w:tplc="1604EBA4">
      <w:start w:val="2"/>
      <w:numFmt w:val="bullet"/>
      <w:lvlText w:val="-"/>
      <w:lvlJc w:val="left"/>
      <w:pPr>
        <w:ind w:left="720" w:hanging="36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9525F"/>
    <w:multiLevelType w:val="hybridMultilevel"/>
    <w:tmpl w:val="8CF40FB0"/>
    <w:lvl w:ilvl="0" w:tplc="5D3429A0">
      <w:start w:val="1"/>
      <w:numFmt w:val="bullet"/>
      <w:lvlText w:val=""/>
      <w:lvlJc w:val="left"/>
      <w:pPr>
        <w:ind w:left="360" w:hanging="360"/>
      </w:pPr>
      <w:rPr>
        <w:rFonts w:ascii="Symbol" w:hAnsi="Symbol" w:hint="default"/>
        <w:color w:val="7347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542287"/>
    <w:multiLevelType w:val="hybridMultilevel"/>
    <w:tmpl w:val="6FEE9254"/>
    <w:lvl w:ilvl="0" w:tplc="1DB2B29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56E7868"/>
    <w:multiLevelType w:val="multilevel"/>
    <w:tmpl w:val="20D86B40"/>
    <w:lvl w:ilvl="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6" w15:restartNumberingAfterBreak="0">
    <w:nsid w:val="36447DFB"/>
    <w:multiLevelType w:val="hybridMultilevel"/>
    <w:tmpl w:val="A3B84D18"/>
    <w:lvl w:ilvl="0" w:tplc="50960044">
      <w:start w:val="1"/>
      <w:numFmt w:val="decimal"/>
      <w:lvlText w:val="%1."/>
      <w:lvlJc w:val="left"/>
      <w:pPr>
        <w:ind w:left="360" w:hanging="360"/>
      </w:pPr>
      <w:rPr>
        <w:rFonts w:hint="default"/>
        <w:color w:val="73479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6F6DEE"/>
    <w:multiLevelType w:val="hybridMultilevel"/>
    <w:tmpl w:val="90743D5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E422170"/>
    <w:multiLevelType w:val="hybridMultilevel"/>
    <w:tmpl w:val="E522FDC6"/>
    <w:lvl w:ilvl="0" w:tplc="9174B4FC">
      <w:start w:val="1"/>
      <w:numFmt w:val="bullet"/>
      <w:lvlText w:val=""/>
      <w:lvlJc w:val="left"/>
      <w:pPr>
        <w:ind w:left="360" w:hanging="360"/>
      </w:pPr>
      <w:rPr>
        <w:rFonts w:ascii="Symbol" w:hAnsi="Symbol" w:hint="default"/>
        <w:color w:val="77328A"/>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5E6EF7"/>
    <w:multiLevelType w:val="multilevel"/>
    <w:tmpl w:val="63808C22"/>
    <w:lvl w:ilvl="0">
      <w:start w:val="1"/>
      <w:numFmt w:val="decimal"/>
      <w:lvlText w:val="%1"/>
      <w:lvlJc w:val="left"/>
      <w:pPr>
        <w:ind w:left="480" w:hanging="480"/>
      </w:pPr>
      <w:rPr>
        <w:rFonts w:hint="default"/>
      </w:rPr>
    </w:lvl>
    <w:lvl w:ilvl="1">
      <w:start w:val="1"/>
      <w:numFmt w:val="decimal"/>
      <w:pStyle w:val="ListParagraph"/>
      <w:lvlText w:val="%1.%2"/>
      <w:lvlJc w:val="left"/>
      <w:pPr>
        <w:ind w:left="861"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4AA67457"/>
    <w:multiLevelType w:val="hybridMultilevel"/>
    <w:tmpl w:val="EBBE69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4ECD46DA"/>
    <w:multiLevelType w:val="hybridMultilevel"/>
    <w:tmpl w:val="A198F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F811C2"/>
    <w:multiLevelType w:val="hybridMultilevel"/>
    <w:tmpl w:val="E0AEEE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5682F1C"/>
    <w:multiLevelType w:val="multilevel"/>
    <w:tmpl w:val="4378A3B8"/>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4" w15:restartNumberingAfterBreak="0">
    <w:nsid w:val="60EF01EE"/>
    <w:multiLevelType w:val="hybridMultilevel"/>
    <w:tmpl w:val="3EB86FAE"/>
    <w:lvl w:ilvl="0" w:tplc="801081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5D90CB2"/>
    <w:multiLevelType w:val="hybridMultilevel"/>
    <w:tmpl w:val="6F4AD1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60940DA"/>
    <w:multiLevelType w:val="hybridMultilevel"/>
    <w:tmpl w:val="7EE4519C"/>
    <w:lvl w:ilvl="0" w:tplc="0DEC8714">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67085DB0"/>
    <w:multiLevelType w:val="multilevel"/>
    <w:tmpl w:val="2E2E24A8"/>
    <w:lvl w:ilvl="0">
      <w:start w:val="1"/>
      <w:numFmt w:val="decimal"/>
      <w:pStyle w:val="Heading1"/>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8" w15:restartNumberingAfterBreak="0">
    <w:nsid w:val="732D4628"/>
    <w:multiLevelType w:val="hybridMultilevel"/>
    <w:tmpl w:val="7BB07136"/>
    <w:lvl w:ilvl="0" w:tplc="5D3429A0">
      <w:start w:val="1"/>
      <w:numFmt w:val="bullet"/>
      <w:lvlText w:val=""/>
      <w:lvlJc w:val="left"/>
      <w:pPr>
        <w:ind w:left="360" w:hanging="360"/>
      </w:pPr>
      <w:rPr>
        <w:rFonts w:ascii="Symbol" w:hAnsi="Symbol" w:hint="default"/>
        <w:color w:val="7347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BD2332"/>
    <w:multiLevelType w:val="hybridMultilevel"/>
    <w:tmpl w:val="E684F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385F39"/>
    <w:multiLevelType w:val="hybridMultilevel"/>
    <w:tmpl w:val="CCE280C0"/>
    <w:lvl w:ilvl="0" w:tplc="D2861C08">
      <w:start w:val="1"/>
      <w:numFmt w:val="lowerRoman"/>
      <w:lvlText w:val="(%1)"/>
      <w:lvlJc w:val="left"/>
      <w:pPr>
        <w:ind w:left="1800" w:hanging="10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E2E08FB"/>
    <w:multiLevelType w:val="hybridMultilevel"/>
    <w:tmpl w:val="7F569DE2"/>
    <w:lvl w:ilvl="0" w:tplc="B6DEE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EA141C1"/>
    <w:multiLevelType w:val="hybridMultilevel"/>
    <w:tmpl w:val="95B262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63625998">
    <w:abstractNumId w:val="11"/>
  </w:num>
  <w:num w:numId="2" w16cid:durableId="1475759789">
    <w:abstractNumId w:val="21"/>
  </w:num>
  <w:num w:numId="3" w16cid:durableId="2087417612">
    <w:abstractNumId w:val="1"/>
  </w:num>
  <w:num w:numId="4" w16cid:durableId="1521234484">
    <w:abstractNumId w:val="6"/>
  </w:num>
  <w:num w:numId="5" w16cid:durableId="826824733">
    <w:abstractNumId w:val="18"/>
  </w:num>
  <w:num w:numId="6" w16cid:durableId="860319750">
    <w:abstractNumId w:val="3"/>
  </w:num>
  <w:num w:numId="7" w16cid:durableId="345328174">
    <w:abstractNumId w:val="8"/>
  </w:num>
  <w:num w:numId="8" w16cid:durableId="1891189911">
    <w:abstractNumId w:val="5"/>
  </w:num>
  <w:num w:numId="9" w16cid:durableId="1246721905">
    <w:abstractNumId w:val="17"/>
  </w:num>
  <w:num w:numId="10" w16cid:durableId="592671238">
    <w:abstractNumId w:val="9"/>
  </w:num>
  <w:num w:numId="11" w16cid:durableId="9413755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8343142">
    <w:abstractNumId w:val="14"/>
  </w:num>
  <w:num w:numId="13" w16cid:durableId="7318552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6543609">
    <w:abstractNumId w:val="20"/>
  </w:num>
  <w:num w:numId="15" w16cid:durableId="1710647678">
    <w:abstractNumId w:val="12"/>
  </w:num>
  <w:num w:numId="16" w16cid:durableId="470052294">
    <w:abstractNumId w:val="4"/>
  </w:num>
  <w:num w:numId="17" w16cid:durableId="82576892">
    <w:abstractNumId w:val="7"/>
  </w:num>
  <w:num w:numId="18" w16cid:durableId="353043635">
    <w:abstractNumId w:val="16"/>
  </w:num>
  <w:num w:numId="19" w16cid:durableId="164832171">
    <w:abstractNumId w:val="0"/>
  </w:num>
  <w:num w:numId="20" w16cid:durableId="1242641900">
    <w:abstractNumId w:val="13"/>
  </w:num>
  <w:num w:numId="21" w16cid:durableId="1563717402">
    <w:abstractNumId w:val="2"/>
  </w:num>
  <w:num w:numId="22" w16cid:durableId="105320545">
    <w:abstractNumId w:val="9"/>
  </w:num>
  <w:num w:numId="23" w16cid:durableId="651299463">
    <w:abstractNumId w:val="22"/>
  </w:num>
  <w:num w:numId="24" w16cid:durableId="526338458">
    <w:abstractNumId w:val="15"/>
  </w:num>
  <w:num w:numId="25" w16cid:durableId="1830369119">
    <w:abstractNumId w:val="19"/>
  </w:num>
  <w:num w:numId="26" w16cid:durableId="17170462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B2B"/>
    <w:rsid w:val="0000095A"/>
    <w:rsid w:val="00001694"/>
    <w:rsid w:val="00001FCD"/>
    <w:rsid w:val="00002B60"/>
    <w:rsid w:val="00002F15"/>
    <w:rsid w:val="00003BAC"/>
    <w:rsid w:val="00003C0E"/>
    <w:rsid w:val="00004174"/>
    <w:rsid w:val="00004C40"/>
    <w:rsid w:val="00005B07"/>
    <w:rsid w:val="0000638F"/>
    <w:rsid w:val="00006E25"/>
    <w:rsid w:val="00007AAF"/>
    <w:rsid w:val="0001151A"/>
    <w:rsid w:val="000129CD"/>
    <w:rsid w:val="000132A9"/>
    <w:rsid w:val="00013C47"/>
    <w:rsid w:val="00013EF7"/>
    <w:rsid w:val="000154C5"/>
    <w:rsid w:val="00016606"/>
    <w:rsid w:val="00016D75"/>
    <w:rsid w:val="00017B09"/>
    <w:rsid w:val="00017DE3"/>
    <w:rsid w:val="00020442"/>
    <w:rsid w:val="00021C61"/>
    <w:rsid w:val="00022075"/>
    <w:rsid w:val="000231B3"/>
    <w:rsid w:val="000232BE"/>
    <w:rsid w:val="0002641F"/>
    <w:rsid w:val="00027212"/>
    <w:rsid w:val="0002748B"/>
    <w:rsid w:val="000276BB"/>
    <w:rsid w:val="00027D4B"/>
    <w:rsid w:val="000301E6"/>
    <w:rsid w:val="000309EE"/>
    <w:rsid w:val="00031234"/>
    <w:rsid w:val="0003178D"/>
    <w:rsid w:val="00031BD9"/>
    <w:rsid w:val="000323E0"/>
    <w:rsid w:val="000326F2"/>
    <w:rsid w:val="000327B2"/>
    <w:rsid w:val="0003413E"/>
    <w:rsid w:val="00034191"/>
    <w:rsid w:val="0003625B"/>
    <w:rsid w:val="00036D1A"/>
    <w:rsid w:val="00036E88"/>
    <w:rsid w:val="00041097"/>
    <w:rsid w:val="00041FD6"/>
    <w:rsid w:val="00043E2C"/>
    <w:rsid w:val="00044811"/>
    <w:rsid w:val="00045E62"/>
    <w:rsid w:val="00046705"/>
    <w:rsid w:val="000467D8"/>
    <w:rsid w:val="000477D4"/>
    <w:rsid w:val="00050D10"/>
    <w:rsid w:val="0005208B"/>
    <w:rsid w:val="0005293F"/>
    <w:rsid w:val="00054122"/>
    <w:rsid w:val="000553A8"/>
    <w:rsid w:val="000557D9"/>
    <w:rsid w:val="00055967"/>
    <w:rsid w:val="00055CA5"/>
    <w:rsid w:val="000566F6"/>
    <w:rsid w:val="00056E5D"/>
    <w:rsid w:val="00056EC0"/>
    <w:rsid w:val="00060900"/>
    <w:rsid w:val="00060B7E"/>
    <w:rsid w:val="00061537"/>
    <w:rsid w:val="00061915"/>
    <w:rsid w:val="00061B1B"/>
    <w:rsid w:val="0006249C"/>
    <w:rsid w:val="00063BD4"/>
    <w:rsid w:val="00064DF7"/>
    <w:rsid w:val="00066EB8"/>
    <w:rsid w:val="0006746D"/>
    <w:rsid w:val="00070272"/>
    <w:rsid w:val="000703C4"/>
    <w:rsid w:val="00070458"/>
    <w:rsid w:val="0007067F"/>
    <w:rsid w:val="00070930"/>
    <w:rsid w:val="00070971"/>
    <w:rsid w:val="00072E5C"/>
    <w:rsid w:val="0007321A"/>
    <w:rsid w:val="00073961"/>
    <w:rsid w:val="00073F46"/>
    <w:rsid w:val="0007417E"/>
    <w:rsid w:val="00075B57"/>
    <w:rsid w:val="0007603E"/>
    <w:rsid w:val="00076A86"/>
    <w:rsid w:val="000774DE"/>
    <w:rsid w:val="000800AB"/>
    <w:rsid w:val="00080985"/>
    <w:rsid w:val="000809BC"/>
    <w:rsid w:val="00081F9B"/>
    <w:rsid w:val="00082C75"/>
    <w:rsid w:val="000832F1"/>
    <w:rsid w:val="00083916"/>
    <w:rsid w:val="000839F2"/>
    <w:rsid w:val="00083A88"/>
    <w:rsid w:val="00084ADF"/>
    <w:rsid w:val="00085869"/>
    <w:rsid w:val="00086903"/>
    <w:rsid w:val="00086F08"/>
    <w:rsid w:val="0008795E"/>
    <w:rsid w:val="000879F0"/>
    <w:rsid w:val="00087B9E"/>
    <w:rsid w:val="000900CA"/>
    <w:rsid w:val="000907AF"/>
    <w:rsid w:val="00091634"/>
    <w:rsid w:val="00092CEF"/>
    <w:rsid w:val="00093077"/>
    <w:rsid w:val="00093158"/>
    <w:rsid w:val="000931CF"/>
    <w:rsid w:val="000944A5"/>
    <w:rsid w:val="00095053"/>
    <w:rsid w:val="00095F84"/>
    <w:rsid w:val="000961AC"/>
    <w:rsid w:val="000966BA"/>
    <w:rsid w:val="00096C14"/>
    <w:rsid w:val="000A10EF"/>
    <w:rsid w:val="000A1C71"/>
    <w:rsid w:val="000A2452"/>
    <w:rsid w:val="000A2EDB"/>
    <w:rsid w:val="000A3E7E"/>
    <w:rsid w:val="000A4949"/>
    <w:rsid w:val="000A4E1D"/>
    <w:rsid w:val="000A573B"/>
    <w:rsid w:val="000B2E76"/>
    <w:rsid w:val="000B3135"/>
    <w:rsid w:val="000B5292"/>
    <w:rsid w:val="000B5BFD"/>
    <w:rsid w:val="000B5CC5"/>
    <w:rsid w:val="000B6559"/>
    <w:rsid w:val="000B7626"/>
    <w:rsid w:val="000C099E"/>
    <w:rsid w:val="000C0F0B"/>
    <w:rsid w:val="000C2107"/>
    <w:rsid w:val="000C2E83"/>
    <w:rsid w:val="000C3A6F"/>
    <w:rsid w:val="000C3B4C"/>
    <w:rsid w:val="000C41EB"/>
    <w:rsid w:val="000C43DB"/>
    <w:rsid w:val="000C4993"/>
    <w:rsid w:val="000C4FCC"/>
    <w:rsid w:val="000C5966"/>
    <w:rsid w:val="000C5BE9"/>
    <w:rsid w:val="000C5C86"/>
    <w:rsid w:val="000C644C"/>
    <w:rsid w:val="000C6CC2"/>
    <w:rsid w:val="000C785D"/>
    <w:rsid w:val="000C7EE8"/>
    <w:rsid w:val="000D04D5"/>
    <w:rsid w:val="000D066A"/>
    <w:rsid w:val="000D179C"/>
    <w:rsid w:val="000D1A6F"/>
    <w:rsid w:val="000D1D0C"/>
    <w:rsid w:val="000D2046"/>
    <w:rsid w:val="000D25F0"/>
    <w:rsid w:val="000D278F"/>
    <w:rsid w:val="000D2910"/>
    <w:rsid w:val="000D45F0"/>
    <w:rsid w:val="000D514A"/>
    <w:rsid w:val="000D528C"/>
    <w:rsid w:val="000D6487"/>
    <w:rsid w:val="000D6614"/>
    <w:rsid w:val="000D6829"/>
    <w:rsid w:val="000D7CAA"/>
    <w:rsid w:val="000E036E"/>
    <w:rsid w:val="000E1F61"/>
    <w:rsid w:val="000E2232"/>
    <w:rsid w:val="000E33DE"/>
    <w:rsid w:val="000E3DB7"/>
    <w:rsid w:val="000E4039"/>
    <w:rsid w:val="000E505C"/>
    <w:rsid w:val="000E60BF"/>
    <w:rsid w:val="000E6EAD"/>
    <w:rsid w:val="000E7F0C"/>
    <w:rsid w:val="000F0B7A"/>
    <w:rsid w:val="000F0CC7"/>
    <w:rsid w:val="000F4AD2"/>
    <w:rsid w:val="000F5EA0"/>
    <w:rsid w:val="000F62A0"/>
    <w:rsid w:val="000F6825"/>
    <w:rsid w:val="000F7735"/>
    <w:rsid w:val="00100F9A"/>
    <w:rsid w:val="001011CF"/>
    <w:rsid w:val="00101DDB"/>
    <w:rsid w:val="00102054"/>
    <w:rsid w:val="00102B47"/>
    <w:rsid w:val="00102D7F"/>
    <w:rsid w:val="00105A5D"/>
    <w:rsid w:val="00105A87"/>
    <w:rsid w:val="001066A7"/>
    <w:rsid w:val="00106B88"/>
    <w:rsid w:val="001075E0"/>
    <w:rsid w:val="00110B1C"/>
    <w:rsid w:val="001112C2"/>
    <w:rsid w:val="001134CA"/>
    <w:rsid w:val="00114EE9"/>
    <w:rsid w:val="001159B3"/>
    <w:rsid w:val="00116622"/>
    <w:rsid w:val="00116B5C"/>
    <w:rsid w:val="00116E7A"/>
    <w:rsid w:val="00117073"/>
    <w:rsid w:val="00117584"/>
    <w:rsid w:val="00117B29"/>
    <w:rsid w:val="00117C17"/>
    <w:rsid w:val="0012035F"/>
    <w:rsid w:val="001208C2"/>
    <w:rsid w:val="00121D3D"/>
    <w:rsid w:val="00121DFC"/>
    <w:rsid w:val="0012382B"/>
    <w:rsid w:val="001265BB"/>
    <w:rsid w:val="00126D0B"/>
    <w:rsid w:val="00126F88"/>
    <w:rsid w:val="00127808"/>
    <w:rsid w:val="00130132"/>
    <w:rsid w:val="00130900"/>
    <w:rsid w:val="001311DD"/>
    <w:rsid w:val="00131E73"/>
    <w:rsid w:val="001324EE"/>
    <w:rsid w:val="00132862"/>
    <w:rsid w:val="0013368D"/>
    <w:rsid w:val="001336C7"/>
    <w:rsid w:val="001338FE"/>
    <w:rsid w:val="0013391B"/>
    <w:rsid w:val="00133D02"/>
    <w:rsid w:val="0013465F"/>
    <w:rsid w:val="00135A94"/>
    <w:rsid w:val="00135C69"/>
    <w:rsid w:val="0013708A"/>
    <w:rsid w:val="00140B81"/>
    <w:rsid w:val="00140C5A"/>
    <w:rsid w:val="00140E63"/>
    <w:rsid w:val="001411C5"/>
    <w:rsid w:val="00141DF8"/>
    <w:rsid w:val="00142A93"/>
    <w:rsid w:val="00143DA4"/>
    <w:rsid w:val="001441DD"/>
    <w:rsid w:val="00144246"/>
    <w:rsid w:val="0014462B"/>
    <w:rsid w:val="0014560F"/>
    <w:rsid w:val="0014645D"/>
    <w:rsid w:val="0014693E"/>
    <w:rsid w:val="00146C33"/>
    <w:rsid w:val="00147114"/>
    <w:rsid w:val="00150203"/>
    <w:rsid w:val="00150483"/>
    <w:rsid w:val="001510FA"/>
    <w:rsid w:val="00151B98"/>
    <w:rsid w:val="00154F1C"/>
    <w:rsid w:val="001556EF"/>
    <w:rsid w:val="001571E8"/>
    <w:rsid w:val="00157CE1"/>
    <w:rsid w:val="00160573"/>
    <w:rsid w:val="001621D6"/>
    <w:rsid w:val="00163F92"/>
    <w:rsid w:val="00165AEA"/>
    <w:rsid w:val="00165CB5"/>
    <w:rsid w:val="00165ED2"/>
    <w:rsid w:val="00165FD3"/>
    <w:rsid w:val="001666D5"/>
    <w:rsid w:val="00167061"/>
    <w:rsid w:val="00167762"/>
    <w:rsid w:val="001706A2"/>
    <w:rsid w:val="00170844"/>
    <w:rsid w:val="00170CAB"/>
    <w:rsid w:val="00173786"/>
    <w:rsid w:val="00173C2D"/>
    <w:rsid w:val="00173CF4"/>
    <w:rsid w:val="0017438D"/>
    <w:rsid w:val="00174CCF"/>
    <w:rsid w:val="00174E99"/>
    <w:rsid w:val="001752C3"/>
    <w:rsid w:val="00175787"/>
    <w:rsid w:val="00176797"/>
    <w:rsid w:val="00176A33"/>
    <w:rsid w:val="00177156"/>
    <w:rsid w:val="0018040F"/>
    <w:rsid w:val="001818E6"/>
    <w:rsid w:val="00181DD7"/>
    <w:rsid w:val="00183702"/>
    <w:rsid w:val="00183CDC"/>
    <w:rsid w:val="00184356"/>
    <w:rsid w:val="00184B16"/>
    <w:rsid w:val="00184BBB"/>
    <w:rsid w:val="0018554C"/>
    <w:rsid w:val="0018745E"/>
    <w:rsid w:val="001875BC"/>
    <w:rsid w:val="00187865"/>
    <w:rsid w:val="00187F17"/>
    <w:rsid w:val="00190ECE"/>
    <w:rsid w:val="00192324"/>
    <w:rsid w:val="001929D2"/>
    <w:rsid w:val="00192B28"/>
    <w:rsid w:val="00192FE3"/>
    <w:rsid w:val="00194EBC"/>
    <w:rsid w:val="00195E94"/>
    <w:rsid w:val="00197025"/>
    <w:rsid w:val="001972A1"/>
    <w:rsid w:val="00197F55"/>
    <w:rsid w:val="001A026F"/>
    <w:rsid w:val="001A216C"/>
    <w:rsid w:val="001A2895"/>
    <w:rsid w:val="001A2FD4"/>
    <w:rsid w:val="001A3290"/>
    <w:rsid w:val="001A4450"/>
    <w:rsid w:val="001A4767"/>
    <w:rsid w:val="001A4F5B"/>
    <w:rsid w:val="001A585B"/>
    <w:rsid w:val="001A5D31"/>
    <w:rsid w:val="001A5E86"/>
    <w:rsid w:val="001A6108"/>
    <w:rsid w:val="001A67E4"/>
    <w:rsid w:val="001A7579"/>
    <w:rsid w:val="001A7F60"/>
    <w:rsid w:val="001B06A4"/>
    <w:rsid w:val="001B0BBF"/>
    <w:rsid w:val="001B205C"/>
    <w:rsid w:val="001B20B1"/>
    <w:rsid w:val="001B24BF"/>
    <w:rsid w:val="001B3998"/>
    <w:rsid w:val="001B3C44"/>
    <w:rsid w:val="001B4C06"/>
    <w:rsid w:val="001B4E3C"/>
    <w:rsid w:val="001B5545"/>
    <w:rsid w:val="001B6F4A"/>
    <w:rsid w:val="001C048D"/>
    <w:rsid w:val="001C13A2"/>
    <w:rsid w:val="001C1EF4"/>
    <w:rsid w:val="001C2A8D"/>
    <w:rsid w:val="001C2B7C"/>
    <w:rsid w:val="001C2FCB"/>
    <w:rsid w:val="001C344E"/>
    <w:rsid w:val="001C34EA"/>
    <w:rsid w:val="001C576A"/>
    <w:rsid w:val="001C5ABE"/>
    <w:rsid w:val="001C5D89"/>
    <w:rsid w:val="001C75F8"/>
    <w:rsid w:val="001C77F6"/>
    <w:rsid w:val="001D05E5"/>
    <w:rsid w:val="001D0655"/>
    <w:rsid w:val="001D0A0B"/>
    <w:rsid w:val="001D0FB9"/>
    <w:rsid w:val="001D13B2"/>
    <w:rsid w:val="001D174A"/>
    <w:rsid w:val="001D1E6E"/>
    <w:rsid w:val="001D1F57"/>
    <w:rsid w:val="001D2A04"/>
    <w:rsid w:val="001D5C23"/>
    <w:rsid w:val="001D62FD"/>
    <w:rsid w:val="001D64FF"/>
    <w:rsid w:val="001D6704"/>
    <w:rsid w:val="001E0225"/>
    <w:rsid w:val="001E0AFB"/>
    <w:rsid w:val="001E14FB"/>
    <w:rsid w:val="001E15A0"/>
    <w:rsid w:val="001E2D8E"/>
    <w:rsid w:val="001E3F2A"/>
    <w:rsid w:val="001E4A5E"/>
    <w:rsid w:val="001E6566"/>
    <w:rsid w:val="001E73A7"/>
    <w:rsid w:val="001E77AB"/>
    <w:rsid w:val="001E79A9"/>
    <w:rsid w:val="001F0010"/>
    <w:rsid w:val="001F02FA"/>
    <w:rsid w:val="001F10CD"/>
    <w:rsid w:val="001F409E"/>
    <w:rsid w:val="001F5114"/>
    <w:rsid w:val="001F53BB"/>
    <w:rsid w:val="001F53CC"/>
    <w:rsid w:val="001F5AA3"/>
    <w:rsid w:val="001F5EC3"/>
    <w:rsid w:val="001F6244"/>
    <w:rsid w:val="001F667A"/>
    <w:rsid w:val="001F6ABD"/>
    <w:rsid w:val="001F757A"/>
    <w:rsid w:val="001F7B55"/>
    <w:rsid w:val="002003FD"/>
    <w:rsid w:val="0020070C"/>
    <w:rsid w:val="002009F5"/>
    <w:rsid w:val="002012DD"/>
    <w:rsid w:val="0020178E"/>
    <w:rsid w:val="00201905"/>
    <w:rsid w:val="002026D7"/>
    <w:rsid w:val="00202F94"/>
    <w:rsid w:val="002033B3"/>
    <w:rsid w:val="002037A5"/>
    <w:rsid w:val="00203F09"/>
    <w:rsid w:val="002049D5"/>
    <w:rsid w:val="00204ADF"/>
    <w:rsid w:val="00204E1D"/>
    <w:rsid w:val="00206DF8"/>
    <w:rsid w:val="00207CF2"/>
    <w:rsid w:val="00210B29"/>
    <w:rsid w:val="00212F67"/>
    <w:rsid w:val="00213081"/>
    <w:rsid w:val="00213B8A"/>
    <w:rsid w:val="00213D6D"/>
    <w:rsid w:val="00213FDD"/>
    <w:rsid w:val="00214253"/>
    <w:rsid w:val="002143FA"/>
    <w:rsid w:val="00214C5E"/>
    <w:rsid w:val="0021652A"/>
    <w:rsid w:val="002202E1"/>
    <w:rsid w:val="002206FC"/>
    <w:rsid w:val="00220B4B"/>
    <w:rsid w:val="00224140"/>
    <w:rsid w:val="00224380"/>
    <w:rsid w:val="0022442D"/>
    <w:rsid w:val="002248FB"/>
    <w:rsid w:val="002256B5"/>
    <w:rsid w:val="0022574B"/>
    <w:rsid w:val="00225FC8"/>
    <w:rsid w:val="00225FF0"/>
    <w:rsid w:val="00226422"/>
    <w:rsid w:val="002268CC"/>
    <w:rsid w:val="0023119E"/>
    <w:rsid w:val="002311E2"/>
    <w:rsid w:val="00231446"/>
    <w:rsid w:val="0023161A"/>
    <w:rsid w:val="00232905"/>
    <w:rsid w:val="00233189"/>
    <w:rsid w:val="00233622"/>
    <w:rsid w:val="002336F4"/>
    <w:rsid w:val="00233943"/>
    <w:rsid w:val="002345AB"/>
    <w:rsid w:val="002351CB"/>
    <w:rsid w:val="00236010"/>
    <w:rsid w:val="002363EC"/>
    <w:rsid w:val="00237CEE"/>
    <w:rsid w:val="002403EE"/>
    <w:rsid w:val="00240582"/>
    <w:rsid w:val="00240608"/>
    <w:rsid w:val="0024090F"/>
    <w:rsid w:val="002428EC"/>
    <w:rsid w:val="00242AB6"/>
    <w:rsid w:val="00242D91"/>
    <w:rsid w:val="00242F13"/>
    <w:rsid w:val="002443FF"/>
    <w:rsid w:val="0024583E"/>
    <w:rsid w:val="00245AB1"/>
    <w:rsid w:val="00247740"/>
    <w:rsid w:val="00250431"/>
    <w:rsid w:val="00251989"/>
    <w:rsid w:val="00251999"/>
    <w:rsid w:val="00252F94"/>
    <w:rsid w:val="00255E76"/>
    <w:rsid w:val="00256FC8"/>
    <w:rsid w:val="002576E6"/>
    <w:rsid w:val="0026022F"/>
    <w:rsid w:val="00260A10"/>
    <w:rsid w:val="00260C49"/>
    <w:rsid w:val="00261361"/>
    <w:rsid w:val="00261D5E"/>
    <w:rsid w:val="00261DA9"/>
    <w:rsid w:val="00262033"/>
    <w:rsid w:val="002625AA"/>
    <w:rsid w:val="00262C54"/>
    <w:rsid w:val="002654A3"/>
    <w:rsid w:val="0026554C"/>
    <w:rsid w:val="00265599"/>
    <w:rsid w:val="0026603B"/>
    <w:rsid w:val="00267499"/>
    <w:rsid w:val="002677BB"/>
    <w:rsid w:val="0027043D"/>
    <w:rsid w:val="0027259B"/>
    <w:rsid w:val="00273ADE"/>
    <w:rsid w:val="00273F36"/>
    <w:rsid w:val="002741BB"/>
    <w:rsid w:val="00274E1D"/>
    <w:rsid w:val="00275918"/>
    <w:rsid w:val="00281298"/>
    <w:rsid w:val="002814CF"/>
    <w:rsid w:val="00281AA5"/>
    <w:rsid w:val="0028268D"/>
    <w:rsid w:val="00282C6E"/>
    <w:rsid w:val="0028333E"/>
    <w:rsid w:val="00283450"/>
    <w:rsid w:val="002834DD"/>
    <w:rsid w:val="00285E2D"/>
    <w:rsid w:val="00285EEA"/>
    <w:rsid w:val="00286AFA"/>
    <w:rsid w:val="00287052"/>
    <w:rsid w:val="002871C4"/>
    <w:rsid w:val="00287726"/>
    <w:rsid w:val="00287789"/>
    <w:rsid w:val="00287891"/>
    <w:rsid w:val="00287911"/>
    <w:rsid w:val="00287A8A"/>
    <w:rsid w:val="002903CF"/>
    <w:rsid w:val="002905D8"/>
    <w:rsid w:val="0029063F"/>
    <w:rsid w:val="002907A9"/>
    <w:rsid w:val="00290B7E"/>
    <w:rsid w:val="0029111A"/>
    <w:rsid w:val="00293444"/>
    <w:rsid w:val="0029363A"/>
    <w:rsid w:val="00293BF0"/>
    <w:rsid w:val="002943B9"/>
    <w:rsid w:val="0029447C"/>
    <w:rsid w:val="00294BE0"/>
    <w:rsid w:val="002959DC"/>
    <w:rsid w:val="002966BB"/>
    <w:rsid w:val="0029694E"/>
    <w:rsid w:val="00297C9E"/>
    <w:rsid w:val="00297D79"/>
    <w:rsid w:val="002A0456"/>
    <w:rsid w:val="002A0A11"/>
    <w:rsid w:val="002A0FFB"/>
    <w:rsid w:val="002A12B5"/>
    <w:rsid w:val="002A1683"/>
    <w:rsid w:val="002A6031"/>
    <w:rsid w:val="002A69EC"/>
    <w:rsid w:val="002A6EAA"/>
    <w:rsid w:val="002A6F22"/>
    <w:rsid w:val="002A7227"/>
    <w:rsid w:val="002A75BB"/>
    <w:rsid w:val="002B0AD2"/>
    <w:rsid w:val="002B1272"/>
    <w:rsid w:val="002B1802"/>
    <w:rsid w:val="002B42CA"/>
    <w:rsid w:val="002B4331"/>
    <w:rsid w:val="002B4486"/>
    <w:rsid w:val="002B4BC8"/>
    <w:rsid w:val="002B55A1"/>
    <w:rsid w:val="002B5993"/>
    <w:rsid w:val="002B6684"/>
    <w:rsid w:val="002B66D4"/>
    <w:rsid w:val="002B6748"/>
    <w:rsid w:val="002B74B3"/>
    <w:rsid w:val="002B7921"/>
    <w:rsid w:val="002C0567"/>
    <w:rsid w:val="002C17DF"/>
    <w:rsid w:val="002C1CF7"/>
    <w:rsid w:val="002C1F40"/>
    <w:rsid w:val="002C2872"/>
    <w:rsid w:val="002C342F"/>
    <w:rsid w:val="002C4255"/>
    <w:rsid w:val="002C6D3F"/>
    <w:rsid w:val="002C6F45"/>
    <w:rsid w:val="002D01F6"/>
    <w:rsid w:val="002D04DF"/>
    <w:rsid w:val="002D17D3"/>
    <w:rsid w:val="002D2AFB"/>
    <w:rsid w:val="002D2E8B"/>
    <w:rsid w:val="002D3094"/>
    <w:rsid w:val="002D5013"/>
    <w:rsid w:val="002D5197"/>
    <w:rsid w:val="002D6740"/>
    <w:rsid w:val="002D68F1"/>
    <w:rsid w:val="002D7563"/>
    <w:rsid w:val="002D75D1"/>
    <w:rsid w:val="002D7DDD"/>
    <w:rsid w:val="002D7E6C"/>
    <w:rsid w:val="002E047D"/>
    <w:rsid w:val="002E098E"/>
    <w:rsid w:val="002E0A65"/>
    <w:rsid w:val="002E22BF"/>
    <w:rsid w:val="002E245E"/>
    <w:rsid w:val="002E2582"/>
    <w:rsid w:val="002E2BCA"/>
    <w:rsid w:val="002E3E81"/>
    <w:rsid w:val="002E4144"/>
    <w:rsid w:val="002E44A1"/>
    <w:rsid w:val="002E4BFA"/>
    <w:rsid w:val="002E5782"/>
    <w:rsid w:val="002E65E1"/>
    <w:rsid w:val="002E6D21"/>
    <w:rsid w:val="002E7BB4"/>
    <w:rsid w:val="002F0613"/>
    <w:rsid w:val="002F3B52"/>
    <w:rsid w:val="002F4CD8"/>
    <w:rsid w:val="002F5ABA"/>
    <w:rsid w:val="002F60BD"/>
    <w:rsid w:val="002F6A2B"/>
    <w:rsid w:val="002F6C74"/>
    <w:rsid w:val="002F788F"/>
    <w:rsid w:val="002F7FAE"/>
    <w:rsid w:val="00300D81"/>
    <w:rsid w:val="00300F09"/>
    <w:rsid w:val="00303BFF"/>
    <w:rsid w:val="003048BE"/>
    <w:rsid w:val="003056FB"/>
    <w:rsid w:val="003058DD"/>
    <w:rsid w:val="00306317"/>
    <w:rsid w:val="00307369"/>
    <w:rsid w:val="00307AA6"/>
    <w:rsid w:val="00307E0C"/>
    <w:rsid w:val="003104C0"/>
    <w:rsid w:val="0031459A"/>
    <w:rsid w:val="00315671"/>
    <w:rsid w:val="00315855"/>
    <w:rsid w:val="0031688A"/>
    <w:rsid w:val="00316EED"/>
    <w:rsid w:val="0031700E"/>
    <w:rsid w:val="00320C46"/>
    <w:rsid w:val="00320D3E"/>
    <w:rsid w:val="00321EA6"/>
    <w:rsid w:val="003225AF"/>
    <w:rsid w:val="00322DEF"/>
    <w:rsid w:val="003232ED"/>
    <w:rsid w:val="00323D83"/>
    <w:rsid w:val="00324F2A"/>
    <w:rsid w:val="00325593"/>
    <w:rsid w:val="00326C65"/>
    <w:rsid w:val="00327533"/>
    <w:rsid w:val="00327BF4"/>
    <w:rsid w:val="00330AD5"/>
    <w:rsid w:val="003317B4"/>
    <w:rsid w:val="00331BAF"/>
    <w:rsid w:val="00331C61"/>
    <w:rsid w:val="003321AF"/>
    <w:rsid w:val="003329B0"/>
    <w:rsid w:val="00332E01"/>
    <w:rsid w:val="00332FA7"/>
    <w:rsid w:val="0033353F"/>
    <w:rsid w:val="00335CAF"/>
    <w:rsid w:val="003365EA"/>
    <w:rsid w:val="00337440"/>
    <w:rsid w:val="003374BD"/>
    <w:rsid w:val="003374F6"/>
    <w:rsid w:val="003375C7"/>
    <w:rsid w:val="003378E4"/>
    <w:rsid w:val="00337C43"/>
    <w:rsid w:val="00341921"/>
    <w:rsid w:val="0034198A"/>
    <w:rsid w:val="00341BFE"/>
    <w:rsid w:val="003421BD"/>
    <w:rsid w:val="00342CFA"/>
    <w:rsid w:val="00342ED5"/>
    <w:rsid w:val="00345B60"/>
    <w:rsid w:val="00346E47"/>
    <w:rsid w:val="003472A2"/>
    <w:rsid w:val="00347B88"/>
    <w:rsid w:val="0035084C"/>
    <w:rsid w:val="00351FD5"/>
    <w:rsid w:val="0035284A"/>
    <w:rsid w:val="00352AB7"/>
    <w:rsid w:val="003531EF"/>
    <w:rsid w:val="00353EBF"/>
    <w:rsid w:val="00354B7F"/>
    <w:rsid w:val="00355A0F"/>
    <w:rsid w:val="00355CBD"/>
    <w:rsid w:val="00355E34"/>
    <w:rsid w:val="003606D1"/>
    <w:rsid w:val="003608BC"/>
    <w:rsid w:val="00360A1B"/>
    <w:rsid w:val="00360BDC"/>
    <w:rsid w:val="003616C4"/>
    <w:rsid w:val="003624F1"/>
    <w:rsid w:val="00365B0E"/>
    <w:rsid w:val="00365C85"/>
    <w:rsid w:val="00367CCA"/>
    <w:rsid w:val="00371F67"/>
    <w:rsid w:val="0037446F"/>
    <w:rsid w:val="0037624D"/>
    <w:rsid w:val="003764C5"/>
    <w:rsid w:val="00377165"/>
    <w:rsid w:val="0037728C"/>
    <w:rsid w:val="00377455"/>
    <w:rsid w:val="00380962"/>
    <w:rsid w:val="0038339C"/>
    <w:rsid w:val="003850E0"/>
    <w:rsid w:val="00387D3B"/>
    <w:rsid w:val="00390B40"/>
    <w:rsid w:val="0039111D"/>
    <w:rsid w:val="003918A1"/>
    <w:rsid w:val="00391ABD"/>
    <w:rsid w:val="00394387"/>
    <w:rsid w:val="003958EB"/>
    <w:rsid w:val="0039613E"/>
    <w:rsid w:val="0039673A"/>
    <w:rsid w:val="003A03FE"/>
    <w:rsid w:val="003A1B5F"/>
    <w:rsid w:val="003A22BF"/>
    <w:rsid w:val="003A4F43"/>
    <w:rsid w:val="003A51BD"/>
    <w:rsid w:val="003A6076"/>
    <w:rsid w:val="003A6486"/>
    <w:rsid w:val="003A704D"/>
    <w:rsid w:val="003A7E54"/>
    <w:rsid w:val="003B11D7"/>
    <w:rsid w:val="003B3063"/>
    <w:rsid w:val="003B3189"/>
    <w:rsid w:val="003B407C"/>
    <w:rsid w:val="003B5211"/>
    <w:rsid w:val="003B7026"/>
    <w:rsid w:val="003B7D0E"/>
    <w:rsid w:val="003B7FD9"/>
    <w:rsid w:val="003C0751"/>
    <w:rsid w:val="003C0CA5"/>
    <w:rsid w:val="003C1142"/>
    <w:rsid w:val="003C1229"/>
    <w:rsid w:val="003C18C8"/>
    <w:rsid w:val="003C3837"/>
    <w:rsid w:val="003C44B0"/>
    <w:rsid w:val="003C4E25"/>
    <w:rsid w:val="003C5912"/>
    <w:rsid w:val="003C59E1"/>
    <w:rsid w:val="003C5FD9"/>
    <w:rsid w:val="003D09D2"/>
    <w:rsid w:val="003D0EB5"/>
    <w:rsid w:val="003D2A76"/>
    <w:rsid w:val="003D2AFD"/>
    <w:rsid w:val="003D4491"/>
    <w:rsid w:val="003D51CE"/>
    <w:rsid w:val="003D69A8"/>
    <w:rsid w:val="003D6D93"/>
    <w:rsid w:val="003D6F69"/>
    <w:rsid w:val="003D70C7"/>
    <w:rsid w:val="003D742A"/>
    <w:rsid w:val="003D762F"/>
    <w:rsid w:val="003D7AFF"/>
    <w:rsid w:val="003D7BC7"/>
    <w:rsid w:val="003E0068"/>
    <w:rsid w:val="003E1987"/>
    <w:rsid w:val="003E3451"/>
    <w:rsid w:val="003E45AB"/>
    <w:rsid w:val="003E51C9"/>
    <w:rsid w:val="003E7413"/>
    <w:rsid w:val="003E7F94"/>
    <w:rsid w:val="003F0212"/>
    <w:rsid w:val="003F150C"/>
    <w:rsid w:val="003F1CAA"/>
    <w:rsid w:val="003F26E7"/>
    <w:rsid w:val="003F289A"/>
    <w:rsid w:val="003F2918"/>
    <w:rsid w:val="003F3F8A"/>
    <w:rsid w:val="003F434C"/>
    <w:rsid w:val="003F4CF2"/>
    <w:rsid w:val="003F512E"/>
    <w:rsid w:val="003F5412"/>
    <w:rsid w:val="003F6ADC"/>
    <w:rsid w:val="003F76CE"/>
    <w:rsid w:val="003F7EF1"/>
    <w:rsid w:val="00401411"/>
    <w:rsid w:val="00401E19"/>
    <w:rsid w:val="00402001"/>
    <w:rsid w:val="0040244F"/>
    <w:rsid w:val="00403472"/>
    <w:rsid w:val="004044A7"/>
    <w:rsid w:val="00404C3E"/>
    <w:rsid w:val="0040515C"/>
    <w:rsid w:val="0040659A"/>
    <w:rsid w:val="00406E4D"/>
    <w:rsid w:val="00406F51"/>
    <w:rsid w:val="00407A19"/>
    <w:rsid w:val="004101A0"/>
    <w:rsid w:val="004107F7"/>
    <w:rsid w:val="004113D3"/>
    <w:rsid w:val="00412F74"/>
    <w:rsid w:val="0041383D"/>
    <w:rsid w:val="00413A8E"/>
    <w:rsid w:val="00413BC4"/>
    <w:rsid w:val="00413BE3"/>
    <w:rsid w:val="00414E01"/>
    <w:rsid w:val="004154EF"/>
    <w:rsid w:val="0041560F"/>
    <w:rsid w:val="00415E8A"/>
    <w:rsid w:val="00416234"/>
    <w:rsid w:val="0041630F"/>
    <w:rsid w:val="00416DB8"/>
    <w:rsid w:val="0041766D"/>
    <w:rsid w:val="004179C4"/>
    <w:rsid w:val="00420050"/>
    <w:rsid w:val="00420D07"/>
    <w:rsid w:val="00422A28"/>
    <w:rsid w:val="004239F0"/>
    <w:rsid w:val="00423EAC"/>
    <w:rsid w:val="0042487A"/>
    <w:rsid w:val="00424AEB"/>
    <w:rsid w:val="00425ED9"/>
    <w:rsid w:val="00426232"/>
    <w:rsid w:val="004277DF"/>
    <w:rsid w:val="004304BD"/>
    <w:rsid w:val="00430585"/>
    <w:rsid w:val="00430AA6"/>
    <w:rsid w:val="004319C3"/>
    <w:rsid w:val="00432878"/>
    <w:rsid w:val="0043468F"/>
    <w:rsid w:val="0043741E"/>
    <w:rsid w:val="004408A5"/>
    <w:rsid w:val="00441AF2"/>
    <w:rsid w:val="00441EE5"/>
    <w:rsid w:val="00442348"/>
    <w:rsid w:val="004430FF"/>
    <w:rsid w:val="00443DFD"/>
    <w:rsid w:val="00444182"/>
    <w:rsid w:val="00444446"/>
    <w:rsid w:val="00444F6E"/>
    <w:rsid w:val="004457C2"/>
    <w:rsid w:val="0044588F"/>
    <w:rsid w:val="004460D4"/>
    <w:rsid w:val="00446623"/>
    <w:rsid w:val="00447B07"/>
    <w:rsid w:val="00450847"/>
    <w:rsid w:val="004524F3"/>
    <w:rsid w:val="00452509"/>
    <w:rsid w:val="00452917"/>
    <w:rsid w:val="004532D9"/>
    <w:rsid w:val="00453FC9"/>
    <w:rsid w:val="004545D8"/>
    <w:rsid w:val="00454D05"/>
    <w:rsid w:val="004551DF"/>
    <w:rsid w:val="0045596C"/>
    <w:rsid w:val="00455B5C"/>
    <w:rsid w:val="0045626E"/>
    <w:rsid w:val="0045639B"/>
    <w:rsid w:val="00456D97"/>
    <w:rsid w:val="00457C01"/>
    <w:rsid w:val="00457D7D"/>
    <w:rsid w:val="00460038"/>
    <w:rsid w:val="00460CBD"/>
    <w:rsid w:val="0046296F"/>
    <w:rsid w:val="00462AC1"/>
    <w:rsid w:val="00463D6B"/>
    <w:rsid w:val="00464B01"/>
    <w:rsid w:val="00465D41"/>
    <w:rsid w:val="0046678B"/>
    <w:rsid w:val="00466837"/>
    <w:rsid w:val="00466A2E"/>
    <w:rsid w:val="004672AC"/>
    <w:rsid w:val="004706D7"/>
    <w:rsid w:val="00471398"/>
    <w:rsid w:val="004714DF"/>
    <w:rsid w:val="0047193C"/>
    <w:rsid w:val="004728CE"/>
    <w:rsid w:val="00474F68"/>
    <w:rsid w:val="004755AA"/>
    <w:rsid w:val="00475F7D"/>
    <w:rsid w:val="00476C0B"/>
    <w:rsid w:val="00480723"/>
    <w:rsid w:val="004827EF"/>
    <w:rsid w:val="00483408"/>
    <w:rsid w:val="004838EA"/>
    <w:rsid w:val="00485119"/>
    <w:rsid w:val="0048529F"/>
    <w:rsid w:val="004905AC"/>
    <w:rsid w:val="00491C6D"/>
    <w:rsid w:val="00491D32"/>
    <w:rsid w:val="0049297B"/>
    <w:rsid w:val="00495541"/>
    <w:rsid w:val="004959C1"/>
    <w:rsid w:val="004A041F"/>
    <w:rsid w:val="004A0529"/>
    <w:rsid w:val="004A1018"/>
    <w:rsid w:val="004A121C"/>
    <w:rsid w:val="004A20F2"/>
    <w:rsid w:val="004A2E2D"/>
    <w:rsid w:val="004A2F3C"/>
    <w:rsid w:val="004A3BA6"/>
    <w:rsid w:val="004A3C0C"/>
    <w:rsid w:val="004A5283"/>
    <w:rsid w:val="004A6543"/>
    <w:rsid w:val="004A7BE9"/>
    <w:rsid w:val="004A7C1D"/>
    <w:rsid w:val="004B00A2"/>
    <w:rsid w:val="004B0B38"/>
    <w:rsid w:val="004B1289"/>
    <w:rsid w:val="004B250C"/>
    <w:rsid w:val="004B2C94"/>
    <w:rsid w:val="004B32DA"/>
    <w:rsid w:val="004B4DB1"/>
    <w:rsid w:val="004B4FFC"/>
    <w:rsid w:val="004B58AD"/>
    <w:rsid w:val="004C0678"/>
    <w:rsid w:val="004C15D3"/>
    <w:rsid w:val="004C196E"/>
    <w:rsid w:val="004C2DE0"/>
    <w:rsid w:val="004C2F1A"/>
    <w:rsid w:val="004C3546"/>
    <w:rsid w:val="004C4925"/>
    <w:rsid w:val="004C5234"/>
    <w:rsid w:val="004C532F"/>
    <w:rsid w:val="004C7154"/>
    <w:rsid w:val="004C7516"/>
    <w:rsid w:val="004D125F"/>
    <w:rsid w:val="004D2EC2"/>
    <w:rsid w:val="004D3126"/>
    <w:rsid w:val="004D31A6"/>
    <w:rsid w:val="004D3EB5"/>
    <w:rsid w:val="004D44A7"/>
    <w:rsid w:val="004D4F02"/>
    <w:rsid w:val="004D559F"/>
    <w:rsid w:val="004D5CDA"/>
    <w:rsid w:val="004D5D21"/>
    <w:rsid w:val="004D6397"/>
    <w:rsid w:val="004D75BF"/>
    <w:rsid w:val="004E1035"/>
    <w:rsid w:val="004E15E8"/>
    <w:rsid w:val="004E28F0"/>
    <w:rsid w:val="004E2EBA"/>
    <w:rsid w:val="004E363A"/>
    <w:rsid w:val="004E5437"/>
    <w:rsid w:val="004E6927"/>
    <w:rsid w:val="004E7697"/>
    <w:rsid w:val="004F2E3A"/>
    <w:rsid w:val="004F3A4B"/>
    <w:rsid w:val="004F3DE5"/>
    <w:rsid w:val="004F48E0"/>
    <w:rsid w:val="004F48F3"/>
    <w:rsid w:val="004F574D"/>
    <w:rsid w:val="004F6C23"/>
    <w:rsid w:val="004F72EE"/>
    <w:rsid w:val="004F7434"/>
    <w:rsid w:val="004F7507"/>
    <w:rsid w:val="00500112"/>
    <w:rsid w:val="0050187D"/>
    <w:rsid w:val="00501A78"/>
    <w:rsid w:val="00501F4C"/>
    <w:rsid w:val="00502290"/>
    <w:rsid w:val="0050263B"/>
    <w:rsid w:val="0050282C"/>
    <w:rsid w:val="005033C2"/>
    <w:rsid w:val="00503E2E"/>
    <w:rsid w:val="00503EB1"/>
    <w:rsid w:val="00504333"/>
    <w:rsid w:val="00504681"/>
    <w:rsid w:val="00505297"/>
    <w:rsid w:val="00505EC2"/>
    <w:rsid w:val="005076B2"/>
    <w:rsid w:val="00507F55"/>
    <w:rsid w:val="0051051C"/>
    <w:rsid w:val="005111EF"/>
    <w:rsid w:val="00511DE0"/>
    <w:rsid w:val="00511DEF"/>
    <w:rsid w:val="005120AE"/>
    <w:rsid w:val="005121E0"/>
    <w:rsid w:val="00512EFB"/>
    <w:rsid w:val="00513167"/>
    <w:rsid w:val="00513AD5"/>
    <w:rsid w:val="00515245"/>
    <w:rsid w:val="00516639"/>
    <w:rsid w:val="00517CCD"/>
    <w:rsid w:val="00517E08"/>
    <w:rsid w:val="00520893"/>
    <w:rsid w:val="00520B44"/>
    <w:rsid w:val="005210D6"/>
    <w:rsid w:val="00521339"/>
    <w:rsid w:val="00521F50"/>
    <w:rsid w:val="00524270"/>
    <w:rsid w:val="005251A4"/>
    <w:rsid w:val="00525B80"/>
    <w:rsid w:val="0052687C"/>
    <w:rsid w:val="00526C16"/>
    <w:rsid w:val="005275E0"/>
    <w:rsid w:val="00527C12"/>
    <w:rsid w:val="005310AA"/>
    <w:rsid w:val="00531A5A"/>
    <w:rsid w:val="0053402C"/>
    <w:rsid w:val="005341B6"/>
    <w:rsid w:val="005363F3"/>
    <w:rsid w:val="00536AFD"/>
    <w:rsid w:val="00536DD4"/>
    <w:rsid w:val="005376E7"/>
    <w:rsid w:val="00537BD2"/>
    <w:rsid w:val="0054091D"/>
    <w:rsid w:val="00543431"/>
    <w:rsid w:val="0054431A"/>
    <w:rsid w:val="005443EA"/>
    <w:rsid w:val="00544D60"/>
    <w:rsid w:val="00544E38"/>
    <w:rsid w:val="00545AA2"/>
    <w:rsid w:val="00545DD2"/>
    <w:rsid w:val="00546956"/>
    <w:rsid w:val="00546ACE"/>
    <w:rsid w:val="00548297"/>
    <w:rsid w:val="00552293"/>
    <w:rsid w:val="00553AC2"/>
    <w:rsid w:val="005546A4"/>
    <w:rsid w:val="005556F4"/>
    <w:rsid w:val="00555D5B"/>
    <w:rsid w:val="00557132"/>
    <w:rsid w:val="005574C8"/>
    <w:rsid w:val="005577F4"/>
    <w:rsid w:val="00560759"/>
    <w:rsid w:val="00563461"/>
    <w:rsid w:val="00563954"/>
    <w:rsid w:val="00563B17"/>
    <w:rsid w:val="00563CAD"/>
    <w:rsid w:val="00564D5D"/>
    <w:rsid w:val="005651FC"/>
    <w:rsid w:val="005656A4"/>
    <w:rsid w:val="00565EAE"/>
    <w:rsid w:val="00566516"/>
    <w:rsid w:val="00566574"/>
    <w:rsid w:val="005666D2"/>
    <w:rsid w:val="00571146"/>
    <w:rsid w:val="00571ECD"/>
    <w:rsid w:val="00572657"/>
    <w:rsid w:val="00572D2E"/>
    <w:rsid w:val="00572F43"/>
    <w:rsid w:val="005734AA"/>
    <w:rsid w:val="0057463B"/>
    <w:rsid w:val="0057520F"/>
    <w:rsid w:val="005753C7"/>
    <w:rsid w:val="00575B84"/>
    <w:rsid w:val="00575B92"/>
    <w:rsid w:val="00576A01"/>
    <w:rsid w:val="0057708E"/>
    <w:rsid w:val="0057713D"/>
    <w:rsid w:val="00577390"/>
    <w:rsid w:val="005803D4"/>
    <w:rsid w:val="005804CD"/>
    <w:rsid w:val="00581DC9"/>
    <w:rsid w:val="00582D39"/>
    <w:rsid w:val="0058371F"/>
    <w:rsid w:val="00583D7E"/>
    <w:rsid w:val="00583DD9"/>
    <w:rsid w:val="00583F44"/>
    <w:rsid w:val="00584C76"/>
    <w:rsid w:val="005865BE"/>
    <w:rsid w:val="005866EC"/>
    <w:rsid w:val="00587457"/>
    <w:rsid w:val="00590315"/>
    <w:rsid w:val="00592829"/>
    <w:rsid w:val="005946E8"/>
    <w:rsid w:val="005966B1"/>
    <w:rsid w:val="00597159"/>
    <w:rsid w:val="005972F3"/>
    <w:rsid w:val="005A1243"/>
    <w:rsid w:val="005A156F"/>
    <w:rsid w:val="005A184C"/>
    <w:rsid w:val="005A1B15"/>
    <w:rsid w:val="005A1F32"/>
    <w:rsid w:val="005A2BBF"/>
    <w:rsid w:val="005A4602"/>
    <w:rsid w:val="005A4C51"/>
    <w:rsid w:val="005A6951"/>
    <w:rsid w:val="005A7264"/>
    <w:rsid w:val="005A7897"/>
    <w:rsid w:val="005B01E4"/>
    <w:rsid w:val="005B122C"/>
    <w:rsid w:val="005B12F5"/>
    <w:rsid w:val="005B1BCB"/>
    <w:rsid w:val="005B1CB5"/>
    <w:rsid w:val="005B254C"/>
    <w:rsid w:val="005B297C"/>
    <w:rsid w:val="005B36B2"/>
    <w:rsid w:val="005B536F"/>
    <w:rsid w:val="005B5B74"/>
    <w:rsid w:val="005B723E"/>
    <w:rsid w:val="005B733B"/>
    <w:rsid w:val="005B7A65"/>
    <w:rsid w:val="005B7B97"/>
    <w:rsid w:val="005C10DE"/>
    <w:rsid w:val="005C29A2"/>
    <w:rsid w:val="005C3358"/>
    <w:rsid w:val="005C4552"/>
    <w:rsid w:val="005C50BD"/>
    <w:rsid w:val="005C69F5"/>
    <w:rsid w:val="005C71AB"/>
    <w:rsid w:val="005C7E4C"/>
    <w:rsid w:val="005D0919"/>
    <w:rsid w:val="005D0C89"/>
    <w:rsid w:val="005D0D84"/>
    <w:rsid w:val="005D1C08"/>
    <w:rsid w:val="005D2E9A"/>
    <w:rsid w:val="005D2FC4"/>
    <w:rsid w:val="005D3841"/>
    <w:rsid w:val="005D3855"/>
    <w:rsid w:val="005D3C17"/>
    <w:rsid w:val="005D47F5"/>
    <w:rsid w:val="005D5781"/>
    <w:rsid w:val="005D5BDA"/>
    <w:rsid w:val="005D5F5E"/>
    <w:rsid w:val="005D6B7C"/>
    <w:rsid w:val="005D74FC"/>
    <w:rsid w:val="005D7864"/>
    <w:rsid w:val="005E171F"/>
    <w:rsid w:val="005E1743"/>
    <w:rsid w:val="005E185E"/>
    <w:rsid w:val="005E1B9B"/>
    <w:rsid w:val="005E24ED"/>
    <w:rsid w:val="005E28DC"/>
    <w:rsid w:val="005E2BC2"/>
    <w:rsid w:val="005E30D6"/>
    <w:rsid w:val="005E588D"/>
    <w:rsid w:val="005E642C"/>
    <w:rsid w:val="005E7B77"/>
    <w:rsid w:val="005E7CD1"/>
    <w:rsid w:val="005E7EDA"/>
    <w:rsid w:val="005F120E"/>
    <w:rsid w:val="005F140C"/>
    <w:rsid w:val="005F1A39"/>
    <w:rsid w:val="005F1BC0"/>
    <w:rsid w:val="005F2EF9"/>
    <w:rsid w:val="005F353F"/>
    <w:rsid w:val="005F40C1"/>
    <w:rsid w:val="005F4283"/>
    <w:rsid w:val="005F4A77"/>
    <w:rsid w:val="005F63A9"/>
    <w:rsid w:val="00600ABF"/>
    <w:rsid w:val="00601102"/>
    <w:rsid w:val="00601CD6"/>
    <w:rsid w:val="00601FE9"/>
    <w:rsid w:val="00601FEE"/>
    <w:rsid w:val="006036B4"/>
    <w:rsid w:val="00603C96"/>
    <w:rsid w:val="00604407"/>
    <w:rsid w:val="00604780"/>
    <w:rsid w:val="00604F29"/>
    <w:rsid w:val="0060541B"/>
    <w:rsid w:val="0060663B"/>
    <w:rsid w:val="0061054C"/>
    <w:rsid w:val="00610A81"/>
    <w:rsid w:val="00610DF8"/>
    <w:rsid w:val="006126C4"/>
    <w:rsid w:val="00612FD3"/>
    <w:rsid w:val="006131BF"/>
    <w:rsid w:val="006138F1"/>
    <w:rsid w:val="00614C20"/>
    <w:rsid w:val="00616FEA"/>
    <w:rsid w:val="006172EF"/>
    <w:rsid w:val="00617906"/>
    <w:rsid w:val="00620197"/>
    <w:rsid w:val="0062142B"/>
    <w:rsid w:val="00621AA5"/>
    <w:rsid w:val="006270A4"/>
    <w:rsid w:val="00627981"/>
    <w:rsid w:val="006312F3"/>
    <w:rsid w:val="00631A34"/>
    <w:rsid w:val="0063237A"/>
    <w:rsid w:val="006359B3"/>
    <w:rsid w:val="00636AAA"/>
    <w:rsid w:val="00636E3B"/>
    <w:rsid w:val="006375A1"/>
    <w:rsid w:val="0064048C"/>
    <w:rsid w:val="00640845"/>
    <w:rsid w:val="00640A1E"/>
    <w:rsid w:val="0064115C"/>
    <w:rsid w:val="006434C3"/>
    <w:rsid w:val="006441B1"/>
    <w:rsid w:val="00644FA1"/>
    <w:rsid w:val="006451C1"/>
    <w:rsid w:val="006461CC"/>
    <w:rsid w:val="00646369"/>
    <w:rsid w:val="00646429"/>
    <w:rsid w:val="0064709D"/>
    <w:rsid w:val="0064725E"/>
    <w:rsid w:val="00650250"/>
    <w:rsid w:val="006509A5"/>
    <w:rsid w:val="00651717"/>
    <w:rsid w:val="006519BD"/>
    <w:rsid w:val="0065284F"/>
    <w:rsid w:val="00652EDA"/>
    <w:rsid w:val="006538A1"/>
    <w:rsid w:val="0065581A"/>
    <w:rsid w:val="00655856"/>
    <w:rsid w:val="0065597E"/>
    <w:rsid w:val="00655DE3"/>
    <w:rsid w:val="00656248"/>
    <w:rsid w:val="00656ECD"/>
    <w:rsid w:val="006574DC"/>
    <w:rsid w:val="00657A30"/>
    <w:rsid w:val="00657ECF"/>
    <w:rsid w:val="0066187A"/>
    <w:rsid w:val="00662061"/>
    <w:rsid w:val="00665672"/>
    <w:rsid w:val="006663D0"/>
    <w:rsid w:val="00667F23"/>
    <w:rsid w:val="006705C6"/>
    <w:rsid w:val="0067156C"/>
    <w:rsid w:val="00673E4A"/>
    <w:rsid w:val="006752AC"/>
    <w:rsid w:val="00676004"/>
    <w:rsid w:val="0068003B"/>
    <w:rsid w:val="006805B0"/>
    <w:rsid w:val="00681363"/>
    <w:rsid w:val="00683418"/>
    <w:rsid w:val="006842C9"/>
    <w:rsid w:val="00686E99"/>
    <w:rsid w:val="00687133"/>
    <w:rsid w:val="006903CE"/>
    <w:rsid w:val="00691529"/>
    <w:rsid w:val="00692BC8"/>
    <w:rsid w:val="00693561"/>
    <w:rsid w:val="00694094"/>
    <w:rsid w:val="00696497"/>
    <w:rsid w:val="0069729C"/>
    <w:rsid w:val="0069768E"/>
    <w:rsid w:val="00697B88"/>
    <w:rsid w:val="006A014F"/>
    <w:rsid w:val="006A0F8B"/>
    <w:rsid w:val="006A101C"/>
    <w:rsid w:val="006A3EB1"/>
    <w:rsid w:val="006A637D"/>
    <w:rsid w:val="006A6EC0"/>
    <w:rsid w:val="006A7E3A"/>
    <w:rsid w:val="006B0411"/>
    <w:rsid w:val="006B10CA"/>
    <w:rsid w:val="006B180D"/>
    <w:rsid w:val="006B1AF0"/>
    <w:rsid w:val="006B1CB9"/>
    <w:rsid w:val="006B2BF9"/>
    <w:rsid w:val="006B3227"/>
    <w:rsid w:val="006B3347"/>
    <w:rsid w:val="006B406A"/>
    <w:rsid w:val="006B467B"/>
    <w:rsid w:val="006B4F8C"/>
    <w:rsid w:val="006B56EC"/>
    <w:rsid w:val="006B7292"/>
    <w:rsid w:val="006B7E90"/>
    <w:rsid w:val="006C1F99"/>
    <w:rsid w:val="006C2DC6"/>
    <w:rsid w:val="006C4349"/>
    <w:rsid w:val="006C4E26"/>
    <w:rsid w:val="006C59CF"/>
    <w:rsid w:val="006C75D0"/>
    <w:rsid w:val="006C77AB"/>
    <w:rsid w:val="006D01E9"/>
    <w:rsid w:val="006D064D"/>
    <w:rsid w:val="006D09F5"/>
    <w:rsid w:val="006D0C82"/>
    <w:rsid w:val="006D1C95"/>
    <w:rsid w:val="006D21F3"/>
    <w:rsid w:val="006D2EAE"/>
    <w:rsid w:val="006D3029"/>
    <w:rsid w:val="006D3224"/>
    <w:rsid w:val="006D40C9"/>
    <w:rsid w:val="006D44CD"/>
    <w:rsid w:val="006D628F"/>
    <w:rsid w:val="006D7277"/>
    <w:rsid w:val="006E02A8"/>
    <w:rsid w:val="006E0BCA"/>
    <w:rsid w:val="006E1B80"/>
    <w:rsid w:val="006E22BC"/>
    <w:rsid w:val="006E230F"/>
    <w:rsid w:val="006E47C4"/>
    <w:rsid w:val="006E5081"/>
    <w:rsid w:val="006E6C6A"/>
    <w:rsid w:val="006E6FB2"/>
    <w:rsid w:val="006E79D0"/>
    <w:rsid w:val="006F03C3"/>
    <w:rsid w:val="006F047D"/>
    <w:rsid w:val="006F1593"/>
    <w:rsid w:val="006F1984"/>
    <w:rsid w:val="006F2103"/>
    <w:rsid w:val="006F4907"/>
    <w:rsid w:val="006F4941"/>
    <w:rsid w:val="006F5AA1"/>
    <w:rsid w:val="006F6ADA"/>
    <w:rsid w:val="006F75F4"/>
    <w:rsid w:val="007004F4"/>
    <w:rsid w:val="007015D8"/>
    <w:rsid w:val="007015E7"/>
    <w:rsid w:val="007025F9"/>
    <w:rsid w:val="00703263"/>
    <w:rsid w:val="00703B7D"/>
    <w:rsid w:val="0070406B"/>
    <w:rsid w:val="0070545F"/>
    <w:rsid w:val="0070548B"/>
    <w:rsid w:val="00705833"/>
    <w:rsid w:val="00707135"/>
    <w:rsid w:val="00707274"/>
    <w:rsid w:val="00710BAE"/>
    <w:rsid w:val="00710F10"/>
    <w:rsid w:val="00712249"/>
    <w:rsid w:val="007128ED"/>
    <w:rsid w:val="00712E99"/>
    <w:rsid w:val="0071318B"/>
    <w:rsid w:val="00713411"/>
    <w:rsid w:val="00713C0C"/>
    <w:rsid w:val="00714442"/>
    <w:rsid w:val="007145E1"/>
    <w:rsid w:val="00714AC8"/>
    <w:rsid w:val="00714D23"/>
    <w:rsid w:val="0071583A"/>
    <w:rsid w:val="007158A6"/>
    <w:rsid w:val="007164C8"/>
    <w:rsid w:val="00717157"/>
    <w:rsid w:val="007203DB"/>
    <w:rsid w:val="0072081F"/>
    <w:rsid w:val="00721509"/>
    <w:rsid w:val="00721E89"/>
    <w:rsid w:val="00721F82"/>
    <w:rsid w:val="0072205C"/>
    <w:rsid w:val="0072223F"/>
    <w:rsid w:val="00722821"/>
    <w:rsid w:val="00722CD8"/>
    <w:rsid w:val="00723121"/>
    <w:rsid w:val="00723587"/>
    <w:rsid w:val="007236F7"/>
    <w:rsid w:val="00723DD0"/>
    <w:rsid w:val="00724245"/>
    <w:rsid w:val="00725781"/>
    <w:rsid w:val="00725EC1"/>
    <w:rsid w:val="00725F55"/>
    <w:rsid w:val="007262B7"/>
    <w:rsid w:val="00726B67"/>
    <w:rsid w:val="00727132"/>
    <w:rsid w:val="00731FDF"/>
    <w:rsid w:val="007339AF"/>
    <w:rsid w:val="00733D64"/>
    <w:rsid w:val="0073455E"/>
    <w:rsid w:val="00735E7B"/>
    <w:rsid w:val="00736C33"/>
    <w:rsid w:val="00737447"/>
    <w:rsid w:val="007375A4"/>
    <w:rsid w:val="00740249"/>
    <w:rsid w:val="00740266"/>
    <w:rsid w:val="00741020"/>
    <w:rsid w:val="007415EB"/>
    <w:rsid w:val="0074169E"/>
    <w:rsid w:val="007426DF"/>
    <w:rsid w:val="00742743"/>
    <w:rsid w:val="00742945"/>
    <w:rsid w:val="00743697"/>
    <w:rsid w:val="00744D1A"/>
    <w:rsid w:val="007450F8"/>
    <w:rsid w:val="00745199"/>
    <w:rsid w:val="0074665E"/>
    <w:rsid w:val="0074752A"/>
    <w:rsid w:val="007508A9"/>
    <w:rsid w:val="00750D03"/>
    <w:rsid w:val="00750ED9"/>
    <w:rsid w:val="007514AE"/>
    <w:rsid w:val="00753F72"/>
    <w:rsid w:val="007546DA"/>
    <w:rsid w:val="00755C9B"/>
    <w:rsid w:val="007567F1"/>
    <w:rsid w:val="007569C1"/>
    <w:rsid w:val="00757545"/>
    <w:rsid w:val="0076009F"/>
    <w:rsid w:val="007600DA"/>
    <w:rsid w:val="00761B2A"/>
    <w:rsid w:val="00762795"/>
    <w:rsid w:val="00762FF9"/>
    <w:rsid w:val="0076368C"/>
    <w:rsid w:val="007637C8"/>
    <w:rsid w:val="00763E4F"/>
    <w:rsid w:val="00764E8F"/>
    <w:rsid w:val="00765481"/>
    <w:rsid w:val="007659FB"/>
    <w:rsid w:val="00765EAD"/>
    <w:rsid w:val="00767996"/>
    <w:rsid w:val="00767A08"/>
    <w:rsid w:val="0077003E"/>
    <w:rsid w:val="007711F0"/>
    <w:rsid w:val="00771320"/>
    <w:rsid w:val="00771D62"/>
    <w:rsid w:val="00771E35"/>
    <w:rsid w:val="007722EF"/>
    <w:rsid w:val="00772F8F"/>
    <w:rsid w:val="00773EFC"/>
    <w:rsid w:val="00774130"/>
    <w:rsid w:val="007743F6"/>
    <w:rsid w:val="00774A1A"/>
    <w:rsid w:val="0077542E"/>
    <w:rsid w:val="007756FF"/>
    <w:rsid w:val="007758A8"/>
    <w:rsid w:val="00775AB8"/>
    <w:rsid w:val="00776704"/>
    <w:rsid w:val="00776B70"/>
    <w:rsid w:val="00777938"/>
    <w:rsid w:val="00782D9E"/>
    <w:rsid w:val="00782EEA"/>
    <w:rsid w:val="007842D7"/>
    <w:rsid w:val="0078440F"/>
    <w:rsid w:val="007846C0"/>
    <w:rsid w:val="0078549B"/>
    <w:rsid w:val="0078610C"/>
    <w:rsid w:val="0078699B"/>
    <w:rsid w:val="00786C11"/>
    <w:rsid w:val="0079132D"/>
    <w:rsid w:val="007920AC"/>
    <w:rsid w:val="00792E33"/>
    <w:rsid w:val="00792FE8"/>
    <w:rsid w:val="00793D57"/>
    <w:rsid w:val="00794209"/>
    <w:rsid w:val="007947D5"/>
    <w:rsid w:val="0079565E"/>
    <w:rsid w:val="00796270"/>
    <w:rsid w:val="007A1B91"/>
    <w:rsid w:val="007A2EE1"/>
    <w:rsid w:val="007A40CD"/>
    <w:rsid w:val="007A4B9C"/>
    <w:rsid w:val="007A4F1A"/>
    <w:rsid w:val="007A5ABB"/>
    <w:rsid w:val="007A65E2"/>
    <w:rsid w:val="007A6D5B"/>
    <w:rsid w:val="007A74A6"/>
    <w:rsid w:val="007B17BC"/>
    <w:rsid w:val="007B38F2"/>
    <w:rsid w:val="007B642B"/>
    <w:rsid w:val="007B7726"/>
    <w:rsid w:val="007C04A8"/>
    <w:rsid w:val="007C1109"/>
    <w:rsid w:val="007C1301"/>
    <w:rsid w:val="007C135F"/>
    <w:rsid w:val="007C180A"/>
    <w:rsid w:val="007C1BBD"/>
    <w:rsid w:val="007C1F54"/>
    <w:rsid w:val="007C381E"/>
    <w:rsid w:val="007C3DCE"/>
    <w:rsid w:val="007C44C8"/>
    <w:rsid w:val="007C4BF8"/>
    <w:rsid w:val="007C5560"/>
    <w:rsid w:val="007C6CF0"/>
    <w:rsid w:val="007C7FF5"/>
    <w:rsid w:val="007D0A40"/>
    <w:rsid w:val="007D13F3"/>
    <w:rsid w:val="007D2758"/>
    <w:rsid w:val="007D31CE"/>
    <w:rsid w:val="007D35A6"/>
    <w:rsid w:val="007D3D45"/>
    <w:rsid w:val="007D3F31"/>
    <w:rsid w:val="007D4256"/>
    <w:rsid w:val="007D4678"/>
    <w:rsid w:val="007D4924"/>
    <w:rsid w:val="007D6197"/>
    <w:rsid w:val="007D65C9"/>
    <w:rsid w:val="007E04CF"/>
    <w:rsid w:val="007E1B78"/>
    <w:rsid w:val="007E25CC"/>
    <w:rsid w:val="007E27F5"/>
    <w:rsid w:val="007E32B6"/>
    <w:rsid w:val="007E6ED1"/>
    <w:rsid w:val="007E7B9E"/>
    <w:rsid w:val="007E7EB7"/>
    <w:rsid w:val="007F0149"/>
    <w:rsid w:val="007F0AC8"/>
    <w:rsid w:val="007F0E05"/>
    <w:rsid w:val="007F11E6"/>
    <w:rsid w:val="007F1377"/>
    <w:rsid w:val="007F167F"/>
    <w:rsid w:val="007F1ECA"/>
    <w:rsid w:val="007F240F"/>
    <w:rsid w:val="007F266D"/>
    <w:rsid w:val="007F2FD6"/>
    <w:rsid w:val="007F2FF4"/>
    <w:rsid w:val="007F3822"/>
    <w:rsid w:val="007F56F3"/>
    <w:rsid w:val="007F5854"/>
    <w:rsid w:val="007F6DCD"/>
    <w:rsid w:val="008014F9"/>
    <w:rsid w:val="00802AF6"/>
    <w:rsid w:val="00803089"/>
    <w:rsid w:val="00804DA7"/>
    <w:rsid w:val="00804F5C"/>
    <w:rsid w:val="00805036"/>
    <w:rsid w:val="00805988"/>
    <w:rsid w:val="00805F8C"/>
    <w:rsid w:val="008065C7"/>
    <w:rsid w:val="0080736F"/>
    <w:rsid w:val="0080758B"/>
    <w:rsid w:val="00811306"/>
    <w:rsid w:val="00811B36"/>
    <w:rsid w:val="008126E8"/>
    <w:rsid w:val="00812700"/>
    <w:rsid w:val="00812C91"/>
    <w:rsid w:val="00812D47"/>
    <w:rsid w:val="00812DB4"/>
    <w:rsid w:val="00815225"/>
    <w:rsid w:val="008159E8"/>
    <w:rsid w:val="00816079"/>
    <w:rsid w:val="0081628D"/>
    <w:rsid w:val="008176C9"/>
    <w:rsid w:val="00817BE7"/>
    <w:rsid w:val="00817D4A"/>
    <w:rsid w:val="00817E3B"/>
    <w:rsid w:val="00820F8E"/>
    <w:rsid w:val="00821892"/>
    <w:rsid w:val="00822239"/>
    <w:rsid w:val="00823038"/>
    <w:rsid w:val="00823115"/>
    <w:rsid w:val="008240EE"/>
    <w:rsid w:val="00824EFD"/>
    <w:rsid w:val="0082509C"/>
    <w:rsid w:val="00825CFF"/>
    <w:rsid w:val="00826934"/>
    <w:rsid w:val="00826FC2"/>
    <w:rsid w:val="008272E8"/>
    <w:rsid w:val="00827A25"/>
    <w:rsid w:val="00827DC3"/>
    <w:rsid w:val="00830B82"/>
    <w:rsid w:val="00830F21"/>
    <w:rsid w:val="008311ED"/>
    <w:rsid w:val="008338E0"/>
    <w:rsid w:val="00834AFA"/>
    <w:rsid w:val="0084116C"/>
    <w:rsid w:val="008415C6"/>
    <w:rsid w:val="00841CB7"/>
    <w:rsid w:val="008420FD"/>
    <w:rsid w:val="0084378A"/>
    <w:rsid w:val="00843C87"/>
    <w:rsid w:val="00843D95"/>
    <w:rsid w:val="00845315"/>
    <w:rsid w:val="00845F7C"/>
    <w:rsid w:val="008465E9"/>
    <w:rsid w:val="0084660D"/>
    <w:rsid w:val="00846D84"/>
    <w:rsid w:val="00851220"/>
    <w:rsid w:val="00851D97"/>
    <w:rsid w:val="00851E13"/>
    <w:rsid w:val="00852AAE"/>
    <w:rsid w:val="00852D37"/>
    <w:rsid w:val="008533F6"/>
    <w:rsid w:val="00853633"/>
    <w:rsid w:val="00854C40"/>
    <w:rsid w:val="00854FB0"/>
    <w:rsid w:val="008551D3"/>
    <w:rsid w:val="00855A68"/>
    <w:rsid w:val="00856EFA"/>
    <w:rsid w:val="00857E2B"/>
    <w:rsid w:val="00857F7C"/>
    <w:rsid w:val="00860FDB"/>
    <w:rsid w:val="00862138"/>
    <w:rsid w:val="0086273C"/>
    <w:rsid w:val="008638EA"/>
    <w:rsid w:val="00864847"/>
    <w:rsid w:val="00864D9F"/>
    <w:rsid w:val="00865190"/>
    <w:rsid w:val="00870439"/>
    <w:rsid w:val="00870D6F"/>
    <w:rsid w:val="0087161B"/>
    <w:rsid w:val="00871ADC"/>
    <w:rsid w:val="00872187"/>
    <w:rsid w:val="008728B9"/>
    <w:rsid w:val="00873776"/>
    <w:rsid w:val="00873979"/>
    <w:rsid w:val="00874108"/>
    <w:rsid w:val="008741BC"/>
    <w:rsid w:val="008744E1"/>
    <w:rsid w:val="00874DC8"/>
    <w:rsid w:val="00874E1D"/>
    <w:rsid w:val="00875A03"/>
    <w:rsid w:val="00875E68"/>
    <w:rsid w:val="008767D6"/>
    <w:rsid w:val="008771B2"/>
    <w:rsid w:val="00877477"/>
    <w:rsid w:val="008778CC"/>
    <w:rsid w:val="00877A8D"/>
    <w:rsid w:val="00877E0A"/>
    <w:rsid w:val="0088024C"/>
    <w:rsid w:val="00881F71"/>
    <w:rsid w:val="0088339A"/>
    <w:rsid w:val="00883B8F"/>
    <w:rsid w:val="0088439E"/>
    <w:rsid w:val="0088491B"/>
    <w:rsid w:val="008869AB"/>
    <w:rsid w:val="008926C9"/>
    <w:rsid w:val="0089284B"/>
    <w:rsid w:val="008928F2"/>
    <w:rsid w:val="0089483A"/>
    <w:rsid w:val="00895581"/>
    <w:rsid w:val="00895856"/>
    <w:rsid w:val="008966C8"/>
    <w:rsid w:val="00896A4C"/>
    <w:rsid w:val="00896CD7"/>
    <w:rsid w:val="008973CE"/>
    <w:rsid w:val="00897484"/>
    <w:rsid w:val="00897710"/>
    <w:rsid w:val="008978B5"/>
    <w:rsid w:val="008A104D"/>
    <w:rsid w:val="008A1AAD"/>
    <w:rsid w:val="008A4232"/>
    <w:rsid w:val="008A5CC4"/>
    <w:rsid w:val="008A5EC3"/>
    <w:rsid w:val="008A66B0"/>
    <w:rsid w:val="008A7D27"/>
    <w:rsid w:val="008B024E"/>
    <w:rsid w:val="008B09A8"/>
    <w:rsid w:val="008B1387"/>
    <w:rsid w:val="008B1850"/>
    <w:rsid w:val="008B2532"/>
    <w:rsid w:val="008B2F29"/>
    <w:rsid w:val="008B383D"/>
    <w:rsid w:val="008B3CAA"/>
    <w:rsid w:val="008B6C2E"/>
    <w:rsid w:val="008B78EF"/>
    <w:rsid w:val="008C0DA6"/>
    <w:rsid w:val="008C162B"/>
    <w:rsid w:val="008C2E49"/>
    <w:rsid w:val="008C32F7"/>
    <w:rsid w:val="008C3318"/>
    <w:rsid w:val="008C4117"/>
    <w:rsid w:val="008C49E1"/>
    <w:rsid w:val="008C4D7F"/>
    <w:rsid w:val="008C74CE"/>
    <w:rsid w:val="008D0CDD"/>
    <w:rsid w:val="008D118C"/>
    <w:rsid w:val="008D1D04"/>
    <w:rsid w:val="008D1D66"/>
    <w:rsid w:val="008D206B"/>
    <w:rsid w:val="008D2769"/>
    <w:rsid w:val="008D3AE4"/>
    <w:rsid w:val="008D4026"/>
    <w:rsid w:val="008D4B6B"/>
    <w:rsid w:val="008D5BE9"/>
    <w:rsid w:val="008D6678"/>
    <w:rsid w:val="008D7113"/>
    <w:rsid w:val="008D7AD3"/>
    <w:rsid w:val="008D7C32"/>
    <w:rsid w:val="008E0089"/>
    <w:rsid w:val="008E0793"/>
    <w:rsid w:val="008E11AB"/>
    <w:rsid w:val="008E1DBA"/>
    <w:rsid w:val="008E2620"/>
    <w:rsid w:val="008E31EE"/>
    <w:rsid w:val="008E3C65"/>
    <w:rsid w:val="008E3F13"/>
    <w:rsid w:val="008E3F43"/>
    <w:rsid w:val="008E44B7"/>
    <w:rsid w:val="008E510C"/>
    <w:rsid w:val="008E75A4"/>
    <w:rsid w:val="008F1D72"/>
    <w:rsid w:val="008F29DC"/>
    <w:rsid w:val="008F32CF"/>
    <w:rsid w:val="008F3E3D"/>
    <w:rsid w:val="008F4995"/>
    <w:rsid w:val="008F537B"/>
    <w:rsid w:val="008F5C5E"/>
    <w:rsid w:val="008F7443"/>
    <w:rsid w:val="008F7B70"/>
    <w:rsid w:val="00900E2F"/>
    <w:rsid w:val="0090170A"/>
    <w:rsid w:val="009021F0"/>
    <w:rsid w:val="00902892"/>
    <w:rsid w:val="00904DF9"/>
    <w:rsid w:val="009050E8"/>
    <w:rsid w:val="00905CB6"/>
    <w:rsid w:val="00905F75"/>
    <w:rsid w:val="00906EEA"/>
    <w:rsid w:val="00906F98"/>
    <w:rsid w:val="009104B2"/>
    <w:rsid w:val="00910F33"/>
    <w:rsid w:val="0091166C"/>
    <w:rsid w:val="009119BF"/>
    <w:rsid w:val="00913BE3"/>
    <w:rsid w:val="009142EC"/>
    <w:rsid w:val="0091487C"/>
    <w:rsid w:val="00914A1C"/>
    <w:rsid w:val="00915605"/>
    <w:rsid w:val="009163EC"/>
    <w:rsid w:val="00916518"/>
    <w:rsid w:val="00917ADD"/>
    <w:rsid w:val="00917CF6"/>
    <w:rsid w:val="00920036"/>
    <w:rsid w:val="00920AC5"/>
    <w:rsid w:val="00920E5D"/>
    <w:rsid w:val="0092180B"/>
    <w:rsid w:val="00922005"/>
    <w:rsid w:val="009227D9"/>
    <w:rsid w:val="00923936"/>
    <w:rsid w:val="009242DC"/>
    <w:rsid w:val="00924879"/>
    <w:rsid w:val="00924C5C"/>
    <w:rsid w:val="00926181"/>
    <w:rsid w:val="009261F5"/>
    <w:rsid w:val="009264CD"/>
    <w:rsid w:val="00926589"/>
    <w:rsid w:val="009266C9"/>
    <w:rsid w:val="00927544"/>
    <w:rsid w:val="009276EE"/>
    <w:rsid w:val="009278CA"/>
    <w:rsid w:val="00927EC9"/>
    <w:rsid w:val="00930874"/>
    <w:rsid w:val="0093106E"/>
    <w:rsid w:val="00931BCF"/>
    <w:rsid w:val="00935DCB"/>
    <w:rsid w:val="00937369"/>
    <w:rsid w:val="00940019"/>
    <w:rsid w:val="00940724"/>
    <w:rsid w:val="00940944"/>
    <w:rsid w:val="00940C63"/>
    <w:rsid w:val="0094145C"/>
    <w:rsid w:val="0094211A"/>
    <w:rsid w:val="00942AA7"/>
    <w:rsid w:val="00946F65"/>
    <w:rsid w:val="009470F9"/>
    <w:rsid w:val="00947B8B"/>
    <w:rsid w:val="0095012D"/>
    <w:rsid w:val="00950B2C"/>
    <w:rsid w:val="0095209A"/>
    <w:rsid w:val="0095256A"/>
    <w:rsid w:val="0095257F"/>
    <w:rsid w:val="009525F9"/>
    <w:rsid w:val="00954D80"/>
    <w:rsid w:val="009553E2"/>
    <w:rsid w:val="00955610"/>
    <w:rsid w:val="009560CE"/>
    <w:rsid w:val="00956B9C"/>
    <w:rsid w:val="009601BC"/>
    <w:rsid w:val="009616A8"/>
    <w:rsid w:val="00962B2B"/>
    <w:rsid w:val="009642F9"/>
    <w:rsid w:val="0096459E"/>
    <w:rsid w:val="00964DDE"/>
    <w:rsid w:val="00964F63"/>
    <w:rsid w:val="00966175"/>
    <w:rsid w:val="00966799"/>
    <w:rsid w:val="00967B04"/>
    <w:rsid w:val="00970BF3"/>
    <w:rsid w:val="00970DC6"/>
    <w:rsid w:val="0097127F"/>
    <w:rsid w:val="00971C3E"/>
    <w:rsid w:val="00971C55"/>
    <w:rsid w:val="0097227E"/>
    <w:rsid w:val="00972BFA"/>
    <w:rsid w:val="00972F92"/>
    <w:rsid w:val="0097313A"/>
    <w:rsid w:val="00973B5F"/>
    <w:rsid w:val="00973FD5"/>
    <w:rsid w:val="009744E9"/>
    <w:rsid w:val="00976CCE"/>
    <w:rsid w:val="00980D1D"/>
    <w:rsid w:val="009822D7"/>
    <w:rsid w:val="00982598"/>
    <w:rsid w:val="00982D47"/>
    <w:rsid w:val="00982F0A"/>
    <w:rsid w:val="0098353E"/>
    <w:rsid w:val="00984133"/>
    <w:rsid w:val="009844D4"/>
    <w:rsid w:val="009849DA"/>
    <w:rsid w:val="009865E4"/>
    <w:rsid w:val="00986695"/>
    <w:rsid w:val="00986C30"/>
    <w:rsid w:val="0098752A"/>
    <w:rsid w:val="009907EB"/>
    <w:rsid w:val="00990B2C"/>
    <w:rsid w:val="00991B43"/>
    <w:rsid w:val="00991C4D"/>
    <w:rsid w:val="00991F97"/>
    <w:rsid w:val="0099258F"/>
    <w:rsid w:val="00992AA9"/>
    <w:rsid w:val="00992C71"/>
    <w:rsid w:val="00993523"/>
    <w:rsid w:val="00994354"/>
    <w:rsid w:val="00994546"/>
    <w:rsid w:val="009957AB"/>
    <w:rsid w:val="0099596C"/>
    <w:rsid w:val="00996D3B"/>
    <w:rsid w:val="0099739F"/>
    <w:rsid w:val="00997FF0"/>
    <w:rsid w:val="009A0152"/>
    <w:rsid w:val="009A1203"/>
    <w:rsid w:val="009A1524"/>
    <w:rsid w:val="009A17C8"/>
    <w:rsid w:val="009A1B7D"/>
    <w:rsid w:val="009A1C0E"/>
    <w:rsid w:val="009A3487"/>
    <w:rsid w:val="009A3760"/>
    <w:rsid w:val="009A38F6"/>
    <w:rsid w:val="009A39E2"/>
    <w:rsid w:val="009A3E11"/>
    <w:rsid w:val="009A521D"/>
    <w:rsid w:val="009A5576"/>
    <w:rsid w:val="009A5C5E"/>
    <w:rsid w:val="009A6127"/>
    <w:rsid w:val="009A6965"/>
    <w:rsid w:val="009A6D0F"/>
    <w:rsid w:val="009A7948"/>
    <w:rsid w:val="009A7D10"/>
    <w:rsid w:val="009B3E33"/>
    <w:rsid w:val="009B40E3"/>
    <w:rsid w:val="009B4AC1"/>
    <w:rsid w:val="009B58AF"/>
    <w:rsid w:val="009B6029"/>
    <w:rsid w:val="009B63B7"/>
    <w:rsid w:val="009B6D1C"/>
    <w:rsid w:val="009C1812"/>
    <w:rsid w:val="009C33FB"/>
    <w:rsid w:val="009C3ABD"/>
    <w:rsid w:val="009C506B"/>
    <w:rsid w:val="009C5BB1"/>
    <w:rsid w:val="009C5BFD"/>
    <w:rsid w:val="009C608E"/>
    <w:rsid w:val="009C61A6"/>
    <w:rsid w:val="009C69A2"/>
    <w:rsid w:val="009C6A27"/>
    <w:rsid w:val="009C718D"/>
    <w:rsid w:val="009C7254"/>
    <w:rsid w:val="009C7C80"/>
    <w:rsid w:val="009D0EBF"/>
    <w:rsid w:val="009D1774"/>
    <w:rsid w:val="009D2950"/>
    <w:rsid w:val="009D2A3B"/>
    <w:rsid w:val="009D2B25"/>
    <w:rsid w:val="009D3AC2"/>
    <w:rsid w:val="009D52A2"/>
    <w:rsid w:val="009D55DD"/>
    <w:rsid w:val="009D5D17"/>
    <w:rsid w:val="009D6100"/>
    <w:rsid w:val="009D69E1"/>
    <w:rsid w:val="009D7BBB"/>
    <w:rsid w:val="009DEEE4"/>
    <w:rsid w:val="009E1CA4"/>
    <w:rsid w:val="009E241B"/>
    <w:rsid w:val="009E25B2"/>
    <w:rsid w:val="009E42B2"/>
    <w:rsid w:val="009E465D"/>
    <w:rsid w:val="009E4786"/>
    <w:rsid w:val="009E47F4"/>
    <w:rsid w:val="009E4A4B"/>
    <w:rsid w:val="009E4EA3"/>
    <w:rsid w:val="009E52AE"/>
    <w:rsid w:val="009E52C3"/>
    <w:rsid w:val="009E55F2"/>
    <w:rsid w:val="009E6799"/>
    <w:rsid w:val="009E7CFB"/>
    <w:rsid w:val="009F04A4"/>
    <w:rsid w:val="009F139A"/>
    <w:rsid w:val="009F1DB6"/>
    <w:rsid w:val="009F2709"/>
    <w:rsid w:val="009F4258"/>
    <w:rsid w:val="009F5328"/>
    <w:rsid w:val="009F6294"/>
    <w:rsid w:val="009F64F3"/>
    <w:rsid w:val="009F68F4"/>
    <w:rsid w:val="009F7E47"/>
    <w:rsid w:val="00A0136C"/>
    <w:rsid w:val="00A0190D"/>
    <w:rsid w:val="00A02F94"/>
    <w:rsid w:val="00A04A96"/>
    <w:rsid w:val="00A07EC3"/>
    <w:rsid w:val="00A11316"/>
    <w:rsid w:val="00A1182B"/>
    <w:rsid w:val="00A12A5F"/>
    <w:rsid w:val="00A12B19"/>
    <w:rsid w:val="00A1355D"/>
    <w:rsid w:val="00A14898"/>
    <w:rsid w:val="00A14930"/>
    <w:rsid w:val="00A14E47"/>
    <w:rsid w:val="00A152D2"/>
    <w:rsid w:val="00A1638A"/>
    <w:rsid w:val="00A16ACD"/>
    <w:rsid w:val="00A16EAB"/>
    <w:rsid w:val="00A177D5"/>
    <w:rsid w:val="00A20FC2"/>
    <w:rsid w:val="00A2152E"/>
    <w:rsid w:val="00A21C62"/>
    <w:rsid w:val="00A227A1"/>
    <w:rsid w:val="00A22CCF"/>
    <w:rsid w:val="00A23470"/>
    <w:rsid w:val="00A23816"/>
    <w:rsid w:val="00A24AD0"/>
    <w:rsid w:val="00A24C86"/>
    <w:rsid w:val="00A24EAE"/>
    <w:rsid w:val="00A25FE0"/>
    <w:rsid w:val="00A3190B"/>
    <w:rsid w:val="00A32022"/>
    <w:rsid w:val="00A320C5"/>
    <w:rsid w:val="00A3292E"/>
    <w:rsid w:val="00A33337"/>
    <w:rsid w:val="00A345E0"/>
    <w:rsid w:val="00A349F7"/>
    <w:rsid w:val="00A35217"/>
    <w:rsid w:val="00A357A5"/>
    <w:rsid w:val="00A35AD5"/>
    <w:rsid w:val="00A35FDC"/>
    <w:rsid w:val="00A375F7"/>
    <w:rsid w:val="00A378CE"/>
    <w:rsid w:val="00A37AF6"/>
    <w:rsid w:val="00A4073A"/>
    <w:rsid w:val="00A40BD7"/>
    <w:rsid w:val="00A40DEC"/>
    <w:rsid w:val="00A40F4F"/>
    <w:rsid w:val="00A41506"/>
    <w:rsid w:val="00A4172B"/>
    <w:rsid w:val="00A42EF4"/>
    <w:rsid w:val="00A43238"/>
    <w:rsid w:val="00A44B71"/>
    <w:rsid w:val="00A44BD1"/>
    <w:rsid w:val="00A50068"/>
    <w:rsid w:val="00A50B01"/>
    <w:rsid w:val="00A51C32"/>
    <w:rsid w:val="00A53587"/>
    <w:rsid w:val="00A541B5"/>
    <w:rsid w:val="00A5671C"/>
    <w:rsid w:val="00A57148"/>
    <w:rsid w:val="00A573DC"/>
    <w:rsid w:val="00A5757B"/>
    <w:rsid w:val="00A611F9"/>
    <w:rsid w:val="00A61252"/>
    <w:rsid w:val="00A6192F"/>
    <w:rsid w:val="00A62A7F"/>
    <w:rsid w:val="00A62D5C"/>
    <w:rsid w:val="00A66812"/>
    <w:rsid w:val="00A6689E"/>
    <w:rsid w:val="00A67519"/>
    <w:rsid w:val="00A711CF"/>
    <w:rsid w:val="00A73331"/>
    <w:rsid w:val="00A73918"/>
    <w:rsid w:val="00A73B40"/>
    <w:rsid w:val="00A7618E"/>
    <w:rsid w:val="00A7710D"/>
    <w:rsid w:val="00A80E9F"/>
    <w:rsid w:val="00A81410"/>
    <w:rsid w:val="00A81D81"/>
    <w:rsid w:val="00A823A9"/>
    <w:rsid w:val="00A82947"/>
    <w:rsid w:val="00A829BC"/>
    <w:rsid w:val="00A82FB5"/>
    <w:rsid w:val="00A83576"/>
    <w:rsid w:val="00A8371F"/>
    <w:rsid w:val="00A85971"/>
    <w:rsid w:val="00A87AD7"/>
    <w:rsid w:val="00A90BF7"/>
    <w:rsid w:val="00A9129B"/>
    <w:rsid w:val="00A91677"/>
    <w:rsid w:val="00A922BD"/>
    <w:rsid w:val="00A92ECE"/>
    <w:rsid w:val="00A949FB"/>
    <w:rsid w:val="00A96939"/>
    <w:rsid w:val="00A96D1B"/>
    <w:rsid w:val="00AA09A6"/>
    <w:rsid w:val="00AA2211"/>
    <w:rsid w:val="00AA2314"/>
    <w:rsid w:val="00AA2FE1"/>
    <w:rsid w:val="00AA3708"/>
    <w:rsid w:val="00AA398D"/>
    <w:rsid w:val="00AA4879"/>
    <w:rsid w:val="00AA50FD"/>
    <w:rsid w:val="00AA6292"/>
    <w:rsid w:val="00AA6458"/>
    <w:rsid w:val="00AA66C6"/>
    <w:rsid w:val="00AA6775"/>
    <w:rsid w:val="00AA67C3"/>
    <w:rsid w:val="00AA68A9"/>
    <w:rsid w:val="00AA7DB3"/>
    <w:rsid w:val="00AB0100"/>
    <w:rsid w:val="00AB054F"/>
    <w:rsid w:val="00AB1127"/>
    <w:rsid w:val="00AB354D"/>
    <w:rsid w:val="00AB3A76"/>
    <w:rsid w:val="00AB50A7"/>
    <w:rsid w:val="00AB53EC"/>
    <w:rsid w:val="00AB55AD"/>
    <w:rsid w:val="00AB5FEB"/>
    <w:rsid w:val="00AB786A"/>
    <w:rsid w:val="00AC02FD"/>
    <w:rsid w:val="00AC0F6E"/>
    <w:rsid w:val="00AC1D89"/>
    <w:rsid w:val="00AC1DBB"/>
    <w:rsid w:val="00AC219A"/>
    <w:rsid w:val="00AC31D7"/>
    <w:rsid w:val="00AC4161"/>
    <w:rsid w:val="00AC5A85"/>
    <w:rsid w:val="00AC5E2B"/>
    <w:rsid w:val="00AC64DC"/>
    <w:rsid w:val="00AC7879"/>
    <w:rsid w:val="00AC7D76"/>
    <w:rsid w:val="00AD0036"/>
    <w:rsid w:val="00AD00BE"/>
    <w:rsid w:val="00AD50FF"/>
    <w:rsid w:val="00AD58D8"/>
    <w:rsid w:val="00AD657D"/>
    <w:rsid w:val="00AD7A36"/>
    <w:rsid w:val="00AE0C9D"/>
    <w:rsid w:val="00AE140A"/>
    <w:rsid w:val="00AE1953"/>
    <w:rsid w:val="00AE1CCD"/>
    <w:rsid w:val="00AE211F"/>
    <w:rsid w:val="00AE3C49"/>
    <w:rsid w:val="00AE6364"/>
    <w:rsid w:val="00AE79F4"/>
    <w:rsid w:val="00AF0ADE"/>
    <w:rsid w:val="00AF154E"/>
    <w:rsid w:val="00AF2C7B"/>
    <w:rsid w:val="00AF335F"/>
    <w:rsid w:val="00AF3849"/>
    <w:rsid w:val="00AF4C7A"/>
    <w:rsid w:val="00AF6027"/>
    <w:rsid w:val="00AF650A"/>
    <w:rsid w:val="00AF7B86"/>
    <w:rsid w:val="00B02670"/>
    <w:rsid w:val="00B03F91"/>
    <w:rsid w:val="00B05FE6"/>
    <w:rsid w:val="00B100D2"/>
    <w:rsid w:val="00B10BF5"/>
    <w:rsid w:val="00B115AB"/>
    <w:rsid w:val="00B131C8"/>
    <w:rsid w:val="00B13407"/>
    <w:rsid w:val="00B14880"/>
    <w:rsid w:val="00B15300"/>
    <w:rsid w:val="00B15604"/>
    <w:rsid w:val="00B156D7"/>
    <w:rsid w:val="00B166A6"/>
    <w:rsid w:val="00B16775"/>
    <w:rsid w:val="00B1699C"/>
    <w:rsid w:val="00B16B06"/>
    <w:rsid w:val="00B173DF"/>
    <w:rsid w:val="00B20FE3"/>
    <w:rsid w:val="00B215E9"/>
    <w:rsid w:val="00B22741"/>
    <w:rsid w:val="00B227E4"/>
    <w:rsid w:val="00B23903"/>
    <w:rsid w:val="00B24B8E"/>
    <w:rsid w:val="00B25803"/>
    <w:rsid w:val="00B266CF"/>
    <w:rsid w:val="00B270AD"/>
    <w:rsid w:val="00B30890"/>
    <w:rsid w:val="00B30A2A"/>
    <w:rsid w:val="00B3170A"/>
    <w:rsid w:val="00B3191E"/>
    <w:rsid w:val="00B31E02"/>
    <w:rsid w:val="00B31F26"/>
    <w:rsid w:val="00B32AAA"/>
    <w:rsid w:val="00B33557"/>
    <w:rsid w:val="00B349AE"/>
    <w:rsid w:val="00B35A69"/>
    <w:rsid w:val="00B36A0E"/>
    <w:rsid w:val="00B37BA5"/>
    <w:rsid w:val="00B37C49"/>
    <w:rsid w:val="00B37FE6"/>
    <w:rsid w:val="00B40266"/>
    <w:rsid w:val="00B403E0"/>
    <w:rsid w:val="00B41E09"/>
    <w:rsid w:val="00B420F3"/>
    <w:rsid w:val="00B4253E"/>
    <w:rsid w:val="00B437DD"/>
    <w:rsid w:val="00B43864"/>
    <w:rsid w:val="00B44C62"/>
    <w:rsid w:val="00B4519C"/>
    <w:rsid w:val="00B452AE"/>
    <w:rsid w:val="00B45BF0"/>
    <w:rsid w:val="00B463A0"/>
    <w:rsid w:val="00B46A93"/>
    <w:rsid w:val="00B50314"/>
    <w:rsid w:val="00B51A4A"/>
    <w:rsid w:val="00B5212E"/>
    <w:rsid w:val="00B542DA"/>
    <w:rsid w:val="00B54AFB"/>
    <w:rsid w:val="00B55082"/>
    <w:rsid w:val="00B55E20"/>
    <w:rsid w:val="00B5619C"/>
    <w:rsid w:val="00B5706E"/>
    <w:rsid w:val="00B57750"/>
    <w:rsid w:val="00B61055"/>
    <w:rsid w:val="00B61139"/>
    <w:rsid w:val="00B6158D"/>
    <w:rsid w:val="00B61892"/>
    <w:rsid w:val="00B61D3E"/>
    <w:rsid w:val="00B61D46"/>
    <w:rsid w:val="00B63514"/>
    <w:rsid w:val="00B6512D"/>
    <w:rsid w:val="00B67A22"/>
    <w:rsid w:val="00B70679"/>
    <w:rsid w:val="00B70C63"/>
    <w:rsid w:val="00B72CF9"/>
    <w:rsid w:val="00B73161"/>
    <w:rsid w:val="00B73175"/>
    <w:rsid w:val="00B73813"/>
    <w:rsid w:val="00B73C3D"/>
    <w:rsid w:val="00B74423"/>
    <w:rsid w:val="00B7650F"/>
    <w:rsid w:val="00B773E0"/>
    <w:rsid w:val="00B82047"/>
    <w:rsid w:val="00B82F93"/>
    <w:rsid w:val="00B831FF"/>
    <w:rsid w:val="00B832E8"/>
    <w:rsid w:val="00B85894"/>
    <w:rsid w:val="00B86816"/>
    <w:rsid w:val="00B87716"/>
    <w:rsid w:val="00B9197E"/>
    <w:rsid w:val="00B926B4"/>
    <w:rsid w:val="00B94BBC"/>
    <w:rsid w:val="00B94CA7"/>
    <w:rsid w:val="00B955B4"/>
    <w:rsid w:val="00B957D7"/>
    <w:rsid w:val="00B95A8D"/>
    <w:rsid w:val="00B96D0F"/>
    <w:rsid w:val="00B96D34"/>
    <w:rsid w:val="00B9700E"/>
    <w:rsid w:val="00B971EC"/>
    <w:rsid w:val="00B97FFC"/>
    <w:rsid w:val="00BA078C"/>
    <w:rsid w:val="00BA10DB"/>
    <w:rsid w:val="00BA132B"/>
    <w:rsid w:val="00BA15D7"/>
    <w:rsid w:val="00BA16DE"/>
    <w:rsid w:val="00BA1A4A"/>
    <w:rsid w:val="00BA2494"/>
    <w:rsid w:val="00BA27BB"/>
    <w:rsid w:val="00BA30DC"/>
    <w:rsid w:val="00BA3187"/>
    <w:rsid w:val="00BA3D52"/>
    <w:rsid w:val="00BA43AC"/>
    <w:rsid w:val="00BA5DC8"/>
    <w:rsid w:val="00BA62B5"/>
    <w:rsid w:val="00BA6802"/>
    <w:rsid w:val="00BA7127"/>
    <w:rsid w:val="00BA7C29"/>
    <w:rsid w:val="00BA7FBD"/>
    <w:rsid w:val="00BB02F3"/>
    <w:rsid w:val="00BB08C8"/>
    <w:rsid w:val="00BB0C13"/>
    <w:rsid w:val="00BB11A1"/>
    <w:rsid w:val="00BB136B"/>
    <w:rsid w:val="00BB180A"/>
    <w:rsid w:val="00BB1973"/>
    <w:rsid w:val="00BB1EE8"/>
    <w:rsid w:val="00BB3674"/>
    <w:rsid w:val="00BB4320"/>
    <w:rsid w:val="00BB4392"/>
    <w:rsid w:val="00BB5C32"/>
    <w:rsid w:val="00BB6FA5"/>
    <w:rsid w:val="00BC0C3C"/>
    <w:rsid w:val="00BC1CB9"/>
    <w:rsid w:val="00BC1D13"/>
    <w:rsid w:val="00BC3F0D"/>
    <w:rsid w:val="00BC4AFD"/>
    <w:rsid w:val="00BC62EE"/>
    <w:rsid w:val="00BC7142"/>
    <w:rsid w:val="00BC7E9D"/>
    <w:rsid w:val="00BD0184"/>
    <w:rsid w:val="00BD0375"/>
    <w:rsid w:val="00BD17A8"/>
    <w:rsid w:val="00BD27EA"/>
    <w:rsid w:val="00BD47B8"/>
    <w:rsid w:val="00BD5DB0"/>
    <w:rsid w:val="00BD5EC9"/>
    <w:rsid w:val="00BD66BF"/>
    <w:rsid w:val="00BD6B1E"/>
    <w:rsid w:val="00BD7350"/>
    <w:rsid w:val="00BD7C9F"/>
    <w:rsid w:val="00BE06D5"/>
    <w:rsid w:val="00BE0EEF"/>
    <w:rsid w:val="00BE116B"/>
    <w:rsid w:val="00BE1D50"/>
    <w:rsid w:val="00BE2011"/>
    <w:rsid w:val="00BE2368"/>
    <w:rsid w:val="00BE42AA"/>
    <w:rsid w:val="00BE5849"/>
    <w:rsid w:val="00BE6F9F"/>
    <w:rsid w:val="00BE743D"/>
    <w:rsid w:val="00BE7746"/>
    <w:rsid w:val="00BF0315"/>
    <w:rsid w:val="00BF0873"/>
    <w:rsid w:val="00BF1B79"/>
    <w:rsid w:val="00BF20A8"/>
    <w:rsid w:val="00BF21E5"/>
    <w:rsid w:val="00BF2868"/>
    <w:rsid w:val="00BF2C25"/>
    <w:rsid w:val="00BF30FB"/>
    <w:rsid w:val="00BF3F44"/>
    <w:rsid w:val="00BF45EA"/>
    <w:rsid w:val="00BF4DAF"/>
    <w:rsid w:val="00BF5E27"/>
    <w:rsid w:val="00BF6081"/>
    <w:rsid w:val="00BF69C8"/>
    <w:rsid w:val="00BF6ADE"/>
    <w:rsid w:val="00C00574"/>
    <w:rsid w:val="00C00D9E"/>
    <w:rsid w:val="00C0168B"/>
    <w:rsid w:val="00C01886"/>
    <w:rsid w:val="00C01FDA"/>
    <w:rsid w:val="00C022BB"/>
    <w:rsid w:val="00C038CD"/>
    <w:rsid w:val="00C03948"/>
    <w:rsid w:val="00C039EF"/>
    <w:rsid w:val="00C03AAD"/>
    <w:rsid w:val="00C03FC2"/>
    <w:rsid w:val="00C04E29"/>
    <w:rsid w:val="00C06615"/>
    <w:rsid w:val="00C114CA"/>
    <w:rsid w:val="00C1182A"/>
    <w:rsid w:val="00C118AC"/>
    <w:rsid w:val="00C11E40"/>
    <w:rsid w:val="00C11EC9"/>
    <w:rsid w:val="00C1215E"/>
    <w:rsid w:val="00C1354F"/>
    <w:rsid w:val="00C13BE3"/>
    <w:rsid w:val="00C14830"/>
    <w:rsid w:val="00C160DF"/>
    <w:rsid w:val="00C17A9C"/>
    <w:rsid w:val="00C2010C"/>
    <w:rsid w:val="00C20328"/>
    <w:rsid w:val="00C214D2"/>
    <w:rsid w:val="00C2192A"/>
    <w:rsid w:val="00C23EEE"/>
    <w:rsid w:val="00C23F05"/>
    <w:rsid w:val="00C25112"/>
    <w:rsid w:val="00C25A71"/>
    <w:rsid w:val="00C270B5"/>
    <w:rsid w:val="00C2725D"/>
    <w:rsid w:val="00C27624"/>
    <w:rsid w:val="00C27BF7"/>
    <w:rsid w:val="00C31EB9"/>
    <w:rsid w:val="00C320DC"/>
    <w:rsid w:val="00C3222B"/>
    <w:rsid w:val="00C32775"/>
    <w:rsid w:val="00C33674"/>
    <w:rsid w:val="00C33967"/>
    <w:rsid w:val="00C34829"/>
    <w:rsid w:val="00C34B53"/>
    <w:rsid w:val="00C35D5F"/>
    <w:rsid w:val="00C37880"/>
    <w:rsid w:val="00C37962"/>
    <w:rsid w:val="00C40BBF"/>
    <w:rsid w:val="00C40D6B"/>
    <w:rsid w:val="00C40D8D"/>
    <w:rsid w:val="00C4146F"/>
    <w:rsid w:val="00C42D6E"/>
    <w:rsid w:val="00C432F6"/>
    <w:rsid w:val="00C4353D"/>
    <w:rsid w:val="00C438EB"/>
    <w:rsid w:val="00C44531"/>
    <w:rsid w:val="00C44D3B"/>
    <w:rsid w:val="00C458EF"/>
    <w:rsid w:val="00C45DD1"/>
    <w:rsid w:val="00C46B86"/>
    <w:rsid w:val="00C51277"/>
    <w:rsid w:val="00C533E4"/>
    <w:rsid w:val="00C5353F"/>
    <w:rsid w:val="00C537F2"/>
    <w:rsid w:val="00C54582"/>
    <w:rsid w:val="00C557CF"/>
    <w:rsid w:val="00C577D0"/>
    <w:rsid w:val="00C578CF"/>
    <w:rsid w:val="00C57BA7"/>
    <w:rsid w:val="00C610C9"/>
    <w:rsid w:val="00C6120C"/>
    <w:rsid w:val="00C62B83"/>
    <w:rsid w:val="00C63403"/>
    <w:rsid w:val="00C64651"/>
    <w:rsid w:val="00C64974"/>
    <w:rsid w:val="00C65B32"/>
    <w:rsid w:val="00C6680E"/>
    <w:rsid w:val="00C6734A"/>
    <w:rsid w:val="00C67682"/>
    <w:rsid w:val="00C67C11"/>
    <w:rsid w:val="00C70770"/>
    <w:rsid w:val="00C72059"/>
    <w:rsid w:val="00C720AA"/>
    <w:rsid w:val="00C72334"/>
    <w:rsid w:val="00C728BA"/>
    <w:rsid w:val="00C729B3"/>
    <w:rsid w:val="00C72BF8"/>
    <w:rsid w:val="00C72D04"/>
    <w:rsid w:val="00C7354D"/>
    <w:rsid w:val="00C74F6F"/>
    <w:rsid w:val="00C7563F"/>
    <w:rsid w:val="00C75CDE"/>
    <w:rsid w:val="00C76E49"/>
    <w:rsid w:val="00C7715F"/>
    <w:rsid w:val="00C7728A"/>
    <w:rsid w:val="00C81135"/>
    <w:rsid w:val="00C81F06"/>
    <w:rsid w:val="00C82E53"/>
    <w:rsid w:val="00C86B94"/>
    <w:rsid w:val="00C87A4A"/>
    <w:rsid w:val="00C87EE1"/>
    <w:rsid w:val="00C90148"/>
    <w:rsid w:val="00C913DD"/>
    <w:rsid w:val="00C914F4"/>
    <w:rsid w:val="00C918CD"/>
    <w:rsid w:val="00C91997"/>
    <w:rsid w:val="00C91BD5"/>
    <w:rsid w:val="00C928EC"/>
    <w:rsid w:val="00C9325A"/>
    <w:rsid w:val="00C93760"/>
    <w:rsid w:val="00C93B23"/>
    <w:rsid w:val="00C950FB"/>
    <w:rsid w:val="00C95814"/>
    <w:rsid w:val="00C975CA"/>
    <w:rsid w:val="00C97AE1"/>
    <w:rsid w:val="00C97CA0"/>
    <w:rsid w:val="00CA075F"/>
    <w:rsid w:val="00CA1C04"/>
    <w:rsid w:val="00CA3C45"/>
    <w:rsid w:val="00CB1FFE"/>
    <w:rsid w:val="00CB20BF"/>
    <w:rsid w:val="00CB284C"/>
    <w:rsid w:val="00CB2F6E"/>
    <w:rsid w:val="00CB37D4"/>
    <w:rsid w:val="00CB3D52"/>
    <w:rsid w:val="00CB407E"/>
    <w:rsid w:val="00CB4279"/>
    <w:rsid w:val="00CB442E"/>
    <w:rsid w:val="00CB4712"/>
    <w:rsid w:val="00CB62EF"/>
    <w:rsid w:val="00CB65C1"/>
    <w:rsid w:val="00CB6C05"/>
    <w:rsid w:val="00CB7329"/>
    <w:rsid w:val="00CC0170"/>
    <w:rsid w:val="00CC17DC"/>
    <w:rsid w:val="00CC396C"/>
    <w:rsid w:val="00CC5130"/>
    <w:rsid w:val="00CC57BA"/>
    <w:rsid w:val="00CC590B"/>
    <w:rsid w:val="00CC66C0"/>
    <w:rsid w:val="00CC728E"/>
    <w:rsid w:val="00CD019F"/>
    <w:rsid w:val="00CD2C35"/>
    <w:rsid w:val="00CD359E"/>
    <w:rsid w:val="00CD42BA"/>
    <w:rsid w:val="00CD5562"/>
    <w:rsid w:val="00CD558A"/>
    <w:rsid w:val="00CD5749"/>
    <w:rsid w:val="00CD6922"/>
    <w:rsid w:val="00CD6D6C"/>
    <w:rsid w:val="00CD703B"/>
    <w:rsid w:val="00CD7E8E"/>
    <w:rsid w:val="00CE150E"/>
    <w:rsid w:val="00CE204B"/>
    <w:rsid w:val="00CE3039"/>
    <w:rsid w:val="00CE3F83"/>
    <w:rsid w:val="00CE6F8D"/>
    <w:rsid w:val="00CF0261"/>
    <w:rsid w:val="00CF03FE"/>
    <w:rsid w:val="00CF04C9"/>
    <w:rsid w:val="00CF0E02"/>
    <w:rsid w:val="00CF1063"/>
    <w:rsid w:val="00CF1222"/>
    <w:rsid w:val="00CF1A71"/>
    <w:rsid w:val="00CF244F"/>
    <w:rsid w:val="00CF352D"/>
    <w:rsid w:val="00CF37D4"/>
    <w:rsid w:val="00CF3FEB"/>
    <w:rsid w:val="00CF501A"/>
    <w:rsid w:val="00CF5ACB"/>
    <w:rsid w:val="00CF609C"/>
    <w:rsid w:val="00CF7418"/>
    <w:rsid w:val="00D0024A"/>
    <w:rsid w:val="00D00966"/>
    <w:rsid w:val="00D0120B"/>
    <w:rsid w:val="00D019FE"/>
    <w:rsid w:val="00D02248"/>
    <w:rsid w:val="00D0288C"/>
    <w:rsid w:val="00D02C84"/>
    <w:rsid w:val="00D02C8C"/>
    <w:rsid w:val="00D04785"/>
    <w:rsid w:val="00D04EFA"/>
    <w:rsid w:val="00D059C8"/>
    <w:rsid w:val="00D064FD"/>
    <w:rsid w:val="00D06796"/>
    <w:rsid w:val="00D07CDD"/>
    <w:rsid w:val="00D1161C"/>
    <w:rsid w:val="00D12EF8"/>
    <w:rsid w:val="00D132B4"/>
    <w:rsid w:val="00D1374E"/>
    <w:rsid w:val="00D13A2F"/>
    <w:rsid w:val="00D1482B"/>
    <w:rsid w:val="00D15FFF"/>
    <w:rsid w:val="00D16084"/>
    <w:rsid w:val="00D177CD"/>
    <w:rsid w:val="00D204AD"/>
    <w:rsid w:val="00D212AC"/>
    <w:rsid w:val="00D21385"/>
    <w:rsid w:val="00D226B9"/>
    <w:rsid w:val="00D227F9"/>
    <w:rsid w:val="00D22F33"/>
    <w:rsid w:val="00D2489E"/>
    <w:rsid w:val="00D25ADC"/>
    <w:rsid w:val="00D25DB3"/>
    <w:rsid w:val="00D26A0F"/>
    <w:rsid w:val="00D26D54"/>
    <w:rsid w:val="00D26F74"/>
    <w:rsid w:val="00D2770F"/>
    <w:rsid w:val="00D27CA3"/>
    <w:rsid w:val="00D308A9"/>
    <w:rsid w:val="00D30FA6"/>
    <w:rsid w:val="00D310EE"/>
    <w:rsid w:val="00D33327"/>
    <w:rsid w:val="00D3335C"/>
    <w:rsid w:val="00D33A17"/>
    <w:rsid w:val="00D33B08"/>
    <w:rsid w:val="00D33D59"/>
    <w:rsid w:val="00D34089"/>
    <w:rsid w:val="00D36EA7"/>
    <w:rsid w:val="00D36F85"/>
    <w:rsid w:val="00D4008B"/>
    <w:rsid w:val="00D4101A"/>
    <w:rsid w:val="00D41181"/>
    <w:rsid w:val="00D4306B"/>
    <w:rsid w:val="00D43AB9"/>
    <w:rsid w:val="00D44441"/>
    <w:rsid w:val="00D45941"/>
    <w:rsid w:val="00D473D7"/>
    <w:rsid w:val="00D50B64"/>
    <w:rsid w:val="00D51BC9"/>
    <w:rsid w:val="00D51DA8"/>
    <w:rsid w:val="00D52323"/>
    <w:rsid w:val="00D552C6"/>
    <w:rsid w:val="00D55E3D"/>
    <w:rsid w:val="00D56F72"/>
    <w:rsid w:val="00D57157"/>
    <w:rsid w:val="00D574A5"/>
    <w:rsid w:val="00D60030"/>
    <w:rsid w:val="00D601AA"/>
    <w:rsid w:val="00D603BE"/>
    <w:rsid w:val="00D629B2"/>
    <w:rsid w:val="00D6302C"/>
    <w:rsid w:val="00D6331A"/>
    <w:rsid w:val="00D63781"/>
    <w:rsid w:val="00D64341"/>
    <w:rsid w:val="00D65892"/>
    <w:rsid w:val="00D6675B"/>
    <w:rsid w:val="00D66FDE"/>
    <w:rsid w:val="00D677FC"/>
    <w:rsid w:val="00D70964"/>
    <w:rsid w:val="00D70D49"/>
    <w:rsid w:val="00D717CF"/>
    <w:rsid w:val="00D73208"/>
    <w:rsid w:val="00D73834"/>
    <w:rsid w:val="00D74A0D"/>
    <w:rsid w:val="00D74AF4"/>
    <w:rsid w:val="00D751F5"/>
    <w:rsid w:val="00D755B5"/>
    <w:rsid w:val="00D7581B"/>
    <w:rsid w:val="00D76C89"/>
    <w:rsid w:val="00D77C85"/>
    <w:rsid w:val="00D80007"/>
    <w:rsid w:val="00D80970"/>
    <w:rsid w:val="00D80AA4"/>
    <w:rsid w:val="00D813FF"/>
    <w:rsid w:val="00D822E0"/>
    <w:rsid w:val="00D8238D"/>
    <w:rsid w:val="00D8268A"/>
    <w:rsid w:val="00D835E9"/>
    <w:rsid w:val="00D83D64"/>
    <w:rsid w:val="00D83F1F"/>
    <w:rsid w:val="00D8427C"/>
    <w:rsid w:val="00D8434E"/>
    <w:rsid w:val="00D856CC"/>
    <w:rsid w:val="00D85CE6"/>
    <w:rsid w:val="00D8668E"/>
    <w:rsid w:val="00D86E58"/>
    <w:rsid w:val="00D901BD"/>
    <w:rsid w:val="00D9144B"/>
    <w:rsid w:val="00D915AA"/>
    <w:rsid w:val="00D9167D"/>
    <w:rsid w:val="00D91E5D"/>
    <w:rsid w:val="00D9229B"/>
    <w:rsid w:val="00D93D5E"/>
    <w:rsid w:val="00D946EF"/>
    <w:rsid w:val="00D9519A"/>
    <w:rsid w:val="00D95AEB"/>
    <w:rsid w:val="00D95E0F"/>
    <w:rsid w:val="00D95EAE"/>
    <w:rsid w:val="00D960F4"/>
    <w:rsid w:val="00D96AE0"/>
    <w:rsid w:val="00DA103D"/>
    <w:rsid w:val="00DA1A47"/>
    <w:rsid w:val="00DA1D87"/>
    <w:rsid w:val="00DA1E4E"/>
    <w:rsid w:val="00DA1F0E"/>
    <w:rsid w:val="00DA1F8A"/>
    <w:rsid w:val="00DA41E5"/>
    <w:rsid w:val="00DA52B8"/>
    <w:rsid w:val="00DA57C1"/>
    <w:rsid w:val="00DA6F4D"/>
    <w:rsid w:val="00DA7F75"/>
    <w:rsid w:val="00DB0690"/>
    <w:rsid w:val="00DB08C8"/>
    <w:rsid w:val="00DB0F39"/>
    <w:rsid w:val="00DB15EA"/>
    <w:rsid w:val="00DB1AF5"/>
    <w:rsid w:val="00DB4376"/>
    <w:rsid w:val="00DB4520"/>
    <w:rsid w:val="00DB4613"/>
    <w:rsid w:val="00DB4D25"/>
    <w:rsid w:val="00DB7BF4"/>
    <w:rsid w:val="00DC0EBA"/>
    <w:rsid w:val="00DC11CF"/>
    <w:rsid w:val="00DC121F"/>
    <w:rsid w:val="00DC1FE7"/>
    <w:rsid w:val="00DC20FB"/>
    <w:rsid w:val="00DC2399"/>
    <w:rsid w:val="00DC250B"/>
    <w:rsid w:val="00DC3BBE"/>
    <w:rsid w:val="00DC4148"/>
    <w:rsid w:val="00DC435D"/>
    <w:rsid w:val="00DC466E"/>
    <w:rsid w:val="00DC56FC"/>
    <w:rsid w:val="00DC792A"/>
    <w:rsid w:val="00DD1451"/>
    <w:rsid w:val="00DD202E"/>
    <w:rsid w:val="00DD2581"/>
    <w:rsid w:val="00DD2D35"/>
    <w:rsid w:val="00DD2F64"/>
    <w:rsid w:val="00DD3F83"/>
    <w:rsid w:val="00DD48C9"/>
    <w:rsid w:val="00DD4B30"/>
    <w:rsid w:val="00DD65F3"/>
    <w:rsid w:val="00DD71F0"/>
    <w:rsid w:val="00DD7A70"/>
    <w:rsid w:val="00DD7BA5"/>
    <w:rsid w:val="00DE0984"/>
    <w:rsid w:val="00DE1917"/>
    <w:rsid w:val="00DE229A"/>
    <w:rsid w:val="00DE27D3"/>
    <w:rsid w:val="00DE341D"/>
    <w:rsid w:val="00DE3B19"/>
    <w:rsid w:val="00DE4CBA"/>
    <w:rsid w:val="00DE4D74"/>
    <w:rsid w:val="00DE685D"/>
    <w:rsid w:val="00DE7246"/>
    <w:rsid w:val="00DF13B4"/>
    <w:rsid w:val="00DF18DD"/>
    <w:rsid w:val="00DF2D01"/>
    <w:rsid w:val="00DF2DC3"/>
    <w:rsid w:val="00DF30CC"/>
    <w:rsid w:val="00DF30EF"/>
    <w:rsid w:val="00DF3D50"/>
    <w:rsid w:val="00DF3FE7"/>
    <w:rsid w:val="00DF6116"/>
    <w:rsid w:val="00DF6175"/>
    <w:rsid w:val="00DF73D2"/>
    <w:rsid w:val="00DF7A48"/>
    <w:rsid w:val="00E00D02"/>
    <w:rsid w:val="00E01BA7"/>
    <w:rsid w:val="00E02292"/>
    <w:rsid w:val="00E02DDE"/>
    <w:rsid w:val="00E034FA"/>
    <w:rsid w:val="00E03E8C"/>
    <w:rsid w:val="00E03FED"/>
    <w:rsid w:val="00E04273"/>
    <w:rsid w:val="00E04548"/>
    <w:rsid w:val="00E05BE9"/>
    <w:rsid w:val="00E067AF"/>
    <w:rsid w:val="00E06F1A"/>
    <w:rsid w:val="00E0720C"/>
    <w:rsid w:val="00E079F3"/>
    <w:rsid w:val="00E10762"/>
    <w:rsid w:val="00E11325"/>
    <w:rsid w:val="00E11494"/>
    <w:rsid w:val="00E11AD8"/>
    <w:rsid w:val="00E12F54"/>
    <w:rsid w:val="00E1571E"/>
    <w:rsid w:val="00E162DA"/>
    <w:rsid w:val="00E1658F"/>
    <w:rsid w:val="00E16B3F"/>
    <w:rsid w:val="00E16BD5"/>
    <w:rsid w:val="00E174F9"/>
    <w:rsid w:val="00E178E4"/>
    <w:rsid w:val="00E206CF"/>
    <w:rsid w:val="00E20D34"/>
    <w:rsid w:val="00E2159C"/>
    <w:rsid w:val="00E21715"/>
    <w:rsid w:val="00E24409"/>
    <w:rsid w:val="00E24B78"/>
    <w:rsid w:val="00E2534F"/>
    <w:rsid w:val="00E2559C"/>
    <w:rsid w:val="00E2587F"/>
    <w:rsid w:val="00E25B6E"/>
    <w:rsid w:val="00E25F2C"/>
    <w:rsid w:val="00E263B9"/>
    <w:rsid w:val="00E26633"/>
    <w:rsid w:val="00E26B35"/>
    <w:rsid w:val="00E27784"/>
    <w:rsid w:val="00E30433"/>
    <w:rsid w:val="00E30521"/>
    <w:rsid w:val="00E313DF"/>
    <w:rsid w:val="00E314B3"/>
    <w:rsid w:val="00E31707"/>
    <w:rsid w:val="00E3171C"/>
    <w:rsid w:val="00E31DA8"/>
    <w:rsid w:val="00E33192"/>
    <w:rsid w:val="00E3358E"/>
    <w:rsid w:val="00E34ADC"/>
    <w:rsid w:val="00E34E81"/>
    <w:rsid w:val="00E35785"/>
    <w:rsid w:val="00E35C29"/>
    <w:rsid w:val="00E36B29"/>
    <w:rsid w:val="00E36DDC"/>
    <w:rsid w:val="00E37B1F"/>
    <w:rsid w:val="00E37FEC"/>
    <w:rsid w:val="00E403CB"/>
    <w:rsid w:val="00E43231"/>
    <w:rsid w:val="00E441C6"/>
    <w:rsid w:val="00E44C70"/>
    <w:rsid w:val="00E46509"/>
    <w:rsid w:val="00E4704E"/>
    <w:rsid w:val="00E50571"/>
    <w:rsid w:val="00E50B21"/>
    <w:rsid w:val="00E50EDE"/>
    <w:rsid w:val="00E548DD"/>
    <w:rsid w:val="00E54C77"/>
    <w:rsid w:val="00E55F8B"/>
    <w:rsid w:val="00E55FE3"/>
    <w:rsid w:val="00E617DB"/>
    <w:rsid w:val="00E641A8"/>
    <w:rsid w:val="00E645A5"/>
    <w:rsid w:val="00E652B2"/>
    <w:rsid w:val="00E660D3"/>
    <w:rsid w:val="00E66C22"/>
    <w:rsid w:val="00E67900"/>
    <w:rsid w:val="00E67C21"/>
    <w:rsid w:val="00E704D6"/>
    <w:rsid w:val="00E715FC"/>
    <w:rsid w:val="00E71BBC"/>
    <w:rsid w:val="00E71CA9"/>
    <w:rsid w:val="00E724BA"/>
    <w:rsid w:val="00E728A7"/>
    <w:rsid w:val="00E72AAD"/>
    <w:rsid w:val="00E73AB1"/>
    <w:rsid w:val="00E743F5"/>
    <w:rsid w:val="00E760B6"/>
    <w:rsid w:val="00E7796D"/>
    <w:rsid w:val="00E77BFD"/>
    <w:rsid w:val="00E77E1F"/>
    <w:rsid w:val="00E80266"/>
    <w:rsid w:val="00E81016"/>
    <w:rsid w:val="00E82666"/>
    <w:rsid w:val="00E82CAC"/>
    <w:rsid w:val="00E83AB3"/>
    <w:rsid w:val="00E8401B"/>
    <w:rsid w:val="00E861E2"/>
    <w:rsid w:val="00E86FDD"/>
    <w:rsid w:val="00E87246"/>
    <w:rsid w:val="00E8769F"/>
    <w:rsid w:val="00E87DC6"/>
    <w:rsid w:val="00E9134F"/>
    <w:rsid w:val="00E92E95"/>
    <w:rsid w:val="00E92FDF"/>
    <w:rsid w:val="00E945FA"/>
    <w:rsid w:val="00E94777"/>
    <w:rsid w:val="00E94E3B"/>
    <w:rsid w:val="00E96201"/>
    <w:rsid w:val="00E974DB"/>
    <w:rsid w:val="00E977FD"/>
    <w:rsid w:val="00EA04D9"/>
    <w:rsid w:val="00EA12CE"/>
    <w:rsid w:val="00EA2085"/>
    <w:rsid w:val="00EA2EB7"/>
    <w:rsid w:val="00EA3D69"/>
    <w:rsid w:val="00EA411E"/>
    <w:rsid w:val="00EA4300"/>
    <w:rsid w:val="00EA51C3"/>
    <w:rsid w:val="00EA541B"/>
    <w:rsid w:val="00EA580A"/>
    <w:rsid w:val="00EA6035"/>
    <w:rsid w:val="00EA7484"/>
    <w:rsid w:val="00EB1890"/>
    <w:rsid w:val="00EB1C45"/>
    <w:rsid w:val="00EB2142"/>
    <w:rsid w:val="00EB25F6"/>
    <w:rsid w:val="00EB4817"/>
    <w:rsid w:val="00EB4E6D"/>
    <w:rsid w:val="00EB5068"/>
    <w:rsid w:val="00EB5275"/>
    <w:rsid w:val="00EB536B"/>
    <w:rsid w:val="00EB5CF3"/>
    <w:rsid w:val="00EB6682"/>
    <w:rsid w:val="00EB69BA"/>
    <w:rsid w:val="00EB6F9B"/>
    <w:rsid w:val="00EB70B7"/>
    <w:rsid w:val="00EB74FB"/>
    <w:rsid w:val="00EB76BB"/>
    <w:rsid w:val="00EB7805"/>
    <w:rsid w:val="00EC015B"/>
    <w:rsid w:val="00EC06A0"/>
    <w:rsid w:val="00EC10C3"/>
    <w:rsid w:val="00EC18D3"/>
    <w:rsid w:val="00EC1B2A"/>
    <w:rsid w:val="00EC448D"/>
    <w:rsid w:val="00EC5142"/>
    <w:rsid w:val="00EC547C"/>
    <w:rsid w:val="00EC5E24"/>
    <w:rsid w:val="00EC617F"/>
    <w:rsid w:val="00EC61EB"/>
    <w:rsid w:val="00EC6E31"/>
    <w:rsid w:val="00EC6E66"/>
    <w:rsid w:val="00EC6F0B"/>
    <w:rsid w:val="00EC78C7"/>
    <w:rsid w:val="00ED16EA"/>
    <w:rsid w:val="00ED1F28"/>
    <w:rsid w:val="00ED2050"/>
    <w:rsid w:val="00ED22CE"/>
    <w:rsid w:val="00ED3ED4"/>
    <w:rsid w:val="00ED70D1"/>
    <w:rsid w:val="00ED786D"/>
    <w:rsid w:val="00EE0E09"/>
    <w:rsid w:val="00EE28B1"/>
    <w:rsid w:val="00EE2DFC"/>
    <w:rsid w:val="00EE2E6F"/>
    <w:rsid w:val="00EE37F0"/>
    <w:rsid w:val="00EE3DC7"/>
    <w:rsid w:val="00EE5919"/>
    <w:rsid w:val="00EE5D83"/>
    <w:rsid w:val="00EE6421"/>
    <w:rsid w:val="00EE6EFA"/>
    <w:rsid w:val="00EE78F3"/>
    <w:rsid w:val="00EE7F92"/>
    <w:rsid w:val="00EF046B"/>
    <w:rsid w:val="00EF0506"/>
    <w:rsid w:val="00EF0C72"/>
    <w:rsid w:val="00EF10AE"/>
    <w:rsid w:val="00EF317E"/>
    <w:rsid w:val="00EF46BF"/>
    <w:rsid w:val="00EF46FA"/>
    <w:rsid w:val="00EF58E7"/>
    <w:rsid w:val="00EF5C5A"/>
    <w:rsid w:val="00EF60C1"/>
    <w:rsid w:val="00EF6752"/>
    <w:rsid w:val="00EF6CC6"/>
    <w:rsid w:val="00EF70D5"/>
    <w:rsid w:val="00EF71D6"/>
    <w:rsid w:val="00EF749E"/>
    <w:rsid w:val="00EF7BF9"/>
    <w:rsid w:val="00EF7D59"/>
    <w:rsid w:val="00F00B88"/>
    <w:rsid w:val="00F01CE2"/>
    <w:rsid w:val="00F01DF0"/>
    <w:rsid w:val="00F02ACB"/>
    <w:rsid w:val="00F02DD4"/>
    <w:rsid w:val="00F02E78"/>
    <w:rsid w:val="00F04956"/>
    <w:rsid w:val="00F049B8"/>
    <w:rsid w:val="00F06C42"/>
    <w:rsid w:val="00F077CF"/>
    <w:rsid w:val="00F106B1"/>
    <w:rsid w:val="00F1124E"/>
    <w:rsid w:val="00F11A26"/>
    <w:rsid w:val="00F12201"/>
    <w:rsid w:val="00F12B5E"/>
    <w:rsid w:val="00F13528"/>
    <w:rsid w:val="00F14A60"/>
    <w:rsid w:val="00F14ED4"/>
    <w:rsid w:val="00F14EFC"/>
    <w:rsid w:val="00F15569"/>
    <w:rsid w:val="00F15AFA"/>
    <w:rsid w:val="00F15F33"/>
    <w:rsid w:val="00F15FB0"/>
    <w:rsid w:val="00F17D6B"/>
    <w:rsid w:val="00F17F59"/>
    <w:rsid w:val="00F20474"/>
    <w:rsid w:val="00F208EF"/>
    <w:rsid w:val="00F2229F"/>
    <w:rsid w:val="00F2310E"/>
    <w:rsid w:val="00F23B54"/>
    <w:rsid w:val="00F23C19"/>
    <w:rsid w:val="00F23D88"/>
    <w:rsid w:val="00F24888"/>
    <w:rsid w:val="00F24AE0"/>
    <w:rsid w:val="00F256C8"/>
    <w:rsid w:val="00F25FA4"/>
    <w:rsid w:val="00F260B3"/>
    <w:rsid w:val="00F26803"/>
    <w:rsid w:val="00F270BE"/>
    <w:rsid w:val="00F27850"/>
    <w:rsid w:val="00F30C28"/>
    <w:rsid w:val="00F31387"/>
    <w:rsid w:val="00F31610"/>
    <w:rsid w:val="00F31627"/>
    <w:rsid w:val="00F327C3"/>
    <w:rsid w:val="00F32D8B"/>
    <w:rsid w:val="00F334CF"/>
    <w:rsid w:val="00F33EB8"/>
    <w:rsid w:val="00F34256"/>
    <w:rsid w:val="00F34E9A"/>
    <w:rsid w:val="00F357A9"/>
    <w:rsid w:val="00F36F3E"/>
    <w:rsid w:val="00F37411"/>
    <w:rsid w:val="00F37A47"/>
    <w:rsid w:val="00F40431"/>
    <w:rsid w:val="00F4053C"/>
    <w:rsid w:val="00F40853"/>
    <w:rsid w:val="00F415DF"/>
    <w:rsid w:val="00F42589"/>
    <w:rsid w:val="00F427B4"/>
    <w:rsid w:val="00F43AC1"/>
    <w:rsid w:val="00F43B61"/>
    <w:rsid w:val="00F43CE4"/>
    <w:rsid w:val="00F446B4"/>
    <w:rsid w:val="00F44AFD"/>
    <w:rsid w:val="00F46998"/>
    <w:rsid w:val="00F479EA"/>
    <w:rsid w:val="00F50134"/>
    <w:rsid w:val="00F5016F"/>
    <w:rsid w:val="00F5040E"/>
    <w:rsid w:val="00F52AC4"/>
    <w:rsid w:val="00F53390"/>
    <w:rsid w:val="00F53E6F"/>
    <w:rsid w:val="00F5413C"/>
    <w:rsid w:val="00F55428"/>
    <w:rsid w:val="00F55431"/>
    <w:rsid w:val="00F55791"/>
    <w:rsid w:val="00F557EB"/>
    <w:rsid w:val="00F55E66"/>
    <w:rsid w:val="00F56C78"/>
    <w:rsid w:val="00F57724"/>
    <w:rsid w:val="00F609D0"/>
    <w:rsid w:val="00F62570"/>
    <w:rsid w:val="00F62B39"/>
    <w:rsid w:val="00F63852"/>
    <w:rsid w:val="00F65127"/>
    <w:rsid w:val="00F66052"/>
    <w:rsid w:val="00F66574"/>
    <w:rsid w:val="00F6695E"/>
    <w:rsid w:val="00F67488"/>
    <w:rsid w:val="00F7146B"/>
    <w:rsid w:val="00F72C26"/>
    <w:rsid w:val="00F74F8A"/>
    <w:rsid w:val="00F75086"/>
    <w:rsid w:val="00F75A12"/>
    <w:rsid w:val="00F77963"/>
    <w:rsid w:val="00F8044C"/>
    <w:rsid w:val="00F80728"/>
    <w:rsid w:val="00F80FA1"/>
    <w:rsid w:val="00F817D5"/>
    <w:rsid w:val="00F82216"/>
    <w:rsid w:val="00F843D6"/>
    <w:rsid w:val="00F8465B"/>
    <w:rsid w:val="00F85326"/>
    <w:rsid w:val="00F866D0"/>
    <w:rsid w:val="00F87D5C"/>
    <w:rsid w:val="00F9178A"/>
    <w:rsid w:val="00F91B26"/>
    <w:rsid w:val="00F933D7"/>
    <w:rsid w:val="00F951E0"/>
    <w:rsid w:val="00F95A5E"/>
    <w:rsid w:val="00F968DF"/>
    <w:rsid w:val="00F96E59"/>
    <w:rsid w:val="00FA0387"/>
    <w:rsid w:val="00FA209A"/>
    <w:rsid w:val="00FA25B1"/>
    <w:rsid w:val="00FA2C59"/>
    <w:rsid w:val="00FA4C07"/>
    <w:rsid w:val="00FA502A"/>
    <w:rsid w:val="00FA53E1"/>
    <w:rsid w:val="00FA563D"/>
    <w:rsid w:val="00FA5845"/>
    <w:rsid w:val="00FA6290"/>
    <w:rsid w:val="00FA6A2A"/>
    <w:rsid w:val="00FA6EA6"/>
    <w:rsid w:val="00FA74CB"/>
    <w:rsid w:val="00FB0CA2"/>
    <w:rsid w:val="00FB2301"/>
    <w:rsid w:val="00FB233A"/>
    <w:rsid w:val="00FB290E"/>
    <w:rsid w:val="00FB3304"/>
    <w:rsid w:val="00FB3D93"/>
    <w:rsid w:val="00FB3FD9"/>
    <w:rsid w:val="00FB4664"/>
    <w:rsid w:val="00FB616D"/>
    <w:rsid w:val="00FB61B4"/>
    <w:rsid w:val="00FB6B07"/>
    <w:rsid w:val="00FC0253"/>
    <w:rsid w:val="00FC0851"/>
    <w:rsid w:val="00FC09BE"/>
    <w:rsid w:val="00FC145B"/>
    <w:rsid w:val="00FC1D0C"/>
    <w:rsid w:val="00FC215D"/>
    <w:rsid w:val="00FC2FD3"/>
    <w:rsid w:val="00FC3095"/>
    <w:rsid w:val="00FC49B2"/>
    <w:rsid w:val="00FC4EBD"/>
    <w:rsid w:val="00FC61F2"/>
    <w:rsid w:val="00FC78D6"/>
    <w:rsid w:val="00FD0312"/>
    <w:rsid w:val="00FD3DD1"/>
    <w:rsid w:val="00FD42C3"/>
    <w:rsid w:val="00FD55ED"/>
    <w:rsid w:val="00FD5BDB"/>
    <w:rsid w:val="00FD6A28"/>
    <w:rsid w:val="00FD6D48"/>
    <w:rsid w:val="00FD79A6"/>
    <w:rsid w:val="00FE0474"/>
    <w:rsid w:val="00FE12D3"/>
    <w:rsid w:val="00FE154D"/>
    <w:rsid w:val="00FE1AD5"/>
    <w:rsid w:val="00FE1EB7"/>
    <w:rsid w:val="00FE22D5"/>
    <w:rsid w:val="00FE27A7"/>
    <w:rsid w:val="00FE2B40"/>
    <w:rsid w:val="00FE33A0"/>
    <w:rsid w:val="00FE3513"/>
    <w:rsid w:val="00FE4970"/>
    <w:rsid w:val="00FE4F53"/>
    <w:rsid w:val="00FE516C"/>
    <w:rsid w:val="00FE67A5"/>
    <w:rsid w:val="00FE695F"/>
    <w:rsid w:val="00FE69D1"/>
    <w:rsid w:val="00FE6F7D"/>
    <w:rsid w:val="00FE7F9F"/>
    <w:rsid w:val="00FF0C5B"/>
    <w:rsid w:val="00FF1A7C"/>
    <w:rsid w:val="00FF1CD8"/>
    <w:rsid w:val="00FF2119"/>
    <w:rsid w:val="00FF2624"/>
    <w:rsid w:val="00FF2D40"/>
    <w:rsid w:val="00FF3CBA"/>
    <w:rsid w:val="00FF4CDD"/>
    <w:rsid w:val="00FF63B9"/>
    <w:rsid w:val="00FF657C"/>
    <w:rsid w:val="00FF6777"/>
    <w:rsid w:val="00FF67DC"/>
    <w:rsid w:val="013144F4"/>
    <w:rsid w:val="0164BC8C"/>
    <w:rsid w:val="016B20C0"/>
    <w:rsid w:val="01A61F13"/>
    <w:rsid w:val="02D1AF7A"/>
    <w:rsid w:val="030E5A61"/>
    <w:rsid w:val="03268C43"/>
    <w:rsid w:val="039A3902"/>
    <w:rsid w:val="042D26D2"/>
    <w:rsid w:val="044B4E47"/>
    <w:rsid w:val="0611FAAE"/>
    <w:rsid w:val="063EAEA4"/>
    <w:rsid w:val="06C28327"/>
    <w:rsid w:val="07319888"/>
    <w:rsid w:val="0780E794"/>
    <w:rsid w:val="08C7656F"/>
    <w:rsid w:val="0917CB41"/>
    <w:rsid w:val="0A4A7FFC"/>
    <w:rsid w:val="0A914B8B"/>
    <w:rsid w:val="0A982A33"/>
    <w:rsid w:val="0AF4D321"/>
    <w:rsid w:val="0B84A835"/>
    <w:rsid w:val="0C26D2F8"/>
    <w:rsid w:val="0C7FDD78"/>
    <w:rsid w:val="0DD552F0"/>
    <w:rsid w:val="0DF6D2FF"/>
    <w:rsid w:val="0E6460A4"/>
    <w:rsid w:val="10536BBA"/>
    <w:rsid w:val="115B5A97"/>
    <w:rsid w:val="11B91947"/>
    <w:rsid w:val="13610522"/>
    <w:rsid w:val="137CB612"/>
    <w:rsid w:val="13F71C3B"/>
    <w:rsid w:val="14D41CED"/>
    <w:rsid w:val="14EBF1EF"/>
    <w:rsid w:val="16266945"/>
    <w:rsid w:val="167C5971"/>
    <w:rsid w:val="16C8BE67"/>
    <w:rsid w:val="178B58F7"/>
    <w:rsid w:val="194D846D"/>
    <w:rsid w:val="19E3D8B5"/>
    <w:rsid w:val="1A8AF736"/>
    <w:rsid w:val="1AA3AA68"/>
    <w:rsid w:val="1B6A0AC8"/>
    <w:rsid w:val="1BE6F6C1"/>
    <w:rsid w:val="1CDD6C24"/>
    <w:rsid w:val="1CFCBB63"/>
    <w:rsid w:val="1E90D6D1"/>
    <w:rsid w:val="20197D2E"/>
    <w:rsid w:val="20FB5190"/>
    <w:rsid w:val="210CF9DD"/>
    <w:rsid w:val="2149A430"/>
    <w:rsid w:val="2177C617"/>
    <w:rsid w:val="224E05E2"/>
    <w:rsid w:val="231EC5C5"/>
    <w:rsid w:val="247470BC"/>
    <w:rsid w:val="24DDF2CC"/>
    <w:rsid w:val="24E4BF81"/>
    <w:rsid w:val="266B0B70"/>
    <w:rsid w:val="272B097D"/>
    <w:rsid w:val="27707E0A"/>
    <w:rsid w:val="283DE1FC"/>
    <w:rsid w:val="2870CE01"/>
    <w:rsid w:val="2A01F6A5"/>
    <w:rsid w:val="2A2FAD19"/>
    <w:rsid w:val="2A57786A"/>
    <w:rsid w:val="2AB2BF1D"/>
    <w:rsid w:val="2ADE8023"/>
    <w:rsid w:val="2C0C9902"/>
    <w:rsid w:val="2C265AE3"/>
    <w:rsid w:val="2CFE330F"/>
    <w:rsid w:val="2E515FFB"/>
    <w:rsid w:val="2EDFBD54"/>
    <w:rsid w:val="2FDC8EE4"/>
    <w:rsid w:val="302DE948"/>
    <w:rsid w:val="30348004"/>
    <w:rsid w:val="30649ECE"/>
    <w:rsid w:val="32DCB707"/>
    <w:rsid w:val="3305E8D8"/>
    <w:rsid w:val="330F4FCF"/>
    <w:rsid w:val="337DC64D"/>
    <w:rsid w:val="3390F76A"/>
    <w:rsid w:val="34BC1E5A"/>
    <w:rsid w:val="354CDCE1"/>
    <w:rsid w:val="35CDD3EB"/>
    <w:rsid w:val="35E2F895"/>
    <w:rsid w:val="3609B15F"/>
    <w:rsid w:val="367525D3"/>
    <w:rsid w:val="36C757E8"/>
    <w:rsid w:val="36E1945D"/>
    <w:rsid w:val="37AEDC95"/>
    <w:rsid w:val="3878C7C6"/>
    <w:rsid w:val="38A88D1F"/>
    <w:rsid w:val="393FA5C5"/>
    <w:rsid w:val="3AE6E688"/>
    <w:rsid w:val="3AFCFBF6"/>
    <w:rsid w:val="3B637A2E"/>
    <w:rsid w:val="3BE56E7C"/>
    <w:rsid w:val="3D0A94E1"/>
    <w:rsid w:val="3D62AF6A"/>
    <w:rsid w:val="3DDEB99E"/>
    <w:rsid w:val="3E0CC770"/>
    <w:rsid w:val="3E8FC730"/>
    <w:rsid w:val="3F0F0A68"/>
    <w:rsid w:val="3F68F75B"/>
    <w:rsid w:val="3F733AB7"/>
    <w:rsid w:val="4000387C"/>
    <w:rsid w:val="4020DC21"/>
    <w:rsid w:val="40734AD3"/>
    <w:rsid w:val="4087D2FA"/>
    <w:rsid w:val="408B64BF"/>
    <w:rsid w:val="4145F6E4"/>
    <w:rsid w:val="4184248E"/>
    <w:rsid w:val="4291698F"/>
    <w:rsid w:val="42D79A87"/>
    <w:rsid w:val="432E0C74"/>
    <w:rsid w:val="4336D8B4"/>
    <w:rsid w:val="43CDB2D6"/>
    <w:rsid w:val="43E1DFEF"/>
    <w:rsid w:val="448A8D89"/>
    <w:rsid w:val="44AA0BA5"/>
    <w:rsid w:val="44ADE871"/>
    <w:rsid w:val="44B187EC"/>
    <w:rsid w:val="45444E44"/>
    <w:rsid w:val="45B61E00"/>
    <w:rsid w:val="45E091B3"/>
    <w:rsid w:val="45F85C8F"/>
    <w:rsid w:val="4677EC12"/>
    <w:rsid w:val="4725423B"/>
    <w:rsid w:val="477774C0"/>
    <w:rsid w:val="47C6F596"/>
    <w:rsid w:val="48F1AFC3"/>
    <w:rsid w:val="493E9C92"/>
    <w:rsid w:val="49AFC03B"/>
    <w:rsid w:val="4A005646"/>
    <w:rsid w:val="4A5DC109"/>
    <w:rsid w:val="4B09677F"/>
    <w:rsid w:val="4B4B9F6B"/>
    <w:rsid w:val="4B628CF8"/>
    <w:rsid w:val="4B634095"/>
    <w:rsid w:val="4BCB2B23"/>
    <w:rsid w:val="4C3D3CDB"/>
    <w:rsid w:val="4C8A341A"/>
    <w:rsid w:val="4D0E115C"/>
    <w:rsid w:val="4D408BBC"/>
    <w:rsid w:val="4D9EE727"/>
    <w:rsid w:val="4DD993B2"/>
    <w:rsid w:val="4E7016F6"/>
    <w:rsid w:val="4E875A9F"/>
    <w:rsid w:val="4F567833"/>
    <w:rsid w:val="5064A607"/>
    <w:rsid w:val="50C0D814"/>
    <w:rsid w:val="51233409"/>
    <w:rsid w:val="5124E2D5"/>
    <w:rsid w:val="528E900D"/>
    <w:rsid w:val="5370E321"/>
    <w:rsid w:val="53D7202B"/>
    <w:rsid w:val="5406CBC1"/>
    <w:rsid w:val="5456B8F2"/>
    <w:rsid w:val="5654BC2C"/>
    <w:rsid w:val="5674A4EF"/>
    <w:rsid w:val="56A243D8"/>
    <w:rsid w:val="571CA549"/>
    <w:rsid w:val="579384EF"/>
    <w:rsid w:val="57EA4E11"/>
    <w:rsid w:val="57FC98B8"/>
    <w:rsid w:val="587D59FA"/>
    <w:rsid w:val="58F3780C"/>
    <w:rsid w:val="597B2F1E"/>
    <w:rsid w:val="5A62473A"/>
    <w:rsid w:val="5AB1283E"/>
    <w:rsid w:val="5BE20400"/>
    <w:rsid w:val="5C4F9547"/>
    <w:rsid w:val="5C89B092"/>
    <w:rsid w:val="5DF752BC"/>
    <w:rsid w:val="5F3929AE"/>
    <w:rsid w:val="622B6804"/>
    <w:rsid w:val="62380946"/>
    <w:rsid w:val="63B84A89"/>
    <w:rsid w:val="63F31564"/>
    <w:rsid w:val="63FE6861"/>
    <w:rsid w:val="64251432"/>
    <w:rsid w:val="64D158BB"/>
    <w:rsid w:val="650A2A88"/>
    <w:rsid w:val="65EFFD29"/>
    <w:rsid w:val="663D163D"/>
    <w:rsid w:val="669D94A0"/>
    <w:rsid w:val="66A97E41"/>
    <w:rsid w:val="66B577D5"/>
    <w:rsid w:val="66B65553"/>
    <w:rsid w:val="66CE8595"/>
    <w:rsid w:val="682D8E7A"/>
    <w:rsid w:val="691942DF"/>
    <w:rsid w:val="6950BB6B"/>
    <w:rsid w:val="6A1495FC"/>
    <w:rsid w:val="6A1D0586"/>
    <w:rsid w:val="6A9B8ADE"/>
    <w:rsid w:val="6AFFBD02"/>
    <w:rsid w:val="6BEB34A0"/>
    <w:rsid w:val="6DC34DA7"/>
    <w:rsid w:val="6E165D4A"/>
    <w:rsid w:val="6EA2FE62"/>
    <w:rsid w:val="6F412DE8"/>
    <w:rsid w:val="6FA927D0"/>
    <w:rsid w:val="6FBE76FE"/>
    <w:rsid w:val="701F0EC9"/>
    <w:rsid w:val="7043A0C8"/>
    <w:rsid w:val="7054A186"/>
    <w:rsid w:val="712FE795"/>
    <w:rsid w:val="715C3D71"/>
    <w:rsid w:val="719CDF33"/>
    <w:rsid w:val="71A8C5DD"/>
    <w:rsid w:val="72F40B73"/>
    <w:rsid w:val="740550EE"/>
    <w:rsid w:val="74E29DD9"/>
    <w:rsid w:val="7614D637"/>
    <w:rsid w:val="77472409"/>
    <w:rsid w:val="77B3688C"/>
    <w:rsid w:val="787B99A9"/>
    <w:rsid w:val="78E60487"/>
    <w:rsid w:val="799B61DE"/>
    <w:rsid w:val="7AFBE177"/>
    <w:rsid w:val="7B59975B"/>
    <w:rsid w:val="7F4400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EA44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19C"/>
    <w:pPr>
      <w:spacing w:line="288" w:lineRule="auto"/>
      <w:contextualSpacing/>
    </w:pPr>
    <w:rPr>
      <w:rFonts w:ascii="Verdana" w:eastAsiaTheme="minorHAnsi" w:hAnsi="Verdana"/>
      <w:kern w:val="2"/>
      <w14:ligatures w14:val="standardContextual"/>
    </w:rPr>
  </w:style>
  <w:style w:type="paragraph" w:styleId="Heading1">
    <w:name w:val="heading 1"/>
    <w:basedOn w:val="BasicParagraph"/>
    <w:next w:val="Normal"/>
    <w:link w:val="Heading1Char"/>
    <w:uiPriority w:val="9"/>
    <w:qFormat/>
    <w:rsid w:val="00B4519C"/>
    <w:pPr>
      <w:numPr>
        <w:numId w:val="9"/>
      </w:numPr>
      <w:suppressAutoHyphens/>
      <w:outlineLvl w:val="0"/>
    </w:pPr>
    <w:rPr>
      <w:rFonts w:ascii="Verdana" w:hAnsi="Verdana" w:cs="Arial"/>
      <w:b/>
      <w:color w:val="77328A"/>
      <w:sz w:val="30"/>
      <w:szCs w:val="30"/>
    </w:rPr>
  </w:style>
  <w:style w:type="paragraph" w:styleId="Heading2">
    <w:name w:val="heading 2"/>
    <w:basedOn w:val="Normal"/>
    <w:next w:val="Normal"/>
    <w:link w:val="Heading2Char"/>
    <w:uiPriority w:val="9"/>
    <w:unhideWhenUsed/>
    <w:qFormat/>
    <w:rsid w:val="008E3C65"/>
    <w:pPr>
      <w:spacing w:before="120" w:after="240"/>
      <w:outlineLvl w:val="1"/>
    </w:pPr>
    <w:rPr>
      <w:b/>
      <w:bCs/>
    </w:rPr>
  </w:style>
  <w:style w:type="paragraph" w:styleId="Heading3">
    <w:name w:val="heading 3"/>
    <w:basedOn w:val="Normal"/>
    <w:next w:val="Normal"/>
    <w:link w:val="Heading3Char"/>
    <w:uiPriority w:val="9"/>
    <w:unhideWhenUsed/>
    <w:qFormat/>
    <w:rsid w:val="00FA5845"/>
    <w:pPr>
      <w:keepNext/>
      <w:keepLines/>
      <w:spacing w:before="120" w:after="120"/>
      <w:outlineLvl w:val="2"/>
    </w:pPr>
    <w:rPr>
      <w:rFonts w:eastAsiaTheme="majorEastAsia" w:cstheme="majorBidi"/>
      <w:i/>
      <w:color w:val="000000" w:themeColor="text1"/>
    </w:rPr>
  </w:style>
  <w:style w:type="paragraph" w:styleId="Heading6">
    <w:name w:val="heading 6"/>
    <w:basedOn w:val="Normal"/>
    <w:next w:val="Normal"/>
    <w:link w:val="Heading6Char"/>
    <w:uiPriority w:val="9"/>
    <w:semiHidden/>
    <w:unhideWhenUsed/>
    <w:qFormat/>
    <w:rsid w:val="002241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B2B"/>
    <w:pPr>
      <w:tabs>
        <w:tab w:val="center" w:pos="4320"/>
        <w:tab w:val="right" w:pos="8640"/>
      </w:tabs>
    </w:pPr>
  </w:style>
  <w:style w:type="character" w:customStyle="1" w:styleId="HeaderChar">
    <w:name w:val="Header Char"/>
    <w:basedOn w:val="DefaultParagraphFont"/>
    <w:link w:val="Header"/>
    <w:uiPriority w:val="99"/>
    <w:rsid w:val="00962B2B"/>
  </w:style>
  <w:style w:type="paragraph" w:styleId="Footer">
    <w:name w:val="footer"/>
    <w:basedOn w:val="Normal"/>
    <w:link w:val="FooterChar"/>
    <w:uiPriority w:val="99"/>
    <w:unhideWhenUsed/>
    <w:rsid w:val="00962B2B"/>
    <w:pPr>
      <w:tabs>
        <w:tab w:val="center" w:pos="4320"/>
        <w:tab w:val="right" w:pos="8640"/>
      </w:tabs>
    </w:pPr>
  </w:style>
  <w:style w:type="character" w:customStyle="1" w:styleId="FooterChar">
    <w:name w:val="Footer Char"/>
    <w:basedOn w:val="DefaultParagraphFont"/>
    <w:link w:val="Footer"/>
    <w:uiPriority w:val="99"/>
    <w:rsid w:val="00962B2B"/>
  </w:style>
  <w:style w:type="paragraph" w:styleId="BalloonText">
    <w:name w:val="Balloon Text"/>
    <w:basedOn w:val="Normal"/>
    <w:link w:val="BalloonTextChar"/>
    <w:uiPriority w:val="99"/>
    <w:semiHidden/>
    <w:unhideWhenUsed/>
    <w:rsid w:val="00962B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2B2B"/>
    <w:rPr>
      <w:rFonts w:ascii="Lucida Grande" w:hAnsi="Lucida Grande" w:cs="Lucida Grande"/>
      <w:sz w:val="18"/>
      <w:szCs w:val="18"/>
    </w:rPr>
  </w:style>
  <w:style w:type="paragraph" w:customStyle="1" w:styleId="BasicParagraph">
    <w:name w:val="[Basic Paragraph]"/>
    <w:basedOn w:val="Normal"/>
    <w:link w:val="BasicParagraphChar"/>
    <w:uiPriority w:val="99"/>
    <w:rsid w:val="00962B2B"/>
    <w:pPr>
      <w:widowControl w:val="0"/>
      <w:autoSpaceDE w:val="0"/>
      <w:autoSpaceDN w:val="0"/>
      <w:adjustRightInd w:val="0"/>
      <w:textAlignment w:val="center"/>
    </w:pPr>
    <w:rPr>
      <w:rFonts w:ascii="MinionPro-Regular" w:hAnsi="MinionPro-Regular" w:cs="MinionPro-Regular"/>
      <w:color w:val="000000"/>
    </w:rPr>
  </w:style>
  <w:style w:type="paragraph" w:customStyle="1" w:styleId="Body">
    <w:name w:val="Body"/>
    <w:basedOn w:val="Normal"/>
    <w:rsid w:val="007F266D"/>
    <w:rPr>
      <w:rFonts w:ascii="Helvetica" w:hAnsi="Helvetica" w:cs="Helvetica"/>
      <w:color w:val="000000"/>
      <w:sz w:val="22"/>
      <w:szCs w:val="22"/>
      <w:lang w:eastAsia="en-GB"/>
    </w:rPr>
  </w:style>
  <w:style w:type="paragraph" w:styleId="FootnoteText">
    <w:name w:val="footnote text"/>
    <w:aliases w:val="5_G,Footnote Text Char Char,Footnote Text1,Footnote Text Char1 Char Char,Footnote Text Char Char Char Char,Footnote Text Char1 Char Char1 Char Char,Footnote Text Char Char Char Char1 Char Char,Char,Footnote Quot,Footnote Text Char1, Char,f"/>
    <w:basedOn w:val="Normal"/>
    <w:link w:val="FootnoteTextChar"/>
    <w:uiPriority w:val="99"/>
    <w:unhideWhenUsed/>
    <w:qFormat/>
    <w:rsid w:val="00224140"/>
  </w:style>
  <w:style w:type="character" w:customStyle="1" w:styleId="FootnoteTextChar">
    <w:name w:val="Footnote Text Char"/>
    <w:aliases w:val="5_G Char,Footnote Text Char Char Char,Footnote Text1 Char,Footnote Text Char1 Char Char Char,Footnote Text Char Char Char Char Char,Footnote Text Char1 Char Char1 Char Char Char,Footnote Text Char Char Char Char1 Char Char Char,f Char"/>
    <w:basedOn w:val="DefaultParagraphFont"/>
    <w:link w:val="FootnoteText"/>
    <w:uiPriority w:val="99"/>
    <w:rsid w:val="00224140"/>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4"/>
    <w:basedOn w:val="DefaultParagraphFont"/>
    <w:link w:val="4GChar"/>
    <w:uiPriority w:val="99"/>
    <w:unhideWhenUsed/>
    <w:qFormat/>
    <w:rsid w:val="00224140"/>
    <w:rPr>
      <w:vertAlign w:val="superscript"/>
    </w:rPr>
  </w:style>
  <w:style w:type="character" w:styleId="PageNumber">
    <w:name w:val="page number"/>
    <w:basedOn w:val="DefaultParagraphFont"/>
    <w:uiPriority w:val="99"/>
    <w:semiHidden/>
    <w:unhideWhenUsed/>
    <w:rsid w:val="00D12EF8"/>
  </w:style>
  <w:style w:type="character" w:customStyle="1" w:styleId="Heading6Char">
    <w:name w:val="Heading 6 Char"/>
    <w:basedOn w:val="DefaultParagraphFont"/>
    <w:link w:val="Heading6"/>
    <w:uiPriority w:val="9"/>
    <w:semiHidden/>
    <w:rsid w:val="00224140"/>
    <w:rPr>
      <w:rFonts w:asciiTheme="majorHAnsi" w:eastAsiaTheme="majorEastAsia" w:hAnsiTheme="majorHAnsi" w:cstheme="majorBidi"/>
      <w:i/>
      <w:iCs/>
      <w:color w:val="243F60" w:themeColor="accent1" w:themeShade="7F"/>
    </w:rPr>
  </w:style>
  <w:style w:type="paragraph" w:customStyle="1" w:styleId="Default">
    <w:name w:val="Default"/>
    <w:rsid w:val="00552293"/>
    <w:pPr>
      <w:widowControl w:val="0"/>
      <w:autoSpaceDE w:val="0"/>
      <w:autoSpaceDN w:val="0"/>
      <w:adjustRightInd w:val="0"/>
    </w:pPr>
    <w:rPr>
      <w:rFonts w:ascii="Verdana" w:hAnsi="Verdana" w:cs="Verdana"/>
      <w:color w:val="000000"/>
      <w:lang w:val="en-US"/>
    </w:rPr>
  </w:style>
  <w:style w:type="paragraph" w:styleId="NormalWeb">
    <w:name w:val="Normal (Web)"/>
    <w:basedOn w:val="Normal"/>
    <w:uiPriority w:val="99"/>
    <w:unhideWhenUsed/>
    <w:rsid w:val="005B723E"/>
    <w:pPr>
      <w:spacing w:before="100" w:beforeAutospacing="1" w:after="100" w:afterAutospacing="1"/>
    </w:pPr>
    <w:rPr>
      <w:rFonts w:ascii="Times" w:hAnsi="Times" w:cs="Times New Roman"/>
      <w:sz w:val="20"/>
      <w:szCs w:val="20"/>
    </w:rPr>
  </w:style>
  <w:style w:type="paragraph" w:customStyle="1" w:styleId="NIHRCFootnotes">
    <w:name w:val="NIHRC Footnotes"/>
    <w:basedOn w:val="Normal"/>
    <w:qFormat/>
    <w:rsid w:val="004672AC"/>
    <w:pPr>
      <w:tabs>
        <w:tab w:val="left" w:pos="284"/>
      </w:tabs>
    </w:pPr>
    <w:rPr>
      <w:rFonts w:cs="Arial"/>
      <w:color w:val="77328A"/>
      <w:sz w:val="16"/>
      <w:szCs w:val="16"/>
    </w:rPr>
  </w:style>
  <w:style w:type="character" w:styleId="Hyperlink">
    <w:name w:val="Hyperlink"/>
    <w:basedOn w:val="DefaultParagraphFont"/>
    <w:uiPriority w:val="99"/>
    <w:unhideWhenUsed/>
    <w:rsid w:val="00331C61"/>
    <w:rPr>
      <w:color w:val="0000FF" w:themeColor="hyperlink"/>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B4519C"/>
    <w:pPr>
      <w:numPr>
        <w:ilvl w:val="1"/>
        <w:numId w:val="10"/>
      </w:numPr>
      <w:ind w:left="720"/>
    </w:pPr>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Appel note de bas de page Char"/>
    <w:basedOn w:val="Normal"/>
    <w:link w:val="FootnoteReference"/>
    <w:uiPriority w:val="99"/>
    <w:qFormat/>
    <w:rsid w:val="00E977FD"/>
    <w:pPr>
      <w:spacing w:line="240" w:lineRule="exact"/>
      <w:jc w:val="both"/>
    </w:pPr>
    <w:rPr>
      <w:vertAlign w:val="superscript"/>
    </w:rPr>
  </w:style>
  <w:style w:type="character" w:customStyle="1" w:styleId="Heading1Char">
    <w:name w:val="Heading 1 Char"/>
    <w:basedOn w:val="DefaultParagraphFont"/>
    <w:link w:val="Heading1"/>
    <w:uiPriority w:val="9"/>
    <w:rsid w:val="00B4519C"/>
    <w:rPr>
      <w:rFonts w:ascii="Verdana" w:hAnsi="Verdana" w:cs="Arial"/>
      <w:b/>
      <w:color w:val="77328A"/>
      <w:sz w:val="30"/>
      <w:szCs w:val="3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B4519C"/>
    <w:rPr>
      <w:rFonts w:ascii="Verdana" w:eastAsiaTheme="minorHAnsi" w:hAnsi="Verdana"/>
      <w:kern w:val="2"/>
      <w14:ligatures w14:val="standardContextual"/>
    </w:rPr>
  </w:style>
  <w:style w:type="paragraph" w:styleId="TOCHeading">
    <w:name w:val="TOC Heading"/>
    <w:basedOn w:val="Heading1"/>
    <w:next w:val="Normal"/>
    <w:uiPriority w:val="39"/>
    <w:unhideWhenUsed/>
    <w:qFormat/>
    <w:rsid w:val="00C6120C"/>
    <w:pPr>
      <w:spacing w:line="259" w:lineRule="auto"/>
      <w:ind w:left="0" w:firstLine="0"/>
      <w:outlineLvl w:val="9"/>
    </w:pPr>
    <w:rPr>
      <w:rFonts w:asciiTheme="majorHAnsi" w:hAnsiTheme="majorHAnsi"/>
      <w:b w:val="0"/>
      <w:color w:val="365F91" w:themeColor="accent1" w:themeShade="BF"/>
      <w:lang w:val="en-US"/>
    </w:rPr>
  </w:style>
  <w:style w:type="paragraph" w:styleId="BodyText">
    <w:name w:val="Body Text"/>
    <w:basedOn w:val="Normal"/>
    <w:link w:val="BodyTextChar"/>
    <w:uiPriority w:val="99"/>
    <w:semiHidden/>
    <w:unhideWhenUsed/>
    <w:rsid w:val="00655856"/>
    <w:pPr>
      <w:spacing w:after="120"/>
    </w:pPr>
  </w:style>
  <w:style w:type="character" w:customStyle="1" w:styleId="BodyTextChar">
    <w:name w:val="Body Text Char"/>
    <w:basedOn w:val="DefaultParagraphFont"/>
    <w:link w:val="BodyText"/>
    <w:uiPriority w:val="99"/>
    <w:semiHidden/>
    <w:rsid w:val="00655856"/>
  </w:style>
  <w:style w:type="character" w:styleId="UnresolvedMention">
    <w:name w:val="Unresolved Mention"/>
    <w:basedOn w:val="DefaultParagraphFont"/>
    <w:uiPriority w:val="99"/>
    <w:semiHidden/>
    <w:unhideWhenUsed/>
    <w:rsid w:val="00D2489E"/>
    <w:rPr>
      <w:color w:val="605E5C"/>
      <w:shd w:val="clear" w:color="auto" w:fill="E1DFDD"/>
    </w:rPr>
  </w:style>
  <w:style w:type="character" w:styleId="CommentReference">
    <w:name w:val="annotation reference"/>
    <w:basedOn w:val="DefaultParagraphFont"/>
    <w:uiPriority w:val="99"/>
    <w:semiHidden/>
    <w:unhideWhenUsed/>
    <w:rsid w:val="00F2310E"/>
    <w:rPr>
      <w:sz w:val="16"/>
      <w:szCs w:val="16"/>
    </w:rPr>
  </w:style>
  <w:style w:type="paragraph" w:styleId="CommentText">
    <w:name w:val="annotation text"/>
    <w:basedOn w:val="Normal"/>
    <w:link w:val="CommentTextChar"/>
    <w:uiPriority w:val="99"/>
    <w:unhideWhenUsed/>
    <w:rsid w:val="00F2310E"/>
    <w:rPr>
      <w:sz w:val="20"/>
      <w:szCs w:val="20"/>
    </w:rPr>
  </w:style>
  <w:style w:type="character" w:customStyle="1" w:styleId="CommentTextChar">
    <w:name w:val="Comment Text Char"/>
    <w:basedOn w:val="DefaultParagraphFont"/>
    <w:link w:val="CommentText"/>
    <w:uiPriority w:val="99"/>
    <w:rsid w:val="00F2310E"/>
    <w:rPr>
      <w:sz w:val="20"/>
      <w:szCs w:val="20"/>
    </w:rPr>
  </w:style>
  <w:style w:type="paragraph" w:styleId="CommentSubject">
    <w:name w:val="annotation subject"/>
    <w:basedOn w:val="CommentText"/>
    <w:next w:val="CommentText"/>
    <w:link w:val="CommentSubjectChar"/>
    <w:uiPriority w:val="99"/>
    <w:semiHidden/>
    <w:unhideWhenUsed/>
    <w:rsid w:val="00F2310E"/>
    <w:rPr>
      <w:b/>
      <w:bCs/>
    </w:rPr>
  </w:style>
  <w:style w:type="character" w:customStyle="1" w:styleId="CommentSubjectChar">
    <w:name w:val="Comment Subject Char"/>
    <w:basedOn w:val="CommentTextChar"/>
    <w:link w:val="CommentSubject"/>
    <w:uiPriority w:val="99"/>
    <w:semiHidden/>
    <w:rsid w:val="00F2310E"/>
    <w:rPr>
      <w:b/>
      <w:bCs/>
      <w:sz w:val="20"/>
      <w:szCs w:val="20"/>
    </w:rPr>
  </w:style>
  <w:style w:type="paragraph" w:styleId="Title">
    <w:name w:val="Title"/>
    <w:basedOn w:val="BasicParagraph"/>
    <w:next w:val="Normal"/>
    <w:link w:val="TitleChar"/>
    <w:uiPriority w:val="10"/>
    <w:qFormat/>
    <w:rsid w:val="00B4519C"/>
    <w:pPr>
      <w:spacing w:before="360" w:after="360" w:line="360" w:lineRule="auto"/>
      <w:jc w:val="center"/>
    </w:pPr>
    <w:rPr>
      <w:rFonts w:ascii="Verdana" w:hAnsi="Verdana"/>
      <w:b/>
      <w:bCs/>
      <w:color w:val="77328A"/>
      <w:sz w:val="36"/>
      <w:szCs w:val="36"/>
    </w:rPr>
  </w:style>
  <w:style w:type="character" w:customStyle="1" w:styleId="TitleChar">
    <w:name w:val="Title Char"/>
    <w:basedOn w:val="DefaultParagraphFont"/>
    <w:link w:val="Title"/>
    <w:uiPriority w:val="10"/>
    <w:rsid w:val="00B4519C"/>
    <w:rPr>
      <w:rFonts w:ascii="Verdana" w:eastAsiaTheme="minorHAnsi" w:hAnsi="Verdana" w:cs="MinionPro-Regular"/>
      <w:b/>
      <w:bCs/>
      <w:color w:val="77328A"/>
      <w:kern w:val="2"/>
      <w:sz w:val="36"/>
      <w:szCs w:val="36"/>
      <w14:ligatures w14:val="standardContextual"/>
    </w:rPr>
  </w:style>
  <w:style w:type="paragraph" w:styleId="Quote">
    <w:name w:val="Quote"/>
    <w:basedOn w:val="Normal"/>
    <w:next w:val="Normal"/>
    <w:link w:val="QuoteChar"/>
    <w:uiPriority w:val="29"/>
    <w:qFormat/>
    <w:rsid w:val="00B4519C"/>
    <w:pPr>
      <w:ind w:left="862" w:right="862"/>
    </w:pPr>
  </w:style>
  <w:style w:type="character" w:customStyle="1" w:styleId="QuoteChar">
    <w:name w:val="Quote Char"/>
    <w:basedOn w:val="DefaultParagraphFont"/>
    <w:link w:val="Quote"/>
    <w:uiPriority w:val="29"/>
    <w:rsid w:val="00B4519C"/>
    <w:rPr>
      <w:rFonts w:ascii="Verdana" w:eastAsiaTheme="minorHAnsi" w:hAnsi="Verdana"/>
      <w:kern w:val="2"/>
      <w14:ligatures w14:val="standardContextual"/>
    </w:rPr>
  </w:style>
  <w:style w:type="character" w:customStyle="1" w:styleId="Heading2Char">
    <w:name w:val="Heading 2 Char"/>
    <w:basedOn w:val="DefaultParagraphFont"/>
    <w:link w:val="Heading2"/>
    <w:uiPriority w:val="9"/>
    <w:rsid w:val="008E3C65"/>
    <w:rPr>
      <w:rFonts w:ascii="Verdana" w:eastAsiaTheme="minorHAnsi" w:hAnsi="Verdana"/>
      <w:b/>
      <w:bCs/>
      <w:kern w:val="2"/>
      <w14:ligatures w14:val="standardContextual"/>
    </w:rPr>
  </w:style>
  <w:style w:type="character" w:customStyle="1" w:styleId="BasicParagraphChar">
    <w:name w:val="[Basic Paragraph] Char"/>
    <w:basedOn w:val="DefaultParagraphFont"/>
    <w:link w:val="BasicParagraph"/>
    <w:uiPriority w:val="99"/>
    <w:rsid w:val="008E3C65"/>
    <w:rPr>
      <w:rFonts w:ascii="MinionPro-Regular" w:eastAsiaTheme="minorHAnsi" w:hAnsi="MinionPro-Regular" w:cs="MinionPro-Regular"/>
      <w:color w:val="000000"/>
      <w:kern w:val="2"/>
      <w14:ligatures w14:val="standardContextual"/>
    </w:rPr>
  </w:style>
  <w:style w:type="paragraph" w:styleId="TOC1">
    <w:name w:val="toc 1"/>
    <w:basedOn w:val="Normal"/>
    <w:next w:val="Normal"/>
    <w:autoRedefine/>
    <w:uiPriority w:val="39"/>
    <w:unhideWhenUsed/>
    <w:rsid w:val="008D7AD3"/>
    <w:pPr>
      <w:tabs>
        <w:tab w:val="left" w:pos="720"/>
        <w:tab w:val="right" w:leader="dot" w:pos="9848"/>
      </w:tabs>
      <w:spacing w:after="100" w:line="360" w:lineRule="auto"/>
    </w:pPr>
    <w:rPr>
      <w:b/>
    </w:rPr>
  </w:style>
  <w:style w:type="paragraph" w:styleId="TOC2">
    <w:name w:val="toc 2"/>
    <w:basedOn w:val="Normal"/>
    <w:next w:val="Normal"/>
    <w:autoRedefine/>
    <w:uiPriority w:val="39"/>
    <w:unhideWhenUsed/>
    <w:rsid w:val="008D7AD3"/>
    <w:pPr>
      <w:spacing w:after="100"/>
      <w:ind w:left="221"/>
      <w:contextualSpacing w:val="0"/>
    </w:pPr>
    <w:rPr>
      <w:rFonts w:eastAsiaTheme="minorEastAsia" w:cs="Times New Roman"/>
      <w:kern w:val="0"/>
      <w:szCs w:val="22"/>
      <w:lang w:val="en-US"/>
      <w14:ligatures w14:val="none"/>
    </w:rPr>
  </w:style>
  <w:style w:type="paragraph" w:styleId="TOC3">
    <w:name w:val="toc 3"/>
    <w:basedOn w:val="Normal"/>
    <w:next w:val="Normal"/>
    <w:autoRedefine/>
    <w:uiPriority w:val="39"/>
    <w:unhideWhenUsed/>
    <w:rsid w:val="00063BD4"/>
    <w:pPr>
      <w:spacing w:after="100" w:line="360" w:lineRule="auto"/>
      <w:ind w:left="442"/>
      <w:contextualSpacing w:val="0"/>
    </w:pPr>
    <w:rPr>
      <w:rFonts w:eastAsiaTheme="minorEastAsia" w:cs="Times New Roman"/>
      <w:kern w:val="0"/>
      <w:szCs w:val="22"/>
      <w:lang w:val="en-US"/>
      <w14:ligatures w14:val="none"/>
    </w:rPr>
  </w:style>
  <w:style w:type="paragraph" w:styleId="Revision">
    <w:name w:val="Revision"/>
    <w:hidden/>
    <w:uiPriority w:val="99"/>
    <w:semiHidden/>
    <w:rsid w:val="00E27784"/>
    <w:rPr>
      <w:rFonts w:ascii="Verdana" w:eastAsiaTheme="minorHAnsi" w:hAnsi="Verdana"/>
      <w:kern w:val="2"/>
      <w14:ligatures w14:val="standardContextual"/>
    </w:rPr>
  </w:style>
  <w:style w:type="character" w:customStyle="1" w:styleId="Heading3Char">
    <w:name w:val="Heading 3 Char"/>
    <w:basedOn w:val="DefaultParagraphFont"/>
    <w:link w:val="Heading3"/>
    <w:uiPriority w:val="9"/>
    <w:rsid w:val="00FA5845"/>
    <w:rPr>
      <w:rFonts w:ascii="Verdana" w:eastAsiaTheme="majorEastAsia" w:hAnsi="Verdana" w:cstheme="majorBidi"/>
      <w:i/>
      <w:color w:val="000000" w:themeColor="text1"/>
      <w:kern w:val="2"/>
      <w14:ligatures w14:val="standardContextual"/>
    </w:rPr>
  </w:style>
  <w:style w:type="character" w:customStyle="1" w:styleId="normaltextrun">
    <w:name w:val="normaltextrun"/>
    <w:basedOn w:val="DefaultParagraphFont"/>
    <w:rsid w:val="003D742A"/>
  </w:style>
  <w:style w:type="character" w:customStyle="1" w:styleId="eop">
    <w:name w:val="eop"/>
    <w:basedOn w:val="DefaultParagraphFont"/>
    <w:rsid w:val="003D742A"/>
  </w:style>
  <w:style w:type="character" w:styleId="Mention">
    <w:name w:val="Mention"/>
    <w:basedOn w:val="DefaultParagraphFont"/>
    <w:uiPriority w:val="99"/>
    <w:unhideWhenUsed/>
    <w:rsid w:val="005275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3444">
      <w:bodyDiv w:val="1"/>
      <w:marLeft w:val="0"/>
      <w:marRight w:val="0"/>
      <w:marTop w:val="0"/>
      <w:marBottom w:val="0"/>
      <w:divBdr>
        <w:top w:val="none" w:sz="0" w:space="0" w:color="auto"/>
        <w:left w:val="none" w:sz="0" w:space="0" w:color="auto"/>
        <w:bottom w:val="none" w:sz="0" w:space="0" w:color="auto"/>
        <w:right w:val="none" w:sz="0" w:space="0" w:color="auto"/>
      </w:divBdr>
    </w:div>
    <w:div w:id="119424709">
      <w:bodyDiv w:val="1"/>
      <w:marLeft w:val="0"/>
      <w:marRight w:val="0"/>
      <w:marTop w:val="0"/>
      <w:marBottom w:val="0"/>
      <w:divBdr>
        <w:top w:val="none" w:sz="0" w:space="0" w:color="auto"/>
        <w:left w:val="none" w:sz="0" w:space="0" w:color="auto"/>
        <w:bottom w:val="none" w:sz="0" w:space="0" w:color="auto"/>
        <w:right w:val="none" w:sz="0" w:space="0" w:color="auto"/>
      </w:divBdr>
    </w:div>
    <w:div w:id="485557730">
      <w:bodyDiv w:val="1"/>
      <w:marLeft w:val="0"/>
      <w:marRight w:val="0"/>
      <w:marTop w:val="0"/>
      <w:marBottom w:val="0"/>
      <w:divBdr>
        <w:top w:val="none" w:sz="0" w:space="0" w:color="auto"/>
        <w:left w:val="none" w:sz="0" w:space="0" w:color="auto"/>
        <w:bottom w:val="none" w:sz="0" w:space="0" w:color="auto"/>
        <w:right w:val="none" w:sz="0" w:space="0" w:color="auto"/>
      </w:divBdr>
    </w:div>
    <w:div w:id="1153988160">
      <w:bodyDiv w:val="1"/>
      <w:marLeft w:val="0"/>
      <w:marRight w:val="0"/>
      <w:marTop w:val="0"/>
      <w:marBottom w:val="0"/>
      <w:divBdr>
        <w:top w:val="none" w:sz="0" w:space="0" w:color="auto"/>
        <w:left w:val="none" w:sz="0" w:space="0" w:color="auto"/>
        <w:bottom w:val="none" w:sz="0" w:space="0" w:color="auto"/>
        <w:right w:val="none" w:sz="0" w:space="0" w:color="auto"/>
      </w:divBdr>
      <w:divsChild>
        <w:div w:id="1028986289">
          <w:marLeft w:val="0"/>
          <w:marRight w:val="0"/>
          <w:marTop w:val="0"/>
          <w:marBottom w:val="0"/>
          <w:divBdr>
            <w:top w:val="none" w:sz="0" w:space="0" w:color="auto"/>
            <w:left w:val="none" w:sz="0" w:space="0" w:color="auto"/>
            <w:bottom w:val="none" w:sz="0" w:space="0" w:color="auto"/>
            <w:right w:val="none" w:sz="0" w:space="0" w:color="auto"/>
          </w:divBdr>
          <w:divsChild>
            <w:div w:id="1795251692">
              <w:marLeft w:val="0"/>
              <w:marRight w:val="0"/>
              <w:marTop w:val="0"/>
              <w:marBottom w:val="0"/>
              <w:divBdr>
                <w:top w:val="none" w:sz="0" w:space="0" w:color="auto"/>
                <w:left w:val="none" w:sz="0" w:space="0" w:color="auto"/>
                <w:bottom w:val="none" w:sz="0" w:space="0" w:color="auto"/>
                <w:right w:val="none" w:sz="0" w:space="0" w:color="auto"/>
              </w:divBdr>
              <w:divsChild>
                <w:div w:id="14669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93135">
      <w:bodyDiv w:val="1"/>
      <w:marLeft w:val="0"/>
      <w:marRight w:val="0"/>
      <w:marTop w:val="0"/>
      <w:marBottom w:val="0"/>
      <w:divBdr>
        <w:top w:val="none" w:sz="0" w:space="0" w:color="auto"/>
        <w:left w:val="none" w:sz="0" w:space="0" w:color="auto"/>
        <w:bottom w:val="none" w:sz="0" w:space="0" w:color="auto"/>
        <w:right w:val="none" w:sz="0" w:space="0" w:color="auto"/>
      </w:divBdr>
    </w:div>
    <w:div w:id="1465585121">
      <w:bodyDiv w:val="1"/>
      <w:marLeft w:val="0"/>
      <w:marRight w:val="0"/>
      <w:marTop w:val="0"/>
      <w:marBottom w:val="0"/>
      <w:divBdr>
        <w:top w:val="none" w:sz="0" w:space="0" w:color="auto"/>
        <w:left w:val="none" w:sz="0" w:space="0" w:color="auto"/>
        <w:bottom w:val="none" w:sz="0" w:space="0" w:color="auto"/>
        <w:right w:val="none" w:sz="0" w:space="0" w:color="auto"/>
      </w:divBdr>
    </w:div>
    <w:div w:id="1621958673">
      <w:bodyDiv w:val="1"/>
      <w:marLeft w:val="0"/>
      <w:marRight w:val="0"/>
      <w:marTop w:val="0"/>
      <w:marBottom w:val="0"/>
      <w:divBdr>
        <w:top w:val="none" w:sz="0" w:space="0" w:color="auto"/>
        <w:left w:val="none" w:sz="0" w:space="0" w:color="auto"/>
        <w:bottom w:val="none" w:sz="0" w:space="0" w:color="auto"/>
        <w:right w:val="none" w:sz="0" w:space="0" w:color="auto"/>
      </w:divBdr>
    </w:div>
    <w:div w:id="2006592875">
      <w:bodyDiv w:val="1"/>
      <w:marLeft w:val="0"/>
      <w:marRight w:val="0"/>
      <w:marTop w:val="0"/>
      <w:marBottom w:val="0"/>
      <w:divBdr>
        <w:top w:val="none" w:sz="0" w:space="0" w:color="auto"/>
        <w:left w:val="none" w:sz="0" w:space="0" w:color="auto"/>
        <w:bottom w:val="none" w:sz="0" w:space="0" w:color="auto"/>
        <w:right w:val="none" w:sz="0" w:space="0" w:color="auto"/>
      </w:divBdr>
    </w:div>
    <w:div w:id="2129470764">
      <w:bodyDiv w:val="1"/>
      <w:marLeft w:val="0"/>
      <w:marRight w:val="0"/>
      <w:marTop w:val="0"/>
      <w:marBottom w:val="0"/>
      <w:divBdr>
        <w:top w:val="none" w:sz="0" w:space="0" w:color="auto"/>
        <w:left w:val="none" w:sz="0" w:space="0" w:color="auto"/>
        <w:bottom w:val="none" w:sz="0" w:space="0" w:color="auto"/>
        <w:right w:val="none" w:sz="0" w:space="0" w:color="auto"/>
      </w:divBdr>
      <w:divsChild>
        <w:div w:id="608201235">
          <w:marLeft w:val="0"/>
          <w:marRight w:val="0"/>
          <w:marTop w:val="0"/>
          <w:marBottom w:val="0"/>
          <w:divBdr>
            <w:top w:val="none" w:sz="0" w:space="0" w:color="auto"/>
            <w:left w:val="none" w:sz="0" w:space="0" w:color="auto"/>
            <w:bottom w:val="none" w:sz="0" w:space="0" w:color="auto"/>
            <w:right w:val="none" w:sz="0" w:space="0" w:color="auto"/>
          </w:divBdr>
          <w:divsChild>
            <w:div w:id="248193691">
              <w:marLeft w:val="0"/>
              <w:marRight w:val="0"/>
              <w:marTop w:val="0"/>
              <w:marBottom w:val="0"/>
              <w:divBdr>
                <w:top w:val="none" w:sz="0" w:space="0" w:color="auto"/>
                <w:left w:val="none" w:sz="0" w:space="0" w:color="auto"/>
                <w:bottom w:val="none" w:sz="0" w:space="0" w:color="auto"/>
                <w:right w:val="none" w:sz="0" w:space="0" w:color="auto"/>
              </w:divBdr>
              <w:divsChild>
                <w:div w:id="9177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hrc.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hrc.org" TargetMode="External"/><Relationship Id="rId4" Type="http://schemas.openxmlformats.org/officeDocument/2006/relationships/settings" Target="settings.xml"/><Relationship Id="rId9" Type="http://schemas.openxmlformats.org/officeDocument/2006/relationships/hyperlink" Target="mailto:Eilis.Haughey@nihrc.org"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opean-union.europa.eu/institutions-law-budget/law/how-eu-policy-decided_en" TargetMode="External"/><Relationship Id="rId2" Type="http://schemas.openxmlformats.org/officeDocument/2006/relationships/hyperlink" Target="https://www.echr.coe.int/documents/d/echr/FS_Climate_change_ENG" TargetMode="External"/><Relationship Id="rId1" Type="http://schemas.openxmlformats.org/officeDocument/2006/relationships/hyperlink" Target="https://www.echr.coe.int/documents/d/echr/FS_Environment_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FF317-C74E-4C46-9365-3532C9817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7268</Words>
  <Characters>41430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2025-06-23T14:11:00Z</dcterms:created>
  <dcterms:modified xsi:type="dcterms:W3CDTF">2025-06-23T15:11:00Z</dcterms:modified>
</cp:coreProperties>
</file>