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5364B"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2408A7EB" wp14:editId="488E2E01">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6230A606"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106EB0DE" w14:textId="77777777" w:rsidR="0011357D" w:rsidRPr="00EA12CE" w:rsidRDefault="0011357D" w:rsidP="003B7D0E">
      <w:pPr>
        <w:pStyle w:val="BasicParagraph"/>
        <w:suppressAutoHyphens/>
        <w:jc w:val="center"/>
        <w:rPr>
          <w:rFonts w:ascii="Verdana" w:hAnsi="Verdana" w:cs="Arial"/>
          <w:b/>
          <w:bCs/>
          <w:color w:val="734791"/>
          <w:sz w:val="36"/>
          <w:szCs w:val="36"/>
        </w:rPr>
      </w:pPr>
    </w:p>
    <w:p w14:paraId="57E4D51F" w14:textId="61E3E77C" w:rsidR="0096459E" w:rsidRPr="003B7D0E" w:rsidRDefault="00EC782F"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Response to the Department of Finance Consultation on the </w:t>
      </w:r>
      <w:r w:rsidR="005A5877">
        <w:rPr>
          <w:rFonts w:ascii="Verdana" w:hAnsi="Verdana" w:cs="Arial"/>
          <w:b/>
          <w:bCs/>
          <w:color w:val="77328A"/>
          <w:sz w:val="36"/>
          <w:szCs w:val="36"/>
        </w:rPr>
        <w:t>Review of Defamation Law in NI</w:t>
      </w:r>
    </w:p>
    <w:p w14:paraId="00D0FC47" w14:textId="77777777" w:rsidR="00F31387" w:rsidRPr="00331C61" w:rsidRDefault="00F31387" w:rsidP="003B7D0E">
      <w:pPr>
        <w:pStyle w:val="Default"/>
        <w:spacing w:line="288" w:lineRule="auto"/>
        <w:jc w:val="center"/>
        <w:rPr>
          <w:rFonts w:cs="Arial"/>
          <w:color w:val="232120"/>
          <w:sz w:val="36"/>
          <w:szCs w:val="36"/>
        </w:rPr>
      </w:pPr>
    </w:p>
    <w:p w14:paraId="674CBAB9" w14:textId="77777777" w:rsidR="0011357D" w:rsidRDefault="0011357D" w:rsidP="003B7D0E">
      <w:pPr>
        <w:pStyle w:val="Default"/>
        <w:spacing w:line="288" w:lineRule="auto"/>
        <w:jc w:val="center"/>
        <w:rPr>
          <w:rFonts w:cs="Arial"/>
          <w:color w:val="232120"/>
          <w:sz w:val="36"/>
          <w:szCs w:val="36"/>
        </w:rPr>
      </w:pPr>
    </w:p>
    <w:p w14:paraId="07E5AFBD" w14:textId="77777777" w:rsidR="0011357D" w:rsidRDefault="0011357D" w:rsidP="003B7D0E">
      <w:pPr>
        <w:pStyle w:val="Default"/>
        <w:spacing w:line="288" w:lineRule="auto"/>
        <w:jc w:val="center"/>
        <w:rPr>
          <w:rFonts w:cs="Arial"/>
          <w:color w:val="232120"/>
          <w:sz w:val="36"/>
          <w:szCs w:val="36"/>
        </w:rPr>
      </w:pPr>
    </w:p>
    <w:p w14:paraId="665B25E7" w14:textId="77777777" w:rsidR="0011357D" w:rsidRDefault="0011357D" w:rsidP="003B7D0E">
      <w:pPr>
        <w:pStyle w:val="Default"/>
        <w:spacing w:line="288" w:lineRule="auto"/>
        <w:jc w:val="center"/>
        <w:rPr>
          <w:rFonts w:cs="Arial"/>
          <w:color w:val="232120"/>
          <w:sz w:val="36"/>
          <w:szCs w:val="36"/>
        </w:rPr>
      </w:pPr>
    </w:p>
    <w:p w14:paraId="4C5A5079" w14:textId="77777777" w:rsidR="0011357D" w:rsidRDefault="0011357D" w:rsidP="003B7D0E">
      <w:pPr>
        <w:pStyle w:val="Default"/>
        <w:spacing w:line="288" w:lineRule="auto"/>
        <w:jc w:val="center"/>
        <w:rPr>
          <w:rFonts w:cs="Arial"/>
          <w:color w:val="232120"/>
          <w:sz w:val="36"/>
          <w:szCs w:val="36"/>
        </w:rPr>
      </w:pPr>
    </w:p>
    <w:p w14:paraId="5EA762C8" w14:textId="77777777" w:rsidR="0011357D" w:rsidRDefault="0011357D" w:rsidP="003B7D0E">
      <w:pPr>
        <w:pStyle w:val="Default"/>
        <w:spacing w:line="288" w:lineRule="auto"/>
        <w:jc w:val="center"/>
        <w:rPr>
          <w:rFonts w:cs="Arial"/>
          <w:color w:val="232120"/>
          <w:sz w:val="36"/>
          <w:szCs w:val="36"/>
        </w:rPr>
      </w:pPr>
    </w:p>
    <w:p w14:paraId="578ED695" w14:textId="77777777" w:rsidR="0011357D" w:rsidRPr="00331C61" w:rsidRDefault="0011357D" w:rsidP="003B7D0E">
      <w:pPr>
        <w:pStyle w:val="Default"/>
        <w:spacing w:line="288" w:lineRule="auto"/>
        <w:jc w:val="center"/>
        <w:rPr>
          <w:rFonts w:cs="Arial"/>
          <w:color w:val="232120"/>
          <w:sz w:val="36"/>
          <w:szCs w:val="36"/>
        </w:rPr>
      </w:pPr>
    </w:p>
    <w:p w14:paraId="6C6AE67D" w14:textId="77FCA17C" w:rsidR="008159E8" w:rsidRPr="00331C61" w:rsidRDefault="005E60B5" w:rsidP="003B7D0E">
      <w:pPr>
        <w:spacing w:line="288" w:lineRule="auto"/>
        <w:jc w:val="center"/>
        <w:rPr>
          <w:rFonts w:cs="Arial"/>
          <w:b/>
          <w:color w:val="232120"/>
          <w:sz w:val="30"/>
          <w:szCs w:val="30"/>
        </w:rPr>
      </w:pPr>
      <w:r>
        <w:rPr>
          <w:rFonts w:cs="Arial"/>
          <w:b/>
          <w:color w:val="232120"/>
          <w:sz w:val="30"/>
          <w:szCs w:val="30"/>
        </w:rPr>
        <w:t xml:space="preserve">31 </w:t>
      </w:r>
      <w:r w:rsidR="005A5877">
        <w:rPr>
          <w:rFonts w:cs="Arial"/>
          <w:b/>
          <w:color w:val="232120"/>
          <w:sz w:val="30"/>
          <w:szCs w:val="30"/>
        </w:rPr>
        <w:t>January 2024</w:t>
      </w:r>
    </w:p>
    <w:p w14:paraId="5C193A2D" w14:textId="77777777" w:rsidR="00046705" w:rsidRPr="00331C61" w:rsidRDefault="00046705" w:rsidP="003B7D0E">
      <w:pPr>
        <w:spacing w:line="288" w:lineRule="auto"/>
        <w:jc w:val="center"/>
        <w:rPr>
          <w:rFonts w:cs="Arial"/>
          <w:b/>
          <w:color w:val="232120"/>
          <w:sz w:val="28"/>
          <w:szCs w:val="28"/>
        </w:rPr>
      </w:pPr>
    </w:p>
    <w:p w14:paraId="4ED9C3F6" w14:textId="77777777" w:rsidR="00046705" w:rsidRPr="00331C61" w:rsidRDefault="00046705" w:rsidP="003B7D0E">
      <w:pPr>
        <w:spacing w:line="288" w:lineRule="auto"/>
        <w:jc w:val="center"/>
        <w:rPr>
          <w:rFonts w:cs="Arial"/>
          <w:b/>
          <w:color w:val="232120"/>
          <w:sz w:val="28"/>
          <w:szCs w:val="28"/>
        </w:rPr>
      </w:pPr>
    </w:p>
    <w:p w14:paraId="133F98A0" w14:textId="77777777" w:rsidR="00EA12CE" w:rsidRPr="00331C61" w:rsidRDefault="00EA12CE" w:rsidP="003B7D0E">
      <w:pPr>
        <w:pStyle w:val="Default"/>
        <w:spacing w:line="288" w:lineRule="auto"/>
        <w:jc w:val="center"/>
        <w:rPr>
          <w:rFonts w:cs="Arial"/>
          <w:b/>
          <w:color w:val="232120"/>
          <w:sz w:val="28"/>
          <w:szCs w:val="28"/>
          <w:lang w:val="en-GB"/>
        </w:rPr>
      </w:pPr>
    </w:p>
    <w:sdt>
      <w:sdtPr>
        <w:rPr>
          <w:rFonts w:ascii="Verdana" w:eastAsiaTheme="minorEastAsia" w:hAnsi="Verdana" w:cstheme="minorBidi"/>
          <w:color w:val="auto"/>
          <w:sz w:val="24"/>
          <w:szCs w:val="24"/>
          <w:lang w:val="en-GB"/>
        </w:rPr>
        <w:id w:val="678229674"/>
        <w:docPartObj>
          <w:docPartGallery w:val="Table of Contents"/>
          <w:docPartUnique/>
        </w:docPartObj>
      </w:sdtPr>
      <w:sdtEndPr>
        <w:rPr>
          <w:b/>
          <w:bCs/>
          <w:noProof/>
        </w:rPr>
      </w:sdtEndPr>
      <w:sdtContent>
        <w:p w14:paraId="2635202A" w14:textId="25CF13C4" w:rsidR="00B4073F" w:rsidRPr="00F416C7" w:rsidRDefault="00B4073F" w:rsidP="00A817CF">
          <w:pPr>
            <w:pStyle w:val="TOCHeading"/>
            <w:spacing w:line="480" w:lineRule="auto"/>
            <w:rPr>
              <w:rStyle w:val="Heading1Char"/>
            </w:rPr>
          </w:pPr>
          <w:r w:rsidRPr="00F416C7">
            <w:rPr>
              <w:rStyle w:val="Heading1Char"/>
            </w:rPr>
            <w:t>Table of Contents</w:t>
          </w:r>
        </w:p>
        <w:p w14:paraId="6FD9EBE9" w14:textId="15A2B333" w:rsidR="00D01A89" w:rsidRPr="00D01A89" w:rsidRDefault="00B4073F">
          <w:pPr>
            <w:pStyle w:val="TOC2"/>
            <w:rPr>
              <w:rFonts w:cstheme="minorBidi"/>
              <w:kern w:val="2"/>
              <w:sz w:val="24"/>
              <w:szCs w:val="24"/>
              <w:lang w:val="en-GB" w:eastAsia="en-GB"/>
              <w14:ligatures w14:val="standardContextual"/>
            </w:rPr>
          </w:pPr>
          <w:r w:rsidRPr="00D01A89">
            <w:rPr>
              <w:noProof w:val="0"/>
              <w:sz w:val="24"/>
              <w:szCs w:val="24"/>
            </w:rPr>
            <w:fldChar w:fldCharType="begin"/>
          </w:r>
          <w:r w:rsidRPr="00D01A89">
            <w:rPr>
              <w:sz w:val="24"/>
              <w:szCs w:val="24"/>
            </w:rPr>
            <w:instrText xml:space="preserve"> TOC \o "1-3" \h \z \u </w:instrText>
          </w:r>
          <w:r w:rsidRPr="00D01A89">
            <w:rPr>
              <w:noProof w:val="0"/>
              <w:sz w:val="24"/>
              <w:szCs w:val="24"/>
            </w:rPr>
            <w:fldChar w:fldCharType="separate"/>
          </w:r>
          <w:hyperlink w:anchor="_Toc157592695" w:history="1">
            <w:r w:rsidR="00D01A89" w:rsidRPr="00D01A89">
              <w:rPr>
                <w:rStyle w:val="Hyperlink"/>
                <w:sz w:val="24"/>
                <w:szCs w:val="24"/>
              </w:rPr>
              <w:t>Summary of Recommendations</w:t>
            </w:r>
            <w:r w:rsidR="00D01A89" w:rsidRPr="00D01A89">
              <w:rPr>
                <w:webHidden/>
                <w:sz w:val="24"/>
                <w:szCs w:val="24"/>
              </w:rPr>
              <w:tab/>
            </w:r>
            <w:r w:rsidR="00D01A89" w:rsidRPr="00D01A89">
              <w:rPr>
                <w:webHidden/>
                <w:sz w:val="24"/>
                <w:szCs w:val="24"/>
              </w:rPr>
              <w:fldChar w:fldCharType="begin"/>
            </w:r>
            <w:r w:rsidR="00D01A89" w:rsidRPr="00D01A89">
              <w:rPr>
                <w:webHidden/>
                <w:sz w:val="24"/>
                <w:szCs w:val="24"/>
              </w:rPr>
              <w:instrText xml:space="preserve"> PAGEREF _Toc157592695 \h </w:instrText>
            </w:r>
            <w:r w:rsidR="00D01A89" w:rsidRPr="00D01A89">
              <w:rPr>
                <w:webHidden/>
                <w:sz w:val="24"/>
                <w:szCs w:val="24"/>
              </w:rPr>
            </w:r>
            <w:r w:rsidR="00D01A89" w:rsidRPr="00D01A89">
              <w:rPr>
                <w:webHidden/>
                <w:sz w:val="24"/>
                <w:szCs w:val="24"/>
              </w:rPr>
              <w:fldChar w:fldCharType="separate"/>
            </w:r>
            <w:r w:rsidR="00982ED9">
              <w:rPr>
                <w:webHidden/>
                <w:sz w:val="24"/>
                <w:szCs w:val="24"/>
              </w:rPr>
              <w:t>3</w:t>
            </w:r>
            <w:r w:rsidR="00D01A89" w:rsidRPr="00D01A89">
              <w:rPr>
                <w:webHidden/>
                <w:sz w:val="24"/>
                <w:szCs w:val="24"/>
              </w:rPr>
              <w:fldChar w:fldCharType="end"/>
            </w:r>
          </w:hyperlink>
        </w:p>
        <w:p w14:paraId="163C3937" w14:textId="5DD2F082" w:rsidR="00D01A89" w:rsidRPr="00D01A89" w:rsidRDefault="00E30DC2">
          <w:pPr>
            <w:pStyle w:val="TOC2"/>
            <w:rPr>
              <w:rFonts w:cstheme="minorBidi"/>
              <w:kern w:val="2"/>
              <w:sz w:val="24"/>
              <w:szCs w:val="24"/>
              <w:lang w:val="en-GB" w:eastAsia="en-GB"/>
              <w14:ligatures w14:val="standardContextual"/>
            </w:rPr>
          </w:pPr>
          <w:hyperlink w:anchor="_Toc157592696" w:history="1">
            <w:r w:rsidR="00D01A89" w:rsidRPr="00D01A89">
              <w:rPr>
                <w:rStyle w:val="Hyperlink"/>
                <w:sz w:val="24"/>
                <w:szCs w:val="24"/>
              </w:rPr>
              <w:t>1.0</w:t>
            </w:r>
            <w:r w:rsidR="00D01A89" w:rsidRPr="00D01A89">
              <w:rPr>
                <w:rFonts w:cstheme="minorBidi"/>
                <w:kern w:val="2"/>
                <w:sz w:val="24"/>
                <w:szCs w:val="24"/>
                <w:lang w:val="en-GB" w:eastAsia="en-GB"/>
                <w14:ligatures w14:val="standardContextual"/>
              </w:rPr>
              <w:tab/>
            </w:r>
            <w:r w:rsidR="00D01A89" w:rsidRPr="00D01A89">
              <w:rPr>
                <w:rStyle w:val="Hyperlink"/>
                <w:sz w:val="24"/>
                <w:szCs w:val="24"/>
              </w:rPr>
              <w:t>Introduction</w:t>
            </w:r>
            <w:r w:rsidR="00D01A89" w:rsidRPr="00D01A89">
              <w:rPr>
                <w:webHidden/>
                <w:sz w:val="24"/>
                <w:szCs w:val="24"/>
              </w:rPr>
              <w:tab/>
            </w:r>
            <w:r w:rsidR="00D01A89" w:rsidRPr="00D01A89">
              <w:rPr>
                <w:webHidden/>
                <w:sz w:val="24"/>
                <w:szCs w:val="24"/>
              </w:rPr>
              <w:fldChar w:fldCharType="begin"/>
            </w:r>
            <w:r w:rsidR="00D01A89" w:rsidRPr="00D01A89">
              <w:rPr>
                <w:webHidden/>
                <w:sz w:val="24"/>
                <w:szCs w:val="24"/>
              </w:rPr>
              <w:instrText xml:space="preserve"> PAGEREF _Toc157592696 \h </w:instrText>
            </w:r>
            <w:r w:rsidR="00D01A89" w:rsidRPr="00D01A89">
              <w:rPr>
                <w:webHidden/>
                <w:sz w:val="24"/>
                <w:szCs w:val="24"/>
              </w:rPr>
            </w:r>
            <w:r w:rsidR="00D01A89" w:rsidRPr="00D01A89">
              <w:rPr>
                <w:webHidden/>
                <w:sz w:val="24"/>
                <w:szCs w:val="24"/>
              </w:rPr>
              <w:fldChar w:fldCharType="separate"/>
            </w:r>
            <w:r w:rsidR="00982ED9">
              <w:rPr>
                <w:webHidden/>
                <w:sz w:val="24"/>
                <w:szCs w:val="24"/>
              </w:rPr>
              <w:t>5</w:t>
            </w:r>
            <w:r w:rsidR="00D01A89" w:rsidRPr="00D01A89">
              <w:rPr>
                <w:webHidden/>
                <w:sz w:val="24"/>
                <w:szCs w:val="24"/>
              </w:rPr>
              <w:fldChar w:fldCharType="end"/>
            </w:r>
          </w:hyperlink>
        </w:p>
        <w:p w14:paraId="1F6BB84B" w14:textId="3B3D0C30" w:rsidR="00D01A89" w:rsidRPr="00D01A89" w:rsidRDefault="00E30DC2">
          <w:pPr>
            <w:pStyle w:val="TOC2"/>
            <w:rPr>
              <w:rFonts w:cstheme="minorBidi"/>
              <w:kern w:val="2"/>
              <w:sz w:val="24"/>
              <w:szCs w:val="24"/>
              <w:lang w:val="en-GB" w:eastAsia="en-GB"/>
              <w14:ligatures w14:val="standardContextual"/>
            </w:rPr>
          </w:pPr>
          <w:hyperlink w:anchor="_Toc157592697" w:history="1">
            <w:r w:rsidR="00D01A89" w:rsidRPr="00D01A89">
              <w:rPr>
                <w:rStyle w:val="Hyperlink"/>
                <w:sz w:val="24"/>
                <w:szCs w:val="24"/>
              </w:rPr>
              <w:t>2.0</w:t>
            </w:r>
            <w:r w:rsidR="00D01A89" w:rsidRPr="00D01A89">
              <w:rPr>
                <w:rFonts w:cstheme="minorBidi"/>
                <w:kern w:val="2"/>
                <w:sz w:val="24"/>
                <w:szCs w:val="24"/>
                <w:lang w:val="en-GB" w:eastAsia="en-GB"/>
                <w14:ligatures w14:val="standardContextual"/>
              </w:rPr>
              <w:tab/>
            </w:r>
            <w:r w:rsidR="00D01A89" w:rsidRPr="00D01A89">
              <w:rPr>
                <w:rStyle w:val="Hyperlink"/>
                <w:sz w:val="24"/>
                <w:szCs w:val="24"/>
              </w:rPr>
              <w:t>General Comments</w:t>
            </w:r>
            <w:r w:rsidR="00D01A89" w:rsidRPr="00D01A89">
              <w:rPr>
                <w:webHidden/>
                <w:sz w:val="24"/>
                <w:szCs w:val="24"/>
              </w:rPr>
              <w:tab/>
            </w:r>
            <w:r w:rsidR="00D01A89" w:rsidRPr="00D01A89">
              <w:rPr>
                <w:webHidden/>
                <w:sz w:val="24"/>
                <w:szCs w:val="24"/>
              </w:rPr>
              <w:fldChar w:fldCharType="begin"/>
            </w:r>
            <w:r w:rsidR="00D01A89" w:rsidRPr="00D01A89">
              <w:rPr>
                <w:webHidden/>
                <w:sz w:val="24"/>
                <w:szCs w:val="24"/>
              </w:rPr>
              <w:instrText xml:space="preserve"> PAGEREF _Toc157592697 \h </w:instrText>
            </w:r>
            <w:r w:rsidR="00D01A89" w:rsidRPr="00D01A89">
              <w:rPr>
                <w:webHidden/>
                <w:sz w:val="24"/>
                <w:szCs w:val="24"/>
              </w:rPr>
            </w:r>
            <w:r w:rsidR="00D01A89" w:rsidRPr="00D01A89">
              <w:rPr>
                <w:webHidden/>
                <w:sz w:val="24"/>
                <w:szCs w:val="24"/>
              </w:rPr>
              <w:fldChar w:fldCharType="separate"/>
            </w:r>
            <w:r w:rsidR="00982ED9">
              <w:rPr>
                <w:webHidden/>
                <w:sz w:val="24"/>
                <w:szCs w:val="24"/>
              </w:rPr>
              <w:t>6</w:t>
            </w:r>
            <w:r w:rsidR="00D01A89" w:rsidRPr="00D01A89">
              <w:rPr>
                <w:webHidden/>
                <w:sz w:val="24"/>
                <w:szCs w:val="24"/>
              </w:rPr>
              <w:fldChar w:fldCharType="end"/>
            </w:r>
          </w:hyperlink>
        </w:p>
        <w:p w14:paraId="0289C966" w14:textId="74F121A8" w:rsidR="00D01A89" w:rsidRPr="00D01A89" w:rsidRDefault="00E30DC2">
          <w:pPr>
            <w:pStyle w:val="TOC2"/>
            <w:rPr>
              <w:rFonts w:cstheme="minorBidi"/>
              <w:kern w:val="2"/>
              <w:sz w:val="24"/>
              <w:szCs w:val="24"/>
              <w:lang w:val="en-GB" w:eastAsia="en-GB"/>
              <w14:ligatures w14:val="standardContextual"/>
            </w:rPr>
          </w:pPr>
          <w:hyperlink w:anchor="_Toc157592698" w:history="1">
            <w:r w:rsidR="00D01A89" w:rsidRPr="00D01A89">
              <w:rPr>
                <w:rStyle w:val="Hyperlink"/>
                <w:sz w:val="24"/>
                <w:szCs w:val="24"/>
              </w:rPr>
              <w:t>3.0</w:t>
            </w:r>
            <w:r w:rsidR="00D01A89" w:rsidRPr="00D01A89">
              <w:rPr>
                <w:rFonts w:cstheme="minorBidi"/>
                <w:kern w:val="2"/>
                <w:sz w:val="24"/>
                <w:szCs w:val="24"/>
                <w:lang w:val="en-GB" w:eastAsia="en-GB"/>
                <w14:ligatures w14:val="standardContextual"/>
              </w:rPr>
              <w:tab/>
            </w:r>
            <w:r w:rsidR="00D01A89" w:rsidRPr="00D01A89">
              <w:rPr>
                <w:rStyle w:val="Hyperlink"/>
                <w:sz w:val="24"/>
                <w:szCs w:val="24"/>
              </w:rPr>
              <w:t>Serious Harm Threshold</w:t>
            </w:r>
            <w:r w:rsidR="00D01A89" w:rsidRPr="00D01A89">
              <w:rPr>
                <w:webHidden/>
                <w:sz w:val="24"/>
                <w:szCs w:val="24"/>
              </w:rPr>
              <w:tab/>
            </w:r>
            <w:r w:rsidR="00D01A89" w:rsidRPr="00D01A89">
              <w:rPr>
                <w:webHidden/>
                <w:sz w:val="24"/>
                <w:szCs w:val="24"/>
              </w:rPr>
              <w:fldChar w:fldCharType="begin"/>
            </w:r>
            <w:r w:rsidR="00D01A89" w:rsidRPr="00D01A89">
              <w:rPr>
                <w:webHidden/>
                <w:sz w:val="24"/>
                <w:szCs w:val="24"/>
              </w:rPr>
              <w:instrText xml:space="preserve"> PAGEREF _Toc157592698 \h </w:instrText>
            </w:r>
            <w:r w:rsidR="00D01A89" w:rsidRPr="00D01A89">
              <w:rPr>
                <w:webHidden/>
                <w:sz w:val="24"/>
                <w:szCs w:val="24"/>
              </w:rPr>
            </w:r>
            <w:r w:rsidR="00D01A89" w:rsidRPr="00D01A89">
              <w:rPr>
                <w:webHidden/>
                <w:sz w:val="24"/>
                <w:szCs w:val="24"/>
              </w:rPr>
              <w:fldChar w:fldCharType="separate"/>
            </w:r>
            <w:r w:rsidR="00982ED9">
              <w:rPr>
                <w:webHidden/>
                <w:sz w:val="24"/>
                <w:szCs w:val="24"/>
              </w:rPr>
              <w:t>9</w:t>
            </w:r>
            <w:r w:rsidR="00D01A89" w:rsidRPr="00D01A89">
              <w:rPr>
                <w:webHidden/>
                <w:sz w:val="24"/>
                <w:szCs w:val="24"/>
              </w:rPr>
              <w:fldChar w:fldCharType="end"/>
            </w:r>
          </w:hyperlink>
        </w:p>
        <w:p w14:paraId="7B0011B6" w14:textId="17C817C1" w:rsidR="00D01A89" w:rsidRPr="00D01A89" w:rsidRDefault="00E30DC2">
          <w:pPr>
            <w:pStyle w:val="TOC2"/>
            <w:rPr>
              <w:rFonts w:cstheme="minorBidi"/>
              <w:kern w:val="2"/>
              <w:sz w:val="24"/>
              <w:szCs w:val="24"/>
              <w:lang w:val="en-GB" w:eastAsia="en-GB"/>
              <w14:ligatures w14:val="standardContextual"/>
            </w:rPr>
          </w:pPr>
          <w:hyperlink w:anchor="_Toc157592699" w:history="1">
            <w:r w:rsidR="00D01A89" w:rsidRPr="00D01A89">
              <w:rPr>
                <w:rStyle w:val="Hyperlink"/>
                <w:sz w:val="24"/>
                <w:szCs w:val="24"/>
              </w:rPr>
              <w:t>4.0</w:t>
            </w:r>
            <w:r w:rsidR="00D01A89" w:rsidRPr="00D01A89">
              <w:rPr>
                <w:rFonts w:cstheme="minorBidi"/>
                <w:kern w:val="2"/>
                <w:sz w:val="24"/>
                <w:szCs w:val="24"/>
                <w:lang w:val="en-GB" w:eastAsia="en-GB"/>
                <w14:ligatures w14:val="standardContextual"/>
              </w:rPr>
              <w:tab/>
            </w:r>
            <w:r w:rsidR="00D01A89" w:rsidRPr="00D01A89">
              <w:rPr>
                <w:rStyle w:val="Hyperlink"/>
                <w:sz w:val="24"/>
                <w:szCs w:val="24"/>
              </w:rPr>
              <w:t>Libel Tourism</w:t>
            </w:r>
            <w:r w:rsidR="00D01A89" w:rsidRPr="00D01A89">
              <w:rPr>
                <w:webHidden/>
                <w:sz w:val="24"/>
                <w:szCs w:val="24"/>
              </w:rPr>
              <w:tab/>
            </w:r>
            <w:r w:rsidR="00D01A89" w:rsidRPr="00D01A89">
              <w:rPr>
                <w:webHidden/>
                <w:sz w:val="24"/>
                <w:szCs w:val="24"/>
              </w:rPr>
              <w:fldChar w:fldCharType="begin"/>
            </w:r>
            <w:r w:rsidR="00D01A89" w:rsidRPr="00D01A89">
              <w:rPr>
                <w:webHidden/>
                <w:sz w:val="24"/>
                <w:szCs w:val="24"/>
              </w:rPr>
              <w:instrText xml:space="preserve"> PAGEREF _Toc157592699 \h </w:instrText>
            </w:r>
            <w:r w:rsidR="00D01A89" w:rsidRPr="00D01A89">
              <w:rPr>
                <w:webHidden/>
                <w:sz w:val="24"/>
                <w:szCs w:val="24"/>
              </w:rPr>
            </w:r>
            <w:r w:rsidR="00D01A89" w:rsidRPr="00D01A89">
              <w:rPr>
                <w:webHidden/>
                <w:sz w:val="24"/>
                <w:szCs w:val="24"/>
              </w:rPr>
              <w:fldChar w:fldCharType="separate"/>
            </w:r>
            <w:r w:rsidR="00982ED9">
              <w:rPr>
                <w:webHidden/>
                <w:sz w:val="24"/>
                <w:szCs w:val="24"/>
              </w:rPr>
              <w:t>11</w:t>
            </w:r>
            <w:r w:rsidR="00D01A89" w:rsidRPr="00D01A89">
              <w:rPr>
                <w:webHidden/>
                <w:sz w:val="24"/>
                <w:szCs w:val="24"/>
              </w:rPr>
              <w:fldChar w:fldCharType="end"/>
            </w:r>
          </w:hyperlink>
        </w:p>
        <w:p w14:paraId="4CB47425" w14:textId="36D14EEE" w:rsidR="00D01A89" w:rsidRPr="00D01A89" w:rsidRDefault="00E30DC2">
          <w:pPr>
            <w:pStyle w:val="TOC2"/>
            <w:rPr>
              <w:rFonts w:cstheme="minorBidi"/>
              <w:kern w:val="2"/>
              <w:sz w:val="24"/>
              <w:szCs w:val="24"/>
              <w:lang w:val="en-GB" w:eastAsia="en-GB"/>
              <w14:ligatures w14:val="standardContextual"/>
            </w:rPr>
          </w:pPr>
          <w:hyperlink w:anchor="_Toc157592700" w:history="1">
            <w:r w:rsidR="00D01A89" w:rsidRPr="00D01A89">
              <w:rPr>
                <w:rStyle w:val="Hyperlink"/>
                <w:sz w:val="24"/>
                <w:szCs w:val="24"/>
              </w:rPr>
              <w:t>5.0</w:t>
            </w:r>
            <w:r w:rsidR="00D01A89" w:rsidRPr="00D01A89">
              <w:rPr>
                <w:rFonts w:cstheme="minorBidi"/>
                <w:kern w:val="2"/>
                <w:sz w:val="24"/>
                <w:szCs w:val="24"/>
                <w:lang w:val="en-GB" w:eastAsia="en-GB"/>
                <w14:ligatures w14:val="standardContextual"/>
              </w:rPr>
              <w:tab/>
            </w:r>
            <w:r w:rsidR="00D01A89" w:rsidRPr="00D01A89">
              <w:rPr>
                <w:rStyle w:val="Hyperlink"/>
                <w:sz w:val="24"/>
                <w:szCs w:val="24"/>
              </w:rPr>
              <w:t>Strategic Lawsuits Against Public Participation</w:t>
            </w:r>
            <w:r w:rsidR="00D01A89" w:rsidRPr="00D01A89">
              <w:rPr>
                <w:webHidden/>
                <w:sz w:val="24"/>
                <w:szCs w:val="24"/>
              </w:rPr>
              <w:tab/>
            </w:r>
            <w:r w:rsidR="00D01A89" w:rsidRPr="00D01A89">
              <w:rPr>
                <w:webHidden/>
                <w:sz w:val="24"/>
                <w:szCs w:val="24"/>
              </w:rPr>
              <w:fldChar w:fldCharType="begin"/>
            </w:r>
            <w:r w:rsidR="00D01A89" w:rsidRPr="00D01A89">
              <w:rPr>
                <w:webHidden/>
                <w:sz w:val="24"/>
                <w:szCs w:val="24"/>
              </w:rPr>
              <w:instrText xml:space="preserve"> PAGEREF _Toc157592700 \h </w:instrText>
            </w:r>
            <w:r w:rsidR="00D01A89" w:rsidRPr="00D01A89">
              <w:rPr>
                <w:webHidden/>
                <w:sz w:val="24"/>
                <w:szCs w:val="24"/>
              </w:rPr>
            </w:r>
            <w:r w:rsidR="00D01A89" w:rsidRPr="00D01A89">
              <w:rPr>
                <w:webHidden/>
                <w:sz w:val="24"/>
                <w:szCs w:val="24"/>
              </w:rPr>
              <w:fldChar w:fldCharType="separate"/>
            </w:r>
            <w:r w:rsidR="00982ED9">
              <w:rPr>
                <w:webHidden/>
                <w:sz w:val="24"/>
                <w:szCs w:val="24"/>
              </w:rPr>
              <w:t>12</w:t>
            </w:r>
            <w:r w:rsidR="00D01A89" w:rsidRPr="00D01A89">
              <w:rPr>
                <w:webHidden/>
                <w:sz w:val="24"/>
                <w:szCs w:val="24"/>
              </w:rPr>
              <w:fldChar w:fldCharType="end"/>
            </w:r>
          </w:hyperlink>
        </w:p>
        <w:p w14:paraId="41D8981E" w14:textId="72874A47" w:rsidR="00D01A89" w:rsidRPr="00D01A89" w:rsidRDefault="00E30DC2">
          <w:pPr>
            <w:pStyle w:val="TOC2"/>
            <w:rPr>
              <w:rFonts w:cstheme="minorBidi"/>
              <w:kern w:val="2"/>
              <w:sz w:val="24"/>
              <w:szCs w:val="24"/>
              <w:lang w:val="en-GB" w:eastAsia="en-GB"/>
              <w14:ligatures w14:val="standardContextual"/>
            </w:rPr>
          </w:pPr>
          <w:hyperlink w:anchor="_Toc157592701" w:history="1">
            <w:r w:rsidR="00D01A89" w:rsidRPr="00D01A89">
              <w:rPr>
                <w:rStyle w:val="Hyperlink"/>
                <w:sz w:val="24"/>
                <w:szCs w:val="24"/>
              </w:rPr>
              <w:t>6.0</w:t>
            </w:r>
            <w:r w:rsidR="00D01A89" w:rsidRPr="00D01A89">
              <w:rPr>
                <w:rFonts w:cstheme="minorBidi"/>
                <w:kern w:val="2"/>
                <w:sz w:val="24"/>
                <w:szCs w:val="24"/>
                <w:lang w:val="en-GB" w:eastAsia="en-GB"/>
                <w14:ligatures w14:val="standardContextual"/>
              </w:rPr>
              <w:tab/>
            </w:r>
            <w:r w:rsidR="00D01A89" w:rsidRPr="00D01A89">
              <w:rPr>
                <w:rStyle w:val="Hyperlink"/>
                <w:sz w:val="24"/>
                <w:szCs w:val="24"/>
              </w:rPr>
              <w:t>Access to Justice</w:t>
            </w:r>
            <w:r w:rsidR="00D01A89" w:rsidRPr="00D01A89">
              <w:rPr>
                <w:webHidden/>
                <w:sz w:val="24"/>
                <w:szCs w:val="24"/>
              </w:rPr>
              <w:tab/>
            </w:r>
            <w:r w:rsidR="00D01A89" w:rsidRPr="00D01A89">
              <w:rPr>
                <w:webHidden/>
                <w:sz w:val="24"/>
                <w:szCs w:val="24"/>
              </w:rPr>
              <w:fldChar w:fldCharType="begin"/>
            </w:r>
            <w:r w:rsidR="00D01A89" w:rsidRPr="00D01A89">
              <w:rPr>
                <w:webHidden/>
                <w:sz w:val="24"/>
                <w:szCs w:val="24"/>
              </w:rPr>
              <w:instrText xml:space="preserve"> PAGEREF _Toc157592701 \h </w:instrText>
            </w:r>
            <w:r w:rsidR="00D01A89" w:rsidRPr="00D01A89">
              <w:rPr>
                <w:webHidden/>
                <w:sz w:val="24"/>
                <w:szCs w:val="24"/>
              </w:rPr>
            </w:r>
            <w:r w:rsidR="00D01A89" w:rsidRPr="00D01A89">
              <w:rPr>
                <w:webHidden/>
                <w:sz w:val="24"/>
                <w:szCs w:val="24"/>
              </w:rPr>
              <w:fldChar w:fldCharType="separate"/>
            </w:r>
            <w:r w:rsidR="00982ED9">
              <w:rPr>
                <w:webHidden/>
                <w:sz w:val="24"/>
                <w:szCs w:val="24"/>
              </w:rPr>
              <w:t>15</w:t>
            </w:r>
            <w:r w:rsidR="00D01A89" w:rsidRPr="00D01A89">
              <w:rPr>
                <w:webHidden/>
                <w:sz w:val="24"/>
                <w:szCs w:val="24"/>
              </w:rPr>
              <w:fldChar w:fldCharType="end"/>
            </w:r>
          </w:hyperlink>
        </w:p>
        <w:p w14:paraId="5F1FB1B0" w14:textId="2D508739" w:rsidR="00B4073F" w:rsidRDefault="00B4073F">
          <w:r w:rsidRPr="00D01A89">
            <w:rPr>
              <w:b/>
              <w:bCs/>
              <w:noProof/>
            </w:rPr>
            <w:fldChar w:fldCharType="end"/>
          </w:r>
        </w:p>
      </w:sdtContent>
    </w:sdt>
    <w:p w14:paraId="536AE4E8" w14:textId="77777777" w:rsidR="00EA12CE" w:rsidRPr="00331C61" w:rsidRDefault="00EA12CE" w:rsidP="00331C61">
      <w:pPr>
        <w:pStyle w:val="Default"/>
        <w:spacing w:line="288" w:lineRule="auto"/>
        <w:rPr>
          <w:rFonts w:cs="Arial"/>
          <w:b/>
          <w:color w:val="232120"/>
        </w:rPr>
      </w:pPr>
    </w:p>
    <w:p w14:paraId="46DC8108" w14:textId="77777777" w:rsidR="00EA12CE" w:rsidRPr="00331C61" w:rsidRDefault="00EA12CE" w:rsidP="00331C61">
      <w:pPr>
        <w:pStyle w:val="Default"/>
        <w:spacing w:line="288" w:lineRule="auto"/>
        <w:rPr>
          <w:rFonts w:cs="Arial"/>
          <w:b/>
          <w:color w:val="232120"/>
        </w:rPr>
      </w:pPr>
    </w:p>
    <w:p w14:paraId="144EE733" w14:textId="77777777" w:rsidR="00EA12CE" w:rsidRPr="00331C61" w:rsidRDefault="00EA12CE" w:rsidP="00331C61">
      <w:pPr>
        <w:pStyle w:val="Default"/>
        <w:spacing w:line="288" w:lineRule="auto"/>
        <w:rPr>
          <w:rFonts w:cs="Arial"/>
          <w:b/>
          <w:color w:val="232120"/>
        </w:rPr>
      </w:pPr>
    </w:p>
    <w:p w14:paraId="32085A75" w14:textId="77777777" w:rsidR="00EA12CE" w:rsidRPr="00331C61" w:rsidRDefault="00EA12CE" w:rsidP="00331C61">
      <w:pPr>
        <w:pStyle w:val="Default"/>
        <w:spacing w:line="288" w:lineRule="auto"/>
        <w:rPr>
          <w:rFonts w:cs="Arial"/>
          <w:b/>
          <w:color w:val="232120"/>
        </w:rPr>
      </w:pPr>
    </w:p>
    <w:p w14:paraId="0583068F" w14:textId="77777777" w:rsidR="00EA12CE" w:rsidRPr="00331C61" w:rsidRDefault="00EA12CE" w:rsidP="00331C61">
      <w:pPr>
        <w:pStyle w:val="Default"/>
        <w:spacing w:line="288" w:lineRule="auto"/>
        <w:rPr>
          <w:rFonts w:cs="Arial"/>
          <w:b/>
          <w:color w:val="232120"/>
        </w:rPr>
      </w:pPr>
    </w:p>
    <w:p w14:paraId="0E9F5D71" w14:textId="77777777" w:rsidR="00EA12CE" w:rsidRPr="00331C61" w:rsidRDefault="00EA12CE" w:rsidP="00331C61">
      <w:pPr>
        <w:pStyle w:val="Default"/>
        <w:spacing w:line="288" w:lineRule="auto"/>
        <w:rPr>
          <w:rFonts w:cs="Arial"/>
          <w:b/>
          <w:color w:val="232120"/>
        </w:rPr>
      </w:pPr>
    </w:p>
    <w:p w14:paraId="12D06217" w14:textId="77777777" w:rsidR="00EA12CE" w:rsidRPr="00331C61" w:rsidRDefault="00EA12CE" w:rsidP="00331C61">
      <w:pPr>
        <w:pStyle w:val="Default"/>
        <w:spacing w:line="288" w:lineRule="auto"/>
        <w:rPr>
          <w:rFonts w:cs="Arial"/>
          <w:b/>
          <w:color w:val="232120"/>
        </w:rPr>
      </w:pPr>
    </w:p>
    <w:p w14:paraId="5F4FBC02" w14:textId="77777777" w:rsidR="00EA12CE" w:rsidRPr="00331C61" w:rsidRDefault="00EA12CE" w:rsidP="00331C61">
      <w:pPr>
        <w:pStyle w:val="Default"/>
        <w:spacing w:line="288" w:lineRule="auto"/>
        <w:rPr>
          <w:rFonts w:cs="Arial"/>
          <w:b/>
          <w:color w:val="232120"/>
        </w:rPr>
      </w:pPr>
    </w:p>
    <w:p w14:paraId="10EC86A6" w14:textId="77777777" w:rsidR="00EA12CE" w:rsidRPr="00331C61" w:rsidRDefault="00EA12CE" w:rsidP="00331C61">
      <w:pPr>
        <w:pStyle w:val="Default"/>
        <w:spacing w:line="288" w:lineRule="auto"/>
        <w:rPr>
          <w:rFonts w:cs="Arial"/>
          <w:b/>
          <w:color w:val="232120"/>
        </w:rPr>
      </w:pPr>
    </w:p>
    <w:p w14:paraId="5CF653B0" w14:textId="77777777" w:rsidR="00EA12CE" w:rsidRPr="00331C61" w:rsidRDefault="00EA12CE" w:rsidP="00331C61">
      <w:pPr>
        <w:pStyle w:val="Default"/>
        <w:spacing w:line="288" w:lineRule="auto"/>
        <w:rPr>
          <w:rFonts w:cs="Arial"/>
          <w:b/>
          <w:color w:val="232120"/>
        </w:rPr>
      </w:pPr>
    </w:p>
    <w:p w14:paraId="70F5686B" w14:textId="77777777" w:rsidR="00EA12CE" w:rsidRPr="00331C61" w:rsidRDefault="00EA12CE" w:rsidP="00331C61">
      <w:pPr>
        <w:pStyle w:val="Default"/>
        <w:spacing w:line="288" w:lineRule="auto"/>
        <w:rPr>
          <w:rFonts w:cs="Arial"/>
          <w:b/>
          <w:color w:val="232120"/>
        </w:rPr>
      </w:pPr>
    </w:p>
    <w:p w14:paraId="11B3B6C7" w14:textId="77777777" w:rsidR="00EA12CE" w:rsidRPr="00331C61" w:rsidRDefault="00EA12CE" w:rsidP="00331C61">
      <w:pPr>
        <w:pStyle w:val="Default"/>
        <w:spacing w:line="288" w:lineRule="auto"/>
        <w:rPr>
          <w:rFonts w:cs="Arial"/>
          <w:b/>
          <w:color w:val="232120"/>
        </w:rPr>
      </w:pPr>
    </w:p>
    <w:p w14:paraId="3677A4F8" w14:textId="77777777" w:rsidR="00EA12CE" w:rsidRPr="00331C61" w:rsidRDefault="00EA12CE" w:rsidP="00331C61">
      <w:pPr>
        <w:pStyle w:val="Default"/>
        <w:spacing w:line="288" w:lineRule="auto"/>
        <w:rPr>
          <w:rFonts w:cs="Arial"/>
          <w:b/>
          <w:color w:val="232120"/>
        </w:rPr>
      </w:pPr>
    </w:p>
    <w:p w14:paraId="27008C2C" w14:textId="77777777" w:rsidR="00EA12CE" w:rsidRPr="00331C61" w:rsidRDefault="00EA12CE" w:rsidP="00331C61">
      <w:pPr>
        <w:pStyle w:val="Default"/>
        <w:spacing w:line="288" w:lineRule="auto"/>
        <w:rPr>
          <w:rFonts w:cs="Arial"/>
          <w:b/>
          <w:color w:val="232120"/>
        </w:rPr>
      </w:pPr>
    </w:p>
    <w:p w14:paraId="5B0E31CD" w14:textId="77777777" w:rsidR="00EA12CE" w:rsidRPr="00331C61" w:rsidRDefault="00EA12CE" w:rsidP="00331C61">
      <w:pPr>
        <w:pStyle w:val="Default"/>
        <w:spacing w:line="288" w:lineRule="auto"/>
        <w:rPr>
          <w:rFonts w:cs="Arial"/>
          <w:b/>
          <w:color w:val="232120"/>
        </w:rPr>
      </w:pPr>
    </w:p>
    <w:p w14:paraId="4A9959B1" w14:textId="77777777" w:rsidR="00EA12CE" w:rsidRPr="00331C61" w:rsidRDefault="00EA12CE" w:rsidP="00331C61">
      <w:pPr>
        <w:pStyle w:val="Default"/>
        <w:spacing w:line="288" w:lineRule="auto"/>
        <w:rPr>
          <w:rFonts w:cs="Arial"/>
          <w:b/>
          <w:color w:val="232120"/>
        </w:rPr>
      </w:pPr>
    </w:p>
    <w:p w14:paraId="7812BB6E" w14:textId="77777777" w:rsidR="00EA12CE" w:rsidRPr="00331C61" w:rsidRDefault="00EA12CE" w:rsidP="00331C61">
      <w:pPr>
        <w:pStyle w:val="Default"/>
        <w:spacing w:line="288" w:lineRule="auto"/>
        <w:rPr>
          <w:rFonts w:cs="Arial"/>
          <w:b/>
          <w:color w:val="232120"/>
        </w:rPr>
      </w:pPr>
    </w:p>
    <w:p w14:paraId="01AD6CE4" w14:textId="77777777" w:rsidR="001E79A9" w:rsidRPr="00331C61" w:rsidRDefault="001E79A9" w:rsidP="00331C61">
      <w:pPr>
        <w:pStyle w:val="Default"/>
        <w:spacing w:line="288" w:lineRule="auto"/>
        <w:rPr>
          <w:rFonts w:cs="Arial"/>
          <w:b/>
          <w:color w:val="232120"/>
        </w:rPr>
      </w:pPr>
    </w:p>
    <w:p w14:paraId="7537191A" w14:textId="77777777" w:rsidR="004672AC" w:rsidRPr="00331C61" w:rsidRDefault="004672AC" w:rsidP="00331C61">
      <w:pPr>
        <w:pStyle w:val="Default"/>
        <w:spacing w:line="288" w:lineRule="auto"/>
        <w:rPr>
          <w:rFonts w:cs="Arial"/>
          <w:b/>
          <w:color w:val="232120"/>
        </w:rPr>
      </w:pPr>
    </w:p>
    <w:p w14:paraId="5DCAF614" w14:textId="77777777" w:rsidR="003B7D0E" w:rsidRDefault="003B7D0E" w:rsidP="00331C61">
      <w:pPr>
        <w:pStyle w:val="Default"/>
        <w:spacing w:line="288" w:lineRule="auto"/>
        <w:rPr>
          <w:rFonts w:cs="Arial"/>
          <w:b/>
          <w:color w:val="232120"/>
        </w:rPr>
      </w:pPr>
    </w:p>
    <w:p w14:paraId="4F51C661" w14:textId="77777777" w:rsidR="00F416C7" w:rsidRDefault="00F416C7" w:rsidP="00331C61">
      <w:pPr>
        <w:pStyle w:val="Default"/>
        <w:spacing w:line="288" w:lineRule="auto"/>
        <w:rPr>
          <w:rFonts w:cs="Arial"/>
          <w:b/>
          <w:color w:val="232120"/>
        </w:rPr>
      </w:pPr>
    </w:p>
    <w:p w14:paraId="655C3AD5" w14:textId="77777777" w:rsidR="00F416C7" w:rsidRDefault="00F416C7" w:rsidP="00331C61">
      <w:pPr>
        <w:pStyle w:val="Default"/>
        <w:spacing w:line="288" w:lineRule="auto"/>
        <w:rPr>
          <w:rFonts w:cs="Arial"/>
          <w:b/>
          <w:color w:val="232120"/>
        </w:rPr>
      </w:pPr>
    </w:p>
    <w:p w14:paraId="142DF5DC" w14:textId="77777777" w:rsidR="00F416C7" w:rsidRDefault="00F416C7" w:rsidP="00331C61">
      <w:pPr>
        <w:pStyle w:val="Default"/>
        <w:spacing w:line="288" w:lineRule="auto"/>
        <w:rPr>
          <w:rFonts w:cs="Arial"/>
          <w:b/>
          <w:color w:val="232120"/>
        </w:rPr>
      </w:pPr>
    </w:p>
    <w:p w14:paraId="5583FA46" w14:textId="77777777" w:rsidR="00F416C7" w:rsidRDefault="00F416C7" w:rsidP="00331C61">
      <w:pPr>
        <w:pStyle w:val="Default"/>
        <w:spacing w:line="288" w:lineRule="auto"/>
        <w:rPr>
          <w:rFonts w:cs="Arial"/>
          <w:b/>
          <w:color w:val="232120"/>
        </w:rPr>
      </w:pPr>
    </w:p>
    <w:p w14:paraId="05B83634" w14:textId="77777777" w:rsidR="00F416C7" w:rsidRDefault="00F416C7" w:rsidP="00331C61">
      <w:pPr>
        <w:pStyle w:val="Default"/>
        <w:spacing w:line="288" w:lineRule="auto"/>
        <w:rPr>
          <w:rFonts w:cs="Arial"/>
          <w:b/>
          <w:color w:val="232120"/>
        </w:rPr>
      </w:pPr>
    </w:p>
    <w:p w14:paraId="4644F6DA" w14:textId="77777777" w:rsidR="00F416C7" w:rsidRDefault="00F416C7" w:rsidP="00331C61">
      <w:pPr>
        <w:pStyle w:val="Default"/>
        <w:spacing w:line="288" w:lineRule="auto"/>
        <w:rPr>
          <w:rFonts w:cs="Arial"/>
          <w:b/>
          <w:color w:val="232120"/>
        </w:rPr>
      </w:pPr>
    </w:p>
    <w:p w14:paraId="5BAB66DB" w14:textId="77777777" w:rsidR="00F416C7" w:rsidRDefault="00F416C7" w:rsidP="00331C61">
      <w:pPr>
        <w:pStyle w:val="Default"/>
        <w:spacing w:line="288" w:lineRule="auto"/>
        <w:rPr>
          <w:rFonts w:cs="Arial"/>
          <w:b/>
          <w:color w:val="232120"/>
        </w:rPr>
      </w:pPr>
    </w:p>
    <w:p w14:paraId="605DCB12" w14:textId="15341F3A" w:rsidR="00F416C7" w:rsidRDefault="0011357D">
      <w:pPr>
        <w:rPr>
          <w:rFonts w:cs="Arial"/>
          <w:b/>
          <w:color w:val="232120"/>
          <w:lang w:val="en-US"/>
        </w:rPr>
      </w:pPr>
      <w:r>
        <w:rPr>
          <w:rFonts w:cs="Arial"/>
          <w:b/>
          <w:color w:val="232120"/>
        </w:rPr>
        <w:br w:type="page"/>
      </w:r>
    </w:p>
    <w:bookmarkStart w:id="0" w:name="_Toc157592695"/>
    <w:p w14:paraId="01605B49" w14:textId="514E11DC" w:rsidR="00126E41" w:rsidRDefault="005748F6" w:rsidP="004E6BEC">
      <w:pPr>
        <w:pStyle w:val="Heading2"/>
      </w:pPr>
      <w:r>
        <w:rPr>
          <w:noProof/>
        </w:rPr>
        <mc:AlternateContent>
          <mc:Choice Requires="wps">
            <w:drawing>
              <wp:anchor distT="0" distB="0" distL="114300" distR="114300" simplePos="0" relativeHeight="251658240" behindDoc="0" locked="0" layoutInCell="1" allowOverlap="1" wp14:anchorId="3B100940" wp14:editId="23AACAB4">
                <wp:simplePos x="0" y="0"/>
                <wp:positionH relativeFrom="column">
                  <wp:posOffset>-217474</wp:posOffset>
                </wp:positionH>
                <wp:positionV relativeFrom="paragraph">
                  <wp:posOffset>340774</wp:posOffset>
                </wp:positionV>
                <wp:extent cx="6749167" cy="9299879"/>
                <wp:effectExtent l="57150" t="19050" r="71120" b="92075"/>
                <wp:wrapNone/>
                <wp:docPr id="83669353" name="Rectangle 83669353"/>
                <wp:cNvGraphicFramePr/>
                <a:graphic xmlns:a="http://schemas.openxmlformats.org/drawingml/2006/main">
                  <a:graphicData uri="http://schemas.microsoft.com/office/word/2010/wordprocessingShape">
                    <wps:wsp>
                      <wps:cNvSpPr/>
                      <wps:spPr>
                        <a:xfrm>
                          <a:off x="0" y="0"/>
                          <a:ext cx="6749167" cy="9299879"/>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A28AAF1" id="Rectangle 1" o:spid="_x0000_s1026" style="position:absolute;margin-left:-17.1pt;margin-top:26.85pt;width:531.45pt;height:7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yZAIAADwFAAAOAAAAZHJzL2Uyb0RvYy54bWysVEtrGzEQvhf6H4TuzXpdN45N1sE4pBRC&#10;EpKUnBWtZC9oNepI9tr99R1pHzZpIFB6kWY075lvdHm1rw3bKfQV2ILnZyPOlJVQVnZd8J/PN18u&#10;OPNB2FIYsKrgB+X51eLzp8vGzdUYNmBKhYycWD9vXME3Ibh5lnm5UbXwZ+CUJaEGrEUgFtdZiaIh&#10;77XJxqPRedYAlg5BKu/p9boV8kXyr7WS4V5rrwIzBafcQjoxna/xzBaXYr5G4TaV7NIQ/5BFLSpL&#10;QQdX1yIItsXqL1d1JRE86HAmoc5A60qqVANVk4/eVPO0EU6lWqg53g1t8v/PrbzbPbkHpDY0zs89&#10;kbGKvcY63pQf26dmHYZmqX1gkh7Pp5NZfj7lTJJsNp7NLqaz2M7saO7Qh+8KahaJgiNNIzVJ7G59&#10;aFV7lRjNwk1lTJqIsfHBg6nK+JaYCAm1Msh2goYZ9nkX7USLYkfL7FhLosLBqOjC2EelWVVS9nlK&#10;JMHs6FNIqWzo/SbtaKYpg8Hw68eGnX40VQmCg/H4Y+PBIkUGGwbjurKA7zkwQ8q61e870NYdW/AK&#10;5eEBGUK7AN7Jm4pmcit8eBBIiKfdoC0O93RoA03BoaM42wD+fu896hMQScpZQxtUcP9rK1BxZn5Y&#10;gugsn0ziyiVm8m06JgZPJa+nErutV0Bzzem/cDKRUT+YntQI9Qst+zJGJZGwkmIXXAbsmVVoN5u+&#10;C6mWy6RGa+ZEuLVPTvZTj5h73r8IdB0wA2H6DvptE/M3+Gx14zwsLLcBdJXAe+xr129a0QT/7juJ&#10;f8Apn7SOn97iDwAAAP//AwBQSwMEFAAGAAgAAAAhAFaGpkTjAAAADAEAAA8AAABkcnMvZG93bnJl&#10;di54bWxMj8FOwzAMhu9IvENkJC5oS9cx6ErTCYE4THBhME3cssa0FYlTNdnavT3eCW6/5U+/Pxer&#10;0VlxxD60nhTMpgkIpMqblmoFnx8vkwxEiJqMtp5QwQkDrMrLi0Lnxg/0jsdNrAWXUMi1gibGLpcy&#10;VA06Haa+Q+Ldt++djjz2tTS9HrjcWZkmyZ10uiW+0OgOnxqsfjYHp8Buh/pU7ba75fPrWn69mfXN&#10;uOyUur4aHx9ARBzjHwxnfVaHkp32/kAmCKtgMr9NGVWwmN+DOANJmnHac1rMshRkWcj/T5S/AAAA&#10;//8DAFBLAQItABQABgAIAAAAIQC2gziS/gAAAOEBAAATAAAAAAAAAAAAAAAAAAAAAABbQ29udGVu&#10;dF9UeXBlc10ueG1sUEsBAi0AFAAGAAgAAAAhADj9If/WAAAAlAEAAAsAAAAAAAAAAAAAAAAALwEA&#10;AF9yZWxzLy5yZWxzUEsBAi0AFAAGAAgAAAAhAAtL47JkAgAAPAUAAA4AAAAAAAAAAAAAAAAALgIA&#10;AGRycy9lMm9Eb2MueG1sUEsBAi0AFAAGAAgAAAAhAFaGpkTjAAAADAEAAA8AAAAAAAAAAAAAAAAA&#10;vgQAAGRycy9kb3ducmV2LnhtbFBLBQYAAAAABAAEAPMAAADOBQAAAAA=&#10;" filled="f" strokecolor="black [3213]">
                <v:shadow on="t" color="black" opacity="22937f" origin=",.5" offset="0,.63889mm"/>
              </v:rect>
            </w:pict>
          </mc:Fallback>
        </mc:AlternateContent>
      </w:r>
      <w:r w:rsidR="004E6BEC">
        <w:t>Summary of Recommendations</w:t>
      </w:r>
      <w:bookmarkEnd w:id="0"/>
    </w:p>
    <w:p w14:paraId="794A44C9" w14:textId="77777777" w:rsidR="00D873AC" w:rsidRDefault="00D873AC" w:rsidP="00D873AC">
      <w:pPr>
        <w:spacing w:line="360" w:lineRule="auto"/>
        <w:ind w:left="720" w:hanging="720"/>
        <w:rPr>
          <w:b/>
          <w:bCs/>
        </w:rPr>
      </w:pPr>
      <w:r w:rsidRPr="00D873AC">
        <w:rPr>
          <w:b/>
          <w:bCs/>
        </w:rPr>
        <w:t>2.9</w:t>
      </w:r>
      <w:r>
        <w:tab/>
      </w:r>
      <w:r w:rsidRPr="00D873AC">
        <w:rPr>
          <w:b/>
          <w:bCs/>
        </w:rPr>
        <w:t xml:space="preserve">The NIHRC recommends that the Department of Finance should ensure that defamation law in NI strikes a fair balance between freedom of expression and the right to private life, either by working with the NI Assembly to amend the Defamation Act (NI) </w:t>
      </w:r>
      <w:proofErr w:type="gramStart"/>
      <w:r w:rsidRPr="00D873AC">
        <w:rPr>
          <w:b/>
          <w:bCs/>
        </w:rPr>
        <w:t>2022, or</w:t>
      </w:r>
      <w:proofErr w:type="gramEnd"/>
      <w:r w:rsidRPr="00D873AC">
        <w:rPr>
          <w:b/>
          <w:bCs/>
        </w:rPr>
        <w:t xml:space="preserve"> introducing additional safeguards to complement the Act.</w:t>
      </w:r>
    </w:p>
    <w:p w14:paraId="23D54ED5" w14:textId="77777777" w:rsidR="00D873AC" w:rsidRDefault="00D873AC" w:rsidP="00D873AC">
      <w:pPr>
        <w:spacing w:line="360" w:lineRule="auto"/>
        <w:ind w:left="720" w:hanging="720"/>
        <w:rPr>
          <w:b/>
          <w:bCs/>
        </w:rPr>
      </w:pPr>
    </w:p>
    <w:p w14:paraId="6A3C61BB" w14:textId="7E23956A" w:rsidR="00D873AC" w:rsidRDefault="00D873AC" w:rsidP="00D873AC">
      <w:pPr>
        <w:suppressAutoHyphens/>
        <w:spacing w:line="360" w:lineRule="auto"/>
        <w:ind w:left="720" w:hanging="720"/>
        <w:rPr>
          <w:rFonts w:cs="Arial"/>
          <w:b/>
          <w:bCs/>
          <w:color w:val="232120"/>
        </w:rPr>
      </w:pPr>
      <w:r w:rsidRPr="00D873AC">
        <w:rPr>
          <w:b/>
          <w:bCs/>
        </w:rPr>
        <w:t xml:space="preserve">3.5 </w:t>
      </w:r>
      <w:r>
        <w:rPr>
          <w:b/>
          <w:bCs/>
        </w:rPr>
        <w:tab/>
      </w:r>
      <w:r w:rsidRPr="00D873AC">
        <w:rPr>
          <w:rFonts w:cs="Arial"/>
          <w:b/>
          <w:bCs/>
          <w:color w:val="232120"/>
        </w:rPr>
        <w:t xml:space="preserve">The NIHRC recommends that the Department of Finance </w:t>
      </w:r>
      <w:proofErr w:type="gramStart"/>
      <w:r w:rsidRPr="00D873AC">
        <w:rPr>
          <w:rFonts w:cs="Arial"/>
          <w:b/>
          <w:bCs/>
          <w:color w:val="232120"/>
        </w:rPr>
        <w:t>gives detailed consideration to</w:t>
      </w:r>
      <w:proofErr w:type="gramEnd"/>
      <w:r w:rsidRPr="00D873AC">
        <w:rPr>
          <w:rFonts w:cs="Arial"/>
          <w:b/>
          <w:bCs/>
          <w:color w:val="232120"/>
        </w:rPr>
        <w:t xml:space="preserve"> an amendment to the Defamation Act (NI) 2022 to include a serious harm threshold akin to that which exists in defamation law in other UK jurisdictions which takes account of ECtHR jurisprudence.</w:t>
      </w:r>
    </w:p>
    <w:p w14:paraId="58E5E9EB" w14:textId="77777777" w:rsidR="000A39CD" w:rsidRDefault="000A39CD" w:rsidP="00D873AC">
      <w:pPr>
        <w:suppressAutoHyphens/>
        <w:spacing w:line="360" w:lineRule="auto"/>
        <w:ind w:left="720" w:hanging="720"/>
        <w:rPr>
          <w:rFonts w:cs="Arial"/>
          <w:color w:val="232120"/>
          <w:sz w:val="20"/>
          <w:szCs w:val="20"/>
        </w:rPr>
      </w:pPr>
    </w:p>
    <w:p w14:paraId="7D97CBAE" w14:textId="26906F3A" w:rsidR="000A39CD" w:rsidRDefault="000A39CD" w:rsidP="000A39CD">
      <w:pPr>
        <w:suppressAutoHyphens/>
        <w:spacing w:line="360" w:lineRule="auto"/>
        <w:ind w:left="720" w:hanging="720"/>
        <w:rPr>
          <w:rFonts w:cs="Arial"/>
          <w:b/>
          <w:bCs/>
          <w:color w:val="232120"/>
        </w:rPr>
      </w:pPr>
      <w:r w:rsidRPr="000A39CD">
        <w:rPr>
          <w:rFonts w:cs="Arial"/>
          <w:b/>
          <w:bCs/>
          <w:color w:val="232120"/>
        </w:rPr>
        <w:t>4.5</w:t>
      </w:r>
      <w:r w:rsidRPr="000A39CD">
        <w:rPr>
          <w:rFonts w:cs="Arial"/>
          <w:color w:val="232120"/>
          <w:sz w:val="20"/>
          <w:szCs w:val="20"/>
        </w:rPr>
        <w:t xml:space="preserve"> </w:t>
      </w:r>
      <w:r>
        <w:rPr>
          <w:rFonts w:cs="Arial"/>
          <w:color w:val="232120"/>
          <w:sz w:val="20"/>
          <w:szCs w:val="20"/>
        </w:rPr>
        <w:tab/>
      </w:r>
      <w:r w:rsidRPr="000A39CD">
        <w:rPr>
          <w:rFonts w:cs="Arial"/>
          <w:b/>
          <w:bCs/>
          <w:color w:val="232120"/>
        </w:rPr>
        <w:t xml:space="preserve">The NIHRC recommends that the Department of Finance works with relevant bodies to ensure that relevant data on libel cases heard in NI is collected, accessibly published, </w:t>
      </w:r>
      <w:proofErr w:type="gramStart"/>
      <w:r w:rsidRPr="000A39CD">
        <w:rPr>
          <w:rFonts w:cs="Arial"/>
          <w:b/>
          <w:bCs/>
          <w:color w:val="232120"/>
        </w:rPr>
        <w:t>monitored</w:t>
      </w:r>
      <w:proofErr w:type="gramEnd"/>
      <w:r w:rsidRPr="000A39CD">
        <w:rPr>
          <w:rFonts w:cs="Arial"/>
          <w:b/>
          <w:bCs/>
          <w:color w:val="232120"/>
        </w:rPr>
        <w:t xml:space="preserve"> and evaluated, </w:t>
      </w:r>
      <w:r w:rsidR="009D2565" w:rsidRPr="000A39CD">
        <w:rPr>
          <w:rFonts w:cs="Arial"/>
          <w:b/>
          <w:color w:val="232120"/>
        </w:rPr>
        <w:t xml:space="preserve">including cases </w:t>
      </w:r>
      <w:r w:rsidR="009D2565">
        <w:rPr>
          <w:b/>
          <w:bCs/>
          <w:color w:val="232120"/>
        </w:rPr>
        <w:t>resolved outside of court</w:t>
      </w:r>
      <w:r w:rsidRPr="000A39CD">
        <w:rPr>
          <w:rFonts w:cs="Arial"/>
          <w:b/>
          <w:bCs/>
          <w:color w:val="232120"/>
        </w:rPr>
        <w:t>.</w:t>
      </w:r>
    </w:p>
    <w:p w14:paraId="3C6D0E99" w14:textId="77777777" w:rsidR="00CA2C60" w:rsidRDefault="00CA2C60" w:rsidP="000A39CD">
      <w:pPr>
        <w:suppressAutoHyphens/>
        <w:spacing w:line="360" w:lineRule="auto"/>
        <w:ind w:left="720" w:hanging="720"/>
        <w:rPr>
          <w:rFonts w:cs="Arial"/>
          <w:b/>
          <w:bCs/>
          <w:color w:val="232120"/>
        </w:rPr>
      </w:pPr>
    </w:p>
    <w:p w14:paraId="6399EACC" w14:textId="2E8CA47A" w:rsidR="00CA2C60" w:rsidRPr="0049605D" w:rsidRDefault="0049605D" w:rsidP="0049605D">
      <w:pPr>
        <w:suppressAutoHyphens/>
        <w:spacing w:line="360" w:lineRule="auto"/>
        <w:ind w:left="720" w:hanging="720"/>
        <w:rPr>
          <w:rFonts w:cs="Arial"/>
          <w:sz w:val="20"/>
          <w:szCs w:val="20"/>
        </w:rPr>
      </w:pPr>
      <w:r>
        <w:rPr>
          <w:rFonts w:cs="Arial"/>
          <w:b/>
          <w:bCs/>
          <w:color w:val="232120"/>
        </w:rPr>
        <w:t>5.9</w:t>
      </w:r>
      <w:r>
        <w:rPr>
          <w:rFonts w:cs="Arial"/>
          <w:b/>
          <w:bCs/>
          <w:color w:val="232120"/>
        </w:rPr>
        <w:tab/>
      </w:r>
      <w:r w:rsidR="00CA2C60" w:rsidRPr="0049605D">
        <w:rPr>
          <w:rFonts w:cs="Arial"/>
          <w:b/>
          <w:bCs/>
        </w:rPr>
        <w:t>The NIHRC recommends that the Department of Finance works with the NI Executive and NI Assembly to introduce legislation to tackle strategic lawsuits against public participation in line with its obligations under international human rights law.</w:t>
      </w:r>
    </w:p>
    <w:p w14:paraId="459EF904" w14:textId="77777777" w:rsidR="00CA2C60" w:rsidRDefault="00CA2C60" w:rsidP="0049605D">
      <w:pPr>
        <w:suppressAutoHyphens/>
        <w:spacing w:line="360" w:lineRule="auto"/>
        <w:rPr>
          <w:rFonts w:cs="Arial"/>
          <w:sz w:val="20"/>
          <w:szCs w:val="20"/>
        </w:rPr>
      </w:pPr>
    </w:p>
    <w:p w14:paraId="22D17D50" w14:textId="5784E2F8" w:rsidR="00CA2C60" w:rsidRDefault="006B4F8E" w:rsidP="006B4F8E">
      <w:pPr>
        <w:suppressAutoHyphens/>
        <w:spacing w:line="360" w:lineRule="auto"/>
        <w:ind w:left="720" w:hanging="720"/>
        <w:rPr>
          <w:rStyle w:val="cf01"/>
          <w:rFonts w:ascii="Verdana" w:hAnsi="Verdana"/>
          <w:b/>
          <w:bCs/>
          <w:sz w:val="24"/>
          <w:szCs w:val="24"/>
        </w:rPr>
      </w:pPr>
      <w:r>
        <w:rPr>
          <w:rFonts w:cs="Arial"/>
          <w:b/>
          <w:bCs/>
        </w:rPr>
        <w:t>5.10</w:t>
      </w:r>
      <w:r>
        <w:rPr>
          <w:rFonts w:cs="Arial"/>
          <w:b/>
          <w:bCs/>
        </w:rPr>
        <w:tab/>
      </w:r>
      <w:r w:rsidR="00CA2C60" w:rsidRPr="0049605D">
        <w:rPr>
          <w:rStyle w:val="cf01"/>
          <w:rFonts w:ascii="Verdana" w:hAnsi="Verdana"/>
          <w:b/>
          <w:bCs/>
          <w:sz w:val="24"/>
          <w:szCs w:val="24"/>
        </w:rPr>
        <w:t>The NIHRC further recommends that the Department of Finance, as a matter of good practice, monitor any enhancement to human rights pursuant to the proposed EU directive on strategic lawsuits against public participation and, if adopted, ensure NI law aligns on a voluntary basis with such changes.</w:t>
      </w:r>
    </w:p>
    <w:p w14:paraId="4C359377" w14:textId="77777777" w:rsidR="001A5B35" w:rsidRDefault="001A5B35" w:rsidP="006B4F8E">
      <w:pPr>
        <w:suppressAutoHyphens/>
        <w:spacing w:line="360" w:lineRule="auto"/>
        <w:ind w:left="720" w:hanging="720"/>
        <w:rPr>
          <w:rFonts w:cs="Arial"/>
          <w:b/>
          <w:bCs/>
        </w:rPr>
      </w:pPr>
    </w:p>
    <w:p w14:paraId="5728A9D2" w14:textId="2AB06871" w:rsidR="001A5B35" w:rsidRPr="001A5B35" w:rsidRDefault="001A5B35" w:rsidP="001A5B35">
      <w:pPr>
        <w:suppressAutoHyphens/>
        <w:spacing w:line="360" w:lineRule="auto"/>
        <w:ind w:left="720" w:hanging="720"/>
        <w:rPr>
          <w:rFonts w:cs="Arial"/>
          <w:sz w:val="20"/>
          <w:szCs w:val="20"/>
        </w:rPr>
      </w:pPr>
      <w:r>
        <w:rPr>
          <w:rFonts w:cs="Arial"/>
          <w:b/>
          <w:bCs/>
        </w:rPr>
        <w:t>6.5</w:t>
      </w:r>
      <w:r>
        <w:rPr>
          <w:rFonts w:cs="Arial"/>
          <w:b/>
          <w:bCs/>
        </w:rPr>
        <w:tab/>
      </w:r>
      <w:r w:rsidRPr="001A5B35">
        <w:rPr>
          <w:rFonts w:cs="Arial"/>
          <w:b/>
          <w:bCs/>
        </w:rPr>
        <w:t xml:space="preserve">The NIHRC recommends that the Department of Finance considers all relevant options available to mitigate the costs and other </w:t>
      </w:r>
      <w:r w:rsidR="005748F6">
        <w:rPr>
          <w:rFonts w:cs="Arial"/>
          <w:b/>
          <w:bCs/>
          <w:noProof/>
        </w:rPr>
        <mc:AlternateContent>
          <mc:Choice Requires="wps">
            <w:drawing>
              <wp:anchor distT="0" distB="0" distL="114300" distR="114300" simplePos="0" relativeHeight="251658241" behindDoc="0" locked="0" layoutInCell="1" allowOverlap="1" wp14:anchorId="4CA387E6" wp14:editId="4AB09042">
                <wp:simplePos x="0" y="0"/>
                <wp:positionH relativeFrom="column">
                  <wp:posOffset>-218965</wp:posOffset>
                </wp:positionH>
                <wp:positionV relativeFrom="paragraph">
                  <wp:posOffset>-139452</wp:posOffset>
                </wp:positionV>
                <wp:extent cx="6710901" cy="1470992"/>
                <wp:effectExtent l="57150" t="19050" r="71120" b="91440"/>
                <wp:wrapNone/>
                <wp:docPr id="139538389" name="Rectangle 139538389"/>
                <wp:cNvGraphicFramePr/>
                <a:graphic xmlns:a="http://schemas.openxmlformats.org/drawingml/2006/main">
                  <a:graphicData uri="http://schemas.microsoft.com/office/word/2010/wordprocessingShape">
                    <wps:wsp>
                      <wps:cNvSpPr/>
                      <wps:spPr>
                        <a:xfrm>
                          <a:off x="0" y="0"/>
                          <a:ext cx="6710901" cy="147099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A9F6A80" id="Rectangle 2" o:spid="_x0000_s1026" style="position:absolute;margin-left:-17.25pt;margin-top:-11pt;width:528.4pt;height:11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peYgIAADwFAAAOAAAAZHJzL2Uyb0RvYy54bWysVEtrGzEQvhf6H4Tuze66blKbrINxSCmE&#10;JDQpOStayV7QatSR7LX76zvSPmzSQKD0Is1o3jPf6PJq3xi2U+hrsCUvznLOlJVQ1XZd8p9PN5++&#10;cuaDsJUwYFXJD8rzq8XHD5etm6sJbMBUChk5sX7eupJvQnDzLPNyoxrhz8ApS0IN2IhALK6zCkVL&#10;3huTTfL8PGsBK4cglff0et0J+SL511rJcK+1V4GZklNuIZ2Yzpd4ZotLMV+jcJta9mmIf8iiEbWl&#10;oKOraxEE22L9l6umlggedDiT0GSgdS1VqoGqKfJX1TxuhFOpFmqOd2Ob/P9zK+92j+4BqQ2t83NP&#10;ZKxir7GJN+XH9qlZh7FZah+YpMfziyKf5QVnkmTF9CKfzSaxndnR3KEP3xQ0LBIlR5pGapLY3frQ&#10;qQ4qMZqFm9qYNBFj44MHU1fxLTEREmplkO0EDTPsiz7aiRbFjpbZsZZEhYNR0YWxP5RmdUXZFymR&#10;BLOjTyGlsmHwm7SjmaYMRsPP7xv2+tFUJQiOxpP3jUeLFBlsGI2b2gK+5cCMKetOf+hAV3dswQtU&#10;hwdkCN0CeCdvaprJrfDhQSAhnnaDtjjc06ENtCWHnuJsA/j7rfeoT0AkKWctbVDJ/a+tQMWZ+W4J&#10;orNiOo0rl5jpl4sJMXgqeTmV2G2zAporAYqyS2TUD2YgNULzTMu+jFFJJKyk2CWXAQdmFbrNpu9C&#10;quUyqdGaORFu7aOTw9Qj5p72zwJdD8xAmL6DYdvE/BU+O904DwvLbQBdJ/Ae+9r3m1Y0wb//TuIf&#10;cMonreOnt/gDAAD//wMAUEsDBBQABgAIAAAAIQAFEQE14wAAAAwBAAAPAAAAZHJzL2Rvd25yZXYu&#10;eG1sTI/LTsMwEEX3SPyDNUhsUGvjQiEhToVALKqyoaWq2LnxkET4EcVuk/490xXsZjRHd84tFqOz&#10;7Ih9bINXcDsVwNBXwbS+VvC5eZs8AotJe6Nt8KjghBEW5eVFoXMTBv+Bx3WqGYX4mGsFTUpdznms&#10;GnQ6TkOHnm7foXc60drX3PR6oHBnuRRizp1uPX1odIcvDVY/64NTYLdDfap22132ulryr3ezvBmz&#10;Tqnrq/H5CVjCMf3BcNYndSjJaR8O3kRmFUxmd/eE0iAllToTQsoZsL0CKbIH4GXB/5cofwEAAP//&#10;AwBQSwECLQAUAAYACAAAACEAtoM4kv4AAADhAQAAEwAAAAAAAAAAAAAAAAAAAAAAW0NvbnRlbnRf&#10;VHlwZXNdLnhtbFBLAQItABQABgAIAAAAIQA4/SH/1gAAAJQBAAALAAAAAAAAAAAAAAAAAC8BAABf&#10;cmVscy8ucmVsc1BLAQItABQABgAIAAAAIQBkuGpeYgIAADwFAAAOAAAAAAAAAAAAAAAAAC4CAABk&#10;cnMvZTJvRG9jLnhtbFBLAQItABQABgAIAAAAIQAFEQE14wAAAAwBAAAPAAAAAAAAAAAAAAAAALwE&#10;AABkcnMvZG93bnJldi54bWxQSwUGAAAAAAQABADzAAAAzAUAAAAA&#10;" filled="f" strokecolor="black [3213]">
                <v:shadow on="t" color="black" opacity="22937f" origin=",.5" offset="0,.63889mm"/>
              </v:rect>
            </w:pict>
          </mc:Fallback>
        </mc:AlternateContent>
      </w:r>
      <w:r w:rsidRPr="001A5B35">
        <w:rPr>
          <w:rFonts w:cs="Arial"/>
          <w:b/>
          <w:bCs/>
        </w:rPr>
        <w:t xml:space="preserve">potential barriers to access to justice for all regarding defamation claims in NI.  </w:t>
      </w:r>
    </w:p>
    <w:p w14:paraId="47D87C62" w14:textId="77777777" w:rsidR="001A5B35" w:rsidRPr="0049605D" w:rsidRDefault="001A5B35" w:rsidP="006B4F8E">
      <w:pPr>
        <w:suppressAutoHyphens/>
        <w:spacing w:line="360" w:lineRule="auto"/>
        <w:ind w:left="720" w:hanging="720"/>
        <w:rPr>
          <w:rFonts w:cs="Arial"/>
          <w:b/>
          <w:bCs/>
        </w:rPr>
      </w:pPr>
    </w:p>
    <w:p w14:paraId="2E6B4099" w14:textId="77777777" w:rsidR="00CA2C60" w:rsidRPr="000A39CD" w:rsidRDefault="00CA2C60" w:rsidP="000A39CD">
      <w:pPr>
        <w:suppressAutoHyphens/>
        <w:spacing w:line="360" w:lineRule="auto"/>
        <w:ind w:left="720" w:hanging="720"/>
        <w:rPr>
          <w:rFonts w:cs="Arial"/>
          <w:color w:val="232120"/>
          <w:sz w:val="20"/>
          <w:szCs w:val="20"/>
        </w:rPr>
      </w:pPr>
    </w:p>
    <w:p w14:paraId="7D58A66C" w14:textId="77777777" w:rsidR="004E6BEC" w:rsidRPr="004E6BEC" w:rsidRDefault="004E6BEC" w:rsidP="004E6BEC"/>
    <w:p w14:paraId="2015310B" w14:textId="77777777" w:rsidR="0039622A" w:rsidRDefault="0039622A">
      <w:pPr>
        <w:rPr>
          <w:rFonts w:eastAsiaTheme="majorEastAsia" w:cstheme="majorBidi"/>
          <w:b/>
          <w:color w:val="77328A"/>
          <w:sz w:val="30"/>
          <w:szCs w:val="26"/>
        </w:rPr>
      </w:pPr>
      <w:r>
        <w:br w:type="page"/>
      </w:r>
    </w:p>
    <w:p w14:paraId="03BA7FE2" w14:textId="449F52DE" w:rsidR="00C52032" w:rsidRPr="0039622A" w:rsidRDefault="00A817CF" w:rsidP="0039622A">
      <w:pPr>
        <w:pStyle w:val="Heading2"/>
      </w:pPr>
      <w:bookmarkStart w:id="1" w:name="_Toc157592696"/>
      <w:r>
        <w:t>1.0</w:t>
      </w:r>
      <w:r>
        <w:tab/>
      </w:r>
      <w:r w:rsidR="00ED40E9">
        <w:t>Introduction</w:t>
      </w:r>
      <w:bookmarkEnd w:id="1"/>
    </w:p>
    <w:p w14:paraId="769BAA09" w14:textId="5E3F9038" w:rsidR="00C52032" w:rsidRDefault="000A195F" w:rsidP="00016819">
      <w:pPr>
        <w:pStyle w:val="ListParagraph"/>
        <w:numPr>
          <w:ilvl w:val="1"/>
          <w:numId w:val="9"/>
        </w:numPr>
        <w:spacing w:line="360" w:lineRule="auto"/>
        <w:ind w:left="709"/>
      </w:pPr>
      <w:r>
        <w:t>The Northern Ireland Human Rights Commission (the NIHRC), pursuant to section 69(1) of the Northern Ireland Act 1998, reviews the adequacy and effectiveness of law and practice relating to the protection of human rights in Northern Ireland (NI). The NIHRC is also mandated, under section 78A(1) of the Northern Ireland Act 1998, to monitor the implementation of Article 2 of the Windsor Framework, to ensure there is no diminution of rights protected in the “Rights, Safeguards and Equality of Opportunity” chapter of the Belfast (Good Friday) Agreement 1998 as a result of the UK’s withdrawal from the EU.</w:t>
      </w:r>
      <w:r w:rsidR="00DD6DB9">
        <w:rPr>
          <w:rStyle w:val="FootnoteReference"/>
        </w:rPr>
        <w:footnoteReference w:id="2"/>
      </w:r>
      <w:r>
        <w:t xml:space="preserve"> In accordance with these functions</w:t>
      </w:r>
      <w:r w:rsidR="00E50DA2">
        <w:t>,</w:t>
      </w:r>
      <w:r>
        <w:t xml:space="preserve"> the following statutory advice is submitted to the Department of </w:t>
      </w:r>
      <w:r w:rsidR="00FF68A9">
        <w:t>Finance</w:t>
      </w:r>
      <w:r>
        <w:t xml:space="preserve"> in response to its </w:t>
      </w:r>
      <w:r w:rsidR="00FF68A9">
        <w:t>review of defamation law</w:t>
      </w:r>
      <w:r w:rsidR="00E50DA2">
        <w:t xml:space="preserve"> in NI</w:t>
      </w:r>
      <w:r>
        <w:t>.</w:t>
      </w:r>
    </w:p>
    <w:p w14:paraId="53815823" w14:textId="77777777" w:rsidR="00767917" w:rsidRDefault="00767917" w:rsidP="00767917">
      <w:pPr>
        <w:pStyle w:val="ListParagraph"/>
        <w:spacing w:line="360" w:lineRule="auto"/>
        <w:ind w:left="709"/>
      </w:pPr>
    </w:p>
    <w:p w14:paraId="42F79E20" w14:textId="3CF05D39" w:rsidR="00767917" w:rsidRDefault="00767917" w:rsidP="00016819">
      <w:pPr>
        <w:pStyle w:val="ListParagraph"/>
        <w:numPr>
          <w:ilvl w:val="1"/>
          <w:numId w:val="9"/>
        </w:numPr>
        <w:spacing w:line="360" w:lineRule="auto"/>
        <w:ind w:left="709"/>
      </w:pPr>
      <w:r>
        <w:t>The NIHRC bases its advice on the European Convention on Human Rights</w:t>
      </w:r>
      <w:r w:rsidR="00453FDC">
        <w:t xml:space="preserve">, </w:t>
      </w:r>
      <w:r>
        <w:t xml:space="preserve">which is incorporated into UK law by the Human Rights Act 1998. </w:t>
      </w:r>
      <w:r w:rsidR="00215D70">
        <w:t>Other</w:t>
      </w:r>
      <w:r>
        <w:t xml:space="preserve"> relevant treaty obligations of the Council of Europe (</w:t>
      </w:r>
      <w:proofErr w:type="spellStart"/>
      <w:r>
        <w:t>CoE</w:t>
      </w:r>
      <w:proofErr w:type="spellEnd"/>
      <w:r>
        <w:t>) and United Nations (UN)</w:t>
      </w:r>
      <w:r w:rsidR="00215D70">
        <w:t xml:space="preserve"> are also considered</w:t>
      </w:r>
      <w:r>
        <w:t>. The relevant regional and international treaties in this context include:</w:t>
      </w:r>
    </w:p>
    <w:p w14:paraId="6FB79372" w14:textId="77777777" w:rsidR="00892B60" w:rsidRDefault="00892B60" w:rsidP="00892B60">
      <w:pPr>
        <w:pStyle w:val="ListParagraph"/>
      </w:pPr>
    </w:p>
    <w:p w14:paraId="55105C73" w14:textId="14D1D7DA" w:rsidR="00892B60" w:rsidRDefault="00D34ADB" w:rsidP="00892B60">
      <w:pPr>
        <w:pStyle w:val="ListParagraph"/>
        <w:numPr>
          <w:ilvl w:val="0"/>
          <w:numId w:val="12"/>
        </w:numPr>
        <w:spacing w:line="360" w:lineRule="auto"/>
      </w:pPr>
      <w:r>
        <w:t>European Convention on Human Rights 1950 (ECHR);</w:t>
      </w:r>
      <w:r>
        <w:rPr>
          <w:rStyle w:val="FootnoteReference"/>
        </w:rPr>
        <w:footnoteReference w:id="3"/>
      </w:r>
      <w:r w:rsidR="00453FDC">
        <w:t xml:space="preserve"> and</w:t>
      </w:r>
    </w:p>
    <w:p w14:paraId="68897B4E" w14:textId="29D4B152" w:rsidR="00B638CA" w:rsidRDefault="0011060F" w:rsidP="00892B60">
      <w:pPr>
        <w:pStyle w:val="ListParagraph"/>
        <w:numPr>
          <w:ilvl w:val="0"/>
          <w:numId w:val="12"/>
        </w:numPr>
        <w:spacing w:line="360" w:lineRule="auto"/>
      </w:pPr>
      <w:r>
        <w:t>UN Convention on Civil and Political Rights 1966 (UN ICCPR)</w:t>
      </w:r>
      <w:r w:rsidR="003B7E5F">
        <w:t>.</w:t>
      </w:r>
      <w:r>
        <w:rPr>
          <w:rStyle w:val="FootnoteReference"/>
        </w:rPr>
        <w:footnoteReference w:id="4"/>
      </w:r>
      <w:r w:rsidR="00142953">
        <w:t xml:space="preserve"> </w:t>
      </w:r>
    </w:p>
    <w:p w14:paraId="500C9DF2" w14:textId="77777777" w:rsidR="00767917" w:rsidRDefault="00767917" w:rsidP="00767917">
      <w:pPr>
        <w:pStyle w:val="ListParagraph"/>
      </w:pPr>
    </w:p>
    <w:p w14:paraId="070B1AB7" w14:textId="7E8B3CCD" w:rsidR="00767917" w:rsidRDefault="003165F5" w:rsidP="00016819">
      <w:pPr>
        <w:pStyle w:val="ListParagraph"/>
        <w:numPr>
          <w:ilvl w:val="1"/>
          <w:numId w:val="9"/>
        </w:numPr>
        <w:spacing w:line="360" w:lineRule="auto"/>
        <w:ind w:left="709"/>
      </w:pPr>
      <w:r>
        <w:t>In addition to these treaty standards, the following declarations and principles provide further guidance in respect of specific areas:</w:t>
      </w:r>
    </w:p>
    <w:p w14:paraId="1D41FEC2" w14:textId="77777777" w:rsidR="00790D4F" w:rsidRDefault="00790D4F" w:rsidP="00790D4F">
      <w:pPr>
        <w:pStyle w:val="ListParagraph"/>
        <w:spacing w:line="360" w:lineRule="auto"/>
        <w:ind w:left="709"/>
      </w:pPr>
    </w:p>
    <w:p w14:paraId="524DED64" w14:textId="2645D55C" w:rsidR="00551B4C" w:rsidRDefault="00785970" w:rsidP="00790D4F">
      <w:pPr>
        <w:pStyle w:val="ListParagraph"/>
        <w:numPr>
          <w:ilvl w:val="0"/>
          <w:numId w:val="13"/>
        </w:numPr>
        <w:spacing w:line="360" w:lineRule="auto"/>
      </w:pPr>
      <w:r>
        <w:t>UN H</w:t>
      </w:r>
      <w:r w:rsidR="00D50D48">
        <w:t xml:space="preserve">uman </w:t>
      </w:r>
      <w:r>
        <w:t>R</w:t>
      </w:r>
      <w:r w:rsidR="00D50D48">
        <w:t xml:space="preserve">ights </w:t>
      </w:r>
      <w:r>
        <w:t>C</w:t>
      </w:r>
      <w:r w:rsidR="00D50D48">
        <w:t>ommittee</w:t>
      </w:r>
      <w:r>
        <w:t xml:space="preserve"> General Comment No </w:t>
      </w:r>
      <w:r w:rsidR="0075019A">
        <w:t>16</w:t>
      </w:r>
      <w:r w:rsidR="00897DB2">
        <w:t>;</w:t>
      </w:r>
      <w:r w:rsidR="00897DB2">
        <w:rPr>
          <w:rStyle w:val="FootnoteReference"/>
        </w:rPr>
        <w:footnoteReference w:id="5"/>
      </w:r>
    </w:p>
    <w:p w14:paraId="0257CD0D" w14:textId="0E88CC86" w:rsidR="0075019A" w:rsidRDefault="0075019A" w:rsidP="00790D4F">
      <w:pPr>
        <w:pStyle w:val="ListParagraph"/>
        <w:numPr>
          <w:ilvl w:val="0"/>
          <w:numId w:val="13"/>
        </w:numPr>
        <w:spacing w:line="360" w:lineRule="auto"/>
      </w:pPr>
      <w:r>
        <w:t>UN H</w:t>
      </w:r>
      <w:r w:rsidR="00D50D48">
        <w:t xml:space="preserve">uman </w:t>
      </w:r>
      <w:r>
        <w:t>R</w:t>
      </w:r>
      <w:r w:rsidR="00D50D48">
        <w:t xml:space="preserve">ights </w:t>
      </w:r>
      <w:r>
        <w:t>C</w:t>
      </w:r>
      <w:r w:rsidR="00D50D48">
        <w:t>ommittee</w:t>
      </w:r>
      <w:r>
        <w:t xml:space="preserve"> General Comment No 32</w:t>
      </w:r>
      <w:r w:rsidR="007942A3">
        <w:t>;</w:t>
      </w:r>
      <w:r w:rsidR="007942A3">
        <w:rPr>
          <w:rStyle w:val="FootnoteReference"/>
        </w:rPr>
        <w:footnoteReference w:id="6"/>
      </w:r>
    </w:p>
    <w:p w14:paraId="6B5FF6CE" w14:textId="6C77DD93" w:rsidR="0075019A" w:rsidRDefault="0075019A" w:rsidP="00790D4F">
      <w:pPr>
        <w:pStyle w:val="ListParagraph"/>
        <w:numPr>
          <w:ilvl w:val="0"/>
          <w:numId w:val="13"/>
        </w:numPr>
        <w:spacing w:line="360" w:lineRule="auto"/>
      </w:pPr>
      <w:r>
        <w:t>UN H</w:t>
      </w:r>
      <w:r w:rsidR="00D50D48">
        <w:t xml:space="preserve">uman </w:t>
      </w:r>
      <w:r>
        <w:t>R</w:t>
      </w:r>
      <w:r w:rsidR="00D50D48">
        <w:t xml:space="preserve">ights </w:t>
      </w:r>
      <w:r>
        <w:t>C</w:t>
      </w:r>
      <w:r w:rsidR="00D50D48">
        <w:t>ommittee</w:t>
      </w:r>
      <w:r>
        <w:t xml:space="preserve"> General Comment No 34</w:t>
      </w:r>
      <w:r w:rsidR="00261E90">
        <w:t>;</w:t>
      </w:r>
      <w:r w:rsidR="007942A3">
        <w:rPr>
          <w:rStyle w:val="FootnoteReference"/>
        </w:rPr>
        <w:footnoteReference w:id="7"/>
      </w:r>
    </w:p>
    <w:p w14:paraId="007CDBBC" w14:textId="5EEA2B39" w:rsidR="002772D9" w:rsidRDefault="002772D9" w:rsidP="00790D4F">
      <w:pPr>
        <w:pStyle w:val="ListParagraph"/>
        <w:numPr>
          <w:ilvl w:val="0"/>
          <w:numId w:val="13"/>
        </w:numPr>
        <w:spacing w:line="360" w:lineRule="auto"/>
      </w:pPr>
      <w:proofErr w:type="spellStart"/>
      <w:r>
        <w:t>CoE</w:t>
      </w:r>
      <w:proofErr w:type="spellEnd"/>
      <w:r>
        <w:t xml:space="preserve"> Committee of Legal Affairs and Human Rights Information Note </w:t>
      </w:r>
      <w:proofErr w:type="gramStart"/>
      <w:r w:rsidR="00887235">
        <w:t>on the Situation of</w:t>
      </w:r>
      <w:proofErr w:type="gramEnd"/>
      <w:r w:rsidR="00887235">
        <w:t xml:space="preserve"> Human Rights Defenders and Whistleblowers in Europe;</w:t>
      </w:r>
      <w:r w:rsidR="00887235">
        <w:rPr>
          <w:rStyle w:val="FootnoteReference"/>
        </w:rPr>
        <w:footnoteReference w:id="8"/>
      </w:r>
      <w:r w:rsidR="00D50D48">
        <w:t xml:space="preserve"> and</w:t>
      </w:r>
    </w:p>
    <w:p w14:paraId="5F79B23E" w14:textId="21B00022" w:rsidR="00790D4F" w:rsidRDefault="00D537D4" w:rsidP="00790D4F">
      <w:pPr>
        <w:pStyle w:val="ListParagraph"/>
        <w:numPr>
          <w:ilvl w:val="0"/>
          <w:numId w:val="13"/>
        </w:numPr>
        <w:spacing w:line="360" w:lineRule="auto"/>
      </w:pPr>
      <w:proofErr w:type="spellStart"/>
      <w:r>
        <w:t>CoE</w:t>
      </w:r>
      <w:proofErr w:type="spellEnd"/>
      <w:r>
        <w:t xml:space="preserve"> </w:t>
      </w:r>
      <w:r w:rsidR="00D50D48">
        <w:t xml:space="preserve">Committee of Ministers </w:t>
      </w:r>
      <w:r>
        <w:t>Draft Recommendation</w:t>
      </w:r>
      <w:r w:rsidR="00393F43">
        <w:t xml:space="preserve"> on Countering the Use of </w:t>
      </w:r>
      <w:r w:rsidR="00605B36">
        <w:t>Strategic Lawsuits Against Public Participation</w:t>
      </w:r>
      <w:r w:rsidR="00D50D48">
        <w:t>.</w:t>
      </w:r>
      <w:r w:rsidR="007A33FA">
        <w:rPr>
          <w:rStyle w:val="FootnoteReference"/>
        </w:rPr>
        <w:footnoteReference w:id="9"/>
      </w:r>
    </w:p>
    <w:p w14:paraId="5C840C6F" w14:textId="77777777" w:rsidR="003165F5" w:rsidRDefault="003165F5" w:rsidP="003165F5">
      <w:pPr>
        <w:pStyle w:val="ListParagraph"/>
      </w:pPr>
    </w:p>
    <w:p w14:paraId="0137FE29" w14:textId="6C80018C" w:rsidR="00D57343" w:rsidRPr="00C22F52" w:rsidRDefault="00D57343" w:rsidP="00C22F52">
      <w:pPr>
        <w:pStyle w:val="ListParagraph"/>
        <w:numPr>
          <w:ilvl w:val="1"/>
          <w:numId w:val="9"/>
        </w:numPr>
        <w:spacing w:line="360" w:lineRule="auto"/>
        <w:ind w:left="709"/>
      </w:pPr>
      <w:r w:rsidRPr="00C22F52">
        <w:t xml:space="preserve">The NIHRC welcomes the opportunity to respond to the Department of Finance’s consultation on the </w:t>
      </w:r>
      <w:r w:rsidR="00BC31FF">
        <w:t>r</w:t>
      </w:r>
      <w:r w:rsidRPr="00C22F52">
        <w:t xml:space="preserve">eview of </w:t>
      </w:r>
      <w:r w:rsidR="00BC31FF">
        <w:t>d</w:t>
      </w:r>
      <w:r w:rsidRPr="00C22F52">
        <w:t xml:space="preserve">efamation </w:t>
      </w:r>
      <w:r w:rsidR="00BC31FF">
        <w:t>l</w:t>
      </w:r>
      <w:r w:rsidRPr="00C22F52">
        <w:t>aw</w:t>
      </w:r>
      <w:r w:rsidR="00845D5D">
        <w:t xml:space="preserve"> in NI</w:t>
      </w:r>
      <w:r w:rsidRPr="00C22F52">
        <w:t>. The NIHRC previously submitted a letter of evidence to the Committee for Finance on the proposed Defamation Bill,</w:t>
      </w:r>
      <w:r w:rsidR="001663D6">
        <w:t xml:space="preserve"> which</w:t>
      </w:r>
      <w:r w:rsidRPr="00C22F52">
        <w:t xml:space="preserve"> welcom</w:t>
      </w:r>
      <w:r w:rsidR="001663D6">
        <w:t>ed</w:t>
      </w:r>
      <w:r w:rsidRPr="00C22F52">
        <w:t xml:space="preserve"> the intent of the Bill to align NI defamation law with England and Wales</w:t>
      </w:r>
      <w:r w:rsidR="00AD5475">
        <w:t>.</w:t>
      </w:r>
      <w:r w:rsidR="003709A0">
        <w:rPr>
          <w:rStyle w:val="FootnoteReference"/>
        </w:rPr>
        <w:footnoteReference w:id="10"/>
      </w:r>
      <w:r w:rsidRPr="00C22F52">
        <w:t xml:space="preserve"> </w:t>
      </w:r>
      <w:r w:rsidR="00AD5475">
        <w:t>However</w:t>
      </w:r>
      <w:r w:rsidRPr="00C22F52">
        <w:t xml:space="preserve">, </w:t>
      </w:r>
      <w:r w:rsidR="00AD5475">
        <w:t xml:space="preserve">there is a disparity in </w:t>
      </w:r>
      <w:r w:rsidRPr="00C22F52">
        <w:t xml:space="preserve">the </w:t>
      </w:r>
      <w:r w:rsidR="00995F64">
        <w:t>resulting Defamation Law</w:t>
      </w:r>
      <w:r w:rsidR="00995F64" w:rsidRPr="00C22F52">
        <w:t xml:space="preserve"> </w:t>
      </w:r>
      <w:r w:rsidR="00845D5D">
        <w:t xml:space="preserve">(NI) </w:t>
      </w:r>
      <w:r w:rsidRPr="00C22F52">
        <w:t xml:space="preserve">Act </w:t>
      </w:r>
      <w:r w:rsidR="00995F64">
        <w:t>2022</w:t>
      </w:r>
      <w:r w:rsidR="00AD5475">
        <w:t>, which</w:t>
      </w:r>
      <w:r w:rsidR="00995F64">
        <w:t xml:space="preserve"> </w:t>
      </w:r>
      <w:r w:rsidRPr="00C22F52">
        <w:t>does not contain a serious harm test.</w:t>
      </w:r>
      <w:r w:rsidR="00C11303">
        <w:t xml:space="preserve"> Th</w:t>
      </w:r>
      <w:r w:rsidR="00F64925">
        <w:t>is submission considers this omission and several other points.</w:t>
      </w:r>
    </w:p>
    <w:p w14:paraId="6FF67219" w14:textId="77777777" w:rsidR="003165F5" w:rsidRPr="00C22F52" w:rsidRDefault="003165F5" w:rsidP="00C22F52">
      <w:pPr>
        <w:spacing w:line="360" w:lineRule="auto"/>
      </w:pPr>
    </w:p>
    <w:p w14:paraId="51C8040C" w14:textId="7AE02A56" w:rsidR="00245151" w:rsidRPr="00C22F52" w:rsidRDefault="00C75163" w:rsidP="00C75163">
      <w:pPr>
        <w:pStyle w:val="Heading2"/>
      </w:pPr>
      <w:bookmarkStart w:id="2" w:name="_Toc157592697"/>
      <w:r>
        <w:t>2.0</w:t>
      </w:r>
      <w:r>
        <w:tab/>
      </w:r>
      <w:r w:rsidR="004C119C" w:rsidRPr="00C22F52">
        <w:t>General Comments</w:t>
      </w:r>
      <w:bookmarkEnd w:id="2"/>
    </w:p>
    <w:p w14:paraId="4061839C" w14:textId="77777777" w:rsidR="00EA76BF" w:rsidRPr="00C22F52" w:rsidRDefault="00EA76BF" w:rsidP="00C22F52">
      <w:pPr>
        <w:pStyle w:val="ListParagraph"/>
        <w:numPr>
          <w:ilvl w:val="0"/>
          <w:numId w:val="9"/>
        </w:numPr>
        <w:spacing w:line="360" w:lineRule="auto"/>
        <w:rPr>
          <w:vanish/>
        </w:rPr>
      </w:pPr>
    </w:p>
    <w:p w14:paraId="3ECB9ABD" w14:textId="7DCD4E39" w:rsidR="00754B9F" w:rsidRPr="00C22F52" w:rsidRDefault="001B3D5F" w:rsidP="00C22F52">
      <w:pPr>
        <w:pStyle w:val="ListParagraph"/>
        <w:numPr>
          <w:ilvl w:val="1"/>
          <w:numId w:val="9"/>
        </w:numPr>
        <w:spacing w:line="360" w:lineRule="auto"/>
        <w:ind w:left="709"/>
      </w:pPr>
      <w:r>
        <w:t>D</w:t>
      </w:r>
      <w:r w:rsidR="00577972" w:rsidRPr="00C22F52">
        <w:t xml:space="preserve">efamation laws </w:t>
      </w:r>
      <w:r>
        <w:t xml:space="preserve">should </w:t>
      </w:r>
      <w:r w:rsidR="00577972" w:rsidRPr="00C22F52">
        <w:t>strike an appropriate balance between the right to freedom of expression and the need to protect individual reputations under the right to private life.</w:t>
      </w:r>
      <w:r w:rsidR="00792ED9">
        <w:rPr>
          <w:rStyle w:val="FootnoteReference"/>
        </w:rPr>
        <w:footnoteReference w:id="11"/>
      </w:r>
    </w:p>
    <w:p w14:paraId="5F056B48" w14:textId="77777777" w:rsidR="00262AD7" w:rsidRPr="00C22F52" w:rsidRDefault="00262AD7" w:rsidP="00C22F52">
      <w:pPr>
        <w:pStyle w:val="ListParagraph"/>
        <w:spacing w:line="360" w:lineRule="auto"/>
      </w:pPr>
    </w:p>
    <w:p w14:paraId="68E76945" w14:textId="2D18F5B7" w:rsidR="00262AD7" w:rsidRPr="00C22F52" w:rsidRDefault="00262AD7" w:rsidP="00C22F52">
      <w:pPr>
        <w:pStyle w:val="ListParagraph"/>
        <w:numPr>
          <w:ilvl w:val="1"/>
          <w:numId w:val="9"/>
        </w:numPr>
        <w:spacing w:line="360" w:lineRule="auto"/>
        <w:ind w:left="709"/>
      </w:pPr>
      <w:r w:rsidRPr="00C22F52">
        <w:t>Article 8 of the ECHR</w:t>
      </w:r>
      <w:r w:rsidR="00A80490">
        <w:t xml:space="preserve"> provides</w:t>
      </w:r>
      <w:r w:rsidRPr="00C22F52">
        <w:t xml:space="preserve"> that:</w:t>
      </w:r>
    </w:p>
    <w:p w14:paraId="3464480C" w14:textId="77777777" w:rsidR="00262AD7" w:rsidRPr="00C22F52" w:rsidRDefault="00262AD7" w:rsidP="00C22F52">
      <w:pPr>
        <w:pStyle w:val="ListParagraph"/>
        <w:spacing w:line="360" w:lineRule="auto"/>
      </w:pPr>
    </w:p>
    <w:p w14:paraId="760F4D42" w14:textId="77A76AAC" w:rsidR="00A80490" w:rsidRPr="00662EE2" w:rsidRDefault="00262AD7" w:rsidP="00662EE2">
      <w:pPr>
        <w:pStyle w:val="Quote"/>
        <w:numPr>
          <w:ilvl w:val="0"/>
          <w:numId w:val="17"/>
        </w:numPr>
      </w:pPr>
      <w:r w:rsidRPr="00662EE2">
        <w:t xml:space="preserve">Everyone has the right to respect for his private and family life, his </w:t>
      </w:r>
      <w:proofErr w:type="gramStart"/>
      <w:r w:rsidRPr="00662EE2">
        <w:t>home</w:t>
      </w:r>
      <w:proofErr w:type="gramEnd"/>
      <w:r w:rsidRPr="00662EE2">
        <w:t xml:space="preserve"> and his correspondence. </w:t>
      </w:r>
    </w:p>
    <w:p w14:paraId="58552A13" w14:textId="77777777" w:rsidR="00A80490" w:rsidRPr="00662EE2" w:rsidRDefault="00A80490" w:rsidP="00662EE2">
      <w:pPr>
        <w:pStyle w:val="Quote"/>
      </w:pPr>
    </w:p>
    <w:p w14:paraId="3ADD2329" w14:textId="3EF26AD9" w:rsidR="001E2F75" w:rsidRPr="00662EE2" w:rsidRDefault="00262AD7" w:rsidP="00662EE2">
      <w:pPr>
        <w:pStyle w:val="Quote"/>
        <w:numPr>
          <w:ilvl w:val="0"/>
          <w:numId w:val="17"/>
        </w:numPr>
      </w:pPr>
      <w:r w:rsidRPr="00662EE2">
        <w:t xml:space="preserve">There shall be no interference by a public authority with the exercise of this right except such as is in accordance with the law and is necessary in a democratic society in the interests of national security, public </w:t>
      </w:r>
      <w:proofErr w:type="gramStart"/>
      <w:r w:rsidRPr="00662EE2">
        <w:t>safety</w:t>
      </w:r>
      <w:proofErr w:type="gramEnd"/>
      <w:r w:rsidRPr="00662EE2">
        <w:t xml:space="preserve"> or the economic well-being of the country, for the prevention of disorder or crime, for the protection of health or morals, or for the protection of the rights and freedoms of others.</w:t>
      </w:r>
    </w:p>
    <w:p w14:paraId="1D2F447A" w14:textId="77777777" w:rsidR="00262AD7" w:rsidRPr="00C22F52" w:rsidRDefault="00262AD7" w:rsidP="00C22F52">
      <w:pPr>
        <w:pStyle w:val="ListParagraph"/>
        <w:spacing w:line="360" w:lineRule="auto"/>
        <w:ind w:left="1134"/>
      </w:pPr>
    </w:p>
    <w:p w14:paraId="65A3B86E" w14:textId="5F97CCC6" w:rsidR="00262AD7" w:rsidRPr="00C22F52" w:rsidRDefault="008B6DA7" w:rsidP="00C22F52">
      <w:pPr>
        <w:pStyle w:val="ListParagraph"/>
        <w:numPr>
          <w:ilvl w:val="1"/>
          <w:numId w:val="9"/>
        </w:numPr>
        <w:spacing w:line="360" w:lineRule="auto"/>
        <w:ind w:left="709"/>
      </w:pPr>
      <w:r>
        <w:t>The right to private life is also protected under Article 17 of the UN ICCPR. T</w:t>
      </w:r>
      <w:r w:rsidR="00262AD7" w:rsidRPr="00C22F52">
        <w:t xml:space="preserve">he UN Human Rights Committee has elaborated </w:t>
      </w:r>
      <w:r w:rsidR="00641860">
        <w:t>that</w:t>
      </w:r>
      <w:r w:rsidR="00262AD7" w:rsidRPr="00C22F52">
        <w:t>:</w:t>
      </w:r>
    </w:p>
    <w:p w14:paraId="3CB4F04D" w14:textId="77777777" w:rsidR="00262AD7" w:rsidRPr="00C22F52" w:rsidRDefault="00262AD7" w:rsidP="00C22F52">
      <w:pPr>
        <w:pStyle w:val="ListParagraph"/>
        <w:spacing w:line="360" w:lineRule="auto"/>
        <w:ind w:left="709"/>
      </w:pPr>
    </w:p>
    <w:p w14:paraId="4781DA08" w14:textId="071D8100" w:rsidR="00262AD7" w:rsidRDefault="00262AD7" w:rsidP="00641860">
      <w:pPr>
        <w:pStyle w:val="Quote"/>
      </w:pPr>
      <w:r w:rsidRPr="00641860">
        <w:t xml:space="preserve">Article 17 </w:t>
      </w:r>
      <w:r w:rsidR="00641860" w:rsidRPr="00641860">
        <w:t xml:space="preserve">[of the UN ICCPR] </w:t>
      </w:r>
      <w:r w:rsidRPr="00641860">
        <w:t xml:space="preserve">affords protection to personal honour and reputation and States are under an obligation to provide adequate legislation to that end. Provision must also be made for everyone effectively to be able to protect himself against any unlawful attacks that do occur and to have an effective remedy against those responsible. States </w:t>
      </w:r>
      <w:r w:rsidR="00346DCC">
        <w:t>P</w:t>
      </w:r>
      <w:r w:rsidRPr="00641860">
        <w:t>arties should indicate in their reports to what extent the honour or reputation of individuals is protected by law and how this protection is achieved according to their legal system.</w:t>
      </w:r>
      <w:r w:rsidRPr="00662EE2">
        <w:rPr>
          <w:rStyle w:val="FootnoteReference"/>
        </w:rPr>
        <w:footnoteReference w:id="12"/>
      </w:r>
    </w:p>
    <w:p w14:paraId="67DE32C3" w14:textId="77777777" w:rsidR="00644DC9" w:rsidRPr="00644DC9" w:rsidRDefault="00644DC9" w:rsidP="00644DC9"/>
    <w:p w14:paraId="62AC625F" w14:textId="77777777" w:rsidR="00644DC9" w:rsidRDefault="00644DC9" w:rsidP="00644DC9">
      <w:pPr>
        <w:pStyle w:val="ListParagraph"/>
        <w:numPr>
          <w:ilvl w:val="1"/>
          <w:numId w:val="9"/>
        </w:numPr>
        <w:spacing w:line="360" w:lineRule="auto"/>
        <w:ind w:left="709"/>
      </w:pPr>
      <w:r w:rsidRPr="00C22F52">
        <w:t xml:space="preserve">The right to freedom of expression is protected by </w:t>
      </w:r>
      <w:r>
        <w:t xml:space="preserve">Article 10 of the </w:t>
      </w:r>
      <w:r w:rsidRPr="00C22F52">
        <w:t xml:space="preserve">ECHR. Article 10(1) </w:t>
      </w:r>
      <w:r>
        <w:t xml:space="preserve">of the ECHR </w:t>
      </w:r>
      <w:r w:rsidRPr="00C22F52">
        <w:t xml:space="preserve">states that “everyone has the right to freedom of expression. This right shall include freedom to hold opinions and to receive and impart information and ideas without interference by public authority and regardless of frontiers”. </w:t>
      </w:r>
      <w:r>
        <w:t xml:space="preserve">As a qualified right, </w:t>
      </w:r>
      <w:r w:rsidRPr="00C22F52">
        <w:t xml:space="preserve">Article 10(2) </w:t>
      </w:r>
      <w:r>
        <w:t xml:space="preserve">of ECHR clarifies that: </w:t>
      </w:r>
    </w:p>
    <w:p w14:paraId="0A46B886" w14:textId="77777777" w:rsidR="00644DC9" w:rsidRDefault="00644DC9" w:rsidP="00644DC9">
      <w:pPr>
        <w:pStyle w:val="ListParagraph"/>
        <w:spacing w:line="360" w:lineRule="auto"/>
        <w:ind w:left="709"/>
      </w:pPr>
    </w:p>
    <w:p w14:paraId="56219045" w14:textId="77777777" w:rsidR="00644DC9" w:rsidRPr="00C22F52" w:rsidRDefault="00644DC9" w:rsidP="00644DC9">
      <w:pPr>
        <w:pStyle w:val="Quote"/>
      </w:pPr>
      <w:r w:rsidRPr="008C2D99">
        <w:rPr>
          <w:rStyle w:val="QuoteChar"/>
        </w:rPr>
        <w:t xml:space="preserve">the exercise of these freedoms, since it carries with it duties and responsibilities, may be subject to such formalities, conditions, </w:t>
      </w:r>
      <w:proofErr w:type="gramStart"/>
      <w:r w:rsidRPr="008C2D99">
        <w:rPr>
          <w:rStyle w:val="QuoteChar"/>
        </w:rPr>
        <w:t>restrictions</w:t>
      </w:r>
      <w:proofErr w:type="gramEnd"/>
      <w:r w:rsidRPr="008C2D99">
        <w:rPr>
          <w:rStyle w:val="QuoteChar"/>
        </w:rPr>
        <w:t xml:space="preserve"> or penalties as are prescribed by law and are necessary in a democratic society … for the protection of the reputation or rights of others.</w:t>
      </w:r>
    </w:p>
    <w:p w14:paraId="60A88B9E" w14:textId="77777777" w:rsidR="00644DC9" w:rsidRPr="00C22F52" w:rsidRDefault="00644DC9" w:rsidP="00644DC9">
      <w:pPr>
        <w:pStyle w:val="ListParagraph"/>
        <w:spacing w:line="360" w:lineRule="auto"/>
      </w:pPr>
    </w:p>
    <w:p w14:paraId="3D012376" w14:textId="77777777" w:rsidR="00644DC9" w:rsidRPr="00C22F52" w:rsidRDefault="00644DC9" w:rsidP="00644DC9">
      <w:pPr>
        <w:pStyle w:val="ListParagraph"/>
        <w:numPr>
          <w:ilvl w:val="1"/>
          <w:numId w:val="9"/>
        </w:numPr>
        <w:spacing w:line="360" w:lineRule="auto"/>
        <w:ind w:left="709"/>
      </w:pPr>
      <w:r>
        <w:t xml:space="preserve">Furthermore, in the context of defamation, there must be a </w:t>
      </w:r>
      <w:r w:rsidRPr="00C22F52">
        <w:t xml:space="preserve">balance between </w:t>
      </w:r>
      <w:r>
        <w:t>Articles 8 and 10 of the ECHR</w:t>
      </w:r>
      <w:r w:rsidRPr="00C22F52">
        <w:t xml:space="preserve">. In </w:t>
      </w:r>
      <w:r w:rsidRPr="004D54F5">
        <w:rPr>
          <w:i/>
          <w:iCs/>
        </w:rPr>
        <w:t>Axel Springer v Germany</w:t>
      </w:r>
      <w:r>
        <w:rPr>
          <w:i/>
          <w:iCs/>
        </w:rPr>
        <w:t xml:space="preserve"> </w:t>
      </w:r>
      <w:r>
        <w:t>(2012)</w:t>
      </w:r>
      <w:r w:rsidRPr="00C22F52">
        <w:t>, the ECtHR identified that</w:t>
      </w:r>
      <w:r>
        <w:t xml:space="preserve"> in this context,</w:t>
      </w:r>
      <w:r w:rsidRPr="00C22F52">
        <w:t xml:space="preserve"> “in order </w:t>
      </w:r>
      <w:r w:rsidRPr="00C22F52">
        <w:rPr>
          <w:rFonts w:cs="Arial"/>
          <w:color w:val="000000"/>
          <w:shd w:val="clear" w:color="auto" w:fill="FFFFFF"/>
        </w:rPr>
        <w:t xml:space="preserve">for Article 8 </w:t>
      </w:r>
      <w:r>
        <w:rPr>
          <w:rFonts w:cs="Arial"/>
          <w:color w:val="000000"/>
          <w:shd w:val="clear" w:color="auto" w:fill="FFFFFF"/>
        </w:rPr>
        <w:t xml:space="preserve">[of the ECHR] </w:t>
      </w:r>
      <w:r w:rsidRPr="00C22F52">
        <w:rPr>
          <w:rFonts w:cs="Arial"/>
          <w:color w:val="000000"/>
          <w:shd w:val="clear" w:color="auto" w:fill="FFFFFF"/>
        </w:rPr>
        <w:t>to come into play, however, an attack on a person’s reputation must attain a certain level of seriousness and in a manner causing prejudice to personal enjoyment of the right to respect for private life”.</w:t>
      </w:r>
      <w:r w:rsidRPr="00C22F52">
        <w:rPr>
          <w:rStyle w:val="FootnoteReference"/>
          <w:rFonts w:cs="Arial"/>
          <w:color w:val="000000"/>
          <w:shd w:val="clear" w:color="auto" w:fill="FFFFFF"/>
        </w:rPr>
        <w:footnoteReference w:id="13"/>
      </w:r>
    </w:p>
    <w:p w14:paraId="3F1B6948" w14:textId="77777777" w:rsidR="00262AD7" w:rsidRPr="00C22F52" w:rsidRDefault="00262AD7" w:rsidP="00C22F52">
      <w:pPr>
        <w:pStyle w:val="ListParagraph"/>
        <w:spacing w:line="360" w:lineRule="auto"/>
        <w:ind w:left="1134" w:firstLine="11"/>
      </w:pPr>
    </w:p>
    <w:p w14:paraId="3BF95637" w14:textId="212D327C" w:rsidR="00346DCC" w:rsidRPr="00D02DB9" w:rsidRDefault="00B831C4" w:rsidP="00644DC9">
      <w:pPr>
        <w:pStyle w:val="ListParagraph"/>
        <w:numPr>
          <w:ilvl w:val="1"/>
          <w:numId w:val="9"/>
        </w:numPr>
        <w:spacing w:line="360" w:lineRule="auto"/>
        <w:ind w:left="709"/>
        <w:rPr>
          <w:rFonts w:eastAsia="Times New Roman" w:cs="Times New Roman"/>
          <w:lang w:eastAsia="en-GB"/>
        </w:rPr>
      </w:pPr>
      <w:r w:rsidRPr="00C22F52">
        <w:t>Article 19 of the ICCPR</w:t>
      </w:r>
      <w:r w:rsidR="008D5CA7">
        <w:t xml:space="preserve"> also provides for the right to freedom of expression</w:t>
      </w:r>
      <w:r w:rsidRPr="00C22F52">
        <w:t>. The UN Human Rights Committee’s advises that “defamation laws must be crafted with care to ensure that they comply with</w:t>
      </w:r>
      <w:r w:rsidR="001775D0">
        <w:t>… [Article 19(3) of the UN ICCPR]</w:t>
      </w:r>
      <w:r w:rsidRPr="00C22F52">
        <w:t>, and that they do not serve, in practice, to stifle freedom of expression”.</w:t>
      </w:r>
      <w:r w:rsidRPr="00C22F52">
        <w:rPr>
          <w:rStyle w:val="FootnoteReference"/>
        </w:rPr>
        <w:footnoteReference w:id="14"/>
      </w:r>
      <w:r w:rsidRPr="00C22F52">
        <w:t xml:space="preserve"> Additionally, the UN Human Rights Committee note</w:t>
      </w:r>
      <w:r w:rsidR="00346DCC">
        <w:t>s</w:t>
      </w:r>
      <w:r w:rsidRPr="00C22F52">
        <w:t xml:space="preserve"> that</w:t>
      </w:r>
      <w:r w:rsidR="00346DCC">
        <w:t>:</w:t>
      </w:r>
    </w:p>
    <w:p w14:paraId="36CB7CE0" w14:textId="77777777" w:rsidR="00346DCC" w:rsidRDefault="00346DCC" w:rsidP="00346DCC">
      <w:pPr>
        <w:pStyle w:val="ListParagraph"/>
        <w:spacing w:line="360" w:lineRule="auto"/>
        <w:ind w:left="709"/>
      </w:pPr>
    </w:p>
    <w:p w14:paraId="57AC8AC0" w14:textId="323E16DA" w:rsidR="00B831C4" w:rsidRPr="00C22F52" w:rsidRDefault="00B831C4" w:rsidP="00901B49">
      <w:pPr>
        <w:pStyle w:val="Quote"/>
        <w:ind w:left="851"/>
      </w:pPr>
      <w:r w:rsidRPr="00C22F52">
        <w:t xml:space="preserve">it is impermissible for a State </w:t>
      </w:r>
      <w:r w:rsidR="00346DCC">
        <w:t>P</w:t>
      </w:r>
      <w:r w:rsidRPr="00C22F52">
        <w:t>arty to indict a person for criminal defamation but then not to proceed to trial expeditiously – such a practice has a chilling effect that may unduly restrict the exercise of freedom of expression of the person concerned and others.</w:t>
      </w:r>
      <w:r w:rsidRPr="00C22F52">
        <w:rPr>
          <w:rStyle w:val="FootnoteReference"/>
        </w:rPr>
        <w:footnoteReference w:id="15"/>
      </w:r>
    </w:p>
    <w:p w14:paraId="21D14040" w14:textId="77777777" w:rsidR="00551D7E" w:rsidRPr="00C22F52" w:rsidRDefault="00551D7E" w:rsidP="00C22F52">
      <w:pPr>
        <w:pStyle w:val="ListParagraph"/>
        <w:spacing w:line="360" w:lineRule="auto"/>
      </w:pPr>
    </w:p>
    <w:p w14:paraId="268C509B" w14:textId="77777777" w:rsidR="00704A6E" w:rsidRDefault="005441B5" w:rsidP="009D627E">
      <w:pPr>
        <w:pStyle w:val="ListParagraph"/>
        <w:numPr>
          <w:ilvl w:val="1"/>
          <w:numId w:val="9"/>
        </w:numPr>
        <w:spacing w:line="360" w:lineRule="auto"/>
        <w:ind w:left="709"/>
      </w:pPr>
      <w:r>
        <w:t>In 2008, a</w:t>
      </w:r>
      <w:r w:rsidR="00BE0036">
        <w:t xml:space="preserve">t a time when </w:t>
      </w:r>
      <w:r>
        <w:t>defamation law</w:t>
      </w:r>
      <w:r w:rsidR="00363EC7">
        <w:t>s</w:t>
      </w:r>
      <w:r>
        <w:t xml:space="preserve"> across the UK w</w:t>
      </w:r>
      <w:r w:rsidR="00363EC7">
        <w:t>ere</w:t>
      </w:r>
      <w:r>
        <w:t xml:space="preserve"> directly comparable</w:t>
      </w:r>
      <w:r w:rsidR="007D5C6A">
        <w:t>, t</w:t>
      </w:r>
      <w:r w:rsidR="00364105" w:rsidRPr="00C22F52">
        <w:t>he UN Human Rights Committee found that UK defamation laws were “unduly restrictive”, noting the potential chilling effect on freedom of expression regarding matters of public interest.</w:t>
      </w:r>
      <w:r w:rsidR="00364105" w:rsidRPr="00C22F52">
        <w:rPr>
          <w:rStyle w:val="FootnoteReference"/>
        </w:rPr>
        <w:footnoteReference w:id="16"/>
      </w:r>
      <w:r w:rsidR="00364105" w:rsidRPr="00C22F52">
        <w:t xml:space="preserve"> </w:t>
      </w:r>
      <w:r w:rsidR="00091934">
        <w:t>While the</w:t>
      </w:r>
      <w:r w:rsidR="004C119C" w:rsidRPr="00C22F52">
        <w:t xml:space="preserve"> Defamation Act 2013</w:t>
      </w:r>
      <w:r w:rsidR="00091934">
        <w:t xml:space="preserve"> for England and Wales and </w:t>
      </w:r>
      <w:r w:rsidR="00993380">
        <w:t xml:space="preserve">the </w:t>
      </w:r>
      <w:r w:rsidR="00091934">
        <w:t xml:space="preserve">Defamation Act (NI) 2022 have since being </w:t>
      </w:r>
      <w:r w:rsidR="009D627E">
        <w:t xml:space="preserve">introduced, </w:t>
      </w:r>
      <w:r w:rsidR="00D4370E">
        <w:t xml:space="preserve">there are fundamental differences </w:t>
      </w:r>
      <w:r w:rsidR="007174C8">
        <w:t>across the two pieces of legislation</w:t>
      </w:r>
      <w:r w:rsidR="00151661">
        <w:t xml:space="preserve">. Consequently, </w:t>
      </w:r>
      <w:r w:rsidR="009D627E">
        <w:t>there is a concern</w:t>
      </w:r>
      <w:r w:rsidR="00713E30" w:rsidRPr="00C22F52">
        <w:t xml:space="preserve"> </w:t>
      </w:r>
      <w:r w:rsidR="007F0C07" w:rsidRPr="00C22F52">
        <w:t xml:space="preserve">that </w:t>
      </w:r>
      <w:r w:rsidR="00151661">
        <w:t xml:space="preserve">the differences in approach </w:t>
      </w:r>
      <w:r w:rsidR="0015292D">
        <w:t xml:space="preserve">hinder the ability to appropriately regulate </w:t>
      </w:r>
      <w:r w:rsidR="007F0C07" w:rsidRPr="00C22F52">
        <w:t xml:space="preserve">freedom of expression </w:t>
      </w:r>
      <w:r w:rsidR="00FD3A3D">
        <w:t xml:space="preserve">with parity </w:t>
      </w:r>
      <w:r w:rsidR="0015292D">
        <w:t>across the</w:t>
      </w:r>
      <w:r w:rsidR="007F0C07" w:rsidRPr="00C22F52">
        <w:t xml:space="preserve"> </w:t>
      </w:r>
      <w:r w:rsidR="00FD3A3D">
        <w:t>UK</w:t>
      </w:r>
      <w:r w:rsidR="00713E30" w:rsidRPr="00C22F52">
        <w:t>.</w:t>
      </w:r>
      <w:r w:rsidR="00713E30" w:rsidRPr="00C22F52">
        <w:rPr>
          <w:rStyle w:val="FootnoteReference"/>
        </w:rPr>
        <w:footnoteReference w:id="17"/>
      </w:r>
      <w:r w:rsidR="00713E30" w:rsidRPr="00C22F52">
        <w:t xml:space="preserve"> </w:t>
      </w:r>
    </w:p>
    <w:p w14:paraId="2344A7EA" w14:textId="77777777" w:rsidR="00704A6E" w:rsidRDefault="00704A6E" w:rsidP="00F970E8">
      <w:pPr>
        <w:pStyle w:val="ListParagraph"/>
        <w:spacing w:line="360" w:lineRule="auto"/>
        <w:ind w:left="709"/>
      </w:pPr>
    </w:p>
    <w:p w14:paraId="365EF250" w14:textId="769B34B4" w:rsidR="00713E30" w:rsidRDefault="009F2057" w:rsidP="009D627E">
      <w:pPr>
        <w:pStyle w:val="ListParagraph"/>
        <w:numPr>
          <w:ilvl w:val="1"/>
          <w:numId w:val="9"/>
        </w:numPr>
        <w:spacing w:line="360" w:lineRule="auto"/>
        <w:ind w:left="709"/>
      </w:pPr>
      <w:r>
        <w:t>Furthermore, i</w:t>
      </w:r>
      <w:r w:rsidR="00704A6E">
        <w:t>t is a concern that defamation law in NI still favours the plaintiff, and in doing so</w:t>
      </w:r>
      <w:r w:rsidR="006E5842">
        <w:t>,</w:t>
      </w:r>
      <w:r w:rsidR="00704A6E">
        <w:t xml:space="preserve"> </w:t>
      </w:r>
      <w:r w:rsidR="006E5842">
        <w:t>may</w:t>
      </w:r>
      <w:r w:rsidR="00704A6E">
        <w:t xml:space="preserve"> not strike a balance between freedom of expression and respect for private life.</w:t>
      </w:r>
      <w:r w:rsidR="00704A6E">
        <w:rPr>
          <w:rStyle w:val="FootnoteReference"/>
        </w:rPr>
        <w:footnoteReference w:id="18"/>
      </w:r>
      <w:r w:rsidR="00704A6E">
        <w:t xml:space="preserve"> </w:t>
      </w:r>
      <w:r w:rsidR="006E5842">
        <w:t>This</w:t>
      </w:r>
      <w:r w:rsidR="007A0A4C">
        <w:t xml:space="preserve"> could discourage </w:t>
      </w:r>
      <w:r w:rsidR="00F970E8">
        <w:t>publishers from participating in NI.</w:t>
      </w:r>
      <w:r w:rsidR="00F970E8">
        <w:rPr>
          <w:rStyle w:val="FootnoteReference"/>
        </w:rPr>
        <w:footnoteReference w:id="19"/>
      </w:r>
      <w:r w:rsidR="00F970E8">
        <w:t xml:space="preserve"> </w:t>
      </w:r>
      <w:r w:rsidR="007F0C07" w:rsidRPr="00C22F52">
        <w:t xml:space="preserve">The NIHRC reiterates its earlier assessment that having similar defamation law </w:t>
      </w:r>
      <w:r w:rsidR="00690312">
        <w:t>enables</w:t>
      </w:r>
      <w:r w:rsidR="00C11F14" w:rsidRPr="00C22F52">
        <w:t xml:space="preserve"> NI </w:t>
      </w:r>
      <w:r w:rsidR="00690312">
        <w:t>to</w:t>
      </w:r>
      <w:r w:rsidR="00690312" w:rsidRPr="00C22F52">
        <w:t xml:space="preserve"> </w:t>
      </w:r>
      <w:r w:rsidR="00C11F14" w:rsidRPr="00C22F52">
        <w:t xml:space="preserve">be assisted by jurisprudence emerging from England and Wales, which sees more defamation actions than </w:t>
      </w:r>
      <w:r w:rsidR="00F94EDD">
        <w:t xml:space="preserve">in </w:t>
      </w:r>
      <w:r w:rsidR="00C11F14" w:rsidRPr="00C22F52">
        <w:t>NI.</w:t>
      </w:r>
      <w:r w:rsidR="00C11F14" w:rsidRPr="00C22F52">
        <w:rPr>
          <w:rStyle w:val="FootnoteReference"/>
        </w:rPr>
        <w:footnoteReference w:id="20"/>
      </w:r>
    </w:p>
    <w:p w14:paraId="179F493D" w14:textId="77777777" w:rsidR="0083327B" w:rsidRDefault="0083327B" w:rsidP="0083327B">
      <w:pPr>
        <w:pStyle w:val="ListParagraph"/>
      </w:pPr>
    </w:p>
    <w:p w14:paraId="10386A36" w14:textId="303030BA" w:rsidR="0083327B" w:rsidRPr="00C22F52" w:rsidRDefault="0083327B" w:rsidP="00C22F52">
      <w:pPr>
        <w:pStyle w:val="ListParagraph"/>
        <w:numPr>
          <w:ilvl w:val="1"/>
          <w:numId w:val="9"/>
        </w:numPr>
        <w:spacing w:line="360" w:lineRule="auto"/>
        <w:ind w:left="709"/>
      </w:pPr>
      <w:r>
        <w:rPr>
          <w:b/>
          <w:bCs/>
        </w:rPr>
        <w:t xml:space="preserve">The NIHRC recommends that the Department of Finance </w:t>
      </w:r>
      <w:r w:rsidR="005644C8">
        <w:rPr>
          <w:b/>
          <w:bCs/>
        </w:rPr>
        <w:t xml:space="preserve">should </w:t>
      </w:r>
      <w:r w:rsidR="00500391">
        <w:rPr>
          <w:b/>
          <w:bCs/>
        </w:rPr>
        <w:t xml:space="preserve">ensure that </w:t>
      </w:r>
      <w:r w:rsidR="00E46BD5">
        <w:rPr>
          <w:b/>
          <w:bCs/>
        </w:rPr>
        <w:t xml:space="preserve">defamation law in NI strikes a fair balance between freedom of expression and the right to private life, either by </w:t>
      </w:r>
      <w:r w:rsidR="00182F63">
        <w:rPr>
          <w:b/>
          <w:bCs/>
        </w:rPr>
        <w:t xml:space="preserve">working with the NI Assembly to </w:t>
      </w:r>
      <w:r w:rsidR="00E46BD5">
        <w:rPr>
          <w:b/>
          <w:bCs/>
        </w:rPr>
        <w:t xml:space="preserve">amend the </w:t>
      </w:r>
      <w:r w:rsidR="00174C41">
        <w:rPr>
          <w:b/>
          <w:bCs/>
        </w:rPr>
        <w:t xml:space="preserve">Defamation Act (NI) </w:t>
      </w:r>
      <w:proofErr w:type="gramStart"/>
      <w:r w:rsidR="00174C41">
        <w:rPr>
          <w:b/>
          <w:bCs/>
        </w:rPr>
        <w:t>2022, or</w:t>
      </w:r>
      <w:proofErr w:type="gramEnd"/>
      <w:r w:rsidR="00174C41">
        <w:rPr>
          <w:b/>
          <w:bCs/>
        </w:rPr>
        <w:t xml:space="preserve"> introducing additional safeguards</w:t>
      </w:r>
      <w:r w:rsidR="00F66DAE">
        <w:rPr>
          <w:b/>
          <w:bCs/>
        </w:rPr>
        <w:t xml:space="preserve"> to complement the Act</w:t>
      </w:r>
      <w:r w:rsidR="001B4CB2">
        <w:rPr>
          <w:b/>
          <w:bCs/>
        </w:rPr>
        <w:t>.</w:t>
      </w:r>
    </w:p>
    <w:p w14:paraId="2DDE7F60" w14:textId="77777777" w:rsidR="00553F87" w:rsidRPr="00C22F52" w:rsidRDefault="00553F87" w:rsidP="00C22F52">
      <w:pPr>
        <w:pStyle w:val="ListParagraph"/>
        <w:spacing w:line="360" w:lineRule="auto"/>
      </w:pPr>
    </w:p>
    <w:p w14:paraId="33DEBBFE" w14:textId="00B32F19" w:rsidR="00364105" w:rsidRPr="00C22F52" w:rsidRDefault="00C75163" w:rsidP="00C75163">
      <w:pPr>
        <w:pStyle w:val="Heading2"/>
      </w:pPr>
      <w:bookmarkStart w:id="3" w:name="_Toc157592698"/>
      <w:r>
        <w:t>3.0</w:t>
      </w:r>
      <w:r>
        <w:tab/>
      </w:r>
      <w:r w:rsidR="00C11F14" w:rsidRPr="00C22F52">
        <w:t>Serious Harm Threshold</w:t>
      </w:r>
      <w:bookmarkEnd w:id="3"/>
    </w:p>
    <w:p w14:paraId="4A6545A9" w14:textId="77777777" w:rsidR="00C11F14" w:rsidRPr="00C22F52" w:rsidRDefault="00C11F14" w:rsidP="00C22F52">
      <w:pPr>
        <w:pStyle w:val="ListParagraph"/>
        <w:numPr>
          <w:ilvl w:val="0"/>
          <w:numId w:val="9"/>
        </w:numPr>
        <w:spacing w:line="360" w:lineRule="auto"/>
        <w:rPr>
          <w:vanish/>
        </w:rPr>
      </w:pPr>
    </w:p>
    <w:p w14:paraId="329ADBC3" w14:textId="7A21BFFB" w:rsidR="00877216" w:rsidRPr="00C22F52" w:rsidRDefault="00D74633" w:rsidP="00C22F52">
      <w:pPr>
        <w:pStyle w:val="ListParagraph"/>
        <w:numPr>
          <w:ilvl w:val="1"/>
          <w:numId w:val="9"/>
        </w:numPr>
        <w:spacing w:line="360" w:lineRule="auto"/>
        <w:ind w:left="709"/>
      </w:pPr>
      <w:r>
        <w:t>Reflecting the NIHRC’s original advice on this issue,</w:t>
      </w:r>
      <w:r w:rsidR="0006738F">
        <w:rPr>
          <w:rStyle w:val="FootnoteReference"/>
        </w:rPr>
        <w:footnoteReference w:id="21"/>
      </w:r>
      <w:r>
        <w:t xml:space="preserve"> it is disappointing that </w:t>
      </w:r>
      <w:r w:rsidR="00DA717B">
        <w:t xml:space="preserve">a proposed clause that would have inserted </w:t>
      </w:r>
      <w:r w:rsidR="00BA66B1">
        <w:t xml:space="preserve">a ‘no serious harm’ threshold into the 2022 Act was not retained. </w:t>
      </w:r>
      <w:r w:rsidR="00877216" w:rsidRPr="00C22F52">
        <w:t xml:space="preserve">Clause 1 of the then Defamation Bill, as introduced to the </w:t>
      </w:r>
      <w:r w:rsidR="002E54E7">
        <w:t xml:space="preserve">NI </w:t>
      </w:r>
      <w:r w:rsidR="00877216" w:rsidRPr="00C22F52">
        <w:t xml:space="preserve">Assembly, </w:t>
      </w:r>
      <w:r w:rsidR="00244C3F">
        <w:t xml:space="preserve">proposed to </w:t>
      </w:r>
      <w:r w:rsidR="00877216" w:rsidRPr="00C22F52">
        <w:t>directly insert the serious harm test found in the Defamation Act</w:t>
      </w:r>
      <w:r w:rsidR="00877216" w:rsidRPr="00C22F52">
        <w:rPr>
          <w:rStyle w:val="FootnoteReference"/>
        </w:rPr>
        <w:t xml:space="preserve"> </w:t>
      </w:r>
      <w:r w:rsidR="00877216" w:rsidRPr="00C22F52">
        <w:t>2013</w:t>
      </w:r>
      <w:r w:rsidR="005911DE">
        <w:t>. It stated</w:t>
      </w:r>
      <w:r w:rsidR="00877216" w:rsidRPr="00C22F52">
        <w:t xml:space="preserve"> that:</w:t>
      </w:r>
    </w:p>
    <w:p w14:paraId="4842077C" w14:textId="77777777" w:rsidR="00877216" w:rsidRPr="00C22F52" w:rsidRDefault="00877216" w:rsidP="00C22F52">
      <w:pPr>
        <w:pStyle w:val="ListParagraph"/>
        <w:spacing w:line="360" w:lineRule="auto"/>
        <w:ind w:left="709"/>
      </w:pPr>
    </w:p>
    <w:p w14:paraId="6C5A9740" w14:textId="6A696E67" w:rsidR="00F2256A" w:rsidRDefault="00877216" w:rsidP="00F2256A">
      <w:pPr>
        <w:pStyle w:val="Quote"/>
        <w:numPr>
          <w:ilvl w:val="0"/>
          <w:numId w:val="18"/>
        </w:numPr>
      </w:pPr>
      <w:r w:rsidRPr="00C22F52">
        <w:t>A statement is not defamatory unless its publication has caused or is likely to cause serious harm to the reputation of the claimant.</w:t>
      </w:r>
    </w:p>
    <w:p w14:paraId="6A590D57" w14:textId="77777777" w:rsidR="00F2256A" w:rsidRPr="00F2256A" w:rsidRDefault="00F2256A" w:rsidP="00F2256A"/>
    <w:p w14:paraId="5B6A4265" w14:textId="1A2329D4" w:rsidR="00364105" w:rsidRPr="00C22F52" w:rsidRDefault="00877216" w:rsidP="00F2256A">
      <w:pPr>
        <w:pStyle w:val="Quote"/>
        <w:numPr>
          <w:ilvl w:val="0"/>
          <w:numId w:val="18"/>
        </w:numPr>
      </w:pPr>
      <w:r w:rsidRPr="00C22F52">
        <w:t xml:space="preserve">For the purposes of this section, harm to the reputation of a body that trades for profit </w:t>
      </w:r>
      <w:proofErr w:type="gramStart"/>
      <w:r w:rsidRPr="00C22F52">
        <w:t>is</w:t>
      </w:r>
      <w:proofErr w:type="gramEnd"/>
      <w:r w:rsidRPr="00C22F52">
        <w:t xml:space="preserve"> not “serious harm” unless it has caused or is likely to cause the body serious financial loss.</w:t>
      </w:r>
      <w:r w:rsidR="00C11F14" w:rsidRPr="00C22F52">
        <w:rPr>
          <w:rStyle w:val="FootnoteReference"/>
        </w:rPr>
        <w:footnoteReference w:id="22"/>
      </w:r>
      <w:r w:rsidR="00C11F14" w:rsidRPr="00C22F52">
        <w:t xml:space="preserve"> </w:t>
      </w:r>
    </w:p>
    <w:p w14:paraId="3DF322DE" w14:textId="77777777" w:rsidR="00877216" w:rsidRPr="00C22F52" w:rsidRDefault="00877216" w:rsidP="00C22F52">
      <w:pPr>
        <w:pStyle w:val="ListParagraph"/>
        <w:spacing w:line="360" w:lineRule="auto"/>
        <w:ind w:left="709"/>
      </w:pPr>
    </w:p>
    <w:p w14:paraId="6C069FE3" w14:textId="6B334BCF" w:rsidR="00B831C4" w:rsidRPr="00C22F52" w:rsidRDefault="003D5348" w:rsidP="00C22F52">
      <w:pPr>
        <w:pStyle w:val="ListParagraph"/>
        <w:numPr>
          <w:ilvl w:val="1"/>
          <w:numId w:val="9"/>
        </w:numPr>
        <w:spacing w:line="360" w:lineRule="auto"/>
        <w:ind w:left="709"/>
      </w:pPr>
      <w:r>
        <w:t>If retained, the</w:t>
      </w:r>
      <w:r w:rsidR="008831D6">
        <w:t xml:space="preserve"> originally proposed provision</w:t>
      </w:r>
      <w:r w:rsidR="00B831C4" w:rsidRPr="00C22F52">
        <w:t xml:space="preserve"> </w:t>
      </w:r>
      <w:r>
        <w:t>would have reflected jurisprudence on the</w:t>
      </w:r>
      <w:r w:rsidR="005D75FC" w:rsidRPr="00C22F52">
        <w:t xml:space="preserve"> question of what is sufficient to establish that a statement is defamatory.</w:t>
      </w:r>
      <w:r w:rsidR="005D75FC" w:rsidRPr="00C22F52">
        <w:rPr>
          <w:rStyle w:val="FootnoteReference"/>
        </w:rPr>
        <w:footnoteReference w:id="23"/>
      </w:r>
      <w:r w:rsidR="005D75FC" w:rsidRPr="00C22F52">
        <w:t xml:space="preserve"> </w:t>
      </w:r>
      <w:r w:rsidR="00016592">
        <w:t>For example</w:t>
      </w:r>
      <w:r w:rsidR="00B831C4" w:rsidRPr="00C22F52">
        <w:t xml:space="preserve">, </w:t>
      </w:r>
      <w:r w:rsidR="00305BCC" w:rsidRPr="00C22F52">
        <w:t>i</w:t>
      </w:r>
      <w:r w:rsidR="005D75FC" w:rsidRPr="00C22F52">
        <w:t xml:space="preserve">n </w:t>
      </w:r>
      <w:r w:rsidR="005D75FC" w:rsidRPr="007C4951">
        <w:rPr>
          <w:i/>
          <w:iCs/>
        </w:rPr>
        <w:t>Axel Springer v Germany</w:t>
      </w:r>
      <w:r w:rsidR="005D75FC" w:rsidRPr="00C22F52">
        <w:t>, the</w:t>
      </w:r>
      <w:r w:rsidR="00B831C4" w:rsidRPr="00C22F52">
        <w:t xml:space="preserve"> ECHR </w:t>
      </w:r>
      <w:r w:rsidR="005D75FC" w:rsidRPr="00C22F52">
        <w:t xml:space="preserve">established that in order </w:t>
      </w:r>
      <w:r w:rsidR="005D75FC" w:rsidRPr="00C22F52">
        <w:rPr>
          <w:rFonts w:cs="Arial"/>
          <w:color w:val="000000"/>
          <w:shd w:val="clear" w:color="auto" w:fill="FFFFFF"/>
        </w:rPr>
        <w:t xml:space="preserve">for Article 8 </w:t>
      </w:r>
      <w:r w:rsidR="00612238">
        <w:rPr>
          <w:rFonts w:cs="Arial"/>
          <w:color w:val="000000"/>
          <w:shd w:val="clear" w:color="auto" w:fill="FFFFFF"/>
        </w:rPr>
        <w:t xml:space="preserve">of the ECHR </w:t>
      </w:r>
      <w:r w:rsidR="005D75FC" w:rsidRPr="00C22F52">
        <w:rPr>
          <w:rFonts w:cs="Arial"/>
          <w:color w:val="000000"/>
          <w:shd w:val="clear" w:color="auto" w:fill="FFFFFF"/>
        </w:rPr>
        <w:t>to be engaged, the alleged defamation must attain a certain level of seriousness.</w:t>
      </w:r>
      <w:r w:rsidR="00B831C4" w:rsidRPr="00C22F52">
        <w:rPr>
          <w:rStyle w:val="FootnoteReference"/>
        </w:rPr>
        <w:footnoteReference w:id="24"/>
      </w:r>
      <w:r w:rsidR="00305BCC" w:rsidRPr="00C22F52">
        <w:rPr>
          <w:rFonts w:cs="Arial"/>
          <w:color w:val="000000"/>
          <w:shd w:val="clear" w:color="auto" w:fill="FFFFFF"/>
        </w:rPr>
        <w:t xml:space="preserve"> </w:t>
      </w:r>
      <w:r w:rsidR="00554C85">
        <w:t>I</w:t>
      </w:r>
      <w:r w:rsidR="00305BCC" w:rsidRPr="00C22F52">
        <w:t xml:space="preserve">n </w:t>
      </w:r>
      <w:r w:rsidR="00305BCC" w:rsidRPr="007C4951">
        <w:rPr>
          <w:i/>
          <w:iCs/>
        </w:rPr>
        <w:t>Thornton v Telegraph Media Group Ltd</w:t>
      </w:r>
      <w:r w:rsidR="00612238">
        <w:rPr>
          <w:i/>
          <w:iCs/>
        </w:rPr>
        <w:t xml:space="preserve"> </w:t>
      </w:r>
      <w:r w:rsidR="00612238">
        <w:t>(2010)</w:t>
      </w:r>
      <w:r w:rsidR="00305BCC" w:rsidRPr="00C22F52">
        <w:t xml:space="preserve">, the </w:t>
      </w:r>
      <w:r w:rsidR="001F5450">
        <w:t xml:space="preserve">High </w:t>
      </w:r>
      <w:r w:rsidR="00305BCC" w:rsidRPr="00C22F52">
        <w:t>Court</w:t>
      </w:r>
      <w:r w:rsidR="001F5450">
        <w:t xml:space="preserve"> of England and Wales</w:t>
      </w:r>
      <w:r w:rsidR="00305BCC" w:rsidRPr="00C22F52">
        <w:t xml:space="preserve"> noted in regard to defamation that “there must be some tendency or likelihood of adverse consequences for the claimant”.</w:t>
      </w:r>
      <w:r w:rsidR="00305BCC" w:rsidRPr="00C22F52">
        <w:rPr>
          <w:rStyle w:val="FootnoteReference"/>
        </w:rPr>
        <w:footnoteReference w:id="25"/>
      </w:r>
    </w:p>
    <w:p w14:paraId="05641344" w14:textId="77777777" w:rsidR="00957B52" w:rsidRPr="00C22F52" w:rsidRDefault="00957B52" w:rsidP="00C22F52">
      <w:pPr>
        <w:pStyle w:val="ListParagraph"/>
        <w:spacing w:line="360" w:lineRule="auto"/>
        <w:ind w:left="709"/>
      </w:pPr>
    </w:p>
    <w:p w14:paraId="7E51150A" w14:textId="1812227A" w:rsidR="003B7D0E" w:rsidRPr="00C22F52" w:rsidRDefault="00554C85" w:rsidP="00C22F52">
      <w:pPr>
        <w:pStyle w:val="ListParagraph"/>
        <w:numPr>
          <w:ilvl w:val="1"/>
          <w:numId w:val="9"/>
        </w:numPr>
        <w:suppressAutoHyphens/>
        <w:spacing w:line="360" w:lineRule="auto"/>
        <w:ind w:left="709"/>
        <w:rPr>
          <w:rFonts w:cs="Arial"/>
          <w:color w:val="232120"/>
          <w:sz w:val="20"/>
          <w:szCs w:val="20"/>
        </w:rPr>
      </w:pPr>
      <w:r>
        <w:t xml:space="preserve">Furthermore, in </w:t>
      </w:r>
      <w:proofErr w:type="spellStart"/>
      <w:r w:rsidR="00551D7E" w:rsidRPr="007C4951">
        <w:rPr>
          <w:i/>
          <w:iCs/>
        </w:rPr>
        <w:t>Lachaux</w:t>
      </w:r>
      <w:proofErr w:type="spellEnd"/>
      <w:r w:rsidR="00551D7E" w:rsidRPr="007C4951">
        <w:rPr>
          <w:i/>
          <w:iCs/>
        </w:rPr>
        <w:t xml:space="preserve"> v Independent Print L</w:t>
      </w:r>
      <w:r w:rsidR="00382EAB">
        <w:rPr>
          <w:i/>
          <w:iCs/>
        </w:rPr>
        <w:t>td</w:t>
      </w:r>
      <w:r w:rsidR="00551D7E" w:rsidRPr="007C4951">
        <w:rPr>
          <w:i/>
          <w:iCs/>
        </w:rPr>
        <w:t xml:space="preserve"> </w:t>
      </w:r>
      <w:r w:rsidRPr="007C4951">
        <w:rPr>
          <w:i/>
          <w:iCs/>
        </w:rPr>
        <w:t>and</w:t>
      </w:r>
      <w:r w:rsidR="00551D7E" w:rsidRPr="007C4951">
        <w:rPr>
          <w:i/>
          <w:iCs/>
        </w:rPr>
        <w:t xml:space="preserve"> Anor</w:t>
      </w:r>
      <w:r w:rsidR="00305BCC" w:rsidRPr="00C22F52">
        <w:t xml:space="preserve"> </w:t>
      </w:r>
      <w:r>
        <w:t xml:space="preserve">(2019) </w:t>
      </w:r>
      <w:r w:rsidR="00305BCC" w:rsidRPr="00C22F52">
        <w:t xml:space="preserve">the interpretation of the </w:t>
      </w:r>
      <w:r w:rsidR="00831F00" w:rsidRPr="00C22F52">
        <w:t>s</w:t>
      </w:r>
      <w:r w:rsidR="00305BCC" w:rsidRPr="00C22F52">
        <w:t xml:space="preserve">erious </w:t>
      </w:r>
      <w:r w:rsidR="00831F00" w:rsidRPr="00C22F52">
        <w:t>h</w:t>
      </w:r>
      <w:r w:rsidR="00305BCC" w:rsidRPr="00C22F52">
        <w:t xml:space="preserve">arm </w:t>
      </w:r>
      <w:r w:rsidR="00831F00" w:rsidRPr="00C22F52">
        <w:t>t</w:t>
      </w:r>
      <w:r w:rsidR="00305BCC" w:rsidRPr="00C22F52">
        <w:t xml:space="preserve">est in </w:t>
      </w:r>
      <w:r w:rsidR="000E71E1" w:rsidRPr="00C22F52">
        <w:t xml:space="preserve">Section 1 of </w:t>
      </w:r>
      <w:r w:rsidR="00305BCC" w:rsidRPr="00C22F52">
        <w:t>the Defamation Act 2013</w:t>
      </w:r>
      <w:r>
        <w:t xml:space="preserve"> was specifically considered</w:t>
      </w:r>
      <w:r w:rsidR="000E71E1" w:rsidRPr="00C22F52">
        <w:t xml:space="preserve">. In </w:t>
      </w:r>
      <w:r>
        <w:t>this case</w:t>
      </w:r>
      <w:r w:rsidR="000E71E1" w:rsidRPr="00C22F52">
        <w:t>, the claimant submitted that Section 1</w:t>
      </w:r>
      <w:r w:rsidR="00E625AA">
        <w:t xml:space="preserve"> of the 2023 Act</w:t>
      </w:r>
      <w:r w:rsidR="000E71E1" w:rsidRPr="00C22F52">
        <w:t xml:space="preserve"> introduced an additional condition for a statement to be regarded as defamatory, which is that it “must also be shown to produce serious harm in fact”.</w:t>
      </w:r>
      <w:r w:rsidR="000E71E1" w:rsidRPr="00C22F52">
        <w:rPr>
          <w:rStyle w:val="FootnoteReference"/>
        </w:rPr>
        <w:footnoteReference w:id="26"/>
      </w:r>
      <w:r w:rsidR="000E71E1" w:rsidRPr="00C22F52">
        <w:t xml:space="preserve"> The UK Supreme Court found that reputational harm can be proven by inferences from the circumstances and context of the defamatory publication.</w:t>
      </w:r>
      <w:r w:rsidR="000E71E1" w:rsidRPr="00C22F52">
        <w:rPr>
          <w:rStyle w:val="FootnoteReference"/>
        </w:rPr>
        <w:footnoteReference w:id="27"/>
      </w:r>
    </w:p>
    <w:p w14:paraId="4B17BB6B" w14:textId="77777777" w:rsidR="000E71E1" w:rsidRPr="00C22F52" w:rsidRDefault="000E71E1" w:rsidP="00C22F52">
      <w:pPr>
        <w:pStyle w:val="ListParagraph"/>
        <w:spacing w:line="360" w:lineRule="auto"/>
        <w:rPr>
          <w:rFonts w:cs="Arial"/>
          <w:color w:val="232120"/>
          <w:sz w:val="20"/>
          <w:szCs w:val="20"/>
        </w:rPr>
      </w:pPr>
    </w:p>
    <w:p w14:paraId="1E80B7CB" w14:textId="3ABF7528" w:rsidR="000E71E1" w:rsidRPr="00617D87" w:rsidRDefault="00A15F2C" w:rsidP="00C22F52">
      <w:pPr>
        <w:pStyle w:val="ListParagraph"/>
        <w:numPr>
          <w:ilvl w:val="1"/>
          <w:numId w:val="9"/>
        </w:numPr>
        <w:suppressAutoHyphens/>
        <w:spacing w:line="360" w:lineRule="auto"/>
        <w:ind w:left="709"/>
        <w:rPr>
          <w:rFonts w:cs="Arial"/>
          <w:sz w:val="20"/>
          <w:szCs w:val="20"/>
        </w:rPr>
      </w:pPr>
      <w:r>
        <w:rPr>
          <w:rFonts w:cs="Arial"/>
        </w:rPr>
        <w:t>T</w:t>
      </w:r>
      <w:r w:rsidR="00831F00" w:rsidRPr="00617D87">
        <w:rPr>
          <w:rFonts w:cs="Arial"/>
        </w:rPr>
        <w:t>he serious harm test in the Defamation Act 2013 has not been without its issues, namely whether it offers a better framework than was already developed under common law</w:t>
      </w:r>
      <w:r>
        <w:rPr>
          <w:rFonts w:cs="Arial"/>
        </w:rPr>
        <w:t>.</w:t>
      </w:r>
      <w:r w:rsidRPr="00617D87">
        <w:rPr>
          <w:rStyle w:val="FootnoteReference"/>
          <w:rFonts w:cs="Arial"/>
        </w:rPr>
        <w:footnoteReference w:id="28"/>
      </w:r>
      <w:r>
        <w:rPr>
          <w:rFonts w:cs="Arial"/>
        </w:rPr>
        <w:t xml:space="preserve"> However,</w:t>
      </w:r>
      <w:r w:rsidR="00831F00" w:rsidRPr="00617D87">
        <w:rPr>
          <w:rFonts w:cs="Arial"/>
        </w:rPr>
        <w:t xml:space="preserve"> there </w:t>
      </w:r>
      <w:r>
        <w:rPr>
          <w:rFonts w:cs="Arial"/>
        </w:rPr>
        <w:t>are several</w:t>
      </w:r>
      <w:r w:rsidR="00831F00" w:rsidRPr="00617D87">
        <w:rPr>
          <w:rFonts w:cs="Arial"/>
        </w:rPr>
        <w:t xml:space="preserve"> potential benefits</w:t>
      </w:r>
      <w:r>
        <w:rPr>
          <w:rFonts w:cs="Arial"/>
        </w:rPr>
        <w:t xml:space="preserve"> in the context of NI’s defamation laws</w:t>
      </w:r>
      <w:r w:rsidR="00831F00" w:rsidRPr="00617D87">
        <w:rPr>
          <w:rFonts w:cs="Arial"/>
        </w:rPr>
        <w:t>, including ensuring that appropriate resources are available for the most serious cases and encouraging prompt and efficacious corrections or retractions of erroneous statements.</w:t>
      </w:r>
      <w:r w:rsidR="00831F00" w:rsidRPr="00617D87">
        <w:rPr>
          <w:rStyle w:val="FootnoteReference"/>
          <w:rFonts w:cs="Arial"/>
        </w:rPr>
        <w:footnoteReference w:id="29"/>
      </w:r>
    </w:p>
    <w:p w14:paraId="39C2CF40" w14:textId="77777777" w:rsidR="00D96527" w:rsidRPr="00C22F52" w:rsidRDefault="00D96527" w:rsidP="00C22F52">
      <w:pPr>
        <w:pStyle w:val="ListParagraph"/>
        <w:spacing w:line="360" w:lineRule="auto"/>
        <w:rPr>
          <w:rFonts w:cs="Arial"/>
          <w:color w:val="232120"/>
          <w:sz w:val="20"/>
          <w:szCs w:val="20"/>
        </w:rPr>
      </w:pPr>
    </w:p>
    <w:p w14:paraId="1D82B0BC" w14:textId="08934B79" w:rsidR="00D96527" w:rsidRPr="00C22F52" w:rsidRDefault="00D96527" w:rsidP="00C22F52">
      <w:pPr>
        <w:pStyle w:val="ListParagraph"/>
        <w:numPr>
          <w:ilvl w:val="1"/>
          <w:numId w:val="9"/>
        </w:numPr>
        <w:suppressAutoHyphens/>
        <w:spacing w:line="360" w:lineRule="auto"/>
        <w:ind w:left="709"/>
        <w:rPr>
          <w:rFonts w:cs="Arial"/>
          <w:color w:val="232120"/>
          <w:sz w:val="20"/>
          <w:szCs w:val="20"/>
        </w:rPr>
      </w:pPr>
      <w:r w:rsidRPr="0BB4B1F1">
        <w:rPr>
          <w:rFonts w:cs="Arial"/>
          <w:b/>
          <w:bCs/>
          <w:color w:val="232120"/>
        </w:rPr>
        <w:t xml:space="preserve">The NIHRC recommends that the Department of Finance </w:t>
      </w:r>
      <w:proofErr w:type="gramStart"/>
      <w:r w:rsidR="748FF608" w:rsidRPr="0BB4B1F1">
        <w:rPr>
          <w:rFonts w:cs="Arial"/>
          <w:b/>
          <w:bCs/>
          <w:color w:val="232120"/>
        </w:rPr>
        <w:t>gives detailed consideration to</w:t>
      </w:r>
      <w:proofErr w:type="gramEnd"/>
      <w:r w:rsidR="748FF608" w:rsidRPr="0BB4B1F1">
        <w:rPr>
          <w:rFonts w:cs="Arial"/>
          <w:b/>
          <w:bCs/>
          <w:color w:val="232120"/>
        </w:rPr>
        <w:t xml:space="preserve"> an amendment to</w:t>
      </w:r>
      <w:r w:rsidRPr="0BB4B1F1">
        <w:rPr>
          <w:rFonts w:cs="Arial"/>
          <w:b/>
          <w:bCs/>
          <w:color w:val="232120"/>
        </w:rPr>
        <w:t xml:space="preserve"> the Defamation Act (NI) 2022 to include a serious harm threshold akin to that which exists in defamation law in other UK jurisdictions</w:t>
      </w:r>
      <w:r w:rsidR="00070E05">
        <w:rPr>
          <w:rFonts w:cs="Arial"/>
          <w:b/>
          <w:bCs/>
          <w:color w:val="232120"/>
        </w:rPr>
        <w:t xml:space="preserve"> </w:t>
      </w:r>
      <w:r w:rsidR="75BF9374" w:rsidRPr="0BB4B1F1">
        <w:rPr>
          <w:rFonts w:cs="Arial"/>
          <w:b/>
          <w:bCs/>
          <w:color w:val="232120"/>
        </w:rPr>
        <w:t>which takes account of</w:t>
      </w:r>
      <w:r w:rsidR="00567220" w:rsidRPr="0BB4B1F1">
        <w:rPr>
          <w:rFonts w:cs="Arial"/>
          <w:b/>
          <w:bCs/>
          <w:color w:val="232120"/>
        </w:rPr>
        <w:t xml:space="preserve"> ECtHR</w:t>
      </w:r>
      <w:r w:rsidRPr="0BB4B1F1">
        <w:rPr>
          <w:rFonts w:cs="Arial"/>
          <w:b/>
          <w:bCs/>
          <w:color w:val="232120"/>
        </w:rPr>
        <w:t xml:space="preserve"> jurisprudence.</w:t>
      </w:r>
    </w:p>
    <w:p w14:paraId="0CC6F4E5" w14:textId="77777777" w:rsidR="00D96527" w:rsidRPr="00C22F52" w:rsidRDefault="00D96527" w:rsidP="00C22F52">
      <w:pPr>
        <w:spacing w:line="360" w:lineRule="auto"/>
        <w:rPr>
          <w:rFonts w:cs="Arial"/>
          <w:color w:val="232120"/>
          <w:sz w:val="20"/>
          <w:szCs w:val="20"/>
        </w:rPr>
      </w:pPr>
    </w:p>
    <w:p w14:paraId="58DA3766" w14:textId="6775E46F" w:rsidR="00D96527" w:rsidRPr="00C22F52" w:rsidRDefault="00C75163" w:rsidP="00C75163">
      <w:pPr>
        <w:pStyle w:val="Heading2"/>
      </w:pPr>
      <w:bookmarkStart w:id="4" w:name="_Toc157592699"/>
      <w:r>
        <w:t>4.0</w:t>
      </w:r>
      <w:r>
        <w:tab/>
      </w:r>
      <w:r w:rsidR="00D96527" w:rsidRPr="00C22F52">
        <w:t>Libel Tourism</w:t>
      </w:r>
      <w:bookmarkEnd w:id="4"/>
    </w:p>
    <w:p w14:paraId="64CB32E4" w14:textId="77777777" w:rsidR="00D96527" w:rsidRPr="00C22F52" w:rsidRDefault="00D96527" w:rsidP="00C22F52">
      <w:pPr>
        <w:pStyle w:val="ListParagraph"/>
        <w:numPr>
          <w:ilvl w:val="0"/>
          <w:numId w:val="9"/>
        </w:numPr>
        <w:suppressAutoHyphens/>
        <w:spacing w:line="360" w:lineRule="auto"/>
        <w:rPr>
          <w:rFonts w:cs="Arial"/>
          <w:vanish/>
          <w:color w:val="232120"/>
          <w:sz w:val="20"/>
          <w:szCs w:val="20"/>
        </w:rPr>
      </w:pPr>
    </w:p>
    <w:p w14:paraId="7AFE671E" w14:textId="2A1B9FF5" w:rsidR="00D96527" w:rsidRPr="00AC57EA" w:rsidRDefault="00AC57EA" w:rsidP="00C22F52">
      <w:pPr>
        <w:pStyle w:val="ListParagraph"/>
        <w:numPr>
          <w:ilvl w:val="1"/>
          <w:numId w:val="9"/>
        </w:numPr>
        <w:suppressAutoHyphens/>
        <w:spacing w:line="360" w:lineRule="auto"/>
        <w:ind w:left="709"/>
        <w:rPr>
          <w:rFonts w:cs="Arial"/>
          <w:sz w:val="20"/>
          <w:szCs w:val="20"/>
        </w:rPr>
      </w:pPr>
      <w:r w:rsidRPr="00AC57EA">
        <w:rPr>
          <w:rFonts w:cs="Arial"/>
        </w:rPr>
        <w:t>In 2008</w:t>
      </w:r>
      <w:r w:rsidR="00D96527" w:rsidRPr="00AC57EA">
        <w:rPr>
          <w:rFonts w:cs="Arial"/>
        </w:rPr>
        <w:t xml:space="preserve">, the UN Human Rights Committee noted that the </w:t>
      </w:r>
      <w:r w:rsidRPr="00AC57EA">
        <w:rPr>
          <w:rFonts w:cs="Arial"/>
        </w:rPr>
        <w:t xml:space="preserve">UK’s </w:t>
      </w:r>
      <w:r w:rsidR="00D96527" w:rsidRPr="00AC57EA">
        <w:rPr>
          <w:rFonts w:cs="Arial"/>
        </w:rPr>
        <w:t>practical application of defamation law has “</w:t>
      </w:r>
      <w:r w:rsidR="00D96527" w:rsidRPr="00AC57EA">
        <w:t>served to discourage critical media reporting on matters of serious public interest, adversely affecting the ability of scholars and journalists to publish their work, including through the phenomenon known as ‘libel tourism’".</w:t>
      </w:r>
      <w:r w:rsidR="00D96527" w:rsidRPr="00AC57EA">
        <w:rPr>
          <w:rStyle w:val="FootnoteReference"/>
        </w:rPr>
        <w:footnoteReference w:id="30"/>
      </w:r>
      <w:r w:rsidR="00D96527" w:rsidRPr="00AC57EA">
        <w:rPr>
          <w:rFonts w:cs="Arial"/>
        </w:rPr>
        <w:t xml:space="preserve"> </w:t>
      </w:r>
    </w:p>
    <w:p w14:paraId="793C8605" w14:textId="77777777" w:rsidR="00D96527" w:rsidRPr="00AC57EA" w:rsidRDefault="00D96527" w:rsidP="00C22F52">
      <w:pPr>
        <w:pStyle w:val="ListParagraph"/>
        <w:suppressAutoHyphens/>
        <w:spacing w:line="360" w:lineRule="auto"/>
        <w:ind w:left="709"/>
        <w:rPr>
          <w:rFonts w:cs="Arial"/>
          <w:sz w:val="20"/>
          <w:szCs w:val="20"/>
        </w:rPr>
      </w:pPr>
    </w:p>
    <w:p w14:paraId="135139F2" w14:textId="77777777" w:rsidR="001C1731" w:rsidRPr="00AC57EA" w:rsidRDefault="00D96527" w:rsidP="00C22F52">
      <w:pPr>
        <w:pStyle w:val="ListParagraph"/>
        <w:numPr>
          <w:ilvl w:val="1"/>
          <w:numId w:val="9"/>
        </w:numPr>
        <w:suppressAutoHyphens/>
        <w:spacing w:line="360" w:lineRule="auto"/>
        <w:ind w:left="709"/>
        <w:rPr>
          <w:rFonts w:cs="Arial"/>
          <w:sz w:val="20"/>
          <w:szCs w:val="20"/>
        </w:rPr>
      </w:pPr>
      <w:r w:rsidRPr="00AC57EA">
        <w:rPr>
          <w:rFonts w:cs="Arial"/>
        </w:rPr>
        <w:t>Libel tourism refers to claimants brin</w:t>
      </w:r>
      <w:r w:rsidR="00BE3F50" w:rsidRPr="00AC57EA">
        <w:rPr>
          <w:rFonts w:cs="Arial"/>
        </w:rPr>
        <w:t>g</w:t>
      </w:r>
      <w:r w:rsidRPr="00AC57EA">
        <w:rPr>
          <w:rFonts w:cs="Arial"/>
        </w:rPr>
        <w:t>ing a claim in a particular jurisdiction</w:t>
      </w:r>
      <w:r w:rsidR="00F800F4" w:rsidRPr="00AC57EA">
        <w:rPr>
          <w:rFonts w:cs="Arial"/>
        </w:rPr>
        <w:t>, not because it is the most appropriate jurisdiction to hear the case, but because it is believed that defamation law will give them the best chance of a favourable outcome.</w:t>
      </w:r>
      <w:r w:rsidR="00BE3F50" w:rsidRPr="00AC57EA">
        <w:rPr>
          <w:rStyle w:val="FootnoteReference"/>
          <w:rFonts w:cs="Arial"/>
        </w:rPr>
        <w:footnoteReference w:id="31"/>
      </w:r>
      <w:r w:rsidR="00BE3F50" w:rsidRPr="00AC57EA">
        <w:rPr>
          <w:rFonts w:cs="Arial"/>
        </w:rPr>
        <w:t xml:space="preserve"> </w:t>
      </w:r>
    </w:p>
    <w:p w14:paraId="13897043" w14:textId="77777777" w:rsidR="001C1731" w:rsidRPr="00AC57EA" w:rsidRDefault="001C1731" w:rsidP="00C22F52">
      <w:pPr>
        <w:pStyle w:val="ListParagraph"/>
        <w:spacing w:line="360" w:lineRule="auto"/>
        <w:rPr>
          <w:rFonts w:cs="Arial"/>
          <w:sz w:val="20"/>
          <w:szCs w:val="20"/>
        </w:rPr>
      </w:pPr>
    </w:p>
    <w:p w14:paraId="74C06256" w14:textId="14201FB5" w:rsidR="001C1731" w:rsidRPr="00AC57EA" w:rsidRDefault="001C1731" w:rsidP="00C22F52">
      <w:pPr>
        <w:pStyle w:val="ListParagraph"/>
        <w:numPr>
          <w:ilvl w:val="1"/>
          <w:numId w:val="9"/>
        </w:numPr>
        <w:suppressAutoHyphens/>
        <w:spacing w:line="360" w:lineRule="auto"/>
        <w:ind w:left="709"/>
        <w:rPr>
          <w:rFonts w:cs="Arial"/>
          <w:sz w:val="20"/>
          <w:szCs w:val="20"/>
        </w:rPr>
      </w:pPr>
      <w:r w:rsidRPr="00AC57EA">
        <w:rPr>
          <w:rFonts w:cs="Arial"/>
        </w:rPr>
        <w:t xml:space="preserve">The </w:t>
      </w:r>
      <w:proofErr w:type="spellStart"/>
      <w:r w:rsidR="0077176F">
        <w:rPr>
          <w:rFonts w:cs="Arial"/>
        </w:rPr>
        <w:t>CoE</w:t>
      </w:r>
      <w:proofErr w:type="spellEnd"/>
      <w:r w:rsidRPr="00AC57EA">
        <w:rPr>
          <w:rFonts w:cs="Arial"/>
        </w:rPr>
        <w:t xml:space="preserve"> Committee of Ministers has identified that libel tourism is a growing concern, noting that “</w:t>
      </w:r>
      <w:r w:rsidR="0077176F">
        <w:rPr>
          <w:rFonts w:cs="Open Sans"/>
          <w:shd w:val="clear" w:color="auto" w:fill="FFFFFF"/>
        </w:rPr>
        <w:t>g</w:t>
      </w:r>
      <w:r w:rsidRPr="00AC57EA">
        <w:rPr>
          <w:rFonts w:cs="Open Sans"/>
          <w:shd w:val="clear" w:color="auto" w:fill="FFFFFF"/>
        </w:rPr>
        <w:t>iven the wide variety of defamation standards, court practices, freedom of speech standards and a readiness of courts to accept jurisdiction in libel cases, it is often impossible to predict where a defamation/libel claim will be filed”.</w:t>
      </w:r>
      <w:r w:rsidRPr="00AC57EA">
        <w:rPr>
          <w:rStyle w:val="FootnoteReference"/>
          <w:rFonts w:cs="Open Sans"/>
          <w:shd w:val="clear" w:color="auto" w:fill="FFFFFF"/>
        </w:rPr>
        <w:footnoteReference w:id="32"/>
      </w:r>
      <w:r w:rsidR="00F020D4" w:rsidRPr="00AC57EA">
        <w:rPr>
          <w:rFonts w:cs="Open Sans"/>
          <w:shd w:val="clear" w:color="auto" w:fill="FFFFFF"/>
        </w:rPr>
        <w:t xml:space="preserve"> </w:t>
      </w:r>
    </w:p>
    <w:p w14:paraId="2E28B59B" w14:textId="77777777" w:rsidR="001C1731" w:rsidRPr="00AC57EA" w:rsidRDefault="001C1731" w:rsidP="00C22F52">
      <w:pPr>
        <w:pStyle w:val="ListParagraph"/>
        <w:spacing w:line="360" w:lineRule="auto"/>
        <w:rPr>
          <w:rFonts w:cs="Arial"/>
        </w:rPr>
      </w:pPr>
    </w:p>
    <w:p w14:paraId="449EBCD5" w14:textId="74305D89" w:rsidR="00BE3F50" w:rsidRPr="00495F7C" w:rsidRDefault="00624404" w:rsidP="00142F1A">
      <w:pPr>
        <w:pStyle w:val="ListParagraph"/>
        <w:numPr>
          <w:ilvl w:val="1"/>
          <w:numId w:val="9"/>
        </w:numPr>
        <w:suppressAutoHyphens/>
        <w:spacing w:line="360" w:lineRule="auto"/>
        <w:ind w:left="709"/>
        <w:rPr>
          <w:rFonts w:cs="Arial"/>
          <w:sz w:val="20"/>
          <w:szCs w:val="20"/>
        </w:rPr>
      </w:pPr>
      <w:r w:rsidRPr="00495F7C">
        <w:rPr>
          <w:rFonts w:cs="Arial"/>
        </w:rPr>
        <w:t>S</w:t>
      </w:r>
      <w:r w:rsidR="00BE3F50" w:rsidRPr="00495F7C">
        <w:rPr>
          <w:rFonts w:cs="Arial"/>
        </w:rPr>
        <w:t xml:space="preserve">ection 7 of the 2022 Act, </w:t>
      </w:r>
      <w:r w:rsidR="007A33ED" w:rsidRPr="00495F7C">
        <w:rPr>
          <w:rFonts w:cs="Arial"/>
        </w:rPr>
        <w:t xml:space="preserve">which </w:t>
      </w:r>
      <w:r w:rsidR="00BE3F50" w:rsidRPr="00495F7C">
        <w:rPr>
          <w:rFonts w:cs="Arial"/>
        </w:rPr>
        <w:t>end</w:t>
      </w:r>
      <w:r w:rsidR="007A33ED" w:rsidRPr="00495F7C">
        <w:rPr>
          <w:rFonts w:cs="Arial"/>
        </w:rPr>
        <w:t>s</w:t>
      </w:r>
      <w:r w:rsidR="00BE3F50" w:rsidRPr="00495F7C">
        <w:rPr>
          <w:rFonts w:cs="Arial"/>
        </w:rPr>
        <w:t xml:space="preserve"> the presumption of jury trials</w:t>
      </w:r>
      <w:r w:rsidR="007A33ED" w:rsidRPr="00495F7C">
        <w:rPr>
          <w:rFonts w:cs="Arial"/>
        </w:rPr>
        <w:t xml:space="preserve"> in defamation cases</w:t>
      </w:r>
      <w:r w:rsidR="004901FB" w:rsidRPr="00495F7C">
        <w:rPr>
          <w:rFonts w:cs="Arial"/>
        </w:rPr>
        <w:t>,</w:t>
      </w:r>
      <w:r w:rsidR="00BE3F50" w:rsidRPr="00495F7C">
        <w:rPr>
          <w:rFonts w:cs="Arial"/>
        </w:rPr>
        <w:t xml:space="preserve"> </w:t>
      </w:r>
      <w:r w:rsidR="007A33ED" w:rsidRPr="00495F7C">
        <w:rPr>
          <w:rFonts w:cs="Arial"/>
        </w:rPr>
        <w:t xml:space="preserve">aims to </w:t>
      </w:r>
      <w:r w:rsidR="00BE3F50" w:rsidRPr="00495F7C">
        <w:rPr>
          <w:rFonts w:cs="Arial"/>
        </w:rPr>
        <w:t>minimise the perceived risk of libel tourism in NI.</w:t>
      </w:r>
      <w:r w:rsidR="00BE3F50" w:rsidRPr="00AC57EA">
        <w:rPr>
          <w:rStyle w:val="FootnoteReference"/>
          <w:rFonts w:cs="Arial"/>
        </w:rPr>
        <w:footnoteReference w:id="33"/>
      </w:r>
      <w:r w:rsidRPr="00495F7C">
        <w:rPr>
          <w:rFonts w:cs="Arial"/>
        </w:rPr>
        <w:t xml:space="preserve"> It is also reported that there is no evidence of any increase in defamation cases in NI as a result of diverging legislation from the rest of the UK since 2013.</w:t>
      </w:r>
      <w:r w:rsidRPr="00AC57EA">
        <w:rPr>
          <w:rStyle w:val="FootnoteReference"/>
          <w:rFonts w:cs="Arial"/>
        </w:rPr>
        <w:footnoteReference w:id="34"/>
      </w:r>
      <w:r w:rsidR="00495F7C">
        <w:rPr>
          <w:rFonts w:cs="Arial"/>
        </w:rPr>
        <w:t xml:space="preserve"> </w:t>
      </w:r>
      <w:r w:rsidR="00BE3F50" w:rsidRPr="00495F7C">
        <w:rPr>
          <w:rFonts w:cs="Arial"/>
        </w:rPr>
        <w:t xml:space="preserve">However, the possibility remains that </w:t>
      </w:r>
      <w:r w:rsidR="001C0B50">
        <w:rPr>
          <w:rFonts w:cs="Arial"/>
        </w:rPr>
        <w:t xml:space="preserve">in the future </w:t>
      </w:r>
      <w:r w:rsidR="00BE3F50" w:rsidRPr="00495F7C">
        <w:rPr>
          <w:rFonts w:cs="Arial"/>
        </w:rPr>
        <w:t xml:space="preserve">certain cases may be brought to NI from individuals or organisations domiciled in the UK </w:t>
      </w:r>
      <w:r w:rsidR="001C0B50">
        <w:rPr>
          <w:rFonts w:cs="Arial"/>
        </w:rPr>
        <w:t>attempting</w:t>
      </w:r>
      <w:r w:rsidR="00BE3F50" w:rsidRPr="00495F7C">
        <w:rPr>
          <w:rFonts w:cs="Arial"/>
        </w:rPr>
        <w:t xml:space="preserve"> to benefit from the perception of a potentially more favourable outcome in NI courts. </w:t>
      </w:r>
    </w:p>
    <w:p w14:paraId="0EF5CE8E" w14:textId="77777777" w:rsidR="00BE3F50" w:rsidRPr="00C22F52" w:rsidRDefault="00BE3F50" w:rsidP="00C22F52">
      <w:pPr>
        <w:pStyle w:val="ListParagraph"/>
        <w:spacing w:line="360" w:lineRule="auto"/>
        <w:rPr>
          <w:rFonts w:cs="Arial"/>
          <w:color w:val="232120"/>
          <w:sz w:val="20"/>
          <w:szCs w:val="20"/>
        </w:rPr>
      </w:pPr>
    </w:p>
    <w:p w14:paraId="274B4DD6" w14:textId="52B159DF" w:rsidR="00BE3F50" w:rsidRPr="00C22F52" w:rsidRDefault="00BE3F50" w:rsidP="00C22F52">
      <w:pPr>
        <w:pStyle w:val="ListParagraph"/>
        <w:numPr>
          <w:ilvl w:val="1"/>
          <w:numId w:val="9"/>
        </w:numPr>
        <w:suppressAutoHyphens/>
        <w:spacing w:line="360" w:lineRule="auto"/>
        <w:ind w:left="709"/>
        <w:rPr>
          <w:rFonts w:cs="Arial"/>
          <w:color w:val="232120"/>
          <w:sz w:val="20"/>
          <w:szCs w:val="20"/>
        </w:rPr>
      </w:pPr>
      <w:r w:rsidRPr="00C22F52">
        <w:rPr>
          <w:rFonts w:cs="Arial"/>
          <w:b/>
          <w:bCs/>
          <w:color w:val="232120"/>
        </w:rPr>
        <w:t xml:space="preserve">The NIHRC recommends that the Department of Finance </w:t>
      </w:r>
      <w:r w:rsidR="00FB6015">
        <w:rPr>
          <w:rFonts w:cs="Arial"/>
          <w:b/>
          <w:bCs/>
          <w:color w:val="232120"/>
        </w:rPr>
        <w:t xml:space="preserve">works with relevant bodies to ensure that </w:t>
      </w:r>
      <w:r w:rsidR="001C1731" w:rsidRPr="00C22F52">
        <w:rPr>
          <w:rFonts w:cs="Arial"/>
          <w:b/>
          <w:bCs/>
          <w:color w:val="232120"/>
        </w:rPr>
        <w:t>relevant data on libel cases heard in NI</w:t>
      </w:r>
      <w:r w:rsidR="008F50E2">
        <w:rPr>
          <w:rFonts w:cs="Arial"/>
          <w:b/>
          <w:bCs/>
          <w:color w:val="232120"/>
        </w:rPr>
        <w:t xml:space="preserve"> is </w:t>
      </w:r>
      <w:r w:rsidR="008F50E2" w:rsidRPr="00C22F52">
        <w:rPr>
          <w:rFonts w:cs="Arial"/>
          <w:b/>
          <w:bCs/>
          <w:color w:val="232120"/>
        </w:rPr>
        <w:t>collect</w:t>
      </w:r>
      <w:r w:rsidR="008F50E2">
        <w:rPr>
          <w:rFonts w:cs="Arial"/>
          <w:b/>
          <w:bCs/>
          <w:color w:val="232120"/>
        </w:rPr>
        <w:t>ed,</w:t>
      </w:r>
      <w:r w:rsidR="008F50E2" w:rsidRPr="00C22F52">
        <w:rPr>
          <w:rFonts w:cs="Arial"/>
          <w:b/>
          <w:bCs/>
          <w:color w:val="232120"/>
        </w:rPr>
        <w:t xml:space="preserve"> </w:t>
      </w:r>
      <w:r w:rsidR="008F50E2">
        <w:rPr>
          <w:rFonts w:cs="Arial"/>
          <w:b/>
          <w:bCs/>
          <w:color w:val="232120"/>
        </w:rPr>
        <w:t xml:space="preserve">accessibly published, </w:t>
      </w:r>
      <w:proofErr w:type="gramStart"/>
      <w:r w:rsidR="008F50E2">
        <w:rPr>
          <w:rFonts w:cs="Arial"/>
          <w:b/>
          <w:bCs/>
          <w:color w:val="232120"/>
        </w:rPr>
        <w:t>monitored</w:t>
      </w:r>
      <w:proofErr w:type="gramEnd"/>
      <w:r w:rsidR="008F50E2">
        <w:rPr>
          <w:rFonts w:cs="Arial"/>
          <w:b/>
          <w:bCs/>
          <w:color w:val="232120"/>
        </w:rPr>
        <w:t xml:space="preserve"> and evaluated</w:t>
      </w:r>
      <w:r w:rsidR="001C1731" w:rsidRPr="00C22F52">
        <w:rPr>
          <w:rFonts w:cs="Arial"/>
          <w:b/>
          <w:bCs/>
          <w:color w:val="232120"/>
        </w:rPr>
        <w:t xml:space="preserve">, </w:t>
      </w:r>
      <w:r w:rsidR="00471E4D" w:rsidRPr="00C22F52">
        <w:rPr>
          <w:rFonts w:cs="Arial"/>
          <w:b/>
          <w:color w:val="232120"/>
        </w:rPr>
        <w:t xml:space="preserve">including cases </w:t>
      </w:r>
      <w:r w:rsidR="00471E4D">
        <w:rPr>
          <w:b/>
          <w:bCs/>
          <w:color w:val="232120"/>
        </w:rPr>
        <w:t>resolved outside of court’</w:t>
      </w:r>
      <w:r w:rsidR="00471E4D" w:rsidRPr="00C22F52">
        <w:rPr>
          <w:rFonts w:cs="Arial"/>
          <w:b/>
          <w:color w:val="232120"/>
        </w:rPr>
        <w:t>.</w:t>
      </w:r>
    </w:p>
    <w:p w14:paraId="6E78999C" w14:textId="77777777" w:rsidR="00001CDD" w:rsidRPr="00C22F52" w:rsidRDefault="00001CDD" w:rsidP="00C22F52">
      <w:pPr>
        <w:spacing w:line="360" w:lineRule="auto"/>
        <w:rPr>
          <w:rFonts w:cs="Arial"/>
          <w:color w:val="232120"/>
          <w:sz w:val="20"/>
          <w:szCs w:val="20"/>
        </w:rPr>
      </w:pPr>
    </w:p>
    <w:p w14:paraId="6500CE9A" w14:textId="56FAD256" w:rsidR="001C1731" w:rsidRPr="00C22F52" w:rsidRDefault="00C75163" w:rsidP="00C75163">
      <w:pPr>
        <w:pStyle w:val="Heading2"/>
      </w:pPr>
      <w:bookmarkStart w:id="5" w:name="_Toc157592700"/>
      <w:r>
        <w:t>5.0</w:t>
      </w:r>
      <w:r>
        <w:tab/>
      </w:r>
      <w:r w:rsidR="001C1731" w:rsidRPr="00C22F52">
        <w:t>Strategic L</w:t>
      </w:r>
      <w:r w:rsidR="00F020D4" w:rsidRPr="00C22F52">
        <w:t>awsuits Against Public Participation</w:t>
      </w:r>
      <w:bookmarkEnd w:id="5"/>
      <w:r w:rsidR="00F020D4" w:rsidRPr="00C22F52">
        <w:t xml:space="preserve"> </w:t>
      </w:r>
    </w:p>
    <w:p w14:paraId="4C09AC82" w14:textId="77777777" w:rsidR="006B4F8E" w:rsidRPr="006B4F8E" w:rsidRDefault="006B4F8E" w:rsidP="006B4F8E">
      <w:pPr>
        <w:pStyle w:val="ListParagraph"/>
        <w:numPr>
          <w:ilvl w:val="0"/>
          <w:numId w:val="19"/>
        </w:numPr>
        <w:suppressAutoHyphens/>
        <w:spacing w:line="360" w:lineRule="auto"/>
        <w:rPr>
          <w:rFonts w:cs="Arial"/>
          <w:vanish/>
          <w:color w:val="232120"/>
        </w:rPr>
      </w:pPr>
    </w:p>
    <w:p w14:paraId="6E5C46B5" w14:textId="77777777" w:rsidR="006B4F8E" w:rsidRPr="006B4F8E" w:rsidRDefault="006B4F8E" w:rsidP="006B4F8E">
      <w:pPr>
        <w:pStyle w:val="ListParagraph"/>
        <w:numPr>
          <w:ilvl w:val="0"/>
          <w:numId w:val="19"/>
        </w:numPr>
        <w:suppressAutoHyphens/>
        <w:spacing w:line="360" w:lineRule="auto"/>
        <w:rPr>
          <w:rFonts w:cs="Arial"/>
          <w:vanish/>
          <w:color w:val="232120"/>
        </w:rPr>
      </w:pPr>
    </w:p>
    <w:p w14:paraId="6AEA9F7E" w14:textId="77777777" w:rsidR="006B4F8E" w:rsidRPr="006B4F8E" w:rsidRDefault="006B4F8E" w:rsidP="006B4F8E">
      <w:pPr>
        <w:pStyle w:val="ListParagraph"/>
        <w:numPr>
          <w:ilvl w:val="0"/>
          <w:numId w:val="19"/>
        </w:numPr>
        <w:suppressAutoHyphens/>
        <w:spacing w:line="360" w:lineRule="auto"/>
        <w:rPr>
          <w:rFonts w:cs="Arial"/>
          <w:vanish/>
          <w:color w:val="232120"/>
        </w:rPr>
      </w:pPr>
    </w:p>
    <w:p w14:paraId="7B11C4A3" w14:textId="77777777" w:rsidR="006B4F8E" w:rsidRPr="006B4F8E" w:rsidRDefault="006B4F8E" w:rsidP="006B4F8E">
      <w:pPr>
        <w:pStyle w:val="ListParagraph"/>
        <w:numPr>
          <w:ilvl w:val="0"/>
          <w:numId w:val="19"/>
        </w:numPr>
        <w:suppressAutoHyphens/>
        <w:spacing w:line="360" w:lineRule="auto"/>
        <w:rPr>
          <w:rFonts w:cs="Arial"/>
          <w:vanish/>
          <w:color w:val="232120"/>
        </w:rPr>
      </w:pPr>
    </w:p>
    <w:p w14:paraId="7F2307DB" w14:textId="77777777" w:rsidR="006B4F8E" w:rsidRPr="006B4F8E" w:rsidRDefault="006B4F8E" w:rsidP="006B4F8E">
      <w:pPr>
        <w:pStyle w:val="ListParagraph"/>
        <w:numPr>
          <w:ilvl w:val="0"/>
          <w:numId w:val="19"/>
        </w:numPr>
        <w:suppressAutoHyphens/>
        <w:spacing w:line="360" w:lineRule="auto"/>
        <w:rPr>
          <w:rFonts w:cs="Arial"/>
          <w:vanish/>
          <w:color w:val="232120"/>
        </w:rPr>
      </w:pPr>
    </w:p>
    <w:p w14:paraId="2F246037" w14:textId="73B1980C" w:rsidR="001C1731" w:rsidRPr="00C22F52" w:rsidRDefault="00777A1A" w:rsidP="006B4F8E">
      <w:pPr>
        <w:pStyle w:val="ListParagraph"/>
        <w:numPr>
          <w:ilvl w:val="1"/>
          <w:numId w:val="19"/>
        </w:numPr>
        <w:suppressAutoHyphens/>
        <w:spacing w:line="360" w:lineRule="auto"/>
        <w:ind w:left="720"/>
        <w:rPr>
          <w:rFonts w:cs="Arial"/>
          <w:color w:val="232120"/>
          <w:sz w:val="20"/>
          <w:szCs w:val="20"/>
        </w:rPr>
      </w:pPr>
      <w:r>
        <w:rPr>
          <w:rFonts w:cs="Arial"/>
          <w:color w:val="232120"/>
        </w:rPr>
        <w:t>S</w:t>
      </w:r>
      <w:r w:rsidR="005D3BF5">
        <w:rPr>
          <w:rFonts w:cs="Arial"/>
          <w:color w:val="232120"/>
        </w:rPr>
        <w:t xml:space="preserve">trategic lawsuits against public participation </w:t>
      </w:r>
      <w:r w:rsidR="00F020D4" w:rsidRPr="00C22F52">
        <w:rPr>
          <w:rFonts w:cs="Arial"/>
          <w:color w:val="232120"/>
        </w:rPr>
        <w:t xml:space="preserve">are </w:t>
      </w:r>
      <w:r w:rsidR="00301FB0">
        <w:rPr>
          <w:rFonts w:cs="Arial"/>
          <w:color w:val="232120"/>
        </w:rPr>
        <w:t xml:space="preserve">recognised as </w:t>
      </w:r>
      <w:r w:rsidR="00F020D4" w:rsidRPr="00C22F52">
        <w:rPr>
          <w:rFonts w:cs="Arial"/>
          <w:color w:val="232120"/>
        </w:rPr>
        <w:t>actions, including defamation actions</w:t>
      </w:r>
      <w:r w:rsidR="00F0157F" w:rsidRPr="00C22F52">
        <w:rPr>
          <w:rFonts w:cs="Arial"/>
          <w:color w:val="232120"/>
        </w:rPr>
        <w:t>, taken primarily to embroil the defendant in costly and prolonged legal proceedings with the view to deterring them from researching or reporting on a matter of public interest.</w:t>
      </w:r>
      <w:r w:rsidR="00F0157F" w:rsidRPr="00C22F52">
        <w:rPr>
          <w:rStyle w:val="FootnoteReference"/>
          <w:rFonts w:cs="Arial"/>
          <w:color w:val="232120"/>
        </w:rPr>
        <w:footnoteReference w:id="35"/>
      </w:r>
      <w:r w:rsidR="00F0157F" w:rsidRPr="00C22F52">
        <w:rPr>
          <w:rFonts w:cs="Arial"/>
          <w:color w:val="232120"/>
        </w:rPr>
        <w:t xml:space="preserve"> </w:t>
      </w:r>
    </w:p>
    <w:p w14:paraId="0663882B" w14:textId="77777777" w:rsidR="00F0157F" w:rsidRPr="00C22F52" w:rsidRDefault="00F0157F" w:rsidP="00A817CF">
      <w:pPr>
        <w:pStyle w:val="ListParagraph"/>
        <w:suppressAutoHyphens/>
        <w:spacing w:line="360" w:lineRule="auto"/>
        <w:ind w:left="709" w:hanging="709"/>
        <w:rPr>
          <w:rFonts w:cs="Arial"/>
          <w:color w:val="232120"/>
          <w:sz w:val="20"/>
          <w:szCs w:val="20"/>
        </w:rPr>
      </w:pPr>
    </w:p>
    <w:p w14:paraId="67F990EE" w14:textId="59A6A877" w:rsidR="00F0157F" w:rsidRPr="00C22F52" w:rsidRDefault="00F0157F" w:rsidP="00337B19">
      <w:pPr>
        <w:pStyle w:val="ListParagraph"/>
        <w:numPr>
          <w:ilvl w:val="1"/>
          <w:numId w:val="19"/>
        </w:numPr>
        <w:suppressAutoHyphens/>
        <w:spacing w:line="360" w:lineRule="auto"/>
        <w:ind w:left="709" w:hanging="709"/>
        <w:rPr>
          <w:rFonts w:cs="Arial"/>
          <w:color w:val="232120"/>
          <w:sz w:val="20"/>
          <w:szCs w:val="20"/>
        </w:rPr>
      </w:pPr>
      <w:r w:rsidRPr="00C22F52">
        <w:rPr>
          <w:rFonts w:cs="Arial"/>
          <w:color w:val="232120"/>
        </w:rPr>
        <w:t>The</w:t>
      </w:r>
      <w:r w:rsidR="007F1803">
        <w:rPr>
          <w:rFonts w:cs="Arial"/>
          <w:color w:val="232120"/>
        </w:rPr>
        <w:t xml:space="preserve"> former</w:t>
      </w:r>
      <w:r w:rsidRPr="00C22F52">
        <w:rPr>
          <w:rFonts w:cs="Arial"/>
          <w:color w:val="232120"/>
        </w:rPr>
        <w:t xml:space="preserve"> UN Special Rapporteur on Freedom of Peaceful Assembly and of </w:t>
      </w:r>
      <w:r w:rsidR="003B2D91" w:rsidRPr="00C22F52">
        <w:rPr>
          <w:rFonts w:cs="Arial"/>
          <w:color w:val="232120"/>
        </w:rPr>
        <w:t>Association</w:t>
      </w:r>
      <w:r w:rsidR="005D3BF5">
        <w:rPr>
          <w:rFonts w:cs="Arial"/>
          <w:color w:val="232120"/>
        </w:rPr>
        <w:t xml:space="preserve">, </w:t>
      </w:r>
      <w:r w:rsidR="007F1803">
        <w:rPr>
          <w:rFonts w:cs="Arial"/>
          <w:color w:val="232120"/>
        </w:rPr>
        <w:t xml:space="preserve">Annalisa </w:t>
      </w:r>
      <w:r w:rsidR="006A6929">
        <w:rPr>
          <w:rFonts w:cs="Arial"/>
          <w:color w:val="232120"/>
        </w:rPr>
        <w:t>Ciampi,</w:t>
      </w:r>
      <w:r w:rsidRPr="00C22F52">
        <w:rPr>
          <w:rFonts w:cs="Arial"/>
          <w:color w:val="232120"/>
        </w:rPr>
        <w:t xml:space="preserve"> identified that </w:t>
      </w:r>
      <w:r w:rsidR="005D3BF5">
        <w:rPr>
          <w:rFonts w:cs="Arial"/>
          <w:color w:val="232120"/>
        </w:rPr>
        <w:t>such strategic litigation has seen</w:t>
      </w:r>
      <w:r w:rsidR="003B2D91" w:rsidRPr="00C22F52">
        <w:rPr>
          <w:rFonts w:cs="Arial"/>
          <w:color w:val="232120"/>
        </w:rPr>
        <w:t xml:space="preserve"> a significant increase worldwide, and certain legal frameworks provide “fertile ground”.</w:t>
      </w:r>
      <w:r w:rsidR="003B2D91" w:rsidRPr="00C22F52">
        <w:rPr>
          <w:rStyle w:val="FootnoteReference"/>
          <w:rFonts w:cs="Arial"/>
          <w:color w:val="232120"/>
        </w:rPr>
        <w:footnoteReference w:id="36"/>
      </w:r>
      <w:r w:rsidR="003B2D91" w:rsidRPr="00C22F52">
        <w:rPr>
          <w:rFonts w:cs="Arial"/>
          <w:color w:val="232120"/>
        </w:rPr>
        <w:t xml:space="preserve"> This fertile environment can include how expensive legal costs are, the “elasticity” of laws targeting speech, especially defamation and the absence of safeguards, including </w:t>
      </w:r>
      <w:r w:rsidR="0098624B">
        <w:rPr>
          <w:rFonts w:cs="Arial"/>
          <w:color w:val="232120"/>
        </w:rPr>
        <w:t>preventative</w:t>
      </w:r>
      <w:r w:rsidR="003B2D91" w:rsidRPr="00C22F52">
        <w:rPr>
          <w:rFonts w:cs="Arial"/>
          <w:color w:val="232120"/>
        </w:rPr>
        <w:t xml:space="preserve"> legislation or discretionary cost awards for abuse of processes.</w:t>
      </w:r>
      <w:r w:rsidR="003B2D91" w:rsidRPr="00C22F52">
        <w:rPr>
          <w:rStyle w:val="FootnoteReference"/>
          <w:rFonts w:cs="Arial"/>
          <w:color w:val="232120"/>
        </w:rPr>
        <w:footnoteReference w:id="37"/>
      </w:r>
      <w:r w:rsidR="00EC1318" w:rsidRPr="00C22F52">
        <w:rPr>
          <w:rFonts w:cs="Arial"/>
          <w:color w:val="232120"/>
        </w:rPr>
        <w:t xml:space="preserve"> The UN Special Rapporteur recommended that all States “</w:t>
      </w:r>
      <w:r w:rsidR="00AD751F" w:rsidRPr="00C22F52">
        <w:rPr>
          <w:color w:val="000000"/>
        </w:rPr>
        <w:t>should protect and facilitate the rights to freedom of expression, assembly and association to ensure that these rights are enjoyed by everyone by, inter alia, enacting anti-</w:t>
      </w:r>
      <w:r w:rsidR="00327A58">
        <w:rPr>
          <w:rFonts w:cs="Arial"/>
          <w:color w:val="232120"/>
        </w:rPr>
        <w:t>strategic lawsuits against public participation</w:t>
      </w:r>
      <w:r w:rsidR="00AD751F" w:rsidRPr="00C22F52">
        <w:rPr>
          <w:color w:val="000000"/>
        </w:rPr>
        <w:t xml:space="preserve"> legislation, allowing an early dismissal (with an award of costs) of such suits and the use of measures to penali</w:t>
      </w:r>
      <w:r w:rsidR="00327A58">
        <w:rPr>
          <w:color w:val="000000"/>
        </w:rPr>
        <w:t>s</w:t>
      </w:r>
      <w:r w:rsidR="00AD751F" w:rsidRPr="00C22F52">
        <w:rPr>
          <w:color w:val="000000"/>
        </w:rPr>
        <w:t>e abuse”.</w:t>
      </w:r>
      <w:r w:rsidR="00AD751F" w:rsidRPr="00C22F52">
        <w:rPr>
          <w:rStyle w:val="FootnoteReference"/>
          <w:color w:val="000000"/>
        </w:rPr>
        <w:footnoteReference w:id="38"/>
      </w:r>
    </w:p>
    <w:p w14:paraId="237CD5EE" w14:textId="77777777" w:rsidR="00FC2D27" w:rsidRPr="00C22F52" w:rsidRDefault="00FC2D27" w:rsidP="00A817CF">
      <w:pPr>
        <w:pStyle w:val="ListParagraph"/>
        <w:spacing w:line="360" w:lineRule="auto"/>
        <w:ind w:hanging="709"/>
        <w:rPr>
          <w:rFonts w:cs="Arial"/>
          <w:color w:val="232120"/>
          <w:sz w:val="20"/>
          <w:szCs w:val="20"/>
        </w:rPr>
      </w:pPr>
    </w:p>
    <w:p w14:paraId="465E1C9F" w14:textId="7136CAA1" w:rsidR="00FC2D27" w:rsidRPr="00FD621D" w:rsidRDefault="00FC2D27" w:rsidP="00337B19">
      <w:pPr>
        <w:pStyle w:val="ListParagraph"/>
        <w:numPr>
          <w:ilvl w:val="1"/>
          <w:numId w:val="19"/>
        </w:numPr>
        <w:suppressAutoHyphens/>
        <w:spacing w:line="360" w:lineRule="auto"/>
        <w:ind w:left="709" w:hanging="709"/>
        <w:rPr>
          <w:rFonts w:cs="Arial"/>
          <w:sz w:val="20"/>
          <w:szCs w:val="20"/>
        </w:rPr>
      </w:pPr>
      <w:r w:rsidRPr="00FD621D">
        <w:rPr>
          <w:rFonts w:cs="Arial"/>
        </w:rPr>
        <w:t xml:space="preserve">The </w:t>
      </w:r>
      <w:proofErr w:type="spellStart"/>
      <w:r w:rsidR="00FD621D">
        <w:rPr>
          <w:rFonts w:cs="Arial"/>
        </w:rPr>
        <w:t>CoE</w:t>
      </w:r>
      <w:proofErr w:type="spellEnd"/>
      <w:r w:rsidRPr="00FD621D">
        <w:rPr>
          <w:rFonts w:cs="Arial"/>
        </w:rPr>
        <w:t xml:space="preserve"> Committee on Legal Affairs and Human Rights noted that the widespread use of </w:t>
      </w:r>
      <w:r w:rsidR="00FD621D">
        <w:rPr>
          <w:rFonts w:cs="Arial"/>
          <w:color w:val="232120"/>
        </w:rPr>
        <w:t>strategic lawsuits against public participation</w:t>
      </w:r>
      <w:r w:rsidRPr="00FD621D">
        <w:rPr>
          <w:rFonts w:cs="Arial"/>
        </w:rPr>
        <w:t xml:space="preserve"> continues to involve abusive litigation to prevent dissemination of information and to silence those reporting on issues in the public interest.</w:t>
      </w:r>
      <w:r w:rsidR="00974B9C">
        <w:rPr>
          <w:rStyle w:val="FootnoteReference"/>
          <w:rFonts w:cs="Arial"/>
        </w:rPr>
        <w:footnoteReference w:id="39"/>
      </w:r>
      <w:r w:rsidRPr="00FD621D">
        <w:rPr>
          <w:rFonts w:cs="Arial"/>
        </w:rPr>
        <w:t xml:space="preserve"> The </w:t>
      </w:r>
      <w:proofErr w:type="spellStart"/>
      <w:r w:rsidR="00CA6743">
        <w:rPr>
          <w:rFonts w:cs="Arial"/>
        </w:rPr>
        <w:t>CoE</w:t>
      </w:r>
      <w:proofErr w:type="spellEnd"/>
      <w:r w:rsidR="00CA6743">
        <w:rPr>
          <w:rFonts w:cs="Arial"/>
        </w:rPr>
        <w:t xml:space="preserve"> </w:t>
      </w:r>
      <w:r w:rsidRPr="00FD621D">
        <w:rPr>
          <w:rFonts w:cs="Arial"/>
        </w:rPr>
        <w:t xml:space="preserve">Committee noted that </w:t>
      </w:r>
      <w:r w:rsidR="008A4A8B">
        <w:rPr>
          <w:rFonts w:cs="Arial"/>
          <w:color w:val="232120"/>
        </w:rPr>
        <w:t>strategic lawsuits against public participation</w:t>
      </w:r>
      <w:r w:rsidRPr="00FD621D">
        <w:rPr>
          <w:rFonts w:cs="Arial"/>
        </w:rPr>
        <w:t xml:space="preserve"> continue to be used extensively against journalists and media organisations, human rights activists and civil society organisations, trade unions and whistleblowers.</w:t>
      </w:r>
      <w:r w:rsidRPr="00FD621D">
        <w:rPr>
          <w:rStyle w:val="FootnoteReference"/>
          <w:rFonts w:cs="Arial"/>
        </w:rPr>
        <w:footnoteReference w:id="40"/>
      </w:r>
      <w:r w:rsidRPr="00FD621D">
        <w:rPr>
          <w:rFonts w:cs="Arial"/>
        </w:rPr>
        <w:t xml:space="preserve"> The </w:t>
      </w:r>
      <w:proofErr w:type="spellStart"/>
      <w:r w:rsidR="00CA6743">
        <w:rPr>
          <w:rFonts w:cs="Arial"/>
        </w:rPr>
        <w:t>CoE</w:t>
      </w:r>
      <w:proofErr w:type="spellEnd"/>
      <w:r w:rsidR="008A4A8B">
        <w:rPr>
          <w:rFonts w:cs="Arial"/>
        </w:rPr>
        <w:t xml:space="preserve"> </w:t>
      </w:r>
      <w:r w:rsidRPr="00FD621D">
        <w:rPr>
          <w:rFonts w:cs="Arial"/>
        </w:rPr>
        <w:t xml:space="preserve">Committee further highlight that the </w:t>
      </w:r>
      <w:proofErr w:type="spellStart"/>
      <w:r w:rsidR="008A4A8B">
        <w:rPr>
          <w:rFonts w:cs="Arial"/>
        </w:rPr>
        <w:t>CoE</w:t>
      </w:r>
      <w:proofErr w:type="spellEnd"/>
      <w:r w:rsidRPr="00FD621D">
        <w:rPr>
          <w:rFonts w:cs="Arial"/>
        </w:rPr>
        <w:t xml:space="preserve"> are considering a draft recommendation on the issue of </w:t>
      </w:r>
      <w:r w:rsidR="008A4A8B">
        <w:rPr>
          <w:rFonts w:cs="Arial"/>
          <w:color w:val="232120"/>
        </w:rPr>
        <w:t>strategic lawsuits against public participation</w:t>
      </w:r>
      <w:r w:rsidRPr="00FD621D">
        <w:rPr>
          <w:rFonts w:cs="Arial"/>
        </w:rPr>
        <w:t>.</w:t>
      </w:r>
      <w:r w:rsidR="00F55DE2">
        <w:rPr>
          <w:rStyle w:val="FootnoteReference"/>
          <w:rFonts w:cs="Arial"/>
        </w:rPr>
        <w:footnoteReference w:id="41"/>
      </w:r>
    </w:p>
    <w:p w14:paraId="392C64A3" w14:textId="77777777" w:rsidR="001D3304" w:rsidRPr="00FD621D" w:rsidRDefault="001D3304" w:rsidP="00A817CF">
      <w:pPr>
        <w:pStyle w:val="ListParagraph"/>
        <w:ind w:hanging="709"/>
        <w:rPr>
          <w:rFonts w:cs="Arial"/>
          <w:sz w:val="20"/>
          <w:szCs w:val="20"/>
        </w:rPr>
      </w:pPr>
    </w:p>
    <w:p w14:paraId="7529C5B4" w14:textId="77FF9B94" w:rsidR="002748D6" w:rsidRPr="00FD621D" w:rsidRDefault="00623957" w:rsidP="00337B19">
      <w:pPr>
        <w:pStyle w:val="ListParagraph"/>
        <w:numPr>
          <w:ilvl w:val="1"/>
          <w:numId w:val="19"/>
        </w:numPr>
        <w:suppressAutoHyphens/>
        <w:spacing w:line="360" w:lineRule="auto"/>
        <w:ind w:left="709" w:hanging="709"/>
        <w:rPr>
          <w:rFonts w:cs="Arial"/>
          <w:sz w:val="20"/>
          <w:szCs w:val="20"/>
        </w:rPr>
      </w:pPr>
      <w:r>
        <w:rPr>
          <w:rFonts w:cs="Arial"/>
        </w:rPr>
        <w:t>Though in draft form, the</w:t>
      </w:r>
      <w:r w:rsidR="001D3304" w:rsidRPr="00FD621D">
        <w:rPr>
          <w:rFonts w:cs="Arial"/>
        </w:rPr>
        <w:t xml:space="preserve"> </w:t>
      </w:r>
      <w:r>
        <w:rPr>
          <w:rFonts w:cs="Arial"/>
        </w:rPr>
        <w:t xml:space="preserve">proposed </w:t>
      </w:r>
      <w:proofErr w:type="spellStart"/>
      <w:r w:rsidR="004C5FBE" w:rsidRPr="00FD621D">
        <w:rPr>
          <w:rFonts w:cs="Arial"/>
        </w:rPr>
        <w:t>CoE</w:t>
      </w:r>
      <w:proofErr w:type="spellEnd"/>
      <w:r w:rsidR="004C5FBE" w:rsidRPr="00FD621D">
        <w:rPr>
          <w:rFonts w:cs="Arial"/>
        </w:rPr>
        <w:t xml:space="preserve"> recommendation on countering </w:t>
      </w:r>
      <w:r w:rsidR="008A4A8B">
        <w:rPr>
          <w:rFonts w:cs="Arial"/>
          <w:color w:val="232120"/>
        </w:rPr>
        <w:t>strategic lawsuits against public participation</w:t>
      </w:r>
      <w:r w:rsidR="00C640E0" w:rsidRPr="00FD621D">
        <w:rPr>
          <w:rFonts w:cs="Arial"/>
        </w:rPr>
        <w:t xml:space="preserve"> </w:t>
      </w:r>
      <w:r>
        <w:rPr>
          <w:rFonts w:cs="Arial"/>
        </w:rPr>
        <w:t xml:space="preserve">currently </w:t>
      </w:r>
      <w:r w:rsidR="00C640E0" w:rsidRPr="00FD621D">
        <w:rPr>
          <w:rFonts w:cs="Arial"/>
        </w:rPr>
        <w:t>states that</w:t>
      </w:r>
      <w:r w:rsidR="002748D6" w:rsidRPr="00FD621D">
        <w:rPr>
          <w:rFonts w:cs="Arial"/>
        </w:rPr>
        <w:t>:</w:t>
      </w:r>
    </w:p>
    <w:p w14:paraId="5E927696" w14:textId="77777777" w:rsidR="002748D6" w:rsidRPr="00FD621D" w:rsidRDefault="002748D6" w:rsidP="002748D6">
      <w:pPr>
        <w:pStyle w:val="ListParagraph"/>
        <w:rPr>
          <w:rFonts w:cs="Arial"/>
        </w:rPr>
      </w:pPr>
    </w:p>
    <w:p w14:paraId="46A16855" w14:textId="3881EB75" w:rsidR="001D3304" w:rsidRPr="00FD621D" w:rsidRDefault="008A4A8B" w:rsidP="008A4A8B">
      <w:pPr>
        <w:pStyle w:val="Quote"/>
      </w:pPr>
      <w:r>
        <w:t>a</w:t>
      </w:r>
      <w:r w:rsidR="002748D6" w:rsidRPr="00FD621D">
        <w:t xml:space="preserve">symmetries in political, </w:t>
      </w:r>
      <w:proofErr w:type="gramStart"/>
      <w:r w:rsidR="002748D6" w:rsidRPr="00FD621D">
        <w:t>financial</w:t>
      </w:r>
      <w:proofErr w:type="gramEnd"/>
      <w:r w:rsidR="002748D6" w:rsidRPr="00FD621D">
        <w:t xml:space="preserve"> and other forms of power in society can give rise to inequalities in public debate and that the misuse and abuse of power and privilege by threatening or taking legal action to harass, intimidate, or silence minority or critical voices creates a chilling effect on public participation</w:t>
      </w:r>
      <w:r w:rsidR="00F80380" w:rsidRPr="00FD621D">
        <w:t>.</w:t>
      </w:r>
      <w:r w:rsidR="00F80380" w:rsidRPr="00FD621D">
        <w:rPr>
          <w:rStyle w:val="FootnoteReference"/>
        </w:rPr>
        <w:footnoteReference w:id="42"/>
      </w:r>
    </w:p>
    <w:p w14:paraId="7A71D5E8" w14:textId="77777777" w:rsidR="00FC2D27" w:rsidRPr="00FD621D" w:rsidRDefault="00FC2D27" w:rsidP="00C22F52">
      <w:pPr>
        <w:pStyle w:val="ListParagraph"/>
        <w:spacing w:line="360" w:lineRule="auto"/>
        <w:rPr>
          <w:rFonts w:cs="Arial"/>
          <w:sz w:val="20"/>
          <w:szCs w:val="20"/>
        </w:rPr>
      </w:pPr>
    </w:p>
    <w:p w14:paraId="4784EFE8" w14:textId="6D1DDCAE" w:rsidR="00D537D4" w:rsidRPr="00FD621D" w:rsidRDefault="00623957" w:rsidP="00337B19">
      <w:pPr>
        <w:pStyle w:val="ListParagraph"/>
        <w:numPr>
          <w:ilvl w:val="1"/>
          <w:numId w:val="19"/>
        </w:numPr>
        <w:suppressAutoHyphens/>
        <w:spacing w:line="360" w:lineRule="auto"/>
        <w:ind w:left="709" w:hanging="709"/>
        <w:rPr>
          <w:rFonts w:cs="Arial"/>
          <w:sz w:val="20"/>
          <w:szCs w:val="20"/>
        </w:rPr>
      </w:pPr>
      <w:r>
        <w:rPr>
          <w:rFonts w:cs="Arial"/>
        </w:rPr>
        <w:t>It also</w:t>
      </w:r>
      <w:r w:rsidR="001D5EB5" w:rsidRPr="00FD621D">
        <w:rPr>
          <w:rFonts w:cs="Arial"/>
        </w:rPr>
        <w:t xml:space="preserve"> </w:t>
      </w:r>
      <w:r w:rsidR="002F22FC" w:rsidRPr="00FD621D">
        <w:rPr>
          <w:rFonts w:cs="Arial"/>
        </w:rPr>
        <w:t xml:space="preserve">proposes that, for the purposes of the </w:t>
      </w:r>
      <w:r>
        <w:rPr>
          <w:rFonts w:cs="Arial"/>
        </w:rPr>
        <w:t xml:space="preserve">draft </w:t>
      </w:r>
      <w:r w:rsidR="002F22FC" w:rsidRPr="00FD621D">
        <w:rPr>
          <w:rFonts w:cs="Arial"/>
        </w:rPr>
        <w:t xml:space="preserve">recommendation, </w:t>
      </w:r>
      <w:r>
        <w:rPr>
          <w:rFonts w:cs="Arial"/>
          <w:color w:val="232120"/>
        </w:rPr>
        <w:t>strategic lawsuits against public participation</w:t>
      </w:r>
      <w:r w:rsidR="002F22FC" w:rsidRPr="00FD621D">
        <w:rPr>
          <w:rFonts w:cs="Arial"/>
        </w:rPr>
        <w:t xml:space="preserve"> are understood as</w:t>
      </w:r>
      <w:r w:rsidR="00D537D4" w:rsidRPr="00FD621D">
        <w:rPr>
          <w:rFonts w:cs="Arial"/>
        </w:rPr>
        <w:t>:</w:t>
      </w:r>
    </w:p>
    <w:p w14:paraId="2B900DD2" w14:textId="77777777" w:rsidR="00D537D4" w:rsidRPr="00FD621D" w:rsidRDefault="00D537D4" w:rsidP="00D537D4">
      <w:pPr>
        <w:pStyle w:val="ListParagraph"/>
        <w:suppressAutoHyphens/>
        <w:spacing w:line="360" w:lineRule="auto"/>
        <w:ind w:left="709"/>
        <w:rPr>
          <w:rFonts w:cs="Arial"/>
        </w:rPr>
      </w:pPr>
    </w:p>
    <w:p w14:paraId="319B7F4E" w14:textId="4EA28B54" w:rsidR="001D5EB5" w:rsidRPr="00FD621D" w:rsidRDefault="008A4A8B" w:rsidP="008A4A8B">
      <w:pPr>
        <w:pStyle w:val="Quote"/>
        <w:rPr>
          <w:rFonts w:cs="Arial"/>
          <w:sz w:val="20"/>
          <w:szCs w:val="20"/>
        </w:rPr>
      </w:pPr>
      <w:r>
        <w:t>l</w:t>
      </w:r>
      <w:r w:rsidR="00D537D4" w:rsidRPr="00FD621D">
        <w:t xml:space="preserve">egal actions that are initiated or pursued as a means of harassing or intimidating their target, with the strategic aim of preventing or hindering public participation. More specifically, </w:t>
      </w:r>
      <w:r w:rsidR="00623957">
        <w:rPr>
          <w:rFonts w:cs="Arial"/>
          <w:color w:val="232120"/>
        </w:rPr>
        <w:t>strategic lawsuits against public participation</w:t>
      </w:r>
      <w:r w:rsidR="00D537D4" w:rsidRPr="00FD621D">
        <w:t xml:space="preserve"> are legal claims, proceedings and other actions brought in relation to public participation and expression on matters of public interest that have as their main purpose to prevent, </w:t>
      </w:r>
      <w:proofErr w:type="gramStart"/>
      <w:r w:rsidR="00D537D4" w:rsidRPr="00FD621D">
        <w:t>restrict</w:t>
      </w:r>
      <w:proofErr w:type="gramEnd"/>
      <w:r w:rsidR="00D537D4" w:rsidRPr="00FD621D">
        <w:t xml:space="preserve"> or penali</w:t>
      </w:r>
      <w:r w:rsidR="00623957">
        <w:t>s</w:t>
      </w:r>
      <w:r w:rsidR="00D537D4" w:rsidRPr="00FD621D">
        <w:t>e the exercise of rights associated with public participation.</w:t>
      </w:r>
      <w:r w:rsidR="00D537D4" w:rsidRPr="00FD621D">
        <w:rPr>
          <w:rStyle w:val="FootnoteReference"/>
        </w:rPr>
        <w:footnoteReference w:id="43"/>
      </w:r>
    </w:p>
    <w:p w14:paraId="32EA3946" w14:textId="77777777" w:rsidR="00D537D4" w:rsidRPr="00FD621D" w:rsidRDefault="00D537D4" w:rsidP="00D537D4">
      <w:pPr>
        <w:pStyle w:val="ListParagraph"/>
        <w:suppressAutoHyphens/>
        <w:spacing w:line="360" w:lineRule="auto"/>
        <w:ind w:left="709"/>
        <w:rPr>
          <w:rFonts w:cs="Arial"/>
          <w:sz w:val="20"/>
          <w:szCs w:val="20"/>
        </w:rPr>
      </w:pPr>
    </w:p>
    <w:p w14:paraId="10FCB6D9" w14:textId="2018D7A5" w:rsidR="000E1AD3" w:rsidRPr="00637253" w:rsidRDefault="00FC2D27" w:rsidP="00337B19">
      <w:pPr>
        <w:pStyle w:val="ListParagraph"/>
        <w:numPr>
          <w:ilvl w:val="1"/>
          <w:numId w:val="19"/>
        </w:numPr>
        <w:suppressAutoHyphens/>
        <w:spacing w:line="360" w:lineRule="auto"/>
        <w:ind w:left="709" w:hanging="709"/>
        <w:rPr>
          <w:rFonts w:cs="Arial"/>
          <w:sz w:val="20"/>
          <w:szCs w:val="20"/>
        </w:rPr>
      </w:pPr>
      <w:r w:rsidRPr="00FD621D">
        <w:rPr>
          <w:rFonts w:cs="Arial"/>
        </w:rPr>
        <w:t xml:space="preserve">In November 2023, the European Commission welcomed political agreement between the EU Parliament and the Council on a new EU Directive to protect </w:t>
      </w:r>
      <w:r w:rsidR="00EC1318" w:rsidRPr="00FD621D">
        <w:rPr>
          <w:rFonts w:cs="Arial"/>
        </w:rPr>
        <w:t xml:space="preserve">individuals and organisations targeted by </w:t>
      </w:r>
      <w:r w:rsidR="003019CC">
        <w:rPr>
          <w:rFonts w:cs="Arial"/>
          <w:color w:val="232120"/>
        </w:rPr>
        <w:t>strategic lawsuits against public participation</w:t>
      </w:r>
      <w:r w:rsidR="00EC1318" w:rsidRPr="00FD621D">
        <w:rPr>
          <w:rFonts w:cs="Arial"/>
        </w:rPr>
        <w:t>.</w:t>
      </w:r>
      <w:r w:rsidR="00EC1318" w:rsidRPr="00FD621D">
        <w:rPr>
          <w:rStyle w:val="FootnoteReference"/>
          <w:rFonts w:cs="Arial"/>
        </w:rPr>
        <w:footnoteReference w:id="44"/>
      </w:r>
      <w:r w:rsidR="00EC1318" w:rsidRPr="00FD621D">
        <w:rPr>
          <w:rFonts w:cs="Arial"/>
        </w:rPr>
        <w:t xml:space="preserve"> The proposed </w:t>
      </w:r>
      <w:r w:rsidR="003019CC">
        <w:rPr>
          <w:rFonts w:cs="Arial"/>
        </w:rPr>
        <w:t xml:space="preserve">EU </w:t>
      </w:r>
      <w:r w:rsidR="00EC1318" w:rsidRPr="00FD621D">
        <w:rPr>
          <w:rFonts w:cs="Arial"/>
        </w:rPr>
        <w:t>Directive aims to strengthen media pluralism in the EU and protect human rights defenders.</w:t>
      </w:r>
      <w:r w:rsidR="00EC1318" w:rsidRPr="00FD621D">
        <w:rPr>
          <w:rStyle w:val="FootnoteReference"/>
          <w:rFonts w:cs="Arial"/>
        </w:rPr>
        <w:footnoteReference w:id="45"/>
      </w:r>
      <w:r w:rsidR="00EC1318" w:rsidRPr="00FD621D">
        <w:rPr>
          <w:rFonts w:cs="Arial"/>
        </w:rPr>
        <w:t xml:space="preserve"> It is important to note that since the UK has exited the EU</w:t>
      </w:r>
      <w:r w:rsidR="00542B8F" w:rsidRPr="00FD621D">
        <w:rPr>
          <w:rFonts w:cs="Arial"/>
        </w:rPr>
        <w:t>,</w:t>
      </w:r>
      <w:r w:rsidR="00EC1318" w:rsidRPr="00FD621D">
        <w:rPr>
          <w:rFonts w:cs="Arial"/>
        </w:rPr>
        <w:t xml:space="preserve"> </w:t>
      </w:r>
      <w:r w:rsidR="005B184D" w:rsidRPr="00FD621D">
        <w:rPr>
          <w:rFonts w:cs="Arial"/>
        </w:rPr>
        <w:t>the proposed EU Directive’s</w:t>
      </w:r>
      <w:r w:rsidR="00EC1318" w:rsidRPr="00FD621D">
        <w:rPr>
          <w:rFonts w:cs="Arial"/>
        </w:rPr>
        <w:t xml:space="preserve"> protections will not extend to NI.</w:t>
      </w:r>
      <w:r w:rsidR="00A47D97" w:rsidRPr="00FD621D">
        <w:rPr>
          <w:rFonts w:cs="Arial"/>
        </w:rPr>
        <w:t xml:space="preserve"> Under Article 2 of the Windsor Framework</w:t>
      </w:r>
      <w:r w:rsidR="007123CC" w:rsidRPr="00FD621D">
        <w:rPr>
          <w:rFonts w:cs="Arial"/>
        </w:rPr>
        <w:t xml:space="preserve">, the UK Government has committed to ensure there is no diminution of rights, </w:t>
      </w:r>
      <w:proofErr w:type="gramStart"/>
      <w:r w:rsidR="007123CC" w:rsidRPr="00FD621D">
        <w:rPr>
          <w:rFonts w:cs="Arial"/>
        </w:rPr>
        <w:t>safeguards</w:t>
      </w:r>
      <w:proofErr w:type="gramEnd"/>
      <w:r w:rsidR="007123CC" w:rsidRPr="00FD621D">
        <w:rPr>
          <w:rFonts w:cs="Arial"/>
        </w:rPr>
        <w:t xml:space="preserve"> and equality of </w:t>
      </w:r>
      <w:r w:rsidR="00B673C4" w:rsidRPr="00FD621D">
        <w:rPr>
          <w:rFonts w:cs="Arial"/>
        </w:rPr>
        <w:t>opportunity, as set out in the Belfast (Good Friday) Agreement 1998, as a result of the UK’s withdrawal from the EU</w:t>
      </w:r>
      <w:r w:rsidR="009E59D6">
        <w:rPr>
          <w:rFonts w:cs="Arial"/>
        </w:rPr>
        <w:t>.</w:t>
      </w:r>
      <w:r w:rsidR="009E59D6" w:rsidRPr="009E59D6">
        <w:t xml:space="preserve"> </w:t>
      </w:r>
      <w:r w:rsidR="009E59D6" w:rsidRPr="009E59D6">
        <w:rPr>
          <w:rFonts w:cs="Arial"/>
        </w:rPr>
        <w:t xml:space="preserve">In addition, in accordance with Article 13(3) of the Windsor Framework, NI law must keep pace with any changes </w:t>
      </w:r>
      <w:r w:rsidR="001D4BD8">
        <w:rPr>
          <w:rFonts w:cs="Arial"/>
        </w:rPr>
        <w:t xml:space="preserve">by the EU </w:t>
      </w:r>
      <w:r w:rsidR="009E59D6" w:rsidRPr="009E59D6">
        <w:rPr>
          <w:rFonts w:cs="Arial"/>
        </w:rPr>
        <w:t xml:space="preserve">to the </w:t>
      </w:r>
      <w:r w:rsidR="00486CDA" w:rsidRPr="00FD621D">
        <w:rPr>
          <w:rFonts w:cs="Arial"/>
        </w:rPr>
        <w:t>six EU Equality Directives in Annex 1 of the Framework.</w:t>
      </w:r>
      <w:r w:rsidR="00542B8F" w:rsidRPr="00FD621D">
        <w:rPr>
          <w:rFonts w:cs="Arial"/>
        </w:rPr>
        <w:t xml:space="preserve"> </w:t>
      </w:r>
    </w:p>
    <w:p w14:paraId="58D20ED6" w14:textId="77777777" w:rsidR="005D0CEF" w:rsidRPr="000E1AD3" w:rsidRDefault="005D0CEF" w:rsidP="00637253">
      <w:pPr>
        <w:pStyle w:val="ListParagraph"/>
        <w:suppressAutoHyphens/>
        <w:spacing w:line="360" w:lineRule="auto"/>
        <w:ind w:left="709"/>
        <w:rPr>
          <w:rFonts w:cs="Arial"/>
          <w:sz w:val="20"/>
          <w:szCs w:val="20"/>
        </w:rPr>
      </w:pPr>
    </w:p>
    <w:p w14:paraId="514FB8D0" w14:textId="6D45D906" w:rsidR="00FC2D27" w:rsidRPr="00FD621D" w:rsidRDefault="00EC1318" w:rsidP="00337B19">
      <w:pPr>
        <w:pStyle w:val="ListParagraph"/>
        <w:numPr>
          <w:ilvl w:val="1"/>
          <w:numId w:val="19"/>
        </w:numPr>
        <w:suppressAutoHyphens/>
        <w:spacing w:line="360" w:lineRule="auto"/>
        <w:ind w:left="709" w:hanging="709"/>
        <w:rPr>
          <w:rFonts w:cs="Arial"/>
          <w:sz w:val="20"/>
          <w:szCs w:val="20"/>
        </w:rPr>
      </w:pPr>
      <w:r w:rsidRPr="00FD621D">
        <w:rPr>
          <w:rFonts w:cs="Arial"/>
        </w:rPr>
        <w:t xml:space="preserve">NI is in the unique position </w:t>
      </w:r>
      <w:r w:rsidR="008B40F1">
        <w:rPr>
          <w:rFonts w:cs="Arial"/>
        </w:rPr>
        <w:t xml:space="preserve">in the UK </w:t>
      </w:r>
      <w:r w:rsidRPr="00FD621D">
        <w:rPr>
          <w:rFonts w:cs="Arial"/>
        </w:rPr>
        <w:t xml:space="preserve">of sharing a land border with Ireland, an EU member state. </w:t>
      </w:r>
      <w:proofErr w:type="gramStart"/>
      <w:r w:rsidR="000E1AD3">
        <w:rPr>
          <w:rFonts w:cs="Arial"/>
        </w:rPr>
        <w:t xml:space="preserve">In </w:t>
      </w:r>
      <w:r w:rsidR="007D6A92">
        <w:rPr>
          <w:rFonts w:cs="Arial"/>
        </w:rPr>
        <w:t>light of</w:t>
      </w:r>
      <w:proofErr w:type="gramEnd"/>
      <w:r w:rsidR="007D6A92">
        <w:rPr>
          <w:rFonts w:cs="Arial"/>
        </w:rPr>
        <w:t xml:space="preserve"> the potential for divergence</w:t>
      </w:r>
      <w:r w:rsidR="002C5FC1">
        <w:rPr>
          <w:rFonts w:cs="Arial"/>
        </w:rPr>
        <w:t xml:space="preserve"> of rights on the island of Ireland</w:t>
      </w:r>
      <w:r w:rsidR="007D6A92">
        <w:rPr>
          <w:rFonts w:cs="Arial"/>
        </w:rPr>
        <w:t xml:space="preserve">, </w:t>
      </w:r>
      <w:r w:rsidR="000E1AD3">
        <w:rPr>
          <w:rFonts w:cs="Arial"/>
        </w:rPr>
        <w:t xml:space="preserve">the NIHRC takes the view that </w:t>
      </w:r>
      <w:r w:rsidR="008F3DAB">
        <w:rPr>
          <w:rFonts w:cs="Arial"/>
        </w:rPr>
        <w:t xml:space="preserve">the </w:t>
      </w:r>
      <w:r w:rsidR="008F3DAB" w:rsidRPr="00A82978">
        <w:rPr>
          <w:lang w:val="en-US"/>
        </w:rPr>
        <w:t>NI Assembly</w:t>
      </w:r>
      <w:r w:rsidR="008F3DAB">
        <w:rPr>
          <w:lang w:val="en-US"/>
        </w:rPr>
        <w:t>,</w:t>
      </w:r>
      <w:r w:rsidR="008F3DAB" w:rsidRPr="00A82978">
        <w:rPr>
          <w:lang w:val="en-US"/>
        </w:rPr>
        <w:t xml:space="preserve"> </w:t>
      </w:r>
      <w:r w:rsidR="008F3DAB" w:rsidRPr="00B21E6D">
        <w:rPr>
          <w:lang w:val="en-US"/>
        </w:rPr>
        <w:t>as a matter of best practice</w:t>
      </w:r>
      <w:r w:rsidR="008F3DAB">
        <w:rPr>
          <w:lang w:val="en-US"/>
        </w:rPr>
        <w:t>,</w:t>
      </w:r>
      <w:r w:rsidR="008F3DAB" w:rsidRPr="00FB71FE">
        <w:rPr>
          <w:lang w:val="en-US"/>
        </w:rPr>
        <w:t xml:space="preserve"> can choose to voluntarily align with EU</w:t>
      </w:r>
      <w:r w:rsidR="008F3DAB" w:rsidRPr="00A82978">
        <w:rPr>
          <w:lang w:val="en-US"/>
        </w:rPr>
        <w:t xml:space="preserve"> developments, even where it is not required to do so under the </w:t>
      </w:r>
      <w:r w:rsidR="008F3DAB">
        <w:rPr>
          <w:lang w:val="en-US"/>
        </w:rPr>
        <w:t xml:space="preserve">Windsor Framework, </w:t>
      </w:r>
      <w:r w:rsidR="008F3DAB" w:rsidRPr="00A82978">
        <w:t xml:space="preserve">to strengthen protections </w:t>
      </w:r>
      <w:r w:rsidR="008F3DAB">
        <w:t xml:space="preserve">and to </w:t>
      </w:r>
      <w:r w:rsidR="008F3DAB" w:rsidRPr="00A82978">
        <w:t>ensure equivalence of rights on the island</w:t>
      </w:r>
      <w:r w:rsidR="008F3DAB" w:rsidRPr="000E1AD3">
        <w:rPr>
          <w:lang w:val="en-US"/>
        </w:rPr>
        <w:t>.</w:t>
      </w:r>
      <w:r w:rsidR="008F3DAB" w:rsidRPr="000E1AD3">
        <w:rPr>
          <w:rStyle w:val="FootnoteReference"/>
          <w:lang w:val="en-US"/>
        </w:rPr>
        <w:footnoteReference w:id="46"/>
      </w:r>
      <w:r w:rsidR="009E59D6" w:rsidRPr="000E1AD3" w:rsidDel="009E59D6">
        <w:rPr>
          <w:rFonts w:cs="Arial"/>
        </w:rPr>
        <w:t xml:space="preserve"> </w:t>
      </w:r>
    </w:p>
    <w:p w14:paraId="44AB820C" w14:textId="77777777" w:rsidR="00AD751F" w:rsidRPr="00FD621D" w:rsidRDefault="00AD751F" w:rsidP="00C22F52">
      <w:pPr>
        <w:pStyle w:val="ListParagraph"/>
        <w:spacing w:line="360" w:lineRule="auto"/>
        <w:rPr>
          <w:rFonts w:cs="Arial"/>
          <w:sz w:val="20"/>
          <w:szCs w:val="20"/>
        </w:rPr>
      </w:pPr>
    </w:p>
    <w:p w14:paraId="0F302296" w14:textId="510EE0CF" w:rsidR="00AD751F" w:rsidRPr="00637253" w:rsidRDefault="00AD751F" w:rsidP="00337B19">
      <w:pPr>
        <w:pStyle w:val="ListParagraph"/>
        <w:numPr>
          <w:ilvl w:val="1"/>
          <w:numId w:val="19"/>
        </w:numPr>
        <w:suppressAutoHyphens/>
        <w:spacing w:line="360" w:lineRule="auto"/>
        <w:ind w:left="709" w:hanging="709"/>
        <w:rPr>
          <w:rFonts w:cs="Arial"/>
          <w:sz w:val="20"/>
          <w:szCs w:val="20"/>
        </w:rPr>
      </w:pPr>
      <w:r w:rsidRPr="00FD621D">
        <w:rPr>
          <w:rFonts w:cs="Arial"/>
        </w:rPr>
        <w:t xml:space="preserve">There </w:t>
      </w:r>
      <w:proofErr w:type="gramStart"/>
      <w:r w:rsidRPr="00FD621D">
        <w:rPr>
          <w:rFonts w:cs="Arial"/>
        </w:rPr>
        <w:t>is</w:t>
      </w:r>
      <w:proofErr w:type="gramEnd"/>
      <w:r w:rsidRPr="00FD621D">
        <w:rPr>
          <w:rFonts w:cs="Arial"/>
        </w:rPr>
        <w:t xml:space="preserve"> currently no anti-</w:t>
      </w:r>
      <w:r w:rsidR="00324B60">
        <w:rPr>
          <w:rFonts w:cs="Arial"/>
          <w:color w:val="232120"/>
        </w:rPr>
        <w:t>strategic lawsuits against public participation</w:t>
      </w:r>
      <w:r w:rsidRPr="00FD621D">
        <w:rPr>
          <w:rFonts w:cs="Arial"/>
        </w:rPr>
        <w:t xml:space="preserve"> legislation in place in any jurisdiction of the UK and there is no agree</w:t>
      </w:r>
      <w:r w:rsidR="0DD44C39" w:rsidRPr="00FD621D">
        <w:rPr>
          <w:rFonts w:cs="Arial"/>
        </w:rPr>
        <w:t>ment</w:t>
      </w:r>
      <w:r w:rsidRPr="00FD621D">
        <w:rPr>
          <w:rFonts w:cs="Arial"/>
        </w:rPr>
        <w:t xml:space="preserve"> upon </w:t>
      </w:r>
      <w:r w:rsidR="71704374" w:rsidRPr="00FD621D">
        <w:rPr>
          <w:rFonts w:cs="Arial"/>
        </w:rPr>
        <w:t xml:space="preserve">a </w:t>
      </w:r>
      <w:r w:rsidRPr="00FD621D">
        <w:rPr>
          <w:rFonts w:cs="Arial"/>
        </w:rPr>
        <w:t xml:space="preserve">statutory definition of </w:t>
      </w:r>
      <w:r w:rsidR="00324B60">
        <w:rPr>
          <w:rFonts w:cs="Arial"/>
          <w:color w:val="232120"/>
        </w:rPr>
        <w:t>strategic lawsuits against public participation</w:t>
      </w:r>
      <w:r w:rsidRPr="00FD621D">
        <w:rPr>
          <w:rFonts w:cs="Arial"/>
        </w:rPr>
        <w:t>.</w:t>
      </w:r>
      <w:r w:rsidRPr="00FD621D">
        <w:rPr>
          <w:rStyle w:val="FootnoteReference"/>
          <w:rFonts w:cs="Arial"/>
        </w:rPr>
        <w:footnoteReference w:id="47"/>
      </w:r>
    </w:p>
    <w:p w14:paraId="2DF83583" w14:textId="77777777" w:rsidR="002D0242" w:rsidRPr="00637253" w:rsidRDefault="002D0242" w:rsidP="00637253">
      <w:pPr>
        <w:pStyle w:val="ListParagraph"/>
        <w:rPr>
          <w:rFonts w:cs="Arial"/>
          <w:sz w:val="20"/>
          <w:szCs w:val="20"/>
        </w:rPr>
      </w:pPr>
    </w:p>
    <w:p w14:paraId="0E7537A1" w14:textId="2F0F1AD8" w:rsidR="002D0242" w:rsidRPr="00637253" w:rsidRDefault="002D0242" w:rsidP="00337B19">
      <w:pPr>
        <w:pStyle w:val="ListParagraph"/>
        <w:numPr>
          <w:ilvl w:val="1"/>
          <w:numId w:val="19"/>
        </w:numPr>
        <w:suppressAutoHyphens/>
        <w:spacing w:line="360" w:lineRule="auto"/>
        <w:ind w:left="709" w:hanging="709"/>
        <w:rPr>
          <w:rFonts w:cs="Arial"/>
          <w:sz w:val="20"/>
          <w:szCs w:val="20"/>
        </w:rPr>
      </w:pPr>
      <w:r w:rsidRPr="008D04BA">
        <w:rPr>
          <w:rFonts w:cs="Arial"/>
          <w:b/>
          <w:bCs/>
        </w:rPr>
        <w:t>The NIHRC recommends that the Department of Finance works with the NI Executive and NI Assembly to introduce legislation to tackle strategic lawsuits against public participation in line with its obligations under international human rights law.</w:t>
      </w:r>
    </w:p>
    <w:p w14:paraId="2217BA1E" w14:textId="77777777" w:rsidR="002D0242" w:rsidRPr="00637253" w:rsidRDefault="002D0242" w:rsidP="00637253">
      <w:pPr>
        <w:pStyle w:val="ListParagraph"/>
        <w:rPr>
          <w:rFonts w:cs="Arial"/>
          <w:sz w:val="20"/>
          <w:szCs w:val="20"/>
        </w:rPr>
      </w:pPr>
    </w:p>
    <w:p w14:paraId="58A56A7A" w14:textId="72C74621" w:rsidR="002D0242" w:rsidRPr="00637253" w:rsidRDefault="002D0242" w:rsidP="00337B19">
      <w:pPr>
        <w:pStyle w:val="ListParagraph"/>
        <w:numPr>
          <w:ilvl w:val="1"/>
          <w:numId w:val="19"/>
        </w:numPr>
        <w:suppressAutoHyphens/>
        <w:spacing w:line="360" w:lineRule="auto"/>
        <w:ind w:left="709" w:hanging="709"/>
        <w:rPr>
          <w:rFonts w:cs="Arial"/>
          <w:b/>
          <w:bCs/>
        </w:rPr>
      </w:pPr>
      <w:r w:rsidRPr="00637253">
        <w:rPr>
          <w:rStyle w:val="cf01"/>
          <w:rFonts w:ascii="Verdana" w:hAnsi="Verdana"/>
          <w:b/>
          <w:bCs/>
          <w:sz w:val="24"/>
          <w:szCs w:val="24"/>
        </w:rPr>
        <w:t>The NIHRC further recommends that the Department of Finance, as a matter of good practice, monitor any enhancement to human rights pursuant to the proposed EU directive on strategic lawsuits against public participation and, if adopted, ensure NI law aligns on a voluntary basis with such changes.</w:t>
      </w:r>
    </w:p>
    <w:p w14:paraId="1622B1EF" w14:textId="77777777" w:rsidR="00AD751F" w:rsidRDefault="00AD751F" w:rsidP="00C22F52">
      <w:pPr>
        <w:pStyle w:val="ListParagraph"/>
        <w:spacing w:line="360" w:lineRule="auto"/>
        <w:rPr>
          <w:rFonts w:cs="Arial"/>
          <w:sz w:val="20"/>
          <w:szCs w:val="20"/>
        </w:rPr>
      </w:pPr>
    </w:p>
    <w:p w14:paraId="792C4B93" w14:textId="0499A061" w:rsidR="00E03B4D" w:rsidRPr="00C22F52" w:rsidRDefault="00A817CF" w:rsidP="00A817CF">
      <w:pPr>
        <w:pStyle w:val="Heading2"/>
      </w:pPr>
      <w:bookmarkStart w:id="6" w:name="_Toc157592701"/>
      <w:r>
        <w:t>6.0</w:t>
      </w:r>
      <w:r>
        <w:tab/>
      </w:r>
      <w:r w:rsidR="00E03B4D" w:rsidRPr="00C22F52">
        <w:t>Access to Justice</w:t>
      </w:r>
      <w:bookmarkEnd w:id="6"/>
    </w:p>
    <w:p w14:paraId="71E9DCC7" w14:textId="77777777" w:rsidR="00C773D1" w:rsidRPr="00C22F52" w:rsidRDefault="00C773D1" w:rsidP="00337B19">
      <w:pPr>
        <w:pStyle w:val="ListParagraph"/>
        <w:numPr>
          <w:ilvl w:val="0"/>
          <w:numId w:val="19"/>
        </w:numPr>
        <w:suppressAutoHyphens/>
        <w:spacing w:line="360" w:lineRule="auto"/>
        <w:rPr>
          <w:vanish/>
        </w:rPr>
      </w:pPr>
    </w:p>
    <w:p w14:paraId="02835F96" w14:textId="5446972E" w:rsidR="0004083F" w:rsidRPr="00C80770" w:rsidRDefault="009C50E9" w:rsidP="00337B19">
      <w:pPr>
        <w:pStyle w:val="ListParagraph"/>
        <w:numPr>
          <w:ilvl w:val="1"/>
          <w:numId w:val="19"/>
        </w:numPr>
        <w:suppressAutoHyphens/>
        <w:spacing w:line="360" w:lineRule="auto"/>
        <w:ind w:left="709" w:hanging="709"/>
        <w:rPr>
          <w:rFonts w:cs="Arial"/>
          <w:sz w:val="20"/>
          <w:szCs w:val="20"/>
        </w:rPr>
      </w:pPr>
      <w:r>
        <w:rPr>
          <w:rFonts w:cs="Arial"/>
        </w:rPr>
        <w:t>C</w:t>
      </w:r>
      <w:r w:rsidR="004271FB" w:rsidRPr="00C80770">
        <w:rPr>
          <w:rFonts w:cs="Arial"/>
        </w:rPr>
        <w:t xml:space="preserve">osts associated with taking legal cases </w:t>
      </w:r>
      <w:r w:rsidR="009800DA" w:rsidRPr="00C80770">
        <w:rPr>
          <w:rFonts w:cs="Arial"/>
        </w:rPr>
        <w:t xml:space="preserve">regarding defamation claims to court can act as a barrier to accessing justice for individuals and organisations without the fiscal means to </w:t>
      </w:r>
      <w:r w:rsidR="00394F13" w:rsidRPr="00C80770">
        <w:rPr>
          <w:rFonts w:cs="Arial"/>
        </w:rPr>
        <w:t>go to court</w:t>
      </w:r>
      <w:r w:rsidR="006C2F3A" w:rsidRPr="00C80770">
        <w:rPr>
          <w:rFonts w:cs="Arial"/>
        </w:rPr>
        <w:t xml:space="preserve">, as </w:t>
      </w:r>
      <w:r w:rsidR="00026DF0">
        <w:rPr>
          <w:rFonts w:cs="Arial"/>
        </w:rPr>
        <w:t>they do</w:t>
      </w:r>
      <w:r w:rsidR="00026DF0" w:rsidRPr="00C80770">
        <w:rPr>
          <w:rFonts w:cs="Arial"/>
        </w:rPr>
        <w:t xml:space="preserve"> </w:t>
      </w:r>
      <w:r w:rsidR="006C2F3A" w:rsidRPr="00C80770">
        <w:rPr>
          <w:rFonts w:cs="Arial"/>
        </w:rPr>
        <w:t>for other legal actions</w:t>
      </w:r>
      <w:r w:rsidR="002F5643" w:rsidRPr="00C80770">
        <w:rPr>
          <w:rFonts w:cs="Arial"/>
        </w:rPr>
        <w:t>.</w:t>
      </w:r>
      <w:r w:rsidRPr="00C80770">
        <w:rPr>
          <w:rStyle w:val="FootnoteReference"/>
          <w:rFonts w:cs="Arial"/>
        </w:rPr>
        <w:footnoteReference w:id="48"/>
      </w:r>
      <w:r w:rsidR="002F5643" w:rsidRPr="00C80770">
        <w:rPr>
          <w:rFonts w:cs="Arial"/>
        </w:rPr>
        <w:t xml:space="preserve"> This is particularly concerning given the current and ongoing cost of living crisis.</w:t>
      </w:r>
      <w:r w:rsidR="002F5643" w:rsidRPr="00C80770">
        <w:rPr>
          <w:rStyle w:val="FootnoteReference"/>
          <w:rFonts w:cs="Arial"/>
        </w:rPr>
        <w:footnoteReference w:id="49"/>
      </w:r>
      <w:r w:rsidR="00860659">
        <w:rPr>
          <w:rFonts w:cs="Arial"/>
        </w:rPr>
        <w:t xml:space="preserve"> T</w:t>
      </w:r>
      <w:r w:rsidR="00860659" w:rsidRPr="00C80770">
        <w:rPr>
          <w:rFonts w:cs="Arial"/>
        </w:rPr>
        <w:t>here are options to address issues with access to justice arising from costs associated with defamation claims, including making these actions eligible for legal aid and incentivising parties to engage in options costing less than a full legal process.</w:t>
      </w:r>
      <w:r w:rsidR="00014F90">
        <w:rPr>
          <w:rStyle w:val="FootnoteReference"/>
          <w:rFonts w:cs="Arial"/>
        </w:rPr>
        <w:footnoteReference w:id="50"/>
      </w:r>
    </w:p>
    <w:p w14:paraId="0C323399" w14:textId="77777777" w:rsidR="0050045E" w:rsidRPr="00C80770" w:rsidRDefault="0050045E" w:rsidP="0050045E">
      <w:pPr>
        <w:pStyle w:val="ListParagraph"/>
        <w:suppressAutoHyphens/>
        <w:spacing w:line="360" w:lineRule="auto"/>
        <w:ind w:left="709"/>
        <w:rPr>
          <w:rFonts w:cs="Arial"/>
          <w:sz w:val="20"/>
          <w:szCs w:val="20"/>
        </w:rPr>
      </w:pPr>
    </w:p>
    <w:p w14:paraId="66E4BCE7" w14:textId="7E1D037C" w:rsidR="00CF4D1E" w:rsidRPr="008E7A22" w:rsidRDefault="00860659" w:rsidP="00337B19">
      <w:pPr>
        <w:pStyle w:val="ListParagraph"/>
        <w:numPr>
          <w:ilvl w:val="1"/>
          <w:numId w:val="19"/>
        </w:numPr>
        <w:suppressAutoHyphens/>
        <w:spacing w:line="360" w:lineRule="auto"/>
        <w:ind w:left="709" w:hanging="709"/>
        <w:rPr>
          <w:rFonts w:cs="Arial"/>
          <w:sz w:val="20"/>
          <w:szCs w:val="20"/>
        </w:rPr>
      </w:pPr>
      <w:r>
        <w:t xml:space="preserve">Adopting </w:t>
      </w:r>
      <w:r w:rsidR="003312CB">
        <w:t xml:space="preserve">an approach that enables access to justice in defamation cases is required by international human rights law. For example, </w:t>
      </w:r>
      <w:r w:rsidR="00CF4D1E" w:rsidRPr="00C80770">
        <w:rPr>
          <w:rFonts w:cs="Arial"/>
        </w:rPr>
        <w:t xml:space="preserve">Article 6 </w:t>
      </w:r>
      <w:r w:rsidR="00CF4D1E">
        <w:rPr>
          <w:rFonts w:cs="Arial"/>
        </w:rPr>
        <w:t>of the ECHR provides for</w:t>
      </w:r>
      <w:r w:rsidR="00CF4D1E" w:rsidRPr="00C80770">
        <w:rPr>
          <w:rFonts w:cs="Arial"/>
        </w:rPr>
        <w:t xml:space="preserve"> the right to a fair </w:t>
      </w:r>
      <w:r w:rsidR="00CF4D1E">
        <w:rPr>
          <w:rFonts w:cs="Arial"/>
        </w:rPr>
        <w:t>trial</w:t>
      </w:r>
      <w:r w:rsidR="00CF4D1E" w:rsidRPr="00C80770">
        <w:rPr>
          <w:rFonts w:cs="Arial"/>
        </w:rPr>
        <w:t xml:space="preserve"> and access to justice. </w:t>
      </w:r>
      <w:r w:rsidR="00CF4D1E">
        <w:rPr>
          <w:rFonts w:cs="Arial"/>
        </w:rPr>
        <w:t>This provision</w:t>
      </w:r>
      <w:r w:rsidR="00CF4D1E" w:rsidRPr="00C80770">
        <w:rPr>
          <w:rFonts w:cs="Arial"/>
        </w:rPr>
        <w:t xml:space="preserve"> does not obligate States to provide free legal representation for every dispute.</w:t>
      </w:r>
      <w:r w:rsidR="00CF4D1E" w:rsidRPr="00C80770">
        <w:rPr>
          <w:rStyle w:val="FootnoteReference"/>
          <w:rFonts w:cs="Arial"/>
        </w:rPr>
        <w:footnoteReference w:id="51"/>
      </w:r>
      <w:r w:rsidR="00CF4D1E" w:rsidRPr="00C80770">
        <w:rPr>
          <w:rFonts w:cs="Arial"/>
        </w:rPr>
        <w:t xml:space="preserve"> However, </w:t>
      </w:r>
      <w:r w:rsidR="00CF4D1E">
        <w:rPr>
          <w:rFonts w:cs="Arial"/>
        </w:rPr>
        <w:t>it is</w:t>
      </w:r>
      <w:r w:rsidR="00CF4D1E" w:rsidRPr="00C80770">
        <w:rPr>
          <w:rFonts w:cs="Arial"/>
        </w:rPr>
        <w:t xml:space="preserve"> intended to safeguard rights so that their enjoyment is practical and effective, </w:t>
      </w:r>
      <w:proofErr w:type="gramStart"/>
      <w:r w:rsidR="00CF4D1E" w:rsidRPr="00C80770">
        <w:rPr>
          <w:rFonts w:cs="Arial"/>
        </w:rPr>
        <w:t>in particular</w:t>
      </w:r>
      <w:proofErr w:type="gramEnd"/>
      <w:r w:rsidR="00CF4D1E" w:rsidRPr="00C80770">
        <w:rPr>
          <w:rFonts w:cs="Arial"/>
        </w:rPr>
        <w:t xml:space="preserve"> the right of access to courts. </w:t>
      </w:r>
      <w:r w:rsidR="00CF4D1E">
        <w:rPr>
          <w:rFonts w:cs="Arial"/>
        </w:rPr>
        <w:t>For example, t</w:t>
      </w:r>
      <w:r w:rsidR="00CF4D1E" w:rsidRPr="00C80770">
        <w:rPr>
          <w:rFonts w:cs="Arial"/>
        </w:rPr>
        <w:t xml:space="preserve">he ECtHR has held that Article 6 </w:t>
      </w:r>
      <w:r w:rsidR="00CF4D1E">
        <w:rPr>
          <w:rFonts w:cs="Arial"/>
        </w:rPr>
        <w:t xml:space="preserve">of the ECHR </w:t>
      </w:r>
      <w:r w:rsidR="00CF4D1E" w:rsidRPr="00C80770">
        <w:rPr>
          <w:rFonts w:cs="Arial"/>
        </w:rPr>
        <w:t xml:space="preserve">may compel States to </w:t>
      </w:r>
      <w:r w:rsidR="00CF4D1E" w:rsidRPr="00C80770">
        <w:t>provide for the assistance of a lawyer in civil proceedings when such assistance proves indispensable for an effective access to court.</w:t>
      </w:r>
      <w:r w:rsidR="00CF4D1E" w:rsidRPr="00C80770">
        <w:rPr>
          <w:rStyle w:val="FootnoteReference"/>
        </w:rPr>
        <w:footnoteReference w:id="52"/>
      </w:r>
      <w:r w:rsidR="00CF4D1E" w:rsidRPr="00C80770">
        <w:t xml:space="preserve"> </w:t>
      </w:r>
    </w:p>
    <w:p w14:paraId="000341AB" w14:textId="77777777" w:rsidR="00C773D1" w:rsidRPr="00C80770" w:rsidRDefault="00C773D1" w:rsidP="00C22F52">
      <w:pPr>
        <w:suppressAutoHyphens/>
        <w:spacing w:line="360" w:lineRule="auto"/>
        <w:rPr>
          <w:rFonts w:cs="Arial"/>
          <w:sz w:val="20"/>
          <w:szCs w:val="20"/>
        </w:rPr>
      </w:pPr>
    </w:p>
    <w:p w14:paraId="4102FE6C" w14:textId="7A956958" w:rsidR="00C773D1" w:rsidRPr="00404026" w:rsidRDefault="00D96607" w:rsidP="00337B19">
      <w:pPr>
        <w:pStyle w:val="ListParagraph"/>
        <w:numPr>
          <w:ilvl w:val="1"/>
          <w:numId w:val="19"/>
        </w:numPr>
        <w:suppressAutoHyphens/>
        <w:spacing w:line="360" w:lineRule="auto"/>
        <w:ind w:left="709" w:hanging="709"/>
      </w:pPr>
      <w:r w:rsidRPr="00C80770">
        <w:t>Article 14(1) of the ICCPR</w:t>
      </w:r>
      <w:r>
        <w:t xml:space="preserve"> also provides for the right to equality before the law. </w:t>
      </w:r>
      <w:r w:rsidR="00BA7442">
        <w:t>T</w:t>
      </w:r>
      <w:r w:rsidR="00C773D1" w:rsidRPr="00C80770">
        <w:t xml:space="preserve">he UN Human Rights Committee, </w:t>
      </w:r>
      <w:r w:rsidR="00BA7442">
        <w:t>has elaborate</w:t>
      </w:r>
      <w:r w:rsidR="00404026">
        <w:t>d</w:t>
      </w:r>
      <w:r w:rsidR="00BA7442">
        <w:t xml:space="preserve"> that</w:t>
      </w:r>
      <w:r w:rsidR="00C773D1" w:rsidRPr="00C80770">
        <w:t xml:space="preserve"> “the right to equality before the courts and tribunals and to a fair trial is a key element of human rights protection and serves as a procedural means to safeguard the rule of law</w:t>
      </w:r>
      <w:r w:rsidR="00BA7442">
        <w:t>”</w:t>
      </w:r>
      <w:r w:rsidR="00C773D1" w:rsidRPr="00C80770">
        <w:t>.</w:t>
      </w:r>
      <w:r w:rsidR="00C773D1" w:rsidRPr="00C80770">
        <w:rPr>
          <w:rStyle w:val="FootnoteReference"/>
        </w:rPr>
        <w:footnoteReference w:id="53"/>
      </w:r>
      <w:r w:rsidR="00404026">
        <w:t xml:space="preserve"> Furthermore, </w:t>
      </w:r>
      <w:r w:rsidR="00C773D1" w:rsidRPr="00C80770">
        <w:t>that:</w:t>
      </w:r>
    </w:p>
    <w:p w14:paraId="441FE743" w14:textId="77777777" w:rsidR="00C773D1" w:rsidRPr="00C80770" w:rsidRDefault="00C773D1" w:rsidP="00C22F52">
      <w:pPr>
        <w:pStyle w:val="ListParagraph"/>
        <w:spacing w:line="360" w:lineRule="auto"/>
        <w:rPr>
          <w:rFonts w:cs="Arial"/>
          <w:sz w:val="20"/>
          <w:szCs w:val="20"/>
        </w:rPr>
      </w:pPr>
    </w:p>
    <w:p w14:paraId="7BB578A1" w14:textId="6EB52AA0" w:rsidR="00C773D1" w:rsidRPr="00C80770" w:rsidRDefault="00404026" w:rsidP="00C22F52">
      <w:pPr>
        <w:pStyle w:val="ListParagraph"/>
        <w:spacing w:line="360" w:lineRule="auto"/>
        <w:ind w:left="993"/>
      </w:pPr>
      <w:r>
        <w:t>t</w:t>
      </w:r>
      <w:r w:rsidR="00C773D1" w:rsidRPr="00C80770">
        <w:t xml:space="preserve">he availability or absence of legal assistance often determines </w:t>
      </w:r>
      <w:proofErr w:type="gramStart"/>
      <w:r w:rsidR="00C773D1" w:rsidRPr="00C80770">
        <w:t>whether or not</w:t>
      </w:r>
      <w:proofErr w:type="gramEnd"/>
      <w:r w:rsidR="00C773D1" w:rsidRPr="00C80770">
        <w:t xml:space="preserve"> a person can access the relevant proceedings or participate in them in a meaningful way. While </w:t>
      </w:r>
      <w:r>
        <w:t>A</w:t>
      </w:r>
      <w:r w:rsidR="00C773D1" w:rsidRPr="00C80770">
        <w:t>rticle 14</w:t>
      </w:r>
      <w:r>
        <w:t xml:space="preserve"> [of the UN ICCPR]</w:t>
      </w:r>
      <w:r w:rsidR="00C773D1" w:rsidRPr="00C80770">
        <w:t xml:space="preserve"> explicitly addresses the guarantee of legal assistance in criminal proceedings in</w:t>
      </w:r>
      <w:r>
        <w:t>… [Article 14(3)(d) of the UN ICCPR]</w:t>
      </w:r>
      <w:r w:rsidR="00C773D1" w:rsidRPr="00C80770">
        <w:t xml:space="preserve"> States are encouraged to provide free legal aid in other cases, for individuals who do not have sufficient means to pay for it.</w:t>
      </w:r>
      <w:r w:rsidR="00C773D1" w:rsidRPr="00C80770">
        <w:rPr>
          <w:rStyle w:val="FootnoteReference"/>
        </w:rPr>
        <w:footnoteReference w:id="54"/>
      </w:r>
    </w:p>
    <w:p w14:paraId="6CA2AB75" w14:textId="6B85E212" w:rsidR="008E7A22" w:rsidRPr="008E7A22" w:rsidRDefault="008E7A22" w:rsidP="008E7A22">
      <w:pPr>
        <w:pStyle w:val="ListParagraph"/>
        <w:suppressAutoHyphens/>
        <w:spacing w:line="360" w:lineRule="auto"/>
        <w:ind w:left="709"/>
        <w:rPr>
          <w:rFonts w:cs="Arial"/>
          <w:sz w:val="20"/>
          <w:szCs w:val="20"/>
        </w:rPr>
      </w:pPr>
    </w:p>
    <w:p w14:paraId="202E7A0B" w14:textId="77777777" w:rsidR="00763F47" w:rsidRPr="00763F47" w:rsidRDefault="00C22F52" w:rsidP="00337B19">
      <w:pPr>
        <w:pStyle w:val="ListParagraph"/>
        <w:numPr>
          <w:ilvl w:val="1"/>
          <w:numId w:val="19"/>
        </w:numPr>
        <w:suppressAutoHyphens/>
        <w:spacing w:line="360" w:lineRule="auto"/>
        <w:ind w:left="709" w:hanging="709"/>
        <w:rPr>
          <w:rStyle w:val="sbb9ee52a"/>
          <w:rFonts w:cs="Arial"/>
          <w:sz w:val="20"/>
          <w:szCs w:val="20"/>
        </w:rPr>
      </w:pPr>
      <w:r w:rsidRPr="00C80770">
        <w:t>How the balance is struck between access to justice, the financial cost involved and the effective operation of a legal system falls within the margin of appreciation that the ECHR allows States.</w:t>
      </w:r>
      <w:r w:rsidR="00AB09F9">
        <w:rPr>
          <w:rStyle w:val="FootnoteReference"/>
        </w:rPr>
        <w:footnoteReference w:id="55"/>
      </w:r>
      <w:r w:rsidR="007779B5">
        <w:t xml:space="preserve"> </w:t>
      </w:r>
      <w:r w:rsidR="007B03CA">
        <w:t>In this context</w:t>
      </w:r>
      <w:r w:rsidR="00A14902">
        <w:t xml:space="preserve">, the </w:t>
      </w:r>
      <w:r w:rsidR="007D4783">
        <w:t>ECtHR</w:t>
      </w:r>
      <w:r w:rsidR="00590F7D">
        <w:t xml:space="preserve"> must be satisfied that </w:t>
      </w:r>
      <w:r w:rsidR="007D4783">
        <w:t xml:space="preserve">the limitations applied </w:t>
      </w:r>
      <w:r w:rsidR="00B82997">
        <w:t xml:space="preserve">by a State exercising its margin of appreciation </w:t>
      </w:r>
      <w:r w:rsidR="007D4783">
        <w:t xml:space="preserve">do </w:t>
      </w:r>
      <w:r w:rsidR="007D4783" w:rsidRPr="00883A51">
        <w:t xml:space="preserve">not </w:t>
      </w:r>
      <w:r w:rsidR="00883A51" w:rsidRPr="00FE43AC">
        <w:rPr>
          <w:rFonts w:cs="Arial"/>
          <w:color w:val="000000"/>
          <w:shd w:val="clear" w:color="auto" w:fill="FFFFFF"/>
        </w:rPr>
        <w:t>restrict or reduce</w:t>
      </w:r>
      <w:r w:rsidR="002934E5">
        <w:rPr>
          <w:rFonts w:cs="Arial"/>
          <w:color w:val="000000"/>
          <w:shd w:val="clear" w:color="auto" w:fill="FFFFFF"/>
        </w:rPr>
        <w:t xml:space="preserve"> access to justice </w:t>
      </w:r>
      <w:r w:rsidR="00BF4A6E">
        <w:rPr>
          <w:rFonts w:cs="Arial"/>
          <w:color w:val="000000"/>
          <w:shd w:val="clear" w:color="auto" w:fill="FFFFFF"/>
        </w:rPr>
        <w:t>to such an extent that</w:t>
      </w:r>
      <w:r w:rsidR="00661312">
        <w:rPr>
          <w:rFonts w:cs="Arial"/>
          <w:color w:val="000000"/>
          <w:shd w:val="clear" w:color="auto" w:fill="FFFFFF"/>
        </w:rPr>
        <w:t xml:space="preserve"> the essence of</w:t>
      </w:r>
      <w:r w:rsidR="00BF4A6E">
        <w:rPr>
          <w:rFonts w:cs="Arial"/>
          <w:color w:val="000000"/>
          <w:shd w:val="clear" w:color="auto" w:fill="FFFFFF"/>
        </w:rPr>
        <w:t xml:space="preserve"> Article 6 of the ECHR is impaired</w:t>
      </w:r>
      <w:r w:rsidR="00883A51" w:rsidRPr="00FE43AC">
        <w:rPr>
          <w:rFonts w:cs="Arial"/>
          <w:color w:val="000000"/>
          <w:shd w:val="clear" w:color="auto" w:fill="FFFFFF"/>
        </w:rPr>
        <w:t>.</w:t>
      </w:r>
      <w:r w:rsidR="006A16E4">
        <w:rPr>
          <w:rStyle w:val="FootnoteReference"/>
          <w:rFonts w:cs="Arial"/>
          <w:color w:val="000000"/>
          <w:shd w:val="clear" w:color="auto" w:fill="FFFFFF"/>
        </w:rPr>
        <w:footnoteReference w:id="56"/>
      </w:r>
      <w:r w:rsidR="009A7188">
        <w:rPr>
          <w:rFonts w:cs="Arial"/>
          <w:color w:val="000000"/>
          <w:shd w:val="clear" w:color="auto" w:fill="FFFFFF"/>
        </w:rPr>
        <w:t xml:space="preserve"> The ECtHR has noted that </w:t>
      </w:r>
      <w:r w:rsidR="007B164D">
        <w:rPr>
          <w:rFonts w:cs="Arial"/>
          <w:color w:val="000000"/>
          <w:shd w:val="clear" w:color="auto" w:fill="FFFFFF"/>
        </w:rPr>
        <w:t>“</w:t>
      </w:r>
      <w:r w:rsidR="007B164D" w:rsidRPr="00C06602">
        <w:rPr>
          <w:rStyle w:val="sbb9ee52a"/>
          <w:rFonts w:cs="Arial"/>
          <w:color w:val="000000"/>
          <w:shd w:val="clear" w:color="auto" w:fill="FFFFFF"/>
        </w:rPr>
        <w:t xml:space="preserve">a limitation will not be compatible with Article 6 </w:t>
      </w:r>
      <w:r w:rsidR="004E7303">
        <w:rPr>
          <w:rStyle w:val="sbb9ee52a"/>
          <w:rFonts w:cs="Arial"/>
          <w:color w:val="000000"/>
          <w:shd w:val="clear" w:color="auto" w:fill="FFFFFF"/>
        </w:rPr>
        <w:t xml:space="preserve">[of the ECHR] </w:t>
      </w:r>
      <w:r w:rsidR="007B164D" w:rsidRPr="00C06602">
        <w:rPr>
          <w:rStyle w:val="sbb9ee52a"/>
          <w:rFonts w:cs="Arial"/>
          <w:color w:val="000000"/>
          <w:shd w:val="clear" w:color="auto" w:fill="FFFFFF"/>
        </w:rPr>
        <w:t>if it does not pursue a legitimate aim and if there is not a reasonable relationship of proportionality between the means employed and the aim sought to be achieved</w:t>
      </w:r>
      <w:r w:rsidR="00CA6B2F">
        <w:rPr>
          <w:rStyle w:val="sbb9ee52a"/>
          <w:rFonts w:cs="Arial"/>
          <w:color w:val="000000"/>
          <w:shd w:val="clear" w:color="auto" w:fill="FFFFFF"/>
        </w:rPr>
        <w:t>”.</w:t>
      </w:r>
      <w:r w:rsidR="00CA6B2F">
        <w:rPr>
          <w:rStyle w:val="FootnoteReference"/>
          <w:rFonts w:cs="Arial"/>
          <w:color w:val="000000"/>
          <w:shd w:val="clear" w:color="auto" w:fill="FFFFFF"/>
        </w:rPr>
        <w:footnoteReference w:id="57"/>
      </w:r>
      <w:r w:rsidR="00721457">
        <w:rPr>
          <w:rStyle w:val="sbb9ee52a"/>
          <w:rFonts w:cs="Arial"/>
          <w:color w:val="000000"/>
          <w:shd w:val="clear" w:color="auto" w:fill="FFFFFF"/>
        </w:rPr>
        <w:t xml:space="preserve"> </w:t>
      </w:r>
    </w:p>
    <w:p w14:paraId="255DBDC5" w14:textId="77777777" w:rsidR="00763F47" w:rsidRPr="00763F47" w:rsidRDefault="00763F47" w:rsidP="00763F47">
      <w:pPr>
        <w:pStyle w:val="ListParagraph"/>
        <w:suppressAutoHyphens/>
        <w:spacing w:line="360" w:lineRule="auto"/>
        <w:ind w:left="709"/>
        <w:rPr>
          <w:rStyle w:val="sbb9ee52a"/>
          <w:rFonts w:cs="Arial"/>
          <w:sz w:val="20"/>
          <w:szCs w:val="20"/>
        </w:rPr>
      </w:pPr>
    </w:p>
    <w:p w14:paraId="07A123D6" w14:textId="1036457A" w:rsidR="003B7D0E" w:rsidRPr="00763F47" w:rsidRDefault="0064767D" w:rsidP="00337B19">
      <w:pPr>
        <w:pStyle w:val="ListParagraph"/>
        <w:numPr>
          <w:ilvl w:val="1"/>
          <w:numId w:val="19"/>
        </w:numPr>
        <w:suppressAutoHyphens/>
        <w:spacing w:line="360" w:lineRule="auto"/>
        <w:ind w:left="709" w:hanging="709"/>
        <w:rPr>
          <w:rFonts w:cs="Arial"/>
          <w:sz w:val="20"/>
          <w:szCs w:val="20"/>
        </w:rPr>
      </w:pPr>
      <w:r w:rsidRPr="00763F47">
        <w:rPr>
          <w:rFonts w:cs="Arial"/>
          <w:b/>
          <w:bCs/>
        </w:rPr>
        <w:t>The NIHRC recommends that the Department of Finance</w:t>
      </w:r>
      <w:r w:rsidR="00A77FCB" w:rsidRPr="00763F47">
        <w:rPr>
          <w:rFonts w:cs="Arial"/>
          <w:b/>
          <w:bCs/>
        </w:rPr>
        <w:t xml:space="preserve"> </w:t>
      </w:r>
      <w:r w:rsidR="64668049" w:rsidRPr="00763F47">
        <w:rPr>
          <w:rFonts w:cs="Arial"/>
          <w:b/>
          <w:bCs/>
        </w:rPr>
        <w:t>considers</w:t>
      </w:r>
      <w:r w:rsidR="00151051" w:rsidRPr="00763F47">
        <w:rPr>
          <w:rFonts w:cs="Arial"/>
          <w:b/>
          <w:bCs/>
        </w:rPr>
        <w:t xml:space="preserve"> </w:t>
      </w:r>
      <w:r w:rsidR="007E3B56" w:rsidRPr="00763F47">
        <w:rPr>
          <w:rFonts w:cs="Arial"/>
          <w:b/>
          <w:bCs/>
        </w:rPr>
        <w:t>all relevan</w:t>
      </w:r>
      <w:r w:rsidR="0017103F" w:rsidRPr="00763F47">
        <w:rPr>
          <w:rFonts w:cs="Arial"/>
          <w:b/>
          <w:bCs/>
        </w:rPr>
        <w:t>t opt</w:t>
      </w:r>
      <w:r w:rsidR="0087538F" w:rsidRPr="00763F47">
        <w:rPr>
          <w:rFonts w:cs="Arial"/>
          <w:b/>
          <w:bCs/>
        </w:rPr>
        <w:t xml:space="preserve">ions available to </w:t>
      </w:r>
      <w:r w:rsidR="005B769B" w:rsidRPr="00763F47">
        <w:rPr>
          <w:rFonts w:cs="Arial"/>
          <w:b/>
          <w:bCs/>
        </w:rPr>
        <w:t xml:space="preserve">mitigate the costs and other potential barriers to access </w:t>
      </w:r>
      <w:r w:rsidR="00016A01" w:rsidRPr="00763F47">
        <w:rPr>
          <w:rFonts w:cs="Arial"/>
          <w:b/>
          <w:bCs/>
        </w:rPr>
        <w:t>to justice for all regarding defamation claims in NI</w:t>
      </w:r>
      <w:r w:rsidR="0E22A098" w:rsidRPr="00763F47">
        <w:rPr>
          <w:rFonts w:cs="Arial"/>
          <w:b/>
          <w:bCs/>
        </w:rPr>
        <w:t>.</w:t>
      </w:r>
      <w:r w:rsidR="64668049" w:rsidRPr="00763F47">
        <w:rPr>
          <w:rFonts w:cs="Arial"/>
          <w:b/>
          <w:bCs/>
        </w:rPr>
        <w:t xml:space="preserve"> </w:t>
      </w:r>
      <w:r w:rsidR="00881004" w:rsidRPr="00763F47">
        <w:rPr>
          <w:rFonts w:cs="Arial"/>
          <w:b/>
          <w:bCs/>
        </w:rPr>
        <w:t xml:space="preserve"> </w:t>
      </w:r>
    </w:p>
    <w:p w14:paraId="4BE87E51" w14:textId="77777777" w:rsidR="003B7D0E" w:rsidRDefault="003B7D0E" w:rsidP="003B7D0E">
      <w:pPr>
        <w:pStyle w:val="BasicParagraph"/>
        <w:suppressAutoHyphens/>
        <w:jc w:val="center"/>
        <w:rPr>
          <w:rFonts w:ascii="Verdana" w:hAnsi="Verdana" w:cs="Arial"/>
          <w:color w:val="3C3C3B"/>
          <w:sz w:val="20"/>
          <w:szCs w:val="20"/>
        </w:rPr>
      </w:pPr>
    </w:p>
    <w:p w14:paraId="3142BE65" w14:textId="77777777" w:rsidR="003B7D0E" w:rsidRDefault="003B7D0E" w:rsidP="003B7D0E">
      <w:pPr>
        <w:pStyle w:val="BasicParagraph"/>
        <w:suppressAutoHyphens/>
        <w:jc w:val="center"/>
        <w:rPr>
          <w:rFonts w:ascii="Verdana" w:hAnsi="Verdana" w:cs="Arial"/>
          <w:color w:val="3C3C3B"/>
          <w:sz w:val="20"/>
          <w:szCs w:val="20"/>
        </w:rPr>
      </w:pPr>
    </w:p>
    <w:p w14:paraId="688F01C7" w14:textId="77777777" w:rsidR="003B7D0E" w:rsidRDefault="003B7D0E" w:rsidP="003B7D0E">
      <w:pPr>
        <w:pStyle w:val="BasicParagraph"/>
        <w:suppressAutoHyphens/>
        <w:jc w:val="center"/>
        <w:rPr>
          <w:rFonts w:ascii="Verdana" w:hAnsi="Verdana" w:cs="Arial"/>
          <w:color w:val="3C3C3B"/>
          <w:sz w:val="20"/>
          <w:szCs w:val="20"/>
        </w:rPr>
      </w:pPr>
    </w:p>
    <w:p w14:paraId="51442E5F" w14:textId="77777777" w:rsidR="003B7D0E" w:rsidRDefault="003B7D0E" w:rsidP="003B7D0E">
      <w:pPr>
        <w:pStyle w:val="BasicParagraph"/>
        <w:suppressAutoHyphens/>
        <w:jc w:val="center"/>
        <w:rPr>
          <w:rFonts w:ascii="Verdana" w:hAnsi="Verdana" w:cs="Arial"/>
          <w:color w:val="3C3C3B"/>
          <w:sz w:val="20"/>
          <w:szCs w:val="20"/>
        </w:rPr>
      </w:pPr>
    </w:p>
    <w:p w14:paraId="3FB3CEC0" w14:textId="77777777" w:rsidR="003B7D0E" w:rsidRDefault="003B7D0E" w:rsidP="003B7D0E">
      <w:pPr>
        <w:pStyle w:val="BasicParagraph"/>
        <w:suppressAutoHyphens/>
        <w:jc w:val="center"/>
        <w:rPr>
          <w:rFonts w:ascii="Verdana" w:hAnsi="Verdana" w:cs="Arial"/>
          <w:color w:val="3C3C3B"/>
          <w:sz w:val="20"/>
          <w:szCs w:val="20"/>
        </w:rPr>
      </w:pPr>
    </w:p>
    <w:p w14:paraId="598D9209" w14:textId="77777777" w:rsidR="0054731A" w:rsidRDefault="0054731A" w:rsidP="00331C61">
      <w:pPr>
        <w:pStyle w:val="BasicParagraph"/>
        <w:suppressAutoHyphens/>
        <w:jc w:val="center"/>
        <w:rPr>
          <w:rFonts w:ascii="Verdana" w:hAnsi="Verdana" w:cs="Arial"/>
          <w:b/>
          <w:bCs/>
          <w:color w:val="77328A"/>
          <w:sz w:val="36"/>
          <w:szCs w:val="36"/>
        </w:rPr>
      </w:pPr>
    </w:p>
    <w:p w14:paraId="6DABD5A2" w14:textId="77777777" w:rsidR="0039622A" w:rsidRDefault="0039622A" w:rsidP="00331C61">
      <w:pPr>
        <w:pStyle w:val="BasicParagraph"/>
        <w:suppressAutoHyphens/>
        <w:jc w:val="center"/>
        <w:rPr>
          <w:rFonts w:ascii="Verdana" w:hAnsi="Verdana" w:cs="Arial"/>
          <w:b/>
          <w:bCs/>
          <w:color w:val="77328A"/>
          <w:sz w:val="36"/>
          <w:szCs w:val="36"/>
        </w:rPr>
      </w:pPr>
    </w:p>
    <w:p w14:paraId="6157E963" w14:textId="77777777" w:rsidR="0039622A" w:rsidRDefault="0039622A" w:rsidP="00331C61">
      <w:pPr>
        <w:pStyle w:val="BasicParagraph"/>
        <w:suppressAutoHyphens/>
        <w:jc w:val="center"/>
        <w:rPr>
          <w:rFonts w:ascii="Verdana" w:hAnsi="Verdana" w:cs="Arial"/>
          <w:b/>
          <w:bCs/>
          <w:color w:val="77328A"/>
          <w:sz w:val="36"/>
          <w:szCs w:val="36"/>
        </w:rPr>
      </w:pPr>
    </w:p>
    <w:p w14:paraId="6DAA4200" w14:textId="77777777" w:rsidR="0054731A" w:rsidRDefault="0054731A" w:rsidP="00331C61">
      <w:pPr>
        <w:pStyle w:val="BasicParagraph"/>
        <w:suppressAutoHyphens/>
        <w:jc w:val="center"/>
        <w:rPr>
          <w:rFonts w:ascii="Verdana" w:hAnsi="Verdana" w:cs="Arial"/>
          <w:b/>
          <w:bCs/>
          <w:color w:val="77328A"/>
          <w:sz w:val="36"/>
          <w:szCs w:val="36"/>
        </w:rPr>
      </w:pPr>
    </w:p>
    <w:p w14:paraId="0C1FA3E8" w14:textId="77777777" w:rsidR="0054731A" w:rsidRDefault="0054731A" w:rsidP="00331C61">
      <w:pPr>
        <w:pStyle w:val="BasicParagraph"/>
        <w:suppressAutoHyphens/>
        <w:jc w:val="center"/>
        <w:rPr>
          <w:rFonts w:ascii="Verdana" w:hAnsi="Verdana" w:cs="Arial"/>
          <w:b/>
          <w:bCs/>
          <w:color w:val="77328A"/>
          <w:sz w:val="36"/>
          <w:szCs w:val="36"/>
        </w:rPr>
      </w:pPr>
    </w:p>
    <w:p w14:paraId="4C6523E5" w14:textId="77777777" w:rsidR="00AB0C22" w:rsidRDefault="00AB0C22" w:rsidP="00331C61">
      <w:pPr>
        <w:pStyle w:val="BasicParagraph"/>
        <w:suppressAutoHyphens/>
        <w:jc w:val="center"/>
        <w:rPr>
          <w:rFonts w:ascii="Verdana" w:hAnsi="Verdana" w:cs="Arial"/>
          <w:b/>
          <w:bCs/>
          <w:color w:val="77328A"/>
          <w:sz w:val="36"/>
          <w:szCs w:val="36"/>
        </w:rPr>
      </w:pPr>
    </w:p>
    <w:p w14:paraId="3B97557C" w14:textId="77777777" w:rsidR="00AB0C22" w:rsidRDefault="00AB0C22" w:rsidP="00331C61">
      <w:pPr>
        <w:pStyle w:val="BasicParagraph"/>
        <w:suppressAutoHyphens/>
        <w:jc w:val="center"/>
        <w:rPr>
          <w:rFonts w:ascii="Verdana" w:hAnsi="Verdana" w:cs="Arial"/>
          <w:b/>
          <w:bCs/>
          <w:color w:val="77328A"/>
          <w:sz w:val="36"/>
          <w:szCs w:val="36"/>
        </w:rPr>
      </w:pPr>
    </w:p>
    <w:p w14:paraId="2BAA2CC5" w14:textId="77777777" w:rsidR="00B45156" w:rsidRDefault="00B45156" w:rsidP="00331C61">
      <w:pPr>
        <w:pStyle w:val="BasicParagraph"/>
        <w:suppressAutoHyphens/>
        <w:jc w:val="center"/>
        <w:rPr>
          <w:rFonts w:ascii="Verdana" w:hAnsi="Verdana" w:cs="Arial"/>
          <w:b/>
          <w:bCs/>
          <w:color w:val="77328A"/>
          <w:sz w:val="36"/>
          <w:szCs w:val="36"/>
        </w:rPr>
      </w:pPr>
    </w:p>
    <w:p w14:paraId="0C362386" w14:textId="77777777" w:rsidR="00AB0C22" w:rsidRDefault="00AB0C22" w:rsidP="00331C61">
      <w:pPr>
        <w:pStyle w:val="BasicParagraph"/>
        <w:suppressAutoHyphens/>
        <w:jc w:val="center"/>
        <w:rPr>
          <w:rFonts w:ascii="Verdana" w:hAnsi="Verdana" w:cs="Arial"/>
          <w:b/>
          <w:bCs/>
          <w:color w:val="77328A"/>
          <w:sz w:val="36"/>
          <w:szCs w:val="36"/>
        </w:rPr>
      </w:pPr>
    </w:p>
    <w:p w14:paraId="4E884D51" w14:textId="77777777" w:rsidR="00AB0C22" w:rsidRDefault="00AB0C22" w:rsidP="00331C61">
      <w:pPr>
        <w:pStyle w:val="BasicParagraph"/>
        <w:suppressAutoHyphens/>
        <w:jc w:val="center"/>
        <w:rPr>
          <w:rFonts w:ascii="Verdana" w:hAnsi="Verdana" w:cs="Arial"/>
          <w:b/>
          <w:bCs/>
          <w:color w:val="77328A"/>
          <w:sz w:val="36"/>
          <w:szCs w:val="36"/>
        </w:rPr>
      </w:pPr>
    </w:p>
    <w:p w14:paraId="21563C5A" w14:textId="64820D8A" w:rsidR="00A817CF"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w:t>
      </w:r>
      <w:r w:rsidR="00A817CF">
        <w:rPr>
          <w:rFonts w:ascii="Verdana" w:hAnsi="Verdana" w:cs="Arial"/>
          <w:b/>
          <w:bCs/>
          <w:color w:val="77328A"/>
          <w:sz w:val="36"/>
          <w:szCs w:val="36"/>
        </w:rPr>
        <w:t>U</w:t>
      </w:r>
      <w:r w:rsidR="0096459E">
        <w:rPr>
          <w:rFonts w:ascii="Verdana" w:hAnsi="Verdana" w:cs="Arial"/>
          <w:b/>
          <w:bCs/>
          <w:color w:val="77328A"/>
          <w:sz w:val="36"/>
          <w:szCs w:val="36"/>
        </w:rPr>
        <w:t>s</w:t>
      </w:r>
    </w:p>
    <w:p w14:paraId="751EEE78" w14:textId="77777777" w:rsidR="00A817CF" w:rsidRDefault="00A817CF" w:rsidP="00331C61">
      <w:pPr>
        <w:pStyle w:val="BasicParagraph"/>
        <w:suppressAutoHyphens/>
        <w:jc w:val="center"/>
        <w:rPr>
          <w:rFonts w:ascii="Verdana" w:hAnsi="Verdana" w:cs="Arial"/>
          <w:b/>
          <w:bCs/>
          <w:color w:val="77328A"/>
          <w:sz w:val="36"/>
          <w:szCs w:val="36"/>
        </w:rPr>
      </w:pPr>
    </w:p>
    <w:p w14:paraId="43117241" w14:textId="79F298E4" w:rsidR="00705833" w:rsidRPr="00A817CF" w:rsidRDefault="00A817CF" w:rsidP="00331C61">
      <w:pPr>
        <w:pStyle w:val="BasicParagraph"/>
        <w:suppressAutoHyphens/>
        <w:jc w:val="center"/>
        <w:rPr>
          <w:rFonts w:ascii="Verdana" w:hAnsi="Verdana" w:cs="Arial"/>
          <w:b/>
          <w:bCs/>
          <w:color w:val="77328A"/>
          <w:sz w:val="28"/>
          <w:szCs w:val="28"/>
        </w:rPr>
      </w:pPr>
      <w:r w:rsidRPr="00AB0C22">
        <w:rPr>
          <w:rFonts w:ascii="Verdana" w:hAnsi="Verdana" w:cs="Arial"/>
          <w:b/>
          <w:bCs/>
          <w:color w:val="auto"/>
          <w:sz w:val="28"/>
          <w:szCs w:val="28"/>
        </w:rPr>
        <w:t xml:space="preserve">Any queries to: </w:t>
      </w:r>
      <w:hyperlink r:id="rId12" w:history="1">
        <w:r w:rsidRPr="00A817CF">
          <w:rPr>
            <w:rStyle w:val="Hyperlink"/>
            <w:rFonts w:ascii="Verdana" w:hAnsi="Verdana" w:cs="Arial"/>
            <w:b/>
            <w:bCs/>
            <w:sz w:val="28"/>
            <w:szCs w:val="28"/>
          </w:rPr>
          <w:t>Colin.Caughey@NIHRC.org</w:t>
        </w:r>
      </w:hyperlink>
      <w:r w:rsidR="00205F43" w:rsidRPr="00A817CF">
        <w:rPr>
          <w:rFonts w:ascii="Verdana" w:hAnsi="Verdana" w:cs="Arial"/>
          <w:b/>
          <w:bCs/>
          <w:color w:val="77328A"/>
          <w:sz w:val="28"/>
          <w:szCs w:val="28"/>
        </w:rPr>
        <w:t xml:space="preserve"> </w:t>
      </w:r>
    </w:p>
    <w:p w14:paraId="0F590B92" w14:textId="77777777" w:rsidR="00331C61" w:rsidRPr="00331C61" w:rsidRDefault="00331C61" w:rsidP="00331C61">
      <w:pPr>
        <w:pStyle w:val="BasicParagraph"/>
        <w:suppressAutoHyphens/>
        <w:jc w:val="center"/>
        <w:rPr>
          <w:rFonts w:ascii="Verdana" w:hAnsi="Verdana" w:cs="Arial"/>
          <w:b/>
          <w:color w:val="77328A"/>
          <w:sz w:val="36"/>
          <w:szCs w:val="36"/>
        </w:rPr>
      </w:pPr>
    </w:p>
    <w:p w14:paraId="19772C32" w14:textId="77777777" w:rsidR="00331C61" w:rsidRPr="00331C61" w:rsidRDefault="00331C61" w:rsidP="003B7D0E">
      <w:pPr>
        <w:spacing w:line="288" w:lineRule="auto"/>
        <w:jc w:val="center"/>
        <w:rPr>
          <w:rFonts w:cs="Arial"/>
          <w:b/>
          <w:color w:val="232120"/>
          <w:sz w:val="30"/>
          <w:szCs w:val="30"/>
        </w:rPr>
      </w:pPr>
    </w:p>
    <w:p w14:paraId="0BE72E3E" w14:textId="77777777" w:rsidR="00331C61" w:rsidRPr="00331C61" w:rsidRDefault="00331C61" w:rsidP="003B7D0E">
      <w:pPr>
        <w:spacing w:line="288" w:lineRule="auto"/>
        <w:jc w:val="center"/>
        <w:rPr>
          <w:rFonts w:cs="Arial"/>
          <w:b/>
          <w:color w:val="232120"/>
          <w:sz w:val="30"/>
          <w:szCs w:val="30"/>
        </w:rPr>
      </w:pPr>
    </w:p>
    <w:p w14:paraId="3EE5BD37" w14:textId="77777777" w:rsidR="00331C61" w:rsidRPr="00331C61" w:rsidRDefault="00E30DC2" w:rsidP="00331C61">
      <w:pPr>
        <w:spacing w:line="288" w:lineRule="auto"/>
        <w:jc w:val="center"/>
        <w:rPr>
          <w:rFonts w:cs="Arial"/>
          <w:color w:val="232120"/>
          <w:sz w:val="28"/>
          <w:szCs w:val="28"/>
        </w:rPr>
      </w:pPr>
      <w:hyperlink r:id="rId13"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4"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0E98C5C5" w14:textId="77777777" w:rsidR="00F56C78" w:rsidRPr="00331C61" w:rsidRDefault="00D16532" w:rsidP="00331C61">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15E7C16E" w14:textId="77777777" w:rsidR="00F56C78" w:rsidRPr="00331C61" w:rsidRDefault="00F56C78" w:rsidP="003B7D0E">
      <w:pPr>
        <w:spacing w:line="288" w:lineRule="auto"/>
        <w:jc w:val="center"/>
        <w:rPr>
          <w:rFonts w:cs="Arial"/>
          <w:b/>
          <w:color w:val="232120"/>
          <w:sz w:val="28"/>
          <w:szCs w:val="28"/>
        </w:rPr>
      </w:pPr>
    </w:p>
    <w:p w14:paraId="76F4488A" w14:textId="77777777" w:rsidR="00F56C78" w:rsidRPr="00331C61" w:rsidRDefault="00F56C78" w:rsidP="003B7D0E">
      <w:pPr>
        <w:spacing w:line="288" w:lineRule="auto"/>
        <w:jc w:val="center"/>
        <w:rPr>
          <w:rFonts w:cs="Arial"/>
          <w:color w:val="232120"/>
          <w:sz w:val="20"/>
          <w:szCs w:val="20"/>
        </w:rPr>
      </w:pPr>
    </w:p>
    <w:p w14:paraId="148FBD16"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DAB86ED" wp14:editId="1829EE4E">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6"/>
      <w:footerReference w:type="first" r:id="rId17"/>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5EB83" w14:textId="77777777" w:rsidR="00BD7508" w:rsidRDefault="00BD7508" w:rsidP="00962B2B">
      <w:r>
        <w:separator/>
      </w:r>
    </w:p>
  </w:endnote>
  <w:endnote w:type="continuationSeparator" w:id="0">
    <w:p w14:paraId="3A5D3830" w14:textId="77777777" w:rsidR="00BD7508" w:rsidRDefault="00BD7508" w:rsidP="00962B2B">
      <w:r>
        <w:continuationSeparator/>
      </w:r>
    </w:p>
  </w:endnote>
  <w:endnote w:type="continuationNotice" w:id="1">
    <w:p w14:paraId="59D4FD97" w14:textId="77777777" w:rsidR="00BD7508" w:rsidRDefault="00BD7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61B62" w14:textId="77777777" w:rsidR="00D2770F" w:rsidRDefault="00D2770F" w:rsidP="00656ECD">
    <w:pPr>
      <w:pStyle w:val="Footer"/>
      <w:jc w:val="right"/>
      <w:rPr>
        <w:rStyle w:val="PageNumber"/>
        <w:rFonts w:ascii="Arial" w:hAnsi="Arial" w:cs="Arial"/>
        <w:b/>
        <w:sz w:val="16"/>
        <w:szCs w:val="16"/>
      </w:rPr>
    </w:pPr>
  </w:p>
  <w:p w14:paraId="79454149" w14:textId="77777777" w:rsidR="00D2770F" w:rsidRPr="000B719A" w:rsidRDefault="00D2770F" w:rsidP="00656ECD">
    <w:pPr>
      <w:pStyle w:val="Footer"/>
      <w:jc w:val="right"/>
      <w:rPr>
        <w:rFonts w:cs="Arial"/>
        <w:bCs/>
        <w:color w:val="77328A"/>
      </w:rPr>
    </w:pPr>
    <w:r w:rsidRPr="000B719A">
      <w:rPr>
        <w:rStyle w:val="PageNumber"/>
        <w:rFonts w:cs="Arial"/>
        <w:bCs/>
        <w:color w:val="77328A"/>
      </w:rPr>
      <w:fldChar w:fldCharType="begin"/>
    </w:r>
    <w:r w:rsidRPr="000B719A">
      <w:rPr>
        <w:rStyle w:val="PageNumber"/>
        <w:rFonts w:cs="Arial"/>
        <w:bCs/>
        <w:color w:val="77328A"/>
      </w:rPr>
      <w:instrText xml:space="preserve"> PAGE </w:instrText>
    </w:r>
    <w:r w:rsidRPr="000B719A">
      <w:rPr>
        <w:rStyle w:val="PageNumber"/>
        <w:rFonts w:cs="Arial"/>
        <w:bCs/>
        <w:color w:val="77328A"/>
      </w:rPr>
      <w:fldChar w:fldCharType="separate"/>
    </w:r>
    <w:r w:rsidR="00801600" w:rsidRPr="000B719A">
      <w:rPr>
        <w:rStyle w:val="PageNumber"/>
        <w:rFonts w:cs="Arial"/>
        <w:bCs/>
        <w:noProof/>
        <w:color w:val="77328A"/>
      </w:rPr>
      <w:t>2</w:t>
    </w:r>
    <w:r w:rsidRPr="000B719A">
      <w:rPr>
        <w:rStyle w:val="PageNumber"/>
        <w:rFonts w:cs="Arial"/>
        <w:bCs/>
        <w:color w:val="77328A"/>
      </w:rPr>
      <w:fldChar w:fldCharType="end"/>
    </w:r>
  </w:p>
  <w:p w14:paraId="225011BA" w14:textId="77777777" w:rsidR="000B719A" w:rsidRDefault="000B71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39A75" w14:textId="77777777" w:rsidR="00D2770F" w:rsidRDefault="00D2770F" w:rsidP="00046705">
    <w:pPr>
      <w:pStyle w:val="Footer"/>
      <w:jc w:val="right"/>
      <w:rPr>
        <w:rStyle w:val="PageNumber"/>
        <w:rFonts w:ascii="Arial" w:hAnsi="Arial" w:cs="Arial"/>
        <w:b/>
        <w:sz w:val="16"/>
        <w:szCs w:val="16"/>
      </w:rPr>
    </w:pPr>
  </w:p>
  <w:p w14:paraId="17A94F1A"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70D7F" w14:textId="77777777" w:rsidR="00BD7508" w:rsidRDefault="00BD7508" w:rsidP="00B96D34">
      <w:r>
        <w:continuationSeparator/>
      </w:r>
    </w:p>
    <w:p w14:paraId="3DAD6CD2" w14:textId="77777777" w:rsidR="00BD7508" w:rsidRPr="00B96D34" w:rsidRDefault="00BD7508" w:rsidP="00B96D34">
      <w:pPr>
        <w:pStyle w:val="Footer"/>
      </w:pPr>
    </w:p>
  </w:footnote>
  <w:footnote w:type="continuationSeparator" w:id="0">
    <w:p w14:paraId="17A50084" w14:textId="77777777" w:rsidR="00BD7508" w:rsidRDefault="00BD7508" w:rsidP="00962B2B">
      <w:r>
        <w:continuationSeparator/>
      </w:r>
    </w:p>
  </w:footnote>
  <w:footnote w:type="continuationNotice" w:id="1">
    <w:p w14:paraId="2DA42F80" w14:textId="77777777" w:rsidR="00BD7508" w:rsidRDefault="00BD7508"/>
  </w:footnote>
  <w:footnote w:id="2">
    <w:p w14:paraId="0C530B00" w14:textId="595C6631" w:rsidR="00DD6DB9" w:rsidRDefault="00DD6DB9" w:rsidP="00FF68A9">
      <w:pPr>
        <w:pStyle w:val="NIHRCFootnotes"/>
      </w:pPr>
      <w:r>
        <w:rPr>
          <w:rStyle w:val="FootnoteReference"/>
        </w:rPr>
        <w:footnoteRef/>
      </w:r>
      <w:r>
        <w:t xml:space="preserve"> </w:t>
      </w:r>
      <w:r w:rsidR="00FF68A9">
        <w:t xml:space="preserve">The Windsor Framework was formerly known as the Protocol on Ireland/Northern Ireland to the UK-EU Withdrawal Agreement and all references to the Protocol in this document have been updated to reflect this change. </w:t>
      </w:r>
      <w:r w:rsidR="00060485" w:rsidRPr="001F3F21">
        <w:rPr>
          <w:i/>
          <w:iCs/>
        </w:rPr>
        <w:t>See</w:t>
      </w:r>
      <w:r w:rsidR="00FF68A9">
        <w:t xml:space="preserv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3">
    <w:p w14:paraId="4492BF51" w14:textId="286E1836" w:rsidR="00D34ADB" w:rsidRDefault="00D34ADB" w:rsidP="00B638CA">
      <w:pPr>
        <w:pStyle w:val="NIHRCFootnotes"/>
      </w:pPr>
      <w:r>
        <w:rPr>
          <w:rStyle w:val="FootnoteReference"/>
        </w:rPr>
        <w:footnoteRef/>
      </w:r>
      <w:r>
        <w:t xml:space="preserve"> </w:t>
      </w:r>
      <w:r w:rsidR="00B638CA">
        <w:t xml:space="preserve">Ratified by the UK 1951. </w:t>
      </w:r>
    </w:p>
  </w:footnote>
  <w:footnote w:id="4">
    <w:p w14:paraId="69E75BF9" w14:textId="0FD8F1C3" w:rsidR="0011060F" w:rsidRDefault="0011060F" w:rsidP="006A39A1">
      <w:pPr>
        <w:pStyle w:val="NIHRCFootnotes"/>
      </w:pPr>
      <w:r>
        <w:rPr>
          <w:rStyle w:val="FootnoteReference"/>
        </w:rPr>
        <w:footnoteRef/>
      </w:r>
      <w:r>
        <w:t xml:space="preserve"> </w:t>
      </w:r>
      <w:r w:rsidR="006A39A1">
        <w:t>Ratified by the UK 1966.</w:t>
      </w:r>
    </w:p>
  </w:footnote>
  <w:footnote w:id="5">
    <w:p w14:paraId="1C3A60F6" w14:textId="130ED65B" w:rsidR="00897DB2" w:rsidRDefault="00897DB2" w:rsidP="00405223">
      <w:pPr>
        <w:pStyle w:val="NIHRCFootnotes"/>
      </w:pPr>
      <w:r>
        <w:rPr>
          <w:rStyle w:val="FootnoteReference"/>
        </w:rPr>
        <w:footnoteRef/>
      </w:r>
      <w:r>
        <w:t xml:space="preserve"> </w:t>
      </w:r>
      <w:r w:rsidR="00405223">
        <w:t xml:space="preserve">‘UN </w:t>
      </w:r>
      <w:r w:rsidR="00B037F0">
        <w:t>Human Rights Committee</w:t>
      </w:r>
      <w:r w:rsidR="00405223">
        <w:t xml:space="preserve"> General Comment No 16</w:t>
      </w:r>
      <w:r w:rsidR="00B04170">
        <w:t xml:space="preserve">: </w:t>
      </w:r>
      <w:r w:rsidR="00B037F0">
        <w:t>The Right to Respect of Privacy, Family, Home and Correspondence and Protection of Honour and Reputation’, 8 April</w:t>
      </w:r>
      <w:r w:rsidR="00405223">
        <w:t xml:space="preserve"> 1988.</w:t>
      </w:r>
    </w:p>
  </w:footnote>
  <w:footnote w:id="6">
    <w:p w14:paraId="33092E6C" w14:textId="408BE28D" w:rsidR="007942A3" w:rsidRDefault="007942A3" w:rsidP="00405223">
      <w:pPr>
        <w:pStyle w:val="NIHRCFootnotes"/>
      </w:pPr>
      <w:r>
        <w:rPr>
          <w:rStyle w:val="FootnoteReference"/>
        </w:rPr>
        <w:footnoteRef/>
      </w:r>
      <w:r>
        <w:t xml:space="preserve"> </w:t>
      </w:r>
      <w:r w:rsidR="00405223">
        <w:t>CCPR/C/GC/32, ‘UN H</w:t>
      </w:r>
      <w:r w:rsidR="00B037F0">
        <w:t xml:space="preserve">uman </w:t>
      </w:r>
      <w:r w:rsidR="00405223">
        <w:t>R</w:t>
      </w:r>
      <w:r w:rsidR="00B037F0">
        <w:t xml:space="preserve">ights </w:t>
      </w:r>
      <w:r w:rsidR="00405223">
        <w:t>C</w:t>
      </w:r>
      <w:r w:rsidR="00B037F0">
        <w:t>ommittee</w:t>
      </w:r>
      <w:r w:rsidR="00405223">
        <w:t xml:space="preserve"> General Comment No 32: Right to </w:t>
      </w:r>
      <w:r w:rsidR="00B037F0">
        <w:t>E</w:t>
      </w:r>
      <w:r w:rsidR="00405223">
        <w:t xml:space="preserve">quality </w:t>
      </w:r>
      <w:r w:rsidR="00B037F0">
        <w:t>B</w:t>
      </w:r>
      <w:r w:rsidR="00405223">
        <w:t xml:space="preserve">efore </w:t>
      </w:r>
      <w:r w:rsidR="00B037F0">
        <w:t>C</w:t>
      </w:r>
      <w:r w:rsidR="00405223">
        <w:t xml:space="preserve">ourts and </w:t>
      </w:r>
      <w:r w:rsidR="00B037F0">
        <w:t>T</w:t>
      </w:r>
      <w:r w:rsidR="00405223">
        <w:t xml:space="preserve">ribunals and to a </w:t>
      </w:r>
      <w:r w:rsidR="00B037F0">
        <w:t>F</w:t>
      </w:r>
      <w:r w:rsidR="00405223">
        <w:t xml:space="preserve">air </w:t>
      </w:r>
      <w:r w:rsidR="00B037F0">
        <w:t>T</w:t>
      </w:r>
      <w:r w:rsidR="00405223">
        <w:t>rial’</w:t>
      </w:r>
      <w:r w:rsidR="00B037F0">
        <w:t>,</w:t>
      </w:r>
      <w:r w:rsidR="00405223">
        <w:t xml:space="preserve"> 23 August 2007.</w:t>
      </w:r>
    </w:p>
  </w:footnote>
  <w:footnote w:id="7">
    <w:p w14:paraId="00714667" w14:textId="586BCCFF" w:rsidR="007942A3" w:rsidRDefault="007942A3" w:rsidP="00405223">
      <w:pPr>
        <w:pStyle w:val="NIHRCFootnotes"/>
      </w:pPr>
      <w:r>
        <w:rPr>
          <w:rStyle w:val="FootnoteReference"/>
        </w:rPr>
        <w:footnoteRef/>
      </w:r>
      <w:r>
        <w:t xml:space="preserve"> </w:t>
      </w:r>
      <w:r w:rsidR="00405223">
        <w:t>CCPR/C/GC/34, ‘UN H</w:t>
      </w:r>
      <w:r w:rsidR="00B037F0">
        <w:t xml:space="preserve">uman </w:t>
      </w:r>
      <w:r w:rsidR="00405223">
        <w:t>R</w:t>
      </w:r>
      <w:r w:rsidR="00B037F0">
        <w:t>ights</w:t>
      </w:r>
      <w:r w:rsidR="00405223">
        <w:t xml:space="preserve"> Committee General Comment No 34: Freedoms of Opinion and Expression’, 12 September 2011.</w:t>
      </w:r>
    </w:p>
  </w:footnote>
  <w:footnote w:id="8">
    <w:p w14:paraId="10A97140" w14:textId="56CF5C7D" w:rsidR="00887235" w:rsidRDefault="00887235" w:rsidP="00A513F5">
      <w:pPr>
        <w:pStyle w:val="NIHRCFootnotes"/>
      </w:pPr>
      <w:r>
        <w:rPr>
          <w:rStyle w:val="FootnoteReference"/>
        </w:rPr>
        <w:footnoteRef/>
      </w:r>
      <w:r>
        <w:t xml:space="preserve"> </w:t>
      </w:r>
      <w:r w:rsidR="003C4316">
        <w:t>CoE Committee on Legal Affairs and Human Rights, ‘Situation of Human Rights Defenders and Whistleblowers in Europe</w:t>
      </w:r>
      <w:r w:rsidR="00FE10FB">
        <w:t xml:space="preserve">’, </w:t>
      </w:r>
      <w:r w:rsidR="00A513F5">
        <w:t>18 October 2023.</w:t>
      </w:r>
    </w:p>
  </w:footnote>
  <w:footnote w:id="9">
    <w:p w14:paraId="7EF0292D" w14:textId="4C953109" w:rsidR="007A33FA" w:rsidRDefault="007A33FA" w:rsidP="007A33FA">
      <w:pPr>
        <w:pStyle w:val="NIHRCFootnotes"/>
      </w:pPr>
      <w:r>
        <w:rPr>
          <w:rStyle w:val="FootnoteReference"/>
        </w:rPr>
        <w:footnoteRef/>
      </w:r>
      <w:r>
        <w:t xml:space="preserve"> MSI-</w:t>
      </w:r>
      <w:r>
        <w:t>SLP(2022)07, ‘</w:t>
      </w:r>
      <w:r w:rsidR="00D75737">
        <w:t>CoE</w:t>
      </w:r>
      <w:r>
        <w:t xml:space="preserve"> Draft Recommendation CM/Rec(20XX)XX of the Committee of Ministers to Member States on Countering the Use of S</w:t>
      </w:r>
      <w:r w:rsidR="00D67254">
        <w:t xml:space="preserve">trategic </w:t>
      </w:r>
      <w:r>
        <w:t>L</w:t>
      </w:r>
      <w:r w:rsidR="00D67254">
        <w:t xml:space="preserve">itigation </w:t>
      </w:r>
      <w:r>
        <w:t>A</w:t>
      </w:r>
      <w:r w:rsidR="00D67254">
        <w:t xml:space="preserve">gainst </w:t>
      </w:r>
      <w:r>
        <w:t>P</w:t>
      </w:r>
      <w:r w:rsidR="00D67254">
        <w:t xml:space="preserve">ublic </w:t>
      </w:r>
      <w:r>
        <w:t>P</w:t>
      </w:r>
      <w:r w:rsidR="00D67254">
        <w:t>articipation</w:t>
      </w:r>
      <w:r>
        <w:t>’.</w:t>
      </w:r>
    </w:p>
  </w:footnote>
  <w:footnote w:id="10">
    <w:p w14:paraId="0648D50A" w14:textId="107B0E41" w:rsidR="003709A0" w:rsidRDefault="003709A0" w:rsidP="00270210">
      <w:pPr>
        <w:pStyle w:val="NIHRCFootnotes"/>
      </w:pPr>
      <w:r>
        <w:rPr>
          <w:rStyle w:val="FootnoteReference"/>
        </w:rPr>
        <w:footnoteRef/>
      </w:r>
      <w:r>
        <w:t xml:space="preserve"> </w:t>
      </w:r>
      <w:r w:rsidR="00066D0B">
        <w:t>Letter to the Committee for Finance</w:t>
      </w:r>
      <w:r w:rsidR="00066D0B" w:rsidRPr="00C11F14">
        <w:t xml:space="preserve"> </w:t>
      </w:r>
      <w:r w:rsidR="00066D0B">
        <w:t>from the NI Human Rights Commission, 18 November 2021.</w:t>
      </w:r>
    </w:p>
  </w:footnote>
  <w:footnote w:id="11">
    <w:p w14:paraId="6BDF249E" w14:textId="38C59EE8" w:rsidR="00792ED9" w:rsidRDefault="00792ED9" w:rsidP="00270210">
      <w:pPr>
        <w:pStyle w:val="NIHRCFootnotes"/>
      </w:pPr>
      <w:r>
        <w:rPr>
          <w:rStyle w:val="FootnoteReference"/>
        </w:rPr>
        <w:footnoteRef/>
      </w:r>
      <w:r>
        <w:t xml:space="preserve"> </w:t>
      </w:r>
      <w:r w:rsidR="00965363" w:rsidRPr="00AA374B">
        <w:rPr>
          <w:i/>
          <w:iCs/>
        </w:rPr>
        <w:t>Mosely</w:t>
      </w:r>
      <w:r w:rsidR="003A6626" w:rsidRPr="00AA374B">
        <w:rPr>
          <w:i/>
          <w:iCs/>
        </w:rPr>
        <w:t xml:space="preserve"> v the UK</w:t>
      </w:r>
      <w:r w:rsidR="003A6626">
        <w:t xml:space="preserve"> (2011)</w:t>
      </w:r>
      <w:r w:rsidR="00AA374B">
        <w:t xml:space="preserve"> ECHR</w:t>
      </w:r>
      <w:r w:rsidR="001E39B0">
        <w:t xml:space="preserve"> 774</w:t>
      </w:r>
      <w:r w:rsidR="00925160">
        <w:t>, at para 111.</w:t>
      </w:r>
    </w:p>
  </w:footnote>
  <w:footnote w:id="12">
    <w:p w14:paraId="14229A87" w14:textId="1A3F4FBD" w:rsidR="00262AD7" w:rsidRDefault="00262AD7" w:rsidP="00957B52">
      <w:pPr>
        <w:pStyle w:val="NIHRCFootnotes"/>
      </w:pPr>
      <w:r>
        <w:rPr>
          <w:rStyle w:val="FootnoteReference"/>
        </w:rPr>
        <w:footnoteRef/>
      </w:r>
      <w:r>
        <w:t xml:space="preserve"> </w:t>
      </w:r>
      <w:r w:rsidR="00D776E1">
        <w:t>‘UN Human Rights Committee General Comment No 16: The Right to Respect of Privacy, Family, Home and Correspondence and Protection of Honour and Reputation’, 8 April’ 1988</w:t>
      </w:r>
      <w:r w:rsidR="00F24604">
        <w:t xml:space="preserve">, </w:t>
      </w:r>
      <w:r w:rsidR="00957B52">
        <w:t>at para 11.</w:t>
      </w:r>
    </w:p>
  </w:footnote>
  <w:footnote w:id="13">
    <w:p w14:paraId="6FBA3164" w14:textId="729B00A0" w:rsidR="00644DC9" w:rsidRDefault="00644DC9" w:rsidP="00644DC9">
      <w:pPr>
        <w:pStyle w:val="NIHRCFootnotes"/>
      </w:pPr>
      <w:r>
        <w:rPr>
          <w:rStyle w:val="FootnoteReference"/>
        </w:rPr>
        <w:footnoteRef/>
      </w:r>
      <w:r>
        <w:t xml:space="preserve"> </w:t>
      </w:r>
      <w:r w:rsidRPr="0090278C">
        <w:rPr>
          <w:i/>
          <w:iCs/>
        </w:rPr>
        <w:t>Axel Springer AG v Germany</w:t>
      </w:r>
      <w:r>
        <w:rPr>
          <w:i/>
          <w:iCs/>
        </w:rPr>
        <w:t xml:space="preserve"> </w:t>
      </w:r>
      <w:r>
        <w:t xml:space="preserve">(2012) ECHR 227 2012, at para 83 and 84. See also </w:t>
      </w:r>
      <w:r w:rsidRPr="0090278C">
        <w:rPr>
          <w:i/>
          <w:iCs/>
        </w:rPr>
        <w:t>Karakó v Hungary</w:t>
      </w:r>
      <w:r w:rsidR="005748F6">
        <w:rPr>
          <w:i/>
          <w:iCs/>
        </w:rPr>
        <w:t xml:space="preserve"> </w:t>
      </w:r>
      <w:r>
        <w:t>(2009) ECHR 712, at para 23.</w:t>
      </w:r>
    </w:p>
  </w:footnote>
  <w:footnote w:id="14">
    <w:p w14:paraId="1153C2F1" w14:textId="77777777" w:rsidR="00B831C4" w:rsidRDefault="00B831C4" w:rsidP="00B831C4">
      <w:pPr>
        <w:pStyle w:val="NIHRCFootnotes"/>
      </w:pPr>
      <w:r>
        <w:rPr>
          <w:rStyle w:val="FootnoteReference"/>
        </w:rPr>
        <w:footnoteRef/>
      </w:r>
      <w:r>
        <w:t xml:space="preserve"> CCPR/C/GC/34, ‘UN HRC Committee General Comment No 34: Article 19: Freedoms of Opinion and Expression’, 12 September 2011, at para 47.</w:t>
      </w:r>
    </w:p>
  </w:footnote>
  <w:footnote w:id="15">
    <w:p w14:paraId="556A4D33" w14:textId="420F18E2" w:rsidR="00B831C4" w:rsidRDefault="00B831C4" w:rsidP="00B831C4">
      <w:pPr>
        <w:pStyle w:val="NIHRCFootnotes"/>
      </w:pPr>
      <w:r>
        <w:rPr>
          <w:rStyle w:val="FootnoteReference"/>
        </w:rPr>
        <w:footnoteRef/>
      </w:r>
      <w:r>
        <w:t xml:space="preserve"> </w:t>
      </w:r>
      <w:r w:rsidR="00816A31">
        <w:t>Ibid</w:t>
      </w:r>
      <w:r w:rsidR="00D3183C">
        <w:t>.</w:t>
      </w:r>
    </w:p>
  </w:footnote>
  <w:footnote w:id="16">
    <w:p w14:paraId="6170B809" w14:textId="7EC5C714" w:rsidR="00364105" w:rsidRDefault="00364105" w:rsidP="00364105">
      <w:pPr>
        <w:pStyle w:val="NIHRCFootnotes"/>
      </w:pPr>
      <w:r>
        <w:rPr>
          <w:rStyle w:val="FootnoteReference"/>
        </w:rPr>
        <w:footnoteRef/>
      </w:r>
      <w:r>
        <w:t xml:space="preserve"> CCPR/C/GBR/CO/6 ‘Concluding </w:t>
      </w:r>
      <w:r w:rsidR="00AC5F92">
        <w:t>O</w:t>
      </w:r>
      <w:r>
        <w:t xml:space="preserve">bservations of the </w:t>
      </w:r>
      <w:r w:rsidR="00AC5F92">
        <w:t xml:space="preserve">UN </w:t>
      </w:r>
      <w:r>
        <w:t xml:space="preserve">Human Rights Committee on </w:t>
      </w:r>
      <w:r w:rsidR="00AC5F92">
        <w:t>S</w:t>
      </w:r>
      <w:r>
        <w:t xml:space="preserve">ixth </w:t>
      </w:r>
      <w:r w:rsidR="00AC5F92">
        <w:t>P</w:t>
      </w:r>
      <w:r>
        <w:t xml:space="preserve">eriodic </w:t>
      </w:r>
      <w:r w:rsidR="00AC5F92">
        <w:t>R</w:t>
      </w:r>
      <w:r>
        <w:t xml:space="preserve">eport </w:t>
      </w:r>
      <w:r w:rsidR="00AC5F92">
        <w:t>S</w:t>
      </w:r>
      <w:r>
        <w:t xml:space="preserve">ubmitted by the </w:t>
      </w:r>
      <w:r w:rsidR="00AC5F92">
        <w:t>UK</w:t>
      </w:r>
      <w:r>
        <w:t>’</w:t>
      </w:r>
      <w:r w:rsidR="00C70248">
        <w:t>,</w:t>
      </w:r>
      <w:r>
        <w:t xml:space="preserve"> 30 July 2008.</w:t>
      </w:r>
    </w:p>
  </w:footnote>
  <w:footnote w:id="17">
    <w:p w14:paraId="40ED0748" w14:textId="20B15FE6" w:rsidR="00713E30" w:rsidRDefault="00713E30" w:rsidP="00713E30">
      <w:pPr>
        <w:pStyle w:val="NIHRCFootnotes"/>
      </w:pPr>
      <w:r>
        <w:rPr>
          <w:rStyle w:val="FootnoteReference"/>
        </w:rPr>
        <w:footnoteRef/>
      </w:r>
      <w:r>
        <w:t xml:space="preserve"> </w:t>
      </w:r>
      <w:r w:rsidR="00C11F14">
        <w:t>Letter to the Committee for Finance</w:t>
      </w:r>
      <w:r w:rsidR="00C11F14" w:rsidRPr="00C11F14">
        <w:t xml:space="preserve"> </w:t>
      </w:r>
      <w:r w:rsidR="00C11F14">
        <w:t>from the NI Human Rights Commission, 18 November 2021</w:t>
      </w:r>
      <w:r>
        <w:t>; See also: NI</w:t>
      </w:r>
      <w:r w:rsidR="00A208F9">
        <w:t xml:space="preserve"> </w:t>
      </w:r>
      <w:r>
        <w:t>H</w:t>
      </w:r>
      <w:r w:rsidR="00A208F9">
        <w:t xml:space="preserve">uman </w:t>
      </w:r>
      <w:r>
        <w:t>R</w:t>
      </w:r>
      <w:r w:rsidR="00A208F9">
        <w:t xml:space="preserve">ights </w:t>
      </w:r>
      <w:r>
        <w:t>C</w:t>
      </w:r>
      <w:r w:rsidR="00A208F9">
        <w:t>ommission,</w:t>
      </w:r>
      <w:r>
        <w:t xml:space="preserve"> ‘Submission to Committee for Finance: Defamation’ (NIHRC, 2013), at 5.</w:t>
      </w:r>
    </w:p>
  </w:footnote>
  <w:footnote w:id="18">
    <w:p w14:paraId="6552EFC3" w14:textId="3B5A6490" w:rsidR="00704A6E" w:rsidRDefault="00704A6E" w:rsidP="00704A6E">
      <w:pPr>
        <w:pStyle w:val="NIHRCFootnotes"/>
      </w:pPr>
      <w:r>
        <w:rPr>
          <w:rStyle w:val="FootnoteReference"/>
        </w:rPr>
        <w:footnoteRef/>
      </w:r>
      <w:r>
        <w:t xml:space="preserve"> Andrew Scott, ‘Reform of Defamation Law in NI’ (LSE, 2016), at para 2.02</w:t>
      </w:r>
      <w:r w:rsidR="00831695">
        <w:t>; NI Assembly Hansard, ‘Committee for Finance: Report on the Committee Stage of the Defamation Bill – NIA 161/17-22’, 26 January 2022.</w:t>
      </w:r>
    </w:p>
  </w:footnote>
  <w:footnote w:id="19">
    <w:p w14:paraId="35140E4B" w14:textId="056A9F2B" w:rsidR="00F970E8" w:rsidRDefault="00F970E8" w:rsidP="00F970E8">
      <w:pPr>
        <w:pStyle w:val="NIHRCFootnotes"/>
      </w:pPr>
      <w:r>
        <w:rPr>
          <w:rStyle w:val="FootnoteReference"/>
        </w:rPr>
        <w:footnoteRef/>
      </w:r>
      <w:r>
        <w:t xml:space="preserve"> Andrew Scott, ‘Reform of Defamation Law in NI’ (LSE, 2016), at para 2.03.</w:t>
      </w:r>
    </w:p>
  </w:footnote>
  <w:footnote w:id="20">
    <w:p w14:paraId="0A0D87C4" w14:textId="7214FD1A" w:rsidR="00C11F14" w:rsidRDefault="00C11F14" w:rsidP="00C11F14">
      <w:pPr>
        <w:pStyle w:val="NIHRCFootnotes"/>
      </w:pPr>
      <w:r>
        <w:rPr>
          <w:rStyle w:val="FootnoteReference"/>
        </w:rPr>
        <w:footnoteRef/>
      </w:r>
      <w:r>
        <w:t xml:space="preserve"> Letter to the Committee for Finance</w:t>
      </w:r>
      <w:r w:rsidRPr="00C11F14">
        <w:t xml:space="preserve"> </w:t>
      </w:r>
      <w:r>
        <w:t>from the NI Human Rights Commission, 18 November 2021.</w:t>
      </w:r>
    </w:p>
  </w:footnote>
  <w:footnote w:id="21">
    <w:p w14:paraId="7EC3DE1D" w14:textId="708172F3" w:rsidR="0006738F" w:rsidRDefault="0006738F" w:rsidP="0006738F">
      <w:pPr>
        <w:pStyle w:val="NIHRCFootnotes"/>
      </w:pPr>
      <w:r>
        <w:rPr>
          <w:rStyle w:val="FootnoteReference"/>
        </w:rPr>
        <w:footnoteRef/>
      </w:r>
      <w:r>
        <w:t xml:space="preserve"> </w:t>
      </w:r>
      <w:r w:rsidR="00816A31">
        <w:t>Ibid</w:t>
      </w:r>
      <w:r>
        <w:t>.</w:t>
      </w:r>
    </w:p>
  </w:footnote>
  <w:footnote w:id="22">
    <w:p w14:paraId="7BED0DA8" w14:textId="04885633" w:rsidR="00C11F14" w:rsidRDefault="00C11F14" w:rsidP="00C11F14">
      <w:pPr>
        <w:pStyle w:val="NIHRCFootnotes"/>
      </w:pPr>
      <w:r>
        <w:rPr>
          <w:rStyle w:val="FootnoteReference"/>
        </w:rPr>
        <w:footnoteRef/>
      </w:r>
      <w:r>
        <w:t xml:space="preserve"> Section 1, Defamation Act 2013.</w:t>
      </w:r>
    </w:p>
  </w:footnote>
  <w:footnote w:id="23">
    <w:p w14:paraId="0C7EC996" w14:textId="49BB3D79" w:rsidR="005D75FC" w:rsidRDefault="005D75FC" w:rsidP="00225475">
      <w:pPr>
        <w:pStyle w:val="NIHRCFootnotes"/>
      </w:pPr>
      <w:r>
        <w:rPr>
          <w:rStyle w:val="FootnoteReference"/>
        </w:rPr>
        <w:footnoteRef/>
      </w:r>
      <w:r>
        <w:t xml:space="preserve"> </w:t>
      </w:r>
      <w:r w:rsidR="00885D11">
        <w:t xml:space="preserve">Department of </w:t>
      </w:r>
      <w:r w:rsidR="00956171">
        <w:t>Finance</w:t>
      </w:r>
      <w:r w:rsidR="00885D11">
        <w:t>, ‘</w:t>
      </w:r>
      <w:r w:rsidR="00225475">
        <w:t>The Defamation Bill</w:t>
      </w:r>
      <w:r w:rsidR="00956171">
        <w:t>: Explanatory and Financial Memorandum’ (DoF, 2022).</w:t>
      </w:r>
    </w:p>
  </w:footnote>
  <w:footnote w:id="24">
    <w:p w14:paraId="51B2E4F6" w14:textId="5343CC10" w:rsidR="00B831C4" w:rsidRDefault="00B831C4" w:rsidP="00B831C4">
      <w:pPr>
        <w:pStyle w:val="NIHRCFootnotes"/>
      </w:pPr>
      <w:r>
        <w:rPr>
          <w:rStyle w:val="FootnoteReference"/>
        </w:rPr>
        <w:footnoteRef/>
      </w:r>
      <w:r>
        <w:t xml:space="preserve"> </w:t>
      </w:r>
      <w:r w:rsidR="00A208F9" w:rsidRPr="00E00373">
        <w:rPr>
          <w:i/>
          <w:iCs/>
        </w:rPr>
        <w:t>Axel Springer AG v Germany</w:t>
      </w:r>
      <w:r w:rsidR="00182F63">
        <w:rPr>
          <w:i/>
          <w:iCs/>
        </w:rPr>
        <w:t xml:space="preserve"> </w:t>
      </w:r>
      <w:r w:rsidR="00A208F9">
        <w:t xml:space="preserve">(2012) ECHR 227 2012, at para 83 and 84. See also </w:t>
      </w:r>
      <w:r w:rsidR="00A208F9" w:rsidRPr="00E00373">
        <w:rPr>
          <w:i/>
          <w:iCs/>
        </w:rPr>
        <w:t>Karakó v Hungary</w:t>
      </w:r>
      <w:r w:rsidR="00DD0278">
        <w:rPr>
          <w:i/>
          <w:iCs/>
        </w:rPr>
        <w:t xml:space="preserve"> </w:t>
      </w:r>
      <w:r w:rsidR="00A208F9">
        <w:t>(2009) ECHR 712, at para 23.</w:t>
      </w:r>
    </w:p>
  </w:footnote>
  <w:footnote w:id="25">
    <w:p w14:paraId="17E99F56" w14:textId="3044A876" w:rsidR="00305BCC" w:rsidRDefault="00305BCC" w:rsidP="00305BCC">
      <w:pPr>
        <w:pStyle w:val="NIHRCFootnotes"/>
      </w:pPr>
      <w:r>
        <w:rPr>
          <w:rStyle w:val="FootnoteReference"/>
        </w:rPr>
        <w:footnoteRef/>
      </w:r>
      <w:r>
        <w:t xml:space="preserve"> </w:t>
      </w:r>
      <w:r w:rsidRPr="00994DAD">
        <w:rPr>
          <w:i/>
          <w:iCs/>
        </w:rPr>
        <w:t>Thornton v Telegraph Media Group Ltd</w:t>
      </w:r>
      <w:r>
        <w:t xml:space="preserve"> [2010] EWHC 1414, at para 51.</w:t>
      </w:r>
    </w:p>
  </w:footnote>
  <w:footnote w:id="26">
    <w:p w14:paraId="43E7AC3A" w14:textId="24BE3364" w:rsidR="000E71E1" w:rsidRDefault="000E71E1" w:rsidP="000E71E1">
      <w:pPr>
        <w:pStyle w:val="NIHRCFootnotes"/>
      </w:pPr>
      <w:r>
        <w:rPr>
          <w:rStyle w:val="FootnoteReference"/>
        </w:rPr>
        <w:footnoteRef/>
      </w:r>
      <w:r>
        <w:t xml:space="preserve"> </w:t>
      </w:r>
      <w:r w:rsidRPr="00994DAD">
        <w:rPr>
          <w:i/>
          <w:iCs/>
        </w:rPr>
        <w:t xml:space="preserve">Lachaux v Independent Print Ltd </w:t>
      </w:r>
      <w:r w:rsidR="00A208F9">
        <w:rPr>
          <w:i/>
          <w:iCs/>
        </w:rPr>
        <w:t>and</w:t>
      </w:r>
      <w:r w:rsidRPr="00994DAD">
        <w:rPr>
          <w:i/>
          <w:iCs/>
        </w:rPr>
        <w:t xml:space="preserve"> Anor</w:t>
      </w:r>
      <w:r>
        <w:t xml:space="preserve"> [2019] UKSC 27, at para 11.</w:t>
      </w:r>
    </w:p>
  </w:footnote>
  <w:footnote w:id="27">
    <w:p w14:paraId="0A3B7F38" w14:textId="7579190D" w:rsidR="000E71E1" w:rsidRDefault="000E71E1" w:rsidP="000E71E1">
      <w:pPr>
        <w:pStyle w:val="NIHRCFootnotes"/>
      </w:pPr>
      <w:r>
        <w:rPr>
          <w:rStyle w:val="FootnoteReference"/>
        </w:rPr>
        <w:footnoteRef/>
      </w:r>
      <w:r>
        <w:t xml:space="preserve"> </w:t>
      </w:r>
      <w:r w:rsidR="00816A31">
        <w:t>Ibid</w:t>
      </w:r>
      <w:r>
        <w:t>.</w:t>
      </w:r>
    </w:p>
  </w:footnote>
  <w:footnote w:id="28">
    <w:p w14:paraId="14422CBF" w14:textId="0529E26B" w:rsidR="00A15F2C" w:rsidRDefault="00A15F2C" w:rsidP="00A15F2C">
      <w:pPr>
        <w:pStyle w:val="NIHRCFootnotes"/>
      </w:pPr>
      <w:r>
        <w:rPr>
          <w:rStyle w:val="FootnoteReference"/>
        </w:rPr>
        <w:footnoteRef/>
      </w:r>
      <w:r>
        <w:t xml:space="preserve"> Andrew Scott, ‘Reform of Defamation Law in NI’ (LSE, 2016).</w:t>
      </w:r>
    </w:p>
  </w:footnote>
  <w:footnote w:id="29">
    <w:p w14:paraId="650FE63F" w14:textId="1281F3AC" w:rsidR="00831F00" w:rsidRDefault="00831F00" w:rsidP="00831F00">
      <w:pPr>
        <w:pStyle w:val="NIHRCFootnotes"/>
      </w:pPr>
      <w:r>
        <w:rPr>
          <w:rStyle w:val="FootnoteReference"/>
        </w:rPr>
        <w:footnoteRef/>
      </w:r>
      <w:r>
        <w:t xml:space="preserve"> </w:t>
      </w:r>
      <w:r w:rsidR="00816A31">
        <w:t>Ibid.</w:t>
      </w:r>
    </w:p>
  </w:footnote>
  <w:footnote w:id="30">
    <w:p w14:paraId="79915053" w14:textId="688FB697" w:rsidR="00D96527" w:rsidRDefault="00D96527" w:rsidP="00D96527">
      <w:pPr>
        <w:pStyle w:val="NIHRCFootnotes"/>
      </w:pPr>
      <w:r>
        <w:rPr>
          <w:rStyle w:val="FootnoteReference"/>
        </w:rPr>
        <w:footnoteRef/>
      </w:r>
      <w:r>
        <w:t xml:space="preserve"> CCPR/C/GBR/CO/6 ‘Concluding </w:t>
      </w:r>
      <w:r w:rsidR="00AE00E4">
        <w:t>O</w:t>
      </w:r>
      <w:r>
        <w:t xml:space="preserve">bservations of the Human Rights Committee on </w:t>
      </w:r>
      <w:r w:rsidR="00AE00E4">
        <w:t>the S</w:t>
      </w:r>
      <w:r>
        <w:t xml:space="preserve">ixth </w:t>
      </w:r>
      <w:r w:rsidR="00AE00E4">
        <w:t>P</w:t>
      </w:r>
      <w:r>
        <w:t xml:space="preserve">eriodic </w:t>
      </w:r>
      <w:r w:rsidR="00AE00E4">
        <w:t>R</w:t>
      </w:r>
      <w:r>
        <w:t xml:space="preserve">eport </w:t>
      </w:r>
      <w:r w:rsidR="00AE00E4">
        <w:t>S</w:t>
      </w:r>
      <w:r>
        <w:t xml:space="preserve">ubmitted by the </w:t>
      </w:r>
      <w:r w:rsidR="00DD0278">
        <w:t>UK</w:t>
      </w:r>
      <w:r>
        <w:t>’</w:t>
      </w:r>
      <w:r w:rsidR="00DD0278">
        <w:t>,</w:t>
      </w:r>
      <w:r>
        <w:t xml:space="preserve"> 30 July 2008.</w:t>
      </w:r>
    </w:p>
  </w:footnote>
  <w:footnote w:id="31">
    <w:p w14:paraId="1BBD5257" w14:textId="300337C6" w:rsidR="00BE3F50" w:rsidRDefault="00BE3F50" w:rsidP="00BE3F50">
      <w:pPr>
        <w:pStyle w:val="NIHRCFootnotes"/>
      </w:pPr>
      <w:r>
        <w:rPr>
          <w:rStyle w:val="FootnoteReference"/>
        </w:rPr>
        <w:footnoteRef/>
      </w:r>
      <w:r>
        <w:t xml:space="preserve"> Department of Finance, ‘Review of Defamation Law in NI’ (DoF, 2023), at 10.</w:t>
      </w:r>
    </w:p>
  </w:footnote>
  <w:footnote w:id="32">
    <w:p w14:paraId="1E4ED669" w14:textId="6619B142" w:rsidR="001C1731" w:rsidRDefault="001C1731" w:rsidP="00F020D4">
      <w:pPr>
        <w:pStyle w:val="NIHRCFootnotes"/>
      </w:pPr>
      <w:r>
        <w:rPr>
          <w:rStyle w:val="FootnoteReference"/>
        </w:rPr>
        <w:footnoteRef/>
      </w:r>
      <w:r>
        <w:t xml:space="preserve"> </w:t>
      </w:r>
      <w:r w:rsidR="00F020D4">
        <w:t>CoE Committee of Ministers, ‘The Desirability of International Standards Dealing with Forum Shopping in Respect of Defamation, “Libel Tourism”, to Ensure Freedom of Expression’, 4 July 2012.</w:t>
      </w:r>
    </w:p>
  </w:footnote>
  <w:footnote w:id="33">
    <w:p w14:paraId="1AC7DD20" w14:textId="3FD9BEE6" w:rsidR="00BE3F50" w:rsidRDefault="00BE3F50" w:rsidP="00BE3F50">
      <w:pPr>
        <w:pStyle w:val="NIHRCFootnotes"/>
      </w:pPr>
      <w:r>
        <w:rPr>
          <w:rStyle w:val="FootnoteReference"/>
        </w:rPr>
        <w:footnoteRef/>
      </w:r>
      <w:r>
        <w:t xml:space="preserve"> Department of Finance, ‘Review of Defamation Law in NI’ (DoF, 2023), at 10.</w:t>
      </w:r>
    </w:p>
  </w:footnote>
  <w:footnote w:id="34">
    <w:p w14:paraId="50752E37" w14:textId="7CED7548" w:rsidR="00624404" w:rsidRDefault="00624404" w:rsidP="00624404">
      <w:pPr>
        <w:pStyle w:val="NIHRCFootnotes"/>
      </w:pPr>
      <w:r>
        <w:rPr>
          <w:rStyle w:val="FootnoteReference"/>
        </w:rPr>
        <w:footnoteRef/>
      </w:r>
      <w:r>
        <w:t xml:space="preserve"> </w:t>
      </w:r>
      <w:r w:rsidR="00816A31">
        <w:t>Ibid</w:t>
      </w:r>
      <w:r>
        <w:t>.</w:t>
      </w:r>
    </w:p>
  </w:footnote>
  <w:footnote w:id="35">
    <w:p w14:paraId="745DE83F" w14:textId="2C854B52" w:rsidR="00F0157F" w:rsidRDefault="00F0157F" w:rsidP="00F0157F">
      <w:pPr>
        <w:pStyle w:val="NIHRCFootnotes"/>
      </w:pPr>
      <w:r>
        <w:rPr>
          <w:rStyle w:val="FootnoteReference"/>
        </w:rPr>
        <w:footnoteRef/>
      </w:r>
      <w:r>
        <w:t xml:space="preserve"> </w:t>
      </w:r>
      <w:r w:rsidR="00816A31">
        <w:t>Ibid</w:t>
      </w:r>
      <w:r>
        <w:t>, at 11.</w:t>
      </w:r>
    </w:p>
  </w:footnote>
  <w:footnote w:id="36">
    <w:p w14:paraId="3E2BCC7B" w14:textId="414432AC" w:rsidR="003B2D91" w:rsidRDefault="003B2D91" w:rsidP="00484F1F">
      <w:pPr>
        <w:pStyle w:val="NIHRCFootnotes"/>
      </w:pPr>
      <w:r>
        <w:rPr>
          <w:rStyle w:val="FootnoteReference"/>
        </w:rPr>
        <w:footnoteRef/>
      </w:r>
      <w:r>
        <w:t xml:space="preserve"> </w:t>
      </w:r>
      <w:r w:rsidR="00C24338">
        <w:t xml:space="preserve">UN Human Rights Office of the High Commissioner, </w:t>
      </w:r>
      <w:r w:rsidR="00133E1C">
        <w:t>‘</w:t>
      </w:r>
      <w:r w:rsidR="00886912">
        <w:t xml:space="preserve">UN Special Rapporteur on the Rights to Freedom of Peaceful </w:t>
      </w:r>
      <w:r w:rsidR="00176AC4">
        <w:t>Assembly and of Association</w:t>
      </w:r>
      <w:r w:rsidR="00484F1F">
        <w:t xml:space="preserve"> Information</w:t>
      </w:r>
      <w:r w:rsidR="00620195">
        <w:t xml:space="preserve">, </w:t>
      </w:r>
      <w:r w:rsidR="00C24338">
        <w:t>Annalisa Ciampi:</w:t>
      </w:r>
      <w:r w:rsidR="00484F1F">
        <w:t xml:space="preserve"> Note on S</w:t>
      </w:r>
      <w:r w:rsidR="00734366">
        <w:t>trategic Litigation Against Public Participation</w:t>
      </w:r>
      <w:r w:rsidR="00484F1F">
        <w:t xml:space="preserve"> and F</w:t>
      </w:r>
      <w:r w:rsidR="00620195">
        <w:t>reedom of Peaceful Assembly and Association</w:t>
      </w:r>
      <w:r w:rsidR="00484F1F">
        <w:t xml:space="preserve"> Rights’</w:t>
      </w:r>
      <w:r w:rsidR="00C24338">
        <w:t xml:space="preserve"> (UNHRC</w:t>
      </w:r>
      <w:r w:rsidR="007F1803">
        <w:t>, Unknown).</w:t>
      </w:r>
    </w:p>
  </w:footnote>
  <w:footnote w:id="37">
    <w:p w14:paraId="1619D859" w14:textId="7BBDDA3F" w:rsidR="003B2D91" w:rsidRDefault="003B2D91" w:rsidP="00484F1F">
      <w:pPr>
        <w:pStyle w:val="NIHRCFootnotes"/>
      </w:pPr>
      <w:r>
        <w:rPr>
          <w:rStyle w:val="FootnoteReference"/>
        </w:rPr>
        <w:footnoteRef/>
      </w:r>
      <w:r>
        <w:t xml:space="preserve"> </w:t>
      </w:r>
      <w:r w:rsidR="00816A31">
        <w:t>Ibid.</w:t>
      </w:r>
    </w:p>
  </w:footnote>
  <w:footnote w:id="38">
    <w:p w14:paraId="28E4BD9F" w14:textId="3D6AA27D" w:rsidR="00AD751F" w:rsidRDefault="00AD751F" w:rsidP="00484F1F">
      <w:pPr>
        <w:pStyle w:val="NIHRCFootnotes"/>
      </w:pPr>
      <w:r>
        <w:rPr>
          <w:rStyle w:val="FootnoteReference"/>
        </w:rPr>
        <w:footnoteRef/>
      </w:r>
      <w:r>
        <w:t xml:space="preserve"> </w:t>
      </w:r>
      <w:r w:rsidR="00816A31">
        <w:t>Ibid.</w:t>
      </w:r>
    </w:p>
  </w:footnote>
  <w:footnote w:id="39">
    <w:p w14:paraId="497BFBBE" w14:textId="245DC82A" w:rsidR="00974B9C" w:rsidRDefault="00974B9C" w:rsidP="00974B9C">
      <w:pPr>
        <w:pStyle w:val="NIHRCFootnotes"/>
      </w:pPr>
      <w:r>
        <w:rPr>
          <w:rStyle w:val="FootnoteReference"/>
        </w:rPr>
        <w:footnoteRef/>
      </w:r>
      <w:r>
        <w:t xml:space="preserve"> </w:t>
      </w:r>
      <w:r>
        <w:t>CoE Committee on Legal Affairs and Human Rights, ‘Situation of Human Rights Defenders and Whistleblowers in Europe’, 18 October 2023.</w:t>
      </w:r>
    </w:p>
  </w:footnote>
  <w:footnote w:id="40">
    <w:p w14:paraId="19A484B4" w14:textId="57E5F7AC" w:rsidR="00FC2D27" w:rsidRDefault="00FC2D27" w:rsidP="00523FCC">
      <w:pPr>
        <w:pStyle w:val="NIHRCFootnotes"/>
      </w:pPr>
      <w:r>
        <w:rPr>
          <w:rStyle w:val="FootnoteReference"/>
        </w:rPr>
        <w:footnoteRef/>
      </w:r>
      <w:r>
        <w:t xml:space="preserve"> </w:t>
      </w:r>
      <w:r w:rsidR="00523FCC">
        <w:t xml:space="preserve">CoE Committee on Legal Affairs and Human Rights, ‘Situation of Human Rights Defenders and Whistleblowers in </w:t>
      </w:r>
      <w:r w:rsidR="00816A31">
        <w:t>Ibid</w:t>
      </w:r>
      <w:r w:rsidR="00523FCC">
        <w:t>.</w:t>
      </w:r>
    </w:p>
  </w:footnote>
  <w:footnote w:id="41">
    <w:p w14:paraId="5E086E62" w14:textId="48C98AF9" w:rsidR="00F55DE2" w:rsidRDefault="00F55DE2" w:rsidP="00F55DE2">
      <w:pPr>
        <w:pStyle w:val="NIHRCFootnotes"/>
      </w:pPr>
      <w:r>
        <w:rPr>
          <w:rStyle w:val="FootnoteReference"/>
        </w:rPr>
        <w:footnoteRef/>
      </w:r>
      <w:r>
        <w:t xml:space="preserve"> </w:t>
      </w:r>
      <w:r w:rsidR="00816A31">
        <w:t>Ibid</w:t>
      </w:r>
      <w:r>
        <w:t>.</w:t>
      </w:r>
    </w:p>
  </w:footnote>
  <w:footnote w:id="42">
    <w:p w14:paraId="6B7F06D2" w14:textId="250DEADF" w:rsidR="00F80380" w:rsidRDefault="00F80380" w:rsidP="00A30C47">
      <w:pPr>
        <w:pStyle w:val="NIHRCFootnotes"/>
      </w:pPr>
      <w:r>
        <w:rPr>
          <w:rStyle w:val="FootnoteReference"/>
        </w:rPr>
        <w:footnoteRef/>
      </w:r>
      <w:r>
        <w:t xml:space="preserve"> </w:t>
      </w:r>
      <w:r w:rsidR="00F54E67">
        <w:t>MSI-</w:t>
      </w:r>
      <w:r w:rsidR="00F54E67">
        <w:t>SLP(2022)07, ‘</w:t>
      </w:r>
      <w:r w:rsidR="00F54E67">
        <w:t>CoE Draft Recommendation CM/Rec(20XX)XX of the Committee of Ministers to Member States on Countering the Use of Strategic Litigation Against Public Participation’</w:t>
      </w:r>
      <w:r w:rsidR="00845F87">
        <w:t>, Pending.</w:t>
      </w:r>
    </w:p>
  </w:footnote>
  <w:footnote w:id="43">
    <w:p w14:paraId="4B2383B0" w14:textId="0EDB35DB" w:rsidR="00D537D4" w:rsidRDefault="00D537D4" w:rsidP="00D537D4">
      <w:pPr>
        <w:pStyle w:val="NIHRCFootnotes"/>
      </w:pPr>
      <w:r>
        <w:rPr>
          <w:rStyle w:val="FootnoteReference"/>
        </w:rPr>
        <w:footnoteRef/>
      </w:r>
      <w:r>
        <w:t xml:space="preserve"> </w:t>
      </w:r>
      <w:r w:rsidR="00816A31">
        <w:t>Ibid</w:t>
      </w:r>
      <w:r w:rsidR="00845F87">
        <w:t>.</w:t>
      </w:r>
    </w:p>
  </w:footnote>
  <w:footnote w:id="44">
    <w:p w14:paraId="4CB3B0A3" w14:textId="477C1023" w:rsidR="00EC1318" w:rsidRDefault="00EC1318" w:rsidP="00D10B63">
      <w:pPr>
        <w:pStyle w:val="NIHRCFootnotes"/>
      </w:pPr>
      <w:r>
        <w:rPr>
          <w:rStyle w:val="FootnoteReference"/>
        </w:rPr>
        <w:footnoteRef/>
      </w:r>
      <w:r>
        <w:t xml:space="preserve"> </w:t>
      </w:r>
      <w:r w:rsidR="000C048E">
        <w:t>European Commission</w:t>
      </w:r>
      <w:r w:rsidR="00754B9D">
        <w:t>, ‘Press Release</w:t>
      </w:r>
      <w:r w:rsidR="000C048E">
        <w:t>: Commission welcomes political agreement on countering abusive lawsuits against public participation (SLAPPs)</w:t>
      </w:r>
      <w:r w:rsidR="00D10B63">
        <w:t>’, 30 November 2023.</w:t>
      </w:r>
    </w:p>
  </w:footnote>
  <w:footnote w:id="45">
    <w:p w14:paraId="4978E6F2" w14:textId="2F91931F" w:rsidR="00EC1318" w:rsidRDefault="00EC1318" w:rsidP="004417D4">
      <w:pPr>
        <w:pStyle w:val="NIHRCFootnotes"/>
      </w:pPr>
      <w:r>
        <w:rPr>
          <w:rStyle w:val="FootnoteReference"/>
        </w:rPr>
        <w:footnoteRef/>
      </w:r>
      <w:r>
        <w:t xml:space="preserve"> </w:t>
      </w:r>
      <w:r w:rsidR="004417D4">
        <w:t>COM(2022) 177</w:t>
      </w:r>
      <w:r>
        <w:t xml:space="preserve"> </w:t>
      </w:r>
      <w:r w:rsidR="00C94B0B">
        <w:t>'</w:t>
      </w:r>
      <w:r w:rsidR="00CA1338" w:rsidRPr="00887B75">
        <w:t xml:space="preserve">Proposal for a Directive of the European Parliament and of the Council on Protecting Persons who Engage in public participation from Manifestly </w:t>
      </w:r>
      <w:r w:rsidR="00C94B0B" w:rsidRPr="00887B75">
        <w:t>Unfounded</w:t>
      </w:r>
      <w:r w:rsidR="00CA1338" w:rsidRPr="00887B75">
        <w:t xml:space="preserve"> or Abusive Court Proceedings</w:t>
      </w:r>
      <w:r w:rsidR="00C70248">
        <w:t xml:space="preserve"> </w:t>
      </w:r>
      <w:r w:rsidR="00EE109B" w:rsidRPr="00887B75">
        <w:t>(“Strategic Lawsuits against Public Participation</w:t>
      </w:r>
      <w:r w:rsidR="000A3566">
        <w:t>”)</w:t>
      </w:r>
      <w:r w:rsidR="00D00D20" w:rsidRPr="00887B75">
        <w:t xml:space="preserve">’, </w:t>
      </w:r>
      <w:r w:rsidR="004417D4" w:rsidRPr="00887B75">
        <w:t>27 April 2022.</w:t>
      </w:r>
    </w:p>
  </w:footnote>
  <w:footnote w:id="46">
    <w:p w14:paraId="0FA3F05D" w14:textId="77777777" w:rsidR="008F3DAB" w:rsidRPr="00D95881" w:rsidRDefault="008F3DAB" w:rsidP="008F3DAB">
      <w:pPr>
        <w:pStyle w:val="FootnoteText"/>
        <w:rPr>
          <w:color w:val="77328A"/>
          <w:sz w:val="16"/>
          <w:szCs w:val="16"/>
        </w:rPr>
      </w:pPr>
      <w:r w:rsidRPr="00D95881">
        <w:rPr>
          <w:rStyle w:val="FootnoteReference"/>
          <w:color w:val="77328A"/>
          <w:sz w:val="16"/>
          <w:szCs w:val="16"/>
        </w:rPr>
        <w:footnoteRef/>
      </w:r>
      <w:r w:rsidRPr="00D95881">
        <w:rPr>
          <w:color w:val="77328A"/>
          <w:sz w:val="16"/>
          <w:szCs w:val="16"/>
        </w:rPr>
        <w:t xml:space="preserve"> Equality Commission for NI, NI Human Rights Commission and Irish Human Rights and Equality Commission, ‘Policy Recommendations: European Union developments in Equality and Human Rights: The Impact of Brexit on the divergence of rights and best practice on the island of Ireland’, (ECNI, NIHRC and IHREC, 2023)</w:t>
      </w:r>
      <w:r>
        <w:rPr>
          <w:color w:val="77328A"/>
          <w:sz w:val="16"/>
          <w:szCs w:val="16"/>
        </w:rPr>
        <w:t>.</w:t>
      </w:r>
    </w:p>
  </w:footnote>
  <w:footnote w:id="47">
    <w:p w14:paraId="047C7A8F" w14:textId="5085E666" w:rsidR="00AD751F" w:rsidRDefault="00AD751F" w:rsidP="002428E9">
      <w:pPr>
        <w:pStyle w:val="NIHRCFootnotes"/>
      </w:pPr>
      <w:r>
        <w:rPr>
          <w:rStyle w:val="FootnoteReference"/>
        </w:rPr>
        <w:footnoteRef/>
      </w:r>
      <w:r>
        <w:t xml:space="preserve"> </w:t>
      </w:r>
      <w:r w:rsidR="00065392">
        <w:t xml:space="preserve">UK Government, </w:t>
      </w:r>
      <w:r w:rsidR="00485425">
        <w:t xml:space="preserve">‘Factsheet: </w:t>
      </w:r>
      <w:r w:rsidR="000A3566">
        <w:t>S</w:t>
      </w:r>
      <w:r w:rsidR="00485425">
        <w:t xml:space="preserve">trategic </w:t>
      </w:r>
      <w:r w:rsidR="000A3566">
        <w:t>L</w:t>
      </w:r>
      <w:r w:rsidR="00485425">
        <w:t xml:space="preserve">awsuits </w:t>
      </w:r>
      <w:r w:rsidR="000A3566">
        <w:t>A</w:t>
      </w:r>
      <w:r w:rsidR="00485425">
        <w:t xml:space="preserve">gainst </w:t>
      </w:r>
      <w:r w:rsidR="000A3566">
        <w:t>P</w:t>
      </w:r>
      <w:r w:rsidR="00485425">
        <w:t xml:space="preserve">ublic </w:t>
      </w:r>
      <w:r w:rsidR="000A3566">
        <w:t>P</w:t>
      </w:r>
      <w:r w:rsidR="00485425">
        <w:t>articipation (SLAPPs)</w:t>
      </w:r>
      <w:r w:rsidR="00C23E28">
        <w:t>’</w:t>
      </w:r>
      <w:r w:rsidR="000A3566">
        <w:t>.</w:t>
      </w:r>
      <w:r w:rsidR="00C23E28">
        <w:t xml:space="preserve"> Available at: </w:t>
      </w:r>
      <w:hyperlink r:id="rId1" w:history="1">
        <w:r w:rsidR="002428E9">
          <w:rPr>
            <w:rStyle w:val="Hyperlink"/>
          </w:rPr>
          <w:t>Factsheet: strategic lawsuits against public participation (SLAPPs) - GOV.UK (www.gov.uk)</w:t>
        </w:r>
      </w:hyperlink>
    </w:p>
  </w:footnote>
  <w:footnote w:id="48">
    <w:p w14:paraId="73307B5A" w14:textId="329F764B" w:rsidR="009C50E9" w:rsidRDefault="009C50E9" w:rsidP="009C50E9">
      <w:pPr>
        <w:pStyle w:val="NIHRCFootnotes"/>
      </w:pPr>
      <w:r>
        <w:rPr>
          <w:rStyle w:val="FootnoteReference"/>
        </w:rPr>
        <w:footnoteRef/>
      </w:r>
      <w:r>
        <w:t xml:space="preserve"> Department of Finance, ‘Review of Defamation Law in NI’ (DoF, 2023), at 12</w:t>
      </w:r>
      <w:r w:rsidR="00E40659">
        <w:t xml:space="preserve">; Letter </w:t>
      </w:r>
      <w:r w:rsidR="00B46868">
        <w:t>from the NI Human Rights Commission to the Committee for Finance</w:t>
      </w:r>
      <w:r w:rsidR="00684247">
        <w:t>, 18 November 2021</w:t>
      </w:r>
      <w:r w:rsidR="00842AFD">
        <w:t>; Andrew Scott, ‘Re</w:t>
      </w:r>
      <w:r w:rsidR="001B3164">
        <w:t>form</w:t>
      </w:r>
      <w:r w:rsidR="00842AFD">
        <w:t xml:space="preserve"> of Defamation Law in NI’</w:t>
      </w:r>
      <w:r w:rsidR="001B3164">
        <w:t xml:space="preserve"> (LSE, 2016</w:t>
      </w:r>
      <w:r w:rsidR="00014F90">
        <w:t>)</w:t>
      </w:r>
      <w:r w:rsidR="009A7361">
        <w:t>.</w:t>
      </w:r>
    </w:p>
  </w:footnote>
  <w:footnote w:id="49">
    <w:p w14:paraId="38707FF0" w14:textId="2B54A0D3" w:rsidR="002F5643" w:rsidRDefault="002F5643" w:rsidP="005D268D">
      <w:pPr>
        <w:pStyle w:val="NIHRCFootnotes"/>
      </w:pPr>
      <w:r>
        <w:rPr>
          <w:rStyle w:val="FootnoteReference"/>
        </w:rPr>
        <w:footnoteRef/>
      </w:r>
      <w:r>
        <w:t xml:space="preserve"> </w:t>
      </w:r>
      <w:r w:rsidR="002F77DB">
        <w:t>The Law Society, ‘Press Release: Cost of living crisis could drive a wedge into justice gap’</w:t>
      </w:r>
      <w:r w:rsidR="005D268D">
        <w:t>, 31 May 2022.</w:t>
      </w:r>
    </w:p>
  </w:footnote>
  <w:footnote w:id="50">
    <w:p w14:paraId="3322AAC9" w14:textId="10795BE1" w:rsidR="00014F90" w:rsidRDefault="00014F90" w:rsidP="00014F90">
      <w:pPr>
        <w:pStyle w:val="NIHRCFootnotes"/>
      </w:pPr>
      <w:r>
        <w:rPr>
          <w:rStyle w:val="FootnoteReference"/>
        </w:rPr>
        <w:footnoteRef/>
      </w:r>
      <w:r>
        <w:t xml:space="preserve"> Andrew Scott, ‘Reform of Defamation Law in NI’ (LSE, 2016); Department of Finance, ‘Review of Defamation Law in NI’ (DoF, 2023).</w:t>
      </w:r>
    </w:p>
  </w:footnote>
  <w:footnote w:id="51">
    <w:p w14:paraId="5136A528" w14:textId="2AA0B1B5" w:rsidR="00CF4D1E" w:rsidRDefault="00CF4D1E" w:rsidP="00CF4D1E">
      <w:pPr>
        <w:pStyle w:val="NIHRCFootnotes"/>
      </w:pPr>
      <w:r>
        <w:rPr>
          <w:rStyle w:val="FootnoteReference"/>
        </w:rPr>
        <w:footnoteRef/>
      </w:r>
      <w:r>
        <w:t xml:space="preserve"> </w:t>
      </w:r>
      <w:r w:rsidRPr="001B3164">
        <w:rPr>
          <w:i/>
          <w:iCs/>
        </w:rPr>
        <w:t>Airey v Ireland</w:t>
      </w:r>
      <w:r>
        <w:t xml:space="preserve"> (1979) ECHR 3, at para 26.</w:t>
      </w:r>
    </w:p>
  </w:footnote>
  <w:footnote w:id="52">
    <w:p w14:paraId="386AC8EC" w14:textId="2596AAA2" w:rsidR="00CF4D1E" w:rsidRDefault="00CF4D1E" w:rsidP="00CF4D1E">
      <w:pPr>
        <w:pStyle w:val="NIHRCFootnotes"/>
      </w:pPr>
      <w:r>
        <w:rPr>
          <w:rStyle w:val="FootnoteReference"/>
        </w:rPr>
        <w:footnoteRef/>
      </w:r>
      <w:r>
        <w:t xml:space="preserve"> </w:t>
      </w:r>
      <w:r w:rsidR="00816A31">
        <w:t>Ibid</w:t>
      </w:r>
      <w:r>
        <w:t>.</w:t>
      </w:r>
    </w:p>
  </w:footnote>
  <w:footnote w:id="53">
    <w:p w14:paraId="572C66DC" w14:textId="02ED0EB8" w:rsidR="00C773D1" w:rsidRDefault="00C773D1" w:rsidP="00C773D1">
      <w:pPr>
        <w:pStyle w:val="NIHRCFootnotes"/>
      </w:pPr>
      <w:r>
        <w:rPr>
          <w:rStyle w:val="FootnoteReference"/>
        </w:rPr>
        <w:footnoteRef/>
      </w:r>
      <w:r>
        <w:t xml:space="preserve"> CCPR/C/GC/32, ‘UN H</w:t>
      </w:r>
      <w:r w:rsidR="000A3566">
        <w:t>uman Rights Committee</w:t>
      </w:r>
      <w:r>
        <w:t xml:space="preserve"> General Comment No 32: Right to </w:t>
      </w:r>
      <w:r w:rsidR="000A3566">
        <w:t>E</w:t>
      </w:r>
      <w:r>
        <w:t xml:space="preserve">quality </w:t>
      </w:r>
      <w:r w:rsidR="000A3566">
        <w:t>B</w:t>
      </w:r>
      <w:r>
        <w:t xml:space="preserve">efore </w:t>
      </w:r>
      <w:r w:rsidR="000A3566">
        <w:t>C</w:t>
      </w:r>
      <w:r>
        <w:t xml:space="preserve">ourts and </w:t>
      </w:r>
      <w:r w:rsidR="000A3566">
        <w:t>T</w:t>
      </w:r>
      <w:r>
        <w:t xml:space="preserve">ribunals and to a </w:t>
      </w:r>
      <w:r w:rsidR="000A3566">
        <w:t>F</w:t>
      </w:r>
      <w:r>
        <w:t xml:space="preserve">air </w:t>
      </w:r>
      <w:r w:rsidR="000A3566">
        <w:t>T</w:t>
      </w:r>
      <w:r>
        <w:t>rial’</w:t>
      </w:r>
      <w:r w:rsidR="000A3566">
        <w:t>,</w:t>
      </w:r>
      <w:r>
        <w:t xml:space="preserve"> 23 August 2007.</w:t>
      </w:r>
    </w:p>
  </w:footnote>
  <w:footnote w:id="54">
    <w:p w14:paraId="090A7FD9" w14:textId="627EFB6D" w:rsidR="00C773D1" w:rsidRDefault="00C773D1" w:rsidP="00C773D1">
      <w:pPr>
        <w:pStyle w:val="NIHRCFootnotes"/>
      </w:pPr>
      <w:r>
        <w:rPr>
          <w:rStyle w:val="FootnoteReference"/>
        </w:rPr>
        <w:footnoteRef/>
      </w:r>
      <w:r>
        <w:t xml:space="preserve"> </w:t>
      </w:r>
      <w:r w:rsidR="00816A31">
        <w:t>Ibid</w:t>
      </w:r>
      <w:r w:rsidR="000A3566">
        <w:t>.</w:t>
      </w:r>
    </w:p>
  </w:footnote>
  <w:footnote w:id="55">
    <w:p w14:paraId="36F52F49" w14:textId="1BFF02B3" w:rsidR="00AB09F9" w:rsidRDefault="00AB09F9" w:rsidP="00917FA0">
      <w:pPr>
        <w:pStyle w:val="NIHRCFootnotes"/>
      </w:pPr>
      <w:r>
        <w:rPr>
          <w:rStyle w:val="FootnoteReference"/>
        </w:rPr>
        <w:footnoteRef/>
      </w:r>
      <w:r>
        <w:t xml:space="preserve"> </w:t>
      </w:r>
      <w:r>
        <w:rPr>
          <w:i/>
          <w:iCs/>
        </w:rPr>
        <w:t>Staroszczyk v Poland</w:t>
      </w:r>
      <w:r>
        <w:t xml:space="preserve"> (2007) ECHR 222, at para 124.</w:t>
      </w:r>
    </w:p>
  </w:footnote>
  <w:footnote w:id="56">
    <w:p w14:paraId="02F2E43B" w14:textId="71FCC6EF" w:rsidR="006A16E4" w:rsidRPr="00A5249A" w:rsidRDefault="006A16E4" w:rsidP="00FE43AC">
      <w:pPr>
        <w:pStyle w:val="NIHRCFootnotes"/>
      </w:pPr>
      <w:r>
        <w:rPr>
          <w:rStyle w:val="FootnoteReference"/>
        </w:rPr>
        <w:footnoteRef/>
      </w:r>
      <w:r>
        <w:t xml:space="preserve"> </w:t>
      </w:r>
      <w:r w:rsidR="00816A31">
        <w:t>Ibid</w:t>
      </w:r>
      <w:r w:rsidR="00FE43AC">
        <w:t>.</w:t>
      </w:r>
      <w:r w:rsidR="00991D61">
        <w:t xml:space="preserve"> </w:t>
      </w:r>
    </w:p>
  </w:footnote>
  <w:footnote w:id="57">
    <w:p w14:paraId="4A669CB0" w14:textId="1D022B5E" w:rsidR="00CA6B2F" w:rsidRDefault="00CA6B2F" w:rsidP="00917FA0">
      <w:pPr>
        <w:pStyle w:val="NIHRCFootnotes"/>
      </w:pPr>
      <w:r>
        <w:rPr>
          <w:rStyle w:val="FootnoteReference"/>
        </w:rPr>
        <w:footnoteRef/>
      </w:r>
      <w:r>
        <w:t xml:space="preserve"> </w:t>
      </w:r>
      <w:r w:rsidR="00816A31">
        <w:t>Ibid</w:t>
      </w:r>
      <w:r w:rsidR="00D57CA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15FED"/>
    <w:multiLevelType w:val="multilevel"/>
    <w:tmpl w:val="9B9E8C50"/>
    <w:lvl w:ilvl="0">
      <w:start w:val="5"/>
      <w:numFmt w:val="decimal"/>
      <w:lvlText w:val="%1.0"/>
      <w:lvlJc w:val="left"/>
      <w:pPr>
        <w:ind w:left="1080" w:hanging="1080"/>
      </w:pPr>
      <w:rPr>
        <w:rFonts w:hint="default"/>
      </w:rPr>
    </w:lvl>
    <w:lvl w:ilvl="1">
      <w:start w:val="1"/>
      <w:numFmt w:val="decimal"/>
      <w:lvlText w:val="%1.%2"/>
      <w:lvlJc w:val="left"/>
      <w:pPr>
        <w:ind w:left="1800" w:hanging="1080"/>
      </w:pPr>
      <w:rPr>
        <w:rFonts w:hint="default"/>
        <w:b w:val="0"/>
        <w:bCs w:val="0"/>
        <w:sz w:val="24"/>
        <w:szCs w:val="24"/>
      </w:rPr>
    </w:lvl>
    <w:lvl w:ilvl="2">
      <w:start w:val="1"/>
      <w:numFmt w:val="decimal"/>
      <w:lvlText w:val="%1.%2.%3"/>
      <w:lvlJc w:val="left"/>
      <w:pPr>
        <w:ind w:left="2880" w:hanging="1440"/>
      </w:pPr>
      <w:rPr>
        <w:rFonts w:hint="default"/>
      </w:rPr>
    </w:lvl>
    <w:lvl w:ilvl="3">
      <w:start w:val="1"/>
      <w:numFmt w:val="decimal"/>
      <w:lvlText w:val="%1.%2.%3.%4"/>
      <w:lvlJc w:val="left"/>
      <w:pPr>
        <w:ind w:left="4320" w:hanging="2160"/>
      </w:pPr>
      <w:rPr>
        <w:rFonts w:hint="default"/>
      </w:rPr>
    </w:lvl>
    <w:lvl w:ilvl="4">
      <w:start w:val="1"/>
      <w:numFmt w:val="decimal"/>
      <w:lvlText w:val="%1.%2.%3.%4.%5"/>
      <w:lvlJc w:val="left"/>
      <w:pPr>
        <w:ind w:left="5400" w:hanging="2520"/>
      </w:pPr>
      <w:rPr>
        <w:rFonts w:hint="default"/>
      </w:rPr>
    </w:lvl>
    <w:lvl w:ilvl="5">
      <w:start w:val="1"/>
      <w:numFmt w:val="decimal"/>
      <w:lvlText w:val="%1.%2.%3.%4.%5.%6"/>
      <w:lvlJc w:val="left"/>
      <w:pPr>
        <w:ind w:left="6480" w:hanging="2880"/>
      </w:pPr>
      <w:rPr>
        <w:rFonts w:hint="default"/>
      </w:rPr>
    </w:lvl>
    <w:lvl w:ilvl="6">
      <w:start w:val="1"/>
      <w:numFmt w:val="decimal"/>
      <w:lvlText w:val="%1.%2.%3.%4.%5.%6.%7"/>
      <w:lvlJc w:val="left"/>
      <w:pPr>
        <w:ind w:left="7920" w:hanging="3600"/>
      </w:pPr>
      <w:rPr>
        <w:rFonts w:hint="default"/>
      </w:rPr>
    </w:lvl>
    <w:lvl w:ilvl="7">
      <w:start w:val="1"/>
      <w:numFmt w:val="decimal"/>
      <w:lvlText w:val="%1.%2.%3.%4.%5.%6.%7.%8"/>
      <w:lvlJc w:val="left"/>
      <w:pPr>
        <w:ind w:left="9000" w:hanging="3960"/>
      </w:pPr>
      <w:rPr>
        <w:rFonts w:hint="default"/>
      </w:rPr>
    </w:lvl>
    <w:lvl w:ilvl="8">
      <w:start w:val="1"/>
      <w:numFmt w:val="decimal"/>
      <w:lvlText w:val="%1.%2.%3.%4.%5.%6.%7.%8.%9"/>
      <w:lvlJc w:val="left"/>
      <w:pPr>
        <w:ind w:left="10080" w:hanging="4320"/>
      </w:pPr>
      <w:rPr>
        <w:rFonts w:hint="default"/>
      </w:rPr>
    </w:lvl>
  </w:abstractNum>
  <w:abstractNum w:abstractNumId="1"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00ACA"/>
    <w:multiLevelType w:val="hybridMultilevel"/>
    <w:tmpl w:val="46187DA0"/>
    <w:lvl w:ilvl="0" w:tplc="F202FF92">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15:restartNumberingAfterBreak="0">
    <w:nsid w:val="1D7D7A02"/>
    <w:multiLevelType w:val="hybridMultilevel"/>
    <w:tmpl w:val="DA5EEC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CA695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2A4843"/>
    <w:multiLevelType w:val="hybridMultilevel"/>
    <w:tmpl w:val="D9CE3F74"/>
    <w:lvl w:ilvl="0" w:tplc="A606ACD4">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8"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6960E9"/>
    <w:multiLevelType w:val="multilevel"/>
    <w:tmpl w:val="CC1C08B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0" w15:restartNumberingAfterBreak="0">
    <w:nsid w:val="44360A21"/>
    <w:multiLevelType w:val="multilevel"/>
    <w:tmpl w:val="CC1C08B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1" w15:restartNumberingAfterBreak="0">
    <w:nsid w:val="467E0480"/>
    <w:multiLevelType w:val="hybridMultilevel"/>
    <w:tmpl w:val="844E3354"/>
    <w:lvl w:ilvl="0" w:tplc="8B5267B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734CA4"/>
    <w:multiLevelType w:val="hybridMultilevel"/>
    <w:tmpl w:val="F6BAEB2E"/>
    <w:lvl w:ilvl="0" w:tplc="51C0BB60">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4" w15:restartNumberingAfterBreak="0">
    <w:nsid w:val="65496BCE"/>
    <w:multiLevelType w:val="multilevel"/>
    <w:tmpl w:val="CC1C08BA"/>
    <w:lvl w:ilvl="0">
      <w:start w:val="1"/>
      <w:numFmt w:val="decimal"/>
      <w:lvlText w:val="%1.0"/>
      <w:lvlJc w:val="left"/>
      <w:pPr>
        <w:ind w:left="720" w:hanging="720"/>
      </w:pPr>
      <w:rPr>
        <w:rFonts w:hint="default"/>
        <w:b/>
        <w:sz w:val="24"/>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sz w:val="24"/>
      </w:rPr>
    </w:lvl>
    <w:lvl w:ilvl="3">
      <w:start w:val="1"/>
      <w:numFmt w:val="decimal"/>
      <w:lvlText w:val="%1.%2.%3.%4"/>
      <w:lvlJc w:val="left"/>
      <w:pPr>
        <w:ind w:left="3600" w:hanging="1440"/>
      </w:pPr>
      <w:rPr>
        <w:rFonts w:hint="default"/>
        <w:b/>
        <w:sz w:val="24"/>
      </w:rPr>
    </w:lvl>
    <w:lvl w:ilvl="4">
      <w:start w:val="1"/>
      <w:numFmt w:val="decimal"/>
      <w:lvlText w:val="%1.%2.%3.%4.%5"/>
      <w:lvlJc w:val="left"/>
      <w:pPr>
        <w:ind w:left="4680" w:hanging="1800"/>
      </w:pPr>
      <w:rPr>
        <w:rFonts w:hint="default"/>
        <w:b/>
        <w:sz w:val="24"/>
      </w:rPr>
    </w:lvl>
    <w:lvl w:ilvl="5">
      <w:start w:val="1"/>
      <w:numFmt w:val="decimal"/>
      <w:lvlText w:val="%1.%2.%3.%4.%5.%6"/>
      <w:lvlJc w:val="left"/>
      <w:pPr>
        <w:ind w:left="5760" w:hanging="2160"/>
      </w:pPr>
      <w:rPr>
        <w:rFonts w:hint="default"/>
        <w:b/>
        <w:sz w:val="24"/>
      </w:rPr>
    </w:lvl>
    <w:lvl w:ilvl="6">
      <w:start w:val="1"/>
      <w:numFmt w:val="decimal"/>
      <w:lvlText w:val="%1.%2.%3.%4.%5.%6.%7"/>
      <w:lvlJc w:val="left"/>
      <w:pPr>
        <w:ind w:left="6840" w:hanging="2520"/>
      </w:pPr>
      <w:rPr>
        <w:rFonts w:hint="default"/>
        <w:b/>
        <w:sz w:val="24"/>
      </w:rPr>
    </w:lvl>
    <w:lvl w:ilvl="7">
      <w:start w:val="1"/>
      <w:numFmt w:val="decimal"/>
      <w:lvlText w:val="%1.%2.%3.%4.%5.%6.%7.%8"/>
      <w:lvlJc w:val="left"/>
      <w:pPr>
        <w:ind w:left="7920" w:hanging="2880"/>
      </w:pPr>
      <w:rPr>
        <w:rFonts w:hint="default"/>
        <w:b/>
        <w:sz w:val="24"/>
      </w:rPr>
    </w:lvl>
    <w:lvl w:ilvl="8">
      <w:start w:val="1"/>
      <w:numFmt w:val="decimal"/>
      <w:lvlText w:val="%1.%2.%3.%4.%5.%6.%7.%8.%9"/>
      <w:lvlJc w:val="left"/>
      <w:pPr>
        <w:ind w:left="9000" w:hanging="3240"/>
      </w:pPr>
      <w:rPr>
        <w:rFonts w:hint="default"/>
        <w:b/>
        <w:sz w:val="24"/>
      </w:rPr>
    </w:lvl>
  </w:abstractNum>
  <w:abstractNum w:abstractNumId="15" w15:restartNumberingAfterBreak="0">
    <w:nsid w:val="66D4103C"/>
    <w:multiLevelType w:val="hybridMultilevel"/>
    <w:tmpl w:val="5B74E232"/>
    <w:lvl w:ilvl="0" w:tplc="FE8E43E8">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BE5AC8"/>
    <w:multiLevelType w:val="hybridMultilevel"/>
    <w:tmpl w:val="C234F9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7657917">
    <w:abstractNumId w:val="12"/>
  </w:num>
  <w:num w:numId="2" w16cid:durableId="1697266906">
    <w:abstractNumId w:val="18"/>
  </w:num>
  <w:num w:numId="3" w16cid:durableId="628514934">
    <w:abstractNumId w:val="1"/>
  </w:num>
  <w:num w:numId="4" w16cid:durableId="399014283">
    <w:abstractNumId w:val="6"/>
  </w:num>
  <w:num w:numId="5" w16cid:durableId="398676961">
    <w:abstractNumId w:val="16"/>
  </w:num>
  <w:num w:numId="6" w16cid:durableId="1290822031">
    <w:abstractNumId w:val="4"/>
  </w:num>
  <w:num w:numId="7" w16cid:durableId="1417286913">
    <w:abstractNumId w:val="8"/>
  </w:num>
  <w:num w:numId="8" w16cid:durableId="1723823536">
    <w:abstractNumId w:val="5"/>
  </w:num>
  <w:num w:numId="9" w16cid:durableId="1432894890">
    <w:abstractNumId w:val="10"/>
  </w:num>
  <w:num w:numId="10" w16cid:durableId="2023389126">
    <w:abstractNumId w:val="15"/>
  </w:num>
  <w:num w:numId="11" w16cid:durableId="949244621">
    <w:abstractNumId w:val="9"/>
  </w:num>
  <w:num w:numId="12" w16cid:durableId="1720133211">
    <w:abstractNumId w:val="3"/>
  </w:num>
  <w:num w:numId="13" w16cid:durableId="115370677">
    <w:abstractNumId w:val="17"/>
  </w:num>
  <w:num w:numId="14" w16cid:durableId="69667081">
    <w:abstractNumId w:val="11"/>
  </w:num>
  <w:num w:numId="15" w16cid:durableId="1385179110">
    <w:abstractNumId w:val="7"/>
  </w:num>
  <w:num w:numId="16" w16cid:durableId="533814767">
    <w:abstractNumId w:val="0"/>
  </w:num>
  <w:num w:numId="17" w16cid:durableId="1107701302">
    <w:abstractNumId w:val="2"/>
  </w:num>
  <w:num w:numId="18" w16cid:durableId="1877352003">
    <w:abstractNumId w:val="13"/>
  </w:num>
  <w:num w:numId="19" w16cid:durableId="6020333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FC3"/>
    <w:rsid w:val="00001CDD"/>
    <w:rsid w:val="00002766"/>
    <w:rsid w:val="00003CBC"/>
    <w:rsid w:val="00004281"/>
    <w:rsid w:val="00005887"/>
    <w:rsid w:val="00014F90"/>
    <w:rsid w:val="00016592"/>
    <w:rsid w:val="00016819"/>
    <w:rsid w:val="00016A01"/>
    <w:rsid w:val="00026DF0"/>
    <w:rsid w:val="00027FB5"/>
    <w:rsid w:val="0004083F"/>
    <w:rsid w:val="00040A71"/>
    <w:rsid w:val="00045047"/>
    <w:rsid w:val="00046705"/>
    <w:rsid w:val="00051F34"/>
    <w:rsid w:val="0005379E"/>
    <w:rsid w:val="00057C4C"/>
    <w:rsid w:val="00060485"/>
    <w:rsid w:val="0006068B"/>
    <w:rsid w:val="00065392"/>
    <w:rsid w:val="00066D0B"/>
    <w:rsid w:val="0006738F"/>
    <w:rsid w:val="00070E05"/>
    <w:rsid w:val="000801E6"/>
    <w:rsid w:val="00091934"/>
    <w:rsid w:val="000963DE"/>
    <w:rsid w:val="000A195F"/>
    <w:rsid w:val="000A3566"/>
    <w:rsid w:val="000A39CD"/>
    <w:rsid w:val="000A4B00"/>
    <w:rsid w:val="000A561E"/>
    <w:rsid w:val="000A71C2"/>
    <w:rsid w:val="000B03B5"/>
    <w:rsid w:val="000B31CD"/>
    <w:rsid w:val="000B719A"/>
    <w:rsid w:val="000C048E"/>
    <w:rsid w:val="000C04A3"/>
    <w:rsid w:val="000C266E"/>
    <w:rsid w:val="000C3446"/>
    <w:rsid w:val="000D1DA0"/>
    <w:rsid w:val="000D3085"/>
    <w:rsid w:val="000D5324"/>
    <w:rsid w:val="000E0F84"/>
    <w:rsid w:val="000E1AD3"/>
    <w:rsid w:val="000E1F61"/>
    <w:rsid w:val="000E71E1"/>
    <w:rsid w:val="000E7F0C"/>
    <w:rsid w:val="000F1909"/>
    <w:rsid w:val="000F5A7C"/>
    <w:rsid w:val="0011060F"/>
    <w:rsid w:val="00111503"/>
    <w:rsid w:val="00111EF5"/>
    <w:rsid w:val="0011357D"/>
    <w:rsid w:val="00114315"/>
    <w:rsid w:val="001213DE"/>
    <w:rsid w:val="00121A6D"/>
    <w:rsid w:val="00126E41"/>
    <w:rsid w:val="00127EE7"/>
    <w:rsid w:val="00133732"/>
    <w:rsid w:val="00133E1C"/>
    <w:rsid w:val="001367FD"/>
    <w:rsid w:val="00137C64"/>
    <w:rsid w:val="00142953"/>
    <w:rsid w:val="00142F1A"/>
    <w:rsid w:val="00151051"/>
    <w:rsid w:val="00151661"/>
    <w:rsid w:val="0015292D"/>
    <w:rsid w:val="00160E48"/>
    <w:rsid w:val="00165423"/>
    <w:rsid w:val="001663D6"/>
    <w:rsid w:val="0016706C"/>
    <w:rsid w:val="0017103F"/>
    <w:rsid w:val="00174C41"/>
    <w:rsid w:val="00175A2F"/>
    <w:rsid w:val="00176AC4"/>
    <w:rsid w:val="001775D0"/>
    <w:rsid w:val="001804D6"/>
    <w:rsid w:val="00182F63"/>
    <w:rsid w:val="00183959"/>
    <w:rsid w:val="001841B2"/>
    <w:rsid w:val="0019199D"/>
    <w:rsid w:val="00194713"/>
    <w:rsid w:val="00194D5C"/>
    <w:rsid w:val="001A09B8"/>
    <w:rsid w:val="001A5B35"/>
    <w:rsid w:val="001B3164"/>
    <w:rsid w:val="001B3D5F"/>
    <w:rsid w:val="001B4CB2"/>
    <w:rsid w:val="001C0B50"/>
    <w:rsid w:val="001C1731"/>
    <w:rsid w:val="001C310E"/>
    <w:rsid w:val="001D3304"/>
    <w:rsid w:val="001D4BD8"/>
    <w:rsid w:val="001D5EB5"/>
    <w:rsid w:val="001E2F75"/>
    <w:rsid w:val="001E39B0"/>
    <w:rsid w:val="001E79A9"/>
    <w:rsid w:val="001F3F21"/>
    <w:rsid w:val="001F5450"/>
    <w:rsid w:val="001F7E2A"/>
    <w:rsid w:val="00205F43"/>
    <w:rsid w:val="00206223"/>
    <w:rsid w:val="00213B8A"/>
    <w:rsid w:val="00215D70"/>
    <w:rsid w:val="002171E1"/>
    <w:rsid w:val="00224140"/>
    <w:rsid w:val="00225475"/>
    <w:rsid w:val="002351CB"/>
    <w:rsid w:val="00240CFE"/>
    <w:rsid w:val="002428E9"/>
    <w:rsid w:val="002428EC"/>
    <w:rsid w:val="002446AB"/>
    <w:rsid w:val="00244C3F"/>
    <w:rsid w:val="00245151"/>
    <w:rsid w:val="00247C4F"/>
    <w:rsid w:val="002544B8"/>
    <w:rsid w:val="00256AD1"/>
    <w:rsid w:val="00261E90"/>
    <w:rsid w:val="00262AD7"/>
    <w:rsid w:val="002650D1"/>
    <w:rsid w:val="00270210"/>
    <w:rsid w:val="00272ADE"/>
    <w:rsid w:val="002748D6"/>
    <w:rsid w:val="002772D9"/>
    <w:rsid w:val="00280628"/>
    <w:rsid w:val="00281D31"/>
    <w:rsid w:val="00287F39"/>
    <w:rsid w:val="002928C2"/>
    <w:rsid w:val="00292A2D"/>
    <w:rsid w:val="002934E5"/>
    <w:rsid w:val="002A0713"/>
    <w:rsid w:val="002B0FB3"/>
    <w:rsid w:val="002B1272"/>
    <w:rsid w:val="002C0535"/>
    <w:rsid w:val="002C0C4A"/>
    <w:rsid w:val="002C5FC1"/>
    <w:rsid w:val="002D0242"/>
    <w:rsid w:val="002E32DC"/>
    <w:rsid w:val="002E54E7"/>
    <w:rsid w:val="002F08F5"/>
    <w:rsid w:val="002F22FC"/>
    <w:rsid w:val="002F259D"/>
    <w:rsid w:val="002F5643"/>
    <w:rsid w:val="002F77DB"/>
    <w:rsid w:val="0030085D"/>
    <w:rsid w:val="003012AA"/>
    <w:rsid w:val="003019CC"/>
    <w:rsid w:val="00301FB0"/>
    <w:rsid w:val="00305BCC"/>
    <w:rsid w:val="00306317"/>
    <w:rsid w:val="003165F5"/>
    <w:rsid w:val="00324B60"/>
    <w:rsid w:val="00326B3B"/>
    <w:rsid w:val="0032770D"/>
    <w:rsid w:val="00327A58"/>
    <w:rsid w:val="003312CB"/>
    <w:rsid w:val="00331C61"/>
    <w:rsid w:val="003331A9"/>
    <w:rsid w:val="00337B19"/>
    <w:rsid w:val="00341BFE"/>
    <w:rsid w:val="00346DCC"/>
    <w:rsid w:val="00351E22"/>
    <w:rsid w:val="00355221"/>
    <w:rsid w:val="00361C4F"/>
    <w:rsid w:val="00363EC7"/>
    <w:rsid w:val="00364105"/>
    <w:rsid w:val="00367CCA"/>
    <w:rsid w:val="003709A0"/>
    <w:rsid w:val="00382EAB"/>
    <w:rsid w:val="0038368A"/>
    <w:rsid w:val="0039185F"/>
    <w:rsid w:val="0039188A"/>
    <w:rsid w:val="0039212E"/>
    <w:rsid w:val="00392C72"/>
    <w:rsid w:val="00393F43"/>
    <w:rsid w:val="00394F13"/>
    <w:rsid w:val="0039622A"/>
    <w:rsid w:val="003A0B5D"/>
    <w:rsid w:val="003A123E"/>
    <w:rsid w:val="003A6626"/>
    <w:rsid w:val="003B2D91"/>
    <w:rsid w:val="003B7D0E"/>
    <w:rsid w:val="003B7E5F"/>
    <w:rsid w:val="003C4316"/>
    <w:rsid w:val="003D09D2"/>
    <w:rsid w:val="003D0C3C"/>
    <w:rsid w:val="003D5348"/>
    <w:rsid w:val="003D7DE8"/>
    <w:rsid w:val="003E7F6A"/>
    <w:rsid w:val="003F1502"/>
    <w:rsid w:val="003F2D29"/>
    <w:rsid w:val="0040158B"/>
    <w:rsid w:val="00402467"/>
    <w:rsid w:val="00404026"/>
    <w:rsid w:val="00405223"/>
    <w:rsid w:val="00420E17"/>
    <w:rsid w:val="004271FB"/>
    <w:rsid w:val="0043003E"/>
    <w:rsid w:val="00431E64"/>
    <w:rsid w:val="004417D4"/>
    <w:rsid w:val="00443C65"/>
    <w:rsid w:val="004526BB"/>
    <w:rsid w:val="00453FDC"/>
    <w:rsid w:val="004549E0"/>
    <w:rsid w:val="00455250"/>
    <w:rsid w:val="00462007"/>
    <w:rsid w:val="00462384"/>
    <w:rsid w:val="00463D6B"/>
    <w:rsid w:val="00466A2E"/>
    <w:rsid w:val="004672AC"/>
    <w:rsid w:val="00470341"/>
    <w:rsid w:val="004718D7"/>
    <w:rsid w:val="00471E4D"/>
    <w:rsid w:val="00484F1F"/>
    <w:rsid w:val="00485425"/>
    <w:rsid w:val="00486CDA"/>
    <w:rsid w:val="004901FB"/>
    <w:rsid w:val="00490567"/>
    <w:rsid w:val="00495F7C"/>
    <w:rsid w:val="0049605D"/>
    <w:rsid w:val="004A69A3"/>
    <w:rsid w:val="004B049D"/>
    <w:rsid w:val="004B502A"/>
    <w:rsid w:val="004C0DBE"/>
    <w:rsid w:val="004C0EAC"/>
    <w:rsid w:val="004C119C"/>
    <w:rsid w:val="004C5FBE"/>
    <w:rsid w:val="004D3AD0"/>
    <w:rsid w:val="004D54F5"/>
    <w:rsid w:val="004D677E"/>
    <w:rsid w:val="004E6BEC"/>
    <w:rsid w:val="004E7303"/>
    <w:rsid w:val="004F20A9"/>
    <w:rsid w:val="00500391"/>
    <w:rsid w:val="0050045E"/>
    <w:rsid w:val="005043F5"/>
    <w:rsid w:val="00515022"/>
    <w:rsid w:val="00523FCC"/>
    <w:rsid w:val="00525A5C"/>
    <w:rsid w:val="0052614E"/>
    <w:rsid w:val="00527AC6"/>
    <w:rsid w:val="00531A8B"/>
    <w:rsid w:val="00532C1D"/>
    <w:rsid w:val="00542B8F"/>
    <w:rsid w:val="00542EE6"/>
    <w:rsid w:val="0054401C"/>
    <w:rsid w:val="005441B5"/>
    <w:rsid w:val="0054731A"/>
    <w:rsid w:val="00547BF1"/>
    <w:rsid w:val="00551B4C"/>
    <w:rsid w:val="00551D7E"/>
    <w:rsid w:val="00552293"/>
    <w:rsid w:val="00553F87"/>
    <w:rsid w:val="00554C85"/>
    <w:rsid w:val="00557A36"/>
    <w:rsid w:val="005644C8"/>
    <w:rsid w:val="005651FC"/>
    <w:rsid w:val="00566574"/>
    <w:rsid w:val="00567220"/>
    <w:rsid w:val="0057273A"/>
    <w:rsid w:val="005748F6"/>
    <w:rsid w:val="00577972"/>
    <w:rsid w:val="00584DC8"/>
    <w:rsid w:val="00585696"/>
    <w:rsid w:val="00586455"/>
    <w:rsid w:val="00590F7D"/>
    <w:rsid w:val="005911DE"/>
    <w:rsid w:val="00593DBC"/>
    <w:rsid w:val="00597D42"/>
    <w:rsid w:val="005A5877"/>
    <w:rsid w:val="005A7F17"/>
    <w:rsid w:val="005B184D"/>
    <w:rsid w:val="005B3AE5"/>
    <w:rsid w:val="005B6420"/>
    <w:rsid w:val="005B723E"/>
    <w:rsid w:val="005B75D3"/>
    <w:rsid w:val="005B769B"/>
    <w:rsid w:val="005D0CEF"/>
    <w:rsid w:val="005D268D"/>
    <w:rsid w:val="005D3BF5"/>
    <w:rsid w:val="005D75FC"/>
    <w:rsid w:val="005E60B5"/>
    <w:rsid w:val="005F2785"/>
    <w:rsid w:val="00605B36"/>
    <w:rsid w:val="00612238"/>
    <w:rsid w:val="00613425"/>
    <w:rsid w:val="00617D87"/>
    <w:rsid w:val="00620195"/>
    <w:rsid w:val="006235D0"/>
    <w:rsid w:val="00623957"/>
    <w:rsid w:val="00624404"/>
    <w:rsid w:val="00630A3B"/>
    <w:rsid w:val="00632A1A"/>
    <w:rsid w:val="00637253"/>
    <w:rsid w:val="006402CB"/>
    <w:rsid w:val="00641860"/>
    <w:rsid w:val="00644DC9"/>
    <w:rsid w:val="00645689"/>
    <w:rsid w:val="00645B61"/>
    <w:rsid w:val="0064767D"/>
    <w:rsid w:val="00656236"/>
    <w:rsid w:val="00656ECD"/>
    <w:rsid w:val="00661312"/>
    <w:rsid w:val="00662EE2"/>
    <w:rsid w:val="00665BC0"/>
    <w:rsid w:val="00666D85"/>
    <w:rsid w:val="00671A5D"/>
    <w:rsid w:val="00672009"/>
    <w:rsid w:val="006802A0"/>
    <w:rsid w:val="00684247"/>
    <w:rsid w:val="00690312"/>
    <w:rsid w:val="006947B6"/>
    <w:rsid w:val="006A16E4"/>
    <w:rsid w:val="006A39A1"/>
    <w:rsid w:val="006A6929"/>
    <w:rsid w:val="006B28F6"/>
    <w:rsid w:val="006B4F8E"/>
    <w:rsid w:val="006C2F3A"/>
    <w:rsid w:val="006C33D5"/>
    <w:rsid w:val="006D6B34"/>
    <w:rsid w:val="006D7983"/>
    <w:rsid w:val="006E2FDC"/>
    <w:rsid w:val="006E5842"/>
    <w:rsid w:val="007001AD"/>
    <w:rsid w:val="007021C3"/>
    <w:rsid w:val="00702652"/>
    <w:rsid w:val="00704A6E"/>
    <w:rsid w:val="00705833"/>
    <w:rsid w:val="00711ECD"/>
    <w:rsid w:val="007123CC"/>
    <w:rsid w:val="00713E30"/>
    <w:rsid w:val="007174C8"/>
    <w:rsid w:val="00717831"/>
    <w:rsid w:val="00721457"/>
    <w:rsid w:val="00734366"/>
    <w:rsid w:val="00736AED"/>
    <w:rsid w:val="007437C5"/>
    <w:rsid w:val="007455DB"/>
    <w:rsid w:val="0075019A"/>
    <w:rsid w:val="00754B9D"/>
    <w:rsid w:val="00754B9F"/>
    <w:rsid w:val="007569C1"/>
    <w:rsid w:val="00763F47"/>
    <w:rsid w:val="00767917"/>
    <w:rsid w:val="0077176F"/>
    <w:rsid w:val="007779B5"/>
    <w:rsid w:val="00777A1A"/>
    <w:rsid w:val="007839BE"/>
    <w:rsid w:val="00783B5C"/>
    <w:rsid w:val="00785970"/>
    <w:rsid w:val="00790D4F"/>
    <w:rsid w:val="00792ED9"/>
    <w:rsid w:val="00793D8B"/>
    <w:rsid w:val="007942A3"/>
    <w:rsid w:val="007A0A4C"/>
    <w:rsid w:val="007A33ED"/>
    <w:rsid w:val="007A33FA"/>
    <w:rsid w:val="007B03CA"/>
    <w:rsid w:val="007B164D"/>
    <w:rsid w:val="007B4556"/>
    <w:rsid w:val="007B76A3"/>
    <w:rsid w:val="007B78BA"/>
    <w:rsid w:val="007C04F9"/>
    <w:rsid w:val="007C265D"/>
    <w:rsid w:val="007C4951"/>
    <w:rsid w:val="007D0EBB"/>
    <w:rsid w:val="007D3F20"/>
    <w:rsid w:val="007D4783"/>
    <w:rsid w:val="007D5C6A"/>
    <w:rsid w:val="007D6A92"/>
    <w:rsid w:val="007E31F4"/>
    <w:rsid w:val="007E3B56"/>
    <w:rsid w:val="007E5CE5"/>
    <w:rsid w:val="007F0C07"/>
    <w:rsid w:val="007F1803"/>
    <w:rsid w:val="007F1AB1"/>
    <w:rsid w:val="007F266D"/>
    <w:rsid w:val="00800825"/>
    <w:rsid w:val="00801600"/>
    <w:rsid w:val="00801EDC"/>
    <w:rsid w:val="00802CFD"/>
    <w:rsid w:val="00803AB5"/>
    <w:rsid w:val="00812D47"/>
    <w:rsid w:val="008159E8"/>
    <w:rsid w:val="00816317"/>
    <w:rsid w:val="00816A31"/>
    <w:rsid w:val="00820622"/>
    <w:rsid w:val="00824A0C"/>
    <w:rsid w:val="00831695"/>
    <w:rsid w:val="00831F00"/>
    <w:rsid w:val="0083327B"/>
    <w:rsid w:val="00841B27"/>
    <w:rsid w:val="00842AFD"/>
    <w:rsid w:val="0084383D"/>
    <w:rsid w:val="00845D5D"/>
    <w:rsid w:val="00845F87"/>
    <w:rsid w:val="00851F2E"/>
    <w:rsid w:val="00852507"/>
    <w:rsid w:val="0085737E"/>
    <w:rsid w:val="008602C9"/>
    <w:rsid w:val="00860659"/>
    <w:rsid w:val="0087006B"/>
    <w:rsid w:val="0087161B"/>
    <w:rsid w:val="00872187"/>
    <w:rsid w:val="00872AEB"/>
    <w:rsid w:val="008735B4"/>
    <w:rsid w:val="0087538F"/>
    <w:rsid w:val="008757D5"/>
    <w:rsid w:val="00875E68"/>
    <w:rsid w:val="00877216"/>
    <w:rsid w:val="00881004"/>
    <w:rsid w:val="008831D6"/>
    <w:rsid w:val="00883A51"/>
    <w:rsid w:val="0088421E"/>
    <w:rsid w:val="008850DA"/>
    <w:rsid w:val="00885D11"/>
    <w:rsid w:val="00886912"/>
    <w:rsid w:val="00887235"/>
    <w:rsid w:val="00887B75"/>
    <w:rsid w:val="00890378"/>
    <w:rsid w:val="00890A50"/>
    <w:rsid w:val="00892B60"/>
    <w:rsid w:val="00893874"/>
    <w:rsid w:val="00897DB2"/>
    <w:rsid w:val="008A046D"/>
    <w:rsid w:val="008A2873"/>
    <w:rsid w:val="008A4A8B"/>
    <w:rsid w:val="008A4C43"/>
    <w:rsid w:val="008A4F8E"/>
    <w:rsid w:val="008B1FFE"/>
    <w:rsid w:val="008B40F1"/>
    <w:rsid w:val="008B546E"/>
    <w:rsid w:val="008B6DA7"/>
    <w:rsid w:val="008C06CC"/>
    <w:rsid w:val="008C2D99"/>
    <w:rsid w:val="008C6839"/>
    <w:rsid w:val="008C6E69"/>
    <w:rsid w:val="008D5CA7"/>
    <w:rsid w:val="008D7C32"/>
    <w:rsid w:val="008E7062"/>
    <w:rsid w:val="008E7A22"/>
    <w:rsid w:val="008F3DAB"/>
    <w:rsid w:val="008F50E2"/>
    <w:rsid w:val="008F6466"/>
    <w:rsid w:val="008F766E"/>
    <w:rsid w:val="00901B49"/>
    <w:rsid w:val="00906787"/>
    <w:rsid w:val="009171A0"/>
    <w:rsid w:val="00917FA0"/>
    <w:rsid w:val="00925160"/>
    <w:rsid w:val="00925F20"/>
    <w:rsid w:val="00934349"/>
    <w:rsid w:val="00936391"/>
    <w:rsid w:val="00956171"/>
    <w:rsid w:val="00957B52"/>
    <w:rsid w:val="009608DF"/>
    <w:rsid w:val="00962B2B"/>
    <w:rsid w:val="0096459E"/>
    <w:rsid w:val="00964A8C"/>
    <w:rsid w:val="00965363"/>
    <w:rsid w:val="00974B9C"/>
    <w:rsid w:val="009800DA"/>
    <w:rsid w:val="00982ED9"/>
    <w:rsid w:val="0098308E"/>
    <w:rsid w:val="0098624B"/>
    <w:rsid w:val="00991D61"/>
    <w:rsid w:val="00991F97"/>
    <w:rsid w:val="00993380"/>
    <w:rsid w:val="00994DAD"/>
    <w:rsid w:val="00995F64"/>
    <w:rsid w:val="009A6051"/>
    <w:rsid w:val="009A7188"/>
    <w:rsid w:val="009A7361"/>
    <w:rsid w:val="009C483A"/>
    <w:rsid w:val="009C50E9"/>
    <w:rsid w:val="009D2565"/>
    <w:rsid w:val="009D4E97"/>
    <w:rsid w:val="009D627E"/>
    <w:rsid w:val="009E59D6"/>
    <w:rsid w:val="009E798A"/>
    <w:rsid w:val="009F0BB6"/>
    <w:rsid w:val="009F2057"/>
    <w:rsid w:val="009F6524"/>
    <w:rsid w:val="00A009D1"/>
    <w:rsid w:val="00A03281"/>
    <w:rsid w:val="00A13F33"/>
    <w:rsid w:val="00A14902"/>
    <w:rsid w:val="00A15F2C"/>
    <w:rsid w:val="00A208F9"/>
    <w:rsid w:val="00A26CD0"/>
    <w:rsid w:val="00A30C47"/>
    <w:rsid w:val="00A31DC3"/>
    <w:rsid w:val="00A33337"/>
    <w:rsid w:val="00A349F7"/>
    <w:rsid w:val="00A4173A"/>
    <w:rsid w:val="00A47D47"/>
    <w:rsid w:val="00A47D97"/>
    <w:rsid w:val="00A51065"/>
    <w:rsid w:val="00A513F5"/>
    <w:rsid w:val="00A5249A"/>
    <w:rsid w:val="00A530ED"/>
    <w:rsid w:val="00A77316"/>
    <w:rsid w:val="00A77FCB"/>
    <w:rsid w:val="00A80490"/>
    <w:rsid w:val="00A8112F"/>
    <w:rsid w:val="00A817CF"/>
    <w:rsid w:val="00A8250B"/>
    <w:rsid w:val="00AA123E"/>
    <w:rsid w:val="00AA374B"/>
    <w:rsid w:val="00AB09F9"/>
    <w:rsid w:val="00AB0C22"/>
    <w:rsid w:val="00AB5516"/>
    <w:rsid w:val="00AC2C09"/>
    <w:rsid w:val="00AC3313"/>
    <w:rsid w:val="00AC57EA"/>
    <w:rsid w:val="00AC5F92"/>
    <w:rsid w:val="00AD2397"/>
    <w:rsid w:val="00AD23A9"/>
    <w:rsid w:val="00AD5475"/>
    <w:rsid w:val="00AD751F"/>
    <w:rsid w:val="00AE00E4"/>
    <w:rsid w:val="00AE30E5"/>
    <w:rsid w:val="00AE4AF7"/>
    <w:rsid w:val="00AF0B06"/>
    <w:rsid w:val="00B037F0"/>
    <w:rsid w:val="00B04170"/>
    <w:rsid w:val="00B0752C"/>
    <w:rsid w:val="00B23757"/>
    <w:rsid w:val="00B2508E"/>
    <w:rsid w:val="00B31093"/>
    <w:rsid w:val="00B370CF"/>
    <w:rsid w:val="00B4073F"/>
    <w:rsid w:val="00B45156"/>
    <w:rsid w:val="00B45F98"/>
    <w:rsid w:val="00B46868"/>
    <w:rsid w:val="00B555BC"/>
    <w:rsid w:val="00B60BE0"/>
    <w:rsid w:val="00B6207C"/>
    <w:rsid w:val="00B638CA"/>
    <w:rsid w:val="00B673C4"/>
    <w:rsid w:val="00B70D8C"/>
    <w:rsid w:val="00B73B65"/>
    <w:rsid w:val="00B76C3E"/>
    <w:rsid w:val="00B82997"/>
    <w:rsid w:val="00B831C4"/>
    <w:rsid w:val="00B959D1"/>
    <w:rsid w:val="00B96D34"/>
    <w:rsid w:val="00BA66B1"/>
    <w:rsid w:val="00BA7442"/>
    <w:rsid w:val="00BC0CC9"/>
    <w:rsid w:val="00BC31FF"/>
    <w:rsid w:val="00BD29B6"/>
    <w:rsid w:val="00BD4A5B"/>
    <w:rsid w:val="00BD7508"/>
    <w:rsid w:val="00BD77DE"/>
    <w:rsid w:val="00BE0036"/>
    <w:rsid w:val="00BE39E7"/>
    <w:rsid w:val="00BE3F50"/>
    <w:rsid w:val="00BE5849"/>
    <w:rsid w:val="00BF4A6E"/>
    <w:rsid w:val="00C01272"/>
    <w:rsid w:val="00C03FCC"/>
    <w:rsid w:val="00C04038"/>
    <w:rsid w:val="00C06602"/>
    <w:rsid w:val="00C11303"/>
    <w:rsid w:val="00C116F1"/>
    <w:rsid w:val="00C11F14"/>
    <w:rsid w:val="00C22F52"/>
    <w:rsid w:val="00C23E28"/>
    <w:rsid w:val="00C24338"/>
    <w:rsid w:val="00C2725D"/>
    <w:rsid w:val="00C434C7"/>
    <w:rsid w:val="00C52032"/>
    <w:rsid w:val="00C640E0"/>
    <w:rsid w:val="00C70248"/>
    <w:rsid w:val="00C75163"/>
    <w:rsid w:val="00C76303"/>
    <w:rsid w:val="00C76E49"/>
    <w:rsid w:val="00C773D1"/>
    <w:rsid w:val="00C80688"/>
    <w:rsid w:val="00C80770"/>
    <w:rsid w:val="00C94B0B"/>
    <w:rsid w:val="00CA1338"/>
    <w:rsid w:val="00CA2C60"/>
    <w:rsid w:val="00CA6743"/>
    <w:rsid w:val="00CA6B2F"/>
    <w:rsid w:val="00CB1481"/>
    <w:rsid w:val="00CC2FFA"/>
    <w:rsid w:val="00CD0015"/>
    <w:rsid w:val="00CD111C"/>
    <w:rsid w:val="00CD573F"/>
    <w:rsid w:val="00CE3039"/>
    <w:rsid w:val="00CF0261"/>
    <w:rsid w:val="00CF4D1E"/>
    <w:rsid w:val="00D00D20"/>
    <w:rsid w:val="00D01A89"/>
    <w:rsid w:val="00D02B6C"/>
    <w:rsid w:val="00D02DB9"/>
    <w:rsid w:val="00D04828"/>
    <w:rsid w:val="00D04CDA"/>
    <w:rsid w:val="00D10B63"/>
    <w:rsid w:val="00D10F4B"/>
    <w:rsid w:val="00D12EF8"/>
    <w:rsid w:val="00D16532"/>
    <w:rsid w:val="00D173C1"/>
    <w:rsid w:val="00D262CA"/>
    <w:rsid w:val="00D2770F"/>
    <w:rsid w:val="00D3183C"/>
    <w:rsid w:val="00D318FA"/>
    <w:rsid w:val="00D34ADB"/>
    <w:rsid w:val="00D34F3B"/>
    <w:rsid w:val="00D420EB"/>
    <w:rsid w:val="00D4370E"/>
    <w:rsid w:val="00D44924"/>
    <w:rsid w:val="00D4608F"/>
    <w:rsid w:val="00D50D48"/>
    <w:rsid w:val="00D537D4"/>
    <w:rsid w:val="00D57343"/>
    <w:rsid w:val="00D57CAF"/>
    <w:rsid w:val="00D66210"/>
    <w:rsid w:val="00D67254"/>
    <w:rsid w:val="00D74633"/>
    <w:rsid w:val="00D74F20"/>
    <w:rsid w:val="00D75737"/>
    <w:rsid w:val="00D767F5"/>
    <w:rsid w:val="00D776E1"/>
    <w:rsid w:val="00D80C11"/>
    <w:rsid w:val="00D833A3"/>
    <w:rsid w:val="00D873AC"/>
    <w:rsid w:val="00D87705"/>
    <w:rsid w:val="00D96527"/>
    <w:rsid w:val="00D96607"/>
    <w:rsid w:val="00DA1D92"/>
    <w:rsid w:val="00DA4591"/>
    <w:rsid w:val="00DA717B"/>
    <w:rsid w:val="00DB250D"/>
    <w:rsid w:val="00DB42CD"/>
    <w:rsid w:val="00DB433B"/>
    <w:rsid w:val="00DB7DB1"/>
    <w:rsid w:val="00DB7F57"/>
    <w:rsid w:val="00DD0278"/>
    <w:rsid w:val="00DD6DB9"/>
    <w:rsid w:val="00DE4F42"/>
    <w:rsid w:val="00DF1375"/>
    <w:rsid w:val="00DF3E16"/>
    <w:rsid w:val="00DF73E8"/>
    <w:rsid w:val="00E03206"/>
    <w:rsid w:val="00E03B4D"/>
    <w:rsid w:val="00E04FF0"/>
    <w:rsid w:val="00E34254"/>
    <w:rsid w:val="00E40659"/>
    <w:rsid w:val="00E41ACD"/>
    <w:rsid w:val="00E46BD5"/>
    <w:rsid w:val="00E47446"/>
    <w:rsid w:val="00E50DA2"/>
    <w:rsid w:val="00E53E28"/>
    <w:rsid w:val="00E54F38"/>
    <w:rsid w:val="00E56B67"/>
    <w:rsid w:val="00E625AA"/>
    <w:rsid w:val="00E65658"/>
    <w:rsid w:val="00E65786"/>
    <w:rsid w:val="00E70878"/>
    <w:rsid w:val="00E72D29"/>
    <w:rsid w:val="00E75679"/>
    <w:rsid w:val="00E766A5"/>
    <w:rsid w:val="00E7676B"/>
    <w:rsid w:val="00E81976"/>
    <w:rsid w:val="00E9414D"/>
    <w:rsid w:val="00EA12CE"/>
    <w:rsid w:val="00EA2EB7"/>
    <w:rsid w:val="00EA3198"/>
    <w:rsid w:val="00EA3BBB"/>
    <w:rsid w:val="00EA6FB7"/>
    <w:rsid w:val="00EA76BF"/>
    <w:rsid w:val="00EB5465"/>
    <w:rsid w:val="00EB7017"/>
    <w:rsid w:val="00EB78D1"/>
    <w:rsid w:val="00EC1318"/>
    <w:rsid w:val="00EC782F"/>
    <w:rsid w:val="00ED40E9"/>
    <w:rsid w:val="00ED4ED1"/>
    <w:rsid w:val="00ED6BB1"/>
    <w:rsid w:val="00EE0F94"/>
    <w:rsid w:val="00EE109B"/>
    <w:rsid w:val="00EE5BA0"/>
    <w:rsid w:val="00EF5F0E"/>
    <w:rsid w:val="00EF676D"/>
    <w:rsid w:val="00EF67BC"/>
    <w:rsid w:val="00F0157F"/>
    <w:rsid w:val="00F020D4"/>
    <w:rsid w:val="00F028ED"/>
    <w:rsid w:val="00F04F87"/>
    <w:rsid w:val="00F05AE0"/>
    <w:rsid w:val="00F07BB0"/>
    <w:rsid w:val="00F11387"/>
    <w:rsid w:val="00F21F1D"/>
    <w:rsid w:val="00F2256A"/>
    <w:rsid w:val="00F24604"/>
    <w:rsid w:val="00F31387"/>
    <w:rsid w:val="00F3213B"/>
    <w:rsid w:val="00F33BD0"/>
    <w:rsid w:val="00F3672A"/>
    <w:rsid w:val="00F416C7"/>
    <w:rsid w:val="00F41A2B"/>
    <w:rsid w:val="00F42F46"/>
    <w:rsid w:val="00F43CE4"/>
    <w:rsid w:val="00F54E67"/>
    <w:rsid w:val="00F55DE2"/>
    <w:rsid w:val="00F56C78"/>
    <w:rsid w:val="00F64925"/>
    <w:rsid w:val="00F65362"/>
    <w:rsid w:val="00F66DAE"/>
    <w:rsid w:val="00F7238D"/>
    <w:rsid w:val="00F800F4"/>
    <w:rsid w:val="00F80380"/>
    <w:rsid w:val="00F94EDD"/>
    <w:rsid w:val="00F94F3D"/>
    <w:rsid w:val="00F970E8"/>
    <w:rsid w:val="00FA42B5"/>
    <w:rsid w:val="00FA4E52"/>
    <w:rsid w:val="00FB6015"/>
    <w:rsid w:val="00FC2D27"/>
    <w:rsid w:val="00FC4920"/>
    <w:rsid w:val="00FD3A3D"/>
    <w:rsid w:val="00FD621D"/>
    <w:rsid w:val="00FE10FB"/>
    <w:rsid w:val="00FE43AC"/>
    <w:rsid w:val="00FE5DDB"/>
    <w:rsid w:val="00FF3CBA"/>
    <w:rsid w:val="00FF4F54"/>
    <w:rsid w:val="00FF68A9"/>
    <w:rsid w:val="0BB4B1F1"/>
    <w:rsid w:val="0DD44C39"/>
    <w:rsid w:val="0E22A098"/>
    <w:rsid w:val="28981DEC"/>
    <w:rsid w:val="38063448"/>
    <w:rsid w:val="395DA2BE"/>
    <w:rsid w:val="5EA75B5A"/>
    <w:rsid w:val="62ED437B"/>
    <w:rsid w:val="64668049"/>
    <w:rsid w:val="71704374"/>
    <w:rsid w:val="748FF608"/>
    <w:rsid w:val="75BF93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CE248"/>
  <w14:defaultImageDpi w14:val="300"/>
  <w15:docId w15:val="{2F8F9F1D-34A7-4E07-BEA4-9F29947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032"/>
    <w:rPr>
      <w:rFonts w:ascii="Verdana" w:hAnsi="Verdana"/>
    </w:rPr>
  </w:style>
  <w:style w:type="paragraph" w:styleId="Heading1">
    <w:name w:val="heading 1"/>
    <w:basedOn w:val="Normal"/>
    <w:next w:val="Normal"/>
    <w:link w:val="Heading1Char"/>
    <w:uiPriority w:val="9"/>
    <w:qFormat/>
    <w:rsid w:val="00C75163"/>
    <w:pPr>
      <w:keepNext/>
      <w:keepLines/>
      <w:numPr>
        <w:numId w:val="10"/>
      </w:numPr>
      <w:spacing w:line="480" w:lineRule="auto"/>
      <w:ind w:left="357" w:hanging="357"/>
      <w:outlineLvl w:val="0"/>
    </w:pPr>
    <w:rPr>
      <w:rFonts w:eastAsiaTheme="majorEastAsia" w:cstheme="majorBidi"/>
      <w:b/>
      <w:color w:val="77328A"/>
      <w:sz w:val="40"/>
      <w:szCs w:val="32"/>
    </w:rPr>
  </w:style>
  <w:style w:type="paragraph" w:styleId="Heading2">
    <w:name w:val="heading 2"/>
    <w:basedOn w:val="Normal"/>
    <w:next w:val="Normal"/>
    <w:link w:val="Heading2Char"/>
    <w:uiPriority w:val="9"/>
    <w:unhideWhenUsed/>
    <w:qFormat/>
    <w:rsid w:val="00C75163"/>
    <w:pPr>
      <w:keepNext/>
      <w:keepLines/>
      <w:spacing w:before="40" w:line="480" w:lineRule="auto"/>
      <w:outlineLvl w:val="1"/>
    </w:pPr>
    <w:rPr>
      <w:rFonts w:eastAsiaTheme="majorEastAsia" w:cstheme="majorBidi"/>
      <w:b/>
      <w:color w:val="77328A"/>
      <w:sz w:val="30"/>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f"/>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f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C75163"/>
    <w:rPr>
      <w:rFonts w:ascii="Verdana" w:eastAsiaTheme="majorEastAsia" w:hAnsi="Verdana" w:cstheme="majorBidi"/>
      <w:b/>
      <w:color w:val="77328A"/>
      <w:sz w:val="40"/>
      <w:szCs w:val="32"/>
    </w:rPr>
  </w:style>
  <w:style w:type="paragraph" w:styleId="TOCHeading">
    <w:name w:val="TOC Heading"/>
    <w:basedOn w:val="Heading1"/>
    <w:next w:val="Normal"/>
    <w:uiPriority w:val="39"/>
    <w:unhideWhenUsed/>
    <w:qFormat/>
    <w:rsid w:val="00B4073F"/>
    <w:pPr>
      <w:numPr>
        <w:numId w:val="0"/>
      </w:numPr>
      <w:spacing w:line="259" w:lineRule="auto"/>
      <w:outlineLvl w:val="9"/>
    </w:pPr>
    <w:rPr>
      <w:rFonts w:asciiTheme="majorHAnsi" w:hAnsiTheme="majorHAnsi"/>
      <w:b w:val="0"/>
      <w:color w:val="365F91" w:themeColor="accent1" w:themeShade="BF"/>
      <w:sz w:val="32"/>
      <w:lang w:val="en-US"/>
    </w:rPr>
  </w:style>
  <w:style w:type="paragraph" w:styleId="TOC2">
    <w:name w:val="toc 2"/>
    <w:basedOn w:val="Normal"/>
    <w:next w:val="Normal"/>
    <w:autoRedefine/>
    <w:uiPriority w:val="39"/>
    <w:unhideWhenUsed/>
    <w:rsid w:val="00D767F5"/>
    <w:pPr>
      <w:tabs>
        <w:tab w:val="left" w:pos="880"/>
        <w:tab w:val="right" w:leader="dot" w:pos="9848"/>
      </w:tabs>
      <w:spacing w:after="100" w:line="259" w:lineRule="auto"/>
      <w:ind w:left="220"/>
    </w:pPr>
    <w:rPr>
      <w:rFonts w:cs="Times New Roman"/>
      <w:noProof/>
      <w:sz w:val="22"/>
      <w:szCs w:val="22"/>
      <w:lang w:val="en-US"/>
    </w:rPr>
  </w:style>
  <w:style w:type="paragraph" w:styleId="TOC1">
    <w:name w:val="toc 1"/>
    <w:basedOn w:val="Normal"/>
    <w:next w:val="Normal"/>
    <w:autoRedefine/>
    <w:uiPriority w:val="39"/>
    <w:unhideWhenUsed/>
    <w:rsid w:val="00F416C7"/>
    <w:pPr>
      <w:tabs>
        <w:tab w:val="left" w:pos="660"/>
        <w:tab w:val="right" w:leader="dot" w:pos="9848"/>
      </w:tabs>
      <w:spacing w:after="100" w:line="259" w:lineRule="auto"/>
    </w:pPr>
    <w:rPr>
      <w:rFonts w:cs="Times New Roman"/>
      <w:noProof/>
      <w:sz w:val="22"/>
      <w:szCs w:val="22"/>
      <w:lang w:val="en-US"/>
    </w:rPr>
  </w:style>
  <w:style w:type="paragraph" w:styleId="TOC3">
    <w:name w:val="toc 3"/>
    <w:basedOn w:val="Normal"/>
    <w:next w:val="Normal"/>
    <w:autoRedefine/>
    <w:uiPriority w:val="39"/>
    <w:unhideWhenUsed/>
    <w:rsid w:val="00B4073F"/>
    <w:pPr>
      <w:spacing w:after="100" w:line="259" w:lineRule="auto"/>
      <w:ind w:left="440"/>
    </w:pPr>
    <w:rPr>
      <w:rFonts w:asciiTheme="minorHAnsi" w:hAnsiTheme="minorHAnsi" w:cs="Times New Roman"/>
      <w:sz w:val="22"/>
      <w:szCs w:val="22"/>
      <w:lang w:val="en-US"/>
    </w:rPr>
  </w:style>
  <w:style w:type="character" w:styleId="CommentReference">
    <w:name w:val="annotation reference"/>
    <w:basedOn w:val="DefaultParagraphFont"/>
    <w:uiPriority w:val="99"/>
    <w:semiHidden/>
    <w:unhideWhenUsed/>
    <w:rsid w:val="00127EE7"/>
    <w:rPr>
      <w:sz w:val="16"/>
      <w:szCs w:val="16"/>
    </w:rPr>
  </w:style>
  <w:style w:type="paragraph" w:styleId="CommentText">
    <w:name w:val="annotation text"/>
    <w:basedOn w:val="Normal"/>
    <w:link w:val="CommentTextChar"/>
    <w:uiPriority w:val="99"/>
    <w:unhideWhenUsed/>
    <w:rsid w:val="00127EE7"/>
    <w:rPr>
      <w:sz w:val="20"/>
      <w:szCs w:val="20"/>
    </w:rPr>
  </w:style>
  <w:style w:type="character" w:customStyle="1" w:styleId="CommentTextChar">
    <w:name w:val="Comment Text Char"/>
    <w:basedOn w:val="DefaultParagraphFont"/>
    <w:link w:val="CommentText"/>
    <w:uiPriority w:val="99"/>
    <w:rsid w:val="00127EE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27EE7"/>
    <w:rPr>
      <w:b/>
      <w:bCs/>
    </w:rPr>
  </w:style>
  <w:style w:type="character" w:customStyle="1" w:styleId="CommentSubjectChar">
    <w:name w:val="Comment Subject Char"/>
    <w:basedOn w:val="CommentTextChar"/>
    <w:link w:val="CommentSubject"/>
    <w:uiPriority w:val="99"/>
    <w:semiHidden/>
    <w:rsid w:val="00127EE7"/>
    <w:rPr>
      <w:rFonts w:ascii="Verdana" w:hAnsi="Verdana"/>
      <w:b/>
      <w:bCs/>
      <w:sz w:val="20"/>
      <w:szCs w:val="20"/>
    </w:rPr>
  </w:style>
  <w:style w:type="character" w:styleId="UnresolvedMention">
    <w:name w:val="Unresolved Mention"/>
    <w:basedOn w:val="DefaultParagraphFont"/>
    <w:uiPriority w:val="99"/>
    <w:semiHidden/>
    <w:unhideWhenUsed/>
    <w:rsid w:val="00205F43"/>
    <w:rPr>
      <w:color w:val="605E5C"/>
      <w:shd w:val="clear" w:color="auto" w:fill="E1DFDD"/>
    </w:rPr>
  </w:style>
  <w:style w:type="paragraph" w:styleId="Revision">
    <w:name w:val="Revision"/>
    <w:hidden/>
    <w:uiPriority w:val="99"/>
    <w:semiHidden/>
    <w:rsid w:val="00B23757"/>
    <w:rPr>
      <w:rFonts w:ascii="Verdana" w:hAnsi="Verdana"/>
    </w:rPr>
  </w:style>
  <w:style w:type="character" w:styleId="FollowedHyperlink">
    <w:name w:val="FollowedHyperlink"/>
    <w:basedOn w:val="DefaultParagraphFont"/>
    <w:uiPriority w:val="99"/>
    <w:semiHidden/>
    <w:unhideWhenUsed/>
    <w:rsid w:val="00553F87"/>
    <w:rPr>
      <w:color w:val="800080" w:themeColor="followedHyperlink"/>
      <w:u w:val="single"/>
    </w:rPr>
  </w:style>
  <w:style w:type="paragraph" w:styleId="Quote">
    <w:name w:val="Quote"/>
    <w:basedOn w:val="Normal"/>
    <w:next w:val="Normal"/>
    <w:link w:val="QuoteChar"/>
    <w:uiPriority w:val="29"/>
    <w:qFormat/>
    <w:rsid w:val="00641860"/>
    <w:pPr>
      <w:spacing w:line="288" w:lineRule="auto"/>
      <w:ind w:left="862" w:right="862"/>
    </w:pPr>
    <w:rPr>
      <w:iCs/>
    </w:rPr>
  </w:style>
  <w:style w:type="character" w:customStyle="1" w:styleId="QuoteChar">
    <w:name w:val="Quote Char"/>
    <w:basedOn w:val="DefaultParagraphFont"/>
    <w:link w:val="Quote"/>
    <w:uiPriority w:val="29"/>
    <w:rsid w:val="00641860"/>
    <w:rPr>
      <w:rFonts w:ascii="Verdana" w:hAnsi="Verdana"/>
      <w:iCs/>
    </w:rPr>
  </w:style>
  <w:style w:type="character" w:customStyle="1" w:styleId="Heading2Char">
    <w:name w:val="Heading 2 Char"/>
    <w:basedOn w:val="DefaultParagraphFont"/>
    <w:link w:val="Heading2"/>
    <w:uiPriority w:val="9"/>
    <w:rsid w:val="00C75163"/>
    <w:rPr>
      <w:rFonts w:ascii="Verdana" w:eastAsiaTheme="majorEastAsia" w:hAnsi="Verdana" w:cstheme="majorBidi"/>
      <w:b/>
      <w:color w:val="77328A"/>
      <w:sz w:val="30"/>
      <w:szCs w:val="26"/>
    </w:rPr>
  </w:style>
  <w:style w:type="character" w:customStyle="1" w:styleId="sbb9ee52a">
    <w:name w:val="sbb9ee52a"/>
    <w:basedOn w:val="DefaultParagraphFont"/>
    <w:rsid w:val="007B164D"/>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8F3DAB"/>
    <w:pPr>
      <w:spacing w:after="160" w:line="240" w:lineRule="exact"/>
      <w:jc w:val="both"/>
    </w:pPr>
    <w:rPr>
      <w:rFonts w:asciiTheme="minorHAnsi" w:hAnsiTheme="minorHAnsi"/>
      <w:vertAlign w:val="superscript"/>
    </w:rPr>
  </w:style>
  <w:style w:type="character" w:customStyle="1" w:styleId="cf01">
    <w:name w:val="cf01"/>
    <w:basedOn w:val="DefaultParagraphFont"/>
    <w:rsid w:val="002D02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219868">
      <w:bodyDiv w:val="1"/>
      <w:marLeft w:val="0"/>
      <w:marRight w:val="0"/>
      <w:marTop w:val="0"/>
      <w:marBottom w:val="0"/>
      <w:divBdr>
        <w:top w:val="none" w:sz="0" w:space="0" w:color="auto"/>
        <w:left w:val="none" w:sz="0" w:space="0" w:color="auto"/>
        <w:bottom w:val="none" w:sz="0" w:space="0" w:color="auto"/>
        <w:right w:val="none" w:sz="0" w:space="0" w:color="auto"/>
      </w:divBdr>
    </w:div>
    <w:div w:id="723410851">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Caughey@NIHR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economic-crime-and-corporate-transparency-bill-2022-factsheets/factsheet-strategic-lawsuits-against-public-participation-slap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taff%20Information\Branding%20&amp;%20Guidance%20-%20Staff\Templates\27689%20-%20HUMAN%20RIGHTS%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8" ma:contentTypeDescription="Create a new document." ma:contentTypeScope="" ma:versionID="841bad1d9fc4c5e3f4e2b5a3a7a7538c">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c292867184a0c53f5e1912ddb2becaee"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Props1.xml><?xml version="1.0" encoding="utf-8"?>
<ds:datastoreItem xmlns:ds="http://schemas.openxmlformats.org/officeDocument/2006/customXml" ds:itemID="{87C7C371-4F52-4B82-B328-A2C493AAE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84150-B37B-41D5-8D0B-6D64543DD0F5}">
  <ds:schemaRefs>
    <ds:schemaRef ds:uri="http://schemas.openxmlformats.org/officeDocument/2006/bibliography"/>
  </ds:schemaRefs>
</ds:datastoreItem>
</file>

<file path=customXml/itemProps3.xml><?xml version="1.0" encoding="utf-8"?>
<ds:datastoreItem xmlns:ds="http://schemas.openxmlformats.org/officeDocument/2006/customXml" ds:itemID="{43537F8E-8D2E-4510-AE8B-219EC94290AB}">
  <ds:schemaRefs>
    <ds:schemaRef ds:uri="http://schemas.microsoft.com/sharepoint/v3/contenttype/forms"/>
  </ds:schemaRefs>
</ds:datastoreItem>
</file>

<file path=customXml/itemProps4.xml><?xml version="1.0" encoding="utf-8"?>
<ds:datastoreItem xmlns:ds="http://schemas.openxmlformats.org/officeDocument/2006/customXml" ds:itemID="{F1021FB2-74E5-4B01-A5D7-76D8D99F2F74}">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docProps/app.xml><?xml version="1.0" encoding="utf-8"?>
<Properties xmlns="http://schemas.openxmlformats.org/officeDocument/2006/extended-properties" xmlns:vt="http://schemas.openxmlformats.org/officeDocument/2006/docPropsVTypes">
  <Template>27689 - HUMAN RIGHTS Research.dotx</Template>
  <TotalTime>145</TotalTime>
  <Pages>1</Pages>
  <Words>3294</Words>
  <Characters>18777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22027</CharactersWithSpaces>
  <SharedDoc>false</SharedDoc>
  <HLinks>
    <vt:vector size="66" baseType="variant">
      <vt:variant>
        <vt:i4>6946881</vt:i4>
      </vt:variant>
      <vt:variant>
        <vt:i4>51</vt:i4>
      </vt:variant>
      <vt:variant>
        <vt:i4>0</vt:i4>
      </vt:variant>
      <vt:variant>
        <vt:i4>5</vt:i4>
      </vt:variant>
      <vt:variant>
        <vt:lpwstr>mailto:info@nihrc.org</vt:lpwstr>
      </vt:variant>
      <vt:variant>
        <vt:lpwstr/>
      </vt:variant>
      <vt:variant>
        <vt:i4>4587543</vt:i4>
      </vt:variant>
      <vt:variant>
        <vt:i4>48</vt:i4>
      </vt:variant>
      <vt:variant>
        <vt:i4>0</vt:i4>
      </vt:variant>
      <vt:variant>
        <vt:i4>5</vt:i4>
      </vt:variant>
      <vt:variant>
        <vt:lpwstr>http://www.nihrc.org/</vt:lpwstr>
      </vt:variant>
      <vt:variant>
        <vt:lpwstr/>
      </vt:variant>
      <vt:variant>
        <vt:i4>6881286</vt:i4>
      </vt:variant>
      <vt:variant>
        <vt:i4>45</vt:i4>
      </vt:variant>
      <vt:variant>
        <vt:i4>0</vt:i4>
      </vt:variant>
      <vt:variant>
        <vt:i4>5</vt:i4>
      </vt:variant>
      <vt:variant>
        <vt:lpwstr>mailto:Colin.Caughey@NIHRC.org</vt:lpwstr>
      </vt:variant>
      <vt:variant>
        <vt:lpwstr/>
      </vt:variant>
      <vt:variant>
        <vt:i4>1376312</vt:i4>
      </vt:variant>
      <vt:variant>
        <vt:i4>38</vt:i4>
      </vt:variant>
      <vt:variant>
        <vt:i4>0</vt:i4>
      </vt:variant>
      <vt:variant>
        <vt:i4>5</vt:i4>
      </vt:variant>
      <vt:variant>
        <vt:lpwstr/>
      </vt:variant>
      <vt:variant>
        <vt:lpwstr>_Toc157592701</vt:lpwstr>
      </vt:variant>
      <vt:variant>
        <vt:i4>1376312</vt:i4>
      </vt:variant>
      <vt:variant>
        <vt:i4>32</vt:i4>
      </vt:variant>
      <vt:variant>
        <vt:i4>0</vt:i4>
      </vt:variant>
      <vt:variant>
        <vt:i4>5</vt:i4>
      </vt:variant>
      <vt:variant>
        <vt:lpwstr/>
      </vt:variant>
      <vt:variant>
        <vt:lpwstr>_Toc157592700</vt:lpwstr>
      </vt:variant>
      <vt:variant>
        <vt:i4>1835065</vt:i4>
      </vt:variant>
      <vt:variant>
        <vt:i4>26</vt:i4>
      </vt:variant>
      <vt:variant>
        <vt:i4>0</vt:i4>
      </vt:variant>
      <vt:variant>
        <vt:i4>5</vt:i4>
      </vt:variant>
      <vt:variant>
        <vt:lpwstr/>
      </vt:variant>
      <vt:variant>
        <vt:lpwstr>_Toc157592699</vt:lpwstr>
      </vt:variant>
      <vt:variant>
        <vt:i4>1835065</vt:i4>
      </vt:variant>
      <vt:variant>
        <vt:i4>20</vt:i4>
      </vt:variant>
      <vt:variant>
        <vt:i4>0</vt:i4>
      </vt:variant>
      <vt:variant>
        <vt:i4>5</vt:i4>
      </vt:variant>
      <vt:variant>
        <vt:lpwstr/>
      </vt:variant>
      <vt:variant>
        <vt:lpwstr>_Toc157592698</vt:lpwstr>
      </vt:variant>
      <vt:variant>
        <vt:i4>1835065</vt:i4>
      </vt:variant>
      <vt:variant>
        <vt:i4>14</vt:i4>
      </vt:variant>
      <vt:variant>
        <vt:i4>0</vt:i4>
      </vt:variant>
      <vt:variant>
        <vt:i4>5</vt:i4>
      </vt:variant>
      <vt:variant>
        <vt:lpwstr/>
      </vt:variant>
      <vt:variant>
        <vt:lpwstr>_Toc157592697</vt:lpwstr>
      </vt:variant>
      <vt:variant>
        <vt:i4>1835065</vt:i4>
      </vt:variant>
      <vt:variant>
        <vt:i4>8</vt:i4>
      </vt:variant>
      <vt:variant>
        <vt:i4>0</vt:i4>
      </vt:variant>
      <vt:variant>
        <vt:i4>5</vt:i4>
      </vt:variant>
      <vt:variant>
        <vt:lpwstr/>
      </vt:variant>
      <vt:variant>
        <vt:lpwstr>_Toc157592696</vt:lpwstr>
      </vt:variant>
      <vt:variant>
        <vt:i4>1835065</vt:i4>
      </vt:variant>
      <vt:variant>
        <vt:i4>2</vt:i4>
      </vt:variant>
      <vt:variant>
        <vt:i4>0</vt:i4>
      </vt:variant>
      <vt:variant>
        <vt:i4>5</vt:i4>
      </vt:variant>
      <vt:variant>
        <vt:lpwstr/>
      </vt:variant>
      <vt:variant>
        <vt:lpwstr>_Toc157592695</vt:lpwstr>
      </vt:variant>
      <vt:variant>
        <vt:i4>2162749</vt:i4>
      </vt:variant>
      <vt:variant>
        <vt:i4>0</vt:i4>
      </vt:variant>
      <vt:variant>
        <vt:i4>0</vt:i4>
      </vt:variant>
      <vt:variant>
        <vt:i4>5</vt:i4>
      </vt:variant>
      <vt:variant>
        <vt:lpwstr>https://www.gov.uk/government/publications/economic-crime-and-corporate-transparency-bill-2022-factsheets/factsheet-strategic-lawsuits-against-public-participation-slapps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Hannah Russell</cp:lastModifiedBy>
  <cp:revision>539</cp:revision>
  <cp:lastPrinted>2024-01-31T19:28:00Z</cp:lastPrinted>
  <dcterms:created xsi:type="dcterms:W3CDTF">2020-09-11T18:53:00Z</dcterms:created>
  <dcterms:modified xsi:type="dcterms:W3CDTF">2024-01-31T19:28:00Z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