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60A5A" w14:textId="77777777" w:rsidR="00195557" w:rsidRDefault="00195557" w:rsidP="0075312D">
      <w:pPr>
        <w:rPr>
          <w:noProof/>
        </w:rPr>
      </w:pPr>
      <w:bookmarkStart w:id="0" w:name="_Hlk100333501"/>
      <w:bookmarkEnd w:id="0"/>
    </w:p>
    <w:p w14:paraId="1EC7ED5F" w14:textId="098A6EC9" w:rsidR="00195557" w:rsidRDefault="00195557" w:rsidP="0075312D">
      <w:pPr>
        <w:rPr>
          <w:noProof/>
        </w:rPr>
      </w:pPr>
    </w:p>
    <w:p w14:paraId="76EA24B5" w14:textId="1EC8D46A" w:rsidR="00850741" w:rsidRDefault="00944B2E" w:rsidP="0075312D">
      <w:pPr>
        <w:rPr>
          <w:color w:val="1F497D"/>
          <w:sz w:val="24"/>
          <w:szCs w:val="24"/>
        </w:rPr>
      </w:pPr>
      <w:r>
        <w:rPr>
          <w:noProof/>
        </w:rPr>
        <w:drawing>
          <wp:anchor distT="0" distB="0" distL="114300" distR="114300" simplePos="0" relativeHeight="251658240" behindDoc="1" locked="0" layoutInCell="1" allowOverlap="1" wp14:anchorId="20DEA624" wp14:editId="1F6638DE">
            <wp:simplePos x="0" y="0"/>
            <wp:positionH relativeFrom="margin">
              <wp:align>left</wp:align>
            </wp:positionH>
            <wp:positionV relativeFrom="paragraph">
              <wp:posOffset>6985</wp:posOffset>
            </wp:positionV>
            <wp:extent cx="3100705" cy="784860"/>
            <wp:effectExtent l="0" t="0" r="4445" b="0"/>
            <wp:wrapTight wrapText="bothSides">
              <wp:wrapPolygon edited="0">
                <wp:start x="0" y="0"/>
                <wp:lineTo x="0" y="20971"/>
                <wp:lineTo x="21498" y="20971"/>
                <wp:lineTo x="21498" y="0"/>
                <wp:lineTo x="0"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100705" cy="784860"/>
                    </a:xfrm>
                    <a:prstGeom prst="rect">
                      <a:avLst/>
                    </a:prstGeom>
                  </pic:spPr>
                </pic:pic>
              </a:graphicData>
            </a:graphic>
            <wp14:sizeRelH relativeFrom="margin">
              <wp14:pctWidth>0</wp14:pctWidth>
            </wp14:sizeRelH>
            <wp14:sizeRelV relativeFrom="margin">
              <wp14:pctHeight>0</wp14:pctHeight>
            </wp14:sizeRelV>
          </wp:anchor>
        </w:drawing>
      </w:r>
      <w:r w:rsidR="008B729F">
        <w:rPr>
          <w:noProof/>
        </w:rPr>
        <w:t xml:space="preserve">   </w:t>
      </w:r>
      <w:r w:rsidR="00195557">
        <w:rPr>
          <w:noProof/>
        </w:rPr>
        <w:drawing>
          <wp:inline distT="0" distB="0" distL="0" distR="0" wp14:anchorId="07E7B3EF" wp14:editId="4634C529">
            <wp:extent cx="2332800" cy="864000"/>
            <wp:effectExtent l="0" t="0" r="0" b="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website&#10;&#10;Description automatically generated"/>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332800" cy="864000"/>
                    </a:xfrm>
                    <a:prstGeom prst="rect">
                      <a:avLst/>
                    </a:prstGeom>
                    <a:ln>
                      <a:noFill/>
                    </a:ln>
                    <a:extLst>
                      <a:ext uri="{53640926-AAD7-44D8-BBD7-CCE9431645EC}">
                        <a14:shadowObscured xmlns:a14="http://schemas.microsoft.com/office/drawing/2010/main"/>
                      </a:ext>
                    </a:extLst>
                  </pic:spPr>
                </pic:pic>
              </a:graphicData>
            </a:graphic>
          </wp:inline>
        </w:drawing>
      </w:r>
      <w:r w:rsidR="00195557">
        <w:rPr>
          <w:noProof/>
        </w:rPr>
        <w:t xml:space="preserve">    </w:t>
      </w:r>
    </w:p>
    <w:p w14:paraId="0F8F33BC" w14:textId="77777777" w:rsidR="00850741" w:rsidRDefault="00850741" w:rsidP="0075312D"/>
    <w:p w14:paraId="03C07011" w14:textId="77777777" w:rsidR="00850741" w:rsidRDefault="00850741" w:rsidP="0075312D"/>
    <w:p w14:paraId="0897FB92" w14:textId="77777777" w:rsidR="00850741" w:rsidRDefault="00850741" w:rsidP="0075312D"/>
    <w:p w14:paraId="0C2B47BC" w14:textId="736BB376" w:rsidR="003D483C" w:rsidRDefault="003D483C" w:rsidP="0075312D"/>
    <w:p w14:paraId="05D0B09B" w14:textId="77777777" w:rsidR="003D483C" w:rsidRPr="003D483C" w:rsidRDefault="003D483C" w:rsidP="0075312D"/>
    <w:p w14:paraId="1B6A321B" w14:textId="77777777" w:rsidR="005E5A28" w:rsidRDefault="005E5A28" w:rsidP="00944B2E">
      <w:pPr>
        <w:pStyle w:val="Title"/>
      </w:pPr>
    </w:p>
    <w:p w14:paraId="5410EAB5" w14:textId="49698F4C" w:rsidR="00850741" w:rsidRPr="008366C5" w:rsidRDefault="00850741" w:rsidP="00944B2E">
      <w:pPr>
        <w:pStyle w:val="Title"/>
        <w:rPr>
          <w:sz w:val="48"/>
          <w:szCs w:val="48"/>
        </w:rPr>
      </w:pPr>
      <w:bookmarkStart w:id="1" w:name="_Hlk164352428"/>
      <w:r w:rsidRPr="008366C5">
        <w:rPr>
          <w:sz w:val="48"/>
          <w:szCs w:val="48"/>
        </w:rPr>
        <w:t>Submission</w:t>
      </w:r>
      <w:r w:rsidR="00D955AD" w:rsidRPr="008366C5">
        <w:rPr>
          <w:sz w:val="48"/>
          <w:szCs w:val="48"/>
        </w:rPr>
        <w:t xml:space="preserve"> </w:t>
      </w:r>
      <w:r w:rsidR="00281C93" w:rsidRPr="008366C5">
        <w:rPr>
          <w:sz w:val="48"/>
          <w:szCs w:val="48"/>
        </w:rPr>
        <w:t xml:space="preserve">of the NIHRC and ECNI </w:t>
      </w:r>
      <w:r w:rsidR="00D955AD" w:rsidRPr="008366C5">
        <w:rPr>
          <w:sz w:val="48"/>
          <w:szCs w:val="48"/>
        </w:rPr>
        <w:t xml:space="preserve">to the Northern Ireland Scrutiny Committee </w:t>
      </w:r>
      <w:r w:rsidR="008366C5">
        <w:rPr>
          <w:sz w:val="48"/>
          <w:szCs w:val="48"/>
        </w:rPr>
        <w:br/>
      </w:r>
      <w:r w:rsidR="00D955AD" w:rsidRPr="008366C5">
        <w:rPr>
          <w:sz w:val="48"/>
          <w:szCs w:val="48"/>
        </w:rPr>
        <w:t xml:space="preserve">Call for Evidence on </w:t>
      </w:r>
      <w:r w:rsidR="005A6FC3">
        <w:rPr>
          <w:sz w:val="48"/>
          <w:szCs w:val="48"/>
        </w:rPr>
        <w:br/>
      </w:r>
      <w:r w:rsidR="00D955AD" w:rsidRPr="008366C5">
        <w:rPr>
          <w:sz w:val="48"/>
          <w:szCs w:val="48"/>
        </w:rPr>
        <w:t>Strengthening Northern Ireland’s Voice in the Context of the Windsor Framework</w:t>
      </w:r>
    </w:p>
    <w:p w14:paraId="338F1E62" w14:textId="77777777" w:rsidR="00756C09" w:rsidRDefault="00756C09" w:rsidP="0075312D"/>
    <w:p w14:paraId="148D60AF" w14:textId="77777777" w:rsidR="00756C09" w:rsidRDefault="00756C09" w:rsidP="0075312D"/>
    <w:p w14:paraId="5869F8DC" w14:textId="452889FB" w:rsidR="00850741" w:rsidRPr="008366C5" w:rsidRDefault="00D955AD" w:rsidP="00281C93">
      <w:pPr>
        <w:jc w:val="center"/>
        <w:rPr>
          <w:b/>
          <w:bCs/>
          <w:sz w:val="32"/>
          <w:szCs w:val="32"/>
        </w:rPr>
      </w:pPr>
      <w:r w:rsidRPr="008366C5">
        <w:rPr>
          <w:b/>
          <w:bCs/>
          <w:sz w:val="32"/>
          <w:szCs w:val="32"/>
        </w:rPr>
        <w:t>April</w:t>
      </w:r>
      <w:r w:rsidR="000B463B" w:rsidRPr="008366C5">
        <w:rPr>
          <w:b/>
          <w:bCs/>
          <w:sz w:val="32"/>
          <w:szCs w:val="32"/>
        </w:rPr>
        <w:t xml:space="preserve"> 2025</w:t>
      </w:r>
      <w:bookmarkEnd w:id="1"/>
    </w:p>
    <w:p w14:paraId="7B3FA00C" w14:textId="77777777" w:rsidR="00967506" w:rsidRDefault="00967506" w:rsidP="0075312D">
      <w:pPr>
        <w:sectPr w:rsidR="00967506">
          <w:footerReference w:type="default" r:id="rId10"/>
          <w:pgSz w:w="11906" w:h="16838"/>
          <w:pgMar w:top="1440" w:right="1440" w:bottom="1440" w:left="1440" w:header="708" w:footer="708" w:gutter="0"/>
          <w:cols w:space="708"/>
          <w:docGrid w:linePitch="360"/>
        </w:sectPr>
      </w:pPr>
    </w:p>
    <w:bookmarkStart w:id="2" w:name="_Toc74584440" w:displacedByCustomXml="next"/>
    <w:sdt>
      <w:sdtPr>
        <w:rPr>
          <w:rFonts w:asciiTheme="minorHAnsi" w:eastAsiaTheme="minorEastAsia" w:hAnsiTheme="minorHAnsi" w:cstheme="minorBidi"/>
          <w:color w:val="auto"/>
          <w:sz w:val="28"/>
          <w:szCs w:val="28"/>
          <w:lang w:val="en-GB"/>
        </w:rPr>
        <w:id w:val="-52703007"/>
        <w:docPartObj>
          <w:docPartGallery w:val="Table of Contents"/>
          <w:docPartUnique/>
        </w:docPartObj>
      </w:sdtPr>
      <w:sdtEndPr>
        <w:rPr>
          <w:b/>
        </w:rPr>
      </w:sdtEndPr>
      <w:sdtContent>
        <w:p w14:paraId="4CFBA866" w14:textId="481A7890" w:rsidR="00EC58BC" w:rsidRPr="00EC58BC" w:rsidRDefault="00EC58BC">
          <w:pPr>
            <w:pStyle w:val="TOCHeading"/>
            <w:rPr>
              <w:rStyle w:val="Heading2Char"/>
              <w:rFonts w:ascii="Calibri" w:hAnsi="Calibri" w:cs="Calibri"/>
              <w:color w:val="auto"/>
            </w:rPr>
          </w:pPr>
          <w:r w:rsidRPr="00EC58BC">
            <w:rPr>
              <w:rStyle w:val="Heading2Char"/>
              <w:rFonts w:ascii="Calibri" w:hAnsi="Calibri" w:cs="Calibri"/>
              <w:color w:val="auto"/>
            </w:rPr>
            <w:t>Contents</w:t>
          </w:r>
        </w:p>
        <w:p w14:paraId="6AE3370F" w14:textId="1105D01C" w:rsidR="001734D1" w:rsidRDefault="00EC58BC">
          <w:pPr>
            <w:pStyle w:val="TOC1"/>
            <w:tabs>
              <w:tab w:val="right" w:leader="dot" w:pos="9736"/>
            </w:tabs>
            <w:rPr>
              <w:rFonts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96835326" w:history="1">
            <w:r w:rsidR="001734D1" w:rsidRPr="00FF7391">
              <w:rPr>
                <w:rStyle w:val="Hyperlink"/>
                <w:noProof/>
              </w:rPr>
              <w:t>Summary of Recommendations</w:t>
            </w:r>
            <w:r w:rsidR="001734D1">
              <w:rPr>
                <w:noProof/>
                <w:webHidden/>
              </w:rPr>
              <w:tab/>
            </w:r>
            <w:r w:rsidR="001734D1">
              <w:rPr>
                <w:noProof/>
                <w:webHidden/>
              </w:rPr>
              <w:fldChar w:fldCharType="begin"/>
            </w:r>
            <w:r w:rsidR="001734D1">
              <w:rPr>
                <w:noProof/>
                <w:webHidden/>
              </w:rPr>
              <w:instrText xml:space="preserve"> PAGEREF _Toc196835326 \h </w:instrText>
            </w:r>
            <w:r w:rsidR="001734D1">
              <w:rPr>
                <w:noProof/>
                <w:webHidden/>
              </w:rPr>
            </w:r>
            <w:r w:rsidR="001734D1">
              <w:rPr>
                <w:noProof/>
                <w:webHidden/>
              </w:rPr>
              <w:fldChar w:fldCharType="separate"/>
            </w:r>
            <w:r w:rsidR="00DF1D79">
              <w:rPr>
                <w:noProof/>
                <w:webHidden/>
              </w:rPr>
              <w:t>2</w:t>
            </w:r>
            <w:r w:rsidR="001734D1">
              <w:rPr>
                <w:noProof/>
                <w:webHidden/>
              </w:rPr>
              <w:fldChar w:fldCharType="end"/>
            </w:r>
          </w:hyperlink>
        </w:p>
        <w:p w14:paraId="29C4187C" w14:textId="716635EA" w:rsidR="001734D1" w:rsidRDefault="001734D1">
          <w:pPr>
            <w:pStyle w:val="TOC1"/>
            <w:tabs>
              <w:tab w:val="left" w:pos="720"/>
              <w:tab w:val="right" w:leader="dot" w:pos="9736"/>
            </w:tabs>
            <w:rPr>
              <w:rFonts w:cstheme="minorBidi"/>
              <w:noProof/>
              <w:kern w:val="2"/>
              <w:sz w:val="24"/>
              <w:szCs w:val="24"/>
              <w:lang w:eastAsia="en-GB"/>
              <w14:ligatures w14:val="standardContextual"/>
            </w:rPr>
          </w:pPr>
          <w:hyperlink w:anchor="_Toc196835327" w:history="1">
            <w:r w:rsidRPr="00FF7391">
              <w:rPr>
                <w:rStyle w:val="Hyperlink"/>
                <w:noProof/>
              </w:rPr>
              <w:t>1.0</w:t>
            </w:r>
            <w:r>
              <w:rPr>
                <w:rFonts w:cstheme="minorBidi"/>
                <w:noProof/>
                <w:kern w:val="2"/>
                <w:sz w:val="24"/>
                <w:szCs w:val="24"/>
                <w:lang w:eastAsia="en-GB"/>
                <w14:ligatures w14:val="standardContextual"/>
              </w:rPr>
              <w:tab/>
            </w:r>
            <w:r w:rsidRPr="00FF7391">
              <w:rPr>
                <w:rStyle w:val="Hyperlink"/>
                <w:noProof/>
              </w:rPr>
              <w:t>Introduction</w:t>
            </w:r>
            <w:r>
              <w:rPr>
                <w:noProof/>
                <w:webHidden/>
              </w:rPr>
              <w:tab/>
            </w:r>
            <w:r>
              <w:rPr>
                <w:noProof/>
                <w:webHidden/>
              </w:rPr>
              <w:fldChar w:fldCharType="begin"/>
            </w:r>
            <w:r>
              <w:rPr>
                <w:noProof/>
                <w:webHidden/>
              </w:rPr>
              <w:instrText xml:space="preserve"> PAGEREF _Toc196835327 \h </w:instrText>
            </w:r>
            <w:r>
              <w:rPr>
                <w:noProof/>
                <w:webHidden/>
              </w:rPr>
            </w:r>
            <w:r>
              <w:rPr>
                <w:noProof/>
                <w:webHidden/>
              </w:rPr>
              <w:fldChar w:fldCharType="separate"/>
            </w:r>
            <w:r w:rsidR="00DF1D79">
              <w:rPr>
                <w:noProof/>
                <w:webHidden/>
              </w:rPr>
              <w:t>4</w:t>
            </w:r>
            <w:r>
              <w:rPr>
                <w:noProof/>
                <w:webHidden/>
              </w:rPr>
              <w:fldChar w:fldCharType="end"/>
            </w:r>
          </w:hyperlink>
        </w:p>
        <w:p w14:paraId="62EC2563" w14:textId="272136FD" w:rsidR="001734D1" w:rsidRDefault="001734D1">
          <w:pPr>
            <w:pStyle w:val="TOC1"/>
            <w:tabs>
              <w:tab w:val="left" w:pos="720"/>
              <w:tab w:val="right" w:leader="dot" w:pos="9736"/>
            </w:tabs>
            <w:rPr>
              <w:rFonts w:cstheme="minorBidi"/>
              <w:noProof/>
              <w:kern w:val="2"/>
              <w:sz w:val="24"/>
              <w:szCs w:val="24"/>
              <w:lang w:eastAsia="en-GB"/>
              <w14:ligatures w14:val="standardContextual"/>
            </w:rPr>
          </w:pPr>
          <w:hyperlink w:anchor="_Toc196835328" w:history="1">
            <w:r w:rsidRPr="00FF7391">
              <w:rPr>
                <w:rStyle w:val="Hyperlink"/>
                <w:noProof/>
              </w:rPr>
              <w:t>2.0</w:t>
            </w:r>
            <w:r>
              <w:rPr>
                <w:rFonts w:cstheme="minorBidi"/>
                <w:noProof/>
                <w:kern w:val="2"/>
                <w:sz w:val="24"/>
                <w:szCs w:val="24"/>
                <w:lang w:eastAsia="en-GB"/>
                <w14:ligatures w14:val="standardContextual"/>
              </w:rPr>
              <w:tab/>
            </w:r>
            <w:r w:rsidRPr="00FF7391">
              <w:rPr>
                <w:rStyle w:val="Hyperlink"/>
                <w:noProof/>
              </w:rPr>
              <w:t>Windsor Framework Article 2</w:t>
            </w:r>
            <w:r>
              <w:rPr>
                <w:noProof/>
                <w:webHidden/>
              </w:rPr>
              <w:tab/>
            </w:r>
            <w:r>
              <w:rPr>
                <w:noProof/>
                <w:webHidden/>
              </w:rPr>
              <w:fldChar w:fldCharType="begin"/>
            </w:r>
            <w:r>
              <w:rPr>
                <w:noProof/>
                <w:webHidden/>
              </w:rPr>
              <w:instrText xml:space="preserve"> PAGEREF _Toc196835328 \h </w:instrText>
            </w:r>
            <w:r>
              <w:rPr>
                <w:noProof/>
                <w:webHidden/>
              </w:rPr>
            </w:r>
            <w:r>
              <w:rPr>
                <w:noProof/>
                <w:webHidden/>
              </w:rPr>
              <w:fldChar w:fldCharType="separate"/>
            </w:r>
            <w:r w:rsidR="00DF1D79">
              <w:rPr>
                <w:noProof/>
                <w:webHidden/>
              </w:rPr>
              <w:t>4</w:t>
            </w:r>
            <w:r>
              <w:rPr>
                <w:noProof/>
                <w:webHidden/>
              </w:rPr>
              <w:fldChar w:fldCharType="end"/>
            </w:r>
          </w:hyperlink>
        </w:p>
        <w:p w14:paraId="186326BA" w14:textId="08C68ABE" w:rsidR="001734D1" w:rsidRDefault="001734D1">
          <w:pPr>
            <w:pStyle w:val="TOC1"/>
            <w:tabs>
              <w:tab w:val="left" w:pos="720"/>
              <w:tab w:val="right" w:leader="dot" w:pos="9736"/>
            </w:tabs>
            <w:rPr>
              <w:rFonts w:cstheme="minorBidi"/>
              <w:noProof/>
              <w:kern w:val="2"/>
              <w:sz w:val="24"/>
              <w:szCs w:val="24"/>
              <w:lang w:eastAsia="en-GB"/>
              <w14:ligatures w14:val="standardContextual"/>
            </w:rPr>
          </w:pPr>
          <w:hyperlink w:anchor="_Toc196835329" w:history="1">
            <w:r w:rsidRPr="00FF7391">
              <w:rPr>
                <w:rStyle w:val="Hyperlink"/>
                <w:noProof/>
              </w:rPr>
              <w:t>3.0</w:t>
            </w:r>
            <w:r>
              <w:rPr>
                <w:rFonts w:cstheme="minorBidi"/>
                <w:noProof/>
                <w:kern w:val="2"/>
                <w:sz w:val="24"/>
                <w:szCs w:val="24"/>
                <w:lang w:eastAsia="en-GB"/>
                <w14:ligatures w14:val="standardContextual"/>
              </w:rPr>
              <w:tab/>
            </w:r>
            <w:r w:rsidRPr="00FF7391">
              <w:rPr>
                <w:rStyle w:val="Hyperlink"/>
                <w:noProof/>
              </w:rPr>
              <w:t>Stakeholder Engagement Under the Windsor Framework</w:t>
            </w:r>
            <w:r>
              <w:rPr>
                <w:noProof/>
                <w:webHidden/>
              </w:rPr>
              <w:tab/>
            </w:r>
            <w:r>
              <w:rPr>
                <w:noProof/>
                <w:webHidden/>
              </w:rPr>
              <w:fldChar w:fldCharType="begin"/>
            </w:r>
            <w:r>
              <w:rPr>
                <w:noProof/>
                <w:webHidden/>
              </w:rPr>
              <w:instrText xml:space="preserve"> PAGEREF _Toc196835329 \h </w:instrText>
            </w:r>
            <w:r>
              <w:rPr>
                <w:noProof/>
                <w:webHidden/>
              </w:rPr>
            </w:r>
            <w:r>
              <w:rPr>
                <w:noProof/>
                <w:webHidden/>
              </w:rPr>
              <w:fldChar w:fldCharType="separate"/>
            </w:r>
            <w:r w:rsidR="00DF1D79">
              <w:rPr>
                <w:noProof/>
                <w:webHidden/>
              </w:rPr>
              <w:t>6</w:t>
            </w:r>
            <w:r>
              <w:rPr>
                <w:noProof/>
                <w:webHidden/>
              </w:rPr>
              <w:fldChar w:fldCharType="end"/>
            </w:r>
          </w:hyperlink>
        </w:p>
        <w:p w14:paraId="2ED1664B" w14:textId="03FC8F31" w:rsidR="001734D1" w:rsidRDefault="001734D1">
          <w:pPr>
            <w:pStyle w:val="TOC3"/>
            <w:tabs>
              <w:tab w:val="right" w:leader="dot" w:pos="9736"/>
            </w:tabs>
            <w:rPr>
              <w:rFonts w:cstheme="minorBidi"/>
              <w:noProof/>
              <w:kern w:val="2"/>
              <w:sz w:val="24"/>
              <w:szCs w:val="24"/>
              <w:lang w:eastAsia="en-GB"/>
              <w14:ligatures w14:val="standardContextual"/>
            </w:rPr>
          </w:pPr>
          <w:hyperlink w:anchor="_Toc196835330" w:history="1">
            <w:r w:rsidRPr="00FF7391">
              <w:rPr>
                <w:rStyle w:val="Hyperlink"/>
                <w:noProof/>
              </w:rPr>
              <w:t>Specialised Committee on the implementation of the Windsor Framework</w:t>
            </w:r>
            <w:r>
              <w:rPr>
                <w:noProof/>
                <w:webHidden/>
              </w:rPr>
              <w:tab/>
            </w:r>
            <w:r>
              <w:rPr>
                <w:noProof/>
                <w:webHidden/>
              </w:rPr>
              <w:fldChar w:fldCharType="begin"/>
            </w:r>
            <w:r>
              <w:rPr>
                <w:noProof/>
                <w:webHidden/>
              </w:rPr>
              <w:instrText xml:space="preserve"> PAGEREF _Toc196835330 \h </w:instrText>
            </w:r>
            <w:r>
              <w:rPr>
                <w:noProof/>
                <w:webHidden/>
              </w:rPr>
            </w:r>
            <w:r>
              <w:rPr>
                <w:noProof/>
                <w:webHidden/>
              </w:rPr>
              <w:fldChar w:fldCharType="separate"/>
            </w:r>
            <w:r w:rsidR="00DF1D79">
              <w:rPr>
                <w:noProof/>
                <w:webHidden/>
              </w:rPr>
              <w:t>7</w:t>
            </w:r>
            <w:r>
              <w:rPr>
                <w:noProof/>
                <w:webHidden/>
              </w:rPr>
              <w:fldChar w:fldCharType="end"/>
            </w:r>
          </w:hyperlink>
        </w:p>
        <w:p w14:paraId="324E11FB" w14:textId="33F4AF0D" w:rsidR="001734D1" w:rsidRDefault="001734D1">
          <w:pPr>
            <w:pStyle w:val="TOC3"/>
            <w:tabs>
              <w:tab w:val="right" w:leader="dot" w:pos="9736"/>
            </w:tabs>
            <w:rPr>
              <w:rFonts w:cstheme="minorBidi"/>
              <w:noProof/>
              <w:kern w:val="2"/>
              <w:sz w:val="24"/>
              <w:szCs w:val="24"/>
              <w:lang w:eastAsia="en-GB"/>
              <w14:ligatures w14:val="standardContextual"/>
            </w:rPr>
          </w:pPr>
          <w:hyperlink w:anchor="_Toc196835331" w:history="1">
            <w:r w:rsidRPr="00FF7391">
              <w:rPr>
                <w:rStyle w:val="Hyperlink"/>
                <w:noProof/>
              </w:rPr>
              <w:t>Joint Consultative Working Group</w:t>
            </w:r>
            <w:r>
              <w:rPr>
                <w:noProof/>
                <w:webHidden/>
              </w:rPr>
              <w:tab/>
            </w:r>
            <w:r>
              <w:rPr>
                <w:noProof/>
                <w:webHidden/>
              </w:rPr>
              <w:fldChar w:fldCharType="begin"/>
            </w:r>
            <w:r>
              <w:rPr>
                <w:noProof/>
                <w:webHidden/>
              </w:rPr>
              <w:instrText xml:space="preserve"> PAGEREF _Toc196835331 \h </w:instrText>
            </w:r>
            <w:r>
              <w:rPr>
                <w:noProof/>
                <w:webHidden/>
              </w:rPr>
            </w:r>
            <w:r>
              <w:rPr>
                <w:noProof/>
                <w:webHidden/>
              </w:rPr>
              <w:fldChar w:fldCharType="separate"/>
            </w:r>
            <w:r w:rsidR="00DF1D79">
              <w:rPr>
                <w:noProof/>
                <w:webHidden/>
              </w:rPr>
              <w:t>8</w:t>
            </w:r>
            <w:r>
              <w:rPr>
                <w:noProof/>
                <w:webHidden/>
              </w:rPr>
              <w:fldChar w:fldCharType="end"/>
            </w:r>
          </w:hyperlink>
        </w:p>
        <w:p w14:paraId="78148FA4" w14:textId="213DBE74" w:rsidR="001734D1" w:rsidRDefault="001734D1">
          <w:pPr>
            <w:pStyle w:val="TOC3"/>
            <w:tabs>
              <w:tab w:val="right" w:leader="dot" w:pos="9736"/>
            </w:tabs>
            <w:rPr>
              <w:rFonts w:cstheme="minorBidi"/>
              <w:noProof/>
              <w:kern w:val="2"/>
              <w:sz w:val="24"/>
              <w:szCs w:val="24"/>
              <w:lang w:eastAsia="en-GB"/>
              <w14:ligatures w14:val="standardContextual"/>
            </w:rPr>
          </w:pPr>
          <w:hyperlink w:anchor="_Toc196835332" w:history="1">
            <w:r w:rsidRPr="00FF7391">
              <w:rPr>
                <w:rStyle w:val="Hyperlink"/>
                <w:noProof/>
              </w:rPr>
              <w:t>Transparency of Windsor Framework Article 2 consideration in policymaking</w:t>
            </w:r>
            <w:r>
              <w:rPr>
                <w:noProof/>
                <w:webHidden/>
              </w:rPr>
              <w:tab/>
            </w:r>
            <w:r>
              <w:rPr>
                <w:noProof/>
                <w:webHidden/>
              </w:rPr>
              <w:fldChar w:fldCharType="begin"/>
            </w:r>
            <w:r>
              <w:rPr>
                <w:noProof/>
                <w:webHidden/>
              </w:rPr>
              <w:instrText xml:space="preserve"> PAGEREF _Toc196835332 \h </w:instrText>
            </w:r>
            <w:r>
              <w:rPr>
                <w:noProof/>
                <w:webHidden/>
              </w:rPr>
            </w:r>
            <w:r>
              <w:rPr>
                <w:noProof/>
                <w:webHidden/>
              </w:rPr>
              <w:fldChar w:fldCharType="separate"/>
            </w:r>
            <w:r w:rsidR="00DF1D79">
              <w:rPr>
                <w:noProof/>
                <w:webHidden/>
              </w:rPr>
              <w:t>9</w:t>
            </w:r>
            <w:r>
              <w:rPr>
                <w:noProof/>
                <w:webHidden/>
              </w:rPr>
              <w:fldChar w:fldCharType="end"/>
            </w:r>
          </w:hyperlink>
        </w:p>
        <w:p w14:paraId="47D76F07" w14:textId="61A797C0" w:rsidR="001734D1" w:rsidRDefault="001734D1">
          <w:pPr>
            <w:pStyle w:val="TOC3"/>
            <w:tabs>
              <w:tab w:val="right" w:leader="dot" w:pos="9736"/>
            </w:tabs>
            <w:rPr>
              <w:rFonts w:cstheme="minorBidi"/>
              <w:noProof/>
              <w:kern w:val="2"/>
              <w:sz w:val="24"/>
              <w:szCs w:val="24"/>
              <w:lang w:eastAsia="en-GB"/>
              <w14:ligatures w14:val="standardContextual"/>
            </w:rPr>
          </w:pPr>
          <w:hyperlink w:anchor="_Toc196835333" w:history="1">
            <w:r w:rsidRPr="00FF7391">
              <w:rPr>
                <w:rStyle w:val="Hyperlink"/>
                <w:noProof/>
              </w:rPr>
              <w:t>Parliamentary Scrutiny</w:t>
            </w:r>
            <w:r>
              <w:rPr>
                <w:noProof/>
                <w:webHidden/>
              </w:rPr>
              <w:tab/>
            </w:r>
            <w:r>
              <w:rPr>
                <w:noProof/>
                <w:webHidden/>
              </w:rPr>
              <w:fldChar w:fldCharType="begin"/>
            </w:r>
            <w:r>
              <w:rPr>
                <w:noProof/>
                <w:webHidden/>
              </w:rPr>
              <w:instrText xml:space="preserve"> PAGEREF _Toc196835333 \h </w:instrText>
            </w:r>
            <w:r>
              <w:rPr>
                <w:noProof/>
                <w:webHidden/>
              </w:rPr>
            </w:r>
            <w:r>
              <w:rPr>
                <w:noProof/>
                <w:webHidden/>
              </w:rPr>
              <w:fldChar w:fldCharType="separate"/>
            </w:r>
            <w:r w:rsidR="00DF1D79">
              <w:rPr>
                <w:noProof/>
                <w:webHidden/>
              </w:rPr>
              <w:t>11</w:t>
            </w:r>
            <w:r>
              <w:rPr>
                <w:noProof/>
                <w:webHidden/>
              </w:rPr>
              <w:fldChar w:fldCharType="end"/>
            </w:r>
          </w:hyperlink>
        </w:p>
        <w:p w14:paraId="2ECB417A" w14:textId="3BEECAD9" w:rsidR="001734D1" w:rsidRDefault="001734D1">
          <w:pPr>
            <w:pStyle w:val="TOC1"/>
            <w:tabs>
              <w:tab w:val="left" w:pos="720"/>
              <w:tab w:val="right" w:leader="dot" w:pos="9736"/>
            </w:tabs>
            <w:rPr>
              <w:rFonts w:cstheme="minorBidi"/>
              <w:noProof/>
              <w:kern w:val="2"/>
              <w:sz w:val="24"/>
              <w:szCs w:val="24"/>
              <w:lang w:eastAsia="en-GB"/>
              <w14:ligatures w14:val="standardContextual"/>
            </w:rPr>
          </w:pPr>
          <w:hyperlink w:anchor="_Toc196835334" w:history="1">
            <w:r w:rsidRPr="00FF7391">
              <w:rPr>
                <w:rStyle w:val="Hyperlink"/>
                <w:noProof/>
              </w:rPr>
              <w:t>4.0</w:t>
            </w:r>
            <w:r>
              <w:rPr>
                <w:rFonts w:cstheme="minorBidi"/>
                <w:noProof/>
                <w:kern w:val="2"/>
                <w:sz w:val="24"/>
                <w:szCs w:val="24"/>
                <w:lang w:eastAsia="en-GB"/>
                <w14:ligatures w14:val="standardContextual"/>
              </w:rPr>
              <w:tab/>
            </w:r>
            <w:r w:rsidRPr="00FF7391">
              <w:rPr>
                <w:rStyle w:val="Hyperlink"/>
                <w:noProof/>
              </w:rPr>
              <w:t>Effectiveness of Oversight Mechanisms: The Stormont Brake and Applicability Motion Procedure</w:t>
            </w:r>
            <w:r>
              <w:rPr>
                <w:noProof/>
                <w:webHidden/>
              </w:rPr>
              <w:tab/>
            </w:r>
            <w:r>
              <w:rPr>
                <w:noProof/>
                <w:webHidden/>
              </w:rPr>
              <w:fldChar w:fldCharType="begin"/>
            </w:r>
            <w:r>
              <w:rPr>
                <w:noProof/>
                <w:webHidden/>
              </w:rPr>
              <w:instrText xml:space="preserve"> PAGEREF _Toc196835334 \h </w:instrText>
            </w:r>
            <w:r>
              <w:rPr>
                <w:noProof/>
                <w:webHidden/>
              </w:rPr>
            </w:r>
            <w:r>
              <w:rPr>
                <w:noProof/>
                <w:webHidden/>
              </w:rPr>
              <w:fldChar w:fldCharType="separate"/>
            </w:r>
            <w:r w:rsidR="00DF1D79">
              <w:rPr>
                <w:noProof/>
                <w:webHidden/>
              </w:rPr>
              <w:t>12</w:t>
            </w:r>
            <w:r>
              <w:rPr>
                <w:noProof/>
                <w:webHidden/>
              </w:rPr>
              <w:fldChar w:fldCharType="end"/>
            </w:r>
          </w:hyperlink>
        </w:p>
        <w:p w14:paraId="469BA84E" w14:textId="46A752FC" w:rsidR="001734D1" w:rsidRDefault="001734D1">
          <w:pPr>
            <w:pStyle w:val="TOC3"/>
            <w:tabs>
              <w:tab w:val="right" w:leader="dot" w:pos="9736"/>
            </w:tabs>
            <w:rPr>
              <w:rFonts w:cstheme="minorBidi"/>
              <w:noProof/>
              <w:kern w:val="2"/>
              <w:sz w:val="24"/>
              <w:szCs w:val="24"/>
              <w:lang w:eastAsia="en-GB"/>
              <w14:ligatures w14:val="standardContextual"/>
            </w:rPr>
          </w:pPr>
          <w:hyperlink w:anchor="_Toc196835335" w:history="1">
            <w:r w:rsidRPr="00FF7391">
              <w:rPr>
                <w:rStyle w:val="Hyperlink"/>
                <w:noProof/>
              </w:rPr>
              <w:t>The Stormont Brake: Potential and Challenges</w:t>
            </w:r>
            <w:r>
              <w:rPr>
                <w:noProof/>
                <w:webHidden/>
              </w:rPr>
              <w:tab/>
            </w:r>
            <w:r>
              <w:rPr>
                <w:noProof/>
                <w:webHidden/>
              </w:rPr>
              <w:fldChar w:fldCharType="begin"/>
            </w:r>
            <w:r>
              <w:rPr>
                <w:noProof/>
                <w:webHidden/>
              </w:rPr>
              <w:instrText xml:space="preserve"> PAGEREF _Toc196835335 \h </w:instrText>
            </w:r>
            <w:r>
              <w:rPr>
                <w:noProof/>
                <w:webHidden/>
              </w:rPr>
            </w:r>
            <w:r>
              <w:rPr>
                <w:noProof/>
                <w:webHidden/>
              </w:rPr>
              <w:fldChar w:fldCharType="separate"/>
            </w:r>
            <w:r w:rsidR="00DF1D79">
              <w:rPr>
                <w:noProof/>
                <w:webHidden/>
              </w:rPr>
              <w:t>12</w:t>
            </w:r>
            <w:r>
              <w:rPr>
                <w:noProof/>
                <w:webHidden/>
              </w:rPr>
              <w:fldChar w:fldCharType="end"/>
            </w:r>
          </w:hyperlink>
        </w:p>
        <w:p w14:paraId="5C94A102" w14:textId="2CEFE712" w:rsidR="001734D1" w:rsidRDefault="001734D1">
          <w:pPr>
            <w:pStyle w:val="TOC1"/>
            <w:tabs>
              <w:tab w:val="left" w:pos="720"/>
              <w:tab w:val="right" w:leader="dot" w:pos="9736"/>
            </w:tabs>
            <w:rPr>
              <w:rFonts w:cstheme="minorBidi"/>
              <w:noProof/>
              <w:kern w:val="2"/>
              <w:sz w:val="24"/>
              <w:szCs w:val="24"/>
              <w:lang w:eastAsia="en-GB"/>
              <w14:ligatures w14:val="standardContextual"/>
            </w:rPr>
          </w:pPr>
          <w:hyperlink w:anchor="_Toc196835336" w:history="1">
            <w:r w:rsidRPr="00FF7391">
              <w:rPr>
                <w:rStyle w:val="Hyperlink"/>
                <w:noProof/>
              </w:rPr>
              <w:t>5.0</w:t>
            </w:r>
            <w:r>
              <w:rPr>
                <w:rFonts w:cstheme="minorBidi"/>
                <w:noProof/>
                <w:kern w:val="2"/>
                <w:sz w:val="24"/>
                <w:szCs w:val="24"/>
                <w:lang w:eastAsia="en-GB"/>
                <w14:ligatures w14:val="standardContextual"/>
              </w:rPr>
              <w:tab/>
            </w:r>
            <w:r w:rsidRPr="00FF7391">
              <w:rPr>
                <w:rStyle w:val="Hyperlink"/>
                <w:noProof/>
              </w:rPr>
              <w:t>Opportunities and Effectiveness of Stakeholder Engagement under the Windsor Framework</w:t>
            </w:r>
            <w:r>
              <w:rPr>
                <w:noProof/>
                <w:webHidden/>
              </w:rPr>
              <w:tab/>
            </w:r>
            <w:r>
              <w:rPr>
                <w:noProof/>
                <w:webHidden/>
              </w:rPr>
              <w:fldChar w:fldCharType="begin"/>
            </w:r>
            <w:r>
              <w:rPr>
                <w:noProof/>
                <w:webHidden/>
              </w:rPr>
              <w:instrText xml:space="preserve"> PAGEREF _Toc196835336 \h </w:instrText>
            </w:r>
            <w:r>
              <w:rPr>
                <w:noProof/>
                <w:webHidden/>
              </w:rPr>
            </w:r>
            <w:r>
              <w:rPr>
                <w:noProof/>
                <w:webHidden/>
              </w:rPr>
              <w:fldChar w:fldCharType="separate"/>
            </w:r>
            <w:r w:rsidR="00DF1D79">
              <w:rPr>
                <w:noProof/>
                <w:webHidden/>
              </w:rPr>
              <w:t>14</w:t>
            </w:r>
            <w:r>
              <w:rPr>
                <w:noProof/>
                <w:webHidden/>
              </w:rPr>
              <w:fldChar w:fldCharType="end"/>
            </w:r>
          </w:hyperlink>
        </w:p>
        <w:p w14:paraId="4CF1C06A" w14:textId="7D37187E" w:rsidR="001734D1" w:rsidRDefault="001734D1">
          <w:pPr>
            <w:pStyle w:val="TOC3"/>
            <w:tabs>
              <w:tab w:val="right" w:leader="dot" w:pos="9736"/>
            </w:tabs>
            <w:rPr>
              <w:rFonts w:cstheme="minorBidi"/>
              <w:noProof/>
              <w:kern w:val="2"/>
              <w:sz w:val="24"/>
              <w:szCs w:val="24"/>
              <w:lang w:eastAsia="en-GB"/>
              <w14:ligatures w14:val="standardContextual"/>
            </w:rPr>
          </w:pPr>
          <w:hyperlink w:anchor="_Toc196835337" w:history="1">
            <w:r w:rsidRPr="00FF7391">
              <w:rPr>
                <w:rStyle w:val="Hyperlink"/>
                <w:noProof/>
              </w:rPr>
              <w:t>Specialised Committee on Implementation of the Windsor Framework</w:t>
            </w:r>
            <w:r>
              <w:rPr>
                <w:noProof/>
                <w:webHidden/>
              </w:rPr>
              <w:tab/>
            </w:r>
            <w:r>
              <w:rPr>
                <w:noProof/>
                <w:webHidden/>
              </w:rPr>
              <w:fldChar w:fldCharType="begin"/>
            </w:r>
            <w:r>
              <w:rPr>
                <w:noProof/>
                <w:webHidden/>
              </w:rPr>
              <w:instrText xml:space="preserve"> PAGEREF _Toc196835337 \h </w:instrText>
            </w:r>
            <w:r>
              <w:rPr>
                <w:noProof/>
                <w:webHidden/>
              </w:rPr>
            </w:r>
            <w:r>
              <w:rPr>
                <w:noProof/>
                <w:webHidden/>
              </w:rPr>
              <w:fldChar w:fldCharType="separate"/>
            </w:r>
            <w:r w:rsidR="00DF1D79">
              <w:rPr>
                <w:noProof/>
                <w:webHidden/>
              </w:rPr>
              <w:t>14</w:t>
            </w:r>
            <w:r>
              <w:rPr>
                <w:noProof/>
                <w:webHidden/>
              </w:rPr>
              <w:fldChar w:fldCharType="end"/>
            </w:r>
          </w:hyperlink>
        </w:p>
        <w:p w14:paraId="716F718E" w14:textId="16F01484" w:rsidR="001734D1" w:rsidRDefault="001734D1">
          <w:pPr>
            <w:pStyle w:val="TOC3"/>
            <w:tabs>
              <w:tab w:val="right" w:leader="dot" w:pos="9736"/>
            </w:tabs>
            <w:rPr>
              <w:rFonts w:cstheme="minorBidi"/>
              <w:noProof/>
              <w:kern w:val="2"/>
              <w:sz w:val="24"/>
              <w:szCs w:val="24"/>
              <w:lang w:eastAsia="en-GB"/>
              <w14:ligatures w14:val="standardContextual"/>
            </w:rPr>
          </w:pPr>
          <w:hyperlink w:anchor="_Toc196835338" w:history="1">
            <w:r w:rsidRPr="00FF7391">
              <w:rPr>
                <w:rStyle w:val="Hyperlink"/>
                <w:noProof/>
              </w:rPr>
              <w:t>Joint Consultative Working Group</w:t>
            </w:r>
            <w:r>
              <w:rPr>
                <w:noProof/>
                <w:webHidden/>
              </w:rPr>
              <w:tab/>
            </w:r>
            <w:r>
              <w:rPr>
                <w:noProof/>
                <w:webHidden/>
              </w:rPr>
              <w:fldChar w:fldCharType="begin"/>
            </w:r>
            <w:r>
              <w:rPr>
                <w:noProof/>
                <w:webHidden/>
              </w:rPr>
              <w:instrText xml:space="preserve"> PAGEREF _Toc196835338 \h </w:instrText>
            </w:r>
            <w:r>
              <w:rPr>
                <w:noProof/>
                <w:webHidden/>
              </w:rPr>
            </w:r>
            <w:r>
              <w:rPr>
                <w:noProof/>
                <w:webHidden/>
              </w:rPr>
              <w:fldChar w:fldCharType="separate"/>
            </w:r>
            <w:r w:rsidR="00DF1D79">
              <w:rPr>
                <w:noProof/>
                <w:webHidden/>
              </w:rPr>
              <w:t>15</w:t>
            </w:r>
            <w:r>
              <w:rPr>
                <w:noProof/>
                <w:webHidden/>
              </w:rPr>
              <w:fldChar w:fldCharType="end"/>
            </w:r>
          </w:hyperlink>
        </w:p>
        <w:p w14:paraId="5B6446A0" w14:textId="792CE590" w:rsidR="001734D1" w:rsidRDefault="001734D1">
          <w:pPr>
            <w:pStyle w:val="TOC1"/>
            <w:tabs>
              <w:tab w:val="left" w:pos="720"/>
              <w:tab w:val="right" w:leader="dot" w:pos="9736"/>
            </w:tabs>
            <w:rPr>
              <w:rFonts w:cstheme="minorBidi"/>
              <w:noProof/>
              <w:kern w:val="2"/>
              <w:sz w:val="24"/>
              <w:szCs w:val="24"/>
              <w:lang w:eastAsia="en-GB"/>
              <w14:ligatures w14:val="standardContextual"/>
            </w:rPr>
          </w:pPr>
          <w:hyperlink w:anchor="_Toc196835339" w:history="1">
            <w:r w:rsidRPr="00FF7391">
              <w:rPr>
                <w:rStyle w:val="Hyperlink"/>
                <w:noProof/>
              </w:rPr>
              <w:t>6.0</w:t>
            </w:r>
            <w:r>
              <w:rPr>
                <w:rFonts w:cstheme="minorBidi"/>
                <w:noProof/>
                <w:kern w:val="2"/>
                <w:sz w:val="24"/>
                <w:szCs w:val="24"/>
                <w:lang w:eastAsia="en-GB"/>
                <w14:ligatures w14:val="standardContextual"/>
              </w:rPr>
              <w:tab/>
            </w:r>
            <w:r w:rsidRPr="00FF7391">
              <w:rPr>
                <w:rStyle w:val="Hyperlink"/>
                <w:noProof/>
              </w:rPr>
              <w:t>EU Commission Work Programme</w:t>
            </w:r>
            <w:r>
              <w:rPr>
                <w:noProof/>
                <w:webHidden/>
              </w:rPr>
              <w:tab/>
            </w:r>
            <w:r>
              <w:rPr>
                <w:noProof/>
                <w:webHidden/>
              </w:rPr>
              <w:fldChar w:fldCharType="begin"/>
            </w:r>
            <w:r>
              <w:rPr>
                <w:noProof/>
                <w:webHidden/>
              </w:rPr>
              <w:instrText xml:space="preserve"> PAGEREF _Toc196835339 \h </w:instrText>
            </w:r>
            <w:r>
              <w:rPr>
                <w:noProof/>
                <w:webHidden/>
              </w:rPr>
            </w:r>
            <w:r>
              <w:rPr>
                <w:noProof/>
                <w:webHidden/>
              </w:rPr>
              <w:fldChar w:fldCharType="separate"/>
            </w:r>
            <w:r w:rsidR="00DF1D79">
              <w:rPr>
                <w:noProof/>
                <w:webHidden/>
              </w:rPr>
              <w:t>16</w:t>
            </w:r>
            <w:r>
              <w:rPr>
                <w:noProof/>
                <w:webHidden/>
              </w:rPr>
              <w:fldChar w:fldCharType="end"/>
            </w:r>
          </w:hyperlink>
        </w:p>
        <w:p w14:paraId="6D78347B" w14:textId="30F653A6" w:rsidR="00EC58BC" w:rsidRDefault="00EC58BC">
          <w:r>
            <w:rPr>
              <w:b/>
              <w:bCs/>
              <w:noProof/>
            </w:rPr>
            <w:fldChar w:fldCharType="end"/>
          </w:r>
        </w:p>
      </w:sdtContent>
    </w:sdt>
    <w:p w14:paraId="4CBD6E55" w14:textId="77777777" w:rsidR="00EC58BC" w:rsidRDefault="00EC58BC">
      <w:pPr>
        <w:spacing w:after="160" w:line="259" w:lineRule="auto"/>
        <w:rPr>
          <w:b/>
          <w:sz w:val="40"/>
          <w:szCs w:val="40"/>
        </w:rPr>
      </w:pPr>
      <w:r>
        <w:br w:type="page"/>
      </w:r>
    </w:p>
    <w:p w14:paraId="44B3A34D" w14:textId="627BC959" w:rsidR="00944B2E" w:rsidRDefault="00B63AFB" w:rsidP="6C3AB3C1">
      <w:pPr>
        <w:pStyle w:val="Heading1"/>
        <w:numPr>
          <w:ilvl w:val="0"/>
          <w:numId w:val="0"/>
        </w:numPr>
        <w:spacing w:before="0" w:after="160" w:line="259" w:lineRule="auto"/>
        <w:ind w:left="720" w:hanging="720"/>
        <w:rPr>
          <w:rFonts w:ascii="Calibri" w:eastAsia="Calibri" w:hAnsi="Calibri" w:cs="Calibri"/>
          <w:sz w:val="28"/>
          <w:szCs w:val="28"/>
        </w:rPr>
      </w:pPr>
      <w:bookmarkStart w:id="3" w:name="_Toc196835326"/>
      <w:r w:rsidRPr="00CD7913">
        <w:lastRenderedPageBreak/>
        <w:t>Summary</w:t>
      </w:r>
      <w:r w:rsidR="00BE50EC">
        <w:t xml:space="preserve"> of </w:t>
      </w:r>
      <w:r w:rsidR="00944B2E">
        <w:t>Recommendations</w:t>
      </w:r>
      <w:bookmarkEnd w:id="3"/>
    </w:p>
    <w:p w14:paraId="7609F014" w14:textId="32C68C3B" w:rsidR="00190FA8" w:rsidRDefault="00190FA8" w:rsidP="00190FA8">
      <w:pPr>
        <w:rPr>
          <w:b/>
          <w:bCs/>
        </w:rPr>
      </w:pPr>
      <w:r>
        <w:rPr>
          <w:b/>
          <w:bCs/>
        </w:rPr>
        <w:t xml:space="preserve">The Commissions recommend that: </w:t>
      </w:r>
    </w:p>
    <w:p w14:paraId="66AF5E87" w14:textId="6633C9D2" w:rsidR="001F232F" w:rsidRPr="00190FA8" w:rsidRDefault="1B2733A8" w:rsidP="00190FA8">
      <w:pPr>
        <w:ind w:left="720" w:hanging="720"/>
        <w:rPr>
          <w:b/>
          <w:bCs/>
        </w:rPr>
      </w:pPr>
      <w:r w:rsidRPr="00190FA8">
        <w:rPr>
          <w:b/>
          <w:bCs/>
        </w:rPr>
        <w:t xml:space="preserve">3.7 </w:t>
      </w:r>
      <w:r w:rsidR="00190FA8">
        <w:rPr>
          <w:b/>
          <w:bCs/>
        </w:rPr>
        <w:tab/>
      </w:r>
      <w:r w:rsidR="1254E195" w:rsidRPr="00190FA8">
        <w:rPr>
          <w:b/>
          <w:bCs/>
        </w:rPr>
        <w:t>the UK Government and EU officials ensure ongoing timely and structured engagement with NI civil society including equality and human rights stakeholders, including on matters relating to Windsor Framework Article 2. This engagement should include with those working on rights and equality on a cross-border basis.</w:t>
      </w:r>
    </w:p>
    <w:p w14:paraId="22CD9AEE" w14:textId="12B2B47A" w:rsidR="001F232F" w:rsidRPr="00190FA8" w:rsidRDefault="2DCF5FDA" w:rsidP="00190FA8">
      <w:pPr>
        <w:ind w:left="720" w:hanging="720"/>
        <w:rPr>
          <w:rFonts w:ascii="Calibri" w:eastAsia="Calibri" w:hAnsi="Calibri" w:cs="Calibri"/>
          <w:b/>
          <w:bCs/>
        </w:rPr>
      </w:pPr>
      <w:r w:rsidRPr="00190FA8">
        <w:rPr>
          <w:rFonts w:ascii="Calibri" w:eastAsia="Calibri" w:hAnsi="Calibri" w:cs="Calibri"/>
          <w:b/>
          <w:bCs/>
        </w:rPr>
        <w:t xml:space="preserve">3.10 </w:t>
      </w:r>
      <w:r w:rsidR="00190FA8">
        <w:rPr>
          <w:rFonts w:ascii="Calibri" w:eastAsia="Calibri" w:hAnsi="Calibri" w:cs="Calibri"/>
          <w:b/>
          <w:bCs/>
        </w:rPr>
        <w:tab/>
      </w:r>
      <w:r w:rsidRPr="00190FA8">
        <w:rPr>
          <w:rFonts w:ascii="Calibri" w:eastAsia="Calibri" w:hAnsi="Calibri" w:cs="Calibri"/>
          <w:b/>
          <w:bCs/>
        </w:rPr>
        <w:t>the UK Government and EU Commission continue to keep them informed of any future EU equality law developments relevant to Annex 1 equality</w:t>
      </w:r>
      <w:r w:rsidR="00190FA8">
        <w:rPr>
          <w:rFonts w:ascii="Calibri" w:eastAsia="Calibri" w:hAnsi="Calibri" w:cs="Calibri"/>
          <w:b/>
          <w:bCs/>
        </w:rPr>
        <w:t xml:space="preserve"> </w:t>
      </w:r>
      <w:r w:rsidRPr="00190FA8">
        <w:rPr>
          <w:rFonts w:ascii="Calibri" w:eastAsia="Calibri" w:hAnsi="Calibri" w:cs="Calibri"/>
          <w:b/>
          <w:bCs/>
        </w:rPr>
        <w:t xml:space="preserve">directives, including via the Joint Consultative Working Group, and provide the opportunity to highlight in advance any implications of those changes for equality law in </w:t>
      </w:r>
      <w:r w:rsidR="00257DFF">
        <w:rPr>
          <w:rFonts w:ascii="Calibri" w:eastAsia="Calibri" w:hAnsi="Calibri" w:cs="Calibri"/>
          <w:b/>
          <w:bCs/>
        </w:rPr>
        <w:t>NI</w:t>
      </w:r>
      <w:r w:rsidRPr="00190FA8">
        <w:rPr>
          <w:rFonts w:ascii="Calibri" w:eastAsia="Calibri" w:hAnsi="Calibri" w:cs="Calibri"/>
          <w:b/>
          <w:bCs/>
        </w:rPr>
        <w:t>.</w:t>
      </w:r>
    </w:p>
    <w:p w14:paraId="2BEF909E" w14:textId="5496F2DA" w:rsidR="001F232F" w:rsidRPr="00190FA8" w:rsidRDefault="2DCF5FDA" w:rsidP="00190FA8">
      <w:pPr>
        <w:ind w:left="720" w:hanging="720"/>
        <w:rPr>
          <w:rFonts w:ascii="Calibri" w:eastAsia="Calibri" w:hAnsi="Calibri" w:cs="Calibri"/>
          <w:b/>
          <w:bCs/>
        </w:rPr>
      </w:pPr>
      <w:r w:rsidRPr="00190FA8">
        <w:rPr>
          <w:rFonts w:ascii="Calibri" w:eastAsia="Calibri" w:hAnsi="Calibri" w:cs="Calibri"/>
          <w:b/>
          <w:bCs/>
        </w:rPr>
        <w:t xml:space="preserve">3.12 </w:t>
      </w:r>
      <w:r w:rsidR="00190FA8">
        <w:rPr>
          <w:rFonts w:ascii="Calibri" w:eastAsia="Calibri" w:hAnsi="Calibri" w:cs="Calibri"/>
          <w:b/>
          <w:bCs/>
        </w:rPr>
        <w:tab/>
      </w:r>
      <w:r w:rsidRPr="00190FA8">
        <w:rPr>
          <w:rFonts w:ascii="Calibri" w:eastAsia="Calibri" w:hAnsi="Calibri" w:cs="Calibri"/>
          <w:b/>
          <w:bCs/>
        </w:rPr>
        <w:t>the UK Government and NI Departments ensure that Explanatory Memoranda/notes and Human Rights Memoranda/impact assessments on Bills and draft statutory instruments that may engage Windsor Framework Article 2 set out detailed consideration of compliance.</w:t>
      </w:r>
    </w:p>
    <w:p w14:paraId="4F4DED3A" w14:textId="4B8F0A5A" w:rsidR="001F232F" w:rsidRPr="00190FA8" w:rsidRDefault="2DCF5FDA" w:rsidP="00190FA8">
      <w:pPr>
        <w:ind w:left="720" w:hanging="720"/>
        <w:rPr>
          <w:rFonts w:ascii="Calibri" w:eastAsia="Calibri" w:hAnsi="Calibri" w:cs="Calibri"/>
          <w:b/>
          <w:bCs/>
        </w:rPr>
      </w:pPr>
      <w:r w:rsidRPr="00190FA8">
        <w:rPr>
          <w:rFonts w:ascii="Calibri" w:eastAsia="Calibri" w:hAnsi="Calibri" w:cs="Calibri"/>
          <w:b/>
          <w:bCs/>
        </w:rPr>
        <w:t xml:space="preserve">3.17 </w:t>
      </w:r>
      <w:r w:rsidR="00190FA8">
        <w:rPr>
          <w:rFonts w:ascii="Calibri" w:eastAsia="Calibri" w:hAnsi="Calibri" w:cs="Calibri"/>
          <w:b/>
          <w:bCs/>
        </w:rPr>
        <w:tab/>
      </w:r>
      <w:r w:rsidRPr="00190FA8">
        <w:rPr>
          <w:rFonts w:ascii="Calibri" w:eastAsia="Calibri" w:hAnsi="Calibri" w:cs="Calibri"/>
          <w:b/>
          <w:bCs/>
        </w:rPr>
        <w:t>the Committee seeks clarification from the Secretary of State for NI and from the Executive Office on what further steps will be taken to embed detailed consideration of Windsor Framework Article 2 compliance into processes and procedures across Whitehall and the NI Civil Service, including the timeline for doing so.</w:t>
      </w:r>
    </w:p>
    <w:p w14:paraId="3A0F9D69" w14:textId="4D54C4D8" w:rsidR="001F232F" w:rsidRPr="00190FA8" w:rsidRDefault="2DCF5FDA" w:rsidP="00190FA8">
      <w:pPr>
        <w:ind w:left="720" w:hanging="720"/>
        <w:rPr>
          <w:rFonts w:ascii="Calibri" w:eastAsia="Calibri" w:hAnsi="Calibri" w:cs="Calibri"/>
          <w:b/>
          <w:bCs/>
        </w:rPr>
      </w:pPr>
      <w:r w:rsidRPr="00190FA8">
        <w:rPr>
          <w:rFonts w:ascii="Calibri" w:eastAsia="Calibri" w:hAnsi="Calibri" w:cs="Calibri"/>
          <w:b/>
          <w:bCs/>
        </w:rPr>
        <w:t xml:space="preserve">3.18 </w:t>
      </w:r>
      <w:r w:rsidR="00190FA8">
        <w:rPr>
          <w:rFonts w:ascii="Calibri" w:eastAsia="Calibri" w:hAnsi="Calibri" w:cs="Calibri"/>
          <w:b/>
          <w:bCs/>
        </w:rPr>
        <w:tab/>
        <w:t xml:space="preserve">the </w:t>
      </w:r>
      <w:r w:rsidRPr="00190FA8">
        <w:rPr>
          <w:rFonts w:ascii="Calibri" w:eastAsia="Calibri" w:hAnsi="Calibri" w:cs="Calibri"/>
          <w:b/>
          <w:bCs/>
        </w:rPr>
        <w:t>UK Government and NI departments roll out effective and comprehensive training on Windsor Framework Article 2 to all relevant officials, and act promptly to ensure guidance on policy and legislative development include detailed steps for consideration of Article 2.</w:t>
      </w:r>
    </w:p>
    <w:p w14:paraId="1D8E6BC9" w14:textId="5A87D949" w:rsidR="001F232F" w:rsidRPr="00190FA8" w:rsidRDefault="2DCF5FDA" w:rsidP="00190FA8">
      <w:pPr>
        <w:ind w:left="720" w:hanging="720"/>
        <w:rPr>
          <w:rFonts w:ascii="Calibri" w:eastAsia="Calibri" w:hAnsi="Calibri" w:cs="Calibri"/>
          <w:b/>
          <w:bCs/>
        </w:rPr>
      </w:pPr>
      <w:r w:rsidRPr="00190FA8">
        <w:rPr>
          <w:rFonts w:ascii="Calibri" w:eastAsia="Calibri" w:hAnsi="Calibri" w:cs="Calibri"/>
          <w:b/>
          <w:bCs/>
        </w:rPr>
        <w:t xml:space="preserve">3.21 </w:t>
      </w:r>
      <w:r w:rsidR="00190FA8">
        <w:rPr>
          <w:rFonts w:ascii="Calibri" w:eastAsia="Calibri" w:hAnsi="Calibri" w:cs="Calibri"/>
          <w:b/>
          <w:bCs/>
        </w:rPr>
        <w:tab/>
      </w:r>
      <w:r w:rsidRPr="00190FA8">
        <w:rPr>
          <w:rFonts w:ascii="Calibri" w:eastAsia="Calibri" w:hAnsi="Calibri" w:cs="Calibri"/>
          <w:b/>
          <w:bCs/>
        </w:rPr>
        <w:t>the Committee considers if there are sufficient mechanisms in place to ensure effective parliamentary scrutiny in terms of Windsor Framework Article 2 compliance by the UK Government, particularly in the absence of the European Scrutiny Committee.</w:t>
      </w:r>
    </w:p>
    <w:p w14:paraId="0184A33E" w14:textId="34BE169B" w:rsidR="001F232F" w:rsidRPr="00190FA8" w:rsidRDefault="2DCF5FDA" w:rsidP="00190FA8">
      <w:pPr>
        <w:ind w:left="720" w:hanging="720"/>
        <w:rPr>
          <w:rFonts w:ascii="Calibri" w:eastAsia="Calibri" w:hAnsi="Calibri" w:cs="Calibri"/>
          <w:b/>
          <w:bCs/>
        </w:rPr>
      </w:pPr>
      <w:r w:rsidRPr="00190FA8">
        <w:rPr>
          <w:rFonts w:ascii="Calibri" w:eastAsia="Calibri" w:hAnsi="Calibri" w:cs="Calibri"/>
          <w:b/>
          <w:bCs/>
        </w:rPr>
        <w:t xml:space="preserve">4.7 </w:t>
      </w:r>
      <w:r w:rsidR="00190FA8">
        <w:rPr>
          <w:rFonts w:ascii="Calibri" w:eastAsia="Calibri" w:hAnsi="Calibri" w:cs="Calibri"/>
          <w:b/>
          <w:bCs/>
        </w:rPr>
        <w:tab/>
      </w:r>
      <w:r w:rsidRPr="00190FA8">
        <w:rPr>
          <w:rFonts w:ascii="Calibri" w:eastAsia="Calibri" w:hAnsi="Calibri" w:cs="Calibri"/>
          <w:b/>
          <w:bCs/>
        </w:rPr>
        <w:t>the Secretary of State for NI, the NI Assembly and the Windsor Framework Democratic Scrutiny Committee integrate equality and human rights considerations into the revised process under Article 13(4) of the Windsor Framework, as well as at all key stages of the ‘Stormont Brake’ mechanism.</w:t>
      </w:r>
    </w:p>
    <w:p w14:paraId="2E1D5B8F" w14:textId="5628096F" w:rsidR="001F232F" w:rsidRPr="00190FA8" w:rsidRDefault="2DCF5FDA" w:rsidP="00190FA8">
      <w:pPr>
        <w:ind w:left="720" w:hanging="720"/>
        <w:rPr>
          <w:rFonts w:ascii="Calibri" w:eastAsia="Calibri" w:hAnsi="Calibri" w:cs="Calibri"/>
          <w:b/>
          <w:bCs/>
        </w:rPr>
      </w:pPr>
      <w:r w:rsidRPr="00190FA8">
        <w:rPr>
          <w:rFonts w:ascii="Calibri" w:eastAsia="Calibri" w:hAnsi="Calibri" w:cs="Calibri"/>
          <w:b/>
          <w:bCs/>
        </w:rPr>
        <w:lastRenderedPageBreak/>
        <w:t xml:space="preserve">4.8 </w:t>
      </w:r>
      <w:r w:rsidR="00190FA8">
        <w:rPr>
          <w:rFonts w:ascii="Calibri" w:eastAsia="Calibri" w:hAnsi="Calibri" w:cs="Calibri"/>
          <w:b/>
          <w:bCs/>
        </w:rPr>
        <w:tab/>
      </w:r>
      <w:r w:rsidRPr="00190FA8">
        <w:rPr>
          <w:rFonts w:ascii="Calibri" w:eastAsia="Calibri" w:hAnsi="Calibri" w:cs="Calibri"/>
          <w:b/>
          <w:bCs/>
        </w:rPr>
        <w:t>the Windsor Framework Democratic Scrutiny Committee undertakes meaningful and timely engagement with the Commissions and with equality and human rights groups in NI, in relation to a proposed EU measure, or a replacement EU Act, to seek their views on the implications for the promotion and protection of equality and human rights in NI.</w:t>
      </w:r>
    </w:p>
    <w:p w14:paraId="36DDD74F" w14:textId="0E7A0191" w:rsidR="001F232F" w:rsidRPr="00190FA8" w:rsidRDefault="2DCF5FDA" w:rsidP="00190FA8">
      <w:pPr>
        <w:ind w:left="720" w:hanging="720"/>
        <w:rPr>
          <w:rFonts w:ascii="Calibri" w:eastAsia="Calibri" w:hAnsi="Calibri" w:cs="Calibri"/>
          <w:b/>
          <w:bCs/>
        </w:rPr>
      </w:pPr>
      <w:r w:rsidRPr="00190FA8">
        <w:rPr>
          <w:rFonts w:ascii="Calibri" w:eastAsia="Calibri" w:hAnsi="Calibri" w:cs="Calibri"/>
          <w:b/>
          <w:bCs/>
        </w:rPr>
        <w:t xml:space="preserve">5.7 </w:t>
      </w:r>
      <w:r w:rsidR="00190FA8">
        <w:rPr>
          <w:rFonts w:ascii="Calibri" w:eastAsia="Calibri" w:hAnsi="Calibri" w:cs="Calibri"/>
          <w:b/>
          <w:bCs/>
        </w:rPr>
        <w:tab/>
      </w:r>
      <w:r w:rsidRPr="00190FA8">
        <w:rPr>
          <w:rFonts w:ascii="Calibri" w:eastAsia="Calibri" w:hAnsi="Calibri" w:cs="Calibri"/>
          <w:b/>
          <w:bCs/>
        </w:rPr>
        <w:t xml:space="preserve">the secretariat of the Specialised Committee establishes a formal communication channel with the Commissions to ensure early engagement on anticipated changes or additions to legislation on matters relating to equality and human rights in </w:t>
      </w:r>
      <w:r w:rsidR="00257DFF">
        <w:rPr>
          <w:rFonts w:ascii="Calibri" w:eastAsia="Calibri" w:hAnsi="Calibri" w:cs="Calibri"/>
          <w:b/>
          <w:bCs/>
        </w:rPr>
        <w:t>NI</w:t>
      </w:r>
      <w:r w:rsidRPr="00190FA8">
        <w:rPr>
          <w:rFonts w:ascii="Calibri" w:eastAsia="Calibri" w:hAnsi="Calibri" w:cs="Calibri"/>
          <w:b/>
          <w:bCs/>
        </w:rPr>
        <w:t>, including Windsor Framework Article 2.</w:t>
      </w:r>
    </w:p>
    <w:p w14:paraId="6716FFEE" w14:textId="4EFA97BD" w:rsidR="001F232F" w:rsidRPr="00190FA8" w:rsidRDefault="2DCF5FDA" w:rsidP="00190FA8">
      <w:pPr>
        <w:ind w:left="720" w:hanging="720"/>
        <w:rPr>
          <w:rFonts w:ascii="Calibri" w:eastAsia="Calibri" w:hAnsi="Calibri" w:cs="Calibri"/>
          <w:b/>
          <w:bCs/>
        </w:rPr>
      </w:pPr>
      <w:r w:rsidRPr="00190FA8">
        <w:rPr>
          <w:rFonts w:ascii="Calibri" w:eastAsia="Calibri" w:hAnsi="Calibri" w:cs="Calibri"/>
          <w:b/>
          <w:bCs/>
        </w:rPr>
        <w:t xml:space="preserve">6.5 </w:t>
      </w:r>
      <w:r w:rsidR="00190FA8">
        <w:rPr>
          <w:rFonts w:ascii="Calibri" w:eastAsia="Calibri" w:hAnsi="Calibri" w:cs="Calibri"/>
          <w:b/>
          <w:bCs/>
        </w:rPr>
        <w:tab/>
      </w:r>
      <w:r w:rsidRPr="00190FA8">
        <w:rPr>
          <w:rFonts w:ascii="Calibri" w:eastAsia="Calibri" w:hAnsi="Calibri" w:cs="Calibri"/>
          <w:b/>
          <w:bCs/>
        </w:rPr>
        <w:t>The Committee may wish to seek clarity from the UK Government on what consideration is given to equality and human rights in NI by the EU Commission in impact assessments of draft EU proposals.</w:t>
      </w:r>
    </w:p>
    <w:p w14:paraId="4C28B951" w14:textId="5F6560AE" w:rsidR="001F232F" w:rsidRDefault="001F232F" w:rsidP="7A18A703">
      <w:pPr>
        <w:spacing w:after="160" w:line="259" w:lineRule="auto"/>
      </w:pPr>
    </w:p>
    <w:p w14:paraId="159CCC02" w14:textId="2C03178B" w:rsidR="001F232F" w:rsidRDefault="001F232F">
      <w:pPr>
        <w:spacing w:after="160" w:line="259" w:lineRule="auto"/>
        <w:rPr>
          <w:b/>
          <w:sz w:val="40"/>
          <w:szCs w:val="40"/>
        </w:rPr>
      </w:pPr>
      <w:r>
        <w:br w:type="page"/>
      </w:r>
    </w:p>
    <w:p w14:paraId="52149495" w14:textId="14302233" w:rsidR="00064CF7" w:rsidRPr="000835C7" w:rsidRDefault="00064CF7" w:rsidP="00944B2E">
      <w:pPr>
        <w:pStyle w:val="Heading1"/>
      </w:pPr>
      <w:bookmarkStart w:id="4" w:name="_Toc196835327"/>
      <w:r w:rsidRPr="0075312D">
        <w:lastRenderedPageBreak/>
        <w:t>Introduction</w:t>
      </w:r>
      <w:bookmarkEnd w:id="4"/>
      <w:bookmarkEnd w:id="2"/>
      <w:r w:rsidRPr="000835C7">
        <w:t xml:space="preserve"> </w:t>
      </w:r>
    </w:p>
    <w:p w14:paraId="7A94FB1B" w14:textId="77777777" w:rsidR="00064CF7" w:rsidRDefault="00064CF7" w:rsidP="001734D1">
      <w:pPr>
        <w:pStyle w:val="ListParagraph"/>
        <w:ind w:left="709"/>
      </w:pPr>
      <w:r w:rsidRPr="000835C7">
        <w:t xml:space="preserve">The Northern Ireland Human Rights Commission (the NIHRC), pursuant to section 69(1) the Northern Ireland Act 1998, reviews the adequacy and effectiveness of law and practice </w:t>
      </w:r>
      <w:r w:rsidRPr="0075312D">
        <w:t>relating</w:t>
      </w:r>
      <w:r w:rsidRPr="000835C7">
        <w:t xml:space="preserve"> to the protection of human rights in Northern Ireland (NI). </w:t>
      </w:r>
    </w:p>
    <w:p w14:paraId="344D09B3" w14:textId="77777777" w:rsidR="00944B2E" w:rsidRPr="000835C7" w:rsidRDefault="00944B2E" w:rsidP="001734D1">
      <w:pPr>
        <w:pStyle w:val="ListParagraph"/>
        <w:numPr>
          <w:ilvl w:val="0"/>
          <w:numId w:val="0"/>
        </w:numPr>
        <w:ind w:left="709"/>
      </w:pPr>
    </w:p>
    <w:p w14:paraId="038E3FD5" w14:textId="77777777" w:rsidR="00944B2E" w:rsidRDefault="00BD777D" w:rsidP="001734D1">
      <w:pPr>
        <w:pStyle w:val="ListParagraph"/>
        <w:ind w:left="709"/>
      </w:pPr>
      <w:r w:rsidRPr="000835C7">
        <w:t xml:space="preserve">The Equality Commission for Northern Ireland (ECNI) is an independent public body established under the Northern Ireland Act 1998. Its powers and duties derive from </w:t>
      </w:r>
      <w:proofErr w:type="gramStart"/>
      <w:r w:rsidRPr="000835C7">
        <w:t>a number of</w:t>
      </w:r>
      <w:proofErr w:type="gramEnd"/>
      <w:r w:rsidRPr="000835C7">
        <w:t xml:space="preserve"> equality statutes providing protection against discrimination on the grounds of age, disability, race, religion and political opinion, sex and sexual orientation. Its remit also includes overseeing the statutory duties on public authorities </w:t>
      </w:r>
      <w:r>
        <w:t xml:space="preserve">on the </w:t>
      </w:r>
      <w:r w:rsidRPr="000835C7">
        <w:t>promotion</w:t>
      </w:r>
      <w:r>
        <w:t xml:space="preserve"> of </w:t>
      </w:r>
      <w:r w:rsidRPr="000835C7">
        <w:t>equality of opportunity and good relations under Section 75 of the Northern Ireland Act 1998.</w:t>
      </w:r>
    </w:p>
    <w:p w14:paraId="536F7D9D" w14:textId="0A79F3E5" w:rsidR="00BD777D" w:rsidRPr="000835C7" w:rsidRDefault="00BD777D" w:rsidP="001734D1">
      <w:pPr>
        <w:pStyle w:val="ListParagraph"/>
        <w:numPr>
          <w:ilvl w:val="0"/>
          <w:numId w:val="0"/>
        </w:numPr>
        <w:ind w:left="709"/>
      </w:pPr>
      <w:r w:rsidRPr="000835C7">
        <w:t xml:space="preserve"> </w:t>
      </w:r>
    </w:p>
    <w:p w14:paraId="768709B6" w14:textId="48A4466F" w:rsidR="00944B2E" w:rsidRPr="00EC65D2" w:rsidRDefault="00D15ECF" w:rsidP="001734D1">
      <w:pPr>
        <w:pStyle w:val="ListParagraph"/>
        <w:ind w:left="709"/>
      </w:pPr>
      <w:r>
        <w:t xml:space="preserve">The </w:t>
      </w:r>
      <w:r w:rsidR="009F7BE8" w:rsidRPr="00CA209F">
        <w:t>NIHRC</w:t>
      </w:r>
      <w:r w:rsidR="00D03714">
        <w:t xml:space="preserve"> and</w:t>
      </w:r>
      <w:r w:rsidR="009F7BE8" w:rsidRPr="00CA209F">
        <w:t xml:space="preserve"> ECNI</w:t>
      </w:r>
      <w:r w:rsidR="00340012">
        <w:t xml:space="preserve"> (the Commissions)</w:t>
      </w:r>
      <w:r w:rsidR="009F7BE8" w:rsidRPr="00CA209F">
        <w:t xml:space="preserve">, pursuant to section </w:t>
      </w:r>
      <w:r w:rsidR="009F7BE8" w:rsidRPr="000B463B">
        <w:rPr>
          <w:b/>
          <w:bCs/>
        </w:rPr>
        <w:t>78A(1) and 79B(1)</w:t>
      </w:r>
      <w:r w:rsidR="009F7BE8" w:rsidRPr="00CA209F">
        <w:t xml:space="preserve"> of the Northern Ireland Act 1998, </w:t>
      </w:r>
      <w:r w:rsidR="00D03714">
        <w:t xml:space="preserve">respectively, </w:t>
      </w:r>
      <w:r w:rsidR="00E174A3">
        <w:t xml:space="preserve">are required to </w:t>
      </w:r>
      <w:r w:rsidR="009F7BE8" w:rsidRPr="00CA209F">
        <w:t>monitor</w:t>
      </w:r>
      <w:r w:rsidR="00F21645">
        <w:t xml:space="preserve"> and report on</w:t>
      </w:r>
      <w:r w:rsidR="009F7BE8" w:rsidRPr="00CA209F">
        <w:t xml:space="preserve"> the implementation of </w:t>
      </w:r>
      <w:r w:rsidR="000B463B">
        <w:t xml:space="preserve">Windsor Framework </w:t>
      </w:r>
      <w:r w:rsidR="000B463B" w:rsidRPr="00944B2E">
        <w:t>Article</w:t>
      </w:r>
      <w:r w:rsidR="000B463B">
        <w:t xml:space="preserve"> 2</w:t>
      </w:r>
      <w:r w:rsidR="00CA209F">
        <w:t>.</w:t>
      </w:r>
      <w:r w:rsidR="000B463B" w:rsidRPr="00AC5730">
        <w:rPr>
          <w:rStyle w:val="FootnoteReference"/>
        </w:rPr>
        <w:footnoteReference w:id="2"/>
      </w:r>
      <w:r w:rsidR="00012886">
        <w:t xml:space="preserve"> </w:t>
      </w:r>
      <w:r w:rsidR="00064CF7" w:rsidRPr="000835C7">
        <w:t xml:space="preserve">In accordance with these functions, the Commissions </w:t>
      </w:r>
      <w:r w:rsidR="00721407">
        <w:t xml:space="preserve">welcome this opportunity to </w:t>
      </w:r>
      <w:r w:rsidR="00064CF7" w:rsidRPr="000835C7">
        <w:t>provide this joint submission to</w:t>
      </w:r>
      <w:r w:rsidR="00064CF7">
        <w:t xml:space="preserve"> the </w:t>
      </w:r>
      <w:r w:rsidR="00C54209">
        <w:t>NI</w:t>
      </w:r>
      <w:r w:rsidR="00D24EDF">
        <w:t xml:space="preserve"> Scrutiny Committee</w:t>
      </w:r>
      <w:r w:rsidR="00D234BB">
        <w:t xml:space="preserve"> to inform its inquiry into strengthening Northern Ireland’s voice in the context of the Windsor Framework.</w:t>
      </w:r>
      <w:r w:rsidR="008A6805">
        <w:t xml:space="preserve">  </w:t>
      </w:r>
      <w:r w:rsidR="00F53182" w:rsidRPr="00012886">
        <w:rPr>
          <w:rFonts w:cs="Calibri"/>
        </w:rPr>
        <w:t xml:space="preserve">In this submission, the Commissions have focused on addressing only those questions in the Committee’s call for evidence which fall within the scope of our respective roles and remits.  </w:t>
      </w:r>
    </w:p>
    <w:p w14:paraId="7CF9B0DD" w14:textId="77777777" w:rsidR="00EC65D2" w:rsidRDefault="00EC65D2" w:rsidP="00EC65D2">
      <w:pPr>
        <w:pStyle w:val="ListParagraph"/>
        <w:numPr>
          <w:ilvl w:val="0"/>
          <w:numId w:val="0"/>
        </w:numPr>
        <w:ind w:left="1004"/>
      </w:pPr>
    </w:p>
    <w:p w14:paraId="5D9FAE8E" w14:textId="14CFC3A2" w:rsidR="006673F3" w:rsidRDefault="006673F3" w:rsidP="006D461E">
      <w:pPr>
        <w:pStyle w:val="Heading1"/>
      </w:pPr>
      <w:bookmarkStart w:id="5" w:name="_Toc196835328"/>
      <w:r>
        <w:t>Windsor Framework Article 2</w:t>
      </w:r>
      <w:bookmarkEnd w:id="5"/>
      <w:r>
        <w:t xml:space="preserve"> </w:t>
      </w:r>
    </w:p>
    <w:p w14:paraId="47E5E6EA" w14:textId="7F15CFF4" w:rsidR="00E70DDB" w:rsidRDefault="00E70DDB" w:rsidP="001734D1">
      <w:pPr>
        <w:pStyle w:val="ListParagraph"/>
        <w:ind w:left="709"/>
      </w:pPr>
      <w:r>
        <w:t>Windsor Framework Article 2 requires the UK Government to ensure that no diminution of rights, safeguards and equality of opportunities contained in the relevant part of the Belfast (Good Friday) Agreement 1998 occurs as a result of the UK’s withdrawal from the EU.</w:t>
      </w:r>
      <w:r>
        <w:rPr>
          <w:rStyle w:val="FootnoteReference"/>
        </w:rPr>
        <w:footnoteReference w:id="3"/>
      </w:r>
      <w:r>
        <w:t xml:space="preserve"> This includes an obligation to “keep pace” </w:t>
      </w:r>
      <w:r>
        <w:lastRenderedPageBreak/>
        <w:t>with any changes made</w:t>
      </w:r>
      <w:r w:rsidR="007F4214">
        <w:t xml:space="preserve"> by the EU</w:t>
      </w:r>
      <w:r>
        <w:t xml:space="preserve"> to six equality directives</w:t>
      </w:r>
      <w:r>
        <w:rPr>
          <w:vertAlign w:val="superscript"/>
        </w:rPr>
        <w:footnoteReference w:id="4"/>
      </w:r>
      <w:r>
        <w:t xml:space="preserve"> </w:t>
      </w:r>
      <w:r w:rsidR="00763B13">
        <w:t>listed in Annex 1 to the Windsor Framework, to the extent that such changes</w:t>
      </w:r>
      <w:r>
        <w:t xml:space="preserve"> improve the minimum levels of protection.</w:t>
      </w:r>
      <w:r>
        <w:rPr>
          <w:vertAlign w:val="superscript"/>
        </w:rPr>
        <w:footnoteReference w:id="5"/>
      </w:r>
      <w:r>
        <w:t xml:space="preserve">  This keeping pace obligation </w:t>
      </w:r>
      <w:r w:rsidR="00E85C83">
        <w:t>requires</w:t>
      </w:r>
      <w:r w:rsidR="00EC63E9">
        <w:t xml:space="preserve"> </w:t>
      </w:r>
      <w:r>
        <w:t>monitoring and compl</w:t>
      </w:r>
      <w:r w:rsidR="00EC63E9">
        <w:t>iance</w:t>
      </w:r>
      <w:r>
        <w:t xml:space="preserve"> with relevant current and future </w:t>
      </w:r>
      <w:r w:rsidR="00DA1F54">
        <w:t xml:space="preserve">Court of Justice of the European Union </w:t>
      </w:r>
      <w:r w:rsidR="0037549F">
        <w:t xml:space="preserve">(CJEU) </w:t>
      </w:r>
      <w:r>
        <w:t>case law across these different areas and different equality and non-discrimination grounds.</w:t>
      </w:r>
      <w:r>
        <w:rPr>
          <w:vertAlign w:val="superscript"/>
        </w:rPr>
        <w:footnoteReference w:id="6"/>
      </w:r>
      <w:r>
        <w:t xml:space="preserve"> </w:t>
      </w:r>
      <w:r w:rsidR="001B7E2D">
        <w:t xml:space="preserve">The Commissions have, so far, identified the EU Pay Transparency </w:t>
      </w:r>
      <w:r w:rsidR="006944E4">
        <w:t>Directive</w:t>
      </w:r>
      <w:r w:rsidR="006944E4">
        <w:rPr>
          <w:rStyle w:val="FootnoteReference"/>
        </w:rPr>
        <w:footnoteReference w:id="7"/>
      </w:r>
      <w:r w:rsidR="001B7E2D">
        <w:t xml:space="preserve"> and two </w:t>
      </w:r>
      <w:r w:rsidR="006944E4">
        <w:t>directives</w:t>
      </w:r>
      <w:r w:rsidR="001B7E2D">
        <w:t xml:space="preserve"> on </w:t>
      </w:r>
      <w:r w:rsidR="006944E4">
        <w:t>binding standards for equality bodies,</w:t>
      </w:r>
      <w:r w:rsidR="006944E4">
        <w:rPr>
          <w:rStyle w:val="FootnoteReference"/>
        </w:rPr>
        <w:footnoteReference w:id="8"/>
      </w:r>
      <w:r w:rsidR="001B7E2D">
        <w:t xml:space="preserve"> which will require NI law to be amended to keep pace with EU developments which enhance rights ahead of the transposition deadline</w:t>
      </w:r>
      <w:r w:rsidR="006944E4">
        <w:t>.</w:t>
      </w:r>
      <w:r w:rsidR="001B7E2D">
        <w:t xml:space="preserve"> </w:t>
      </w:r>
    </w:p>
    <w:p w14:paraId="59D86D75" w14:textId="77777777" w:rsidR="00E70DDB" w:rsidRDefault="00E70DDB" w:rsidP="00137699">
      <w:pPr>
        <w:pStyle w:val="ListParagraph"/>
        <w:numPr>
          <w:ilvl w:val="0"/>
          <w:numId w:val="0"/>
        </w:numPr>
        <w:ind w:left="720"/>
      </w:pPr>
    </w:p>
    <w:p w14:paraId="500F82B4" w14:textId="77777777" w:rsidR="00E70DDB" w:rsidRDefault="00E70DDB" w:rsidP="001734D1">
      <w:pPr>
        <w:pStyle w:val="ListParagraph"/>
        <w:ind w:left="709"/>
      </w:pPr>
      <w:r>
        <w:t>For other EU obligations which underpin the rights, safeguards and equality of opportunity in Windsor Framework Article 2, the UK Government commitment to ensure ‘no diminution’ is measured by the relevant EU standards as they were on the 31 December 2020.</w:t>
      </w:r>
      <w:r>
        <w:rPr>
          <w:vertAlign w:val="superscript"/>
        </w:rPr>
        <w:footnoteReference w:id="9"/>
      </w:r>
      <w:r>
        <w:t xml:space="preserve">  </w:t>
      </w:r>
    </w:p>
    <w:p w14:paraId="7E1608F5" w14:textId="77777777" w:rsidR="00E70DDB" w:rsidRDefault="00E70DDB" w:rsidP="001734D1">
      <w:pPr>
        <w:pStyle w:val="ListParagraph"/>
        <w:numPr>
          <w:ilvl w:val="0"/>
          <w:numId w:val="0"/>
        </w:numPr>
        <w:ind w:left="709"/>
      </w:pPr>
    </w:p>
    <w:p w14:paraId="43A038EF" w14:textId="26116FA6" w:rsidR="00E70DDB" w:rsidRDefault="00E70DDB" w:rsidP="001734D1">
      <w:pPr>
        <w:pStyle w:val="ListParagraph"/>
        <w:ind w:left="709"/>
      </w:pPr>
      <w:r w:rsidRPr="00F20032">
        <w:t xml:space="preserve">The NI Court of Appeal and High Court have handed down rulings interpreting </w:t>
      </w:r>
      <w:r>
        <w:t xml:space="preserve">Windsor Framework </w:t>
      </w:r>
      <w:r w:rsidRPr="00F20032">
        <w:t xml:space="preserve">Article 2, the Belfast (Good Friday) Agreement chapter </w:t>
      </w:r>
      <w:r w:rsidRPr="00F20032">
        <w:lastRenderedPageBreak/>
        <w:t>and the approach to relevant EU law,</w:t>
      </w:r>
      <w:r w:rsidR="003F4BDD" w:rsidRPr="003F4BDD">
        <w:rPr>
          <w:rStyle w:val="FootnoteReference"/>
        </w:rPr>
        <w:t xml:space="preserve"> </w:t>
      </w:r>
      <w:r w:rsidR="003F4BDD">
        <w:rPr>
          <w:rStyle w:val="FootnoteReference"/>
        </w:rPr>
        <w:footnoteReference w:id="10"/>
      </w:r>
      <w:r w:rsidRPr="00F20032">
        <w:t xml:space="preserve"> with further proceedings expected.</w:t>
      </w:r>
      <w:r w:rsidR="00810A7D">
        <w:rPr>
          <w:rStyle w:val="FootnoteReference"/>
        </w:rPr>
        <w:footnoteReference w:id="11"/>
      </w:r>
      <w:r>
        <w:t xml:space="preserve">  </w:t>
      </w:r>
      <w:r w:rsidRPr="00F20032">
        <w:t>Though the Belfast (Good Friday) Agreement was neither drafted for this purpose, nor in tight legal terms, the courts have expressed no difficulty in utilising its content as a signpost to the hard legal requirements of relevant EU law.</w:t>
      </w:r>
    </w:p>
    <w:p w14:paraId="1CE9B16C" w14:textId="77777777" w:rsidR="00E70DDB" w:rsidRDefault="00E70DDB" w:rsidP="001734D1">
      <w:pPr>
        <w:pStyle w:val="ListParagraph"/>
        <w:numPr>
          <w:ilvl w:val="0"/>
          <w:numId w:val="0"/>
        </w:numPr>
        <w:ind w:left="709"/>
      </w:pPr>
    </w:p>
    <w:p w14:paraId="4768D15E" w14:textId="2338DBAE" w:rsidR="00E70DDB" w:rsidRPr="00E70DDB" w:rsidRDefault="00E70DDB" w:rsidP="001734D1">
      <w:pPr>
        <w:pStyle w:val="ListParagraph"/>
        <w:ind w:left="709"/>
      </w:pPr>
      <w:r w:rsidRPr="00E70DDB">
        <w:rPr>
          <w:rFonts w:cs="Calibri"/>
        </w:rPr>
        <w:t xml:space="preserve">In </w:t>
      </w:r>
      <w:r w:rsidRPr="00E70DDB">
        <w:rPr>
          <w:rFonts w:cs="Calibri"/>
          <w:i/>
          <w:iCs/>
        </w:rPr>
        <w:t>Dillon</w:t>
      </w:r>
      <w:r w:rsidRPr="00F20032">
        <w:rPr>
          <w:rStyle w:val="FootnoteReference"/>
          <w:rFonts w:cs="Calibri"/>
          <w:i/>
          <w:iCs/>
        </w:rPr>
        <w:footnoteReference w:id="12"/>
      </w:r>
      <w:r w:rsidRPr="00E70DDB">
        <w:rPr>
          <w:rFonts w:cs="Calibri"/>
        </w:rPr>
        <w:t>, the NI Court of Appeal considered Article 4 of the UK EU Withdrawal Agreement</w:t>
      </w:r>
      <w:r w:rsidR="004D53E4">
        <w:rPr>
          <w:rFonts w:cs="Calibri"/>
        </w:rPr>
        <w:t xml:space="preserve"> and</w:t>
      </w:r>
      <w:r w:rsidRPr="00E70DDB">
        <w:rPr>
          <w:rFonts w:cs="Calibri"/>
        </w:rPr>
        <w:t xml:space="preserve"> section 7A of the EU (Withdrawal) Act 2018 before confirming that:</w:t>
      </w:r>
      <w:r>
        <w:rPr>
          <w:rFonts w:cs="Calibri"/>
        </w:rPr>
        <w:t xml:space="preserve"> </w:t>
      </w:r>
    </w:p>
    <w:p w14:paraId="1B34DFFD" w14:textId="77777777" w:rsidR="00E70DDB" w:rsidRPr="00137699" w:rsidRDefault="00E70DDB" w:rsidP="00137699">
      <w:pPr>
        <w:pStyle w:val="ListParagraph"/>
        <w:numPr>
          <w:ilvl w:val="0"/>
          <w:numId w:val="0"/>
        </w:numPr>
        <w:ind w:left="720"/>
        <w:rPr>
          <w:rFonts w:ascii="Calibri" w:hAnsi="Calibri" w:cs="Calibri"/>
        </w:rPr>
      </w:pPr>
    </w:p>
    <w:p w14:paraId="34E02C02" w14:textId="41C2DDCA" w:rsidR="00E70DDB" w:rsidRDefault="00E70DDB" w:rsidP="00E70DDB">
      <w:pPr>
        <w:pStyle w:val="ListParagraph"/>
        <w:numPr>
          <w:ilvl w:val="0"/>
          <w:numId w:val="27"/>
        </w:numPr>
      </w:pPr>
      <w:r>
        <w:t>Windsor Framework Article 2</w:t>
      </w:r>
      <w:r w:rsidRPr="00E70DDB">
        <w:t xml:space="preserve"> has direct effect and can be relied on in Court;</w:t>
      </w:r>
      <w:r w:rsidRPr="00F20032">
        <w:rPr>
          <w:rStyle w:val="FootnoteReference"/>
          <w:rFonts w:ascii="Calibri" w:hAnsi="Calibri" w:cs="Calibri"/>
        </w:rPr>
        <w:footnoteReference w:id="13"/>
      </w:r>
      <w:r>
        <w:t xml:space="preserve"> </w:t>
      </w:r>
    </w:p>
    <w:p w14:paraId="66BAEC91" w14:textId="77777777" w:rsidR="00A15EDA" w:rsidRDefault="00E70DDB" w:rsidP="00137699">
      <w:pPr>
        <w:pStyle w:val="ListParagraph"/>
        <w:numPr>
          <w:ilvl w:val="0"/>
          <w:numId w:val="27"/>
        </w:numPr>
      </w:pPr>
      <w:r w:rsidRPr="00E70DDB">
        <w:t xml:space="preserve">The rights, safeguards and equality of opportunity chapter in the Belfast (Good Friday) Agreement is not to be narrowly construed or regarded through the lens of the conflict but consists of a </w:t>
      </w:r>
      <w:r w:rsidR="00B12618">
        <w:t>“</w:t>
      </w:r>
      <w:r w:rsidRPr="00E70DDB">
        <w:t>broad suite of rights</w:t>
      </w:r>
      <w:r w:rsidR="00B12618">
        <w:t>”</w:t>
      </w:r>
      <w:r w:rsidRPr="00E70DDB">
        <w:t xml:space="preserve"> and extends </w:t>
      </w:r>
      <w:r w:rsidR="00137699">
        <w:t>“</w:t>
      </w:r>
      <w:r w:rsidRPr="00E70DDB">
        <w:t>further than those rights specifically listed</w:t>
      </w:r>
      <w:r w:rsidR="00137699">
        <w:t>”</w:t>
      </w:r>
      <w:r w:rsidRPr="00E70DDB">
        <w:t>;</w:t>
      </w:r>
      <w:r w:rsidRPr="00F20032">
        <w:rPr>
          <w:rStyle w:val="FootnoteReference"/>
          <w:rFonts w:ascii="Calibri" w:hAnsi="Calibri" w:cs="Calibri"/>
        </w:rPr>
        <w:footnoteReference w:id="14"/>
      </w:r>
      <w:r w:rsidRPr="00E70DDB">
        <w:t xml:space="preserve"> </w:t>
      </w:r>
    </w:p>
    <w:p w14:paraId="1C6AE5D6" w14:textId="34F1E9F6" w:rsidR="00200ED4" w:rsidRDefault="00A15EDA" w:rsidP="00137699">
      <w:pPr>
        <w:pStyle w:val="ListParagraph"/>
        <w:numPr>
          <w:ilvl w:val="0"/>
          <w:numId w:val="27"/>
        </w:numPr>
      </w:pPr>
      <w:r>
        <w:t xml:space="preserve">EU </w:t>
      </w:r>
      <w:r w:rsidR="00284D95">
        <w:t>law</w:t>
      </w:r>
      <w:r>
        <w:t xml:space="preserve"> </w:t>
      </w:r>
      <w:r w:rsidR="00456A90">
        <w:t>that underpin</w:t>
      </w:r>
      <w:r w:rsidR="00AB64CB">
        <w:t>s</w:t>
      </w:r>
      <w:r w:rsidR="00456A90">
        <w:t xml:space="preserve"> these rights and</w:t>
      </w:r>
      <w:r>
        <w:t xml:space="preserve"> bound the UK </w:t>
      </w:r>
      <w:r w:rsidR="00456A90">
        <w:t>prior to EU withdrawal continue</w:t>
      </w:r>
      <w:r w:rsidR="00AB64CB">
        <w:t>s</w:t>
      </w:r>
      <w:r w:rsidR="00456A90">
        <w:t xml:space="preserve"> to set minimum standards </w:t>
      </w:r>
      <w:r w:rsidR="00245F5A">
        <w:t xml:space="preserve">below which the law in </w:t>
      </w:r>
      <w:r w:rsidR="00456A90">
        <w:t>NI</w:t>
      </w:r>
      <w:r w:rsidR="00245F5A">
        <w:t xml:space="preserve"> must not fall;</w:t>
      </w:r>
      <w:r w:rsidR="00C45F54">
        <w:rPr>
          <w:rStyle w:val="FootnoteReference"/>
        </w:rPr>
        <w:footnoteReference w:id="15"/>
      </w:r>
      <w:r w:rsidR="00456A90">
        <w:t xml:space="preserve"> </w:t>
      </w:r>
      <w:r w:rsidR="000E7F18">
        <w:t>and</w:t>
      </w:r>
    </w:p>
    <w:p w14:paraId="5709557E" w14:textId="022BDFA8" w:rsidR="00E70DDB" w:rsidRPr="00E70DDB" w:rsidRDefault="00E72512" w:rsidP="006851A7">
      <w:pPr>
        <w:pStyle w:val="ListParagraph"/>
        <w:numPr>
          <w:ilvl w:val="0"/>
          <w:numId w:val="28"/>
        </w:numPr>
      </w:pPr>
      <w:r w:rsidRPr="00F20032">
        <w:t>Disapplication of offending provisions “is the correct remedy” for breach of Windsor Framework Article 2</w:t>
      </w:r>
      <w:r w:rsidR="000E7F18">
        <w:t>.</w:t>
      </w:r>
      <w:r w:rsidR="007B0B21" w:rsidRPr="00F20032">
        <w:rPr>
          <w:rStyle w:val="FootnoteReference"/>
          <w:rFonts w:ascii="Calibri" w:hAnsi="Calibri" w:cs="Calibri"/>
        </w:rPr>
        <w:footnoteReference w:id="16"/>
      </w:r>
    </w:p>
    <w:p w14:paraId="15818374" w14:textId="77777777" w:rsidR="00E70DDB" w:rsidRDefault="00E70DDB" w:rsidP="00137699">
      <w:pPr>
        <w:pStyle w:val="ListParagraph"/>
        <w:numPr>
          <w:ilvl w:val="0"/>
          <w:numId w:val="0"/>
        </w:numPr>
        <w:ind w:left="720"/>
      </w:pPr>
    </w:p>
    <w:p w14:paraId="5637543A" w14:textId="30DB99D7" w:rsidR="00137699" w:rsidRPr="00EC65D2" w:rsidRDefault="00E70DDB" w:rsidP="001734D1">
      <w:pPr>
        <w:pStyle w:val="ListParagraph"/>
        <w:ind w:left="709"/>
        <w:rPr>
          <w:b/>
          <w:bCs/>
        </w:rPr>
      </w:pPr>
      <w:r w:rsidRPr="00BA45AD">
        <w:t>T</w:t>
      </w:r>
      <w:r w:rsidR="005A1202">
        <w:t xml:space="preserve">hough subject to appeal, </w:t>
      </w:r>
      <w:r w:rsidRPr="00BA45AD">
        <w:t>the decisions of the courts have</w:t>
      </w:r>
      <w:r w:rsidR="00154920">
        <w:t>, to date,</w:t>
      </w:r>
      <w:r w:rsidRPr="00BA45AD">
        <w:t xml:space="preserve"> aligned with the Commissions’ analysis set out in our working paper</w:t>
      </w:r>
      <w:r w:rsidRPr="00BA45AD">
        <w:rPr>
          <w:rStyle w:val="FootnoteReference"/>
          <w:rFonts w:cs="Calibri"/>
        </w:rPr>
        <w:footnoteReference w:id="17"/>
      </w:r>
      <w:r w:rsidRPr="00BA45AD">
        <w:t xml:space="preserve"> and we welcome the recognition by the courts of the value of our submissions.</w:t>
      </w:r>
      <w:r w:rsidRPr="00BA45AD">
        <w:rPr>
          <w:rStyle w:val="FootnoteReference"/>
          <w:rFonts w:cs="Calibri"/>
        </w:rPr>
        <w:footnoteReference w:id="18"/>
      </w:r>
      <w:r w:rsidRPr="00BA45AD">
        <w:t xml:space="preserve"> </w:t>
      </w:r>
    </w:p>
    <w:p w14:paraId="613C50C9" w14:textId="77777777" w:rsidR="00EC65D2" w:rsidRPr="00EC65D2" w:rsidRDefault="00EC65D2" w:rsidP="00EC65D2">
      <w:pPr>
        <w:ind w:left="-11"/>
        <w:rPr>
          <w:b/>
          <w:bCs/>
        </w:rPr>
      </w:pPr>
    </w:p>
    <w:p w14:paraId="63577F16" w14:textId="135922FB" w:rsidR="0075312D" w:rsidRPr="00944B2E" w:rsidRDefault="00045252" w:rsidP="006D461E">
      <w:pPr>
        <w:pStyle w:val="Heading1"/>
      </w:pPr>
      <w:bookmarkStart w:id="6" w:name="_Toc196835329"/>
      <w:r>
        <w:t>Stakeholder Engagement Under the Windsor Framework</w:t>
      </w:r>
      <w:bookmarkEnd w:id="6"/>
      <w:r>
        <w:t xml:space="preserve"> </w:t>
      </w:r>
    </w:p>
    <w:p w14:paraId="5243C295" w14:textId="26C289F5" w:rsidR="00E37452" w:rsidRPr="008A6805" w:rsidRDefault="00E37452" w:rsidP="00137699">
      <w:pPr>
        <w:pStyle w:val="ListParagraph"/>
        <w:numPr>
          <w:ilvl w:val="1"/>
          <w:numId w:val="3"/>
        </w:numPr>
      </w:pPr>
      <w:r w:rsidRPr="008A6805">
        <w:rPr>
          <w:b/>
          <w:bCs/>
        </w:rPr>
        <w:lastRenderedPageBreak/>
        <w:t>Question 3:</w:t>
      </w:r>
      <w:r w:rsidRPr="008A6805">
        <w:t xml:space="preserve"> To what extent do the Windsor Framework’s engagement structures enable the relevant stakeholders in </w:t>
      </w:r>
      <w:r w:rsidR="00AD704C" w:rsidRPr="008A6805">
        <w:t xml:space="preserve">NI </w:t>
      </w:r>
      <w:r w:rsidRPr="008A6805">
        <w:t>to engage with the EU legislation at an appropriate stage of the legislative process</w:t>
      </w:r>
      <w:r w:rsidR="005E0BE0" w:rsidRPr="008A6805">
        <w:t>?</w:t>
      </w:r>
      <w:r w:rsidRPr="008A6805">
        <w:t xml:space="preserve"> </w:t>
      </w:r>
    </w:p>
    <w:p w14:paraId="0C8CA2F4" w14:textId="77777777" w:rsidR="00E37452" w:rsidRDefault="00E37452" w:rsidP="00E37452">
      <w:pPr>
        <w:pStyle w:val="ListParagraph"/>
        <w:numPr>
          <w:ilvl w:val="0"/>
          <w:numId w:val="0"/>
        </w:numPr>
        <w:ind w:left="720"/>
      </w:pPr>
    </w:p>
    <w:p w14:paraId="0A540F6F" w14:textId="6A9512EC" w:rsidR="00E37452" w:rsidRDefault="00E37452" w:rsidP="00E37452">
      <w:pPr>
        <w:pStyle w:val="ListParagraph"/>
        <w:numPr>
          <w:ilvl w:val="1"/>
          <w:numId w:val="3"/>
        </w:numPr>
      </w:pPr>
      <w:r>
        <w:t xml:space="preserve">Following the political agreement made by the UK Government and EU Commission in 2023 on a new way forward on the Windsor Framework, </w:t>
      </w:r>
      <w:r w:rsidR="00164A1E">
        <w:t>several engagement</w:t>
      </w:r>
      <w:r>
        <w:t xml:space="preserve"> structures were </w:t>
      </w:r>
      <w:r w:rsidR="001C119E">
        <w:t>enhanced</w:t>
      </w:r>
      <w:r>
        <w:t xml:space="preserve"> to strengthen Northern Ireland’s voice.</w:t>
      </w:r>
      <w:r w:rsidR="006D461E">
        <w:rPr>
          <w:rStyle w:val="FootnoteReference"/>
        </w:rPr>
        <w:footnoteReference w:id="19"/>
      </w:r>
      <w:r>
        <w:t xml:space="preserve"> These include</w:t>
      </w:r>
      <w:r w:rsidR="006D461E">
        <w:t xml:space="preserve"> additional engagement mechanisms under</w:t>
      </w:r>
      <w:r w:rsidR="005E0BE0">
        <w:t xml:space="preserve"> </w:t>
      </w:r>
      <w:r>
        <w:t xml:space="preserve">the Specialised Committee on the implementation of the Windsor Framework (Specialised Committee) and the Joint Consultative Working Group, which were designed to facilitate information exchange and ensure local input </w:t>
      </w:r>
      <w:r w:rsidR="005451EA">
        <w:t xml:space="preserve">on </w:t>
      </w:r>
      <w:r>
        <w:t xml:space="preserve">matters relating to the </w:t>
      </w:r>
      <w:r w:rsidR="00BE0AE1">
        <w:t xml:space="preserve">Windsor </w:t>
      </w:r>
      <w:r>
        <w:t xml:space="preserve">Framework </w:t>
      </w:r>
      <w:r w:rsidR="00BE60EA">
        <w:t xml:space="preserve">providing </w:t>
      </w:r>
      <w:r w:rsidR="00AD704C">
        <w:t xml:space="preserve">NI </w:t>
      </w:r>
      <w:r w:rsidR="00BE60EA">
        <w:t>stakeholders</w:t>
      </w:r>
      <w:r w:rsidR="00302D19">
        <w:t xml:space="preserve"> with meaningful channels to engage with EU legislation.</w:t>
      </w:r>
      <w:r>
        <w:t xml:space="preserve"> </w:t>
      </w:r>
    </w:p>
    <w:p w14:paraId="55E0CFEB" w14:textId="77777777" w:rsidR="00E37452" w:rsidRDefault="00E37452" w:rsidP="006D461E">
      <w:pPr>
        <w:pStyle w:val="ListParagraph"/>
        <w:numPr>
          <w:ilvl w:val="0"/>
          <w:numId w:val="0"/>
        </w:numPr>
        <w:ind w:left="720"/>
      </w:pPr>
    </w:p>
    <w:p w14:paraId="2C9545DC" w14:textId="47D2A83A" w:rsidR="00E37452" w:rsidRDefault="00E37452" w:rsidP="00E37452">
      <w:pPr>
        <w:pStyle w:val="ListParagraph"/>
        <w:numPr>
          <w:ilvl w:val="1"/>
          <w:numId w:val="3"/>
        </w:numPr>
      </w:pPr>
      <w:r>
        <w:t xml:space="preserve">In addition, UK Parliamentary Scrutiny, particularly through select committees such as the </w:t>
      </w:r>
      <w:r w:rsidR="00300D70">
        <w:t>NI Scrutiny Committee</w:t>
      </w:r>
      <w:r w:rsidR="00BB169D">
        <w:t xml:space="preserve">, </w:t>
      </w:r>
      <w:r w:rsidR="00AD704C">
        <w:t xml:space="preserve">NI </w:t>
      </w:r>
      <w:r>
        <w:t>Affairs Committee</w:t>
      </w:r>
      <w:r w:rsidR="00BB169D">
        <w:t xml:space="preserve"> and the House of Lords European Affairs Committee</w:t>
      </w:r>
      <w:r>
        <w:t>, plays a key role in enabling stakeholders to raise concerns, provid</w:t>
      </w:r>
      <w:r w:rsidR="00856B85">
        <w:t>e</w:t>
      </w:r>
      <w:r>
        <w:t xml:space="preserve"> evidence and hold the UK Government accountable for its engagement with EU legislative developments. This provides an additional layer of transparency and supports stakeholder involvement at key stages of the EU legislative process</w:t>
      </w:r>
      <w:r w:rsidR="00856B85">
        <w:t>, as discussed below</w:t>
      </w:r>
      <w:r>
        <w:t xml:space="preserve">.  </w:t>
      </w:r>
    </w:p>
    <w:p w14:paraId="4B1CE4E5" w14:textId="77777777" w:rsidR="00D4057A" w:rsidRDefault="00D4057A" w:rsidP="00D4057A">
      <w:pPr>
        <w:pStyle w:val="ListParagraph"/>
        <w:numPr>
          <w:ilvl w:val="0"/>
          <w:numId w:val="0"/>
        </w:numPr>
        <w:ind w:left="720"/>
      </w:pPr>
    </w:p>
    <w:p w14:paraId="3B70096A" w14:textId="3764C362" w:rsidR="00091B28" w:rsidRDefault="007A6893" w:rsidP="0046572C">
      <w:pPr>
        <w:pStyle w:val="Heading3"/>
      </w:pPr>
      <w:bookmarkStart w:id="7" w:name="_Toc196835330"/>
      <w:r>
        <w:t xml:space="preserve">Specialised </w:t>
      </w:r>
      <w:r w:rsidR="00091B28" w:rsidRPr="00A456B8">
        <w:t xml:space="preserve">Committee on the </w:t>
      </w:r>
      <w:r w:rsidR="006D461E">
        <w:t xml:space="preserve">implementation of the </w:t>
      </w:r>
      <w:r w:rsidR="00091B28" w:rsidRPr="00A456B8">
        <w:t>Windsor Framework</w:t>
      </w:r>
      <w:bookmarkEnd w:id="7"/>
    </w:p>
    <w:p w14:paraId="4CC638E3" w14:textId="473E761D" w:rsidR="00FD1A71" w:rsidRDefault="00091B28" w:rsidP="0046572C">
      <w:pPr>
        <w:pStyle w:val="ListParagraph"/>
        <w:numPr>
          <w:ilvl w:val="1"/>
          <w:numId w:val="3"/>
        </w:numPr>
      </w:pPr>
      <w:r>
        <w:t xml:space="preserve">The </w:t>
      </w:r>
      <w:r w:rsidR="007A6893">
        <w:t xml:space="preserve">Specialised </w:t>
      </w:r>
      <w:r>
        <w:t>Committee</w:t>
      </w:r>
      <w:r w:rsidR="009E671B">
        <w:t xml:space="preserve"> </w:t>
      </w:r>
      <w:r>
        <w:t>functions as the key forum for the technical implementation and governance of the Windsor Framework.</w:t>
      </w:r>
      <w:r w:rsidR="00872129" w:rsidRPr="00872129">
        <w:rPr>
          <w:rStyle w:val="FootnoteReference"/>
        </w:rPr>
        <w:t xml:space="preserve"> </w:t>
      </w:r>
      <w:r w:rsidR="00872129">
        <w:rPr>
          <w:rStyle w:val="FootnoteReference"/>
        </w:rPr>
        <w:footnoteReference w:id="20"/>
      </w:r>
      <w:r>
        <w:t xml:space="preserve"> This </w:t>
      </w:r>
      <w:r w:rsidR="00872129">
        <w:t>C</w:t>
      </w:r>
      <w:r>
        <w:t xml:space="preserve">ommittee </w:t>
      </w:r>
      <w:r w:rsidR="00DE4763">
        <w:t>facilitates the implementation and application of the Windsor Framework</w:t>
      </w:r>
      <w:r w:rsidR="00156958">
        <w:t xml:space="preserve"> and can make recommendations</w:t>
      </w:r>
      <w:r w:rsidR="00DE4763">
        <w:t xml:space="preserve"> </w:t>
      </w:r>
      <w:r w:rsidR="00156958">
        <w:t>to the Joint Committee on its functioning.</w:t>
      </w:r>
      <w:r w:rsidR="00156958">
        <w:rPr>
          <w:rStyle w:val="FootnoteReference"/>
        </w:rPr>
        <w:footnoteReference w:id="21"/>
      </w:r>
      <w:r w:rsidR="00156958">
        <w:t xml:space="preserve">  The Joint Committee takes decisions on </w:t>
      </w:r>
      <w:r w:rsidR="00DA7CB2">
        <w:t>implementation of</w:t>
      </w:r>
      <w:r w:rsidR="00156958">
        <w:t xml:space="preserve"> the Withdrawal Agreement, </w:t>
      </w:r>
      <w:r w:rsidR="00DA7CB2">
        <w:t>including</w:t>
      </w:r>
      <w:r w:rsidR="00156958">
        <w:t xml:space="preserve"> </w:t>
      </w:r>
      <w:r w:rsidR="00AA607D">
        <w:t xml:space="preserve">amendments to </w:t>
      </w:r>
      <w:r>
        <w:t xml:space="preserve">the </w:t>
      </w:r>
      <w:r w:rsidR="00AA607D">
        <w:t xml:space="preserve">annexes </w:t>
      </w:r>
      <w:r>
        <w:t xml:space="preserve">of EU legislation </w:t>
      </w:r>
      <w:r w:rsidR="00AA607D">
        <w:t xml:space="preserve">relevant </w:t>
      </w:r>
      <w:r>
        <w:t xml:space="preserve">to </w:t>
      </w:r>
      <w:r w:rsidR="00156958">
        <w:t>NI</w:t>
      </w:r>
      <w:r>
        <w:t>.</w:t>
      </w:r>
      <w:r w:rsidR="00156958">
        <w:rPr>
          <w:rStyle w:val="FootnoteReference"/>
        </w:rPr>
        <w:footnoteReference w:id="22"/>
      </w:r>
      <w:r>
        <w:t xml:space="preserve"> </w:t>
      </w:r>
    </w:p>
    <w:p w14:paraId="6848B0F0" w14:textId="77777777" w:rsidR="0046572C" w:rsidRDefault="0046572C" w:rsidP="0046572C">
      <w:pPr>
        <w:pStyle w:val="ListParagraph"/>
        <w:numPr>
          <w:ilvl w:val="0"/>
          <w:numId w:val="0"/>
        </w:numPr>
        <w:ind w:left="720"/>
      </w:pPr>
    </w:p>
    <w:p w14:paraId="771C1BA8" w14:textId="438365DE" w:rsidR="005E0BE0" w:rsidRDefault="003234E8" w:rsidP="00FD1A71">
      <w:pPr>
        <w:pStyle w:val="ListParagraph"/>
        <w:numPr>
          <w:ilvl w:val="1"/>
          <w:numId w:val="3"/>
        </w:numPr>
      </w:pPr>
      <w:r>
        <w:t>The Specialised Committee is</w:t>
      </w:r>
      <w:r w:rsidR="00091B28">
        <w:t xml:space="preserve"> a critical point for stakeholder input, particularly in relation </w:t>
      </w:r>
      <w:r w:rsidR="00302D19">
        <w:t xml:space="preserve">to </w:t>
      </w:r>
      <w:r w:rsidR="00091B28">
        <w:t xml:space="preserve">the application and impact of EU legislation in </w:t>
      </w:r>
      <w:r w:rsidR="00257DFF">
        <w:t>NI</w:t>
      </w:r>
      <w:r>
        <w:t xml:space="preserve">, to highlight any </w:t>
      </w:r>
      <w:r>
        <w:lastRenderedPageBreak/>
        <w:t>issues as they arise and ensure the voice of NI stakeholders is heard</w:t>
      </w:r>
      <w:r w:rsidR="00091B28">
        <w:t xml:space="preserve">. </w:t>
      </w:r>
      <w:r w:rsidR="006342FA">
        <w:t xml:space="preserve">The Specialised Committee and its effectiveness </w:t>
      </w:r>
      <w:proofErr w:type="gramStart"/>
      <w:r w:rsidR="006342FA">
        <w:t>is</w:t>
      </w:r>
      <w:proofErr w:type="gramEnd"/>
      <w:r w:rsidR="006342FA">
        <w:t xml:space="preserve"> further discussed in section </w:t>
      </w:r>
      <w:r w:rsidR="00146DE7">
        <w:t>5 below</w:t>
      </w:r>
      <w:r w:rsidR="006342FA">
        <w:t xml:space="preserve">. </w:t>
      </w:r>
      <w:r w:rsidR="00FE2CDC">
        <w:t xml:space="preserve">The Commissions and the Joint Committee of the Northern Ireland Human Rights Commission and the Irish Human Rights and Equality Commission can raise any </w:t>
      </w:r>
      <w:r w:rsidR="005E0BE0">
        <w:t xml:space="preserve">matter of relevance to Windsor Framework Article 2 </w:t>
      </w:r>
      <w:r w:rsidR="00FE2CDC">
        <w:t>for consideration by the Specialised Committee</w:t>
      </w:r>
      <w:r w:rsidR="005E0BE0">
        <w:t>.</w:t>
      </w:r>
      <w:r w:rsidR="005E0BE0">
        <w:rPr>
          <w:rStyle w:val="FootnoteReference"/>
        </w:rPr>
        <w:footnoteReference w:id="23"/>
      </w:r>
      <w:r w:rsidR="005E0BE0">
        <w:t xml:space="preserve"> </w:t>
      </w:r>
    </w:p>
    <w:p w14:paraId="0C5DF378" w14:textId="77777777" w:rsidR="005E0BE0" w:rsidRDefault="005E0BE0" w:rsidP="00FE2CDC">
      <w:pPr>
        <w:pStyle w:val="ListParagraph"/>
        <w:numPr>
          <w:ilvl w:val="0"/>
          <w:numId w:val="0"/>
        </w:numPr>
        <w:ind w:left="720"/>
      </w:pPr>
    </w:p>
    <w:p w14:paraId="3937A6A2" w14:textId="4A416571" w:rsidR="003E4BD8" w:rsidRDefault="00340012" w:rsidP="00FD1A71">
      <w:pPr>
        <w:pStyle w:val="ListParagraph"/>
        <w:numPr>
          <w:ilvl w:val="1"/>
          <w:numId w:val="3"/>
        </w:numPr>
      </w:pPr>
      <w:r>
        <w:t xml:space="preserve">Since 2024, </w:t>
      </w:r>
      <w:bookmarkStart w:id="8" w:name="_Hlk195102329"/>
      <w:r>
        <w:t xml:space="preserve">the </w:t>
      </w:r>
      <w:r w:rsidR="00202B9A">
        <w:t>C</w:t>
      </w:r>
      <w:r w:rsidR="0044526E">
        <w:t>o-</w:t>
      </w:r>
      <w:r w:rsidR="00202B9A">
        <w:t>C</w:t>
      </w:r>
      <w:r w:rsidR="0044526E">
        <w:t xml:space="preserve">hairs of the </w:t>
      </w:r>
      <w:r>
        <w:t xml:space="preserve">Specialised </w:t>
      </w:r>
      <w:r w:rsidR="00872129">
        <w:t>C</w:t>
      </w:r>
      <w:r w:rsidR="00091B28">
        <w:t xml:space="preserve">ommittee meet </w:t>
      </w:r>
      <w:r>
        <w:t xml:space="preserve">regularly, on an informal basis, </w:t>
      </w:r>
      <w:r w:rsidR="00091B28">
        <w:t xml:space="preserve">with </w:t>
      </w:r>
      <w:r w:rsidR="00202B9A">
        <w:t xml:space="preserve">civil society representatives including </w:t>
      </w:r>
      <w:r>
        <w:t xml:space="preserve">human rights and equality </w:t>
      </w:r>
      <w:r w:rsidR="00091B28">
        <w:t>stakeholders</w:t>
      </w:r>
      <w:bookmarkEnd w:id="8"/>
      <w:r w:rsidR="00091B28">
        <w:t xml:space="preserve">. </w:t>
      </w:r>
      <w:r w:rsidR="00C277D8">
        <w:t xml:space="preserve"> </w:t>
      </w:r>
      <w:r w:rsidR="00B852B1">
        <w:t xml:space="preserve">See section </w:t>
      </w:r>
      <w:r w:rsidR="006175F7">
        <w:t xml:space="preserve">5 </w:t>
      </w:r>
      <w:r w:rsidR="00B852B1">
        <w:t xml:space="preserve">for further discussion. </w:t>
      </w:r>
      <w:r w:rsidR="00C277D8">
        <w:t>The Co-Chairs of the Specialised Committee have highlighted the importance of continued joint engagement with NI stakeholders.</w:t>
      </w:r>
      <w:r w:rsidR="00C277D8">
        <w:rPr>
          <w:rStyle w:val="FootnoteReference"/>
        </w:rPr>
        <w:footnoteReference w:id="24"/>
      </w:r>
      <w:r w:rsidR="00C277D8">
        <w:t xml:space="preserve"> </w:t>
      </w:r>
    </w:p>
    <w:p w14:paraId="3B317931" w14:textId="6BE3E24D" w:rsidR="00B501D8" w:rsidRDefault="00091B28" w:rsidP="00856B85">
      <w:pPr>
        <w:pStyle w:val="ListParagraph"/>
        <w:numPr>
          <w:ilvl w:val="0"/>
          <w:numId w:val="0"/>
        </w:numPr>
        <w:ind w:left="720"/>
        <w:rPr>
          <w:b/>
          <w:bCs/>
        </w:rPr>
      </w:pPr>
      <w:r w:rsidRPr="00D15ECF">
        <w:rPr>
          <w:b/>
          <w:bCs/>
        </w:rPr>
        <w:t xml:space="preserve"> </w:t>
      </w:r>
    </w:p>
    <w:p w14:paraId="52B2321F" w14:textId="05FE754D" w:rsidR="00091B28" w:rsidRPr="00856B85" w:rsidRDefault="003E4BD8" w:rsidP="00FD1A71">
      <w:pPr>
        <w:pStyle w:val="ListParagraph"/>
        <w:numPr>
          <w:ilvl w:val="1"/>
          <w:numId w:val="3"/>
        </w:numPr>
        <w:rPr>
          <w:b/>
          <w:bCs/>
        </w:rPr>
      </w:pPr>
      <w:r w:rsidRPr="00856B85">
        <w:rPr>
          <w:b/>
          <w:bCs/>
        </w:rPr>
        <w:t xml:space="preserve">The </w:t>
      </w:r>
      <w:r w:rsidR="00340012">
        <w:rPr>
          <w:b/>
          <w:bCs/>
        </w:rPr>
        <w:t>Commissions</w:t>
      </w:r>
      <w:r w:rsidRPr="00856B85">
        <w:rPr>
          <w:b/>
          <w:bCs/>
        </w:rPr>
        <w:t xml:space="preserve"> recommend that </w:t>
      </w:r>
      <w:r w:rsidR="00091B28" w:rsidRPr="00856B85">
        <w:rPr>
          <w:b/>
          <w:bCs/>
        </w:rPr>
        <w:t xml:space="preserve">the UK Government </w:t>
      </w:r>
      <w:r w:rsidR="007B0F84">
        <w:rPr>
          <w:b/>
          <w:bCs/>
        </w:rPr>
        <w:t xml:space="preserve">and EU </w:t>
      </w:r>
      <w:r w:rsidR="00D77C10">
        <w:rPr>
          <w:b/>
          <w:bCs/>
        </w:rPr>
        <w:t xml:space="preserve">officials </w:t>
      </w:r>
      <w:r w:rsidR="00091B28" w:rsidRPr="00856B85">
        <w:rPr>
          <w:b/>
          <w:bCs/>
        </w:rPr>
        <w:t xml:space="preserve">ensure </w:t>
      </w:r>
      <w:r w:rsidR="00D77C10">
        <w:rPr>
          <w:b/>
          <w:bCs/>
        </w:rPr>
        <w:t xml:space="preserve">ongoing </w:t>
      </w:r>
      <w:r w:rsidR="00091B28" w:rsidRPr="00856B85">
        <w:rPr>
          <w:b/>
          <w:bCs/>
        </w:rPr>
        <w:t xml:space="preserve">timely and structured engagement with </w:t>
      </w:r>
      <w:r w:rsidR="00F21DB3">
        <w:rPr>
          <w:b/>
          <w:bCs/>
        </w:rPr>
        <w:t xml:space="preserve">NI civil society including </w:t>
      </w:r>
      <w:r w:rsidR="0094417D" w:rsidRPr="00856B85">
        <w:rPr>
          <w:b/>
          <w:bCs/>
        </w:rPr>
        <w:t>e</w:t>
      </w:r>
      <w:r w:rsidR="00091B28" w:rsidRPr="00856B85">
        <w:rPr>
          <w:b/>
          <w:bCs/>
        </w:rPr>
        <w:t xml:space="preserve">quality and human rights </w:t>
      </w:r>
      <w:r w:rsidR="00F21DB3">
        <w:rPr>
          <w:b/>
          <w:bCs/>
        </w:rPr>
        <w:t>stakeholders</w:t>
      </w:r>
      <w:r w:rsidR="006342FA">
        <w:rPr>
          <w:rFonts w:ascii="Calibri" w:hAnsi="Calibri" w:cs="Calibri"/>
          <w:b/>
          <w:bCs/>
        </w:rPr>
        <w:t>, including on matters relating to Windsor Framework Article 2.</w:t>
      </w:r>
      <w:r w:rsidR="004E6BCB" w:rsidRPr="00F20032">
        <w:rPr>
          <w:rFonts w:ascii="Calibri" w:hAnsi="Calibri" w:cs="Calibri"/>
          <w:b/>
          <w:bCs/>
        </w:rPr>
        <w:t xml:space="preserve"> This engagement should include with those working on rights and equality on a cross-border basis</w:t>
      </w:r>
      <w:r w:rsidR="00091B28" w:rsidRPr="00856B85">
        <w:rPr>
          <w:b/>
          <w:bCs/>
        </w:rPr>
        <w:t xml:space="preserve">. </w:t>
      </w:r>
    </w:p>
    <w:p w14:paraId="7D7C7C14" w14:textId="77777777" w:rsidR="0046572C" w:rsidRDefault="0046572C" w:rsidP="0046572C">
      <w:pPr>
        <w:pStyle w:val="ListParagraph"/>
        <w:numPr>
          <w:ilvl w:val="0"/>
          <w:numId w:val="0"/>
        </w:numPr>
        <w:ind w:left="720"/>
      </w:pPr>
    </w:p>
    <w:p w14:paraId="01730EA5" w14:textId="7023C07A" w:rsidR="00FD1A71" w:rsidRDefault="0046572C" w:rsidP="0046572C">
      <w:pPr>
        <w:pStyle w:val="Heading3"/>
      </w:pPr>
      <w:bookmarkStart w:id="9" w:name="_Toc196835331"/>
      <w:r>
        <w:t>Joint Consultative Working Group</w:t>
      </w:r>
      <w:bookmarkEnd w:id="9"/>
    </w:p>
    <w:p w14:paraId="454D05BA" w14:textId="33D74536" w:rsidR="00DC3008" w:rsidRDefault="00091B28" w:rsidP="00195B91">
      <w:pPr>
        <w:pStyle w:val="ListParagraph"/>
        <w:numPr>
          <w:ilvl w:val="1"/>
          <w:numId w:val="3"/>
        </w:numPr>
      </w:pPr>
      <w:r>
        <w:t xml:space="preserve">The </w:t>
      </w:r>
      <w:r w:rsidR="007A6893">
        <w:t xml:space="preserve">Joint Consultative Working Group </w:t>
      </w:r>
      <w:r w:rsidR="00011AF5">
        <w:t xml:space="preserve">is a UK-EU body set up under the Withdrawal </w:t>
      </w:r>
      <w:r w:rsidR="006B67F2">
        <w:t>Agreement to</w:t>
      </w:r>
      <w:r>
        <w:t xml:space="preserve"> facilitate the exchange of information on new EU laws relevant to the Windsor Framework and enhanced engagement with NI stakeholders.</w:t>
      </w:r>
      <w:r w:rsidR="00F16392">
        <w:rPr>
          <w:rStyle w:val="FootnoteReference"/>
        </w:rPr>
        <w:footnoteReference w:id="25"/>
      </w:r>
      <w:r w:rsidR="00862437">
        <w:t xml:space="preserve"> T</w:t>
      </w:r>
      <w:r>
        <w:t xml:space="preserve">he </w:t>
      </w:r>
      <w:r w:rsidR="007A6893">
        <w:t xml:space="preserve">Joint Consultative Working Group </w:t>
      </w:r>
      <w:r>
        <w:t xml:space="preserve">functions as a consultation mechanism for EU legislation, allowing the EU to inform the UK about planned EU legislative changes falling within the scope of the </w:t>
      </w:r>
      <w:r w:rsidR="006175F7">
        <w:t xml:space="preserve">Windsor </w:t>
      </w:r>
      <w:r>
        <w:t>Framework and enable consultation on those proposals.</w:t>
      </w:r>
      <w:r>
        <w:rPr>
          <w:rStyle w:val="FootnoteReference"/>
        </w:rPr>
        <w:footnoteReference w:id="26"/>
      </w:r>
      <w:r>
        <w:t xml:space="preserve"> There is an obligation for the EU Commission under the Windsor Framework</w:t>
      </w:r>
      <w:r w:rsidR="00862437">
        <w:t xml:space="preserve"> </w:t>
      </w:r>
      <w:r>
        <w:t xml:space="preserve">to inform the </w:t>
      </w:r>
      <w:r w:rsidR="007A6893">
        <w:t xml:space="preserve">Joint Consultative Working Group </w:t>
      </w:r>
      <w:r>
        <w:t>in a timely manner of proposed EU measures within the scope of the Windsor Framework that amend or replace EU law in Annex 1, as well as other Annexes to the Windsor Framework.</w:t>
      </w:r>
      <w:r w:rsidR="0094417D">
        <w:rPr>
          <w:rStyle w:val="FootnoteReference"/>
        </w:rPr>
        <w:footnoteReference w:id="27"/>
      </w:r>
      <w:r w:rsidR="0094417D">
        <w:t xml:space="preserve"> </w:t>
      </w:r>
      <w:r>
        <w:t xml:space="preserve"> This early engagement allows </w:t>
      </w:r>
      <w:r w:rsidR="00AD704C">
        <w:t xml:space="preserve">NI </w:t>
      </w:r>
      <w:r w:rsidR="00683A18">
        <w:t xml:space="preserve">stakeholders </w:t>
      </w:r>
      <w:r>
        <w:t>a chance to scrutini</w:t>
      </w:r>
      <w:r w:rsidR="00C4113F">
        <w:t>s</w:t>
      </w:r>
      <w:r>
        <w:t xml:space="preserve">e and react to EU </w:t>
      </w:r>
      <w:r>
        <w:lastRenderedPageBreak/>
        <w:t>proposals during the EU legislative process and engage</w:t>
      </w:r>
      <w:r w:rsidR="00C4113F">
        <w:t xml:space="preserve"> at an early stage</w:t>
      </w:r>
      <w:r>
        <w:t xml:space="preserve">, rather than after laws have been passed. </w:t>
      </w:r>
      <w:r w:rsidR="00FA2C6B">
        <w:t xml:space="preserve">It is worth noting that </w:t>
      </w:r>
      <w:r w:rsidR="00D62EED">
        <w:t xml:space="preserve">the process is not always effectively applied in practice. For example, the EU Commission did not </w:t>
      </w:r>
      <w:r w:rsidR="00687B35">
        <w:t>formally</w:t>
      </w:r>
      <w:r w:rsidR="00097DFC">
        <w:t xml:space="preserve"> notify</w:t>
      </w:r>
      <w:r w:rsidR="00687B35">
        <w:t xml:space="preserve"> </w:t>
      </w:r>
      <w:r w:rsidR="00D62EED">
        <w:t>the Joint Consultative Working Group regarding the EU Pay Transparency Directive</w:t>
      </w:r>
      <w:r w:rsidR="00683A18">
        <w:t>.</w:t>
      </w:r>
      <w:r w:rsidR="001705D9">
        <w:rPr>
          <w:rStyle w:val="FootnoteReference"/>
        </w:rPr>
        <w:footnoteReference w:id="28"/>
      </w:r>
      <w:r w:rsidR="00683A18">
        <w:t xml:space="preserve"> It is the Commissions’ considered view that the EU Pay Transparency Directive, for the purposes of Article 13(2) of the Windsor Framework, amends or replaces </w:t>
      </w:r>
      <w:r w:rsidR="001705D9">
        <w:t>the EU Gender Equality (Employment) Directive,</w:t>
      </w:r>
      <w:r w:rsidR="001705D9">
        <w:rPr>
          <w:rStyle w:val="FootnoteReference"/>
        </w:rPr>
        <w:footnoteReference w:id="29"/>
      </w:r>
      <w:r w:rsidR="001705D9">
        <w:t xml:space="preserve"> </w:t>
      </w:r>
      <w:r w:rsidR="00D62EED">
        <w:t xml:space="preserve">which </w:t>
      </w:r>
      <w:r w:rsidR="001705D9">
        <w:t xml:space="preserve">is listed in </w:t>
      </w:r>
      <w:r w:rsidR="00D62EED">
        <w:t>Annex 1.</w:t>
      </w:r>
      <w:r w:rsidR="001705D9">
        <w:rPr>
          <w:rStyle w:val="FootnoteReference"/>
        </w:rPr>
        <w:footnoteReference w:id="30"/>
      </w:r>
    </w:p>
    <w:p w14:paraId="0C9EC2ED" w14:textId="77777777" w:rsidR="005E2AB5" w:rsidRDefault="005E2AB5" w:rsidP="005E2AB5">
      <w:pPr>
        <w:pStyle w:val="ListParagraph"/>
        <w:numPr>
          <w:ilvl w:val="0"/>
          <w:numId w:val="0"/>
        </w:numPr>
        <w:ind w:left="720"/>
      </w:pPr>
    </w:p>
    <w:p w14:paraId="5168A622" w14:textId="68978798" w:rsidR="008768BE" w:rsidRDefault="00DC3008" w:rsidP="00683A18">
      <w:pPr>
        <w:pStyle w:val="ListParagraph"/>
        <w:numPr>
          <w:ilvl w:val="1"/>
          <w:numId w:val="3"/>
        </w:numPr>
      </w:pPr>
      <w:r>
        <w:t>The</w:t>
      </w:r>
      <w:r w:rsidR="00091B28">
        <w:t xml:space="preserve"> composition of the</w:t>
      </w:r>
      <w:r w:rsidR="001705D9">
        <w:t xml:space="preserve"> Joint Consultative Working</w:t>
      </w:r>
      <w:r w:rsidR="00091B28">
        <w:t xml:space="preserve"> </w:t>
      </w:r>
      <w:r w:rsidR="001705D9">
        <w:t xml:space="preserve">Group </w:t>
      </w:r>
      <w:r w:rsidR="00091B28">
        <w:t xml:space="preserve">is limited to the UK Government and EU representatives, therefore there is no direct NI stakeholder presence. </w:t>
      </w:r>
      <w:r w:rsidR="00BA45AD">
        <w:t xml:space="preserve">The Commissions </w:t>
      </w:r>
      <w:r w:rsidR="00091B28">
        <w:t>have previously</w:t>
      </w:r>
      <w:r w:rsidR="00091B28">
        <w:rPr>
          <w:rStyle w:val="CommentReference"/>
        </w:rPr>
        <w:t xml:space="preserve"> </w:t>
      </w:r>
      <w:r w:rsidR="00091B28">
        <w:t xml:space="preserve">welcomed commitments to improve the </w:t>
      </w:r>
      <w:r w:rsidR="007A6893">
        <w:t>Joint Consultative Working Group’s transparency</w:t>
      </w:r>
      <w:r w:rsidR="00091B28">
        <w:t xml:space="preserve"> and inclusivity through structured sub-groups of experts to discuss proposed EU measures</w:t>
      </w:r>
      <w:r w:rsidR="00BA6A5C">
        <w:t>,</w:t>
      </w:r>
      <w:r w:rsidR="00091B28">
        <w:t xml:space="preserve"> enabl</w:t>
      </w:r>
      <w:r w:rsidR="00BA6A5C">
        <w:t>ing</w:t>
      </w:r>
      <w:r w:rsidR="00091B28">
        <w:t xml:space="preserve"> relevant stakeholders in </w:t>
      </w:r>
      <w:r w:rsidR="00AD704C">
        <w:t xml:space="preserve">NI </w:t>
      </w:r>
      <w:r w:rsidR="00091B28">
        <w:t xml:space="preserve">to engage with EU legislation.  </w:t>
      </w:r>
      <w:r w:rsidR="00D07F77">
        <w:t xml:space="preserve">Whereas the Commissions previously </w:t>
      </w:r>
      <w:r w:rsidR="00A35BDB">
        <w:t>recommended the establishment of a structured sub-group on human rights and equality,</w:t>
      </w:r>
      <w:r w:rsidR="00B403CC">
        <w:rPr>
          <w:rStyle w:val="FootnoteReference"/>
        </w:rPr>
        <w:footnoteReference w:id="31"/>
      </w:r>
      <w:r w:rsidR="00D07F77">
        <w:t xml:space="preserve"> </w:t>
      </w:r>
      <w:r w:rsidR="00A35BDB">
        <w:t>this was not adop</w:t>
      </w:r>
      <w:r w:rsidR="009C42D1">
        <w:t>t</w:t>
      </w:r>
      <w:r w:rsidR="00A35BDB">
        <w:t>ed and</w:t>
      </w:r>
      <w:r w:rsidR="009E4AE1">
        <w:t xml:space="preserve"> therefore</w:t>
      </w:r>
      <w:r w:rsidR="00091B28">
        <w:t xml:space="preserve"> NI stakeholders rely on the UK government to communicate and consult on the information shared within the </w:t>
      </w:r>
      <w:r w:rsidR="007A6893">
        <w:t>Joint Consultative Working Group</w:t>
      </w:r>
      <w:r w:rsidR="00091B28">
        <w:rPr>
          <w:rStyle w:val="FootnoteReference"/>
        </w:rPr>
        <w:footnoteReference w:id="32"/>
      </w:r>
      <w:r w:rsidR="00FB418E">
        <w:t xml:space="preserve"> as well as engagement with the Co-Chairs of the Specialised Committee as referenced above.</w:t>
      </w:r>
      <w:r w:rsidR="008768BE">
        <w:br/>
      </w:r>
    </w:p>
    <w:p w14:paraId="0B1DEEE2" w14:textId="13BA485C" w:rsidR="00D44B40" w:rsidRPr="00CE32E8" w:rsidRDefault="002D0DD6" w:rsidP="008768BE">
      <w:pPr>
        <w:pStyle w:val="ListParagraph"/>
        <w:numPr>
          <w:ilvl w:val="1"/>
          <w:numId w:val="3"/>
        </w:numPr>
      </w:pPr>
      <w:r w:rsidRPr="008768BE">
        <w:rPr>
          <w:b/>
          <w:bCs/>
        </w:rPr>
        <w:t>The Commissions recommend that the UK Government and EU Commission continue to keep them informed of any future EU equality law developments relevant to Annex 1 equality directives, including via th</w:t>
      </w:r>
      <w:r w:rsidR="002C1C97" w:rsidRPr="008768BE">
        <w:rPr>
          <w:b/>
          <w:bCs/>
        </w:rPr>
        <w:t>e</w:t>
      </w:r>
      <w:r w:rsidRPr="008768BE">
        <w:rPr>
          <w:b/>
          <w:bCs/>
        </w:rPr>
        <w:t xml:space="preserve"> Joint Consultative Working Group, and </w:t>
      </w:r>
      <w:r w:rsidR="008C4BD8" w:rsidRPr="008768BE">
        <w:rPr>
          <w:b/>
          <w:bCs/>
        </w:rPr>
        <w:t xml:space="preserve">provide </w:t>
      </w:r>
      <w:r w:rsidRPr="008768BE">
        <w:rPr>
          <w:b/>
          <w:bCs/>
        </w:rPr>
        <w:t xml:space="preserve">the opportunity to highlight in advance any implications of those changes for equality law in </w:t>
      </w:r>
      <w:r w:rsidR="00257DFF">
        <w:rPr>
          <w:b/>
          <w:bCs/>
        </w:rPr>
        <w:t>NI</w:t>
      </w:r>
      <w:r w:rsidRPr="008768BE">
        <w:rPr>
          <w:b/>
          <w:bCs/>
        </w:rPr>
        <w:t xml:space="preserve">. </w:t>
      </w:r>
    </w:p>
    <w:p w14:paraId="50476BED" w14:textId="77777777" w:rsidR="00E42FF0" w:rsidRDefault="00E42FF0" w:rsidP="00E42FF0">
      <w:pPr>
        <w:pStyle w:val="ListParagraph"/>
        <w:numPr>
          <w:ilvl w:val="0"/>
          <w:numId w:val="0"/>
        </w:numPr>
        <w:ind w:left="720"/>
        <w:rPr>
          <w:i/>
          <w:iCs/>
        </w:rPr>
      </w:pPr>
    </w:p>
    <w:p w14:paraId="42B5D927" w14:textId="629B8553" w:rsidR="00E42FF0" w:rsidRPr="00C70A20" w:rsidRDefault="00E42FF0" w:rsidP="00F8454A">
      <w:pPr>
        <w:pStyle w:val="Heading3"/>
      </w:pPr>
      <w:bookmarkStart w:id="11" w:name="_Toc196835332"/>
      <w:r w:rsidRPr="00C70A20">
        <w:t xml:space="preserve">Transparency of </w:t>
      </w:r>
      <w:r w:rsidR="00F8454A">
        <w:t xml:space="preserve">Windsor Framework </w:t>
      </w:r>
      <w:r w:rsidRPr="00C70A20">
        <w:t>Article 2 consideration in policymaking</w:t>
      </w:r>
      <w:bookmarkEnd w:id="11"/>
    </w:p>
    <w:p w14:paraId="3BE7D544" w14:textId="0F0458D7" w:rsidR="00E42FF0" w:rsidRPr="00E42FF0" w:rsidRDefault="000300BF" w:rsidP="001734D1">
      <w:pPr>
        <w:pStyle w:val="ListParagraph"/>
        <w:ind w:left="709"/>
        <w:rPr>
          <w:i/>
          <w:iCs/>
        </w:rPr>
      </w:pPr>
      <w:r w:rsidRPr="00E42FF0">
        <w:lastRenderedPageBreak/>
        <w:t>In general,</w:t>
      </w:r>
      <w:r w:rsidRPr="00E42FF0">
        <w:rPr>
          <w:b/>
        </w:rPr>
        <w:t xml:space="preserve"> </w:t>
      </w:r>
      <w:r w:rsidRPr="00E42FF0">
        <w:t xml:space="preserve">the Commissions are concerned there has been very limited or no detail, in Explanatory Memoranda / Human Rights Memoranda and other associated material provided by government on proposed legislation in terms of its consideration of Windsor Framework Article 2 compliance.  These materials provide helpful context for civil society stakeholders to understand what consideration has been given to Windsor Framework Article 2 and to facilitate further engagement in the development of legislation and policy. </w:t>
      </w:r>
    </w:p>
    <w:p w14:paraId="49A303E9" w14:textId="77777777" w:rsidR="00E42FF0" w:rsidRPr="00E42FF0" w:rsidRDefault="00E42FF0" w:rsidP="00E42FF0">
      <w:pPr>
        <w:pStyle w:val="ListParagraph"/>
        <w:numPr>
          <w:ilvl w:val="0"/>
          <w:numId w:val="0"/>
        </w:numPr>
        <w:ind w:left="720"/>
        <w:rPr>
          <w:i/>
          <w:iCs/>
        </w:rPr>
      </w:pPr>
    </w:p>
    <w:p w14:paraId="721A7A23" w14:textId="77777777" w:rsidR="00E42FF0" w:rsidRPr="00E42FF0" w:rsidRDefault="000300BF" w:rsidP="001734D1">
      <w:pPr>
        <w:pStyle w:val="ListParagraph"/>
        <w:ind w:left="709"/>
        <w:rPr>
          <w:i/>
          <w:iCs/>
        </w:rPr>
      </w:pPr>
      <w:r w:rsidRPr="00E42FF0">
        <w:rPr>
          <w:rFonts w:ascii="Calibri" w:hAnsi="Calibri" w:cs="Calibri"/>
          <w:b/>
          <w:bCs/>
        </w:rPr>
        <w:t>The Commissions recommend that the UK Government and NI Departments ensure that Explanatory Memoranda/notes and Human Rights Memoranda/impact assessments on Bills and draft statutory instruments that may engage Windsor Framework Article 2 set out detailed consideration of compliance.</w:t>
      </w:r>
    </w:p>
    <w:p w14:paraId="7CCC7DA8" w14:textId="77777777" w:rsidR="00E42FF0" w:rsidRPr="00E42FF0" w:rsidRDefault="00E42FF0" w:rsidP="001734D1">
      <w:pPr>
        <w:pStyle w:val="ListParagraph"/>
        <w:numPr>
          <w:ilvl w:val="0"/>
          <w:numId w:val="0"/>
        </w:numPr>
        <w:ind w:left="709"/>
        <w:rPr>
          <w:rFonts w:ascii="Calibri" w:hAnsi="Calibri" w:cs="Calibri"/>
        </w:rPr>
      </w:pPr>
    </w:p>
    <w:p w14:paraId="2247F327" w14:textId="7FEF95E7" w:rsidR="00E42FF0" w:rsidRPr="00E42FF0" w:rsidRDefault="000300BF" w:rsidP="001734D1">
      <w:pPr>
        <w:pStyle w:val="ListParagraph"/>
        <w:ind w:left="709"/>
        <w:rPr>
          <w:i/>
          <w:iCs/>
        </w:rPr>
      </w:pPr>
      <w:r w:rsidRPr="00E42FF0">
        <w:rPr>
          <w:rFonts w:ascii="Calibri" w:hAnsi="Calibri" w:cs="Calibri"/>
        </w:rPr>
        <w:t>Updated guidance from the Cabinet Office on preparing explanatory memoranda for statutory instruments states that</w:t>
      </w:r>
      <w:r w:rsidR="00F8454A">
        <w:rPr>
          <w:rFonts w:ascii="Calibri" w:hAnsi="Calibri" w:cs="Calibri"/>
        </w:rPr>
        <w:t xml:space="preserve">, </w:t>
      </w:r>
      <w:r w:rsidRPr="00E42FF0">
        <w:rPr>
          <w:rFonts w:ascii="Calibri" w:hAnsi="Calibri" w:cs="Calibri"/>
        </w:rPr>
        <w:t>where legislation may have interactions with Windsor Framework Article 2</w:t>
      </w:r>
      <w:r w:rsidR="00F8454A">
        <w:rPr>
          <w:rFonts w:ascii="Calibri" w:hAnsi="Calibri" w:cs="Calibri"/>
        </w:rPr>
        <w:t>,</w:t>
      </w:r>
      <w:r w:rsidRPr="00E42FF0">
        <w:rPr>
          <w:rFonts w:ascii="Calibri" w:hAnsi="Calibri" w:cs="Calibri"/>
        </w:rPr>
        <w:t xml:space="preserve"> contact should be made with the Windsor Framework Taskforce in the Cabinet Office.</w:t>
      </w:r>
      <w:r w:rsidRPr="00CC1A08">
        <w:rPr>
          <w:vertAlign w:val="superscript"/>
        </w:rPr>
        <w:footnoteReference w:id="33"/>
      </w:r>
      <w:r w:rsidRPr="00E42FF0">
        <w:rPr>
          <w:rFonts w:ascii="Calibri" w:hAnsi="Calibri" w:cs="Calibri"/>
        </w:rPr>
        <w:t xml:space="preserve"> </w:t>
      </w:r>
    </w:p>
    <w:p w14:paraId="3D47F3B0" w14:textId="77777777" w:rsidR="00E42FF0" w:rsidRPr="00190FA8" w:rsidRDefault="00E42FF0" w:rsidP="001734D1">
      <w:pPr>
        <w:pStyle w:val="ListParagraph"/>
        <w:numPr>
          <w:ilvl w:val="0"/>
          <w:numId w:val="0"/>
        </w:numPr>
        <w:ind w:left="709"/>
        <w:rPr>
          <w:rFonts w:ascii="Calibri" w:hAnsi="Calibri" w:cs="Calibri"/>
        </w:rPr>
      </w:pPr>
    </w:p>
    <w:p w14:paraId="24961A4A" w14:textId="2442D215" w:rsidR="00E42FF0" w:rsidRPr="00190FA8" w:rsidRDefault="000300BF" w:rsidP="001734D1">
      <w:pPr>
        <w:pStyle w:val="ListParagraph"/>
        <w:ind w:left="709"/>
        <w:rPr>
          <w:i/>
          <w:iCs/>
        </w:rPr>
      </w:pPr>
      <w:r w:rsidRPr="00190FA8">
        <w:rPr>
          <w:rFonts w:ascii="Calibri" w:hAnsi="Calibri" w:cs="Calibri"/>
        </w:rPr>
        <w:t>In February 2025, the Cabinet Office published an updated Guide to Making Legislation,</w:t>
      </w:r>
      <w:r w:rsidRPr="00190FA8">
        <w:rPr>
          <w:vertAlign w:val="superscript"/>
        </w:rPr>
        <w:footnoteReference w:id="34"/>
      </w:r>
      <w:r w:rsidRPr="00190FA8">
        <w:rPr>
          <w:rFonts w:ascii="Calibri" w:hAnsi="Calibri" w:cs="Calibri"/>
        </w:rPr>
        <w:t xml:space="preserve"> which references the importance of </w:t>
      </w:r>
      <w:r w:rsidR="00F8454A" w:rsidRPr="00190FA8">
        <w:rPr>
          <w:rFonts w:ascii="Calibri" w:hAnsi="Calibri" w:cs="Calibri"/>
        </w:rPr>
        <w:t>Windsor Framework</w:t>
      </w:r>
      <w:r w:rsidRPr="00190FA8">
        <w:rPr>
          <w:rFonts w:ascii="Calibri" w:hAnsi="Calibri" w:cs="Calibri"/>
        </w:rPr>
        <w:t xml:space="preserve"> Article 2 compliance. Officials with questions about how best to consider Article 2 when developing policy and legislation, are referred to the Rights Team in the </w:t>
      </w:r>
      <w:r w:rsidR="00E35BCB" w:rsidRPr="00190FA8">
        <w:rPr>
          <w:rFonts w:ascii="Calibri" w:hAnsi="Calibri" w:cs="Calibri"/>
        </w:rPr>
        <w:t>NI</w:t>
      </w:r>
      <w:r w:rsidRPr="00190FA8">
        <w:rPr>
          <w:rFonts w:ascii="Calibri" w:hAnsi="Calibri" w:cs="Calibri"/>
        </w:rPr>
        <w:t xml:space="preserve"> Office. The Guidance outlines that the ‘Legal Background’ section of the notes accompanying new legislation should, where relevant, set out any obligations relating to </w:t>
      </w:r>
      <w:r w:rsidR="00F8454A" w:rsidRPr="00190FA8">
        <w:rPr>
          <w:rFonts w:ascii="Calibri" w:hAnsi="Calibri" w:cs="Calibri"/>
        </w:rPr>
        <w:t>Windsor Framework</w:t>
      </w:r>
      <w:r w:rsidRPr="00190FA8">
        <w:rPr>
          <w:rFonts w:ascii="Calibri" w:hAnsi="Calibri" w:cs="Calibri"/>
        </w:rPr>
        <w:t xml:space="preserve"> Article 2.</w:t>
      </w:r>
      <w:r w:rsidRPr="00190FA8">
        <w:rPr>
          <w:vertAlign w:val="superscript"/>
        </w:rPr>
        <w:footnoteReference w:id="35"/>
      </w:r>
      <w:r w:rsidR="00F8454A" w:rsidRPr="00190FA8">
        <w:rPr>
          <w:rFonts w:ascii="Calibri" w:hAnsi="Calibri" w:cs="Calibri"/>
        </w:rPr>
        <w:t xml:space="preserve">  </w:t>
      </w:r>
      <w:r w:rsidRPr="00190FA8">
        <w:rPr>
          <w:rFonts w:ascii="Calibri" w:hAnsi="Calibri" w:cs="Calibri"/>
        </w:rPr>
        <w:t xml:space="preserve">However, the guidance provides no further information as to those obligations or how they are to be considered, with officials again referred to the Rights Team in the </w:t>
      </w:r>
      <w:r w:rsidR="00E35BCB" w:rsidRPr="00190FA8">
        <w:rPr>
          <w:rFonts w:ascii="Calibri" w:hAnsi="Calibri" w:cs="Calibri"/>
        </w:rPr>
        <w:t xml:space="preserve">NI </w:t>
      </w:r>
      <w:r w:rsidRPr="00190FA8">
        <w:rPr>
          <w:rFonts w:ascii="Calibri" w:hAnsi="Calibri" w:cs="Calibri"/>
        </w:rPr>
        <w:t>Office.</w:t>
      </w:r>
    </w:p>
    <w:p w14:paraId="2D7B449A" w14:textId="77777777" w:rsidR="00E42FF0" w:rsidRPr="00190FA8" w:rsidRDefault="00E42FF0" w:rsidP="001734D1">
      <w:pPr>
        <w:pStyle w:val="ListParagraph"/>
        <w:numPr>
          <w:ilvl w:val="0"/>
          <w:numId w:val="0"/>
        </w:numPr>
        <w:ind w:left="709"/>
        <w:rPr>
          <w:rFonts w:ascii="Calibri" w:hAnsi="Calibri" w:cs="Calibri"/>
        </w:rPr>
      </w:pPr>
    </w:p>
    <w:p w14:paraId="3161DD45" w14:textId="314599AA" w:rsidR="00E42FF0" w:rsidRPr="00190FA8" w:rsidRDefault="000300BF" w:rsidP="001734D1">
      <w:pPr>
        <w:pStyle w:val="ListParagraph"/>
        <w:ind w:left="709"/>
        <w:rPr>
          <w:i/>
          <w:iCs/>
        </w:rPr>
      </w:pPr>
      <w:r w:rsidRPr="00190FA8">
        <w:rPr>
          <w:rFonts w:ascii="Calibri" w:hAnsi="Calibri" w:cs="Calibri"/>
        </w:rPr>
        <w:t xml:space="preserve">The Committee may wish to consider whether further action would be required to ensure that officials are adequately informed to identify instances where legislation may engage </w:t>
      </w:r>
      <w:r w:rsidR="00F8454A" w:rsidRPr="00190FA8">
        <w:rPr>
          <w:rFonts w:ascii="Calibri" w:hAnsi="Calibri" w:cs="Calibri"/>
        </w:rPr>
        <w:t>Windsor Framework</w:t>
      </w:r>
      <w:r w:rsidRPr="00190FA8">
        <w:rPr>
          <w:rFonts w:ascii="Calibri" w:hAnsi="Calibri" w:cs="Calibri"/>
        </w:rPr>
        <w:t xml:space="preserve"> Article 2.</w:t>
      </w:r>
    </w:p>
    <w:p w14:paraId="12725CB0" w14:textId="77777777" w:rsidR="00E42FF0" w:rsidRPr="00190FA8" w:rsidRDefault="00E42FF0" w:rsidP="001734D1">
      <w:pPr>
        <w:pStyle w:val="ListParagraph"/>
        <w:numPr>
          <w:ilvl w:val="0"/>
          <w:numId w:val="0"/>
        </w:numPr>
        <w:ind w:left="709"/>
        <w:rPr>
          <w:rFonts w:ascii="Calibri" w:hAnsi="Calibri" w:cs="Calibri"/>
          <w:b/>
          <w:bCs/>
          <w:color w:val="000000" w:themeColor="text1"/>
        </w:rPr>
      </w:pPr>
    </w:p>
    <w:p w14:paraId="5168FC54" w14:textId="77777777" w:rsidR="00E42FF0" w:rsidRPr="00190FA8" w:rsidRDefault="00E42FF0" w:rsidP="001734D1">
      <w:pPr>
        <w:pStyle w:val="ListParagraph"/>
        <w:numPr>
          <w:ilvl w:val="0"/>
          <w:numId w:val="0"/>
        </w:numPr>
        <w:ind w:left="709"/>
        <w:rPr>
          <w:rFonts w:ascii="Calibri" w:hAnsi="Calibri" w:cs="Calibri"/>
        </w:rPr>
      </w:pPr>
    </w:p>
    <w:p w14:paraId="48C59160" w14:textId="4C0DECAD" w:rsidR="00E42FF0" w:rsidRPr="00190FA8" w:rsidRDefault="000300BF" w:rsidP="001734D1">
      <w:pPr>
        <w:pStyle w:val="ListParagraph"/>
        <w:ind w:left="709"/>
        <w:rPr>
          <w:i/>
          <w:iCs/>
        </w:rPr>
      </w:pPr>
      <w:r w:rsidRPr="00190FA8">
        <w:rPr>
          <w:rFonts w:ascii="Calibri" w:hAnsi="Calibri" w:cs="Calibri"/>
        </w:rPr>
        <w:lastRenderedPageBreak/>
        <w:t xml:space="preserve">The Commissions continue to be concerned that that there is limited evidence that early consideration of </w:t>
      </w:r>
      <w:r w:rsidR="006338B0" w:rsidRPr="00190FA8">
        <w:rPr>
          <w:rFonts w:ascii="Calibri" w:hAnsi="Calibri" w:cs="Calibri"/>
        </w:rPr>
        <w:t xml:space="preserve">Windsor Framework </w:t>
      </w:r>
      <w:r w:rsidRPr="00190FA8">
        <w:rPr>
          <w:rFonts w:ascii="Calibri" w:hAnsi="Calibri" w:cs="Calibri"/>
        </w:rPr>
        <w:t>Article 2 has been systematically embedded in policy and legislative development and processes.</w:t>
      </w:r>
    </w:p>
    <w:p w14:paraId="5E66F4CD" w14:textId="77777777" w:rsidR="00E42FF0" w:rsidRPr="00190FA8" w:rsidRDefault="00E42FF0" w:rsidP="001734D1">
      <w:pPr>
        <w:pStyle w:val="ListParagraph"/>
        <w:numPr>
          <w:ilvl w:val="0"/>
          <w:numId w:val="0"/>
        </w:numPr>
        <w:ind w:left="709"/>
        <w:rPr>
          <w:rFonts w:ascii="Calibri" w:hAnsi="Calibri" w:cs="Calibri"/>
          <w:b/>
          <w:bCs/>
        </w:rPr>
      </w:pPr>
    </w:p>
    <w:p w14:paraId="2DCB2B2B" w14:textId="761A5093" w:rsidR="000300BF" w:rsidRPr="00190FA8" w:rsidRDefault="000300BF" w:rsidP="001734D1">
      <w:pPr>
        <w:pStyle w:val="ListParagraph"/>
        <w:ind w:left="709"/>
        <w:rPr>
          <w:i/>
          <w:iCs/>
        </w:rPr>
      </w:pPr>
      <w:r w:rsidRPr="00190FA8">
        <w:rPr>
          <w:rFonts w:ascii="Calibri" w:hAnsi="Calibri" w:cs="Calibri"/>
          <w:b/>
          <w:bCs/>
        </w:rPr>
        <w:t xml:space="preserve">The Commissions recommend that the Committee seeks clarification from the </w:t>
      </w:r>
      <w:r w:rsidR="006338B0" w:rsidRPr="00190FA8">
        <w:rPr>
          <w:rFonts w:ascii="Calibri" w:hAnsi="Calibri" w:cs="Calibri"/>
          <w:b/>
          <w:bCs/>
        </w:rPr>
        <w:t>S</w:t>
      </w:r>
      <w:r w:rsidRPr="00190FA8">
        <w:rPr>
          <w:rFonts w:ascii="Calibri" w:hAnsi="Calibri" w:cs="Calibri"/>
          <w:b/>
          <w:bCs/>
        </w:rPr>
        <w:t xml:space="preserve">ecretary of State for NI and from the Executive Office on what further steps will be taken to embed </w:t>
      </w:r>
      <w:r w:rsidR="009F17AE" w:rsidRPr="00190FA8">
        <w:rPr>
          <w:rFonts w:ascii="Calibri" w:hAnsi="Calibri" w:cs="Calibri"/>
          <w:b/>
          <w:bCs/>
        </w:rPr>
        <w:t xml:space="preserve">detailed </w:t>
      </w:r>
      <w:r w:rsidRPr="00190FA8">
        <w:rPr>
          <w:rFonts w:ascii="Calibri" w:hAnsi="Calibri" w:cs="Calibri"/>
          <w:b/>
          <w:bCs/>
        </w:rPr>
        <w:t>consideration of Windsor Framework Article 2 compliance into processes and procedures across Whitehall and the NI Civil Service, including the timeline for doing so.</w:t>
      </w:r>
    </w:p>
    <w:p w14:paraId="6D9A4E0F" w14:textId="77777777" w:rsidR="006338B0" w:rsidRPr="00190FA8" w:rsidRDefault="006338B0" w:rsidP="001734D1">
      <w:pPr>
        <w:pStyle w:val="ListParagraph"/>
        <w:numPr>
          <w:ilvl w:val="0"/>
          <w:numId w:val="0"/>
        </w:numPr>
        <w:ind w:left="709"/>
        <w:rPr>
          <w:i/>
          <w:iCs/>
        </w:rPr>
      </w:pPr>
    </w:p>
    <w:p w14:paraId="49AB5024" w14:textId="38D5FC81" w:rsidR="006338B0" w:rsidRPr="00190FA8" w:rsidRDefault="006338B0" w:rsidP="001734D1">
      <w:pPr>
        <w:pStyle w:val="ListParagraph"/>
        <w:ind w:left="709"/>
      </w:pPr>
      <w:r w:rsidRPr="00190FA8">
        <w:rPr>
          <w:b/>
          <w:bCs/>
        </w:rPr>
        <w:t xml:space="preserve">The Commissions recommend that </w:t>
      </w:r>
      <w:r w:rsidR="00190FA8" w:rsidRPr="00190FA8">
        <w:rPr>
          <w:b/>
          <w:bCs/>
        </w:rPr>
        <w:t xml:space="preserve">the </w:t>
      </w:r>
      <w:r w:rsidRPr="00190FA8">
        <w:rPr>
          <w:b/>
          <w:bCs/>
        </w:rPr>
        <w:t xml:space="preserve">UK Government and NI departments </w:t>
      </w:r>
      <w:r w:rsidRPr="00190FA8">
        <w:rPr>
          <w:rFonts w:ascii="Calibri" w:hAnsi="Calibri" w:cs="Calibri"/>
          <w:b/>
          <w:bCs/>
        </w:rPr>
        <w:t xml:space="preserve">roll out effective </w:t>
      </w:r>
      <w:r w:rsidR="009F17AE" w:rsidRPr="00190FA8">
        <w:rPr>
          <w:rFonts w:ascii="Calibri" w:hAnsi="Calibri" w:cs="Calibri"/>
          <w:b/>
          <w:bCs/>
        </w:rPr>
        <w:t xml:space="preserve">and comprehensive </w:t>
      </w:r>
      <w:r w:rsidRPr="00190FA8">
        <w:rPr>
          <w:rFonts w:ascii="Calibri" w:hAnsi="Calibri" w:cs="Calibri"/>
          <w:b/>
          <w:bCs/>
        </w:rPr>
        <w:t>training on Windsor Framework Article 2 to all relevant officials, and act promptly to ensure guidance on policy and legislative development include detailed steps for consideration of Article 2.</w:t>
      </w:r>
    </w:p>
    <w:p w14:paraId="68F44888" w14:textId="77777777" w:rsidR="00A800D4" w:rsidRDefault="00A800D4" w:rsidP="00BC2B37">
      <w:pPr>
        <w:pStyle w:val="ListParagraph"/>
        <w:numPr>
          <w:ilvl w:val="0"/>
          <w:numId w:val="0"/>
        </w:numPr>
        <w:ind w:left="720"/>
        <w:jc w:val="both"/>
      </w:pPr>
    </w:p>
    <w:p w14:paraId="69E351FE" w14:textId="03F60FFF" w:rsidR="00AC331E" w:rsidRPr="00BC2B37" w:rsidRDefault="00AC331E" w:rsidP="00D370B7">
      <w:pPr>
        <w:pStyle w:val="Heading3"/>
      </w:pPr>
      <w:bookmarkStart w:id="12" w:name="_Toc196835333"/>
      <w:r w:rsidRPr="00BC2B37">
        <w:t xml:space="preserve">Parliamentary </w:t>
      </w:r>
      <w:r w:rsidRPr="00AC331E">
        <w:t>Scrutiny</w:t>
      </w:r>
      <w:bookmarkEnd w:id="12"/>
      <w:r w:rsidRPr="00BC2B37">
        <w:t xml:space="preserve"> </w:t>
      </w:r>
    </w:p>
    <w:p w14:paraId="53C3B628" w14:textId="78E2E929" w:rsidR="00675C3B" w:rsidRDefault="00675C3B" w:rsidP="001734D1">
      <w:pPr>
        <w:pStyle w:val="ListParagraph"/>
        <w:ind w:left="709"/>
      </w:pPr>
      <w:r>
        <w:t xml:space="preserve">In addition to formal UK-EU structures, UK parliamentary scrutiny offers a vital domestic channel for stakeholder engagement including with the </w:t>
      </w:r>
      <w:r w:rsidR="00E35BCB">
        <w:t xml:space="preserve">NI </w:t>
      </w:r>
      <w:r>
        <w:t>Scrutiny Committee</w:t>
      </w:r>
      <w:r w:rsidR="00251C6C">
        <w:t xml:space="preserve">, the </w:t>
      </w:r>
      <w:r w:rsidR="00E35BCB">
        <w:t xml:space="preserve">NI </w:t>
      </w:r>
      <w:r w:rsidR="0031514C">
        <w:t>Affairs Committee,</w:t>
      </w:r>
      <w:r>
        <w:t xml:space="preserve"> and the House of Lords EU Affairs Committee.</w:t>
      </w:r>
    </w:p>
    <w:p w14:paraId="4805EEF4" w14:textId="77777777" w:rsidR="00675C3B" w:rsidRDefault="00675C3B" w:rsidP="001734D1">
      <w:pPr>
        <w:pStyle w:val="ListParagraph"/>
        <w:numPr>
          <w:ilvl w:val="0"/>
          <w:numId w:val="0"/>
        </w:numPr>
        <w:ind w:left="709"/>
      </w:pPr>
    </w:p>
    <w:p w14:paraId="0D07A328" w14:textId="015EFDEA" w:rsidR="00654FDC" w:rsidRDefault="007F1AC1" w:rsidP="001734D1">
      <w:pPr>
        <w:pStyle w:val="ListParagraph"/>
        <w:ind w:left="709"/>
      </w:pPr>
      <w:r w:rsidRPr="009C5099">
        <w:t xml:space="preserve">In 2022, UK Government confirmed that it would continue to submit Explanatory Memoranda on EU proposals which amend or replace existing </w:t>
      </w:r>
      <w:r w:rsidR="004C07B7">
        <w:t>measures</w:t>
      </w:r>
      <w:r w:rsidRPr="009C5099">
        <w:t xml:space="preserve"> that fall </w:t>
      </w:r>
      <w:r w:rsidR="004C07B7">
        <w:t>within</w:t>
      </w:r>
      <w:r w:rsidRPr="009C5099">
        <w:t xml:space="preserve"> the Windsor Framework</w:t>
      </w:r>
      <w:r>
        <w:t xml:space="preserve"> </w:t>
      </w:r>
      <w:r w:rsidR="00CA5EDE">
        <w:t>for consideration by</w:t>
      </w:r>
      <w:r>
        <w:t xml:space="preserve"> the House of Commons European Scrutiny Committee. This commitment included </w:t>
      </w:r>
      <w:r w:rsidRPr="009C5099">
        <w:t xml:space="preserve">the Annex 1 equality directives </w:t>
      </w:r>
      <w:r>
        <w:t xml:space="preserve">as well as </w:t>
      </w:r>
      <w:r w:rsidRPr="009C5099">
        <w:t>other EU legislation relevant to the provisions of Article 2.</w:t>
      </w:r>
      <w:r w:rsidRPr="009C5099">
        <w:rPr>
          <w:rStyle w:val="FootnoteReference"/>
        </w:rPr>
        <w:footnoteReference w:id="36"/>
      </w:r>
      <w:r>
        <w:t xml:space="preserve">  </w:t>
      </w:r>
      <w:r w:rsidR="00654FDC" w:rsidRPr="00F20032">
        <w:t xml:space="preserve">The </w:t>
      </w:r>
      <w:r w:rsidRPr="00F20032">
        <w:t xml:space="preserve">European Scrutiny Committee conducted in-depth scrutiny of issues relating to the UK’s withdrawal from the EU, including matters relating to </w:t>
      </w:r>
      <w:r w:rsidR="00137699">
        <w:t xml:space="preserve">Windsor Framework </w:t>
      </w:r>
      <w:r w:rsidRPr="00F20032">
        <w:t>Article 2</w:t>
      </w:r>
      <w:r w:rsidR="00654FDC">
        <w:t xml:space="preserve">.  The Committee </w:t>
      </w:r>
      <w:r w:rsidRPr="00F20032">
        <w:t xml:space="preserve">has been </w:t>
      </w:r>
      <w:r w:rsidR="00964B69">
        <w:t>dissolv</w:t>
      </w:r>
      <w:r w:rsidRPr="00F20032">
        <w:t>ed</w:t>
      </w:r>
      <w:r w:rsidR="00964B69">
        <w:t>,</w:t>
      </w:r>
      <w:r w:rsidR="00654FDC">
        <w:t xml:space="preserve"> and relevant </w:t>
      </w:r>
      <w:r w:rsidR="00654FDC" w:rsidRPr="00654FDC">
        <w:t>EU laws and proposals will now fall under the remit of the relevant departmental or other committees</w:t>
      </w:r>
      <w:r>
        <w:t>.</w:t>
      </w:r>
      <w:r w:rsidR="00132231">
        <w:rPr>
          <w:rStyle w:val="FootnoteReference"/>
        </w:rPr>
        <w:footnoteReference w:id="37"/>
      </w:r>
      <w:r w:rsidR="00C13345">
        <w:t xml:space="preserve"> </w:t>
      </w:r>
      <w:r w:rsidR="00654FDC">
        <w:t xml:space="preserve">There is a risk that this lack of centralised consideration of relevant EU laws will make it harder for civil </w:t>
      </w:r>
      <w:r w:rsidR="00654FDC">
        <w:lastRenderedPageBreak/>
        <w:t xml:space="preserve">society stakeholders to engage with the appropriate departmental committee and to track new EU measures of relevance to NI. </w:t>
      </w:r>
    </w:p>
    <w:p w14:paraId="186F9A4E" w14:textId="77777777" w:rsidR="007209EC" w:rsidRPr="007209EC" w:rsidRDefault="007209EC" w:rsidP="001734D1">
      <w:pPr>
        <w:pStyle w:val="ListParagraph"/>
        <w:numPr>
          <w:ilvl w:val="0"/>
          <w:numId w:val="0"/>
        </w:numPr>
        <w:ind w:left="709"/>
      </w:pPr>
    </w:p>
    <w:p w14:paraId="53376383" w14:textId="680BD874" w:rsidR="00B3664F" w:rsidRDefault="00B3664F" w:rsidP="001734D1">
      <w:pPr>
        <w:pStyle w:val="ListParagraph"/>
        <w:ind w:left="709"/>
        <w:rPr>
          <w:b/>
          <w:bCs/>
        </w:rPr>
      </w:pPr>
      <w:r w:rsidRPr="003B3FA9">
        <w:rPr>
          <w:b/>
          <w:bCs/>
        </w:rPr>
        <w:t xml:space="preserve">The </w:t>
      </w:r>
      <w:r w:rsidR="00EC6BB8">
        <w:rPr>
          <w:b/>
          <w:bCs/>
        </w:rPr>
        <w:t>Commissions</w:t>
      </w:r>
      <w:r w:rsidRPr="003B3FA9">
        <w:rPr>
          <w:b/>
          <w:bCs/>
        </w:rPr>
        <w:t xml:space="preserve"> recommend that the Committee considers if there are sufficient mechanisms in place to ensure effective </w:t>
      </w:r>
      <w:r w:rsidR="008F577C" w:rsidRPr="003B3FA9">
        <w:rPr>
          <w:b/>
          <w:bCs/>
        </w:rPr>
        <w:t xml:space="preserve">parliamentary </w:t>
      </w:r>
      <w:r w:rsidRPr="003B3FA9">
        <w:rPr>
          <w:b/>
          <w:bCs/>
        </w:rPr>
        <w:t xml:space="preserve">scrutiny in terms of </w:t>
      </w:r>
      <w:r w:rsidR="008F577C">
        <w:rPr>
          <w:b/>
          <w:bCs/>
        </w:rPr>
        <w:t xml:space="preserve">Windsor Framework </w:t>
      </w:r>
      <w:r w:rsidRPr="003B3FA9">
        <w:rPr>
          <w:b/>
          <w:bCs/>
        </w:rPr>
        <w:t xml:space="preserve">Article 2 compliance by the </w:t>
      </w:r>
      <w:r w:rsidR="008F577C">
        <w:rPr>
          <w:b/>
          <w:bCs/>
        </w:rPr>
        <w:t>UK Government</w:t>
      </w:r>
      <w:r w:rsidRPr="003B3FA9">
        <w:rPr>
          <w:b/>
          <w:bCs/>
        </w:rPr>
        <w:t>, particularly in the absence of the European Scrutiny Committee.</w:t>
      </w:r>
    </w:p>
    <w:p w14:paraId="4FA65577" w14:textId="77777777" w:rsidR="00190FA8" w:rsidRPr="00190FA8" w:rsidRDefault="00190FA8" w:rsidP="00190FA8">
      <w:pPr>
        <w:ind w:left="1004" w:hanging="720"/>
        <w:rPr>
          <w:b/>
          <w:bCs/>
        </w:rPr>
      </w:pPr>
    </w:p>
    <w:p w14:paraId="6FD80FD8" w14:textId="1A50CAA6" w:rsidR="00B23ED3" w:rsidRDefault="00CD32BA" w:rsidP="00B23ED3">
      <w:pPr>
        <w:pStyle w:val="Heading1"/>
      </w:pPr>
      <w:bookmarkStart w:id="13" w:name="_Toc196835334"/>
      <w:r>
        <w:t>Effectiveness</w:t>
      </w:r>
      <w:r w:rsidR="0098023F">
        <w:t xml:space="preserve"> of Oversight Mechanisms: The Stormont Brake and Applicability Motion Procedure</w:t>
      </w:r>
      <w:bookmarkEnd w:id="13"/>
      <w:r w:rsidR="0098023F">
        <w:t xml:space="preserve"> </w:t>
      </w:r>
    </w:p>
    <w:p w14:paraId="23967AF0" w14:textId="5E0E498B" w:rsidR="003B3FA9" w:rsidRDefault="00CD32BA" w:rsidP="001734D1">
      <w:pPr>
        <w:pStyle w:val="ListParagraph"/>
        <w:ind w:left="709"/>
      </w:pPr>
      <w:r w:rsidRPr="005E1B70">
        <w:rPr>
          <w:b/>
          <w:bCs/>
        </w:rPr>
        <w:t>Questio</w:t>
      </w:r>
      <w:r w:rsidR="009A04EA" w:rsidRPr="005E1B70">
        <w:rPr>
          <w:b/>
          <w:bCs/>
        </w:rPr>
        <w:t>n 7</w:t>
      </w:r>
      <w:r w:rsidR="009A04EA" w:rsidRPr="003B3FA9">
        <w:t xml:space="preserve">: How would you assess the effectiveness of mechanisms such as the Stormont Brake and the applicability motion procedure which are designed to allow the </w:t>
      </w:r>
      <w:r w:rsidR="00AD704C">
        <w:t xml:space="preserve">NI </w:t>
      </w:r>
      <w:r w:rsidR="009A04EA" w:rsidRPr="003B3FA9">
        <w:t xml:space="preserve">Assembly to have oversight of EU law which applies in </w:t>
      </w:r>
      <w:r w:rsidR="00AD704C">
        <w:t xml:space="preserve">NI </w:t>
      </w:r>
      <w:r w:rsidR="009A04EA" w:rsidRPr="003B3FA9">
        <w:t>under the Windsor Framework?</w:t>
      </w:r>
    </w:p>
    <w:p w14:paraId="4C20A7D2" w14:textId="77777777" w:rsidR="009D4EC6" w:rsidRPr="009D4EC6" w:rsidRDefault="009D4EC6" w:rsidP="001734D1">
      <w:pPr>
        <w:pStyle w:val="ListParagraph"/>
        <w:numPr>
          <w:ilvl w:val="0"/>
          <w:numId w:val="0"/>
        </w:numPr>
        <w:ind w:left="709"/>
        <w:rPr>
          <w:i/>
          <w:iCs/>
        </w:rPr>
      </w:pPr>
    </w:p>
    <w:p w14:paraId="50E72CD6" w14:textId="45159FFB" w:rsidR="0041788D" w:rsidRPr="009D4EC6" w:rsidRDefault="005B3634" w:rsidP="001734D1">
      <w:pPr>
        <w:pStyle w:val="ListParagraph"/>
        <w:ind w:left="709"/>
        <w:rPr>
          <w:i/>
          <w:iCs/>
        </w:rPr>
      </w:pPr>
      <w:r>
        <w:t xml:space="preserve">The </w:t>
      </w:r>
      <w:r w:rsidR="0041788D">
        <w:t>Commissions</w:t>
      </w:r>
      <w:r>
        <w:t xml:space="preserve"> emphasi</w:t>
      </w:r>
      <w:r w:rsidR="003B3FA9">
        <w:t>s</w:t>
      </w:r>
      <w:r>
        <w:t>e the importance of democratic oversight, as well as the need for equality and human rights to be considered at every stage of operation</w:t>
      </w:r>
      <w:r w:rsidR="0041788D">
        <w:t xml:space="preserve"> of the ‘</w:t>
      </w:r>
      <w:r w:rsidR="0041788D" w:rsidRPr="003B3FA9">
        <w:t>Stormont Brake</w:t>
      </w:r>
      <w:r w:rsidR="0041788D">
        <w:t>’</w:t>
      </w:r>
      <w:r w:rsidR="0041788D" w:rsidRPr="003B3FA9">
        <w:t xml:space="preserve"> and the applicability motion procedure</w:t>
      </w:r>
      <w:r w:rsidR="0041788D">
        <w:t xml:space="preserve"> under Article 13(3a) and 13(4)</w:t>
      </w:r>
      <w:r>
        <w:t>. The effectiveness of these mechanisms in practice depends on how well they balance oversight with the protection of rights.</w:t>
      </w:r>
    </w:p>
    <w:p w14:paraId="2E18731D" w14:textId="77777777" w:rsidR="00971F58" w:rsidRPr="0045459E" w:rsidRDefault="00971F58" w:rsidP="00971F58">
      <w:pPr>
        <w:pStyle w:val="ListParagraph"/>
        <w:numPr>
          <w:ilvl w:val="0"/>
          <w:numId w:val="0"/>
        </w:numPr>
        <w:ind w:left="720"/>
      </w:pPr>
    </w:p>
    <w:p w14:paraId="7B04DCE6" w14:textId="77777777" w:rsidR="00971F58" w:rsidRPr="00971F58" w:rsidRDefault="00971F58" w:rsidP="006D04B9">
      <w:pPr>
        <w:pStyle w:val="Heading3"/>
      </w:pPr>
      <w:bookmarkStart w:id="14" w:name="_Toc196835335"/>
      <w:r w:rsidRPr="00971F58">
        <w:t>The Stormont Brake: Potential and Challenges</w:t>
      </w:r>
      <w:bookmarkEnd w:id="14"/>
    </w:p>
    <w:p w14:paraId="4760303C" w14:textId="40847912" w:rsidR="00D96CE1" w:rsidRDefault="00971F58" w:rsidP="001734D1">
      <w:pPr>
        <w:pStyle w:val="ListParagraph"/>
        <w:ind w:left="709"/>
      </w:pPr>
      <w:r>
        <w:t xml:space="preserve">The ‘Stormont </w:t>
      </w:r>
      <w:r w:rsidR="009F17AE">
        <w:t>B</w:t>
      </w:r>
      <w:r>
        <w:t xml:space="preserve">rake’ offers a potential mechanism for halting the application in </w:t>
      </w:r>
      <w:r w:rsidR="00AD704C">
        <w:t xml:space="preserve">NI </w:t>
      </w:r>
      <w:r>
        <w:t xml:space="preserve">of amended </w:t>
      </w:r>
      <w:r w:rsidR="00171A6E">
        <w:t xml:space="preserve">or </w:t>
      </w:r>
      <w:r>
        <w:t>rep</w:t>
      </w:r>
      <w:r w:rsidR="00B56226">
        <w:t>lac</w:t>
      </w:r>
      <w:r>
        <w:t>ed EU provisions in Annex 2 of the Windsor Framework.</w:t>
      </w:r>
      <w:r w:rsidR="00B56CE3">
        <w:rPr>
          <w:rStyle w:val="FootnoteReference"/>
        </w:rPr>
        <w:footnoteReference w:id="38"/>
      </w:r>
      <w:r>
        <w:t xml:space="preserve"> </w:t>
      </w:r>
    </w:p>
    <w:p w14:paraId="5184903F" w14:textId="3AE4A763" w:rsidR="009D4EC6" w:rsidRDefault="009D4EC6" w:rsidP="001734D1">
      <w:pPr>
        <w:pStyle w:val="ListParagraph"/>
        <w:numPr>
          <w:ilvl w:val="0"/>
          <w:numId w:val="0"/>
        </w:numPr>
        <w:ind w:left="709"/>
      </w:pPr>
    </w:p>
    <w:p w14:paraId="760F4D91" w14:textId="44929859" w:rsidR="003B3FA9" w:rsidRDefault="00411DDB" w:rsidP="001734D1">
      <w:pPr>
        <w:pStyle w:val="ListParagraph"/>
        <w:ind w:left="709"/>
      </w:pPr>
      <w:r>
        <w:t>While both Commissions</w:t>
      </w:r>
      <w:r w:rsidR="00971F58">
        <w:t xml:space="preserve"> welcomed the exclusion of Annex 1 equality directives from the scope of the Stormont </w:t>
      </w:r>
      <w:r w:rsidR="009F17AE">
        <w:t>B</w:t>
      </w:r>
      <w:r w:rsidR="00971F58">
        <w:t xml:space="preserve">rake, </w:t>
      </w:r>
      <w:r w:rsidR="008433FC">
        <w:t xml:space="preserve">it </w:t>
      </w:r>
      <w:r w:rsidR="005A5CC6">
        <w:t xml:space="preserve">may </w:t>
      </w:r>
      <w:r w:rsidR="00971F58">
        <w:t xml:space="preserve">still </w:t>
      </w:r>
      <w:r w:rsidR="008C5CAD">
        <w:t>have</w:t>
      </w:r>
      <w:r w:rsidR="005A5CC6">
        <w:t xml:space="preserve"> implications </w:t>
      </w:r>
      <w:r w:rsidR="005A5CC6">
        <w:lastRenderedPageBreak/>
        <w:t>for human rights and equality in NI</w:t>
      </w:r>
      <w:r w:rsidR="00971F58">
        <w:t xml:space="preserve">. </w:t>
      </w:r>
      <w:r w:rsidR="00B8406C" w:rsidRPr="00B8406C">
        <w:t xml:space="preserve">In particular, </w:t>
      </w:r>
      <w:r w:rsidR="006A2958">
        <w:t xml:space="preserve">the Commissions have identified </w:t>
      </w:r>
      <w:proofErr w:type="gramStart"/>
      <w:r w:rsidR="00B8406C" w:rsidRPr="00B8406C">
        <w:t>a number of</w:t>
      </w:r>
      <w:proofErr w:type="gramEnd"/>
      <w:r w:rsidR="00B8406C" w:rsidRPr="00B8406C">
        <w:t xml:space="preserve"> EU measures listed in Windsor Framework Annex 2, </w:t>
      </w:r>
      <w:r w:rsidR="005A5185">
        <w:t>which are</w:t>
      </w:r>
      <w:r w:rsidR="00B8406C" w:rsidRPr="00B8406C">
        <w:t xml:space="preserve"> </w:t>
      </w:r>
      <w:r w:rsidR="00484A5B">
        <w:t>relevant to</w:t>
      </w:r>
      <w:r w:rsidR="00B8406C" w:rsidRPr="00B8406C">
        <w:t xml:space="preserve"> the Windsor Framework Article 2 ‘non-diminution’ commitment.</w:t>
      </w:r>
      <w:r w:rsidR="003A3F60">
        <w:rPr>
          <w:rStyle w:val="FootnoteReference"/>
        </w:rPr>
        <w:footnoteReference w:id="39"/>
      </w:r>
      <w:r w:rsidR="00346821">
        <w:t xml:space="preserve"> </w:t>
      </w:r>
      <w:r w:rsidR="00156216">
        <w:t>Prior to the introduction of the Stormont Brake</w:t>
      </w:r>
      <w:r w:rsidR="005A5185">
        <w:t>,</w:t>
      </w:r>
      <w:r w:rsidR="00156216">
        <w:t xml:space="preserve"> </w:t>
      </w:r>
      <w:r w:rsidR="00D203DA">
        <w:t xml:space="preserve">changes to </w:t>
      </w:r>
      <w:r w:rsidR="00346821">
        <w:t xml:space="preserve">such measures </w:t>
      </w:r>
      <w:r w:rsidR="00156216">
        <w:t>w</w:t>
      </w:r>
      <w:r w:rsidR="00D203DA">
        <w:t xml:space="preserve">ould automatically </w:t>
      </w:r>
      <w:r w:rsidR="0043428C">
        <w:t xml:space="preserve">have </w:t>
      </w:r>
      <w:r w:rsidR="00D203DA">
        <w:t>applied in NI</w:t>
      </w:r>
      <w:r w:rsidR="00E45F2D">
        <w:t xml:space="preserve"> (subject to the democratic consent mechanism) </w:t>
      </w:r>
      <w:r w:rsidR="00D203DA">
        <w:t xml:space="preserve">with potential equality or human rights benefits. </w:t>
      </w:r>
      <w:r w:rsidR="00347C29">
        <w:t xml:space="preserve">The Stormont Brake may result in such changes not </w:t>
      </w:r>
      <w:r w:rsidR="00E23E48">
        <w:t>being adopted</w:t>
      </w:r>
      <w:r w:rsidR="00971F58">
        <w:t>.</w:t>
      </w:r>
      <w:r w:rsidR="00971F58">
        <w:rPr>
          <w:rStyle w:val="FootnoteReference"/>
        </w:rPr>
        <w:footnoteReference w:id="40"/>
      </w:r>
    </w:p>
    <w:p w14:paraId="73AF0DD5" w14:textId="77777777" w:rsidR="00FC5218" w:rsidRDefault="00FC5218" w:rsidP="001734D1">
      <w:pPr>
        <w:pStyle w:val="ListParagraph"/>
        <w:numPr>
          <w:ilvl w:val="0"/>
          <w:numId w:val="0"/>
        </w:numPr>
        <w:ind w:left="709"/>
      </w:pPr>
    </w:p>
    <w:p w14:paraId="19AA858D" w14:textId="46EB68C5" w:rsidR="00855A04" w:rsidRDefault="00FC5218" w:rsidP="001734D1">
      <w:pPr>
        <w:pStyle w:val="ListParagraph"/>
        <w:ind w:left="709"/>
      </w:pPr>
      <w:r>
        <w:t>T</w:t>
      </w:r>
      <w:r w:rsidR="00FE4753">
        <w:t>he Commissions are</w:t>
      </w:r>
      <w:r w:rsidR="00713C7D">
        <w:t xml:space="preserve"> also concern</w:t>
      </w:r>
      <w:r w:rsidR="00FE4753">
        <w:t>ed</w:t>
      </w:r>
      <w:r w:rsidR="00971F58">
        <w:t xml:space="preserve"> that the new procedural requirements for applicability motions </w:t>
      </w:r>
      <w:r w:rsidR="00492C43">
        <w:t xml:space="preserve">in Article 13(4) of the Windsor Framework </w:t>
      </w:r>
      <w:r w:rsidR="00971F58">
        <w:t>could make it more difficult to incorporate future EU equality and human rights measures into Annex 1.</w:t>
      </w:r>
      <w:r w:rsidR="00971F58">
        <w:rPr>
          <w:rStyle w:val="FootnoteReference"/>
        </w:rPr>
        <w:footnoteReference w:id="41"/>
      </w:r>
      <w:r w:rsidR="00713C7D">
        <w:t xml:space="preserve"> </w:t>
      </w:r>
      <w:r w:rsidR="00971F58">
        <w:t xml:space="preserve">This could delay or obstruct the application of new or updated EU laws that may enhance the rights of individuals in </w:t>
      </w:r>
      <w:r w:rsidR="00707A06">
        <w:t>NI</w:t>
      </w:r>
      <w:r w:rsidR="00171A6E">
        <w:t xml:space="preserve"> </w:t>
      </w:r>
      <w:r w:rsidR="00492C43">
        <w:t xml:space="preserve">and </w:t>
      </w:r>
      <w:r w:rsidR="00971F58">
        <w:t xml:space="preserve">result in delays in adopting critical EU human rights laws, potentially leaving </w:t>
      </w:r>
      <w:r w:rsidR="00AD704C">
        <w:t xml:space="preserve">NI </w:t>
      </w:r>
      <w:r w:rsidR="00971F58">
        <w:t>behind in terms of rights protections.</w:t>
      </w:r>
    </w:p>
    <w:p w14:paraId="37412F1A" w14:textId="77777777" w:rsidR="003F0E3F" w:rsidRDefault="003F0E3F" w:rsidP="001734D1">
      <w:pPr>
        <w:pStyle w:val="ListParagraph"/>
        <w:numPr>
          <w:ilvl w:val="0"/>
          <w:numId w:val="0"/>
        </w:numPr>
        <w:ind w:left="709"/>
        <w:rPr>
          <w:b/>
          <w:bCs/>
        </w:rPr>
      </w:pPr>
    </w:p>
    <w:p w14:paraId="59B30E4E" w14:textId="2DF4C993" w:rsidR="007C7AC8" w:rsidRDefault="007C7AC8" w:rsidP="001734D1">
      <w:pPr>
        <w:pStyle w:val="ListParagraph"/>
        <w:ind w:left="709"/>
      </w:pPr>
      <w:r>
        <w:t xml:space="preserve">It is crucial that the Stormont </w:t>
      </w:r>
      <w:r w:rsidR="00707A06">
        <w:t>B</w:t>
      </w:r>
      <w:r>
        <w:t xml:space="preserve">rake is not used in a way that undermines rights protections. This means </w:t>
      </w:r>
      <w:r w:rsidRPr="00F20032">
        <w:rPr>
          <w:lang w:eastAsia="en-GB"/>
        </w:rPr>
        <w:t>inquiries by the Windsor Framework Democratic Scrutiny Committee</w:t>
      </w:r>
      <w:r>
        <w:rPr>
          <w:lang w:eastAsia="en-GB"/>
        </w:rPr>
        <w:t xml:space="preserve"> should</w:t>
      </w:r>
      <w:r>
        <w:t xml:space="preserve"> evaluate whether a proposed EU law strengthens or diminishes rights in </w:t>
      </w:r>
      <w:r w:rsidR="00707A06">
        <w:t>NI</w:t>
      </w:r>
      <w:r>
        <w:t xml:space="preserve"> before deciding to activate the brake.</w:t>
      </w:r>
      <w:r>
        <w:rPr>
          <w:rStyle w:val="FootnoteReference"/>
        </w:rPr>
        <w:footnoteReference w:id="42"/>
      </w:r>
      <w:r w:rsidRPr="00F20032">
        <w:rPr>
          <w:lang w:eastAsia="en-GB"/>
        </w:rPr>
        <w:t xml:space="preserve"> The Committee </w:t>
      </w:r>
      <w:r>
        <w:rPr>
          <w:lang w:eastAsia="en-GB"/>
        </w:rPr>
        <w:t xml:space="preserve">should </w:t>
      </w:r>
      <w:r w:rsidRPr="00F20032">
        <w:rPr>
          <w:lang w:eastAsia="en-GB"/>
        </w:rPr>
        <w:t xml:space="preserve">seek views on </w:t>
      </w:r>
      <w:r>
        <w:rPr>
          <w:lang w:eastAsia="en-GB"/>
        </w:rPr>
        <w:t xml:space="preserve">any equality and human rights </w:t>
      </w:r>
      <w:r w:rsidRPr="00F20032">
        <w:rPr>
          <w:lang w:eastAsia="en-GB"/>
        </w:rPr>
        <w:t>implications</w:t>
      </w:r>
      <w:r>
        <w:rPr>
          <w:lang w:eastAsia="en-GB"/>
        </w:rPr>
        <w:t xml:space="preserve"> from relevant stakeholders in NI.</w:t>
      </w:r>
    </w:p>
    <w:p w14:paraId="4538BB39" w14:textId="77777777" w:rsidR="007C7AC8" w:rsidRDefault="007C7AC8" w:rsidP="001734D1">
      <w:pPr>
        <w:pStyle w:val="ListParagraph"/>
        <w:numPr>
          <w:ilvl w:val="0"/>
          <w:numId w:val="0"/>
        </w:numPr>
        <w:ind w:left="709"/>
      </w:pPr>
    </w:p>
    <w:p w14:paraId="28EF47F0" w14:textId="22E5CCFE" w:rsidR="00A20D75" w:rsidRDefault="00A20D75" w:rsidP="001734D1">
      <w:pPr>
        <w:pStyle w:val="ListParagraph"/>
        <w:ind w:left="709"/>
        <w:rPr>
          <w:b/>
          <w:bCs/>
        </w:rPr>
      </w:pPr>
      <w:r w:rsidRPr="003B3FA9">
        <w:rPr>
          <w:b/>
          <w:bCs/>
        </w:rPr>
        <w:t xml:space="preserve">The </w:t>
      </w:r>
      <w:r w:rsidR="00492C43">
        <w:rPr>
          <w:b/>
          <w:bCs/>
        </w:rPr>
        <w:t>Commissions</w:t>
      </w:r>
      <w:r w:rsidRPr="003B3FA9">
        <w:rPr>
          <w:b/>
          <w:bCs/>
        </w:rPr>
        <w:t xml:space="preserve"> recommend that </w:t>
      </w:r>
      <w:r w:rsidR="00492C43">
        <w:rPr>
          <w:b/>
          <w:bCs/>
        </w:rPr>
        <w:t xml:space="preserve">the Secretary of State for NI, the NI Assembly and the Windsor Framework Democratic Scrutiny Committee integrate </w:t>
      </w:r>
      <w:r w:rsidRPr="003B3FA9">
        <w:rPr>
          <w:b/>
          <w:bCs/>
        </w:rPr>
        <w:t xml:space="preserve">equality and human rights considerations into </w:t>
      </w:r>
      <w:r w:rsidR="006364EA" w:rsidRPr="003B3FA9">
        <w:rPr>
          <w:b/>
          <w:bCs/>
        </w:rPr>
        <w:t>the revised</w:t>
      </w:r>
      <w:r w:rsidRPr="003B3FA9">
        <w:rPr>
          <w:b/>
          <w:bCs/>
        </w:rPr>
        <w:t xml:space="preserve"> process under </w:t>
      </w:r>
      <w:r w:rsidR="00E036CD" w:rsidRPr="003B3FA9">
        <w:rPr>
          <w:b/>
          <w:bCs/>
        </w:rPr>
        <w:t>Article</w:t>
      </w:r>
      <w:r w:rsidRPr="003B3FA9">
        <w:rPr>
          <w:b/>
          <w:bCs/>
        </w:rPr>
        <w:t xml:space="preserve"> 13(4) of the Windsor Framework, as well as at all key stages of the </w:t>
      </w:r>
      <w:r w:rsidR="00492C43">
        <w:rPr>
          <w:b/>
          <w:bCs/>
        </w:rPr>
        <w:t>‘</w:t>
      </w:r>
      <w:r w:rsidRPr="003B3FA9">
        <w:rPr>
          <w:b/>
          <w:bCs/>
        </w:rPr>
        <w:t xml:space="preserve">Stormont </w:t>
      </w:r>
      <w:r w:rsidR="00707A06">
        <w:rPr>
          <w:b/>
          <w:bCs/>
        </w:rPr>
        <w:t>B</w:t>
      </w:r>
      <w:r w:rsidR="00492C43" w:rsidRPr="003B3FA9">
        <w:rPr>
          <w:b/>
          <w:bCs/>
        </w:rPr>
        <w:t>rake</w:t>
      </w:r>
      <w:r w:rsidR="00492C43">
        <w:rPr>
          <w:b/>
          <w:bCs/>
        </w:rPr>
        <w:t>’</w:t>
      </w:r>
      <w:r w:rsidR="00492C43" w:rsidRPr="003B3FA9">
        <w:rPr>
          <w:b/>
          <w:bCs/>
        </w:rPr>
        <w:t xml:space="preserve"> </w:t>
      </w:r>
      <w:r w:rsidRPr="003B3FA9">
        <w:rPr>
          <w:b/>
          <w:bCs/>
        </w:rPr>
        <w:t>mechanism.</w:t>
      </w:r>
    </w:p>
    <w:p w14:paraId="48A2D144" w14:textId="77777777" w:rsidR="003F0E3F" w:rsidRPr="003B3FA9" w:rsidRDefault="003F0E3F" w:rsidP="001734D1">
      <w:pPr>
        <w:pStyle w:val="ListParagraph"/>
        <w:numPr>
          <w:ilvl w:val="0"/>
          <w:numId w:val="0"/>
        </w:numPr>
        <w:ind w:left="709"/>
        <w:rPr>
          <w:b/>
          <w:bCs/>
        </w:rPr>
      </w:pPr>
    </w:p>
    <w:p w14:paraId="1135D392" w14:textId="64F5F5C7" w:rsidR="005B3634" w:rsidRPr="003B3FA9" w:rsidRDefault="00C60160" w:rsidP="001734D1">
      <w:pPr>
        <w:pStyle w:val="ListParagraph"/>
        <w:ind w:left="709"/>
        <w:rPr>
          <w:b/>
          <w:bCs/>
        </w:rPr>
      </w:pPr>
      <w:r w:rsidRPr="003B3FA9">
        <w:rPr>
          <w:b/>
          <w:bCs/>
        </w:rPr>
        <w:t xml:space="preserve">The </w:t>
      </w:r>
      <w:r w:rsidR="00492C43">
        <w:rPr>
          <w:b/>
          <w:bCs/>
        </w:rPr>
        <w:t xml:space="preserve">Commissions </w:t>
      </w:r>
      <w:r w:rsidRPr="003B3FA9">
        <w:rPr>
          <w:b/>
          <w:bCs/>
        </w:rPr>
        <w:t>recommend that the Windsor Framework D</w:t>
      </w:r>
      <w:r w:rsidR="005C383E" w:rsidRPr="003B3FA9">
        <w:rPr>
          <w:b/>
          <w:bCs/>
        </w:rPr>
        <w:t>emocratic</w:t>
      </w:r>
      <w:r w:rsidRPr="003B3FA9">
        <w:rPr>
          <w:b/>
          <w:bCs/>
        </w:rPr>
        <w:t xml:space="preserve"> S</w:t>
      </w:r>
      <w:r w:rsidR="005C383E" w:rsidRPr="003B3FA9">
        <w:rPr>
          <w:b/>
          <w:bCs/>
        </w:rPr>
        <w:t>crutiny</w:t>
      </w:r>
      <w:r w:rsidRPr="003B3FA9">
        <w:rPr>
          <w:b/>
          <w:bCs/>
        </w:rPr>
        <w:t xml:space="preserve"> Committee undertakes meaningful and timely engagement with </w:t>
      </w:r>
      <w:r w:rsidR="008851A7" w:rsidRPr="003B3FA9">
        <w:rPr>
          <w:b/>
          <w:bCs/>
        </w:rPr>
        <w:t xml:space="preserve">the </w:t>
      </w:r>
      <w:r w:rsidR="008851A7" w:rsidRPr="003B3FA9">
        <w:rPr>
          <w:b/>
          <w:bCs/>
        </w:rPr>
        <w:lastRenderedPageBreak/>
        <w:t xml:space="preserve">Commissions </w:t>
      </w:r>
      <w:r w:rsidR="008851A7">
        <w:rPr>
          <w:b/>
          <w:bCs/>
        </w:rPr>
        <w:t xml:space="preserve">and with </w:t>
      </w:r>
      <w:r w:rsidRPr="003B3FA9">
        <w:rPr>
          <w:b/>
          <w:bCs/>
        </w:rPr>
        <w:t xml:space="preserve">equality and human rights groups in </w:t>
      </w:r>
      <w:r w:rsidR="00AD704C">
        <w:rPr>
          <w:b/>
          <w:bCs/>
        </w:rPr>
        <w:t>NI</w:t>
      </w:r>
      <w:r w:rsidR="00E207F4">
        <w:rPr>
          <w:b/>
          <w:bCs/>
        </w:rPr>
        <w:t>,</w:t>
      </w:r>
      <w:r w:rsidRPr="003B3FA9">
        <w:rPr>
          <w:b/>
          <w:bCs/>
        </w:rPr>
        <w:t xml:space="preserve"> in relation to a proposed EU measure, or a replacement EU Act, </w:t>
      </w:r>
      <w:r w:rsidR="00E036CD" w:rsidRPr="003B3FA9">
        <w:rPr>
          <w:b/>
          <w:bCs/>
        </w:rPr>
        <w:t>to</w:t>
      </w:r>
      <w:r w:rsidRPr="003B3FA9">
        <w:rPr>
          <w:b/>
          <w:bCs/>
        </w:rPr>
        <w:t xml:space="preserve"> seek their views on the implications for the promotion and protection of equality and human rights in </w:t>
      </w:r>
      <w:r w:rsidR="00707A06">
        <w:rPr>
          <w:b/>
          <w:bCs/>
        </w:rPr>
        <w:t>NI</w:t>
      </w:r>
      <w:r w:rsidRPr="003B3FA9">
        <w:rPr>
          <w:b/>
          <w:bCs/>
        </w:rPr>
        <w:t xml:space="preserve">. </w:t>
      </w:r>
    </w:p>
    <w:p w14:paraId="21E906A4" w14:textId="77777777" w:rsidR="00B23ED3" w:rsidRPr="00171A6E" w:rsidRDefault="00B23ED3" w:rsidP="00171A6E">
      <w:pPr>
        <w:rPr>
          <w:b/>
          <w:bCs/>
        </w:rPr>
      </w:pPr>
    </w:p>
    <w:p w14:paraId="7D60FB7B" w14:textId="3F4220F3" w:rsidR="004441E2" w:rsidRPr="00944B2E" w:rsidRDefault="005D0092" w:rsidP="00345658">
      <w:pPr>
        <w:pStyle w:val="Heading1"/>
      </w:pPr>
      <w:bookmarkStart w:id="15" w:name="_Toc196835336"/>
      <w:r>
        <w:t xml:space="preserve">Opportunities and Effectiveness of Stakeholder Engagement under the </w:t>
      </w:r>
      <w:r w:rsidRPr="00117B13">
        <w:t>Windsor</w:t>
      </w:r>
      <w:r>
        <w:t xml:space="preserve"> Framework</w:t>
      </w:r>
      <w:bookmarkEnd w:id="15"/>
      <w:r>
        <w:t xml:space="preserve"> </w:t>
      </w:r>
    </w:p>
    <w:p w14:paraId="482056D4" w14:textId="060C846F" w:rsidR="009C3825" w:rsidRDefault="002766EE" w:rsidP="009C3825">
      <w:pPr>
        <w:pStyle w:val="ListParagraph"/>
        <w:numPr>
          <w:ilvl w:val="1"/>
          <w:numId w:val="16"/>
        </w:numPr>
        <w:ind w:hanging="720"/>
      </w:pPr>
      <w:r w:rsidRPr="009C3825">
        <w:rPr>
          <w:b/>
          <w:bCs/>
        </w:rPr>
        <w:t>Question 11:</w:t>
      </w:r>
      <w:r w:rsidRPr="009C3825">
        <w:t xml:space="preserve"> </w:t>
      </w:r>
      <w:r w:rsidR="006C3AE3" w:rsidRPr="009C3825">
        <w:t xml:space="preserve">What opportunities are available for </w:t>
      </w:r>
      <w:r w:rsidR="00AD704C">
        <w:t xml:space="preserve">NI </w:t>
      </w:r>
      <w:r w:rsidR="006C3AE3" w:rsidRPr="009C3825">
        <w:t xml:space="preserve">business and civil society stakeholders to engage with the UK and/or the EU under the Windsor Framework? </w:t>
      </w:r>
      <w:r w:rsidR="00CE32E8" w:rsidRPr="009C3825">
        <w:t xml:space="preserve">&amp; </w:t>
      </w:r>
      <w:r w:rsidR="00CE32E8" w:rsidRPr="00345658">
        <w:rPr>
          <w:b/>
          <w:bCs/>
        </w:rPr>
        <w:t xml:space="preserve">Question 12: </w:t>
      </w:r>
      <w:r w:rsidR="00CE32E8" w:rsidRPr="009C3825">
        <w:t>How would you assess the effectiveness of the existing structures for engagement with business and civil society stakeholders? Could they be improved in future? If so, how?</w:t>
      </w:r>
    </w:p>
    <w:p w14:paraId="4FEC63B1" w14:textId="77777777" w:rsidR="00345658" w:rsidRDefault="00345658" w:rsidP="00345658">
      <w:pPr>
        <w:pStyle w:val="ListParagraph"/>
        <w:numPr>
          <w:ilvl w:val="0"/>
          <w:numId w:val="0"/>
        </w:numPr>
        <w:ind w:left="720"/>
      </w:pPr>
    </w:p>
    <w:p w14:paraId="3E1FC669" w14:textId="0E56CD96" w:rsidR="00CE32E8" w:rsidRDefault="00345658" w:rsidP="009C3825">
      <w:pPr>
        <w:pStyle w:val="ListParagraph"/>
        <w:numPr>
          <w:ilvl w:val="1"/>
          <w:numId w:val="16"/>
        </w:numPr>
        <w:ind w:hanging="720"/>
      </w:pPr>
      <w:r>
        <w:t xml:space="preserve">As noted above, the </w:t>
      </w:r>
      <w:r w:rsidR="00E90AE0">
        <w:t xml:space="preserve">UK-EU political agreement on a new way forward on the Windsor Framework committed to establishing enhanced mechanisms for UK-EU cooperation, to regularly listen to and engage with people and groups in </w:t>
      </w:r>
      <w:r w:rsidR="00AD704C">
        <w:t xml:space="preserve">NI </w:t>
      </w:r>
      <w:r w:rsidR="00E90AE0">
        <w:t xml:space="preserve">and to establish sub-groups under the Joint Consultative Working Group to ensure transparency, inclusion and local input in decisions that affect </w:t>
      </w:r>
      <w:r w:rsidR="00707A06">
        <w:t>NI</w:t>
      </w:r>
      <w:r w:rsidR="00E90AE0">
        <w:t>.</w:t>
      </w:r>
      <w:r w:rsidR="00E90AE0">
        <w:rPr>
          <w:rStyle w:val="FootnoteReference"/>
        </w:rPr>
        <w:footnoteReference w:id="43"/>
      </w:r>
      <w:r w:rsidR="00E90AE0">
        <w:t xml:space="preserve"> </w:t>
      </w:r>
    </w:p>
    <w:p w14:paraId="56CA4CC7" w14:textId="77777777" w:rsidR="00345658" w:rsidRDefault="00345658" w:rsidP="00345658">
      <w:pPr>
        <w:pStyle w:val="ListParagraph"/>
        <w:numPr>
          <w:ilvl w:val="0"/>
          <w:numId w:val="0"/>
        </w:numPr>
        <w:ind w:left="720"/>
      </w:pPr>
    </w:p>
    <w:p w14:paraId="7F831E40" w14:textId="10321049" w:rsidR="00345658" w:rsidRDefault="008C0A45" w:rsidP="00345658">
      <w:pPr>
        <w:pStyle w:val="ListParagraph"/>
        <w:numPr>
          <w:ilvl w:val="1"/>
          <w:numId w:val="16"/>
        </w:numPr>
        <w:ind w:hanging="720"/>
      </w:pPr>
      <w:r>
        <w:t xml:space="preserve">The Commissions acknowledge that the </w:t>
      </w:r>
      <w:r w:rsidR="007B00A3">
        <w:t xml:space="preserve">changes implemented following the UK-EU political agreement </w:t>
      </w:r>
      <w:r>
        <w:t>mark a step forward in stakeholder engagement. The inclusion of civic voices in the Joint Consultative Working Group</w:t>
      </w:r>
      <w:r w:rsidDel="007A6893">
        <w:t xml:space="preserve"> </w:t>
      </w:r>
      <w:r>
        <w:t>sub-groups and Specialised Committee is a positive development, creating new avenues for NI civil society to raise concerns on human rights and equality. However, several limitations need to be addressed to ensure meaningful and consistent participation.</w:t>
      </w:r>
    </w:p>
    <w:p w14:paraId="585CA49B" w14:textId="77777777" w:rsidR="00B852B1" w:rsidRDefault="00B852B1" w:rsidP="007B00A3">
      <w:pPr>
        <w:pStyle w:val="ListParagraph"/>
        <w:numPr>
          <w:ilvl w:val="0"/>
          <w:numId w:val="0"/>
        </w:numPr>
        <w:ind w:left="720"/>
      </w:pPr>
    </w:p>
    <w:p w14:paraId="783CC2A9" w14:textId="77777777" w:rsidR="00B852B1" w:rsidRPr="00844B4B" w:rsidRDefault="00B852B1" w:rsidP="00B852B1">
      <w:pPr>
        <w:pStyle w:val="Heading3"/>
      </w:pPr>
      <w:bookmarkStart w:id="16" w:name="_Toc196835337"/>
      <w:r>
        <w:t xml:space="preserve">Specialised </w:t>
      </w:r>
      <w:r w:rsidRPr="00844B4B">
        <w:t>Committee on Implementation of the Windsor Framework</w:t>
      </w:r>
      <w:bookmarkEnd w:id="16"/>
      <w:r w:rsidRPr="00844B4B">
        <w:t xml:space="preserve"> </w:t>
      </w:r>
    </w:p>
    <w:p w14:paraId="4E04C295" w14:textId="27DB235E" w:rsidR="00B852B1" w:rsidRDefault="00B852B1" w:rsidP="00B852B1">
      <w:pPr>
        <w:pStyle w:val="ListParagraph"/>
        <w:numPr>
          <w:ilvl w:val="1"/>
          <w:numId w:val="13"/>
        </w:numPr>
        <w:ind w:hanging="720"/>
      </w:pPr>
      <w:r>
        <w:t xml:space="preserve">The Specialised Committee exists to oversee the Windsor Framework’s operation and considers any matter of relevance brought to its attention by NI institutions. </w:t>
      </w:r>
      <w:r w:rsidR="004C578C">
        <w:t>B</w:t>
      </w:r>
      <w:r>
        <w:t>oth Commissions are empowered to raise relevant human rights and equality issues with the Specialised Committee.</w:t>
      </w:r>
      <w:r w:rsidR="00417B00">
        <w:rPr>
          <w:rStyle w:val="FootnoteReference"/>
        </w:rPr>
        <w:footnoteReference w:id="44"/>
      </w:r>
      <w:r>
        <w:t xml:space="preserve"> </w:t>
      </w:r>
    </w:p>
    <w:p w14:paraId="27A9AB44" w14:textId="77777777" w:rsidR="00B852B1" w:rsidRDefault="00B852B1" w:rsidP="00B852B1">
      <w:pPr>
        <w:pStyle w:val="ListParagraph"/>
        <w:numPr>
          <w:ilvl w:val="0"/>
          <w:numId w:val="0"/>
        </w:numPr>
        <w:ind w:left="720"/>
      </w:pPr>
    </w:p>
    <w:p w14:paraId="75D1CAB2" w14:textId="77777777" w:rsidR="007F2993" w:rsidRDefault="00B852B1" w:rsidP="007F2993">
      <w:pPr>
        <w:pStyle w:val="ListParagraph"/>
        <w:numPr>
          <w:ilvl w:val="1"/>
          <w:numId w:val="13"/>
        </w:numPr>
        <w:ind w:hanging="720"/>
      </w:pPr>
      <w:r>
        <w:t xml:space="preserve">As noted above, the Commissions welcome recent informal engagement by the Specialised Committee with human rights and equality stakeholders.  However, concerns have been raised with the Commission about how this engagement is structured. As it is informal engagement, there are no formal action points arising out of discussions or in response to concerns raised by civil society stakeholders. </w:t>
      </w:r>
      <w:r w:rsidR="001239F1">
        <w:t xml:space="preserve">  </w:t>
      </w:r>
      <w:r w:rsidR="007F2993">
        <w:t>W</w:t>
      </w:r>
      <w:r w:rsidR="007F2993" w:rsidRPr="007F2993">
        <w:t xml:space="preserve">hile the informal nature of this engagement </w:t>
      </w:r>
      <w:r w:rsidR="007F2993">
        <w:t xml:space="preserve">allows </w:t>
      </w:r>
      <w:r w:rsidR="007F2993" w:rsidRPr="007F2993">
        <w:t xml:space="preserve">for the Specialised Committee to hear directly from </w:t>
      </w:r>
      <w:r w:rsidR="007F2993">
        <w:t>a</w:t>
      </w:r>
      <w:r w:rsidR="007F2993" w:rsidRPr="007F2993">
        <w:t xml:space="preserve">ffected stakeholders, it can create a challenge for civil society stakeholders to sustain the valuable engagement of their membership. </w:t>
      </w:r>
      <w:r>
        <w:t>Further concerns have been raised that the structure of the engagement may not be adequately accessible to accommodate a range of equality an</w:t>
      </w:r>
      <w:r w:rsidR="007D2A90">
        <w:t>d</w:t>
      </w:r>
      <w:r>
        <w:t xml:space="preserve"> human rights stakeholders. </w:t>
      </w:r>
      <w:r w:rsidR="007D2A90">
        <w:t>A</w:t>
      </w:r>
      <w:r>
        <w:t xml:space="preserve"> more formal and consistent approach </w:t>
      </w:r>
      <w:r w:rsidR="007D2A90">
        <w:t xml:space="preserve">would </w:t>
      </w:r>
      <w:r>
        <w:t>help to strengthen commitments made to inclusion of NI stakeholder voices.</w:t>
      </w:r>
    </w:p>
    <w:p w14:paraId="0C5A0B33" w14:textId="77777777" w:rsidR="007F2993" w:rsidRDefault="007F2993" w:rsidP="007F2993">
      <w:pPr>
        <w:pStyle w:val="ListParagraph"/>
        <w:numPr>
          <w:ilvl w:val="0"/>
          <w:numId w:val="0"/>
        </w:numPr>
        <w:ind w:left="720"/>
      </w:pPr>
    </w:p>
    <w:p w14:paraId="76036E63" w14:textId="0E272D37" w:rsidR="007F2993" w:rsidRPr="00F20032" w:rsidRDefault="007F2993" w:rsidP="007F2993">
      <w:pPr>
        <w:pStyle w:val="ListParagraph"/>
        <w:numPr>
          <w:ilvl w:val="1"/>
          <w:numId w:val="13"/>
        </w:numPr>
        <w:ind w:hanging="720"/>
      </w:pPr>
      <w:r>
        <w:t>The Commissions continue to urge that any</w:t>
      </w:r>
      <w:r w:rsidRPr="00F20032">
        <w:t xml:space="preserve"> engagement </w:t>
      </w:r>
      <w:r w:rsidR="00A8264E">
        <w:t xml:space="preserve">by the Specialised Committee </w:t>
      </w:r>
      <w:r w:rsidRPr="00F20032">
        <w:t xml:space="preserve">with the Commissions and NI equality and human rights stakeholders </w:t>
      </w:r>
      <w:r w:rsidRPr="007F2993">
        <w:rPr>
          <w:u w:val="single"/>
        </w:rPr>
        <w:t xml:space="preserve">specifically include consideration of </w:t>
      </w:r>
      <w:r w:rsidR="00A8264E">
        <w:rPr>
          <w:u w:val="single"/>
        </w:rPr>
        <w:t xml:space="preserve">Windsor Framework </w:t>
      </w:r>
      <w:r w:rsidRPr="007F2993">
        <w:rPr>
          <w:u w:val="single"/>
        </w:rPr>
        <w:t xml:space="preserve">Article 2 </w:t>
      </w:r>
      <w:r w:rsidR="00A8264E">
        <w:t xml:space="preserve">and </w:t>
      </w:r>
      <w:r w:rsidRPr="00F20032">
        <w:t>equality</w:t>
      </w:r>
      <w:r w:rsidR="00A8264E">
        <w:t xml:space="preserve"> and </w:t>
      </w:r>
      <w:r w:rsidRPr="00F20032">
        <w:t>human rights in the context of cross</w:t>
      </w:r>
      <w:r w:rsidR="00A8264E">
        <w:t>-</w:t>
      </w:r>
      <w:r w:rsidRPr="00F20032">
        <w:t xml:space="preserve">border issues between Ireland and </w:t>
      </w:r>
      <w:r w:rsidR="00A8264E">
        <w:t>NI</w:t>
      </w:r>
      <w:r w:rsidRPr="00F20032">
        <w:t>.</w:t>
      </w:r>
    </w:p>
    <w:p w14:paraId="592DB9C8" w14:textId="77777777" w:rsidR="00B852B1" w:rsidRDefault="00B852B1" w:rsidP="00B852B1">
      <w:pPr>
        <w:pStyle w:val="ListParagraph"/>
        <w:numPr>
          <w:ilvl w:val="0"/>
          <w:numId w:val="0"/>
        </w:numPr>
        <w:ind w:left="720"/>
      </w:pPr>
    </w:p>
    <w:p w14:paraId="60147FA1" w14:textId="4F761F67" w:rsidR="00B852B1" w:rsidRPr="00B852B1" w:rsidRDefault="00B852B1" w:rsidP="00B852B1">
      <w:pPr>
        <w:pStyle w:val="ListParagraph"/>
        <w:numPr>
          <w:ilvl w:val="1"/>
          <w:numId w:val="13"/>
        </w:numPr>
        <w:ind w:hanging="720"/>
        <w:rPr>
          <w:b/>
          <w:bCs/>
        </w:rPr>
      </w:pPr>
      <w:r w:rsidRPr="00281C93">
        <w:rPr>
          <w:b/>
          <w:bCs/>
        </w:rPr>
        <w:t xml:space="preserve">The Commissions recommend that the secretariat of the Specialised Committee establishes a formal communication channel </w:t>
      </w:r>
      <w:r w:rsidRPr="00281C93">
        <w:rPr>
          <w:rFonts w:ascii="Calibri" w:hAnsi="Calibri" w:cs="Calibri"/>
          <w:b/>
          <w:bCs/>
        </w:rPr>
        <w:t>with the Commissions</w:t>
      </w:r>
      <w:r w:rsidRPr="00281C93">
        <w:rPr>
          <w:b/>
          <w:bCs/>
        </w:rPr>
        <w:t xml:space="preserve"> to ensure early engagement on anticipated changes or additions to legislation on matters relating to equality and human rights in </w:t>
      </w:r>
      <w:r w:rsidR="00257DFF">
        <w:rPr>
          <w:b/>
          <w:bCs/>
        </w:rPr>
        <w:t>NI</w:t>
      </w:r>
      <w:r w:rsidRPr="00281C93">
        <w:rPr>
          <w:b/>
          <w:bCs/>
        </w:rPr>
        <w:t xml:space="preserve">, including Windsor Framework Article 2. </w:t>
      </w:r>
    </w:p>
    <w:p w14:paraId="18E40AE8" w14:textId="77777777" w:rsidR="00345658" w:rsidRDefault="00345658" w:rsidP="00345658">
      <w:pPr>
        <w:pStyle w:val="ListParagraph"/>
        <w:numPr>
          <w:ilvl w:val="0"/>
          <w:numId w:val="0"/>
        </w:numPr>
        <w:ind w:left="720"/>
      </w:pPr>
    </w:p>
    <w:p w14:paraId="24F8285F" w14:textId="77777777" w:rsidR="000C61BA" w:rsidRDefault="00E90AE0" w:rsidP="00345658">
      <w:pPr>
        <w:pStyle w:val="Heading3"/>
      </w:pPr>
      <w:bookmarkStart w:id="17" w:name="_Toc196835338"/>
      <w:r>
        <w:t>Joint Consultative Working Group</w:t>
      </w:r>
      <w:bookmarkEnd w:id="17"/>
    </w:p>
    <w:p w14:paraId="2E402DEF" w14:textId="00D40611" w:rsidR="00CE32E8" w:rsidRDefault="00771502" w:rsidP="00771502">
      <w:pPr>
        <w:pStyle w:val="ListParagraph"/>
        <w:numPr>
          <w:ilvl w:val="1"/>
          <w:numId w:val="13"/>
        </w:numPr>
        <w:ind w:hanging="720"/>
      </w:pPr>
      <w:r>
        <w:t xml:space="preserve">As noted above, </w:t>
      </w:r>
      <w:r w:rsidR="002B6536">
        <w:t xml:space="preserve">the </w:t>
      </w:r>
      <w:r w:rsidR="00E90AE0">
        <w:t xml:space="preserve">Joint Consultative Working Group </w:t>
      </w:r>
      <w:r>
        <w:t xml:space="preserve">was </w:t>
      </w:r>
      <w:r w:rsidR="00E90AE0">
        <w:t xml:space="preserve">established under the Windsor Framework to facilitate an exchange of information regarding the implementation of the </w:t>
      </w:r>
      <w:r>
        <w:t xml:space="preserve">Windsor </w:t>
      </w:r>
      <w:r w:rsidR="00E90AE0">
        <w:t xml:space="preserve">Framework in </w:t>
      </w:r>
      <w:r w:rsidR="00257DFF">
        <w:t>NI</w:t>
      </w:r>
      <w:r w:rsidR="00E90AE0">
        <w:t xml:space="preserve">. </w:t>
      </w:r>
      <w:r w:rsidR="007A34C3">
        <w:t xml:space="preserve">The Commissions have met separately with the Co-Chairs of the Joint Consultative Working Group. </w:t>
      </w:r>
      <w:r w:rsidR="00E90AE0">
        <w:t xml:space="preserve">Sub-groups were introduced to </w:t>
      </w:r>
      <w:r>
        <w:t>support the work of Joint Consultative Working Group i</w:t>
      </w:r>
      <w:r w:rsidRPr="00771502">
        <w:t>n carrying out its functions as an effective forum for the exchange of information and mutual consultation</w:t>
      </w:r>
      <w:r w:rsidR="003D532D">
        <w:t>.</w:t>
      </w:r>
      <w:r>
        <w:rPr>
          <w:rStyle w:val="FootnoteReference"/>
        </w:rPr>
        <w:footnoteReference w:id="45"/>
      </w:r>
      <w:r w:rsidR="00E90AE0">
        <w:t xml:space="preserve"> In practice, engagement with </w:t>
      </w:r>
      <w:r w:rsidR="00A8264E">
        <w:t>NI</w:t>
      </w:r>
      <w:r w:rsidR="00E90AE0">
        <w:t xml:space="preserve">’s civil </w:t>
      </w:r>
      <w:r w:rsidR="00E90AE0">
        <w:lastRenderedPageBreak/>
        <w:t>societ</w:t>
      </w:r>
      <w:r w:rsidR="003D532D">
        <w:t>y</w:t>
      </w:r>
      <w:r w:rsidR="00E90AE0">
        <w:t xml:space="preserve"> related to equality and human rights</w:t>
      </w:r>
      <w:r w:rsidR="003D532D">
        <w:t xml:space="preserve"> through the Joint Consultative Working Group</w:t>
      </w:r>
      <w:r w:rsidR="00E90AE0">
        <w:t xml:space="preserve"> has been limited. </w:t>
      </w:r>
    </w:p>
    <w:p w14:paraId="059AEE63" w14:textId="77777777" w:rsidR="009E0865" w:rsidRDefault="009E0865" w:rsidP="009E0865">
      <w:pPr>
        <w:pStyle w:val="ListParagraph"/>
        <w:numPr>
          <w:ilvl w:val="0"/>
          <w:numId w:val="0"/>
        </w:numPr>
        <w:ind w:left="720"/>
      </w:pPr>
    </w:p>
    <w:p w14:paraId="59C6F259" w14:textId="459A633D" w:rsidR="00CE32E8" w:rsidRDefault="00455DD5" w:rsidP="001942CC">
      <w:pPr>
        <w:pStyle w:val="ListParagraph"/>
        <w:numPr>
          <w:ilvl w:val="1"/>
          <w:numId w:val="13"/>
        </w:numPr>
        <w:ind w:hanging="720"/>
      </w:pPr>
      <w:r>
        <w:t>The Commissions</w:t>
      </w:r>
      <w:r w:rsidR="004747D0">
        <w:t xml:space="preserve"> </w:t>
      </w:r>
      <w:r w:rsidR="00212FD7">
        <w:t xml:space="preserve">have previously highlighted </w:t>
      </w:r>
      <w:r>
        <w:t xml:space="preserve">that </w:t>
      </w:r>
      <w:r w:rsidR="00AC0DAA">
        <w:t>establish</w:t>
      </w:r>
      <w:r>
        <w:t>ing</w:t>
      </w:r>
      <w:r w:rsidR="00212FD7">
        <w:t xml:space="preserve"> a structured sub-group within the Joint Consultative Working Group focuse</w:t>
      </w:r>
      <w:r>
        <w:t>d</w:t>
      </w:r>
      <w:r w:rsidR="00212FD7">
        <w:t xml:space="preserve"> on issues related to Windsor Framework Article 2 and equality and human rights in NI </w:t>
      </w:r>
      <w:r w:rsidR="00AC0DAA">
        <w:t>would be beneficial.</w:t>
      </w:r>
      <w:r w:rsidR="00911E9E">
        <w:rPr>
          <w:rStyle w:val="FootnoteReference"/>
        </w:rPr>
        <w:footnoteReference w:id="46"/>
      </w:r>
      <w:r w:rsidR="00AC0DAA">
        <w:t xml:space="preserve"> This would </w:t>
      </w:r>
      <w:r w:rsidR="00652E87">
        <w:t xml:space="preserve">facilitate </w:t>
      </w:r>
      <w:r w:rsidR="007A34C3">
        <w:t xml:space="preserve">consideration at an early stage of </w:t>
      </w:r>
      <w:r w:rsidR="00AC0DAA">
        <w:t>the implications of proposed EU measures on the promotion and protection of equality and human rights</w:t>
      </w:r>
      <w:r w:rsidR="00652E87">
        <w:t xml:space="preserve"> in NI, including </w:t>
      </w:r>
      <w:r w:rsidRPr="00F20032">
        <w:t>in the context of cross</w:t>
      </w:r>
      <w:r w:rsidR="00FB2744">
        <w:t>-</w:t>
      </w:r>
      <w:r w:rsidRPr="00F20032">
        <w:t xml:space="preserve">border issues between Ireland and </w:t>
      </w:r>
      <w:r>
        <w:t xml:space="preserve">NI. </w:t>
      </w:r>
    </w:p>
    <w:p w14:paraId="7A7C1BC1" w14:textId="77777777" w:rsidR="00FB2744" w:rsidRDefault="00FB2744" w:rsidP="00FB2744"/>
    <w:p w14:paraId="23EA9C55" w14:textId="09C5684F" w:rsidR="00FB2744" w:rsidRDefault="007A34C3" w:rsidP="001942CC">
      <w:pPr>
        <w:pStyle w:val="ListParagraph"/>
        <w:numPr>
          <w:ilvl w:val="1"/>
          <w:numId w:val="13"/>
        </w:numPr>
        <w:ind w:hanging="720"/>
      </w:pPr>
      <w:proofErr w:type="gramStart"/>
      <w:r>
        <w:t>In light of</w:t>
      </w:r>
      <w:proofErr w:type="gramEnd"/>
      <w:r>
        <w:t xml:space="preserve"> increased engagement between the Specialised Committee and NI equality and human rights stakeholders, the </w:t>
      </w:r>
      <w:r w:rsidR="00FB2744">
        <w:t xml:space="preserve">Commissions continue to keep </w:t>
      </w:r>
      <w:r>
        <w:t xml:space="preserve">engagement with the Joint Consultative Working Group </w:t>
      </w:r>
      <w:r w:rsidR="00FB2744">
        <w:t>under review</w:t>
      </w:r>
      <w:r>
        <w:t xml:space="preserve">.  </w:t>
      </w:r>
    </w:p>
    <w:p w14:paraId="6EC080C4" w14:textId="77777777" w:rsidR="003F0E3F" w:rsidRDefault="003F0E3F" w:rsidP="003F0E3F">
      <w:pPr>
        <w:pStyle w:val="ListParagraph"/>
        <w:numPr>
          <w:ilvl w:val="0"/>
          <w:numId w:val="0"/>
        </w:numPr>
        <w:ind w:left="720"/>
      </w:pPr>
    </w:p>
    <w:p w14:paraId="38B7247F" w14:textId="3C520A53" w:rsidR="000D29E7" w:rsidRPr="000D29E7" w:rsidRDefault="000D29E7" w:rsidP="008A6805">
      <w:pPr>
        <w:pStyle w:val="Heading1"/>
      </w:pPr>
      <w:bookmarkStart w:id="18" w:name="_Toc196835339"/>
      <w:r>
        <w:t>EU Commission Work Programme</w:t>
      </w:r>
      <w:bookmarkEnd w:id="18"/>
      <w:r>
        <w:t xml:space="preserve"> </w:t>
      </w:r>
    </w:p>
    <w:p w14:paraId="2BEFD829" w14:textId="5D6D0B8F" w:rsidR="001C14CE" w:rsidRDefault="001C14CE" w:rsidP="001734D1">
      <w:pPr>
        <w:pStyle w:val="ListParagraph"/>
        <w:ind w:left="709"/>
      </w:pPr>
      <w:r w:rsidRPr="00753F48">
        <w:rPr>
          <w:b/>
          <w:bCs/>
        </w:rPr>
        <w:t>Question 14:</w:t>
      </w:r>
      <w:r w:rsidRPr="000D29E7">
        <w:t xml:space="preserve"> </w:t>
      </w:r>
      <w:r w:rsidR="0063108B" w:rsidRPr="000D29E7">
        <w:t xml:space="preserve">When the Windsor Framework was announced, the European Commission </w:t>
      </w:r>
      <w:r w:rsidR="007F5657" w:rsidRPr="000D29E7">
        <w:t>committed</w:t>
      </w:r>
      <w:r w:rsidR="0063108B" w:rsidRPr="000D29E7">
        <w:t xml:space="preserve"> to an annual presentation on upcoming policy initiatives and legislative proposals for </w:t>
      </w:r>
      <w:r w:rsidR="00AD704C">
        <w:t xml:space="preserve">NI </w:t>
      </w:r>
      <w:r w:rsidR="0063108B" w:rsidRPr="000D29E7">
        <w:t>stakeholders, including engagement on the Commission Work Programme. Is this engagement taking place</w:t>
      </w:r>
      <w:r w:rsidR="007F5657" w:rsidRPr="000D29E7">
        <w:t xml:space="preserve"> and, if so, how effective has it been for businesses and civil society? </w:t>
      </w:r>
    </w:p>
    <w:p w14:paraId="70460D33" w14:textId="77777777" w:rsidR="000D29E7" w:rsidRPr="000D29E7" w:rsidRDefault="000D29E7" w:rsidP="001734D1">
      <w:pPr>
        <w:pStyle w:val="ListParagraph"/>
        <w:numPr>
          <w:ilvl w:val="0"/>
          <w:numId w:val="0"/>
        </w:numPr>
        <w:ind w:left="709"/>
      </w:pPr>
    </w:p>
    <w:p w14:paraId="18A7511B" w14:textId="1A4FCC6F" w:rsidR="00570436" w:rsidRDefault="00023695" w:rsidP="001734D1">
      <w:pPr>
        <w:pStyle w:val="ListParagraph"/>
        <w:ind w:left="709"/>
      </w:pPr>
      <w:r>
        <w:t>In March 202</w:t>
      </w:r>
      <w:r w:rsidR="00CE7D6D">
        <w:t>5</w:t>
      </w:r>
      <w:r>
        <w:t xml:space="preserve">, the </w:t>
      </w:r>
      <w:r w:rsidR="000D29E7">
        <w:t>EU Commission hosted a</w:t>
      </w:r>
      <w:r w:rsidR="00570436">
        <w:t xml:space="preserve">n online </w:t>
      </w:r>
      <w:r w:rsidR="000D29E7">
        <w:t>seminar for NI stakeholders on the EU Commission Work Programme for 2025 and consultation opportunities</w:t>
      </w:r>
      <w:r w:rsidR="00570436">
        <w:t>.</w:t>
      </w:r>
      <w:r>
        <w:t xml:space="preserve"> </w:t>
      </w:r>
      <w:r w:rsidR="00570436">
        <w:t xml:space="preserve">Attendance by NI stakeholders was facilitated by the Office of the NI Executive in Brussels. </w:t>
      </w:r>
      <w:r w:rsidR="000D29E7">
        <w:t xml:space="preserve"> </w:t>
      </w:r>
      <w:r w:rsidR="00570436">
        <w:t>The seminar covered an overview of initiatives</w:t>
      </w:r>
      <w:r w:rsidR="00C8151B">
        <w:t xml:space="preserve"> considered</w:t>
      </w:r>
      <w:r w:rsidR="00570436">
        <w:t xml:space="preserve"> to be relevant to NI and </w:t>
      </w:r>
      <w:r w:rsidR="00C8151B">
        <w:t xml:space="preserve">to highlight the </w:t>
      </w:r>
      <w:r w:rsidR="00570436">
        <w:t xml:space="preserve">opportunities for stakeholder engagement in the development of </w:t>
      </w:r>
      <w:r w:rsidR="00403A81">
        <w:t xml:space="preserve">specific </w:t>
      </w:r>
      <w:r w:rsidR="00570436">
        <w:t>EU polic</w:t>
      </w:r>
      <w:r w:rsidR="00403A81">
        <w:t>ies</w:t>
      </w:r>
      <w:r w:rsidR="00570436">
        <w:t xml:space="preserve"> and legislation</w:t>
      </w:r>
      <w:r w:rsidR="00C8151B">
        <w:t xml:space="preserve">. Participants were also offered </w:t>
      </w:r>
      <w:r w:rsidR="00570436">
        <w:t>the opportunity to</w:t>
      </w:r>
      <w:r>
        <w:t xml:space="preserve"> </w:t>
      </w:r>
      <w:r w:rsidR="00570436">
        <w:t>ask questions</w:t>
      </w:r>
      <w:r>
        <w:t xml:space="preserve"> and get further information</w:t>
      </w:r>
      <w:r w:rsidR="00570436">
        <w:t>.</w:t>
      </w:r>
    </w:p>
    <w:p w14:paraId="71021195" w14:textId="75249CFB" w:rsidR="000D29E7" w:rsidRDefault="00570436" w:rsidP="001734D1">
      <w:pPr>
        <w:pStyle w:val="ListParagraph"/>
        <w:numPr>
          <w:ilvl w:val="0"/>
          <w:numId w:val="0"/>
        </w:numPr>
        <w:ind w:left="709"/>
      </w:pPr>
      <w:r>
        <w:t xml:space="preserve">   </w:t>
      </w:r>
    </w:p>
    <w:p w14:paraId="62D1E645" w14:textId="5F2D8140" w:rsidR="007F5657" w:rsidRDefault="004645B6" w:rsidP="001734D1">
      <w:pPr>
        <w:pStyle w:val="ListParagraph"/>
        <w:ind w:left="709"/>
      </w:pPr>
      <w:r w:rsidRPr="000D29E7">
        <w:t xml:space="preserve">The </w:t>
      </w:r>
      <w:r w:rsidR="00570436">
        <w:t xml:space="preserve">Commissions </w:t>
      </w:r>
      <w:r w:rsidRPr="000D29E7">
        <w:t xml:space="preserve">participated in </w:t>
      </w:r>
      <w:r w:rsidR="001942CC">
        <w:t>this</w:t>
      </w:r>
      <w:r w:rsidRPr="000D29E7">
        <w:t xml:space="preserve"> annual presentation by the </w:t>
      </w:r>
      <w:r w:rsidR="00023695">
        <w:t xml:space="preserve">EU </w:t>
      </w:r>
      <w:r w:rsidRPr="000D29E7">
        <w:t>Commission</w:t>
      </w:r>
      <w:r w:rsidR="001942CC">
        <w:t xml:space="preserve">, along with a wide range of NI stakeholders. </w:t>
      </w:r>
      <w:r w:rsidR="00284BA6" w:rsidRPr="000D29E7">
        <w:t xml:space="preserve">The Commissions welcomed these sessions and the opportunity they present for stakeholders to </w:t>
      </w:r>
      <w:r w:rsidR="00284BA6" w:rsidRPr="000D29E7">
        <w:lastRenderedPageBreak/>
        <w:t xml:space="preserve">understand the legislative developments that may impact </w:t>
      </w:r>
      <w:r w:rsidR="00AD704C">
        <w:t xml:space="preserve">NI </w:t>
      </w:r>
      <w:r w:rsidR="00284BA6" w:rsidRPr="000D29E7">
        <w:t xml:space="preserve">under </w:t>
      </w:r>
      <w:r w:rsidR="00023695">
        <w:t xml:space="preserve">Windsor </w:t>
      </w:r>
      <w:r w:rsidR="001942CC">
        <w:t>Framework</w:t>
      </w:r>
      <w:r w:rsidR="00023695">
        <w:t xml:space="preserve"> </w:t>
      </w:r>
      <w:r w:rsidR="00284BA6" w:rsidRPr="000D29E7">
        <w:t xml:space="preserve">Article 2. </w:t>
      </w:r>
    </w:p>
    <w:p w14:paraId="229CD77C" w14:textId="77777777" w:rsidR="00154103" w:rsidRDefault="00154103" w:rsidP="001734D1">
      <w:pPr>
        <w:pStyle w:val="ListParagraph"/>
        <w:numPr>
          <w:ilvl w:val="0"/>
          <w:numId w:val="0"/>
        </w:numPr>
        <w:ind w:left="709"/>
      </w:pPr>
    </w:p>
    <w:p w14:paraId="16BA22D2" w14:textId="098850B2" w:rsidR="00154103" w:rsidRDefault="00154103" w:rsidP="001734D1">
      <w:pPr>
        <w:pStyle w:val="ListParagraph"/>
        <w:ind w:left="709"/>
      </w:pPr>
      <w:r w:rsidRPr="00154103">
        <w:t>T</w:t>
      </w:r>
      <w:r w:rsidR="0054190D">
        <w:t>o facilitate ea</w:t>
      </w:r>
      <w:r w:rsidR="00C24435">
        <w:t>r</w:t>
      </w:r>
      <w:r w:rsidR="0054190D">
        <w:t>ly consideration of</w:t>
      </w:r>
      <w:r w:rsidR="00E37F19">
        <w:t xml:space="preserve"> equality and</w:t>
      </w:r>
      <w:r w:rsidR="0054190D">
        <w:t xml:space="preserve"> human rights impacts in NI, t</w:t>
      </w:r>
      <w:r w:rsidRPr="00154103">
        <w:t>he Commissions</w:t>
      </w:r>
      <w:r w:rsidR="0054190D">
        <w:t xml:space="preserve"> have previously</w:t>
      </w:r>
      <w:r w:rsidRPr="00154103">
        <w:t xml:space="preserve"> recommend</w:t>
      </w:r>
      <w:r w:rsidR="0054190D">
        <w:t>ed</w:t>
      </w:r>
      <w:r w:rsidRPr="00154103">
        <w:t xml:space="preserve"> that the </w:t>
      </w:r>
      <w:r w:rsidR="00B17BB7">
        <w:t xml:space="preserve">EU </w:t>
      </w:r>
      <w:r w:rsidRPr="00154103">
        <w:t>Commission’s impact assessment, as regards NI, of draft EU proposals include a specific assessment of the impact on the promotion and protection of equality and human rights.</w:t>
      </w:r>
      <w:r w:rsidR="0037549F">
        <w:rPr>
          <w:rStyle w:val="FootnoteReference"/>
        </w:rPr>
        <w:footnoteReference w:id="47"/>
      </w:r>
      <w:r w:rsidR="0037549F">
        <w:t xml:space="preserve"> </w:t>
      </w:r>
      <w:r w:rsidRPr="00154103">
        <w:t xml:space="preserve"> </w:t>
      </w:r>
    </w:p>
    <w:p w14:paraId="575F348A" w14:textId="77777777" w:rsidR="008768BE" w:rsidRDefault="008768BE" w:rsidP="001734D1">
      <w:pPr>
        <w:pStyle w:val="ListParagraph"/>
        <w:numPr>
          <w:ilvl w:val="0"/>
          <w:numId w:val="0"/>
        </w:numPr>
        <w:ind w:left="709"/>
      </w:pPr>
    </w:p>
    <w:p w14:paraId="3EBE0984" w14:textId="1A7A2EF6" w:rsidR="008B6670" w:rsidRPr="00E37F19" w:rsidRDefault="00C24435" w:rsidP="001734D1">
      <w:pPr>
        <w:pStyle w:val="ListParagraph"/>
        <w:ind w:left="709"/>
        <w:rPr>
          <w:b/>
          <w:bCs/>
        </w:rPr>
      </w:pPr>
      <w:r w:rsidRPr="00C24435">
        <w:rPr>
          <w:b/>
          <w:bCs/>
        </w:rPr>
        <w:t>The Committee may wish to seek clarity from the UK</w:t>
      </w:r>
      <w:r>
        <w:rPr>
          <w:b/>
          <w:bCs/>
        </w:rPr>
        <w:t xml:space="preserve"> Government</w:t>
      </w:r>
      <w:r w:rsidRPr="00C24435">
        <w:rPr>
          <w:b/>
          <w:bCs/>
        </w:rPr>
        <w:t xml:space="preserve"> on what consideration is given </w:t>
      </w:r>
      <w:r w:rsidR="00B17BB7" w:rsidRPr="00C24435">
        <w:rPr>
          <w:b/>
          <w:bCs/>
        </w:rPr>
        <w:t xml:space="preserve">to equality and </w:t>
      </w:r>
      <w:r w:rsidR="00B17BB7">
        <w:rPr>
          <w:b/>
          <w:bCs/>
        </w:rPr>
        <w:t>human rights</w:t>
      </w:r>
      <w:r w:rsidR="00B17BB7" w:rsidRPr="00C24435">
        <w:rPr>
          <w:b/>
          <w:bCs/>
        </w:rPr>
        <w:t xml:space="preserve"> in NI </w:t>
      </w:r>
      <w:r w:rsidRPr="00C24435">
        <w:rPr>
          <w:b/>
          <w:bCs/>
        </w:rPr>
        <w:t xml:space="preserve">by the </w:t>
      </w:r>
      <w:r w:rsidR="00B17BB7">
        <w:rPr>
          <w:b/>
          <w:bCs/>
        </w:rPr>
        <w:t xml:space="preserve">EU </w:t>
      </w:r>
      <w:r w:rsidRPr="00C24435">
        <w:rPr>
          <w:b/>
          <w:bCs/>
        </w:rPr>
        <w:t xml:space="preserve">Commission in impact assessments of </w:t>
      </w:r>
      <w:r w:rsidR="003F6BEC">
        <w:rPr>
          <w:b/>
          <w:bCs/>
        </w:rPr>
        <w:t>d</w:t>
      </w:r>
      <w:r w:rsidRPr="00C24435">
        <w:rPr>
          <w:b/>
          <w:bCs/>
        </w:rPr>
        <w:t>raft EU proposals</w:t>
      </w:r>
      <w:r w:rsidR="00E37F19">
        <w:rPr>
          <w:b/>
          <w:bCs/>
        </w:rPr>
        <w:t>.</w:t>
      </w:r>
    </w:p>
    <w:p w14:paraId="41B69808" w14:textId="77777777" w:rsidR="008A6805" w:rsidRPr="000D29E7" w:rsidRDefault="008A6805" w:rsidP="001734D1">
      <w:pPr>
        <w:pStyle w:val="ListParagraph"/>
        <w:numPr>
          <w:ilvl w:val="0"/>
          <w:numId w:val="0"/>
        </w:numPr>
        <w:ind w:left="709"/>
      </w:pPr>
    </w:p>
    <w:p w14:paraId="52813759" w14:textId="77777777" w:rsidR="00497B69" w:rsidRDefault="00497B69">
      <w:pPr>
        <w:spacing w:after="160" w:line="259" w:lineRule="auto"/>
        <w:rPr>
          <w:b/>
          <w:bCs/>
        </w:rPr>
      </w:pPr>
      <w:r>
        <w:rPr>
          <w:b/>
          <w:bCs/>
        </w:rPr>
        <w:br w:type="page"/>
      </w:r>
    </w:p>
    <w:p w14:paraId="0C336F41" w14:textId="77777777" w:rsidR="00497B69" w:rsidRDefault="00497B69" w:rsidP="00497B69">
      <w:pPr>
        <w:pStyle w:val="ListParagraph"/>
        <w:numPr>
          <w:ilvl w:val="0"/>
          <w:numId w:val="0"/>
        </w:numPr>
        <w:ind w:left="720"/>
        <w:jc w:val="center"/>
        <w:rPr>
          <w:b/>
          <w:bCs/>
        </w:rPr>
      </w:pPr>
    </w:p>
    <w:p w14:paraId="2801791F" w14:textId="77777777" w:rsidR="00497B69" w:rsidRDefault="00497B69" w:rsidP="00497B69">
      <w:pPr>
        <w:pStyle w:val="ListParagraph"/>
        <w:numPr>
          <w:ilvl w:val="0"/>
          <w:numId w:val="0"/>
        </w:numPr>
        <w:ind w:left="720"/>
        <w:jc w:val="center"/>
        <w:rPr>
          <w:b/>
          <w:bCs/>
        </w:rPr>
      </w:pPr>
    </w:p>
    <w:p w14:paraId="4BD1E883" w14:textId="77777777" w:rsidR="00497B69" w:rsidRDefault="00497B69" w:rsidP="00497B69">
      <w:pPr>
        <w:pStyle w:val="ListParagraph"/>
        <w:numPr>
          <w:ilvl w:val="0"/>
          <w:numId w:val="0"/>
        </w:numPr>
        <w:ind w:left="720"/>
        <w:jc w:val="center"/>
        <w:rPr>
          <w:b/>
          <w:bCs/>
        </w:rPr>
      </w:pPr>
    </w:p>
    <w:p w14:paraId="5E7FD8EF" w14:textId="77777777" w:rsidR="00497B69" w:rsidRDefault="00497B69" w:rsidP="00497B69">
      <w:pPr>
        <w:pStyle w:val="ListParagraph"/>
        <w:numPr>
          <w:ilvl w:val="0"/>
          <w:numId w:val="0"/>
        </w:numPr>
        <w:ind w:left="720"/>
        <w:jc w:val="center"/>
        <w:rPr>
          <w:b/>
          <w:bCs/>
        </w:rPr>
      </w:pPr>
    </w:p>
    <w:p w14:paraId="76D0CCE9" w14:textId="77777777" w:rsidR="00497B69" w:rsidRDefault="00497B69" w:rsidP="00497B69">
      <w:pPr>
        <w:pStyle w:val="ListParagraph"/>
        <w:numPr>
          <w:ilvl w:val="0"/>
          <w:numId w:val="0"/>
        </w:numPr>
        <w:ind w:left="720"/>
        <w:jc w:val="center"/>
        <w:rPr>
          <w:b/>
          <w:bCs/>
        </w:rPr>
      </w:pPr>
    </w:p>
    <w:p w14:paraId="3D1FA1AE" w14:textId="77777777" w:rsidR="00497B69" w:rsidRDefault="00497B69" w:rsidP="00497B69">
      <w:pPr>
        <w:pStyle w:val="ListParagraph"/>
        <w:numPr>
          <w:ilvl w:val="0"/>
          <w:numId w:val="0"/>
        </w:numPr>
        <w:ind w:left="720"/>
        <w:jc w:val="center"/>
        <w:rPr>
          <w:b/>
          <w:bCs/>
        </w:rPr>
      </w:pPr>
    </w:p>
    <w:p w14:paraId="3563EE49" w14:textId="77777777" w:rsidR="00497B69" w:rsidRDefault="00497B69" w:rsidP="00497B69">
      <w:pPr>
        <w:pStyle w:val="ListParagraph"/>
        <w:numPr>
          <w:ilvl w:val="0"/>
          <w:numId w:val="0"/>
        </w:numPr>
        <w:ind w:left="720"/>
        <w:jc w:val="center"/>
        <w:rPr>
          <w:b/>
          <w:bCs/>
        </w:rPr>
      </w:pPr>
    </w:p>
    <w:p w14:paraId="3C4364F3" w14:textId="77777777" w:rsidR="00497B69" w:rsidRDefault="00497B69" w:rsidP="00497B69">
      <w:pPr>
        <w:pStyle w:val="ListParagraph"/>
        <w:numPr>
          <w:ilvl w:val="0"/>
          <w:numId w:val="0"/>
        </w:numPr>
        <w:ind w:left="720"/>
        <w:jc w:val="center"/>
        <w:rPr>
          <w:b/>
          <w:bCs/>
        </w:rPr>
      </w:pPr>
    </w:p>
    <w:p w14:paraId="79EF0704" w14:textId="77777777" w:rsidR="00497B69" w:rsidRDefault="00497B69" w:rsidP="00497B69">
      <w:pPr>
        <w:pStyle w:val="ListParagraph"/>
        <w:numPr>
          <w:ilvl w:val="0"/>
          <w:numId w:val="0"/>
        </w:numPr>
        <w:ind w:left="720"/>
        <w:jc w:val="center"/>
        <w:rPr>
          <w:b/>
          <w:bCs/>
        </w:rPr>
      </w:pPr>
    </w:p>
    <w:p w14:paraId="5FE9723B" w14:textId="77777777" w:rsidR="00497B69" w:rsidRDefault="00497B69" w:rsidP="00497B69">
      <w:pPr>
        <w:pStyle w:val="ListParagraph"/>
        <w:numPr>
          <w:ilvl w:val="0"/>
          <w:numId w:val="0"/>
        </w:numPr>
        <w:ind w:left="720"/>
        <w:jc w:val="center"/>
        <w:rPr>
          <w:b/>
          <w:bCs/>
        </w:rPr>
      </w:pPr>
    </w:p>
    <w:p w14:paraId="63A410B5" w14:textId="77777777" w:rsidR="00497B69" w:rsidRDefault="00497B69" w:rsidP="00497B69">
      <w:pPr>
        <w:pStyle w:val="ListParagraph"/>
        <w:numPr>
          <w:ilvl w:val="0"/>
          <w:numId w:val="0"/>
        </w:numPr>
        <w:ind w:left="720"/>
        <w:jc w:val="center"/>
        <w:rPr>
          <w:b/>
          <w:bCs/>
        </w:rPr>
      </w:pPr>
    </w:p>
    <w:p w14:paraId="34E06B24" w14:textId="77777777" w:rsidR="00497B69" w:rsidRDefault="00497B69" w:rsidP="00497B69">
      <w:pPr>
        <w:pStyle w:val="ListParagraph"/>
        <w:numPr>
          <w:ilvl w:val="0"/>
          <w:numId w:val="0"/>
        </w:numPr>
        <w:ind w:left="720"/>
        <w:jc w:val="center"/>
        <w:rPr>
          <w:b/>
          <w:bCs/>
        </w:rPr>
      </w:pPr>
    </w:p>
    <w:p w14:paraId="2AD658F9" w14:textId="77777777" w:rsidR="00497B69" w:rsidRDefault="00497B69" w:rsidP="00497B69">
      <w:pPr>
        <w:pStyle w:val="ListParagraph"/>
        <w:numPr>
          <w:ilvl w:val="0"/>
          <w:numId w:val="0"/>
        </w:numPr>
        <w:ind w:left="720"/>
        <w:jc w:val="center"/>
        <w:rPr>
          <w:b/>
          <w:bCs/>
        </w:rPr>
      </w:pPr>
    </w:p>
    <w:p w14:paraId="73EB1C28" w14:textId="77777777" w:rsidR="00497B69" w:rsidRDefault="00497B69" w:rsidP="00497B69">
      <w:pPr>
        <w:pStyle w:val="ListParagraph"/>
        <w:numPr>
          <w:ilvl w:val="0"/>
          <w:numId w:val="0"/>
        </w:numPr>
        <w:ind w:left="720"/>
        <w:jc w:val="center"/>
        <w:rPr>
          <w:b/>
          <w:bCs/>
        </w:rPr>
      </w:pPr>
    </w:p>
    <w:p w14:paraId="18519F36" w14:textId="1DA40E90" w:rsidR="00FB25A5" w:rsidRPr="00190FA8" w:rsidRDefault="00FB25A5" w:rsidP="00497B69">
      <w:pPr>
        <w:ind w:left="720" w:hanging="720"/>
        <w:jc w:val="center"/>
        <w:rPr>
          <w:b/>
          <w:bCs/>
          <w:sz w:val="40"/>
          <w:szCs w:val="40"/>
        </w:rPr>
      </w:pPr>
      <w:r w:rsidRPr="00190FA8">
        <w:rPr>
          <w:b/>
          <w:bCs/>
          <w:sz w:val="40"/>
          <w:szCs w:val="40"/>
        </w:rPr>
        <w:t>Contact Us</w:t>
      </w:r>
    </w:p>
    <w:p w14:paraId="0E5589D3" w14:textId="77777777" w:rsidR="00FB25A5" w:rsidRPr="00190FA8" w:rsidRDefault="00FB25A5" w:rsidP="00944B2E">
      <w:pPr>
        <w:pStyle w:val="BasicParagraph"/>
        <w:jc w:val="center"/>
        <w:rPr>
          <w:rFonts w:asciiTheme="minorHAnsi" w:hAnsiTheme="minorHAnsi" w:cstheme="minorHAnsi"/>
          <w:b/>
          <w:bCs/>
          <w:sz w:val="28"/>
          <w:szCs w:val="28"/>
        </w:rPr>
      </w:pPr>
    </w:p>
    <w:p w14:paraId="029527C4" w14:textId="5B01322C" w:rsidR="00FB25A5" w:rsidRPr="00190FA8" w:rsidRDefault="00FB25A5" w:rsidP="00497B69">
      <w:pPr>
        <w:pStyle w:val="BasicParagraph"/>
        <w:jc w:val="center"/>
        <w:rPr>
          <w:rFonts w:asciiTheme="minorHAnsi" w:hAnsiTheme="minorHAnsi" w:cstheme="minorHAnsi"/>
          <w:b/>
          <w:bCs/>
          <w:sz w:val="28"/>
          <w:szCs w:val="28"/>
        </w:rPr>
      </w:pPr>
      <w:r w:rsidRPr="00190FA8">
        <w:rPr>
          <w:rFonts w:asciiTheme="minorHAnsi" w:hAnsiTheme="minorHAnsi" w:cstheme="minorHAnsi"/>
          <w:b/>
          <w:bCs/>
          <w:sz w:val="28"/>
          <w:szCs w:val="28"/>
        </w:rPr>
        <w:t>For queries, please contact:</w:t>
      </w:r>
    </w:p>
    <w:p w14:paraId="2F2341F3" w14:textId="77777777" w:rsidR="00FB25A5" w:rsidRPr="00422A86" w:rsidRDefault="00320B15" w:rsidP="00497B69">
      <w:pPr>
        <w:pStyle w:val="BasicParagraph"/>
        <w:jc w:val="center"/>
        <w:rPr>
          <w:rStyle w:val="Hyperlink"/>
          <w:rFonts w:asciiTheme="minorHAnsi" w:hAnsiTheme="minorHAnsi" w:cstheme="minorHAnsi"/>
          <w:bCs/>
          <w:sz w:val="32"/>
          <w:szCs w:val="32"/>
        </w:rPr>
      </w:pPr>
      <w:hyperlink r:id="rId11" w:history="1">
        <w:r>
          <w:rPr>
            <w:rStyle w:val="Hyperlink"/>
            <w:rFonts w:asciiTheme="minorHAnsi" w:hAnsiTheme="minorHAnsi" w:cstheme="minorHAnsi"/>
            <w:bCs/>
            <w:sz w:val="32"/>
            <w:szCs w:val="32"/>
          </w:rPr>
          <w:t>E</w:t>
        </w:r>
        <w:r w:rsidRPr="00422A86">
          <w:rPr>
            <w:rStyle w:val="Hyperlink"/>
            <w:rFonts w:asciiTheme="minorHAnsi" w:hAnsiTheme="minorHAnsi" w:cstheme="minorHAnsi"/>
            <w:bCs/>
            <w:sz w:val="32"/>
            <w:szCs w:val="32"/>
          </w:rPr>
          <w:t>ilis.Haughey@nihrc.org</w:t>
        </w:r>
      </w:hyperlink>
    </w:p>
    <w:p w14:paraId="76A5E683" w14:textId="419A0178" w:rsidR="00FB25A5" w:rsidRPr="00422A86" w:rsidRDefault="0043143B" w:rsidP="00497B69">
      <w:pPr>
        <w:pStyle w:val="BasicParagraph"/>
        <w:jc w:val="center"/>
        <w:rPr>
          <w:rStyle w:val="Hyperlink"/>
          <w:rFonts w:asciiTheme="minorHAnsi" w:hAnsiTheme="minorHAnsi" w:cstheme="minorHAnsi"/>
          <w:bCs/>
          <w:sz w:val="32"/>
          <w:szCs w:val="32"/>
        </w:rPr>
      </w:pPr>
      <w:r w:rsidRPr="0043143B">
        <w:rPr>
          <w:rStyle w:val="Hyperlink"/>
          <w:rFonts w:asciiTheme="minorHAnsi" w:hAnsiTheme="minorHAnsi" w:cstheme="minorHAnsi"/>
          <w:bCs/>
          <w:sz w:val="32"/>
          <w:szCs w:val="32"/>
        </w:rPr>
        <w:t>lconlon</w:t>
      </w:r>
      <w:r w:rsidR="00FB25A5" w:rsidRPr="00422A86">
        <w:rPr>
          <w:rStyle w:val="Hyperlink"/>
          <w:rFonts w:asciiTheme="minorHAnsi" w:hAnsiTheme="minorHAnsi" w:cstheme="minorHAnsi"/>
          <w:bCs/>
          <w:sz w:val="32"/>
          <w:szCs w:val="32"/>
        </w:rPr>
        <w:t>@equalityni.org</w:t>
      </w:r>
    </w:p>
    <w:p w14:paraId="55891B43" w14:textId="77777777" w:rsidR="00FB25A5" w:rsidRDefault="00FB25A5" w:rsidP="0075312D"/>
    <w:sectPr w:rsidR="00FB25A5" w:rsidSect="003D483C">
      <w:footerReference w:type="default" r:id="rId12"/>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4179" w14:textId="77777777" w:rsidR="00FC0094" w:rsidRDefault="00FC0094" w:rsidP="0075312D">
      <w:r>
        <w:separator/>
      </w:r>
    </w:p>
  </w:endnote>
  <w:endnote w:type="continuationSeparator" w:id="0">
    <w:p w14:paraId="68D39890" w14:textId="77777777" w:rsidR="00FC0094" w:rsidRDefault="00FC0094" w:rsidP="0075312D">
      <w:r>
        <w:continuationSeparator/>
      </w:r>
    </w:p>
  </w:endnote>
  <w:endnote w:type="continuationNotice" w:id="1">
    <w:p w14:paraId="0300584A" w14:textId="77777777" w:rsidR="00FC0094" w:rsidRDefault="00FC0094" w:rsidP="00753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D955" w14:textId="77777777" w:rsidR="001366AA" w:rsidRDefault="001366AA" w:rsidP="0075312D">
    <w:pPr>
      <w:pStyle w:val="Footer"/>
    </w:pPr>
  </w:p>
  <w:p w14:paraId="10C7814D" w14:textId="77777777" w:rsidR="001366AA" w:rsidRDefault="001366AA" w:rsidP="00753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698709"/>
      <w:docPartObj>
        <w:docPartGallery w:val="Page Numbers (Bottom of Page)"/>
        <w:docPartUnique/>
      </w:docPartObj>
    </w:sdtPr>
    <w:sdtEndPr/>
    <w:sdtContent>
      <w:p w14:paraId="20BE2B24" w14:textId="0ECC74B7" w:rsidR="0007179E" w:rsidRDefault="0007179E">
        <w:pPr>
          <w:pStyle w:val="Footer"/>
          <w:jc w:val="center"/>
        </w:pPr>
        <w:r>
          <w:fldChar w:fldCharType="begin"/>
        </w:r>
        <w:r>
          <w:instrText>PAGE   \* MERGEFORMAT</w:instrText>
        </w:r>
        <w:r>
          <w:fldChar w:fldCharType="separate"/>
        </w:r>
        <w:r>
          <w:t>2</w:t>
        </w:r>
        <w:r>
          <w:fldChar w:fldCharType="end"/>
        </w:r>
      </w:p>
    </w:sdtContent>
  </w:sdt>
  <w:p w14:paraId="64C239B2" w14:textId="77777777" w:rsidR="001366AA" w:rsidRDefault="001366AA" w:rsidP="00753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C9478" w14:textId="77777777" w:rsidR="00FC0094" w:rsidRDefault="00FC0094" w:rsidP="0075312D">
      <w:r>
        <w:separator/>
      </w:r>
    </w:p>
  </w:footnote>
  <w:footnote w:type="continuationSeparator" w:id="0">
    <w:p w14:paraId="7C3437BD" w14:textId="77777777" w:rsidR="00FC0094" w:rsidRDefault="00FC0094" w:rsidP="0075312D">
      <w:r>
        <w:continuationSeparator/>
      </w:r>
    </w:p>
  </w:footnote>
  <w:footnote w:type="continuationNotice" w:id="1">
    <w:p w14:paraId="34AC57D5" w14:textId="77777777" w:rsidR="00FC0094" w:rsidRDefault="00FC0094" w:rsidP="0075312D"/>
  </w:footnote>
  <w:footnote w:id="2">
    <w:p w14:paraId="1736A140" w14:textId="64041FBB" w:rsidR="000B463B" w:rsidRPr="00E60F6A" w:rsidRDefault="000B463B"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The Windsor Framework was formerly known as the Protocol on Ireland/Northern Ireland to the to the Agreement on the Withdrawal of the UK of Great Britain and NI from the EU and the EEAC, 24 January 2020 (UK-EU Withdrawal Agreement). All references to the Protocol in this document have been updated to reflect this change (see 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22BB250A" w14:textId="4D990F0C" w:rsidR="00E70DDB" w:rsidRPr="00E60F6A" w:rsidRDefault="00E70DDB"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Section 7A, EU (Withdrawal) Act 2018 gives effect to all the rights obligations and remedies arising under the UK-EU Withdrawal Agreement without the need for further enactment. </w:t>
      </w:r>
    </w:p>
  </w:footnote>
  <w:footnote w:id="4">
    <w:p w14:paraId="6B8EBBA6" w14:textId="77777777" w:rsidR="00E70DDB" w:rsidRPr="00E60F6A" w:rsidRDefault="00E70DDB" w:rsidP="009D4EC6">
      <w:pPr>
        <w:pStyle w:val="NIHRCFootnotes"/>
        <w:spacing w:line="240" w:lineRule="auto"/>
        <w:rPr>
          <w:rFonts w:ascii="Calibri" w:hAnsi="Calibri" w:cs="Calibri"/>
          <w:color w:val="auto"/>
          <w:sz w:val="18"/>
          <w:szCs w:val="18"/>
        </w:rPr>
      </w:pPr>
      <w:r w:rsidRPr="00E60F6A">
        <w:rPr>
          <w:rStyle w:val="FootnoteReference"/>
          <w:rFonts w:ascii="Calibri" w:hAnsi="Calibri" w:cs="Calibri"/>
          <w:color w:val="auto"/>
          <w:sz w:val="18"/>
          <w:szCs w:val="18"/>
        </w:rPr>
        <w:footnoteRef/>
      </w:r>
      <w:r w:rsidRPr="00E60F6A">
        <w:rPr>
          <w:rFonts w:ascii="Calibri" w:hAnsi="Calibri" w:cs="Calibri"/>
          <w:color w:val="auto"/>
          <w:sz w:val="18"/>
          <w:szCs w:val="18"/>
        </w:rPr>
        <w:t xml:space="preserve"> These are the Racial Equality Directive (Directive 2000/43/EC, ‘Council Directive on Implementing the Principle of Equal Treatment between Persons Irrespective of Racial or Ethnic Origin’, 29 June 2000); the Employment Equality (Framework) Directive (Directive 2000/78/EC, ‘Council Directive on Establishing a General Framework for Equal Treatment in Employment and Occupation’, 27 November 2000); the Gender Goods and Services Directive (Directive 2004/113/EC, ‘Council Directive on Implementing the Principle of Equal Treatment between Men and Women in the access to and supply of goods and services’, 13 December 2004); Gender Equality (Employment) Directive (Directive 2006/54/EC, ‘Directive of European Parliament and of the Council on the Implementation of the Principle of Equal Opportunities and Equal Treatment of Men and Women in Matters of Employment and Occupation (Recast)’, 5 July 2006); the Self-Employment Equality Directive (Directive 2010/41/EU, ‘Directive of the European Parliament and of the Council on the Application of the Principle of Equal Treatment between Men and Women Engaged in an Activity in a Self-employed Capacity’, 7 July 2010); and the Equality in Social Security Directive (Directive 79/7/EEC, ‘Council Directive on the Progressive Implementation of the Principle of Equal Treatment for Men and Women in Matters of Social Security’, 19 December 1978).</w:t>
      </w:r>
    </w:p>
  </w:footnote>
  <w:footnote w:id="5">
    <w:p w14:paraId="5DC1B86D" w14:textId="77777777" w:rsidR="00E70DDB" w:rsidRPr="00E60F6A" w:rsidRDefault="00E70DDB" w:rsidP="009D4EC6">
      <w:pPr>
        <w:pStyle w:val="NIHRCFootnotes"/>
        <w:spacing w:line="240" w:lineRule="auto"/>
        <w:rPr>
          <w:rFonts w:ascii="Calibri" w:hAnsi="Calibri" w:cs="Calibri"/>
          <w:color w:val="auto"/>
          <w:sz w:val="18"/>
          <w:szCs w:val="18"/>
        </w:rPr>
      </w:pPr>
      <w:r w:rsidRPr="00E60F6A">
        <w:rPr>
          <w:rStyle w:val="FootnoteReference"/>
          <w:rFonts w:ascii="Calibri" w:hAnsi="Calibri" w:cs="Calibri"/>
          <w:color w:val="auto"/>
          <w:sz w:val="18"/>
          <w:szCs w:val="18"/>
        </w:rPr>
        <w:footnoteRef/>
      </w:r>
      <w:r w:rsidRPr="00E60F6A">
        <w:rPr>
          <w:rFonts w:ascii="Calibri" w:hAnsi="Calibri" w:cs="Calibri"/>
          <w:color w:val="auto"/>
          <w:sz w:val="18"/>
          <w:szCs w:val="18"/>
        </w:rPr>
        <w:t xml:space="preserve"> Article 13, Windsor Framework to the UK-EU Withdrawal Agreement.</w:t>
      </w:r>
    </w:p>
  </w:footnote>
  <w:footnote w:id="6">
    <w:p w14:paraId="219570F4" w14:textId="77777777" w:rsidR="00E70DDB" w:rsidRPr="00E60F6A" w:rsidRDefault="00E70DDB" w:rsidP="009D4EC6">
      <w:pPr>
        <w:pStyle w:val="NIHRCFootnotes"/>
        <w:spacing w:line="240" w:lineRule="auto"/>
        <w:rPr>
          <w:rFonts w:ascii="Calibri" w:hAnsi="Calibri" w:cs="Calibri"/>
          <w:color w:val="auto"/>
          <w:sz w:val="18"/>
          <w:szCs w:val="18"/>
        </w:rPr>
      </w:pPr>
      <w:r w:rsidRPr="00E60F6A">
        <w:rPr>
          <w:rStyle w:val="FootnoteReference"/>
          <w:rFonts w:ascii="Calibri" w:hAnsi="Calibri" w:cs="Calibri"/>
          <w:color w:val="auto"/>
          <w:sz w:val="18"/>
          <w:szCs w:val="18"/>
        </w:rPr>
        <w:footnoteRef/>
      </w:r>
      <w:r w:rsidRPr="00E60F6A">
        <w:rPr>
          <w:rFonts w:ascii="Calibri" w:hAnsi="Calibri" w:cs="Calibri"/>
          <w:color w:val="auto"/>
          <w:sz w:val="18"/>
          <w:szCs w:val="18"/>
        </w:rPr>
        <w:t xml:space="preserve"> Article 13(3), Windsor Framework. </w:t>
      </w:r>
    </w:p>
  </w:footnote>
  <w:footnote w:id="7">
    <w:p w14:paraId="741A3707" w14:textId="23CEE0B0" w:rsidR="006944E4" w:rsidRPr="00E60F6A" w:rsidRDefault="006944E4"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Directive 2023/970/EU, ‘</w:t>
      </w:r>
      <w:r w:rsidR="00E60F6A" w:rsidRPr="00E60F6A">
        <w:rPr>
          <w:rFonts w:ascii="Calibri" w:hAnsi="Calibri" w:cs="Calibri"/>
          <w:sz w:val="18"/>
          <w:szCs w:val="18"/>
        </w:rPr>
        <w:t xml:space="preserve">EU Parliament and Council </w:t>
      </w:r>
      <w:r w:rsidRPr="00E60F6A">
        <w:rPr>
          <w:rFonts w:ascii="Calibri" w:hAnsi="Calibri" w:cs="Calibri"/>
          <w:sz w:val="18"/>
          <w:szCs w:val="18"/>
        </w:rPr>
        <w:t>Directive to Strengthen the Application of the Principle of Equal Pay for Equal Work or Work of Equal Value between Men and Women through Pay Transparency and Enforcement Mechanisms’, 10 May 2023; Equality Commission for NI and NI Human Rights Commission, ‘Briefing Paper: The EU Pay Transparency Directive: The UK Government’s dynamic alignment obligations relating to Windsor Framework Article 2’ (ECNI and NIHRC, 2024).</w:t>
      </w:r>
    </w:p>
  </w:footnote>
  <w:footnote w:id="8">
    <w:p w14:paraId="27FB44DC" w14:textId="6A0552AB" w:rsidR="006944E4" w:rsidRPr="00E60F6A" w:rsidRDefault="006944E4"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Directive 2024/1499/EU, ‘</w:t>
      </w:r>
      <w:r w:rsidR="00E60F6A" w:rsidRPr="00E60F6A">
        <w:rPr>
          <w:rFonts w:ascii="Calibri" w:hAnsi="Calibri" w:cs="Calibri"/>
          <w:sz w:val="18"/>
          <w:szCs w:val="18"/>
        </w:rPr>
        <w:t xml:space="preserve">EU Council </w:t>
      </w:r>
      <w:r w:rsidRPr="00E60F6A">
        <w:rPr>
          <w:rFonts w:ascii="Calibri" w:hAnsi="Calibri" w:cs="Calibri"/>
          <w:sz w:val="18"/>
          <w:szCs w:val="18"/>
        </w:rPr>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Directive 2024/1500, ‘</w:t>
      </w:r>
      <w:r w:rsidR="00E60F6A" w:rsidRPr="00E60F6A">
        <w:rPr>
          <w:rFonts w:ascii="Calibri" w:hAnsi="Calibri" w:cs="Calibri"/>
          <w:sz w:val="18"/>
          <w:szCs w:val="18"/>
        </w:rPr>
        <w:t xml:space="preserve">EU Parliament and Counsil </w:t>
      </w:r>
      <w:r w:rsidRPr="00E60F6A">
        <w:rPr>
          <w:rFonts w:ascii="Calibri" w:hAnsi="Calibri" w:cs="Calibri"/>
          <w:sz w:val="18"/>
          <w:szCs w:val="18"/>
        </w:rPr>
        <w:t>Directive on Standards for Equality Bodies in the Field of Equal Treatment and Equal Opportunities between Women and Men in Matters of Employment and Occupation, and Amending Directives 2006/54/EC and 2010/41/EU’, 14 May 2024.</w:t>
      </w:r>
    </w:p>
  </w:footnote>
  <w:footnote w:id="9">
    <w:p w14:paraId="6BCD27CE" w14:textId="5EC0A2A3" w:rsidR="00E70DDB" w:rsidRPr="00E60F6A" w:rsidRDefault="00E70DDB" w:rsidP="009D4EC6">
      <w:pPr>
        <w:pStyle w:val="NIHRCFootnotes"/>
        <w:spacing w:line="240" w:lineRule="auto"/>
        <w:rPr>
          <w:rFonts w:ascii="Calibri" w:hAnsi="Calibri" w:cs="Calibri"/>
          <w:color w:val="auto"/>
          <w:sz w:val="18"/>
          <w:szCs w:val="18"/>
        </w:rPr>
      </w:pPr>
      <w:r w:rsidRPr="00E60F6A">
        <w:rPr>
          <w:rStyle w:val="FootnoteReference"/>
          <w:rFonts w:ascii="Calibri" w:hAnsi="Calibri" w:cs="Calibri"/>
          <w:color w:val="auto"/>
          <w:sz w:val="18"/>
          <w:szCs w:val="18"/>
        </w:rPr>
        <w:footnoteRef/>
      </w:r>
      <w:r w:rsidRPr="00E60F6A">
        <w:rPr>
          <w:rFonts w:ascii="Calibri" w:hAnsi="Calibri" w:cs="Calibri"/>
          <w:color w:val="auto"/>
          <w:sz w:val="18"/>
          <w:szCs w:val="18"/>
        </w:rPr>
        <w:t xml:space="preserve"> </w:t>
      </w:r>
      <w:r w:rsidR="00EC65D2" w:rsidRPr="00E60F6A">
        <w:rPr>
          <w:rFonts w:ascii="Calibri" w:hAnsi="Calibri" w:cs="Calibri"/>
          <w:color w:val="auto"/>
          <w:sz w:val="18"/>
          <w:szCs w:val="18"/>
        </w:rPr>
        <w:t>NI Human Rights Commission and Equality Commission for NI, ‘Working Paper: Scope of Article 2(1) of the Ireland/Northern Ireland Protocol to the UK-EU Withdrawal Agreement 2020’ (NIHRC and ECNI, 2022)</w:t>
      </w:r>
      <w:r w:rsidR="00EC65D2">
        <w:rPr>
          <w:rFonts w:ascii="Calibri" w:hAnsi="Calibri" w:cs="Calibri"/>
          <w:color w:val="auto"/>
          <w:sz w:val="18"/>
          <w:szCs w:val="18"/>
        </w:rPr>
        <w:t xml:space="preserve">; </w:t>
      </w:r>
      <w:r w:rsidRPr="00E60F6A">
        <w:rPr>
          <w:rFonts w:ascii="Calibri" w:hAnsi="Calibri" w:cs="Calibri"/>
          <w:color w:val="auto"/>
          <w:sz w:val="18"/>
          <w:szCs w:val="18"/>
        </w:rPr>
        <w:t>UK Government, ‘UK Government Commitment to No-diminution of Rights, Safeguards and Equality of Opportunity in Northern Ireland’ (NIO, 2020), at para 13.</w:t>
      </w:r>
    </w:p>
  </w:footnote>
  <w:footnote w:id="10">
    <w:p w14:paraId="78EC8E06" w14:textId="77777777" w:rsidR="003F4BDD" w:rsidRPr="00E60F6A" w:rsidRDefault="003F4BDD" w:rsidP="003F4BDD">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See, for example, </w:t>
      </w:r>
      <w:hyperlink r:id="rId1" w:history="1">
        <w:r w:rsidRPr="00E60F6A">
          <w:rPr>
            <w:rStyle w:val="Hyperlink"/>
            <w:rFonts w:ascii="Calibri" w:hAnsi="Calibri" w:cs="Calibri"/>
            <w:i/>
            <w:color w:val="auto"/>
            <w:sz w:val="18"/>
            <w:szCs w:val="18"/>
          </w:rPr>
          <w:t xml:space="preserve">Dillon &amp; Ors v Secretary of State for NI </w:t>
        </w:r>
        <w:r w:rsidRPr="00E60F6A">
          <w:rPr>
            <w:rStyle w:val="Hyperlink"/>
            <w:rFonts w:ascii="Calibri" w:hAnsi="Calibri" w:cs="Calibri"/>
            <w:color w:val="auto"/>
            <w:sz w:val="18"/>
            <w:szCs w:val="18"/>
          </w:rPr>
          <w:t xml:space="preserve"> [2024] NICA 59</w:t>
        </w:r>
      </w:hyperlink>
      <w:r w:rsidRPr="00E60F6A">
        <w:rPr>
          <w:rFonts w:ascii="Calibri" w:hAnsi="Calibri" w:cs="Calibri"/>
          <w:sz w:val="18"/>
          <w:szCs w:val="18"/>
        </w:rPr>
        <w:t xml:space="preserve"> and </w:t>
      </w:r>
      <w:hyperlink r:id="rId2" w:history="1">
        <w:r w:rsidRPr="00E60F6A">
          <w:rPr>
            <w:rStyle w:val="Hyperlink"/>
            <w:rFonts w:ascii="Calibri" w:hAnsi="Calibri" w:cs="Calibri"/>
            <w:i/>
            <w:color w:val="auto"/>
            <w:sz w:val="18"/>
            <w:szCs w:val="18"/>
          </w:rPr>
          <w:t xml:space="preserve">Re NIHRC and JR295 </w:t>
        </w:r>
        <w:r w:rsidRPr="00E60F6A">
          <w:rPr>
            <w:rStyle w:val="Hyperlink"/>
            <w:rFonts w:ascii="Calibri" w:hAnsi="Calibri" w:cs="Calibri"/>
            <w:color w:val="auto"/>
            <w:sz w:val="18"/>
            <w:szCs w:val="18"/>
          </w:rPr>
          <w:t>[2024] NIKB 35</w:t>
        </w:r>
      </w:hyperlink>
      <w:r w:rsidRPr="00E60F6A">
        <w:rPr>
          <w:rFonts w:ascii="Calibri" w:hAnsi="Calibri" w:cs="Calibri"/>
          <w:sz w:val="18"/>
          <w:szCs w:val="18"/>
        </w:rPr>
        <w:t xml:space="preserve">.  </w:t>
      </w:r>
    </w:p>
  </w:footnote>
  <w:footnote w:id="11">
    <w:p w14:paraId="7716D654" w14:textId="56B92663" w:rsidR="00810A7D" w:rsidRPr="00E60F6A" w:rsidRDefault="00810A7D">
      <w:pPr>
        <w:pStyle w:val="FootnoteText"/>
        <w:rPr>
          <w:rFonts w:ascii="Calibri" w:hAnsi="Calibri" w:cs="Calibri"/>
          <w:sz w:val="18"/>
          <w:szCs w:val="18"/>
        </w:rPr>
      </w:pPr>
      <w:r w:rsidRPr="00E60F6A">
        <w:rPr>
          <w:rStyle w:val="FootnoteReference"/>
          <w:rFonts w:ascii="Calibri" w:hAnsi="Calibri" w:cs="Calibri"/>
          <w:sz w:val="18"/>
          <w:szCs w:val="18"/>
        </w:rPr>
        <w:footnoteRef/>
      </w:r>
      <w:r w:rsidR="00E60F6A" w:rsidRPr="00E60F6A">
        <w:rPr>
          <w:rFonts w:ascii="Calibri" w:hAnsi="Calibri" w:cs="Calibri"/>
          <w:sz w:val="18"/>
          <w:szCs w:val="18"/>
        </w:rPr>
        <w:t xml:space="preserve"> </w:t>
      </w:r>
      <w:r w:rsidR="00D02D63" w:rsidRPr="00E60F6A">
        <w:rPr>
          <w:rFonts w:ascii="Calibri" w:hAnsi="Calibri" w:cs="Calibri"/>
          <w:sz w:val="18"/>
          <w:szCs w:val="18"/>
        </w:rPr>
        <w:t xml:space="preserve">Jayne McCormack, ‘Criticism of Courts' decision to allow Legacy Act appeal’, </w:t>
      </w:r>
      <w:r w:rsidR="00D02D63" w:rsidRPr="00E60F6A">
        <w:rPr>
          <w:rFonts w:ascii="Calibri" w:hAnsi="Calibri" w:cs="Calibri"/>
          <w:i/>
          <w:sz w:val="18"/>
          <w:szCs w:val="18"/>
        </w:rPr>
        <w:t>BBC</w:t>
      </w:r>
      <w:r w:rsidR="00D02D63" w:rsidRPr="00E60F6A">
        <w:rPr>
          <w:rFonts w:ascii="Calibri" w:hAnsi="Calibri" w:cs="Calibri"/>
          <w:sz w:val="18"/>
          <w:szCs w:val="18"/>
        </w:rPr>
        <w:t xml:space="preserve"> </w:t>
      </w:r>
      <w:r w:rsidR="00D02D63" w:rsidRPr="00E60F6A">
        <w:rPr>
          <w:rFonts w:ascii="Calibri" w:hAnsi="Calibri" w:cs="Calibri"/>
          <w:i/>
          <w:sz w:val="18"/>
          <w:szCs w:val="18"/>
        </w:rPr>
        <w:t>News</w:t>
      </w:r>
      <w:r w:rsidR="00D02D63" w:rsidRPr="00E60F6A">
        <w:rPr>
          <w:rFonts w:ascii="Calibri" w:hAnsi="Calibri" w:cs="Calibri"/>
          <w:sz w:val="18"/>
          <w:szCs w:val="18"/>
        </w:rPr>
        <w:t>, 10 April 2025</w:t>
      </w:r>
      <w:r w:rsidR="00467B5D" w:rsidRPr="00E60F6A">
        <w:rPr>
          <w:rFonts w:ascii="Calibri" w:hAnsi="Calibri" w:cs="Calibri"/>
          <w:sz w:val="18"/>
          <w:szCs w:val="18"/>
        </w:rPr>
        <w:t>.</w:t>
      </w:r>
      <w:r w:rsidRPr="00E60F6A">
        <w:rPr>
          <w:rFonts w:ascii="Calibri" w:hAnsi="Calibri" w:cs="Calibri"/>
          <w:sz w:val="18"/>
          <w:szCs w:val="18"/>
        </w:rPr>
        <w:t xml:space="preserve">  </w:t>
      </w:r>
    </w:p>
  </w:footnote>
  <w:footnote w:id="12">
    <w:p w14:paraId="1C219772" w14:textId="6DDFE518" w:rsidR="00E70DDB" w:rsidRPr="00E60F6A" w:rsidRDefault="00E70DDB"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hyperlink r:id="rId3" w:history="1">
        <w:r w:rsidRPr="00E60F6A">
          <w:rPr>
            <w:rStyle w:val="Hyperlink"/>
            <w:rFonts w:ascii="Calibri" w:hAnsi="Calibri" w:cs="Calibri"/>
            <w:i/>
            <w:iCs/>
            <w:color w:val="auto"/>
            <w:sz w:val="18"/>
            <w:szCs w:val="18"/>
          </w:rPr>
          <w:t xml:space="preserve">Dillon &amp; Ors v </w:t>
        </w:r>
        <w:r w:rsidR="00137699" w:rsidRPr="00E60F6A">
          <w:rPr>
            <w:rStyle w:val="Hyperlink"/>
            <w:rFonts w:ascii="Calibri" w:hAnsi="Calibri" w:cs="Calibri"/>
            <w:i/>
            <w:iCs/>
            <w:color w:val="auto"/>
            <w:sz w:val="18"/>
            <w:szCs w:val="18"/>
          </w:rPr>
          <w:t xml:space="preserve">Secretary of State for NI </w:t>
        </w:r>
        <w:r w:rsidRPr="00E60F6A">
          <w:rPr>
            <w:rStyle w:val="Hyperlink"/>
            <w:rFonts w:ascii="Calibri" w:hAnsi="Calibri" w:cs="Calibri"/>
            <w:color w:val="auto"/>
            <w:sz w:val="18"/>
            <w:szCs w:val="18"/>
          </w:rPr>
          <w:t>[2024] NICA 59</w:t>
        </w:r>
      </w:hyperlink>
    </w:p>
  </w:footnote>
  <w:footnote w:id="13">
    <w:p w14:paraId="4FBBADA1" w14:textId="744375CA" w:rsidR="00E70DDB" w:rsidRPr="00E60F6A" w:rsidRDefault="00E70DDB"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Ibid at </w:t>
      </w:r>
      <w:r w:rsidR="007B0B21" w:rsidRPr="00E60F6A">
        <w:rPr>
          <w:rFonts w:ascii="Calibri" w:hAnsi="Calibri" w:cs="Calibri"/>
          <w:sz w:val="18"/>
          <w:szCs w:val="18"/>
        </w:rPr>
        <w:t xml:space="preserve">paras </w:t>
      </w:r>
      <w:r w:rsidRPr="00E60F6A">
        <w:rPr>
          <w:rFonts w:ascii="Calibri" w:hAnsi="Calibri" w:cs="Calibri"/>
          <w:sz w:val="18"/>
          <w:szCs w:val="18"/>
        </w:rPr>
        <w:t>57, 63-72, 83 – 85, 89</w:t>
      </w:r>
      <w:r w:rsidR="007E3BC8" w:rsidRPr="00E60F6A">
        <w:rPr>
          <w:rFonts w:ascii="Calibri" w:hAnsi="Calibri" w:cs="Calibri"/>
          <w:sz w:val="18"/>
          <w:szCs w:val="18"/>
        </w:rPr>
        <w:t>.</w:t>
      </w:r>
    </w:p>
  </w:footnote>
  <w:footnote w:id="14">
    <w:p w14:paraId="6E00E2AF" w14:textId="18B2A52B" w:rsidR="00E70DDB" w:rsidRPr="00E60F6A" w:rsidRDefault="00E70DDB"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Ibid at</w:t>
      </w:r>
      <w:r w:rsidR="007B0B21" w:rsidRPr="00E60F6A">
        <w:rPr>
          <w:rFonts w:ascii="Calibri" w:hAnsi="Calibri" w:cs="Calibri"/>
          <w:sz w:val="18"/>
          <w:szCs w:val="18"/>
        </w:rPr>
        <w:t xml:space="preserve"> para</w:t>
      </w:r>
      <w:r w:rsidRPr="00E60F6A">
        <w:rPr>
          <w:rFonts w:ascii="Calibri" w:hAnsi="Calibri" w:cs="Calibri"/>
          <w:sz w:val="18"/>
          <w:szCs w:val="18"/>
        </w:rPr>
        <w:t xml:space="preserve"> 115</w:t>
      </w:r>
      <w:r w:rsidR="007E3BC8" w:rsidRPr="00E60F6A">
        <w:rPr>
          <w:rFonts w:ascii="Calibri" w:hAnsi="Calibri" w:cs="Calibri"/>
          <w:sz w:val="18"/>
          <w:szCs w:val="18"/>
        </w:rPr>
        <w:t>.</w:t>
      </w:r>
    </w:p>
  </w:footnote>
  <w:footnote w:id="15">
    <w:p w14:paraId="0DB71E4A" w14:textId="1C63454D" w:rsidR="00C45F54" w:rsidRPr="00E60F6A" w:rsidRDefault="00C45F54">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hyperlink r:id="rId4" w:history="1">
        <w:r w:rsidRPr="00E60F6A">
          <w:rPr>
            <w:rStyle w:val="Hyperlink"/>
            <w:rFonts w:ascii="Calibri" w:hAnsi="Calibri" w:cs="Calibri"/>
            <w:i/>
            <w:color w:val="auto"/>
            <w:sz w:val="18"/>
            <w:szCs w:val="18"/>
          </w:rPr>
          <w:t xml:space="preserve">Dillon &amp; Ors v Secretary of State for NI </w:t>
        </w:r>
        <w:r w:rsidRPr="00E60F6A">
          <w:rPr>
            <w:rStyle w:val="Hyperlink"/>
            <w:rFonts w:ascii="Calibri" w:hAnsi="Calibri" w:cs="Calibri"/>
            <w:color w:val="auto"/>
            <w:sz w:val="18"/>
            <w:szCs w:val="18"/>
          </w:rPr>
          <w:t xml:space="preserve"> [2024] NICA 59</w:t>
        </w:r>
      </w:hyperlink>
      <w:r w:rsidRPr="00E60F6A">
        <w:rPr>
          <w:rFonts w:ascii="Calibri" w:hAnsi="Calibri" w:cs="Calibri"/>
          <w:sz w:val="18"/>
          <w:szCs w:val="18"/>
        </w:rPr>
        <w:t xml:space="preserve"> at </w:t>
      </w:r>
      <w:r w:rsidR="007B0B21" w:rsidRPr="00E60F6A">
        <w:rPr>
          <w:rFonts w:ascii="Calibri" w:hAnsi="Calibri" w:cs="Calibri"/>
          <w:sz w:val="18"/>
          <w:szCs w:val="18"/>
        </w:rPr>
        <w:t xml:space="preserve">paras </w:t>
      </w:r>
      <w:r w:rsidR="00BD1FC0" w:rsidRPr="00E60F6A">
        <w:rPr>
          <w:rFonts w:ascii="Calibri" w:hAnsi="Calibri" w:cs="Calibri"/>
          <w:sz w:val="18"/>
          <w:szCs w:val="18"/>
        </w:rPr>
        <w:t>117</w:t>
      </w:r>
      <w:r w:rsidR="007B0B21" w:rsidRPr="00E60F6A">
        <w:rPr>
          <w:rFonts w:ascii="Calibri" w:hAnsi="Calibri" w:cs="Calibri"/>
          <w:sz w:val="18"/>
          <w:szCs w:val="18"/>
        </w:rPr>
        <w:t xml:space="preserve"> and</w:t>
      </w:r>
      <w:r w:rsidR="00BD1FC0" w:rsidRPr="00E60F6A">
        <w:rPr>
          <w:rFonts w:ascii="Calibri" w:hAnsi="Calibri" w:cs="Calibri"/>
          <w:sz w:val="18"/>
          <w:szCs w:val="18"/>
        </w:rPr>
        <w:t xml:space="preserve"> 121</w:t>
      </w:r>
      <w:r w:rsidR="00284D95" w:rsidRPr="00E60F6A">
        <w:rPr>
          <w:rFonts w:ascii="Calibri" w:hAnsi="Calibri" w:cs="Calibri"/>
          <w:sz w:val="18"/>
          <w:szCs w:val="18"/>
        </w:rPr>
        <w:t>. See also</w:t>
      </w:r>
      <w:r w:rsidRPr="00E60F6A">
        <w:rPr>
          <w:rFonts w:ascii="Calibri" w:hAnsi="Calibri" w:cs="Calibri"/>
          <w:sz w:val="18"/>
          <w:szCs w:val="18"/>
        </w:rPr>
        <w:t xml:space="preserve"> </w:t>
      </w:r>
      <w:hyperlink r:id="rId5" w:history="1">
        <w:r w:rsidRPr="00E60F6A">
          <w:rPr>
            <w:rStyle w:val="Hyperlink"/>
            <w:rFonts w:ascii="Calibri" w:hAnsi="Calibri" w:cs="Calibri"/>
            <w:i/>
            <w:color w:val="auto"/>
            <w:sz w:val="18"/>
            <w:szCs w:val="18"/>
          </w:rPr>
          <w:t xml:space="preserve">Re NIHRC and JR295 </w:t>
        </w:r>
        <w:r w:rsidRPr="00E60F6A">
          <w:rPr>
            <w:rStyle w:val="Hyperlink"/>
            <w:rFonts w:ascii="Calibri" w:hAnsi="Calibri" w:cs="Calibri"/>
            <w:color w:val="auto"/>
            <w:sz w:val="18"/>
            <w:szCs w:val="18"/>
          </w:rPr>
          <w:t>[2024] NIKB 35</w:t>
        </w:r>
      </w:hyperlink>
      <w:r w:rsidR="00AC368D" w:rsidRPr="00E60F6A">
        <w:rPr>
          <w:rFonts w:ascii="Calibri" w:hAnsi="Calibri" w:cs="Calibri"/>
          <w:sz w:val="18"/>
          <w:szCs w:val="18"/>
        </w:rPr>
        <w:t xml:space="preserve"> at </w:t>
      </w:r>
      <w:r w:rsidR="007B0B21" w:rsidRPr="00E60F6A">
        <w:rPr>
          <w:rFonts w:ascii="Calibri" w:hAnsi="Calibri" w:cs="Calibri"/>
          <w:sz w:val="18"/>
          <w:szCs w:val="18"/>
        </w:rPr>
        <w:t xml:space="preserve">para </w:t>
      </w:r>
      <w:r w:rsidR="00AC368D" w:rsidRPr="00E60F6A">
        <w:rPr>
          <w:rFonts w:ascii="Calibri" w:hAnsi="Calibri" w:cs="Calibri"/>
          <w:sz w:val="18"/>
          <w:szCs w:val="18"/>
        </w:rPr>
        <w:t>171.</w:t>
      </w:r>
    </w:p>
  </w:footnote>
  <w:footnote w:id="16">
    <w:p w14:paraId="2E0667EB" w14:textId="77D99CB9" w:rsidR="007B0B21" w:rsidRPr="00E60F6A" w:rsidRDefault="007B0B21" w:rsidP="007B0B21">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hyperlink r:id="rId6" w:history="1">
        <w:r w:rsidRPr="00E60F6A">
          <w:rPr>
            <w:rStyle w:val="Hyperlink"/>
            <w:rFonts w:ascii="Calibri" w:hAnsi="Calibri" w:cs="Calibri"/>
            <w:i/>
            <w:iCs/>
            <w:color w:val="auto"/>
            <w:sz w:val="18"/>
            <w:szCs w:val="18"/>
          </w:rPr>
          <w:t xml:space="preserve">Dillon &amp; Ors v Secretary of State for NI </w:t>
        </w:r>
        <w:r w:rsidRPr="00E60F6A">
          <w:rPr>
            <w:rStyle w:val="Hyperlink"/>
            <w:rFonts w:ascii="Calibri" w:hAnsi="Calibri" w:cs="Calibri"/>
            <w:color w:val="auto"/>
            <w:sz w:val="18"/>
            <w:szCs w:val="18"/>
          </w:rPr>
          <w:t>[2024] NICA 59</w:t>
        </w:r>
      </w:hyperlink>
      <w:r w:rsidRPr="00E60F6A">
        <w:rPr>
          <w:rFonts w:ascii="Calibri" w:hAnsi="Calibri" w:cs="Calibri"/>
          <w:sz w:val="18"/>
          <w:szCs w:val="18"/>
        </w:rPr>
        <w:t xml:space="preserve"> at </w:t>
      </w:r>
      <w:r w:rsidR="004C71D5" w:rsidRPr="00E60F6A">
        <w:rPr>
          <w:rFonts w:ascii="Calibri" w:hAnsi="Calibri" w:cs="Calibri"/>
          <w:sz w:val="18"/>
          <w:szCs w:val="18"/>
        </w:rPr>
        <w:t xml:space="preserve">paras </w:t>
      </w:r>
      <w:r w:rsidRPr="00E60F6A">
        <w:rPr>
          <w:rFonts w:ascii="Calibri" w:hAnsi="Calibri" w:cs="Calibri"/>
          <w:sz w:val="18"/>
          <w:szCs w:val="18"/>
        </w:rPr>
        <w:t>57</w:t>
      </w:r>
      <w:r w:rsidR="004C71D5" w:rsidRPr="00E60F6A">
        <w:rPr>
          <w:rFonts w:ascii="Calibri" w:hAnsi="Calibri" w:cs="Calibri"/>
          <w:sz w:val="18"/>
          <w:szCs w:val="18"/>
        </w:rPr>
        <w:t xml:space="preserve"> and </w:t>
      </w:r>
      <w:r w:rsidRPr="00E60F6A">
        <w:rPr>
          <w:rFonts w:ascii="Calibri" w:hAnsi="Calibri" w:cs="Calibri"/>
          <w:sz w:val="18"/>
          <w:szCs w:val="18"/>
        </w:rPr>
        <w:t>151-158</w:t>
      </w:r>
      <w:r w:rsidR="004C71D5" w:rsidRPr="00E60F6A">
        <w:rPr>
          <w:rFonts w:ascii="Calibri" w:hAnsi="Calibri" w:cs="Calibri"/>
          <w:sz w:val="18"/>
          <w:szCs w:val="18"/>
        </w:rPr>
        <w:t>.</w:t>
      </w:r>
    </w:p>
  </w:footnote>
  <w:footnote w:id="17">
    <w:p w14:paraId="2C9F7531" w14:textId="77777777" w:rsidR="00E70DDB" w:rsidRPr="00E60F6A" w:rsidRDefault="00E70DDB"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NI Human Rights Commission and Equality Commission for NI, ‘Working Paper: Scope of Article 2(1) of the Ireland/Northern Ireland Protocol to the UK-EU Withdrawal Agreement 2020’ (NIHRC and ECNI, 2022).</w:t>
      </w:r>
    </w:p>
  </w:footnote>
  <w:footnote w:id="18">
    <w:p w14:paraId="7C5F99D6" w14:textId="75913EB0" w:rsidR="00E70DDB" w:rsidRPr="00E60F6A" w:rsidRDefault="00E70DDB"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hyperlink r:id="rId7" w:history="1">
        <w:r w:rsidRPr="00E60F6A">
          <w:rPr>
            <w:rStyle w:val="Hyperlink"/>
            <w:rFonts w:ascii="Calibri" w:hAnsi="Calibri" w:cs="Calibri"/>
            <w:i/>
            <w:iCs/>
            <w:color w:val="auto"/>
            <w:sz w:val="18"/>
            <w:szCs w:val="18"/>
          </w:rPr>
          <w:t>Dillon &amp; Ors v SSNI</w:t>
        </w:r>
        <w:r w:rsidRPr="00E60F6A">
          <w:rPr>
            <w:rStyle w:val="Hyperlink"/>
            <w:rFonts w:ascii="Calibri" w:hAnsi="Calibri" w:cs="Calibri"/>
            <w:color w:val="auto"/>
            <w:sz w:val="18"/>
            <w:szCs w:val="18"/>
          </w:rPr>
          <w:t xml:space="preserve"> [2024] NICA 59</w:t>
        </w:r>
      </w:hyperlink>
      <w:r w:rsidRPr="00E60F6A">
        <w:rPr>
          <w:rStyle w:val="Hyperlink"/>
          <w:rFonts w:ascii="Calibri" w:hAnsi="Calibri" w:cs="Calibri"/>
          <w:color w:val="auto"/>
          <w:sz w:val="18"/>
          <w:szCs w:val="18"/>
        </w:rPr>
        <w:t xml:space="preserve"> at </w:t>
      </w:r>
      <w:r w:rsidR="004C71D5" w:rsidRPr="00E60F6A">
        <w:rPr>
          <w:rStyle w:val="Hyperlink"/>
          <w:rFonts w:ascii="Calibri" w:hAnsi="Calibri" w:cs="Calibri"/>
          <w:color w:val="auto"/>
          <w:sz w:val="18"/>
          <w:szCs w:val="18"/>
        </w:rPr>
        <w:t xml:space="preserve">para </w:t>
      </w:r>
      <w:r w:rsidRPr="00E60F6A">
        <w:rPr>
          <w:rStyle w:val="Hyperlink"/>
          <w:rFonts w:ascii="Calibri" w:hAnsi="Calibri" w:cs="Calibri"/>
          <w:color w:val="auto"/>
          <w:sz w:val="18"/>
          <w:szCs w:val="18"/>
        </w:rPr>
        <w:t>112</w:t>
      </w:r>
      <w:r w:rsidRPr="00E60F6A">
        <w:rPr>
          <w:rStyle w:val="Hyperlink"/>
          <w:rFonts w:ascii="Calibri" w:hAnsi="Calibri" w:cs="Calibri"/>
          <w:color w:val="auto"/>
          <w:sz w:val="18"/>
          <w:szCs w:val="18"/>
          <w:u w:val="none"/>
        </w:rPr>
        <w:t xml:space="preserve">;  </w:t>
      </w:r>
      <w:hyperlink r:id="rId8" w:history="1">
        <w:r w:rsidRPr="00E60F6A">
          <w:rPr>
            <w:rStyle w:val="Hyperlink"/>
            <w:rFonts w:ascii="Calibri" w:hAnsi="Calibri" w:cs="Calibri"/>
            <w:i/>
            <w:iCs/>
            <w:color w:val="auto"/>
            <w:sz w:val="18"/>
            <w:szCs w:val="18"/>
          </w:rPr>
          <w:t xml:space="preserve">Re SPUC Pro-Life Limited Application </w:t>
        </w:r>
        <w:r w:rsidRPr="00E60F6A">
          <w:rPr>
            <w:rStyle w:val="Hyperlink"/>
            <w:rFonts w:ascii="Calibri" w:hAnsi="Calibri" w:cs="Calibri"/>
            <w:color w:val="auto"/>
            <w:sz w:val="18"/>
            <w:szCs w:val="18"/>
          </w:rPr>
          <w:t>[2023] NICA 35</w:t>
        </w:r>
      </w:hyperlink>
      <w:r w:rsidRPr="00E60F6A">
        <w:rPr>
          <w:rStyle w:val="Hyperlink"/>
          <w:rFonts w:ascii="Calibri" w:hAnsi="Calibri" w:cs="Calibri"/>
          <w:color w:val="auto"/>
          <w:sz w:val="18"/>
          <w:szCs w:val="18"/>
          <w:u w:val="none"/>
        </w:rPr>
        <w:t xml:space="preserve"> at </w:t>
      </w:r>
      <w:r w:rsidR="004C71D5" w:rsidRPr="00E60F6A">
        <w:rPr>
          <w:rStyle w:val="Hyperlink"/>
          <w:rFonts w:ascii="Calibri" w:hAnsi="Calibri" w:cs="Calibri"/>
          <w:color w:val="auto"/>
          <w:sz w:val="18"/>
          <w:szCs w:val="18"/>
          <w:u w:val="none"/>
        </w:rPr>
        <w:t xml:space="preserve">para </w:t>
      </w:r>
      <w:r w:rsidRPr="00E60F6A">
        <w:rPr>
          <w:rStyle w:val="Hyperlink"/>
          <w:rFonts w:ascii="Calibri" w:hAnsi="Calibri" w:cs="Calibri"/>
          <w:color w:val="auto"/>
          <w:sz w:val="18"/>
          <w:szCs w:val="18"/>
          <w:u w:val="none"/>
        </w:rPr>
        <w:t>72.</w:t>
      </w:r>
    </w:p>
  </w:footnote>
  <w:footnote w:id="19">
    <w:p w14:paraId="4D9837AB" w14:textId="7C9ABD3A" w:rsidR="006D461E" w:rsidRPr="00E60F6A" w:rsidRDefault="006D461E"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UK Government and EU Commission, ‘</w:t>
      </w:r>
      <w:hyperlink r:id="rId9" w:history="1">
        <w:r w:rsidRPr="00E60F6A">
          <w:rPr>
            <w:rStyle w:val="Hyperlink"/>
            <w:rFonts w:ascii="Calibri" w:hAnsi="Calibri" w:cs="Calibri"/>
            <w:color w:val="auto"/>
            <w:sz w:val="18"/>
            <w:szCs w:val="18"/>
          </w:rPr>
          <w:t>Windsor Political Declaration</w:t>
        </w:r>
      </w:hyperlink>
      <w:r w:rsidRPr="00E60F6A">
        <w:rPr>
          <w:rFonts w:ascii="Calibri" w:hAnsi="Calibri" w:cs="Calibri"/>
          <w:sz w:val="18"/>
          <w:szCs w:val="18"/>
        </w:rPr>
        <w:t xml:space="preserve"> by the European Commission and the Government of the United Kingdom’, 27 February 2023.</w:t>
      </w:r>
      <w:r w:rsidR="00300D70" w:rsidRPr="00E60F6A">
        <w:rPr>
          <w:rFonts w:ascii="Calibri" w:hAnsi="Calibri" w:cs="Calibri"/>
          <w:sz w:val="18"/>
          <w:szCs w:val="18"/>
        </w:rPr>
        <w:t xml:space="preserve"> The UK Government also produced a Command paper setting out the UK Government’s understanding of what has been agreed. UK Government, ‘The Windsor Framework: a new way forward - CP806’ (UK Gov, 2023).</w:t>
      </w:r>
    </w:p>
  </w:footnote>
  <w:footnote w:id="20">
    <w:p w14:paraId="2A1369F2" w14:textId="0CAD278C" w:rsidR="00872129" w:rsidRPr="00E60F6A" w:rsidRDefault="00872129"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Article 165, Withdrawal Agreement</w:t>
      </w:r>
      <w:r w:rsidR="0037549F" w:rsidRPr="00E60F6A">
        <w:rPr>
          <w:rFonts w:ascii="Calibri" w:hAnsi="Calibri" w:cs="Calibri"/>
          <w:sz w:val="18"/>
          <w:szCs w:val="18"/>
        </w:rPr>
        <w:t>.</w:t>
      </w:r>
    </w:p>
  </w:footnote>
  <w:footnote w:id="21">
    <w:p w14:paraId="4AE6DFF6" w14:textId="5594CFA0" w:rsidR="00156958" w:rsidRPr="00E60F6A" w:rsidRDefault="00156958"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Article 14, Windsor Framework.</w:t>
      </w:r>
    </w:p>
  </w:footnote>
  <w:footnote w:id="22">
    <w:p w14:paraId="2D9B5216" w14:textId="6E680879" w:rsidR="00156958" w:rsidRPr="00E60F6A" w:rsidRDefault="00156958"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See Article 164, UK-EU Withdrawal Agreement; Article 13(4), Windsor Framework. </w:t>
      </w:r>
    </w:p>
  </w:footnote>
  <w:footnote w:id="23">
    <w:p w14:paraId="2C9E9C7A" w14:textId="03DCE09A" w:rsidR="005E0BE0" w:rsidRPr="00E60F6A" w:rsidRDefault="005E0BE0">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Article 14(c), Windsor Framework; Section 78A(9) in respect of the Northern Ireland Human Rights Commission and Section 78B(9) in respect of the Equality Commission for Northern Ireland. </w:t>
      </w:r>
    </w:p>
  </w:footnote>
  <w:footnote w:id="24">
    <w:p w14:paraId="2494E6A4" w14:textId="3E111922" w:rsidR="00C277D8" w:rsidRPr="00E60F6A" w:rsidRDefault="00C277D8"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UK Government and EU Commission</w:t>
      </w:r>
      <w:r w:rsidR="005E2AB5" w:rsidRPr="00E60F6A">
        <w:rPr>
          <w:rFonts w:ascii="Calibri" w:hAnsi="Calibri" w:cs="Calibri"/>
          <w:sz w:val="18"/>
          <w:szCs w:val="18"/>
        </w:rPr>
        <w:t xml:space="preserve">, ‘Press Release: Specialised Committee on the Implementation of the Windsor Framework -  Joint Statement’, 6 March 2025. </w:t>
      </w:r>
    </w:p>
  </w:footnote>
  <w:footnote w:id="25">
    <w:p w14:paraId="18F38C5D" w14:textId="761FBCB5" w:rsidR="00F16392" w:rsidRPr="00E60F6A" w:rsidRDefault="00F16392"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Article 15, Windsor Framework. </w:t>
      </w:r>
    </w:p>
  </w:footnote>
  <w:footnote w:id="26">
    <w:p w14:paraId="0F03A3C1" w14:textId="77777777" w:rsidR="00091B28" w:rsidRPr="00E60F6A" w:rsidRDefault="00091B28"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UK Government and EU Commission, ‘Windsor Political Declaration by the European Commission and UK’ (HM Government, 2023), at 3; EU Commission, ‘Commission statement on Enhanced engagement with NI </w:t>
      </w:r>
      <w:proofErr w:type="gramStart"/>
      <w:r w:rsidRPr="00E60F6A">
        <w:rPr>
          <w:rFonts w:ascii="Calibri" w:hAnsi="Calibri" w:cs="Calibri"/>
          <w:sz w:val="18"/>
          <w:szCs w:val="18"/>
        </w:rPr>
        <w:t>stakeholders’</w:t>
      </w:r>
      <w:proofErr w:type="gramEnd"/>
      <w:r w:rsidRPr="00E60F6A">
        <w:rPr>
          <w:rFonts w:ascii="Calibri" w:hAnsi="Calibri" w:cs="Calibri"/>
          <w:sz w:val="18"/>
          <w:szCs w:val="18"/>
        </w:rPr>
        <w:t>.</w:t>
      </w:r>
    </w:p>
  </w:footnote>
  <w:footnote w:id="27">
    <w:p w14:paraId="090E8629" w14:textId="77777777" w:rsidR="0094417D" w:rsidRPr="00E60F6A" w:rsidRDefault="0094417D"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Article 15(3), Windsor Framework</w:t>
      </w:r>
    </w:p>
  </w:footnote>
  <w:footnote w:id="28">
    <w:p w14:paraId="6DE09264" w14:textId="0392B29C" w:rsidR="001705D9" w:rsidRPr="00E60F6A" w:rsidRDefault="001705D9"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bookmarkStart w:id="10" w:name="_Hlk165648812"/>
      <w:r w:rsidRPr="00E60F6A">
        <w:rPr>
          <w:rFonts w:ascii="Calibri" w:hAnsi="Calibri" w:cs="Calibri"/>
          <w:sz w:val="18"/>
          <w:szCs w:val="18"/>
        </w:rPr>
        <w:t>Directive 2023/970/EU, ‘EU Parliament and Council Directive to strengthen the application of the principle of equal pay for equal work or work of equal value between men and women through pay transparency and enforcement mechanisms’, 10 May 2023</w:t>
      </w:r>
      <w:bookmarkEnd w:id="10"/>
      <w:r w:rsidRPr="00E60F6A">
        <w:rPr>
          <w:rFonts w:ascii="Calibri" w:hAnsi="Calibri" w:cs="Calibri"/>
          <w:sz w:val="18"/>
          <w:szCs w:val="18"/>
        </w:rPr>
        <w:t>.</w:t>
      </w:r>
    </w:p>
  </w:footnote>
  <w:footnote w:id="29">
    <w:p w14:paraId="76C7E009" w14:textId="01F20093" w:rsidR="001705D9" w:rsidRPr="00E60F6A" w:rsidRDefault="001705D9"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r w:rsidRPr="00E60F6A">
        <w:rPr>
          <w:rFonts w:ascii="Calibri" w:hAnsi="Calibri" w:cs="Calibri"/>
          <w:sz w:val="18"/>
          <w:szCs w:val="18"/>
          <w:shd w:val="clear" w:color="auto" w:fill="FFFFFF"/>
        </w:rPr>
        <w:t>Directive 2006/54/EC ‘EU Parliament and Council Directive on the implementation of the principle of equal opportunities and equal treatment of men and women in matters of employment and occupation (recast)’, 5 July 2006.</w:t>
      </w:r>
    </w:p>
  </w:footnote>
  <w:footnote w:id="30">
    <w:p w14:paraId="4C95D098" w14:textId="62C58728" w:rsidR="001705D9" w:rsidRPr="00E60F6A" w:rsidRDefault="001705D9"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Equality Commission for NI and NI Human Rights Commission, ‘ECNI and NIHRC Briefing Paper: The EU Pay Transparency Directive: The UK Government’s dynamic alignment obligations relating to Windsor Framework Article 2’ (ECNI and NIHRC, 2024).</w:t>
      </w:r>
    </w:p>
  </w:footnote>
  <w:footnote w:id="31">
    <w:p w14:paraId="7F59E618" w14:textId="6BF79A54" w:rsidR="00B403CC" w:rsidRPr="00E60F6A" w:rsidRDefault="00B403CC" w:rsidP="00B403CC">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Equality Commission for NI and NI Human Rights Commission, ‘Submission of the NIHRC and ECNI to the House of Lords Sub-Committee on the Protocol’s call for evidence for its inquiry on the Windsor Framework’ (ECNI and NIHRC, 2023)</w:t>
      </w:r>
      <w:r w:rsidR="00A10808" w:rsidRPr="00E60F6A">
        <w:rPr>
          <w:rFonts w:ascii="Calibri" w:hAnsi="Calibri" w:cs="Calibri"/>
          <w:sz w:val="18"/>
          <w:szCs w:val="18"/>
        </w:rPr>
        <w:t>. The recommendation was endorsed in House of Lords European Affairs Committee,  ‘7</w:t>
      </w:r>
      <w:r w:rsidR="00A10808" w:rsidRPr="00E60F6A">
        <w:rPr>
          <w:rFonts w:ascii="Calibri" w:hAnsi="Calibri" w:cs="Calibri"/>
          <w:sz w:val="18"/>
          <w:szCs w:val="18"/>
          <w:vertAlign w:val="superscript"/>
        </w:rPr>
        <w:t>th</w:t>
      </w:r>
      <w:r w:rsidR="00A10808" w:rsidRPr="00E60F6A">
        <w:rPr>
          <w:rFonts w:ascii="Calibri" w:hAnsi="Calibri" w:cs="Calibri"/>
          <w:sz w:val="18"/>
          <w:szCs w:val="18"/>
        </w:rPr>
        <w:t xml:space="preserve"> Report of Session 2022-23 – Report from the Sub-Committee on the Protocol on Ireland/Northern Ireland: The Windsor Framework’ (HOL, 2023), at para 298</w:t>
      </w:r>
      <w:r w:rsidRPr="00E60F6A">
        <w:rPr>
          <w:rFonts w:ascii="Calibri" w:hAnsi="Calibri" w:cs="Calibri"/>
          <w:sz w:val="18"/>
          <w:szCs w:val="18"/>
        </w:rPr>
        <w:t>.</w:t>
      </w:r>
    </w:p>
  </w:footnote>
  <w:footnote w:id="32">
    <w:p w14:paraId="19EDD45E" w14:textId="2B8DA233" w:rsidR="00091B28" w:rsidRPr="00E60F6A" w:rsidRDefault="00091B28"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r w:rsidR="00BC2B37" w:rsidRPr="00E60F6A">
        <w:rPr>
          <w:rFonts w:ascii="Calibri" w:hAnsi="Calibri" w:cs="Calibri"/>
          <w:sz w:val="18"/>
          <w:szCs w:val="18"/>
        </w:rPr>
        <w:t>UK Government, ‘Government response to the Northern Ireland Protocol Sub-Committee Report on the Windsor Framework’ (UK Gov, 2023).</w:t>
      </w:r>
    </w:p>
  </w:footnote>
  <w:footnote w:id="33">
    <w:p w14:paraId="564FE4FF" w14:textId="77777777" w:rsidR="000300BF" w:rsidRPr="00E60F6A" w:rsidRDefault="000300BF" w:rsidP="000300BF">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Cabinet Office, ‘Guide to Preparing Explanatory Memoranda (EMs) to Statutory Instruments’ (CO, 2024), at para 6.1.</w:t>
      </w:r>
    </w:p>
  </w:footnote>
  <w:footnote w:id="34">
    <w:p w14:paraId="6D450C0D" w14:textId="3B0D4B33" w:rsidR="000300BF" w:rsidRPr="00E60F6A" w:rsidRDefault="000300BF" w:rsidP="000300BF">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r w:rsidR="00F8454A" w:rsidRPr="00E60F6A">
        <w:rPr>
          <w:rFonts w:ascii="Calibri" w:hAnsi="Calibri" w:cs="Calibri"/>
          <w:sz w:val="18"/>
          <w:szCs w:val="18"/>
        </w:rPr>
        <w:t>Cabinet Office, ‘Guide to Making Legislation 2025’ (CO, 2025)</w:t>
      </w:r>
      <w:r w:rsidRPr="00E60F6A">
        <w:rPr>
          <w:rFonts w:ascii="Calibri" w:hAnsi="Calibri" w:cs="Calibri"/>
          <w:sz w:val="18"/>
          <w:szCs w:val="18"/>
        </w:rPr>
        <w:t>.</w:t>
      </w:r>
    </w:p>
  </w:footnote>
  <w:footnote w:id="35">
    <w:p w14:paraId="0CEC3707" w14:textId="02C64926" w:rsidR="000300BF" w:rsidRPr="00E60F6A" w:rsidRDefault="000300BF" w:rsidP="000300BF">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r w:rsidR="006B621F" w:rsidRPr="00E60F6A">
        <w:rPr>
          <w:rFonts w:ascii="Calibri" w:hAnsi="Calibri" w:cs="Calibri"/>
          <w:sz w:val="18"/>
          <w:szCs w:val="18"/>
        </w:rPr>
        <w:t>Cabinet Office, ‘Guide to Making Legislation 2025’ (CO, 2025),</w:t>
      </w:r>
      <w:r w:rsidRPr="00E60F6A">
        <w:rPr>
          <w:rFonts w:ascii="Calibri" w:hAnsi="Calibri" w:cs="Calibri"/>
          <w:sz w:val="18"/>
          <w:szCs w:val="18"/>
        </w:rPr>
        <w:t xml:space="preserve"> at para 10.53.</w:t>
      </w:r>
    </w:p>
  </w:footnote>
  <w:footnote w:id="36">
    <w:p w14:paraId="44409AAC" w14:textId="5E6803AA" w:rsidR="007F1AC1" w:rsidRPr="00E60F6A" w:rsidRDefault="007F1AC1"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UK Government, ‘</w:t>
      </w:r>
      <w:r w:rsidR="006B6640" w:rsidRPr="00E60F6A">
        <w:rPr>
          <w:rFonts w:ascii="Calibri" w:hAnsi="Calibri" w:cs="Calibri"/>
          <w:sz w:val="18"/>
          <w:szCs w:val="18"/>
        </w:rPr>
        <w:t>Government response</w:t>
      </w:r>
      <w:r w:rsidRPr="00E60F6A">
        <w:rPr>
          <w:rFonts w:ascii="Calibri" w:hAnsi="Calibri" w:cs="Calibri"/>
          <w:sz w:val="18"/>
          <w:szCs w:val="18"/>
        </w:rPr>
        <w:t xml:space="preserve"> to the Sub-Committee on the Protocol on Ireland/Northern Ireland’s report Scrutiny of EU legislative proposals within the scope of the Protocol on Ireland/Northern Ireland’ (UK Gov, 2022), at para 15; House of Lords European Affairs Committee, ‘5</w:t>
      </w:r>
      <w:r w:rsidRPr="00E60F6A">
        <w:rPr>
          <w:rFonts w:ascii="Calibri" w:hAnsi="Calibri" w:cs="Calibri"/>
          <w:sz w:val="18"/>
          <w:szCs w:val="18"/>
          <w:vertAlign w:val="superscript"/>
        </w:rPr>
        <w:t>th</w:t>
      </w:r>
      <w:r w:rsidRPr="00E60F6A">
        <w:rPr>
          <w:rFonts w:ascii="Calibri" w:hAnsi="Calibri" w:cs="Calibri"/>
          <w:sz w:val="18"/>
          <w:szCs w:val="18"/>
        </w:rPr>
        <w:t xml:space="preserve"> Report of Session 2021-22 - </w:t>
      </w:r>
      <w:r w:rsidR="006B6640" w:rsidRPr="00E60F6A">
        <w:rPr>
          <w:rFonts w:ascii="Calibri" w:hAnsi="Calibri" w:cs="Calibri"/>
          <w:sz w:val="18"/>
          <w:szCs w:val="18"/>
        </w:rPr>
        <w:t>Report from the Sub-Committee on the Protocol on Ireland/Northern Ireland: Scrutiny of EU legislative proposals within the scope of the Protocol on Ireland/Northern Ireland</w:t>
      </w:r>
      <w:r w:rsidR="0037549F" w:rsidRPr="00E60F6A">
        <w:rPr>
          <w:rStyle w:val="Hyperlink"/>
          <w:rFonts w:ascii="Calibri" w:hAnsi="Calibri" w:cs="Calibri"/>
          <w:color w:val="auto"/>
          <w:sz w:val="18"/>
          <w:szCs w:val="18"/>
          <w:u w:val="none"/>
        </w:rPr>
        <w:t xml:space="preserve">’ </w:t>
      </w:r>
      <w:r w:rsidRPr="00E60F6A">
        <w:rPr>
          <w:rFonts w:ascii="Calibri" w:hAnsi="Calibri" w:cs="Calibri"/>
          <w:sz w:val="18"/>
          <w:szCs w:val="18"/>
        </w:rPr>
        <w:t>(HOL, 2022), at</w:t>
      </w:r>
      <w:r w:rsidR="008C6407" w:rsidRPr="00E60F6A">
        <w:rPr>
          <w:rFonts w:ascii="Calibri" w:hAnsi="Calibri" w:cs="Calibri"/>
          <w:sz w:val="18"/>
          <w:szCs w:val="18"/>
        </w:rPr>
        <w:t xml:space="preserve"> paras </w:t>
      </w:r>
      <w:r w:rsidR="00132231" w:rsidRPr="00E60F6A">
        <w:rPr>
          <w:rFonts w:ascii="Calibri" w:hAnsi="Calibri" w:cs="Calibri"/>
          <w:sz w:val="18"/>
          <w:szCs w:val="18"/>
        </w:rPr>
        <w:t>54-60</w:t>
      </w:r>
      <w:r w:rsidRPr="00E60F6A">
        <w:rPr>
          <w:rFonts w:ascii="Calibri" w:hAnsi="Calibri" w:cs="Calibri"/>
          <w:sz w:val="18"/>
          <w:szCs w:val="18"/>
        </w:rPr>
        <w:t>.</w:t>
      </w:r>
    </w:p>
  </w:footnote>
  <w:footnote w:id="37">
    <w:p w14:paraId="1266EF8E" w14:textId="1E1C565F" w:rsidR="00132231" w:rsidRPr="00E60F6A" w:rsidRDefault="00132231"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House of Commons, ‘European Scrutiny Committee discontinued’</w:t>
      </w:r>
      <w:r w:rsidR="00654FDC" w:rsidRPr="00E60F6A">
        <w:rPr>
          <w:rFonts w:ascii="Calibri" w:hAnsi="Calibri" w:cs="Calibri"/>
          <w:sz w:val="18"/>
          <w:szCs w:val="18"/>
        </w:rPr>
        <w:t xml:space="preserve"> 1 August 2024. Available at</w:t>
      </w:r>
      <w:r w:rsidR="0037549F" w:rsidRPr="00E60F6A">
        <w:rPr>
          <w:rFonts w:ascii="Calibri" w:hAnsi="Calibri" w:cs="Calibri"/>
          <w:sz w:val="18"/>
          <w:szCs w:val="18"/>
        </w:rPr>
        <w:t>:</w:t>
      </w:r>
      <w:r w:rsidR="00654FDC" w:rsidRPr="00E60F6A">
        <w:rPr>
          <w:rFonts w:ascii="Calibri" w:hAnsi="Calibri" w:cs="Calibri"/>
          <w:sz w:val="18"/>
          <w:szCs w:val="18"/>
        </w:rPr>
        <w:t xml:space="preserve"> </w:t>
      </w:r>
      <w:r w:rsidR="006B6640" w:rsidRPr="00E60F6A">
        <w:rPr>
          <w:rFonts w:ascii="Calibri" w:hAnsi="Calibri" w:cs="Calibri"/>
          <w:sz w:val="18"/>
          <w:szCs w:val="18"/>
        </w:rPr>
        <w:t>https://committees.parliament.uk/committee/69/european-scrutiny-committee/news/202417/european-scrutiny-committee-discontinued/</w:t>
      </w:r>
      <w:r w:rsidR="00957D8C" w:rsidRPr="00E60F6A">
        <w:rPr>
          <w:rFonts w:ascii="Calibri" w:hAnsi="Calibri" w:cs="Calibri"/>
          <w:sz w:val="18"/>
          <w:szCs w:val="18"/>
        </w:rPr>
        <w:t xml:space="preserve"> </w:t>
      </w:r>
    </w:p>
  </w:footnote>
  <w:footnote w:id="38">
    <w:p w14:paraId="46AC5893" w14:textId="0F60E796" w:rsidR="00B56CE3" w:rsidRPr="00E60F6A" w:rsidRDefault="00B56CE3"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003D00C3" w:rsidRPr="00E60F6A">
        <w:rPr>
          <w:rFonts w:ascii="Calibri" w:hAnsi="Calibri" w:cs="Calibri"/>
          <w:sz w:val="18"/>
          <w:szCs w:val="18"/>
        </w:rPr>
        <w:t xml:space="preserve"> </w:t>
      </w:r>
      <w:r w:rsidR="00D00204" w:rsidRPr="00E60F6A">
        <w:rPr>
          <w:rFonts w:ascii="Calibri" w:hAnsi="Calibri" w:cs="Calibri"/>
          <w:sz w:val="18"/>
          <w:szCs w:val="18"/>
        </w:rPr>
        <w:t>Decision No 1/2023 of the Joint Committee</w:t>
      </w:r>
      <w:r w:rsidR="003D00C3" w:rsidRPr="00E60F6A">
        <w:rPr>
          <w:rFonts w:ascii="Calibri" w:hAnsi="Calibri" w:cs="Calibri"/>
          <w:sz w:val="18"/>
          <w:szCs w:val="18"/>
        </w:rPr>
        <w:t xml:space="preserve"> established by the agreement on the withdrawal of the United Kingdom Great Britain and Northern Ireland from the European Union and the European Atomic Energy Community of 24 March 2023, laying down arrangements relating to the Windsor Framework</w:t>
      </w:r>
      <w:r w:rsidR="00037AF2" w:rsidRPr="00E60F6A">
        <w:rPr>
          <w:rFonts w:ascii="Calibri" w:hAnsi="Calibri" w:cs="Calibri"/>
          <w:sz w:val="18"/>
          <w:szCs w:val="18"/>
        </w:rPr>
        <w:t>, given effect in UK law by The Windsor Framework (Democratic Scrutiny) Regulations 2024 (SI 2024/118)</w:t>
      </w:r>
      <w:r w:rsidR="003D00C3" w:rsidRPr="00E60F6A">
        <w:rPr>
          <w:rFonts w:ascii="Calibri" w:hAnsi="Calibri" w:cs="Calibri"/>
          <w:sz w:val="18"/>
          <w:szCs w:val="18"/>
        </w:rPr>
        <w:t xml:space="preserve">.  </w:t>
      </w:r>
      <w:proofErr w:type="gramStart"/>
      <w:r w:rsidR="003D00C3" w:rsidRPr="00E60F6A">
        <w:rPr>
          <w:rFonts w:ascii="Calibri" w:hAnsi="Calibri" w:cs="Calibri"/>
          <w:sz w:val="18"/>
          <w:szCs w:val="18"/>
        </w:rPr>
        <w:t>In order to</w:t>
      </w:r>
      <w:proofErr w:type="gramEnd"/>
      <w:r w:rsidR="003D00C3" w:rsidRPr="00E60F6A">
        <w:rPr>
          <w:rFonts w:ascii="Calibri" w:hAnsi="Calibri" w:cs="Calibri"/>
          <w:sz w:val="18"/>
          <w:szCs w:val="18"/>
        </w:rPr>
        <w:t xml:space="preserve"> activate the ‘Stormont brake’, MLAs must be acting in good faith, meet the minimum threshold of the petition of concern process, have engaged in a range of consultation processes, and demonstrate that the EU rule has a significant and lasting impact specific to the everyday lives of communities in NI in a way that is liable to persist.  Where the Secretary of State accepts the conditions for the ‘Stormont brake’ are met, and the UK notifies the UK-EU Joint Committee, Article 13(3a) of the Windsor Framework sets out the procedures for next steps, including the non-application of the relevant new EU measure</w:t>
      </w:r>
      <w:r w:rsidR="00FA35F5" w:rsidRPr="00E60F6A">
        <w:rPr>
          <w:rFonts w:ascii="Calibri" w:hAnsi="Calibri" w:cs="Calibri"/>
          <w:sz w:val="18"/>
          <w:szCs w:val="18"/>
        </w:rPr>
        <w:t>.</w:t>
      </w:r>
    </w:p>
  </w:footnote>
  <w:footnote w:id="39">
    <w:p w14:paraId="15089F16" w14:textId="0CF2F14A" w:rsidR="003A3F60" w:rsidRPr="00E60F6A" w:rsidRDefault="003A3F60">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r w:rsidR="009F17AE" w:rsidRPr="00E60F6A">
        <w:rPr>
          <w:rFonts w:ascii="Calibri" w:hAnsi="Calibri" w:cs="Calibri"/>
          <w:sz w:val="18"/>
          <w:szCs w:val="18"/>
        </w:rPr>
        <w:t>Equality Commission for NI and NI Human Rights Commission,</w:t>
      </w:r>
      <w:r w:rsidR="008B6670" w:rsidRPr="00E60F6A">
        <w:rPr>
          <w:rFonts w:ascii="Calibri" w:hAnsi="Calibri" w:cs="Calibri"/>
          <w:sz w:val="18"/>
          <w:szCs w:val="18"/>
        </w:rPr>
        <w:t xml:space="preserve"> ‘</w:t>
      </w:r>
      <w:r w:rsidR="003F2BA0" w:rsidRPr="00E60F6A">
        <w:rPr>
          <w:rFonts w:ascii="Calibri" w:hAnsi="Calibri" w:cs="Calibri"/>
          <w:sz w:val="18"/>
          <w:szCs w:val="18"/>
        </w:rPr>
        <w:t>Submission of the NIHRC and ECNI to the House of Lords Sub</w:t>
      </w:r>
      <w:r w:rsidR="00707A06" w:rsidRPr="00E60F6A">
        <w:rPr>
          <w:rFonts w:ascii="Calibri" w:hAnsi="Calibri" w:cs="Calibri"/>
          <w:sz w:val="18"/>
          <w:szCs w:val="18"/>
        </w:rPr>
        <w:t>-</w:t>
      </w:r>
      <w:r w:rsidR="003F2BA0" w:rsidRPr="00E60F6A">
        <w:rPr>
          <w:rFonts w:ascii="Calibri" w:hAnsi="Calibri" w:cs="Calibri"/>
          <w:sz w:val="18"/>
          <w:szCs w:val="18"/>
        </w:rPr>
        <w:t>Committee on the Protocol’s call for evidence for its inquiry on the Windsor Framework</w:t>
      </w:r>
      <w:r w:rsidR="00707A06" w:rsidRPr="00E60F6A">
        <w:rPr>
          <w:rFonts w:ascii="Calibri" w:hAnsi="Calibri" w:cs="Calibri"/>
          <w:sz w:val="18"/>
          <w:szCs w:val="18"/>
        </w:rPr>
        <w:t>’</w:t>
      </w:r>
      <w:r w:rsidR="003F2BA0" w:rsidRPr="00E60F6A">
        <w:rPr>
          <w:rFonts w:ascii="Calibri" w:hAnsi="Calibri" w:cs="Calibri"/>
          <w:sz w:val="18"/>
          <w:szCs w:val="18"/>
        </w:rPr>
        <w:t xml:space="preserve"> (</w:t>
      </w:r>
      <w:r w:rsidR="00707A06" w:rsidRPr="00E60F6A">
        <w:rPr>
          <w:rFonts w:ascii="Calibri" w:hAnsi="Calibri" w:cs="Calibri"/>
          <w:sz w:val="18"/>
          <w:szCs w:val="18"/>
        </w:rPr>
        <w:t xml:space="preserve">ECNI and NIHRC, </w:t>
      </w:r>
      <w:r w:rsidR="003F2BA0" w:rsidRPr="00E60F6A">
        <w:rPr>
          <w:rFonts w:ascii="Calibri" w:hAnsi="Calibri" w:cs="Calibri"/>
          <w:sz w:val="18"/>
          <w:szCs w:val="18"/>
        </w:rPr>
        <w:t>2023),</w:t>
      </w:r>
      <w:r w:rsidRPr="00E60F6A">
        <w:rPr>
          <w:rFonts w:ascii="Calibri" w:hAnsi="Calibri" w:cs="Calibri"/>
          <w:sz w:val="18"/>
          <w:szCs w:val="18"/>
        </w:rPr>
        <w:t xml:space="preserve"> </w:t>
      </w:r>
      <w:r w:rsidR="00707A06" w:rsidRPr="00E60F6A">
        <w:rPr>
          <w:rFonts w:ascii="Calibri" w:hAnsi="Calibri" w:cs="Calibri"/>
          <w:sz w:val="18"/>
          <w:szCs w:val="18"/>
        </w:rPr>
        <w:t>at para</w:t>
      </w:r>
      <w:r w:rsidRPr="00E60F6A">
        <w:rPr>
          <w:rFonts w:ascii="Calibri" w:hAnsi="Calibri" w:cs="Calibri"/>
          <w:sz w:val="18"/>
          <w:szCs w:val="18"/>
        </w:rPr>
        <w:t xml:space="preserve"> 2.28</w:t>
      </w:r>
      <w:r w:rsidR="00876AB9" w:rsidRPr="00E60F6A">
        <w:rPr>
          <w:rFonts w:ascii="Calibri" w:hAnsi="Calibri" w:cs="Calibri"/>
          <w:sz w:val="18"/>
          <w:szCs w:val="18"/>
        </w:rPr>
        <w:t>.</w:t>
      </w:r>
    </w:p>
  </w:footnote>
  <w:footnote w:id="40">
    <w:p w14:paraId="0BC46019" w14:textId="09C0B2A1" w:rsidR="00971F58" w:rsidRPr="00E60F6A" w:rsidRDefault="00971F58"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Equality Commission for NI and NI Human Rights Commission, ‘Submission of the NIHRC and ECNI to the House of Lords Sub-Committee on the Protocol’s call for evidence for its inquiry on the Windsor Framework’ (ECNI and NIHRC, 2023), at paras 2.27-2.52</w:t>
      </w:r>
      <w:r w:rsidR="00286623" w:rsidRPr="00E60F6A">
        <w:rPr>
          <w:rFonts w:ascii="Calibri" w:hAnsi="Calibri" w:cs="Calibri"/>
          <w:sz w:val="18"/>
          <w:szCs w:val="18"/>
        </w:rPr>
        <w:t>. NI Human Rights Commission and Equality Commission for NI, ‘Working Paper: Scope of Article 2(1) of the Ireland/Northern Ireland Protocol to the UK-EU Withdrawal Agreement 2020’ (NIHRC and ECNI, 2022).</w:t>
      </w:r>
    </w:p>
  </w:footnote>
  <w:footnote w:id="41">
    <w:p w14:paraId="07A7690A" w14:textId="77777777" w:rsidR="00971F58" w:rsidRPr="00E60F6A" w:rsidRDefault="00971F58"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Equality Commission for NI and NI Human Rights Commission, ‘Submission of the NIHRC and ECNI to the House of Lords Sub-Committee on the Protocol’s call for evidence for its inquiry on the Windsor Framework’ (ECNI and NIHRC, 2023).</w:t>
      </w:r>
    </w:p>
  </w:footnote>
  <w:footnote w:id="42">
    <w:p w14:paraId="2C736156" w14:textId="77777777" w:rsidR="007C7AC8" w:rsidRPr="00E60F6A" w:rsidRDefault="007C7AC8" w:rsidP="007C7AC8">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Equality Commission for NI and NI Human Rights Commission, ‘Submission of the ECNI and NIHRC to the NI Affairs Committee Inquiry into the Operation of the Windsor Framework in Northern Ireland’ (ECNI and NIHRC, 2025)</w:t>
      </w:r>
    </w:p>
  </w:footnote>
  <w:footnote w:id="43">
    <w:p w14:paraId="28E448BC" w14:textId="5B971CB8" w:rsidR="00E90AE0" w:rsidRPr="00E60F6A" w:rsidRDefault="00E90AE0"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r w:rsidR="00345658" w:rsidRPr="00E60F6A">
        <w:rPr>
          <w:rFonts w:ascii="Calibri" w:hAnsi="Calibri" w:cs="Calibri"/>
          <w:sz w:val="18"/>
          <w:szCs w:val="18"/>
        </w:rPr>
        <w:t>U</w:t>
      </w:r>
      <w:r w:rsidRPr="00E60F6A">
        <w:rPr>
          <w:rFonts w:ascii="Calibri" w:hAnsi="Calibri" w:cs="Calibri"/>
          <w:sz w:val="18"/>
          <w:szCs w:val="18"/>
        </w:rPr>
        <w:t>K Government and EU Commission, ‘Windsor Political Declaration by the European Commission and UK’ (HM Government, 2023), at 3; EU Commission, ‘Commission statement on Enhanced engagement with NI stakeholders’</w:t>
      </w:r>
      <w:r w:rsidR="007B00A3" w:rsidRPr="00E60F6A">
        <w:rPr>
          <w:rFonts w:ascii="Calibri" w:hAnsi="Calibri" w:cs="Calibri"/>
          <w:sz w:val="18"/>
          <w:szCs w:val="18"/>
        </w:rPr>
        <w:t>, 27 February 2023</w:t>
      </w:r>
      <w:r w:rsidRPr="00E60F6A">
        <w:rPr>
          <w:rFonts w:ascii="Calibri" w:hAnsi="Calibri" w:cs="Calibri"/>
          <w:sz w:val="18"/>
          <w:szCs w:val="18"/>
        </w:rPr>
        <w:t>.</w:t>
      </w:r>
    </w:p>
  </w:footnote>
  <w:footnote w:id="44">
    <w:p w14:paraId="2B054549" w14:textId="03244AF0" w:rsidR="00417B00" w:rsidRPr="00E60F6A" w:rsidRDefault="00417B00">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w:t>
      </w:r>
      <w:r w:rsidR="007B00A3" w:rsidRPr="00E60F6A">
        <w:rPr>
          <w:rFonts w:ascii="Calibri" w:hAnsi="Calibri" w:cs="Calibri"/>
          <w:sz w:val="18"/>
          <w:szCs w:val="18"/>
        </w:rPr>
        <w:t>Article 14(c), Windsor Framework; Sections 78A(9) and 78B(9), N</w:t>
      </w:r>
      <w:r w:rsidR="00DF11E5" w:rsidRPr="00E60F6A">
        <w:rPr>
          <w:rFonts w:ascii="Calibri" w:hAnsi="Calibri" w:cs="Calibri"/>
          <w:sz w:val="18"/>
          <w:szCs w:val="18"/>
        </w:rPr>
        <w:t xml:space="preserve">orthern </w:t>
      </w:r>
      <w:r w:rsidR="007B00A3" w:rsidRPr="00E60F6A">
        <w:rPr>
          <w:rFonts w:ascii="Calibri" w:hAnsi="Calibri" w:cs="Calibri"/>
          <w:sz w:val="18"/>
          <w:szCs w:val="18"/>
        </w:rPr>
        <w:t>I</w:t>
      </w:r>
      <w:r w:rsidR="00DF11E5" w:rsidRPr="00E60F6A">
        <w:rPr>
          <w:rFonts w:ascii="Calibri" w:hAnsi="Calibri" w:cs="Calibri"/>
          <w:sz w:val="18"/>
          <w:szCs w:val="18"/>
        </w:rPr>
        <w:t>reland</w:t>
      </w:r>
      <w:r w:rsidR="007B00A3" w:rsidRPr="00E60F6A">
        <w:rPr>
          <w:rFonts w:ascii="Calibri" w:hAnsi="Calibri" w:cs="Calibri"/>
          <w:sz w:val="18"/>
          <w:szCs w:val="18"/>
        </w:rPr>
        <w:t xml:space="preserve"> Act 1998.</w:t>
      </w:r>
    </w:p>
  </w:footnote>
  <w:footnote w:id="45">
    <w:p w14:paraId="78F2965D" w14:textId="72D371B7" w:rsidR="00771502" w:rsidRPr="00E60F6A" w:rsidRDefault="00771502" w:rsidP="009D4EC6">
      <w:pPr>
        <w:pStyle w:val="FootnoteText"/>
        <w:rPr>
          <w:rFonts w:ascii="Calibri" w:hAnsi="Calibri" w:cs="Calibri"/>
          <w:sz w:val="18"/>
          <w:szCs w:val="18"/>
        </w:rPr>
      </w:pPr>
      <w:r w:rsidRPr="00E60F6A">
        <w:rPr>
          <w:rStyle w:val="FootnoteReference"/>
          <w:rFonts w:ascii="Calibri" w:hAnsi="Calibri" w:cs="Calibri"/>
          <w:sz w:val="18"/>
          <w:szCs w:val="18"/>
        </w:rPr>
        <w:footnoteRef/>
      </w:r>
      <w:r w:rsidR="003D532D" w:rsidRPr="00E60F6A">
        <w:rPr>
          <w:rFonts w:ascii="Calibri" w:hAnsi="Calibri" w:cs="Calibri"/>
          <w:sz w:val="18"/>
          <w:szCs w:val="18"/>
        </w:rPr>
        <w:t xml:space="preserve"> UK Government and EU Commission, ‘Windsor Political Declaration by the European Commission and UK’ (HM Government, 2023); Rule 3 of the Consolidated Rules of Procedure of the Joint Consultative Working Group.</w:t>
      </w:r>
    </w:p>
  </w:footnote>
  <w:footnote w:id="46">
    <w:p w14:paraId="4EDDF838" w14:textId="4AB168CF" w:rsidR="00911E9E" w:rsidRPr="00E60F6A" w:rsidRDefault="00911E9E">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Equality Commission for NI and NI Human Rights Commission, ‘Submission of the NIHRC and ECNI to the House of Lords Sub-Committee on the Protocol’s call for evidence for its inquiry on the Windsor Framework’ (ECNI and NIHRC, 2023).</w:t>
      </w:r>
    </w:p>
  </w:footnote>
  <w:footnote w:id="47">
    <w:p w14:paraId="2835E0D3" w14:textId="00480F2E" w:rsidR="0037549F" w:rsidRPr="00E60F6A" w:rsidRDefault="0037549F" w:rsidP="0037549F">
      <w:pPr>
        <w:pStyle w:val="FootnoteText"/>
        <w:rPr>
          <w:rFonts w:ascii="Calibri" w:hAnsi="Calibri" w:cs="Calibri"/>
          <w:sz w:val="18"/>
          <w:szCs w:val="18"/>
        </w:rPr>
      </w:pPr>
      <w:r w:rsidRPr="00E60F6A">
        <w:rPr>
          <w:rStyle w:val="FootnoteReference"/>
          <w:rFonts w:ascii="Calibri" w:hAnsi="Calibri" w:cs="Calibri"/>
          <w:sz w:val="18"/>
          <w:szCs w:val="18"/>
        </w:rPr>
        <w:footnoteRef/>
      </w:r>
      <w:r w:rsidRPr="00E60F6A">
        <w:rPr>
          <w:rFonts w:ascii="Calibri" w:hAnsi="Calibri" w:cs="Calibri"/>
          <w:sz w:val="18"/>
          <w:szCs w:val="18"/>
        </w:rPr>
        <w:t xml:space="preserve"> NI Human Rights Commission and Equality Commission for NI, ‘Annual Report on the Implementation of Article 2 of the Windsor Framework 2023-2024’ (NIHRC and ECNI, 2024), at para 2.30.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7B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07972"/>
    <w:multiLevelType w:val="multilevel"/>
    <w:tmpl w:val="A672EB30"/>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D8978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463371"/>
    <w:multiLevelType w:val="hybridMultilevel"/>
    <w:tmpl w:val="7E4CA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E31D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B64C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470589"/>
    <w:multiLevelType w:val="multilevel"/>
    <w:tmpl w:val="46E08AF0"/>
    <w:lvl w:ilvl="0">
      <w:start w:val="1"/>
      <w:numFmt w:val="decimal"/>
      <w:lvlText w:val="%1.0"/>
      <w:lvlJc w:val="left"/>
      <w:pPr>
        <w:ind w:left="720" w:hanging="720"/>
      </w:pPr>
      <w:rPr>
        <w:rFonts w:hint="default"/>
      </w:rPr>
    </w:lvl>
    <w:lvl w:ilvl="1">
      <w:start w:val="1"/>
      <w:numFmt w:val="decimal"/>
      <w:pStyle w:val="ListParagraph"/>
      <w:lvlText w:val="%1.%2"/>
      <w:lvlJc w:val="left"/>
      <w:pPr>
        <w:ind w:left="1004" w:hanging="720"/>
      </w:pPr>
      <w:rPr>
        <w:rFonts w:hint="default"/>
        <w:b w:val="0"/>
        <w:i w:val="0"/>
        <w:iCs w:val="0"/>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7" w15:restartNumberingAfterBreak="0">
    <w:nsid w:val="17BD5079"/>
    <w:multiLevelType w:val="hybridMultilevel"/>
    <w:tmpl w:val="CD56F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390DF6"/>
    <w:multiLevelType w:val="hybridMultilevel"/>
    <w:tmpl w:val="8D1E5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F5052"/>
    <w:multiLevelType w:val="hybridMultilevel"/>
    <w:tmpl w:val="8416D5E0"/>
    <w:lvl w:ilvl="0" w:tplc="1604EBA4">
      <w:start w:val="2"/>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1571D"/>
    <w:multiLevelType w:val="hybridMultilevel"/>
    <w:tmpl w:val="7102EB22"/>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11" w15:restartNumberingAfterBreak="0">
    <w:nsid w:val="2DBB1F1B"/>
    <w:multiLevelType w:val="multilevel"/>
    <w:tmpl w:val="A92EF9D6"/>
    <w:lvl w:ilvl="0">
      <w:start w:val="1"/>
      <w:numFmt w:val="decimal"/>
      <w:pStyle w:val="Heading1"/>
      <w:lvlText w:val="%1.0"/>
      <w:lvlJc w:val="left"/>
      <w:pPr>
        <w:ind w:left="72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6B356E"/>
    <w:multiLevelType w:val="hybridMultilevel"/>
    <w:tmpl w:val="F67A6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EA097C"/>
    <w:multiLevelType w:val="multilevel"/>
    <w:tmpl w:val="0688EC6E"/>
    <w:lvl w:ilvl="0">
      <w:start w:val="1"/>
      <w:numFmt w:val="decimal"/>
      <w:pStyle w:val="ListNumber2"/>
      <w:lvlText w:val="%1."/>
      <w:lvlJc w:val="left"/>
      <w:pPr>
        <w:ind w:left="4046" w:hanging="360"/>
      </w:pPr>
    </w:lvl>
    <w:lvl w:ilvl="1">
      <w:start w:val="1"/>
      <w:numFmt w:val="decimal"/>
      <w:pStyle w:val="11NumPara"/>
      <w:lvlText w:val="%1.%2."/>
      <w:lvlJc w:val="left"/>
      <w:pPr>
        <w:ind w:left="857" w:hanging="432"/>
      </w:pPr>
      <w:rPr>
        <w:b w:val="0"/>
        <w:bCs w:val="0"/>
        <w:i w:val="0"/>
        <w:iCs w:val="0"/>
        <w:vertAlign w:val="baseline"/>
      </w:rPr>
    </w:lvl>
    <w:lvl w:ilvl="2">
      <w:start w:val="1"/>
      <w:numFmt w:val="decimal"/>
      <w:lvlText w:val="%1.%2.%3."/>
      <w:lvlJc w:val="left"/>
      <w:pPr>
        <w:ind w:left="4910" w:hanging="504"/>
      </w:pPr>
    </w:lvl>
    <w:lvl w:ilvl="3">
      <w:start w:val="1"/>
      <w:numFmt w:val="decimal"/>
      <w:lvlText w:val="%1.%2.%3.%4."/>
      <w:lvlJc w:val="left"/>
      <w:pPr>
        <w:ind w:left="5414" w:hanging="648"/>
      </w:pPr>
    </w:lvl>
    <w:lvl w:ilvl="4">
      <w:start w:val="1"/>
      <w:numFmt w:val="decimal"/>
      <w:lvlText w:val="%1.%2.%3.%4.%5."/>
      <w:lvlJc w:val="left"/>
      <w:pPr>
        <w:ind w:left="5918" w:hanging="792"/>
      </w:pPr>
    </w:lvl>
    <w:lvl w:ilvl="5">
      <w:start w:val="1"/>
      <w:numFmt w:val="decimal"/>
      <w:lvlText w:val="%1.%2.%3.%4.%5.%6."/>
      <w:lvlJc w:val="left"/>
      <w:pPr>
        <w:ind w:left="6422" w:hanging="936"/>
      </w:pPr>
    </w:lvl>
    <w:lvl w:ilvl="6">
      <w:start w:val="1"/>
      <w:numFmt w:val="decimal"/>
      <w:lvlText w:val="%1.%2.%3.%4.%5.%6.%7."/>
      <w:lvlJc w:val="left"/>
      <w:pPr>
        <w:ind w:left="6926" w:hanging="1080"/>
      </w:pPr>
    </w:lvl>
    <w:lvl w:ilvl="7">
      <w:start w:val="1"/>
      <w:numFmt w:val="decimal"/>
      <w:lvlText w:val="%1.%2.%3.%4.%5.%6.%7.%8."/>
      <w:lvlJc w:val="left"/>
      <w:pPr>
        <w:ind w:left="7430" w:hanging="1224"/>
      </w:pPr>
    </w:lvl>
    <w:lvl w:ilvl="8">
      <w:start w:val="1"/>
      <w:numFmt w:val="decimal"/>
      <w:lvlText w:val="%1.%2.%3.%4.%5.%6.%7.%8.%9."/>
      <w:lvlJc w:val="left"/>
      <w:pPr>
        <w:ind w:left="8006" w:hanging="1440"/>
      </w:pPr>
    </w:lvl>
  </w:abstractNum>
  <w:abstractNum w:abstractNumId="14" w15:restartNumberingAfterBreak="0">
    <w:nsid w:val="37F278FA"/>
    <w:multiLevelType w:val="multilevel"/>
    <w:tmpl w:val="B84CBE32"/>
    <w:lvl w:ilvl="0">
      <w:start w:val="2"/>
      <w:numFmt w:val="decimal"/>
      <w:lvlText w:val="%1.0"/>
      <w:lvlJc w:val="left"/>
      <w:pPr>
        <w:ind w:left="720" w:hanging="720"/>
      </w:pPr>
      <w:rPr>
        <w:rFonts w:hint="default"/>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645D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5D6A19"/>
    <w:multiLevelType w:val="hybridMultilevel"/>
    <w:tmpl w:val="6690209E"/>
    <w:lvl w:ilvl="0" w:tplc="75221DE6">
      <w:start w:val="2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D0B17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224BE1"/>
    <w:multiLevelType w:val="hybridMultilevel"/>
    <w:tmpl w:val="40E4F9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3B3288"/>
    <w:multiLevelType w:val="hybridMultilevel"/>
    <w:tmpl w:val="A0823D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9981645">
    <w:abstractNumId w:val="6"/>
  </w:num>
  <w:num w:numId="2" w16cid:durableId="2051176607">
    <w:abstractNumId w:val="11"/>
  </w:num>
  <w:num w:numId="3" w16cid:durableId="5981508">
    <w:abstractNumId w:val="14"/>
  </w:num>
  <w:num w:numId="4" w16cid:durableId="1079792306">
    <w:abstractNumId w:val="10"/>
  </w:num>
  <w:num w:numId="5" w16cid:durableId="163014512">
    <w:abstractNumId w:val="1"/>
  </w:num>
  <w:num w:numId="6" w16cid:durableId="1994210538">
    <w:abstractNumId w:val="6"/>
  </w:num>
  <w:num w:numId="7" w16cid:durableId="1832987169">
    <w:abstractNumId w:val="6"/>
  </w:num>
  <w:num w:numId="8" w16cid:durableId="431440986">
    <w:abstractNumId w:val="6"/>
  </w:num>
  <w:num w:numId="9" w16cid:durableId="1138454756">
    <w:abstractNumId w:val="6"/>
  </w:num>
  <w:num w:numId="10" w16cid:durableId="1094084361">
    <w:abstractNumId w:val="18"/>
  </w:num>
  <w:num w:numId="11" w16cid:durableId="1264648994">
    <w:abstractNumId w:val="19"/>
  </w:num>
  <w:num w:numId="12" w16cid:durableId="1849321823">
    <w:abstractNumId w:val="16"/>
  </w:num>
  <w:num w:numId="13" w16cid:durableId="1732117803">
    <w:abstractNumId w:val="11"/>
  </w:num>
  <w:num w:numId="14" w16cid:durableId="615407996">
    <w:abstractNumId w:val="8"/>
  </w:num>
  <w:num w:numId="15" w16cid:durableId="79377143">
    <w:abstractNumId w:val="17"/>
  </w:num>
  <w:num w:numId="16" w16cid:durableId="1094668255">
    <w:abstractNumId w:val="11"/>
    <w:lvlOverride w:ilvl="0">
      <w:startOverride w:val="3"/>
    </w:lvlOverride>
    <w:lvlOverride w:ilvl="1">
      <w:startOverride w:val="1"/>
    </w:lvlOverride>
  </w:num>
  <w:num w:numId="17" w16cid:durableId="1134758278">
    <w:abstractNumId w:val="0"/>
  </w:num>
  <w:num w:numId="18" w16cid:durableId="62601524">
    <w:abstractNumId w:val="11"/>
  </w:num>
  <w:num w:numId="19" w16cid:durableId="190077464">
    <w:abstractNumId w:val="4"/>
  </w:num>
  <w:num w:numId="20" w16cid:durableId="2108305105">
    <w:abstractNumId w:val="15"/>
  </w:num>
  <w:num w:numId="21" w16cid:durableId="554699489">
    <w:abstractNumId w:val="5"/>
  </w:num>
  <w:num w:numId="22" w16cid:durableId="810246337">
    <w:abstractNumId w:val="11"/>
    <w:lvlOverride w:ilvl="0">
      <w:startOverride w:val="5"/>
    </w:lvlOverride>
    <w:lvlOverride w:ilvl="1">
      <w:startOverride w:val="1"/>
    </w:lvlOverride>
  </w:num>
  <w:num w:numId="23" w16cid:durableId="1218904546">
    <w:abstractNumId w:val="11"/>
    <w:lvlOverride w:ilvl="0">
      <w:startOverride w:val="3"/>
    </w:lvlOverride>
    <w:lvlOverride w:ilvl="1">
      <w:startOverride w:val="7"/>
    </w:lvlOverride>
  </w:num>
  <w:num w:numId="24" w16cid:durableId="228351752">
    <w:abstractNumId w:val="2"/>
  </w:num>
  <w:num w:numId="25" w16cid:durableId="324867684">
    <w:abstractNumId w:val="13"/>
  </w:num>
  <w:num w:numId="26" w16cid:durableId="1563717402">
    <w:abstractNumId w:val="9"/>
  </w:num>
  <w:num w:numId="27" w16cid:durableId="700084645">
    <w:abstractNumId w:val="7"/>
  </w:num>
  <w:num w:numId="28" w16cid:durableId="483591952">
    <w:abstractNumId w:val="3"/>
  </w:num>
  <w:num w:numId="29" w16cid:durableId="158021440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0C"/>
    <w:rsid w:val="00000032"/>
    <w:rsid w:val="000013EA"/>
    <w:rsid w:val="0000179A"/>
    <w:rsid w:val="00001AF9"/>
    <w:rsid w:val="00001B13"/>
    <w:rsid w:val="00002218"/>
    <w:rsid w:val="00002271"/>
    <w:rsid w:val="000030E4"/>
    <w:rsid w:val="00003791"/>
    <w:rsid w:val="00003CA2"/>
    <w:rsid w:val="00011734"/>
    <w:rsid w:val="00011AF5"/>
    <w:rsid w:val="00012886"/>
    <w:rsid w:val="00012AA3"/>
    <w:rsid w:val="0001376E"/>
    <w:rsid w:val="000144E1"/>
    <w:rsid w:val="00014832"/>
    <w:rsid w:val="000152C1"/>
    <w:rsid w:val="00015C2C"/>
    <w:rsid w:val="000163FD"/>
    <w:rsid w:val="0002063D"/>
    <w:rsid w:val="00020D75"/>
    <w:rsid w:val="0002115F"/>
    <w:rsid w:val="000218C2"/>
    <w:rsid w:val="00021A4C"/>
    <w:rsid w:val="00022E00"/>
    <w:rsid w:val="00023695"/>
    <w:rsid w:val="00025FC0"/>
    <w:rsid w:val="00026161"/>
    <w:rsid w:val="00026212"/>
    <w:rsid w:val="00027F4F"/>
    <w:rsid w:val="000300BF"/>
    <w:rsid w:val="00033143"/>
    <w:rsid w:val="000341F0"/>
    <w:rsid w:val="00035FA4"/>
    <w:rsid w:val="000364A0"/>
    <w:rsid w:val="0003731E"/>
    <w:rsid w:val="000375FA"/>
    <w:rsid w:val="00037735"/>
    <w:rsid w:val="00037AF2"/>
    <w:rsid w:val="0004153C"/>
    <w:rsid w:val="00041C79"/>
    <w:rsid w:val="0004253E"/>
    <w:rsid w:val="00043952"/>
    <w:rsid w:val="000439E3"/>
    <w:rsid w:val="00044A0E"/>
    <w:rsid w:val="0004505B"/>
    <w:rsid w:val="00045252"/>
    <w:rsid w:val="00046811"/>
    <w:rsid w:val="00047D5F"/>
    <w:rsid w:val="00050414"/>
    <w:rsid w:val="00050C0F"/>
    <w:rsid w:val="000516BD"/>
    <w:rsid w:val="00051762"/>
    <w:rsid w:val="000519F2"/>
    <w:rsid w:val="00051D69"/>
    <w:rsid w:val="0005219C"/>
    <w:rsid w:val="00054F3A"/>
    <w:rsid w:val="00055D92"/>
    <w:rsid w:val="000572F9"/>
    <w:rsid w:val="0006004E"/>
    <w:rsid w:val="000605FB"/>
    <w:rsid w:val="0006161C"/>
    <w:rsid w:val="000629E3"/>
    <w:rsid w:val="00062B38"/>
    <w:rsid w:val="00063A13"/>
    <w:rsid w:val="0006491E"/>
    <w:rsid w:val="0006499C"/>
    <w:rsid w:val="00064CF7"/>
    <w:rsid w:val="00064D57"/>
    <w:rsid w:val="00065113"/>
    <w:rsid w:val="00065BFE"/>
    <w:rsid w:val="0006686D"/>
    <w:rsid w:val="0007179E"/>
    <w:rsid w:val="00071C17"/>
    <w:rsid w:val="0007330A"/>
    <w:rsid w:val="000739F6"/>
    <w:rsid w:val="00074B4B"/>
    <w:rsid w:val="00075ACB"/>
    <w:rsid w:val="0008009F"/>
    <w:rsid w:val="0008051A"/>
    <w:rsid w:val="000805D7"/>
    <w:rsid w:val="00082681"/>
    <w:rsid w:val="00083DC8"/>
    <w:rsid w:val="00085564"/>
    <w:rsid w:val="0008675B"/>
    <w:rsid w:val="00087B7C"/>
    <w:rsid w:val="00087E4F"/>
    <w:rsid w:val="0009168C"/>
    <w:rsid w:val="00091B28"/>
    <w:rsid w:val="00091B8F"/>
    <w:rsid w:val="00091CBD"/>
    <w:rsid w:val="0009361B"/>
    <w:rsid w:val="00095240"/>
    <w:rsid w:val="000958DC"/>
    <w:rsid w:val="00096266"/>
    <w:rsid w:val="0009626A"/>
    <w:rsid w:val="00096E51"/>
    <w:rsid w:val="0009721C"/>
    <w:rsid w:val="00097DFC"/>
    <w:rsid w:val="00097F7F"/>
    <w:rsid w:val="000A09E7"/>
    <w:rsid w:val="000A11C5"/>
    <w:rsid w:val="000A1978"/>
    <w:rsid w:val="000A1FA6"/>
    <w:rsid w:val="000A218D"/>
    <w:rsid w:val="000A5B58"/>
    <w:rsid w:val="000B0B61"/>
    <w:rsid w:val="000B11B7"/>
    <w:rsid w:val="000B41FA"/>
    <w:rsid w:val="000B4607"/>
    <w:rsid w:val="000B463B"/>
    <w:rsid w:val="000B466E"/>
    <w:rsid w:val="000B4F6A"/>
    <w:rsid w:val="000B56EA"/>
    <w:rsid w:val="000C12FD"/>
    <w:rsid w:val="000C1A8C"/>
    <w:rsid w:val="000C3075"/>
    <w:rsid w:val="000C338A"/>
    <w:rsid w:val="000C4071"/>
    <w:rsid w:val="000C411D"/>
    <w:rsid w:val="000C4205"/>
    <w:rsid w:val="000C5346"/>
    <w:rsid w:val="000C5372"/>
    <w:rsid w:val="000C561D"/>
    <w:rsid w:val="000C5BBD"/>
    <w:rsid w:val="000C5EF7"/>
    <w:rsid w:val="000C61BA"/>
    <w:rsid w:val="000C7510"/>
    <w:rsid w:val="000D01ED"/>
    <w:rsid w:val="000D05B7"/>
    <w:rsid w:val="000D2230"/>
    <w:rsid w:val="000D2959"/>
    <w:rsid w:val="000D29E7"/>
    <w:rsid w:val="000D4D35"/>
    <w:rsid w:val="000D4DF2"/>
    <w:rsid w:val="000D63E4"/>
    <w:rsid w:val="000D7F91"/>
    <w:rsid w:val="000E1873"/>
    <w:rsid w:val="000E555F"/>
    <w:rsid w:val="000E6B49"/>
    <w:rsid w:val="000E7F18"/>
    <w:rsid w:val="000F0E86"/>
    <w:rsid w:val="000F1CD9"/>
    <w:rsid w:val="000F23D8"/>
    <w:rsid w:val="000F2CB8"/>
    <w:rsid w:val="000F3A35"/>
    <w:rsid w:val="001005F8"/>
    <w:rsid w:val="00100704"/>
    <w:rsid w:val="00100AAD"/>
    <w:rsid w:val="00100DE8"/>
    <w:rsid w:val="0010131B"/>
    <w:rsid w:val="00101FAE"/>
    <w:rsid w:val="001028DA"/>
    <w:rsid w:val="001039F8"/>
    <w:rsid w:val="0010503A"/>
    <w:rsid w:val="00106032"/>
    <w:rsid w:val="001070B7"/>
    <w:rsid w:val="00111E78"/>
    <w:rsid w:val="001121C1"/>
    <w:rsid w:val="00112CE5"/>
    <w:rsid w:val="00112F11"/>
    <w:rsid w:val="001149A9"/>
    <w:rsid w:val="00115045"/>
    <w:rsid w:val="001159F0"/>
    <w:rsid w:val="0011789B"/>
    <w:rsid w:val="00117B13"/>
    <w:rsid w:val="001208E4"/>
    <w:rsid w:val="00121202"/>
    <w:rsid w:val="00121540"/>
    <w:rsid w:val="001222F0"/>
    <w:rsid w:val="00123919"/>
    <w:rsid w:val="001239F1"/>
    <w:rsid w:val="00123BC7"/>
    <w:rsid w:val="00124A1A"/>
    <w:rsid w:val="00125A10"/>
    <w:rsid w:val="00125A3B"/>
    <w:rsid w:val="00125E6B"/>
    <w:rsid w:val="00126AB0"/>
    <w:rsid w:val="00126EF6"/>
    <w:rsid w:val="00127AB9"/>
    <w:rsid w:val="00130797"/>
    <w:rsid w:val="00130858"/>
    <w:rsid w:val="0013094B"/>
    <w:rsid w:val="00130997"/>
    <w:rsid w:val="00132231"/>
    <w:rsid w:val="00134495"/>
    <w:rsid w:val="0013519C"/>
    <w:rsid w:val="00136117"/>
    <w:rsid w:val="001366AA"/>
    <w:rsid w:val="001374D7"/>
    <w:rsid w:val="00137699"/>
    <w:rsid w:val="00140869"/>
    <w:rsid w:val="001417F4"/>
    <w:rsid w:val="0014449A"/>
    <w:rsid w:val="001448B7"/>
    <w:rsid w:val="00145A81"/>
    <w:rsid w:val="00146DE7"/>
    <w:rsid w:val="0014760A"/>
    <w:rsid w:val="00151E73"/>
    <w:rsid w:val="001523D9"/>
    <w:rsid w:val="001526A2"/>
    <w:rsid w:val="00153348"/>
    <w:rsid w:val="00154103"/>
    <w:rsid w:val="00154920"/>
    <w:rsid w:val="00155DE6"/>
    <w:rsid w:val="00156057"/>
    <w:rsid w:val="00156216"/>
    <w:rsid w:val="00156958"/>
    <w:rsid w:val="001569A2"/>
    <w:rsid w:val="00160CFD"/>
    <w:rsid w:val="0016146D"/>
    <w:rsid w:val="0016289B"/>
    <w:rsid w:val="001629CE"/>
    <w:rsid w:val="001642FC"/>
    <w:rsid w:val="00164374"/>
    <w:rsid w:val="00164A1E"/>
    <w:rsid w:val="0016502E"/>
    <w:rsid w:val="001660BA"/>
    <w:rsid w:val="001660C6"/>
    <w:rsid w:val="001661D2"/>
    <w:rsid w:val="00166AF6"/>
    <w:rsid w:val="001675C4"/>
    <w:rsid w:val="00167782"/>
    <w:rsid w:val="00167874"/>
    <w:rsid w:val="00170359"/>
    <w:rsid w:val="001705D9"/>
    <w:rsid w:val="00171A6E"/>
    <w:rsid w:val="00172AF5"/>
    <w:rsid w:val="00172B3A"/>
    <w:rsid w:val="001734D1"/>
    <w:rsid w:val="00175D43"/>
    <w:rsid w:val="001837BD"/>
    <w:rsid w:val="00184AE9"/>
    <w:rsid w:val="00186A0D"/>
    <w:rsid w:val="00187345"/>
    <w:rsid w:val="00190FA8"/>
    <w:rsid w:val="001915FA"/>
    <w:rsid w:val="00191CEC"/>
    <w:rsid w:val="001927FF"/>
    <w:rsid w:val="00192F2F"/>
    <w:rsid w:val="001942CC"/>
    <w:rsid w:val="00195557"/>
    <w:rsid w:val="00195B91"/>
    <w:rsid w:val="00196858"/>
    <w:rsid w:val="001A06EA"/>
    <w:rsid w:val="001A144D"/>
    <w:rsid w:val="001A1616"/>
    <w:rsid w:val="001A2D5F"/>
    <w:rsid w:val="001A3A9C"/>
    <w:rsid w:val="001A3E97"/>
    <w:rsid w:val="001A4A77"/>
    <w:rsid w:val="001A569B"/>
    <w:rsid w:val="001A6389"/>
    <w:rsid w:val="001A6715"/>
    <w:rsid w:val="001A6EB4"/>
    <w:rsid w:val="001B00F0"/>
    <w:rsid w:val="001B01A1"/>
    <w:rsid w:val="001B0914"/>
    <w:rsid w:val="001B1C5E"/>
    <w:rsid w:val="001B1CA7"/>
    <w:rsid w:val="001B2D4A"/>
    <w:rsid w:val="001B4BB4"/>
    <w:rsid w:val="001B4DD3"/>
    <w:rsid w:val="001B5C81"/>
    <w:rsid w:val="001B6D34"/>
    <w:rsid w:val="001B6F6F"/>
    <w:rsid w:val="001B78AB"/>
    <w:rsid w:val="001B7E2D"/>
    <w:rsid w:val="001B7EA2"/>
    <w:rsid w:val="001C028E"/>
    <w:rsid w:val="001C119E"/>
    <w:rsid w:val="001C14CE"/>
    <w:rsid w:val="001C2728"/>
    <w:rsid w:val="001C58D3"/>
    <w:rsid w:val="001C63CD"/>
    <w:rsid w:val="001C7790"/>
    <w:rsid w:val="001C7A1C"/>
    <w:rsid w:val="001D0B3D"/>
    <w:rsid w:val="001D1335"/>
    <w:rsid w:val="001D20F1"/>
    <w:rsid w:val="001D2BAB"/>
    <w:rsid w:val="001D3CCD"/>
    <w:rsid w:val="001D4D5B"/>
    <w:rsid w:val="001D6279"/>
    <w:rsid w:val="001D7C5A"/>
    <w:rsid w:val="001D7FC2"/>
    <w:rsid w:val="001E3853"/>
    <w:rsid w:val="001E3F1F"/>
    <w:rsid w:val="001E5E1D"/>
    <w:rsid w:val="001F18EE"/>
    <w:rsid w:val="001F232F"/>
    <w:rsid w:val="001F294D"/>
    <w:rsid w:val="001F4B0E"/>
    <w:rsid w:val="001F57E8"/>
    <w:rsid w:val="001F64CD"/>
    <w:rsid w:val="001F6D8B"/>
    <w:rsid w:val="001F6E13"/>
    <w:rsid w:val="002001B4"/>
    <w:rsid w:val="00200ED4"/>
    <w:rsid w:val="00201951"/>
    <w:rsid w:val="00202B9A"/>
    <w:rsid w:val="00203468"/>
    <w:rsid w:val="00203BB2"/>
    <w:rsid w:val="00210AEB"/>
    <w:rsid w:val="00211210"/>
    <w:rsid w:val="00211C9A"/>
    <w:rsid w:val="00212863"/>
    <w:rsid w:val="00212FD7"/>
    <w:rsid w:val="002133CD"/>
    <w:rsid w:val="0021520B"/>
    <w:rsid w:val="0021597A"/>
    <w:rsid w:val="00215F46"/>
    <w:rsid w:val="00216CBA"/>
    <w:rsid w:val="00220B51"/>
    <w:rsid w:val="002237F1"/>
    <w:rsid w:val="00225C13"/>
    <w:rsid w:val="0022790D"/>
    <w:rsid w:val="00227B6B"/>
    <w:rsid w:val="00227C28"/>
    <w:rsid w:val="00231345"/>
    <w:rsid w:val="00232242"/>
    <w:rsid w:val="00232F70"/>
    <w:rsid w:val="0023363C"/>
    <w:rsid w:val="00237821"/>
    <w:rsid w:val="00240279"/>
    <w:rsid w:val="0024053D"/>
    <w:rsid w:val="002406AF"/>
    <w:rsid w:val="00241098"/>
    <w:rsid w:val="002411FB"/>
    <w:rsid w:val="00241D36"/>
    <w:rsid w:val="00242311"/>
    <w:rsid w:val="00243641"/>
    <w:rsid w:val="002449DA"/>
    <w:rsid w:val="00245843"/>
    <w:rsid w:val="00245F5A"/>
    <w:rsid w:val="00246090"/>
    <w:rsid w:val="00246417"/>
    <w:rsid w:val="00246C3E"/>
    <w:rsid w:val="00247B12"/>
    <w:rsid w:val="00247F52"/>
    <w:rsid w:val="002518D6"/>
    <w:rsid w:val="00251A03"/>
    <w:rsid w:val="00251C6C"/>
    <w:rsid w:val="002521AA"/>
    <w:rsid w:val="00253228"/>
    <w:rsid w:val="00253D68"/>
    <w:rsid w:val="00254F65"/>
    <w:rsid w:val="00256466"/>
    <w:rsid w:val="002564A1"/>
    <w:rsid w:val="00256637"/>
    <w:rsid w:val="00256FC5"/>
    <w:rsid w:val="00257DFF"/>
    <w:rsid w:val="00260DD7"/>
    <w:rsid w:val="00261239"/>
    <w:rsid w:val="0026158E"/>
    <w:rsid w:val="0026170B"/>
    <w:rsid w:val="00263293"/>
    <w:rsid w:val="0026587C"/>
    <w:rsid w:val="00265DE0"/>
    <w:rsid w:val="00266EAE"/>
    <w:rsid w:val="00270CD8"/>
    <w:rsid w:val="0027400A"/>
    <w:rsid w:val="00275121"/>
    <w:rsid w:val="002760D0"/>
    <w:rsid w:val="002766EE"/>
    <w:rsid w:val="00277173"/>
    <w:rsid w:val="00277973"/>
    <w:rsid w:val="00280818"/>
    <w:rsid w:val="00281C93"/>
    <w:rsid w:val="00281E1D"/>
    <w:rsid w:val="00283641"/>
    <w:rsid w:val="00283B2A"/>
    <w:rsid w:val="00283D18"/>
    <w:rsid w:val="00284BA6"/>
    <w:rsid w:val="00284D95"/>
    <w:rsid w:val="002854F0"/>
    <w:rsid w:val="00285558"/>
    <w:rsid w:val="00285DB2"/>
    <w:rsid w:val="00286623"/>
    <w:rsid w:val="00287256"/>
    <w:rsid w:val="0028731A"/>
    <w:rsid w:val="0029152F"/>
    <w:rsid w:val="00291D34"/>
    <w:rsid w:val="00293D70"/>
    <w:rsid w:val="00293FF6"/>
    <w:rsid w:val="00294A54"/>
    <w:rsid w:val="00296CEA"/>
    <w:rsid w:val="00297B5D"/>
    <w:rsid w:val="002A149B"/>
    <w:rsid w:val="002A1B83"/>
    <w:rsid w:val="002A3FB4"/>
    <w:rsid w:val="002A4BB5"/>
    <w:rsid w:val="002A538C"/>
    <w:rsid w:val="002A5871"/>
    <w:rsid w:val="002A6503"/>
    <w:rsid w:val="002A65F2"/>
    <w:rsid w:val="002A6965"/>
    <w:rsid w:val="002A6D63"/>
    <w:rsid w:val="002B2765"/>
    <w:rsid w:val="002B2B4A"/>
    <w:rsid w:val="002B30FA"/>
    <w:rsid w:val="002B4254"/>
    <w:rsid w:val="002B45E9"/>
    <w:rsid w:val="002B4FBD"/>
    <w:rsid w:val="002B6536"/>
    <w:rsid w:val="002B6C0B"/>
    <w:rsid w:val="002C123C"/>
    <w:rsid w:val="002C1AC8"/>
    <w:rsid w:val="002C1C15"/>
    <w:rsid w:val="002C1C97"/>
    <w:rsid w:val="002C33A8"/>
    <w:rsid w:val="002C75D4"/>
    <w:rsid w:val="002C7D6D"/>
    <w:rsid w:val="002D0A39"/>
    <w:rsid w:val="002D0DD6"/>
    <w:rsid w:val="002D102D"/>
    <w:rsid w:val="002D4AB1"/>
    <w:rsid w:val="002D70BB"/>
    <w:rsid w:val="002D76A9"/>
    <w:rsid w:val="002D7F16"/>
    <w:rsid w:val="002E09A1"/>
    <w:rsid w:val="002E1414"/>
    <w:rsid w:val="002E154E"/>
    <w:rsid w:val="002E1EF3"/>
    <w:rsid w:val="002E208F"/>
    <w:rsid w:val="002E2D37"/>
    <w:rsid w:val="002E3270"/>
    <w:rsid w:val="002E3407"/>
    <w:rsid w:val="002E523D"/>
    <w:rsid w:val="002E59FB"/>
    <w:rsid w:val="002E5B5F"/>
    <w:rsid w:val="002E6D62"/>
    <w:rsid w:val="002F069C"/>
    <w:rsid w:val="002F19AD"/>
    <w:rsid w:val="002F2534"/>
    <w:rsid w:val="002F2C95"/>
    <w:rsid w:val="002F3575"/>
    <w:rsid w:val="002F3DB2"/>
    <w:rsid w:val="002F451F"/>
    <w:rsid w:val="002F4869"/>
    <w:rsid w:val="002F52C4"/>
    <w:rsid w:val="002F6678"/>
    <w:rsid w:val="002F679A"/>
    <w:rsid w:val="002F70F3"/>
    <w:rsid w:val="002F7915"/>
    <w:rsid w:val="003000C4"/>
    <w:rsid w:val="0030095D"/>
    <w:rsid w:val="00300D70"/>
    <w:rsid w:val="00302D19"/>
    <w:rsid w:val="0030406F"/>
    <w:rsid w:val="0030494F"/>
    <w:rsid w:val="00304F60"/>
    <w:rsid w:val="003057F7"/>
    <w:rsid w:val="00307011"/>
    <w:rsid w:val="00311B09"/>
    <w:rsid w:val="00314A92"/>
    <w:rsid w:val="0031514C"/>
    <w:rsid w:val="003158D6"/>
    <w:rsid w:val="003163EE"/>
    <w:rsid w:val="00317B83"/>
    <w:rsid w:val="003206B9"/>
    <w:rsid w:val="00320B15"/>
    <w:rsid w:val="00322C75"/>
    <w:rsid w:val="003234E8"/>
    <w:rsid w:val="003248B4"/>
    <w:rsid w:val="00324E8C"/>
    <w:rsid w:val="00324FFB"/>
    <w:rsid w:val="00326404"/>
    <w:rsid w:val="003300AE"/>
    <w:rsid w:val="0033115D"/>
    <w:rsid w:val="00332E8D"/>
    <w:rsid w:val="0033358B"/>
    <w:rsid w:val="00337162"/>
    <w:rsid w:val="00337359"/>
    <w:rsid w:val="00340012"/>
    <w:rsid w:val="00342885"/>
    <w:rsid w:val="00344642"/>
    <w:rsid w:val="003453BA"/>
    <w:rsid w:val="00345658"/>
    <w:rsid w:val="00346821"/>
    <w:rsid w:val="00347C29"/>
    <w:rsid w:val="00350905"/>
    <w:rsid w:val="00352336"/>
    <w:rsid w:val="00352A33"/>
    <w:rsid w:val="00353AB9"/>
    <w:rsid w:val="0035652D"/>
    <w:rsid w:val="00357F37"/>
    <w:rsid w:val="003618C3"/>
    <w:rsid w:val="00361983"/>
    <w:rsid w:val="00363D72"/>
    <w:rsid w:val="0036479B"/>
    <w:rsid w:val="00364B8A"/>
    <w:rsid w:val="00365E8E"/>
    <w:rsid w:val="0036705F"/>
    <w:rsid w:val="00367C3D"/>
    <w:rsid w:val="003703A0"/>
    <w:rsid w:val="0037074B"/>
    <w:rsid w:val="00370F27"/>
    <w:rsid w:val="0037100E"/>
    <w:rsid w:val="003716CE"/>
    <w:rsid w:val="00371C09"/>
    <w:rsid w:val="0037459B"/>
    <w:rsid w:val="00374AD7"/>
    <w:rsid w:val="0037549F"/>
    <w:rsid w:val="0037583F"/>
    <w:rsid w:val="00375C83"/>
    <w:rsid w:val="003760CE"/>
    <w:rsid w:val="0037635D"/>
    <w:rsid w:val="00377954"/>
    <w:rsid w:val="00380100"/>
    <w:rsid w:val="003801CD"/>
    <w:rsid w:val="00380224"/>
    <w:rsid w:val="00380939"/>
    <w:rsid w:val="00380C6D"/>
    <w:rsid w:val="0038238F"/>
    <w:rsid w:val="00382A40"/>
    <w:rsid w:val="00382E9C"/>
    <w:rsid w:val="0038363A"/>
    <w:rsid w:val="0038367E"/>
    <w:rsid w:val="00385A2C"/>
    <w:rsid w:val="00386056"/>
    <w:rsid w:val="00386533"/>
    <w:rsid w:val="00386AB7"/>
    <w:rsid w:val="003871C7"/>
    <w:rsid w:val="00390F2C"/>
    <w:rsid w:val="00392130"/>
    <w:rsid w:val="00392AC8"/>
    <w:rsid w:val="003931DD"/>
    <w:rsid w:val="0039353A"/>
    <w:rsid w:val="00393BAE"/>
    <w:rsid w:val="00393FD1"/>
    <w:rsid w:val="00394B40"/>
    <w:rsid w:val="00395A7E"/>
    <w:rsid w:val="00395D41"/>
    <w:rsid w:val="00395DFE"/>
    <w:rsid w:val="00397631"/>
    <w:rsid w:val="00397BB5"/>
    <w:rsid w:val="003A0B5E"/>
    <w:rsid w:val="003A22B4"/>
    <w:rsid w:val="003A2EB6"/>
    <w:rsid w:val="003A3F60"/>
    <w:rsid w:val="003A4490"/>
    <w:rsid w:val="003A49A6"/>
    <w:rsid w:val="003A64FF"/>
    <w:rsid w:val="003A7209"/>
    <w:rsid w:val="003B02FF"/>
    <w:rsid w:val="003B2C83"/>
    <w:rsid w:val="003B2CF0"/>
    <w:rsid w:val="003B3D1D"/>
    <w:rsid w:val="003B3FA9"/>
    <w:rsid w:val="003B5BB3"/>
    <w:rsid w:val="003B6DFF"/>
    <w:rsid w:val="003C0BAB"/>
    <w:rsid w:val="003C163B"/>
    <w:rsid w:val="003C27AE"/>
    <w:rsid w:val="003C3081"/>
    <w:rsid w:val="003C3706"/>
    <w:rsid w:val="003C3947"/>
    <w:rsid w:val="003C3C24"/>
    <w:rsid w:val="003C4F49"/>
    <w:rsid w:val="003C5278"/>
    <w:rsid w:val="003C5C59"/>
    <w:rsid w:val="003C7AF3"/>
    <w:rsid w:val="003D00C3"/>
    <w:rsid w:val="003D096E"/>
    <w:rsid w:val="003D0B5B"/>
    <w:rsid w:val="003D483C"/>
    <w:rsid w:val="003D4A3C"/>
    <w:rsid w:val="003D5285"/>
    <w:rsid w:val="003D532D"/>
    <w:rsid w:val="003D5813"/>
    <w:rsid w:val="003D7E6D"/>
    <w:rsid w:val="003E32EC"/>
    <w:rsid w:val="003E33D2"/>
    <w:rsid w:val="003E4BD8"/>
    <w:rsid w:val="003E5262"/>
    <w:rsid w:val="003E5CB0"/>
    <w:rsid w:val="003E5E4C"/>
    <w:rsid w:val="003E627B"/>
    <w:rsid w:val="003E71A7"/>
    <w:rsid w:val="003E7204"/>
    <w:rsid w:val="003F0E3F"/>
    <w:rsid w:val="003F1E76"/>
    <w:rsid w:val="003F2BA0"/>
    <w:rsid w:val="003F2C5F"/>
    <w:rsid w:val="003F414E"/>
    <w:rsid w:val="003F4BDD"/>
    <w:rsid w:val="003F57EB"/>
    <w:rsid w:val="003F6BEC"/>
    <w:rsid w:val="003F6F55"/>
    <w:rsid w:val="003F7D9F"/>
    <w:rsid w:val="00401D96"/>
    <w:rsid w:val="00402954"/>
    <w:rsid w:val="00402F0F"/>
    <w:rsid w:val="0040332A"/>
    <w:rsid w:val="00403A81"/>
    <w:rsid w:val="00403CC8"/>
    <w:rsid w:val="004043F9"/>
    <w:rsid w:val="00404A00"/>
    <w:rsid w:val="00405CEB"/>
    <w:rsid w:val="00406EEA"/>
    <w:rsid w:val="00410681"/>
    <w:rsid w:val="00410E7C"/>
    <w:rsid w:val="00411D09"/>
    <w:rsid w:val="00411DDB"/>
    <w:rsid w:val="00412DA6"/>
    <w:rsid w:val="00412EED"/>
    <w:rsid w:val="004136CF"/>
    <w:rsid w:val="00413E49"/>
    <w:rsid w:val="004146FF"/>
    <w:rsid w:val="00416F82"/>
    <w:rsid w:val="004173E2"/>
    <w:rsid w:val="0041788D"/>
    <w:rsid w:val="00417B00"/>
    <w:rsid w:val="004213FC"/>
    <w:rsid w:val="00421784"/>
    <w:rsid w:val="00422742"/>
    <w:rsid w:val="00422A86"/>
    <w:rsid w:val="0042311E"/>
    <w:rsid w:val="00423C1A"/>
    <w:rsid w:val="00424CD0"/>
    <w:rsid w:val="0042608A"/>
    <w:rsid w:val="00426745"/>
    <w:rsid w:val="00427F72"/>
    <w:rsid w:val="0043143B"/>
    <w:rsid w:val="0043428C"/>
    <w:rsid w:val="004359E7"/>
    <w:rsid w:val="00435F61"/>
    <w:rsid w:val="0043679E"/>
    <w:rsid w:val="0043714B"/>
    <w:rsid w:val="00440D47"/>
    <w:rsid w:val="004417D6"/>
    <w:rsid w:val="00441C47"/>
    <w:rsid w:val="00442DCF"/>
    <w:rsid w:val="00443708"/>
    <w:rsid w:val="004441E2"/>
    <w:rsid w:val="0044526E"/>
    <w:rsid w:val="0044576E"/>
    <w:rsid w:val="00445A1B"/>
    <w:rsid w:val="004464C3"/>
    <w:rsid w:val="00446A5C"/>
    <w:rsid w:val="004470D8"/>
    <w:rsid w:val="004472A8"/>
    <w:rsid w:val="00447F7D"/>
    <w:rsid w:val="00450CE1"/>
    <w:rsid w:val="00451698"/>
    <w:rsid w:val="004520F2"/>
    <w:rsid w:val="004530DE"/>
    <w:rsid w:val="00454769"/>
    <w:rsid w:val="00455DD5"/>
    <w:rsid w:val="004567D2"/>
    <w:rsid w:val="00456A90"/>
    <w:rsid w:val="0045728B"/>
    <w:rsid w:val="00457616"/>
    <w:rsid w:val="00462DFB"/>
    <w:rsid w:val="004645B6"/>
    <w:rsid w:val="00465539"/>
    <w:rsid w:val="0046572C"/>
    <w:rsid w:val="00465C0F"/>
    <w:rsid w:val="00466112"/>
    <w:rsid w:val="00467846"/>
    <w:rsid w:val="004679B6"/>
    <w:rsid w:val="00467B5D"/>
    <w:rsid w:val="0047127E"/>
    <w:rsid w:val="00471B62"/>
    <w:rsid w:val="00472973"/>
    <w:rsid w:val="0047327F"/>
    <w:rsid w:val="0047372B"/>
    <w:rsid w:val="004747D0"/>
    <w:rsid w:val="004752A1"/>
    <w:rsid w:val="00477F11"/>
    <w:rsid w:val="004810DE"/>
    <w:rsid w:val="00483C46"/>
    <w:rsid w:val="0048481A"/>
    <w:rsid w:val="00484A5B"/>
    <w:rsid w:val="00485914"/>
    <w:rsid w:val="0048710F"/>
    <w:rsid w:val="004900D6"/>
    <w:rsid w:val="00490FCB"/>
    <w:rsid w:val="0049158A"/>
    <w:rsid w:val="00491C9A"/>
    <w:rsid w:val="00492C43"/>
    <w:rsid w:val="00492C64"/>
    <w:rsid w:val="004946BB"/>
    <w:rsid w:val="00494C13"/>
    <w:rsid w:val="00496A61"/>
    <w:rsid w:val="00497331"/>
    <w:rsid w:val="00497B69"/>
    <w:rsid w:val="004A266D"/>
    <w:rsid w:val="004A279C"/>
    <w:rsid w:val="004A36F1"/>
    <w:rsid w:val="004A44EE"/>
    <w:rsid w:val="004A6FB5"/>
    <w:rsid w:val="004A7459"/>
    <w:rsid w:val="004A7934"/>
    <w:rsid w:val="004B1AE6"/>
    <w:rsid w:val="004B1EF6"/>
    <w:rsid w:val="004B21F2"/>
    <w:rsid w:val="004B27CA"/>
    <w:rsid w:val="004B30D0"/>
    <w:rsid w:val="004B3199"/>
    <w:rsid w:val="004B360A"/>
    <w:rsid w:val="004B4E52"/>
    <w:rsid w:val="004B5F0E"/>
    <w:rsid w:val="004B6C94"/>
    <w:rsid w:val="004B7276"/>
    <w:rsid w:val="004B7905"/>
    <w:rsid w:val="004C01CB"/>
    <w:rsid w:val="004C06BE"/>
    <w:rsid w:val="004C07B7"/>
    <w:rsid w:val="004C29CF"/>
    <w:rsid w:val="004C3123"/>
    <w:rsid w:val="004C383B"/>
    <w:rsid w:val="004C578C"/>
    <w:rsid w:val="004C6550"/>
    <w:rsid w:val="004C71D5"/>
    <w:rsid w:val="004D04D7"/>
    <w:rsid w:val="004D2712"/>
    <w:rsid w:val="004D27FC"/>
    <w:rsid w:val="004D298D"/>
    <w:rsid w:val="004D3689"/>
    <w:rsid w:val="004D3A3E"/>
    <w:rsid w:val="004D53E4"/>
    <w:rsid w:val="004D59D0"/>
    <w:rsid w:val="004D6838"/>
    <w:rsid w:val="004E082C"/>
    <w:rsid w:val="004E19C3"/>
    <w:rsid w:val="004E1A86"/>
    <w:rsid w:val="004E24C6"/>
    <w:rsid w:val="004E33B4"/>
    <w:rsid w:val="004E35B8"/>
    <w:rsid w:val="004E3C88"/>
    <w:rsid w:val="004E3D07"/>
    <w:rsid w:val="004E40B1"/>
    <w:rsid w:val="004E4A35"/>
    <w:rsid w:val="004E4E5B"/>
    <w:rsid w:val="004E5B87"/>
    <w:rsid w:val="004E6BCB"/>
    <w:rsid w:val="004F06CB"/>
    <w:rsid w:val="004F0944"/>
    <w:rsid w:val="004F249E"/>
    <w:rsid w:val="004F664C"/>
    <w:rsid w:val="004F7D0D"/>
    <w:rsid w:val="0050078B"/>
    <w:rsid w:val="005007F6"/>
    <w:rsid w:val="0050193F"/>
    <w:rsid w:val="0050309B"/>
    <w:rsid w:val="00503FE4"/>
    <w:rsid w:val="00505B9B"/>
    <w:rsid w:val="00505DA5"/>
    <w:rsid w:val="00510886"/>
    <w:rsid w:val="005116EC"/>
    <w:rsid w:val="00513ECC"/>
    <w:rsid w:val="0051463F"/>
    <w:rsid w:val="00514D03"/>
    <w:rsid w:val="005161FD"/>
    <w:rsid w:val="005170BB"/>
    <w:rsid w:val="00520089"/>
    <w:rsid w:val="00521377"/>
    <w:rsid w:val="00521F0C"/>
    <w:rsid w:val="00522587"/>
    <w:rsid w:val="00523890"/>
    <w:rsid w:val="00523A82"/>
    <w:rsid w:val="005242B7"/>
    <w:rsid w:val="00530B8A"/>
    <w:rsid w:val="00531601"/>
    <w:rsid w:val="005328C9"/>
    <w:rsid w:val="00534CB9"/>
    <w:rsid w:val="005366D0"/>
    <w:rsid w:val="00540E2D"/>
    <w:rsid w:val="0054134D"/>
    <w:rsid w:val="0054190D"/>
    <w:rsid w:val="0054235D"/>
    <w:rsid w:val="005430ED"/>
    <w:rsid w:val="00543D3A"/>
    <w:rsid w:val="005443F6"/>
    <w:rsid w:val="00544523"/>
    <w:rsid w:val="00544865"/>
    <w:rsid w:val="005451EA"/>
    <w:rsid w:val="00545659"/>
    <w:rsid w:val="00545A7A"/>
    <w:rsid w:val="00545BD2"/>
    <w:rsid w:val="00545CE4"/>
    <w:rsid w:val="005460C4"/>
    <w:rsid w:val="0054654F"/>
    <w:rsid w:val="00546A33"/>
    <w:rsid w:val="00546BD3"/>
    <w:rsid w:val="00546C27"/>
    <w:rsid w:val="00552C6B"/>
    <w:rsid w:val="005538AE"/>
    <w:rsid w:val="00555577"/>
    <w:rsid w:val="005556A2"/>
    <w:rsid w:val="0055648B"/>
    <w:rsid w:val="005577C5"/>
    <w:rsid w:val="005609D6"/>
    <w:rsid w:val="00561A55"/>
    <w:rsid w:val="005624F6"/>
    <w:rsid w:val="00565B6D"/>
    <w:rsid w:val="00565DDF"/>
    <w:rsid w:val="005660EA"/>
    <w:rsid w:val="00566548"/>
    <w:rsid w:val="00566E40"/>
    <w:rsid w:val="005702DD"/>
    <w:rsid w:val="00570325"/>
    <w:rsid w:val="00570436"/>
    <w:rsid w:val="00575A54"/>
    <w:rsid w:val="005761E7"/>
    <w:rsid w:val="005801A7"/>
    <w:rsid w:val="005802DF"/>
    <w:rsid w:val="00580930"/>
    <w:rsid w:val="00580AAB"/>
    <w:rsid w:val="005818AA"/>
    <w:rsid w:val="00583061"/>
    <w:rsid w:val="005841EB"/>
    <w:rsid w:val="005842BD"/>
    <w:rsid w:val="00585535"/>
    <w:rsid w:val="00585D7A"/>
    <w:rsid w:val="005879D5"/>
    <w:rsid w:val="00590178"/>
    <w:rsid w:val="00593702"/>
    <w:rsid w:val="00593A34"/>
    <w:rsid w:val="0059471E"/>
    <w:rsid w:val="00596BF6"/>
    <w:rsid w:val="005A0569"/>
    <w:rsid w:val="005A0A7B"/>
    <w:rsid w:val="005A0C26"/>
    <w:rsid w:val="005A1202"/>
    <w:rsid w:val="005A5185"/>
    <w:rsid w:val="005A58D8"/>
    <w:rsid w:val="005A5CC6"/>
    <w:rsid w:val="005A6FC3"/>
    <w:rsid w:val="005A7BCF"/>
    <w:rsid w:val="005B02E5"/>
    <w:rsid w:val="005B15AD"/>
    <w:rsid w:val="005B1EEB"/>
    <w:rsid w:val="005B2378"/>
    <w:rsid w:val="005B2410"/>
    <w:rsid w:val="005B2C59"/>
    <w:rsid w:val="005B2CB7"/>
    <w:rsid w:val="005B3634"/>
    <w:rsid w:val="005B47F0"/>
    <w:rsid w:val="005B735A"/>
    <w:rsid w:val="005B7AD0"/>
    <w:rsid w:val="005B7AF7"/>
    <w:rsid w:val="005C0CA6"/>
    <w:rsid w:val="005C0D07"/>
    <w:rsid w:val="005C2344"/>
    <w:rsid w:val="005C2438"/>
    <w:rsid w:val="005C383E"/>
    <w:rsid w:val="005C426E"/>
    <w:rsid w:val="005C4FF0"/>
    <w:rsid w:val="005C67D0"/>
    <w:rsid w:val="005C758C"/>
    <w:rsid w:val="005C7FD6"/>
    <w:rsid w:val="005D0092"/>
    <w:rsid w:val="005D1722"/>
    <w:rsid w:val="005D2C33"/>
    <w:rsid w:val="005D31AE"/>
    <w:rsid w:val="005D5027"/>
    <w:rsid w:val="005D55F4"/>
    <w:rsid w:val="005E061E"/>
    <w:rsid w:val="005E06F2"/>
    <w:rsid w:val="005E0BE0"/>
    <w:rsid w:val="005E1734"/>
    <w:rsid w:val="005E1B70"/>
    <w:rsid w:val="005E24FE"/>
    <w:rsid w:val="005E2AB5"/>
    <w:rsid w:val="005E2B97"/>
    <w:rsid w:val="005E385B"/>
    <w:rsid w:val="005E3F8A"/>
    <w:rsid w:val="005E4E10"/>
    <w:rsid w:val="005E5A28"/>
    <w:rsid w:val="005E5BD9"/>
    <w:rsid w:val="005E5C8C"/>
    <w:rsid w:val="005F05A6"/>
    <w:rsid w:val="005F068D"/>
    <w:rsid w:val="005F1213"/>
    <w:rsid w:val="005F18B2"/>
    <w:rsid w:val="005F3F74"/>
    <w:rsid w:val="005F5DC5"/>
    <w:rsid w:val="005F6014"/>
    <w:rsid w:val="00600326"/>
    <w:rsid w:val="006006DD"/>
    <w:rsid w:val="00601413"/>
    <w:rsid w:val="006016E4"/>
    <w:rsid w:val="0060189F"/>
    <w:rsid w:val="0060401A"/>
    <w:rsid w:val="00607B2B"/>
    <w:rsid w:val="00607F47"/>
    <w:rsid w:val="00610C79"/>
    <w:rsid w:val="0061102F"/>
    <w:rsid w:val="00611EB7"/>
    <w:rsid w:val="00614BE5"/>
    <w:rsid w:val="006154A3"/>
    <w:rsid w:val="00616C66"/>
    <w:rsid w:val="00617515"/>
    <w:rsid w:val="006175F7"/>
    <w:rsid w:val="006249F7"/>
    <w:rsid w:val="00624E59"/>
    <w:rsid w:val="0062661C"/>
    <w:rsid w:val="00626764"/>
    <w:rsid w:val="00626970"/>
    <w:rsid w:val="006270A1"/>
    <w:rsid w:val="00630A8E"/>
    <w:rsid w:val="00630FDD"/>
    <w:rsid w:val="0063108B"/>
    <w:rsid w:val="00631D3E"/>
    <w:rsid w:val="00631E62"/>
    <w:rsid w:val="0063256C"/>
    <w:rsid w:val="006338B0"/>
    <w:rsid w:val="006342FA"/>
    <w:rsid w:val="006346D9"/>
    <w:rsid w:val="00634D74"/>
    <w:rsid w:val="006357C2"/>
    <w:rsid w:val="006364EA"/>
    <w:rsid w:val="00636AFA"/>
    <w:rsid w:val="0063714C"/>
    <w:rsid w:val="00640A3C"/>
    <w:rsid w:val="006417B8"/>
    <w:rsid w:val="0064206D"/>
    <w:rsid w:val="0064273D"/>
    <w:rsid w:val="00642DBA"/>
    <w:rsid w:val="00643BB2"/>
    <w:rsid w:val="00645B14"/>
    <w:rsid w:val="00646A0F"/>
    <w:rsid w:val="00646A14"/>
    <w:rsid w:val="006471AE"/>
    <w:rsid w:val="0065091C"/>
    <w:rsid w:val="006518B4"/>
    <w:rsid w:val="0065191C"/>
    <w:rsid w:val="00651EFF"/>
    <w:rsid w:val="00652AE5"/>
    <w:rsid w:val="00652E87"/>
    <w:rsid w:val="00653163"/>
    <w:rsid w:val="006534D0"/>
    <w:rsid w:val="00653C74"/>
    <w:rsid w:val="00653E9A"/>
    <w:rsid w:val="00654FDC"/>
    <w:rsid w:val="006569A2"/>
    <w:rsid w:val="00656AC7"/>
    <w:rsid w:val="00660914"/>
    <w:rsid w:val="00660A2A"/>
    <w:rsid w:val="00660D72"/>
    <w:rsid w:val="0066120D"/>
    <w:rsid w:val="006612B0"/>
    <w:rsid w:val="00662277"/>
    <w:rsid w:val="00662812"/>
    <w:rsid w:val="00662A18"/>
    <w:rsid w:val="00662D71"/>
    <w:rsid w:val="00663453"/>
    <w:rsid w:val="00665BF4"/>
    <w:rsid w:val="006673F3"/>
    <w:rsid w:val="0067108D"/>
    <w:rsid w:val="00672BC7"/>
    <w:rsid w:val="00673132"/>
    <w:rsid w:val="00673981"/>
    <w:rsid w:val="00674069"/>
    <w:rsid w:val="00674667"/>
    <w:rsid w:val="00674CF8"/>
    <w:rsid w:val="00675C3B"/>
    <w:rsid w:val="0067614A"/>
    <w:rsid w:val="0067619C"/>
    <w:rsid w:val="006765C7"/>
    <w:rsid w:val="00677C42"/>
    <w:rsid w:val="006800F1"/>
    <w:rsid w:val="006823EA"/>
    <w:rsid w:val="006829CD"/>
    <w:rsid w:val="00683A18"/>
    <w:rsid w:val="006851A7"/>
    <w:rsid w:val="00687768"/>
    <w:rsid w:val="00687A55"/>
    <w:rsid w:val="00687B35"/>
    <w:rsid w:val="00687FE6"/>
    <w:rsid w:val="00690A55"/>
    <w:rsid w:val="006917DE"/>
    <w:rsid w:val="00691BED"/>
    <w:rsid w:val="00692482"/>
    <w:rsid w:val="006928BB"/>
    <w:rsid w:val="006944E4"/>
    <w:rsid w:val="00694B89"/>
    <w:rsid w:val="00694C28"/>
    <w:rsid w:val="00694DFE"/>
    <w:rsid w:val="00694E43"/>
    <w:rsid w:val="00696580"/>
    <w:rsid w:val="00696AA6"/>
    <w:rsid w:val="0069709D"/>
    <w:rsid w:val="006972F9"/>
    <w:rsid w:val="006A04A5"/>
    <w:rsid w:val="006A086D"/>
    <w:rsid w:val="006A1BDA"/>
    <w:rsid w:val="006A2958"/>
    <w:rsid w:val="006A354A"/>
    <w:rsid w:val="006A4C20"/>
    <w:rsid w:val="006A5313"/>
    <w:rsid w:val="006A593A"/>
    <w:rsid w:val="006A5C63"/>
    <w:rsid w:val="006B1191"/>
    <w:rsid w:val="006B195C"/>
    <w:rsid w:val="006B235E"/>
    <w:rsid w:val="006B2B16"/>
    <w:rsid w:val="006B4832"/>
    <w:rsid w:val="006B621F"/>
    <w:rsid w:val="006B65C7"/>
    <w:rsid w:val="006B6640"/>
    <w:rsid w:val="006B67F2"/>
    <w:rsid w:val="006B6ABE"/>
    <w:rsid w:val="006B75E0"/>
    <w:rsid w:val="006B775E"/>
    <w:rsid w:val="006C19F9"/>
    <w:rsid w:val="006C1CA8"/>
    <w:rsid w:val="006C2948"/>
    <w:rsid w:val="006C3AE3"/>
    <w:rsid w:val="006C3CF4"/>
    <w:rsid w:val="006C4D29"/>
    <w:rsid w:val="006C5274"/>
    <w:rsid w:val="006C66F6"/>
    <w:rsid w:val="006C671E"/>
    <w:rsid w:val="006C74FE"/>
    <w:rsid w:val="006D04B9"/>
    <w:rsid w:val="006D063D"/>
    <w:rsid w:val="006D1A4A"/>
    <w:rsid w:val="006D3A1A"/>
    <w:rsid w:val="006D461E"/>
    <w:rsid w:val="006D68ED"/>
    <w:rsid w:val="006D7668"/>
    <w:rsid w:val="006D79BA"/>
    <w:rsid w:val="006D7D5A"/>
    <w:rsid w:val="006E02BB"/>
    <w:rsid w:val="006E1EEA"/>
    <w:rsid w:val="006E275D"/>
    <w:rsid w:val="006E3AC4"/>
    <w:rsid w:val="006E4E7B"/>
    <w:rsid w:val="006F002D"/>
    <w:rsid w:val="006F1066"/>
    <w:rsid w:val="006F2201"/>
    <w:rsid w:val="006F5DC9"/>
    <w:rsid w:val="006F635B"/>
    <w:rsid w:val="006F640C"/>
    <w:rsid w:val="006F6AC5"/>
    <w:rsid w:val="006F7033"/>
    <w:rsid w:val="006F760B"/>
    <w:rsid w:val="00700A62"/>
    <w:rsid w:val="007012B3"/>
    <w:rsid w:val="00701526"/>
    <w:rsid w:val="00701F68"/>
    <w:rsid w:val="00703838"/>
    <w:rsid w:val="007044C0"/>
    <w:rsid w:val="00704ACE"/>
    <w:rsid w:val="00705CFC"/>
    <w:rsid w:val="00706DDA"/>
    <w:rsid w:val="0070767C"/>
    <w:rsid w:val="00707A06"/>
    <w:rsid w:val="00710305"/>
    <w:rsid w:val="00711570"/>
    <w:rsid w:val="007115D3"/>
    <w:rsid w:val="007118B9"/>
    <w:rsid w:val="007135BD"/>
    <w:rsid w:val="00713636"/>
    <w:rsid w:val="00713C7D"/>
    <w:rsid w:val="00715DFB"/>
    <w:rsid w:val="00715F40"/>
    <w:rsid w:val="007166A1"/>
    <w:rsid w:val="00720367"/>
    <w:rsid w:val="007209EC"/>
    <w:rsid w:val="00720B71"/>
    <w:rsid w:val="00720DAE"/>
    <w:rsid w:val="007213C6"/>
    <w:rsid w:val="00721407"/>
    <w:rsid w:val="00721EFA"/>
    <w:rsid w:val="0072290E"/>
    <w:rsid w:val="007259AE"/>
    <w:rsid w:val="00726427"/>
    <w:rsid w:val="00726BE6"/>
    <w:rsid w:val="007270D9"/>
    <w:rsid w:val="007274E6"/>
    <w:rsid w:val="00732838"/>
    <w:rsid w:val="00732AC2"/>
    <w:rsid w:val="00734E6D"/>
    <w:rsid w:val="007352A5"/>
    <w:rsid w:val="00735A2E"/>
    <w:rsid w:val="007374E2"/>
    <w:rsid w:val="00740171"/>
    <w:rsid w:val="007401F2"/>
    <w:rsid w:val="00740338"/>
    <w:rsid w:val="007435C6"/>
    <w:rsid w:val="007436D1"/>
    <w:rsid w:val="007436FB"/>
    <w:rsid w:val="00744D88"/>
    <w:rsid w:val="00747164"/>
    <w:rsid w:val="00750D87"/>
    <w:rsid w:val="0075312D"/>
    <w:rsid w:val="00753DBD"/>
    <w:rsid w:val="00753F48"/>
    <w:rsid w:val="0075419E"/>
    <w:rsid w:val="0075517D"/>
    <w:rsid w:val="007560CD"/>
    <w:rsid w:val="0075620F"/>
    <w:rsid w:val="00756727"/>
    <w:rsid w:val="00756C09"/>
    <w:rsid w:val="00757958"/>
    <w:rsid w:val="00757ADB"/>
    <w:rsid w:val="00761C0D"/>
    <w:rsid w:val="00763B13"/>
    <w:rsid w:val="0076404A"/>
    <w:rsid w:val="0076558E"/>
    <w:rsid w:val="007656C9"/>
    <w:rsid w:val="007672F3"/>
    <w:rsid w:val="00771334"/>
    <w:rsid w:val="00771502"/>
    <w:rsid w:val="007725FD"/>
    <w:rsid w:val="0077517E"/>
    <w:rsid w:val="0077591F"/>
    <w:rsid w:val="00775A58"/>
    <w:rsid w:val="00776138"/>
    <w:rsid w:val="007769BC"/>
    <w:rsid w:val="00777005"/>
    <w:rsid w:val="007802FA"/>
    <w:rsid w:val="0078129B"/>
    <w:rsid w:val="007823DA"/>
    <w:rsid w:val="00782404"/>
    <w:rsid w:val="0078329A"/>
    <w:rsid w:val="0078699B"/>
    <w:rsid w:val="00790A5B"/>
    <w:rsid w:val="0079102C"/>
    <w:rsid w:val="0079134C"/>
    <w:rsid w:val="0079135D"/>
    <w:rsid w:val="0079151E"/>
    <w:rsid w:val="0079202D"/>
    <w:rsid w:val="00792145"/>
    <w:rsid w:val="00792CAE"/>
    <w:rsid w:val="00792FA3"/>
    <w:rsid w:val="007933C4"/>
    <w:rsid w:val="0079364E"/>
    <w:rsid w:val="007938E7"/>
    <w:rsid w:val="007943C3"/>
    <w:rsid w:val="00796056"/>
    <w:rsid w:val="007A022C"/>
    <w:rsid w:val="007A1548"/>
    <w:rsid w:val="007A1CA1"/>
    <w:rsid w:val="007A34C3"/>
    <w:rsid w:val="007A3772"/>
    <w:rsid w:val="007A4672"/>
    <w:rsid w:val="007A47FB"/>
    <w:rsid w:val="007A4D3A"/>
    <w:rsid w:val="007A6893"/>
    <w:rsid w:val="007A6B30"/>
    <w:rsid w:val="007A7150"/>
    <w:rsid w:val="007A77CF"/>
    <w:rsid w:val="007B00A3"/>
    <w:rsid w:val="007B0B21"/>
    <w:rsid w:val="007B0E1B"/>
    <w:rsid w:val="007B0F84"/>
    <w:rsid w:val="007B330D"/>
    <w:rsid w:val="007B33A1"/>
    <w:rsid w:val="007B6BBA"/>
    <w:rsid w:val="007B7F1D"/>
    <w:rsid w:val="007C2091"/>
    <w:rsid w:val="007C2792"/>
    <w:rsid w:val="007C377A"/>
    <w:rsid w:val="007C49BB"/>
    <w:rsid w:val="007C4FC9"/>
    <w:rsid w:val="007C69FB"/>
    <w:rsid w:val="007C7231"/>
    <w:rsid w:val="007C7AC8"/>
    <w:rsid w:val="007C7B41"/>
    <w:rsid w:val="007D0568"/>
    <w:rsid w:val="007D2105"/>
    <w:rsid w:val="007D2A90"/>
    <w:rsid w:val="007D4738"/>
    <w:rsid w:val="007D524A"/>
    <w:rsid w:val="007D55BA"/>
    <w:rsid w:val="007D6733"/>
    <w:rsid w:val="007D6F2B"/>
    <w:rsid w:val="007E0539"/>
    <w:rsid w:val="007E12FE"/>
    <w:rsid w:val="007E3661"/>
    <w:rsid w:val="007E367E"/>
    <w:rsid w:val="007E3A68"/>
    <w:rsid w:val="007E3BC8"/>
    <w:rsid w:val="007E40E4"/>
    <w:rsid w:val="007E49F9"/>
    <w:rsid w:val="007E4DB3"/>
    <w:rsid w:val="007E5A86"/>
    <w:rsid w:val="007E6BB9"/>
    <w:rsid w:val="007E767F"/>
    <w:rsid w:val="007E7B61"/>
    <w:rsid w:val="007F1392"/>
    <w:rsid w:val="007F1ABC"/>
    <w:rsid w:val="007F1AC1"/>
    <w:rsid w:val="007F2184"/>
    <w:rsid w:val="007F24FC"/>
    <w:rsid w:val="007F2993"/>
    <w:rsid w:val="007F3D59"/>
    <w:rsid w:val="007F4214"/>
    <w:rsid w:val="007F5657"/>
    <w:rsid w:val="007F6543"/>
    <w:rsid w:val="007F684E"/>
    <w:rsid w:val="007F7EA0"/>
    <w:rsid w:val="00800A4F"/>
    <w:rsid w:val="008019D2"/>
    <w:rsid w:val="008027BC"/>
    <w:rsid w:val="008035F9"/>
    <w:rsid w:val="0080361B"/>
    <w:rsid w:val="00803BDB"/>
    <w:rsid w:val="008040B3"/>
    <w:rsid w:val="00804AD4"/>
    <w:rsid w:val="008050D8"/>
    <w:rsid w:val="00806169"/>
    <w:rsid w:val="00806AA7"/>
    <w:rsid w:val="0080716B"/>
    <w:rsid w:val="00807895"/>
    <w:rsid w:val="00810A7D"/>
    <w:rsid w:val="0081154C"/>
    <w:rsid w:val="00811927"/>
    <w:rsid w:val="00813412"/>
    <w:rsid w:val="00813CE9"/>
    <w:rsid w:val="00814280"/>
    <w:rsid w:val="00816F17"/>
    <w:rsid w:val="008207DF"/>
    <w:rsid w:val="00820B31"/>
    <w:rsid w:val="00821C0C"/>
    <w:rsid w:val="00822CCC"/>
    <w:rsid w:val="0082410C"/>
    <w:rsid w:val="00824A3E"/>
    <w:rsid w:val="008258D9"/>
    <w:rsid w:val="0082670B"/>
    <w:rsid w:val="00826F4E"/>
    <w:rsid w:val="0083002C"/>
    <w:rsid w:val="00831CAB"/>
    <w:rsid w:val="008335C8"/>
    <w:rsid w:val="008343A4"/>
    <w:rsid w:val="00834D25"/>
    <w:rsid w:val="008366C5"/>
    <w:rsid w:val="00837578"/>
    <w:rsid w:val="00841580"/>
    <w:rsid w:val="0084184B"/>
    <w:rsid w:val="008433FC"/>
    <w:rsid w:val="00844B4B"/>
    <w:rsid w:val="00844BA8"/>
    <w:rsid w:val="00850449"/>
    <w:rsid w:val="008504C5"/>
    <w:rsid w:val="00850741"/>
    <w:rsid w:val="00850921"/>
    <w:rsid w:val="00851EF6"/>
    <w:rsid w:val="00853C2E"/>
    <w:rsid w:val="0085421B"/>
    <w:rsid w:val="00855637"/>
    <w:rsid w:val="00855A04"/>
    <w:rsid w:val="00855DA0"/>
    <w:rsid w:val="0085603B"/>
    <w:rsid w:val="00856B85"/>
    <w:rsid w:val="00857A5A"/>
    <w:rsid w:val="00862437"/>
    <w:rsid w:val="0086243E"/>
    <w:rsid w:val="00863AC5"/>
    <w:rsid w:val="00863C66"/>
    <w:rsid w:val="008706D5"/>
    <w:rsid w:val="0087123C"/>
    <w:rsid w:val="00872129"/>
    <w:rsid w:val="00872460"/>
    <w:rsid w:val="0087272C"/>
    <w:rsid w:val="00872C08"/>
    <w:rsid w:val="008742F2"/>
    <w:rsid w:val="008748FA"/>
    <w:rsid w:val="00875DE8"/>
    <w:rsid w:val="00875F0C"/>
    <w:rsid w:val="008768BE"/>
    <w:rsid w:val="00876AB9"/>
    <w:rsid w:val="0087721C"/>
    <w:rsid w:val="00880458"/>
    <w:rsid w:val="0088247C"/>
    <w:rsid w:val="00883088"/>
    <w:rsid w:val="00883ABC"/>
    <w:rsid w:val="008851A7"/>
    <w:rsid w:val="008851BB"/>
    <w:rsid w:val="0088565D"/>
    <w:rsid w:val="00886D9B"/>
    <w:rsid w:val="0088707B"/>
    <w:rsid w:val="008936EC"/>
    <w:rsid w:val="00893D66"/>
    <w:rsid w:val="008949D5"/>
    <w:rsid w:val="008955FB"/>
    <w:rsid w:val="008966A2"/>
    <w:rsid w:val="008970F1"/>
    <w:rsid w:val="008A2A07"/>
    <w:rsid w:val="008A3D53"/>
    <w:rsid w:val="008A579B"/>
    <w:rsid w:val="008A5A3B"/>
    <w:rsid w:val="008A5BA1"/>
    <w:rsid w:val="008A6805"/>
    <w:rsid w:val="008A6F20"/>
    <w:rsid w:val="008B150E"/>
    <w:rsid w:val="008B38B6"/>
    <w:rsid w:val="008B3D33"/>
    <w:rsid w:val="008B3EA5"/>
    <w:rsid w:val="008B442C"/>
    <w:rsid w:val="008B45A6"/>
    <w:rsid w:val="008B641E"/>
    <w:rsid w:val="008B6670"/>
    <w:rsid w:val="008B6C65"/>
    <w:rsid w:val="008B729F"/>
    <w:rsid w:val="008B7D79"/>
    <w:rsid w:val="008C0919"/>
    <w:rsid w:val="008C0A45"/>
    <w:rsid w:val="008C426F"/>
    <w:rsid w:val="008C4BD8"/>
    <w:rsid w:val="008C4D72"/>
    <w:rsid w:val="008C51DB"/>
    <w:rsid w:val="008C5231"/>
    <w:rsid w:val="008C5CAD"/>
    <w:rsid w:val="008C61A8"/>
    <w:rsid w:val="008C6407"/>
    <w:rsid w:val="008C67DC"/>
    <w:rsid w:val="008C7085"/>
    <w:rsid w:val="008C751E"/>
    <w:rsid w:val="008C7739"/>
    <w:rsid w:val="008C7B65"/>
    <w:rsid w:val="008D05C2"/>
    <w:rsid w:val="008D0E9A"/>
    <w:rsid w:val="008D254C"/>
    <w:rsid w:val="008D2F0D"/>
    <w:rsid w:val="008D5CEC"/>
    <w:rsid w:val="008D77B5"/>
    <w:rsid w:val="008D79B6"/>
    <w:rsid w:val="008E0B0D"/>
    <w:rsid w:val="008E1424"/>
    <w:rsid w:val="008E29C7"/>
    <w:rsid w:val="008E38C4"/>
    <w:rsid w:val="008E4412"/>
    <w:rsid w:val="008E4CB3"/>
    <w:rsid w:val="008E60F3"/>
    <w:rsid w:val="008E61CE"/>
    <w:rsid w:val="008E70D4"/>
    <w:rsid w:val="008F035E"/>
    <w:rsid w:val="008F14FE"/>
    <w:rsid w:val="008F21BE"/>
    <w:rsid w:val="008F2754"/>
    <w:rsid w:val="008F329B"/>
    <w:rsid w:val="008F401A"/>
    <w:rsid w:val="008F403F"/>
    <w:rsid w:val="008F577C"/>
    <w:rsid w:val="009019FB"/>
    <w:rsid w:val="00901B16"/>
    <w:rsid w:val="00901F21"/>
    <w:rsid w:val="00902407"/>
    <w:rsid w:val="00902614"/>
    <w:rsid w:val="009065A3"/>
    <w:rsid w:val="00907636"/>
    <w:rsid w:val="00910442"/>
    <w:rsid w:val="009112CC"/>
    <w:rsid w:val="00911E9E"/>
    <w:rsid w:val="00912D78"/>
    <w:rsid w:val="009169A4"/>
    <w:rsid w:val="00916FF7"/>
    <w:rsid w:val="00921331"/>
    <w:rsid w:val="00921629"/>
    <w:rsid w:val="00921B19"/>
    <w:rsid w:val="00921BA0"/>
    <w:rsid w:val="00923A1E"/>
    <w:rsid w:val="00924C72"/>
    <w:rsid w:val="00925468"/>
    <w:rsid w:val="009261F4"/>
    <w:rsid w:val="00930032"/>
    <w:rsid w:val="0093149E"/>
    <w:rsid w:val="00932665"/>
    <w:rsid w:val="009340AF"/>
    <w:rsid w:val="00934682"/>
    <w:rsid w:val="00934C8B"/>
    <w:rsid w:val="00935C5E"/>
    <w:rsid w:val="009367E4"/>
    <w:rsid w:val="00937638"/>
    <w:rsid w:val="009430A1"/>
    <w:rsid w:val="00943EF2"/>
    <w:rsid w:val="0094417D"/>
    <w:rsid w:val="009442E0"/>
    <w:rsid w:val="009449FC"/>
    <w:rsid w:val="00944B2E"/>
    <w:rsid w:val="00945D32"/>
    <w:rsid w:val="009463B2"/>
    <w:rsid w:val="009516BC"/>
    <w:rsid w:val="00952916"/>
    <w:rsid w:val="00952B99"/>
    <w:rsid w:val="00953526"/>
    <w:rsid w:val="0095459E"/>
    <w:rsid w:val="0095601C"/>
    <w:rsid w:val="00956A07"/>
    <w:rsid w:val="00957D31"/>
    <w:rsid w:val="00957D8C"/>
    <w:rsid w:val="00957EB5"/>
    <w:rsid w:val="00962AC4"/>
    <w:rsid w:val="00963112"/>
    <w:rsid w:val="009631AB"/>
    <w:rsid w:val="00964B69"/>
    <w:rsid w:val="00966928"/>
    <w:rsid w:val="00967506"/>
    <w:rsid w:val="00967ED9"/>
    <w:rsid w:val="00971F58"/>
    <w:rsid w:val="00971FE2"/>
    <w:rsid w:val="00973A5C"/>
    <w:rsid w:val="00973BB7"/>
    <w:rsid w:val="00974B8E"/>
    <w:rsid w:val="00974D22"/>
    <w:rsid w:val="00975E7B"/>
    <w:rsid w:val="0097653A"/>
    <w:rsid w:val="009775D7"/>
    <w:rsid w:val="00977CEF"/>
    <w:rsid w:val="0098023F"/>
    <w:rsid w:val="00981F06"/>
    <w:rsid w:val="009825A2"/>
    <w:rsid w:val="00983762"/>
    <w:rsid w:val="009838F7"/>
    <w:rsid w:val="009839EC"/>
    <w:rsid w:val="009843D6"/>
    <w:rsid w:val="00985450"/>
    <w:rsid w:val="00985A7B"/>
    <w:rsid w:val="00987434"/>
    <w:rsid w:val="00987925"/>
    <w:rsid w:val="00987932"/>
    <w:rsid w:val="00987A26"/>
    <w:rsid w:val="00990028"/>
    <w:rsid w:val="00990069"/>
    <w:rsid w:val="00990370"/>
    <w:rsid w:val="00990808"/>
    <w:rsid w:val="00990B08"/>
    <w:rsid w:val="00991DC1"/>
    <w:rsid w:val="00992192"/>
    <w:rsid w:val="009939C6"/>
    <w:rsid w:val="00994CB5"/>
    <w:rsid w:val="00996E32"/>
    <w:rsid w:val="00997058"/>
    <w:rsid w:val="009A04EA"/>
    <w:rsid w:val="009A14E0"/>
    <w:rsid w:val="009A4C33"/>
    <w:rsid w:val="009A5E53"/>
    <w:rsid w:val="009A6272"/>
    <w:rsid w:val="009A62C5"/>
    <w:rsid w:val="009A74D5"/>
    <w:rsid w:val="009A7CCC"/>
    <w:rsid w:val="009B0372"/>
    <w:rsid w:val="009B16AD"/>
    <w:rsid w:val="009B1837"/>
    <w:rsid w:val="009B385F"/>
    <w:rsid w:val="009B3DF6"/>
    <w:rsid w:val="009B65DE"/>
    <w:rsid w:val="009B6F38"/>
    <w:rsid w:val="009C0C97"/>
    <w:rsid w:val="009C21A7"/>
    <w:rsid w:val="009C2889"/>
    <w:rsid w:val="009C290E"/>
    <w:rsid w:val="009C3825"/>
    <w:rsid w:val="009C4274"/>
    <w:rsid w:val="009C42D1"/>
    <w:rsid w:val="009C6C2E"/>
    <w:rsid w:val="009C71A3"/>
    <w:rsid w:val="009D0E7B"/>
    <w:rsid w:val="009D1E17"/>
    <w:rsid w:val="009D2BBA"/>
    <w:rsid w:val="009D3DA6"/>
    <w:rsid w:val="009D4EC6"/>
    <w:rsid w:val="009D5449"/>
    <w:rsid w:val="009D5762"/>
    <w:rsid w:val="009D59E2"/>
    <w:rsid w:val="009D7109"/>
    <w:rsid w:val="009D7138"/>
    <w:rsid w:val="009D7A9D"/>
    <w:rsid w:val="009E0865"/>
    <w:rsid w:val="009E1682"/>
    <w:rsid w:val="009E3D00"/>
    <w:rsid w:val="009E40F3"/>
    <w:rsid w:val="009E4AE1"/>
    <w:rsid w:val="009E582F"/>
    <w:rsid w:val="009E6645"/>
    <w:rsid w:val="009E671B"/>
    <w:rsid w:val="009F0549"/>
    <w:rsid w:val="009F0FA3"/>
    <w:rsid w:val="009F1474"/>
    <w:rsid w:val="009F17AE"/>
    <w:rsid w:val="009F1E81"/>
    <w:rsid w:val="009F22EB"/>
    <w:rsid w:val="009F2565"/>
    <w:rsid w:val="009F40B3"/>
    <w:rsid w:val="009F5C10"/>
    <w:rsid w:val="009F5E0F"/>
    <w:rsid w:val="009F628F"/>
    <w:rsid w:val="009F63E3"/>
    <w:rsid w:val="009F7BC9"/>
    <w:rsid w:val="009F7BE8"/>
    <w:rsid w:val="00A00162"/>
    <w:rsid w:val="00A02036"/>
    <w:rsid w:val="00A02A6C"/>
    <w:rsid w:val="00A02E7A"/>
    <w:rsid w:val="00A054A8"/>
    <w:rsid w:val="00A0613D"/>
    <w:rsid w:val="00A0707D"/>
    <w:rsid w:val="00A10808"/>
    <w:rsid w:val="00A10D1B"/>
    <w:rsid w:val="00A11385"/>
    <w:rsid w:val="00A12441"/>
    <w:rsid w:val="00A1564F"/>
    <w:rsid w:val="00A15EDA"/>
    <w:rsid w:val="00A16347"/>
    <w:rsid w:val="00A1730A"/>
    <w:rsid w:val="00A202EB"/>
    <w:rsid w:val="00A20D75"/>
    <w:rsid w:val="00A21701"/>
    <w:rsid w:val="00A22CCE"/>
    <w:rsid w:val="00A22E91"/>
    <w:rsid w:val="00A2555B"/>
    <w:rsid w:val="00A257D5"/>
    <w:rsid w:val="00A25B9D"/>
    <w:rsid w:val="00A261DC"/>
    <w:rsid w:val="00A26332"/>
    <w:rsid w:val="00A263F5"/>
    <w:rsid w:val="00A2750F"/>
    <w:rsid w:val="00A31AAC"/>
    <w:rsid w:val="00A3326E"/>
    <w:rsid w:val="00A33C8E"/>
    <w:rsid w:val="00A351A7"/>
    <w:rsid w:val="00A352BA"/>
    <w:rsid w:val="00A35BDB"/>
    <w:rsid w:val="00A36199"/>
    <w:rsid w:val="00A368F9"/>
    <w:rsid w:val="00A370F9"/>
    <w:rsid w:val="00A373EF"/>
    <w:rsid w:val="00A377B4"/>
    <w:rsid w:val="00A37BA2"/>
    <w:rsid w:val="00A37EDA"/>
    <w:rsid w:val="00A414C3"/>
    <w:rsid w:val="00A41B45"/>
    <w:rsid w:val="00A42A1C"/>
    <w:rsid w:val="00A4417B"/>
    <w:rsid w:val="00A458D9"/>
    <w:rsid w:val="00A45C44"/>
    <w:rsid w:val="00A46943"/>
    <w:rsid w:val="00A46BFA"/>
    <w:rsid w:val="00A46DB0"/>
    <w:rsid w:val="00A47E7D"/>
    <w:rsid w:val="00A50DF0"/>
    <w:rsid w:val="00A5118F"/>
    <w:rsid w:val="00A55E29"/>
    <w:rsid w:val="00A56348"/>
    <w:rsid w:val="00A56F1B"/>
    <w:rsid w:val="00A57206"/>
    <w:rsid w:val="00A57BCF"/>
    <w:rsid w:val="00A57EAF"/>
    <w:rsid w:val="00A60EB0"/>
    <w:rsid w:val="00A61450"/>
    <w:rsid w:val="00A6234E"/>
    <w:rsid w:val="00A62887"/>
    <w:rsid w:val="00A62D11"/>
    <w:rsid w:val="00A631DC"/>
    <w:rsid w:val="00A64799"/>
    <w:rsid w:val="00A65052"/>
    <w:rsid w:val="00A6628B"/>
    <w:rsid w:val="00A66651"/>
    <w:rsid w:val="00A66C06"/>
    <w:rsid w:val="00A6758F"/>
    <w:rsid w:val="00A67CF7"/>
    <w:rsid w:val="00A67DA4"/>
    <w:rsid w:val="00A70C28"/>
    <w:rsid w:val="00A70F2D"/>
    <w:rsid w:val="00A72F71"/>
    <w:rsid w:val="00A776DC"/>
    <w:rsid w:val="00A800D4"/>
    <w:rsid w:val="00A8053F"/>
    <w:rsid w:val="00A8264E"/>
    <w:rsid w:val="00A8266F"/>
    <w:rsid w:val="00A834D7"/>
    <w:rsid w:val="00A84B27"/>
    <w:rsid w:val="00A8574C"/>
    <w:rsid w:val="00A87EB5"/>
    <w:rsid w:val="00A903A1"/>
    <w:rsid w:val="00A908E3"/>
    <w:rsid w:val="00A94562"/>
    <w:rsid w:val="00A94DF9"/>
    <w:rsid w:val="00AA0E8D"/>
    <w:rsid w:val="00AA1470"/>
    <w:rsid w:val="00AA29F2"/>
    <w:rsid w:val="00AA2DE8"/>
    <w:rsid w:val="00AA3425"/>
    <w:rsid w:val="00AA4909"/>
    <w:rsid w:val="00AA5425"/>
    <w:rsid w:val="00AA607D"/>
    <w:rsid w:val="00AA7547"/>
    <w:rsid w:val="00AB05A8"/>
    <w:rsid w:val="00AB06C4"/>
    <w:rsid w:val="00AB2157"/>
    <w:rsid w:val="00AB3DA5"/>
    <w:rsid w:val="00AB4542"/>
    <w:rsid w:val="00AB4CCA"/>
    <w:rsid w:val="00AB52B2"/>
    <w:rsid w:val="00AB5FC7"/>
    <w:rsid w:val="00AB64CB"/>
    <w:rsid w:val="00AB69D4"/>
    <w:rsid w:val="00AC078C"/>
    <w:rsid w:val="00AC0DAA"/>
    <w:rsid w:val="00AC1B34"/>
    <w:rsid w:val="00AC331E"/>
    <w:rsid w:val="00AC34C6"/>
    <w:rsid w:val="00AC368D"/>
    <w:rsid w:val="00AC5168"/>
    <w:rsid w:val="00AC537C"/>
    <w:rsid w:val="00AC5730"/>
    <w:rsid w:val="00AC5E57"/>
    <w:rsid w:val="00AC5F0D"/>
    <w:rsid w:val="00AC5F61"/>
    <w:rsid w:val="00AC68D0"/>
    <w:rsid w:val="00AC6FE1"/>
    <w:rsid w:val="00AC76EF"/>
    <w:rsid w:val="00AD091A"/>
    <w:rsid w:val="00AD103C"/>
    <w:rsid w:val="00AD171F"/>
    <w:rsid w:val="00AD25F5"/>
    <w:rsid w:val="00AD6E9C"/>
    <w:rsid w:val="00AD704C"/>
    <w:rsid w:val="00AD7EBF"/>
    <w:rsid w:val="00AE09C6"/>
    <w:rsid w:val="00AE0D79"/>
    <w:rsid w:val="00AE0DE5"/>
    <w:rsid w:val="00AE0E0B"/>
    <w:rsid w:val="00AE2094"/>
    <w:rsid w:val="00AE23F0"/>
    <w:rsid w:val="00AE4738"/>
    <w:rsid w:val="00AE4D39"/>
    <w:rsid w:val="00AE6607"/>
    <w:rsid w:val="00AE7CCC"/>
    <w:rsid w:val="00AF0C7A"/>
    <w:rsid w:val="00AF1CDB"/>
    <w:rsid w:val="00AF23FB"/>
    <w:rsid w:val="00AF2D39"/>
    <w:rsid w:val="00AF33F3"/>
    <w:rsid w:val="00AF3DCF"/>
    <w:rsid w:val="00AF4ED5"/>
    <w:rsid w:val="00AF5E7A"/>
    <w:rsid w:val="00AF6142"/>
    <w:rsid w:val="00AF6583"/>
    <w:rsid w:val="00AF6E2B"/>
    <w:rsid w:val="00AF7F4F"/>
    <w:rsid w:val="00B002EB"/>
    <w:rsid w:val="00B017DF"/>
    <w:rsid w:val="00B02714"/>
    <w:rsid w:val="00B02CC8"/>
    <w:rsid w:val="00B02CE0"/>
    <w:rsid w:val="00B02E33"/>
    <w:rsid w:val="00B03A38"/>
    <w:rsid w:val="00B04120"/>
    <w:rsid w:val="00B05C6E"/>
    <w:rsid w:val="00B07E21"/>
    <w:rsid w:val="00B119E9"/>
    <w:rsid w:val="00B11FAB"/>
    <w:rsid w:val="00B12618"/>
    <w:rsid w:val="00B13615"/>
    <w:rsid w:val="00B15533"/>
    <w:rsid w:val="00B1674D"/>
    <w:rsid w:val="00B179AF"/>
    <w:rsid w:val="00B17BB7"/>
    <w:rsid w:val="00B21011"/>
    <w:rsid w:val="00B2194F"/>
    <w:rsid w:val="00B23ED3"/>
    <w:rsid w:val="00B251B2"/>
    <w:rsid w:val="00B25DB9"/>
    <w:rsid w:val="00B305B8"/>
    <w:rsid w:val="00B312C3"/>
    <w:rsid w:val="00B31C0F"/>
    <w:rsid w:val="00B33479"/>
    <w:rsid w:val="00B35954"/>
    <w:rsid w:val="00B3664F"/>
    <w:rsid w:val="00B36B36"/>
    <w:rsid w:val="00B37A6C"/>
    <w:rsid w:val="00B403CC"/>
    <w:rsid w:val="00B450FC"/>
    <w:rsid w:val="00B45955"/>
    <w:rsid w:val="00B45DA7"/>
    <w:rsid w:val="00B46BF9"/>
    <w:rsid w:val="00B47463"/>
    <w:rsid w:val="00B4753A"/>
    <w:rsid w:val="00B47A8C"/>
    <w:rsid w:val="00B501D8"/>
    <w:rsid w:val="00B5156E"/>
    <w:rsid w:val="00B517A0"/>
    <w:rsid w:val="00B5222F"/>
    <w:rsid w:val="00B52B53"/>
    <w:rsid w:val="00B53B24"/>
    <w:rsid w:val="00B55391"/>
    <w:rsid w:val="00B55CD3"/>
    <w:rsid w:val="00B56226"/>
    <w:rsid w:val="00B56CE3"/>
    <w:rsid w:val="00B60728"/>
    <w:rsid w:val="00B628FA"/>
    <w:rsid w:val="00B63079"/>
    <w:rsid w:val="00B638EB"/>
    <w:rsid w:val="00B63AFB"/>
    <w:rsid w:val="00B647B0"/>
    <w:rsid w:val="00B64C8B"/>
    <w:rsid w:val="00B65598"/>
    <w:rsid w:val="00B65CF7"/>
    <w:rsid w:val="00B65FFB"/>
    <w:rsid w:val="00B705DB"/>
    <w:rsid w:val="00B708A7"/>
    <w:rsid w:val="00B70C5C"/>
    <w:rsid w:val="00B71B33"/>
    <w:rsid w:val="00B71DBA"/>
    <w:rsid w:val="00B71EE6"/>
    <w:rsid w:val="00B73354"/>
    <w:rsid w:val="00B73FE0"/>
    <w:rsid w:val="00B74997"/>
    <w:rsid w:val="00B75E42"/>
    <w:rsid w:val="00B76AA9"/>
    <w:rsid w:val="00B7712F"/>
    <w:rsid w:val="00B807E9"/>
    <w:rsid w:val="00B825D5"/>
    <w:rsid w:val="00B827F7"/>
    <w:rsid w:val="00B82F27"/>
    <w:rsid w:val="00B832CD"/>
    <w:rsid w:val="00B83F1F"/>
    <w:rsid w:val="00B8406C"/>
    <w:rsid w:val="00B84A9D"/>
    <w:rsid w:val="00B852B1"/>
    <w:rsid w:val="00B87A96"/>
    <w:rsid w:val="00B92ACE"/>
    <w:rsid w:val="00B9662E"/>
    <w:rsid w:val="00B96E70"/>
    <w:rsid w:val="00B975F4"/>
    <w:rsid w:val="00BA05F5"/>
    <w:rsid w:val="00BA07D5"/>
    <w:rsid w:val="00BA0A72"/>
    <w:rsid w:val="00BA2671"/>
    <w:rsid w:val="00BA270C"/>
    <w:rsid w:val="00BA36BD"/>
    <w:rsid w:val="00BA45AD"/>
    <w:rsid w:val="00BA6A5C"/>
    <w:rsid w:val="00BA77BD"/>
    <w:rsid w:val="00BB0584"/>
    <w:rsid w:val="00BB169D"/>
    <w:rsid w:val="00BB2C70"/>
    <w:rsid w:val="00BB4E3A"/>
    <w:rsid w:val="00BB62B3"/>
    <w:rsid w:val="00BB64E5"/>
    <w:rsid w:val="00BB764E"/>
    <w:rsid w:val="00BB797B"/>
    <w:rsid w:val="00BB79CF"/>
    <w:rsid w:val="00BC0E7F"/>
    <w:rsid w:val="00BC12AD"/>
    <w:rsid w:val="00BC17E7"/>
    <w:rsid w:val="00BC2B37"/>
    <w:rsid w:val="00BC3D1B"/>
    <w:rsid w:val="00BC47EF"/>
    <w:rsid w:val="00BC6696"/>
    <w:rsid w:val="00BC67AF"/>
    <w:rsid w:val="00BC6A38"/>
    <w:rsid w:val="00BC7269"/>
    <w:rsid w:val="00BC7FDD"/>
    <w:rsid w:val="00BD05C7"/>
    <w:rsid w:val="00BD1FC0"/>
    <w:rsid w:val="00BD310E"/>
    <w:rsid w:val="00BD364C"/>
    <w:rsid w:val="00BD4A89"/>
    <w:rsid w:val="00BD4BCB"/>
    <w:rsid w:val="00BD5F3F"/>
    <w:rsid w:val="00BD777D"/>
    <w:rsid w:val="00BE0AE1"/>
    <w:rsid w:val="00BE0F4C"/>
    <w:rsid w:val="00BE11BB"/>
    <w:rsid w:val="00BE1D00"/>
    <w:rsid w:val="00BE2114"/>
    <w:rsid w:val="00BE4AD4"/>
    <w:rsid w:val="00BE5048"/>
    <w:rsid w:val="00BE505F"/>
    <w:rsid w:val="00BE50C1"/>
    <w:rsid w:val="00BE50EC"/>
    <w:rsid w:val="00BE60EA"/>
    <w:rsid w:val="00BE66C4"/>
    <w:rsid w:val="00BE6FEA"/>
    <w:rsid w:val="00BE76EA"/>
    <w:rsid w:val="00BE7F01"/>
    <w:rsid w:val="00BF1BBA"/>
    <w:rsid w:val="00BF1D9F"/>
    <w:rsid w:val="00BF2DCB"/>
    <w:rsid w:val="00BF312F"/>
    <w:rsid w:val="00BF5A50"/>
    <w:rsid w:val="00BF76F8"/>
    <w:rsid w:val="00C00409"/>
    <w:rsid w:val="00C01D33"/>
    <w:rsid w:val="00C01E3D"/>
    <w:rsid w:val="00C02CA2"/>
    <w:rsid w:val="00C03075"/>
    <w:rsid w:val="00C04BB7"/>
    <w:rsid w:val="00C05090"/>
    <w:rsid w:val="00C0595B"/>
    <w:rsid w:val="00C05D42"/>
    <w:rsid w:val="00C065E2"/>
    <w:rsid w:val="00C07D39"/>
    <w:rsid w:val="00C11CE7"/>
    <w:rsid w:val="00C122A1"/>
    <w:rsid w:val="00C13345"/>
    <w:rsid w:val="00C13621"/>
    <w:rsid w:val="00C14162"/>
    <w:rsid w:val="00C1472E"/>
    <w:rsid w:val="00C14FA8"/>
    <w:rsid w:val="00C15770"/>
    <w:rsid w:val="00C17BB1"/>
    <w:rsid w:val="00C17C97"/>
    <w:rsid w:val="00C2048B"/>
    <w:rsid w:val="00C2162C"/>
    <w:rsid w:val="00C22ABD"/>
    <w:rsid w:val="00C2342D"/>
    <w:rsid w:val="00C23D2A"/>
    <w:rsid w:val="00C24435"/>
    <w:rsid w:val="00C24565"/>
    <w:rsid w:val="00C262DA"/>
    <w:rsid w:val="00C277D8"/>
    <w:rsid w:val="00C32CEC"/>
    <w:rsid w:val="00C332FD"/>
    <w:rsid w:val="00C33322"/>
    <w:rsid w:val="00C33E8E"/>
    <w:rsid w:val="00C34B7D"/>
    <w:rsid w:val="00C36668"/>
    <w:rsid w:val="00C36A65"/>
    <w:rsid w:val="00C4025D"/>
    <w:rsid w:val="00C40581"/>
    <w:rsid w:val="00C4113F"/>
    <w:rsid w:val="00C41949"/>
    <w:rsid w:val="00C41C35"/>
    <w:rsid w:val="00C4308C"/>
    <w:rsid w:val="00C43E99"/>
    <w:rsid w:val="00C44511"/>
    <w:rsid w:val="00C447D2"/>
    <w:rsid w:val="00C44ADE"/>
    <w:rsid w:val="00C45F54"/>
    <w:rsid w:val="00C46D4C"/>
    <w:rsid w:val="00C46F81"/>
    <w:rsid w:val="00C50076"/>
    <w:rsid w:val="00C50CD8"/>
    <w:rsid w:val="00C51E88"/>
    <w:rsid w:val="00C53604"/>
    <w:rsid w:val="00C54209"/>
    <w:rsid w:val="00C5579D"/>
    <w:rsid w:val="00C559EE"/>
    <w:rsid w:val="00C57BEE"/>
    <w:rsid w:val="00C60160"/>
    <w:rsid w:val="00C60ACB"/>
    <w:rsid w:val="00C61E2B"/>
    <w:rsid w:val="00C62CC5"/>
    <w:rsid w:val="00C6417D"/>
    <w:rsid w:val="00C644C9"/>
    <w:rsid w:val="00C648F5"/>
    <w:rsid w:val="00C667B8"/>
    <w:rsid w:val="00C70A20"/>
    <w:rsid w:val="00C71529"/>
    <w:rsid w:val="00C71D1E"/>
    <w:rsid w:val="00C721DD"/>
    <w:rsid w:val="00C73A08"/>
    <w:rsid w:val="00C73A70"/>
    <w:rsid w:val="00C74E6A"/>
    <w:rsid w:val="00C755C8"/>
    <w:rsid w:val="00C7585C"/>
    <w:rsid w:val="00C75E23"/>
    <w:rsid w:val="00C7606E"/>
    <w:rsid w:val="00C76DAF"/>
    <w:rsid w:val="00C772D6"/>
    <w:rsid w:val="00C77655"/>
    <w:rsid w:val="00C80FA4"/>
    <w:rsid w:val="00C8151B"/>
    <w:rsid w:val="00C82439"/>
    <w:rsid w:val="00C838C6"/>
    <w:rsid w:val="00C856CC"/>
    <w:rsid w:val="00C856FA"/>
    <w:rsid w:val="00C858AC"/>
    <w:rsid w:val="00C85F96"/>
    <w:rsid w:val="00C85FA2"/>
    <w:rsid w:val="00C879BB"/>
    <w:rsid w:val="00C87BED"/>
    <w:rsid w:val="00C9172E"/>
    <w:rsid w:val="00C91AF1"/>
    <w:rsid w:val="00C923FE"/>
    <w:rsid w:val="00C92645"/>
    <w:rsid w:val="00C92853"/>
    <w:rsid w:val="00C93B9A"/>
    <w:rsid w:val="00C9423B"/>
    <w:rsid w:val="00C946F0"/>
    <w:rsid w:val="00C956CC"/>
    <w:rsid w:val="00C9605F"/>
    <w:rsid w:val="00C978EB"/>
    <w:rsid w:val="00CA209F"/>
    <w:rsid w:val="00CA2973"/>
    <w:rsid w:val="00CA3139"/>
    <w:rsid w:val="00CA58EC"/>
    <w:rsid w:val="00CA5EDE"/>
    <w:rsid w:val="00CA6D94"/>
    <w:rsid w:val="00CA6DA2"/>
    <w:rsid w:val="00CB261B"/>
    <w:rsid w:val="00CB300C"/>
    <w:rsid w:val="00CB7D5C"/>
    <w:rsid w:val="00CB7E64"/>
    <w:rsid w:val="00CC141E"/>
    <w:rsid w:val="00CC20A2"/>
    <w:rsid w:val="00CC2C5D"/>
    <w:rsid w:val="00CC2EAC"/>
    <w:rsid w:val="00CC3E54"/>
    <w:rsid w:val="00CC45F3"/>
    <w:rsid w:val="00CC4EDF"/>
    <w:rsid w:val="00CC52BD"/>
    <w:rsid w:val="00CC55A5"/>
    <w:rsid w:val="00CC7194"/>
    <w:rsid w:val="00CC7AA6"/>
    <w:rsid w:val="00CD0E47"/>
    <w:rsid w:val="00CD32BA"/>
    <w:rsid w:val="00CD36FB"/>
    <w:rsid w:val="00CD3980"/>
    <w:rsid w:val="00CD4C02"/>
    <w:rsid w:val="00CD5379"/>
    <w:rsid w:val="00CD54F0"/>
    <w:rsid w:val="00CD595D"/>
    <w:rsid w:val="00CD5BA2"/>
    <w:rsid w:val="00CD5D9C"/>
    <w:rsid w:val="00CD6947"/>
    <w:rsid w:val="00CD75D9"/>
    <w:rsid w:val="00CD7913"/>
    <w:rsid w:val="00CE1588"/>
    <w:rsid w:val="00CE32E8"/>
    <w:rsid w:val="00CE531B"/>
    <w:rsid w:val="00CE565B"/>
    <w:rsid w:val="00CE66FE"/>
    <w:rsid w:val="00CE74D6"/>
    <w:rsid w:val="00CE7D6D"/>
    <w:rsid w:val="00CF1CF9"/>
    <w:rsid w:val="00CF27FB"/>
    <w:rsid w:val="00CF3929"/>
    <w:rsid w:val="00CF3C09"/>
    <w:rsid w:val="00CF4198"/>
    <w:rsid w:val="00CF49C2"/>
    <w:rsid w:val="00CF4C32"/>
    <w:rsid w:val="00CF593A"/>
    <w:rsid w:val="00CF7251"/>
    <w:rsid w:val="00D00204"/>
    <w:rsid w:val="00D00A5D"/>
    <w:rsid w:val="00D011D6"/>
    <w:rsid w:val="00D02001"/>
    <w:rsid w:val="00D02D63"/>
    <w:rsid w:val="00D0327A"/>
    <w:rsid w:val="00D03714"/>
    <w:rsid w:val="00D039BE"/>
    <w:rsid w:val="00D04DF1"/>
    <w:rsid w:val="00D06382"/>
    <w:rsid w:val="00D06B28"/>
    <w:rsid w:val="00D0743F"/>
    <w:rsid w:val="00D07F77"/>
    <w:rsid w:val="00D10B47"/>
    <w:rsid w:val="00D10FD8"/>
    <w:rsid w:val="00D112C2"/>
    <w:rsid w:val="00D12C2D"/>
    <w:rsid w:val="00D13165"/>
    <w:rsid w:val="00D13F00"/>
    <w:rsid w:val="00D15773"/>
    <w:rsid w:val="00D15B9E"/>
    <w:rsid w:val="00D15ECF"/>
    <w:rsid w:val="00D1677F"/>
    <w:rsid w:val="00D16A58"/>
    <w:rsid w:val="00D175B9"/>
    <w:rsid w:val="00D203B1"/>
    <w:rsid w:val="00D203DA"/>
    <w:rsid w:val="00D2251C"/>
    <w:rsid w:val="00D225EA"/>
    <w:rsid w:val="00D234BB"/>
    <w:rsid w:val="00D24EDF"/>
    <w:rsid w:val="00D264FF"/>
    <w:rsid w:val="00D32886"/>
    <w:rsid w:val="00D34980"/>
    <w:rsid w:val="00D35E2E"/>
    <w:rsid w:val="00D36AB4"/>
    <w:rsid w:val="00D370B7"/>
    <w:rsid w:val="00D37120"/>
    <w:rsid w:val="00D4003F"/>
    <w:rsid w:val="00D40123"/>
    <w:rsid w:val="00D4057A"/>
    <w:rsid w:val="00D408C2"/>
    <w:rsid w:val="00D41B00"/>
    <w:rsid w:val="00D42779"/>
    <w:rsid w:val="00D44B40"/>
    <w:rsid w:val="00D46716"/>
    <w:rsid w:val="00D501C7"/>
    <w:rsid w:val="00D50B76"/>
    <w:rsid w:val="00D52A79"/>
    <w:rsid w:val="00D554B8"/>
    <w:rsid w:val="00D55F35"/>
    <w:rsid w:val="00D57D01"/>
    <w:rsid w:val="00D57D47"/>
    <w:rsid w:val="00D60620"/>
    <w:rsid w:val="00D608CA"/>
    <w:rsid w:val="00D61125"/>
    <w:rsid w:val="00D62EED"/>
    <w:rsid w:val="00D632AF"/>
    <w:rsid w:val="00D6474A"/>
    <w:rsid w:val="00D66B6F"/>
    <w:rsid w:val="00D6796A"/>
    <w:rsid w:val="00D67D71"/>
    <w:rsid w:val="00D70317"/>
    <w:rsid w:val="00D7261F"/>
    <w:rsid w:val="00D733A7"/>
    <w:rsid w:val="00D74462"/>
    <w:rsid w:val="00D74704"/>
    <w:rsid w:val="00D74D75"/>
    <w:rsid w:val="00D7570F"/>
    <w:rsid w:val="00D75E85"/>
    <w:rsid w:val="00D76BFA"/>
    <w:rsid w:val="00D77C10"/>
    <w:rsid w:val="00D80DA5"/>
    <w:rsid w:val="00D8142F"/>
    <w:rsid w:val="00D8262B"/>
    <w:rsid w:val="00D829B3"/>
    <w:rsid w:val="00D835A4"/>
    <w:rsid w:val="00D911C7"/>
    <w:rsid w:val="00D91E24"/>
    <w:rsid w:val="00D9212B"/>
    <w:rsid w:val="00D92F70"/>
    <w:rsid w:val="00D93742"/>
    <w:rsid w:val="00D955AD"/>
    <w:rsid w:val="00D95DE8"/>
    <w:rsid w:val="00D960B8"/>
    <w:rsid w:val="00D96614"/>
    <w:rsid w:val="00D96916"/>
    <w:rsid w:val="00D96CE1"/>
    <w:rsid w:val="00D97EA2"/>
    <w:rsid w:val="00D97EC4"/>
    <w:rsid w:val="00DA013F"/>
    <w:rsid w:val="00DA02AC"/>
    <w:rsid w:val="00DA1F54"/>
    <w:rsid w:val="00DA43FD"/>
    <w:rsid w:val="00DA52F8"/>
    <w:rsid w:val="00DA6606"/>
    <w:rsid w:val="00DA68F2"/>
    <w:rsid w:val="00DA7CB2"/>
    <w:rsid w:val="00DB0865"/>
    <w:rsid w:val="00DB25BD"/>
    <w:rsid w:val="00DB2F1C"/>
    <w:rsid w:val="00DB2FB9"/>
    <w:rsid w:val="00DB353D"/>
    <w:rsid w:val="00DB38B6"/>
    <w:rsid w:val="00DB4A8E"/>
    <w:rsid w:val="00DB69EC"/>
    <w:rsid w:val="00DB7419"/>
    <w:rsid w:val="00DB7A3D"/>
    <w:rsid w:val="00DC09FD"/>
    <w:rsid w:val="00DC20E7"/>
    <w:rsid w:val="00DC3008"/>
    <w:rsid w:val="00DC34FA"/>
    <w:rsid w:val="00DC4365"/>
    <w:rsid w:val="00DC6B32"/>
    <w:rsid w:val="00DC7CE2"/>
    <w:rsid w:val="00DC7E49"/>
    <w:rsid w:val="00DC7EBA"/>
    <w:rsid w:val="00DD25AF"/>
    <w:rsid w:val="00DD2D00"/>
    <w:rsid w:val="00DD4F98"/>
    <w:rsid w:val="00DD7186"/>
    <w:rsid w:val="00DD7294"/>
    <w:rsid w:val="00DE16A3"/>
    <w:rsid w:val="00DE4763"/>
    <w:rsid w:val="00DE4FCE"/>
    <w:rsid w:val="00DE640C"/>
    <w:rsid w:val="00DE650F"/>
    <w:rsid w:val="00DE7A1A"/>
    <w:rsid w:val="00DF11E5"/>
    <w:rsid w:val="00DF1D79"/>
    <w:rsid w:val="00DF1ECD"/>
    <w:rsid w:val="00DF251E"/>
    <w:rsid w:val="00DF3BC5"/>
    <w:rsid w:val="00DF5A79"/>
    <w:rsid w:val="00E0152E"/>
    <w:rsid w:val="00E01608"/>
    <w:rsid w:val="00E0221A"/>
    <w:rsid w:val="00E036CD"/>
    <w:rsid w:val="00E107A7"/>
    <w:rsid w:val="00E112A6"/>
    <w:rsid w:val="00E11B49"/>
    <w:rsid w:val="00E13AB9"/>
    <w:rsid w:val="00E14133"/>
    <w:rsid w:val="00E148B7"/>
    <w:rsid w:val="00E152AD"/>
    <w:rsid w:val="00E15DE6"/>
    <w:rsid w:val="00E1605A"/>
    <w:rsid w:val="00E16153"/>
    <w:rsid w:val="00E164CE"/>
    <w:rsid w:val="00E174A3"/>
    <w:rsid w:val="00E17B2C"/>
    <w:rsid w:val="00E17CF4"/>
    <w:rsid w:val="00E207F4"/>
    <w:rsid w:val="00E210E3"/>
    <w:rsid w:val="00E21C9F"/>
    <w:rsid w:val="00E21FDC"/>
    <w:rsid w:val="00E23072"/>
    <w:rsid w:val="00E237E3"/>
    <w:rsid w:val="00E23E48"/>
    <w:rsid w:val="00E24C3D"/>
    <w:rsid w:val="00E24FDB"/>
    <w:rsid w:val="00E26C10"/>
    <w:rsid w:val="00E27360"/>
    <w:rsid w:val="00E27C3C"/>
    <w:rsid w:val="00E301DF"/>
    <w:rsid w:val="00E31A68"/>
    <w:rsid w:val="00E33F0C"/>
    <w:rsid w:val="00E34323"/>
    <w:rsid w:val="00E34A5C"/>
    <w:rsid w:val="00E34AD9"/>
    <w:rsid w:val="00E34B63"/>
    <w:rsid w:val="00E35BCB"/>
    <w:rsid w:val="00E36340"/>
    <w:rsid w:val="00E36BC0"/>
    <w:rsid w:val="00E37452"/>
    <w:rsid w:val="00E37F19"/>
    <w:rsid w:val="00E4097B"/>
    <w:rsid w:val="00E40A8E"/>
    <w:rsid w:val="00E41DFC"/>
    <w:rsid w:val="00E42A4B"/>
    <w:rsid w:val="00E42FF0"/>
    <w:rsid w:val="00E43E14"/>
    <w:rsid w:val="00E44330"/>
    <w:rsid w:val="00E45005"/>
    <w:rsid w:val="00E45F2D"/>
    <w:rsid w:val="00E47925"/>
    <w:rsid w:val="00E47A55"/>
    <w:rsid w:val="00E50229"/>
    <w:rsid w:val="00E508F5"/>
    <w:rsid w:val="00E50CE0"/>
    <w:rsid w:val="00E51646"/>
    <w:rsid w:val="00E51F87"/>
    <w:rsid w:val="00E52E22"/>
    <w:rsid w:val="00E55773"/>
    <w:rsid w:val="00E566F0"/>
    <w:rsid w:val="00E56884"/>
    <w:rsid w:val="00E60002"/>
    <w:rsid w:val="00E60A21"/>
    <w:rsid w:val="00E60F6A"/>
    <w:rsid w:val="00E61B52"/>
    <w:rsid w:val="00E61B9B"/>
    <w:rsid w:val="00E6278A"/>
    <w:rsid w:val="00E62D0B"/>
    <w:rsid w:val="00E65BD2"/>
    <w:rsid w:val="00E66C2D"/>
    <w:rsid w:val="00E67C7B"/>
    <w:rsid w:val="00E70B30"/>
    <w:rsid w:val="00E70DDB"/>
    <w:rsid w:val="00E72512"/>
    <w:rsid w:val="00E7482D"/>
    <w:rsid w:val="00E75EC6"/>
    <w:rsid w:val="00E76506"/>
    <w:rsid w:val="00E76747"/>
    <w:rsid w:val="00E76DBD"/>
    <w:rsid w:val="00E77652"/>
    <w:rsid w:val="00E77D46"/>
    <w:rsid w:val="00E81955"/>
    <w:rsid w:val="00E82A22"/>
    <w:rsid w:val="00E8539C"/>
    <w:rsid w:val="00E857A8"/>
    <w:rsid w:val="00E85A7E"/>
    <w:rsid w:val="00E85C83"/>
    <w:rsid w:val="00E86314"/>
    <w:rsid w:val="00E86345"/>
    <w:rsid w:val="00E8644F"/>
    <w:rsid w:val="00E86993"/>
    <w:rsid w:val="00E87DFE"/>
    <w:rsid w:val="00E90188"/>
    <w:rsid w:val="00E90AE0"/>
    <w:rsid w:val="00E913DB"/>
    <w:rsid w:val="00E92CE5"/>
    <w:rsid w:val="00E92D0C"/>
    <w:rsid w:val="00E96A5F"/>
    <w:rsid w:val="00EA1AE5"/>
    <w:rsid w:val="00EA2451"/>
    <w:rsid w:val="00EA2786"/>
    <w:rsid w:val="00EA33C9"/>
    <w:rsid w:val="00EA3C0B"/>
    <w:rsid w:val="00EA41CA"/>
    <w:rsid w:val="00EA5141"/>
    <w:rsid w:val="00EA670F"/>
    <w:rsid w:val="00EB20BC"/>
    <w:rsid w:val="00EB3BFA"/>
    <w:rsid w:val="00EB53C8"/>
    <w:rsid w:val="00EC3B38"/>
    <w:rsid w:val="00EC58BC"/>
    <w:rsid w:val="00EC616B"/>
    <w:rsid w:val="00EC63E9"/>
    <w:rsid w:val="00EC65D2"/>
    <w:rsid w:val="00EC6BB8"/>
    <w:rsid w:val="00EC76B8"/>
    <w:rsid w:val="00EC779D"/>
    <w:rsid w:val="00ED0466"/>
    <w:rsid w:val="00ED07AE"/>
    <w:rsid w:val="00ED0F1B"/>
    <w:rsid w:val="00ED1089"/>
    <w:rsid w:val="00ED10FA"/>
    <w:rsid w:val="00ED2D93"/>
    <w:rsid w:val="00ED398B"/>
    <w:rsid w:val="00ED4138"/>
    <w:rsid w:val="00ED505A"/>
    <w:rsid w:val="00ED6368"/>
    <w:rsid w:val="00ED646A"/>
    <w:rsid w:val="00EE0CE3"/>
    <w:rsid w:val="00EE0D15"/>
    <w:rsid w:val="00EE14FC"/>
    <w:rsid w:val="00EE21F8"/>
    <w:rsid w:val="00EE25E5"/>
    <w:rsid w:val="00EE2755"/>
    <w:rsid w:val="00EE67DC"/>
    <w:rsid w:val="00EE709C"/>
    <w:rsid w:val="00EF0362"/>
    <w:rsid w:val="00EF11C7"/>
    <w:rsid w:val="00EF2710"/>
    <w:rsid w:val="00EF4856"/>
    <w:rsid w:val="00EF5777"/>
    <w:rsid w:val="00EF5B08"/>
    <w:rsid w:val="00EF5C0E"/>
    <w:rsid w:val="00EF5F29"/>
    <w:rsid w:val="00EF733A"/>
    <w:rsid w:val="00F00F67"/>
    <w:rsid w:val="00F01082"/>
    <w:rsid w:val="00F018D0"/>
    <w:rsid w:val="00F02909"/>
    <w:rsid w:val="00F02C82"/>
    <w:rsid w:val="00F04090"/>
    <w:rsid w:val="00F04391"/>
    <w:rsid w:val="00F05004"/>
    <w:rsid w:val="00F06876"/>
    <w:rsid w:val="00F06BBE"/>
    <w:rsid w:val="00F06F50"/>
    <w:rsid w:val="00F10200"/>
    <w:rsid w:val="00F11BF5"/>
    <w:rsid w:val="00F1253E"/>
    <w:rsid w:val="00F1353D"/>
    <w:rsid w:val="00F145F3"/>
    <w:rsid w:val="00F14B12"/>
    <w:rsid w:val="00F157C7"/>
    <w:rsid w:val="00F16392"/>
    <w:rsid w:val="00F165B0"/>
    <w:rsid w:val="00F16B9B"/>
    <w:rsid w:val="00F17A80"/>
    <w:rsid w:val="00F206C4"/>
    <w:rsid w:val="00F21645"/>
    <w:rsid w:val="00F21DB3"/>
    <w:rsid w:val="00F21EE6"/>
    <w:rsid w:val="00F22150"/>
    <w:rsid w:val="00F2225C"/>
    <w:rsid w:val="00F22C9C"/>
    <w:rsid w:val="00F23ABB"/>
    <w:rsid w:val="00F23DDC"/>
    <w:rsid w:val="00F24B3B"/>
    <w:rsid w:val="00F256F8"/>
    <w:rsid w:val="00F268E2"/>
    <w:rsid w:val="00F30B7C"/>
    <w:rsid w:val="00F30D07"/>
    <w:rsid w:val="00F30F42"/>
    <w:rsid w:val="00F33367"/>
    <w:rsid w:val="00F33AFE"/>
    <w:rsid w:val="00F34B9F"/>
    <w:rsid w:val="00F357A6"/>
    <w:rsid w:val="00F36215"/>
    <w:rsid w:val="00F3642C"/>
    <w:rsid w:val="00F36790"/>
    <w:rsid w:val="00F37219"/>
    <w:rsid w:val="00F376D6"/>
    <w:rsid w:val="00F40D1D"/>
    <w:rsid w:val="00F40D60"/>
    <w:rsid w:val="00F416A4"/>
    <w:rsid w:val="00F4262A"/>
    <w:rsid w:val="00F43E35"/>
    <w:rsid w:val="00F44384"/>
    <w:rsid w:val="00F453A2"/>
    <w:rsid w:val="00F45730"/>
    <w:rsid w:val="00F460E5"/>
    <w:rsid w:val="00F50960"/>
    <w:rsid w:val="00F511A5"/>
    <w:rsid w:val="00F511CA"/>
    <w:rsid w:val="00F5180C"/>
    <w:rsid w:val="00F52AFC"/>
    <w:rsid w:val="00F53182"/>
    <w:rsid w:val="00F53682"/>
    <w:rsid w:val="00F53AF5"/>
    <w:rsid w:val="00F57286"/>
    <w:rsid w:val="00F57A30"/>
    <w:rsid w:val="00F60584"/>
    <w:rsid w:val="00F61C95"/>
    <w:rsid w:val="00F62EAF"/>
    <w:rsid w:val="00F62FD4"/>
    <w:rsid w:val="00F63841"/>
    <w:rsid w:val="00F63B8C"/>
    <w:rsid w:val="00F64F21"/>
    <w:rsid w:val="00F668D7"/>
    <w:rsid w:val="00F670C6"/>
    <w:rsid w:val="00F707C7"/>
    <w:rsid w:val="00F724F4"/>
    <w:rsid w:val="00F7264B"/>
    <w:rsid w:val="00F728A7"/>
    <w:rsid w:val="00F739C3"/>
    <w:rsid w:val="00F73A7F"/>
    <w:rsid w:val="00F73ED8"/>
    <w:rsid w:val="00F7591E"/>
    <w:rsid w:val="00F76036"/>
    <w:rsid w:val="00F761C3"/>
    <w:rsid w:val="00F7667B"/>
    <w:rsid w:val="00F8035A"/>
    <w:rsid w:val="00F82939"/>
    <w:rsid w:val="00F8454A"/>
    <w:rsid w:val="00F84D81"/>
    <w:rsid w:val="00F85F18"/>
    <w:rsid w:val="00F86BEF"/>
    <w:rsid w:val="00F90122"/>
    <w:rsid w:val="00F92004"/>
    <w:rsid w:val="00F93D42"/>
    <w:rsid w:val="00F95456"/>
    <w:rsid w:val="00F95660"/>
    <w:rsid w:val="00FA2C6B"/>
    <w:rsid w:val="00FA2F21"/>
    <w:rsid w:val="00FA35F5"/>
    <w:rsid w:val="00FA3701"/>
    <w:rsid w:val="00FA3CD2"/>
    <w:rsid w:val="00FA47F3"/>
    <w:rsid w:val="00FA5858"/>
    <w:rsid w:val="00FA6038"/>
    <w:rsid w:val="00FA68FB"/>
    <w:rsid w:val="00FA6B5F"/>
    <w:rsid w:val="00FA6D2D"/>
    <w:rsid w:val="00FB2062"/>
    <w:rsid w:val="00FB237E"/>
    <w:rsid w:val="00FB25A5"/>
    <w:rsid w:val="00FB2744"/>
    <w:rsid w:val="00FB3922"/>
    <w:rsid w:val="00FB3CFC"/>
    <w:rsid w:val="00FB418E"/>
    <w:rsid w:val="00FB475D"/>
    <w:rsid w:val="00FB5F57"/>
    <w:rsid w:val="00FB7C64"/>
    <w:rsid w:val="00FC0094"/>
    <w:rsid w:val="00FC0234"/>
    <w:rsid w:val="00FC116C"/>
    <w:rsid w:val="00FC2A94"/>
    <w:rsid w:val="00FC41CA"/>
    <w:rsid w:val="00FC5218"/>
    <w:rsid w:val="00FC7282"/>
    <w:rsid w:val="00FD0022"/>
    <w:rsid w:val="00FD0CAA"/>
    <w:rsid w:val="00FD11E7"/>
    <w:rsid w:val="00FD1A71"/>
    <w:rsid w:val="00FD3D0F"/>
    <w:rsid w:val="00FD4116"/>
    <w:rsid w:val="00FD460A"/>
    <w:rsid w:val="00FD5A49"/>
    <w:rsid w:val="00FD5C0A"/>
    <w:rsid w:val="00FD61CA"/>
    <w:rsid w:val="00FE0E7F"/>
    <w:rsid w:val="00FE12C8"/>
    <w:rsid w:val="00FE2B90"/>
    <w:rsid w:val="00FE2CDC"/>
    <w:rsid w:val="00FE46D3"/>
    <w:rsid w:val="00FE4753"/>
    <w:rsid w:val="00FE4B34"/>
    <w:rsid w:val="00FE4EEC"/>
    <w:rsid w:val="00FE5B39"/>
    <w:rsid w:val="00FE64AE"/>
    <w:rsid w:val="00FF052E"/>
    <w:rsid w:val="00FF1727"/>
    <w:rsid w:val="00FF1B4E"/>
    <w:rsid w:val="00FF23B5"/>
    <w:rsid w:val="00FF5937"/>
    <w:rsid w:val="00FF5E7F"/>
    <w:rsid w:val="00FF6E9D"/>
    <w:rsid w:val="01966485"/>
    <w:rsid w:val="0196A6EA"/>
    <w:rsid w:val="0BDB3FAD"/>
    <w:rsid w:val="0EAC3BA3"/>
    <w:rsid w:val="1254E195"/>
    <w:rsid w:val="15B475C7"/>
    <w:rsid w:val="1B2733A8"/>
    <w:rsid w:val="216329D5"/>
    <w:rsid w:val="2259B76F"/>
    <w:rsid w:val="2DCF5FDA"/>
    <w:rsid w:val="49066416"/>
    <w:rsid w:val="57DB14D2"/>
    <w:rsid w:val="65D3D425"/>
    <w:rsid w:val="666B282E"/>
    <w:rsid w:val="6C3AB3C1"/>
    <w:rsid w:val="75C1FAD3"/>
    <w:rsid w:val="7A18A7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DD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2D"/>
    <w:pPr>
      <w:spacing w:after="240" w:line="240" w:lineRule="auto"/>
    </w:pPr>
    <w:rPr>
      <w:rFonts w:eastAsiaTheme="minorEastAsia" w:cstheme="minorHAnsi"/>
      <w:sz w:val="28"/>
      <w:szCs w:val="28"/>
    </w:rPr>
  </w:style>
  <w:style w:type="paragraph" w:styleId="Heading1">
    <w:name w:val="heading 1"/>
    <w:basedOn w:val="ListParagraph"/>
    <w:next w:val="Normal"/>
    <w:link w:val="Heading1Char"/>
    <w:uiPriority w:val="9"/>
    <w:qFormat/>
    <w:rsid w:val="0075312D"/>
    <w:pPr>
      <w:numPr>
        <w:ilvl w:val="0"/>
        <w:numId w:val="18"/>
      </w:numPr>
      <w:spacing w:before="360" w:after="120"/>
      <w:outlineLvl w:val="0"/>
    </w:pPr>
    <w:rPr>
      <w:b/>
      <w:sz w:val="40"/>
      <w:szCs w:val="40"/>
    </w:rPr>
  </w:style>
  <w:style w:type="paragraph" w:styleId="Heading2">
    <w:name w:val="heading 2"/>
    <w:basedOn w:val="Normal"/>
    <w:next w:val="Normal"/>
    <w:link w:val="Heading2Char"/>
    <w:uiPriority w:val="9"/>
    <w:unhideWhenUsed/>
    <w:qFormat/>
    <w:rsid w:val="00944B2E"/>
    <w:pPr>
      <w:outlineLvl w:val="1"/>
    </w:pPr>
    <w:rPr>
      <w:b/>
      <w:bCs/>
      <w:sz w:val="32"/>
      <w:szCs w:val="32"/>
    </w:rPr>
  </w:style>
  <w:style w:type="paragraph" w:styleId="Heading3">
    <w:name w:val="heading 3"/>
    <w:basedOn w:val="Normal"/>
    <w:next w:val="Normal"/>
    <w:link w:val="Heading3Char"/>
    <w:uiPriority w:val="9"/>
    <w:unhideWhenUsed/>
    <w:qFormat/>
    <w:rsid w:val="00944B2E"/>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4B2E"/>
    <w:pPr>
      <w:widowControl w:val="0"/>
      <w:autoSpaceDE w:val="0"/>
      <w:autoSpaceDN w:val="0"/>
      <w:adjustRightInd w:val="0"/>
      <w:jc w:val="center"/>
    </w:pPr>
    <w:rPr>
      <w:b/>
      <w:bCs/>
      <w:sz w:val="56"/>
      <w:szCs w:val="56"/>
    </w:rPr>
  </w:style>
  <w:style w:type="character" w:customStyle="1" w:styleId="TitleChar">
    <w:name w:val="Title Char"/>
    <w:basedOn w:val="DefaultParagraphFont"/>
    <w:link w:val="Title"/>
    <w:uiPriority w:val="10"/>
    <w:rsid w:val="00944B2E"/>
    <w:rPr>
      <w:rFonts w:eastAsiaTheme="minorEastAsia" w:cstheme="minorHAnsi"/>
      <w:b/>
      <w:bCs/>
      <w:sz w:val="56"/>
      <w:szCs w:val="56"/>
    </w:rPr>
  </w:style>
  <w:style w:type="character" w:customStyle="1" w:styleId="Heading1Char">
    <w:name w:val="Heading 1 Char"/>
    <w:basedOn w:val="DefaultParagraphFont"/>
    <w:link w:val="Heading1"/>
    <w:uiPriority w:val="9"/>
    <w:rsid w:val="0075312D"/>
    <w:rPr>
      <w:rFonts w:eastAsiaTheme="minorEastAsia" w:cstheme="minorHAnsi"/>
      <w:b/>
      <w:sz w:val="40"/>
      <w:szCs w:val="40"/>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 Char,Char,Footnote Quot,f"/>
    <w:basedOn w:val="Normal"/>
    <w:link w:val="FootnoteTextChar"/>
    <w:uiPriority w:val="99"/>
    <w:unhideWhenUsed/>
    <w:qFormat/>
    <w:rsid w:val="00156958"/>
    <w:pPr>
      <w:spacing w:after="0"/>
    </w:pPr>
    <w:rPr>
      <w:rFonts w:ascii="Verdana" w:hAnsi="Verdana" w:cstheme="minorBidi"/>
      <w:sz w:val="20"/>
      <w:szCs w:val="20"/>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 Char Char,Char Char,f Char"/>
    <w:basedOn w:val="DefaultParagraphFont"/>
    <w:link w:val="FootnoteText"/>
    <w:uiPriority w:val="99"/>
    <w:rsid w:val="00156958"/>
    <w:rPr>
      <w:rFonts w:ascii="Verdana" w:eastAsiaTheme="minorEastAsia" w:hAnsi="Verdana"/>
      <w:sz w:val="20"/>
      <w:szCs w:val="20"/>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
    <w:basedOn w:val="Normal"/>
    <w:link w:val="ListParagraphChar"/>
    <w:uiPriority w:val="34"/>
    <w:qFormat/>
    <w:rsid w:val="00944B2E"/>
    <w:pPr>
      <w:numPr>
        <w:ilvl w:val="1"/>
        <w:numId w:val="1"/>
      </w:numPr>
      <w:spacing w:after="0"/>
    </w:pPr>
  </w:style>
  <w:style w:type="character" w:styleId="Hyperlink">
    <w:name w:val="Hyperlink"/>
    <w:basedOn w:val="DefaultParagraphFont"/>
    <w:uiPriority w:val="99"/>
    <w:unhideWhenUsed/>
    <w:rsid w:val="00064CF7"/>
    <w:rPr>
      <w:color w:val="0563C1" w:themeColor="hyperlink"/>
      <w:u w:val="single"/>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basedOn w:val="DefaultParagraphFont"/>
    <w:link w:val="4GChar"/>
    <w:uiPriority w:val="99"/>
    <w:unhideWhenUsed/>
    <w:qFormat/>
    <w:rsid w:val="00064CF7"/>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064CF7"/>
    <w:pPr>
      <w:spacing w:after="160" w:line="240" w:lineRule="exact"/>
      <w:jc w:val="both"/>
    </w:pPr>
    <w:rPr>
      <w:rFonts w:cstheme="minorBidi"/>
      <w:vertAlign w:val="superscript"/>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rsid w:val="00944B2E"/>
    <w:rPr>
      <w:rFonts w:eastAsiaTheme="minorEastAsia" w:cstheme="minorHAnsi"/>
      <w:sz w:val="28"/>
      <w:szCs w:val="28"/>
    </w:rPr>
  </w:style>
  <w:style w:type="paragraph" w:styleId="Header">
    <w:name w:val="header"/>
    <w:basedOn w:val="Normal"/>
    <w:link w:val="HeaderChar"/>
    <w:uiPriority w:val="99"/>
    <w:unhideWhenUsed/>
    <w:rsid w:val="00967506"/>
    <w:pPr>
      <w:tabs>
        <w:tab w:val="center" w:pos="4513"/>
        <w:tab w:val="right" w:pos="9026"/>
      </w:tabs>
    </w:pPr>
  </w:style>
  <w:style w:type="character" w:customStyle="1" w:styleId="HeaderChar">
    <w:name w:val="Header Char"/>
    <w:basedOn w:val="DefaultParagraphFont"/>
    <w:link w:val="Header"/>
    <w:uiPriority w:val="99"/>
    <w:rsid w:val="00967506"/>
    <w:rPr>
      <w:rFonts w:ascii="Calibri" w:hAnsi="Calibri" w:cs="Times New Roman"/>
      <w:lang w:eastAsia="en-GB"/>
    </w:rPr>
  </w:style>
  <w:style w:type="paragraph" w:styleId="Footer">
    <w:name w:val="footer"/>
    <w:basedOn w:val="Normal"/>
    <w:link w:val="FooterChar"/>
    <w:uiPriority w:val="99"/>
    <w:unhideWhenUsed/>
    <w:rsid w:val="00967506"/>
    <w:pPr>
      <w:tabs>
        <w:tab w:val="center" w:pos="4513"/>
        <w:tab w:val="right" w:pos="9026"/>
      </w:tabs>
    </w:pPr>
  </w:style>
  <w:style w:type="character" w:customStyle="1" w:styleId="FooterChar">
    <w:name w:val="Footer Char"/>
    <w:basedOn w:val="DefaultParagraphFont"/>
    <w:link w:val="Footer"/>
    <w:uiPriority w:val="99"/>
    <w:rsid w:val="00967506"/>
    <w:rPr>
      <w:rFonts w:ascii="Calibri" w:hAnsi="Calibri" w:cs="Times New Roman"/>
      <w:lang w:eastAsia="en-GB"/>
    </w:rPr>
  </w:style>
  <w:style w:type="character" w:styleId="CommentReference">
    <w:name w:val="annotation reference"/>
    <w:basedOn w:val="DefaultParagraphFont"/>
    <w:uiPriority w:val="99"/>
    <w:unhideWhenUsed/>
    <w:rsid w:val="00D10FD8"/>
    <w:rPr>
      <w:sz w:val="16"/>
      <w:szCs w:val="16"/>
    </w:rPr>
  </w:style>
  <w:style w:type="paragraph" w:styleId="CommentText">
    <w:name w:val="annotation text"/>
    <w:basedOn w:val="Normal"/>
    <w:link w:val="CommentTextChar"/>
    <w:uiPriority w:val="99"/>
    <w:unhideWhenUsed/>
    <w:rsid w:val="00D10FD8"/>
    <w:rPr>
      <w:sz w:val="20"/>
      <w:szCs w:val="20"/>
    </w:rPr>
  </w:style>
  <w:style w:type="character" w:customStyle="1" w:styleId="CommentTextChar">
    <w:name w:val="Comment Text Char"/>
    <w:basedOn w:val="DefaultParagraphFont"/>
    <w:link w:val="CommentText"/>
    <w:uiPriority w:val="99"/>
    <w:rsid w:val="00D10FD8"/>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10FD8"/>
    <w:rPr>
      <w:b/>
      <w:bCs/>
    </w:rPr>
  </w:style>
  <w:style w:type="character" w:customStyle="1" w:styleId="CommentSubjectChar">
    <w:name w:val="Comment Subject Char"/>
    <w:basedOn w:val="CommentTextChar"/>
    <w:link w:val="CommentSubject"/>
    <w:uiPriority w:val="99"/>
    <w:semiHidden/>
    <w:rsid w:val="00D10FD8"/>
    <w:rPr>
      <w:rFonts w:ascii="Calibri" w:hAnsi="Calibri" w:cs="Times New Roman"/>
      <w:b/>
      <w:bCs/>
      <w:sz w:val="20"/>
      <w:szCs w:val="20"/>
      <w:lang w:eastAsia="en-GB"/>
    </w:rPr>
  </w:style>
  <w:style w:type="character" w:styleId="FollowedHyperlink">
    <w:name w:val="FollowedHyperlink"/>
    <w:basedOn w:val="DefaultParagraphFont"/>
    <w:uiPriority w:val="99"/>
    <w:semiHidden/>
    <w:unhideWhenUsed/>
    <w:rsid w:val="0077591F"/>
    <w:rPr>
      <w:color w:val="954F72" w:themeColor="followedHyperlink"/>
      <w:u w:val="single"/>
    </w:rPr>
  </w:style>
  <w:style w:type="character" w:customStyle="1" w:styleId="UnresolvedMention1">
    <w:name w:val="Unresolved Mention1"/>
    <w:basedOn w:val="DefaultParagraphFont"/>
    <w:uiPriority w:val="99"/>
    <w:semiHidden/>
    <w:unhideWhenUsed/>
    <w:rsid w:val="0004505B"/>
    <w:rPr>
      <w:color w:val="605E5C"/>
      <w:shd w:val="clear" w:color="auto" w:fill="E1DFDD"/>
    </w:rPr>
  </w:style>
  <w:style w:type="paragraph" w:customStyle="1" w:styleId="BasicParagraph">
    <w:name w:val="[Basic Paragraph]"/>
    <w:basedOn w:val="Normal"/>
    <w:uiPriority w:val="99"/>
    <w:rsid w:val="00FB25A5"/>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9D5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449"/>
    <w:rPr>
      <w:rFonts w:ascii="Segoe UI" w:hAnsi="Segoe UI" w:cs="Segoe UI"/>
      <w:sz w:val="18"/>
      <w:szCs w:val="18"/>
      <w:lang w:eastAsia="en-GB"/>
    </w:rPr>
  </w:style>
  <w:style w:type="character" w:customStyle="1" w:styleId="UnresolvedMention2">
    <w:name w:val="Unresolved Mention2"/>
    <w:basedOn w:val="DefaultParagraphFont"/>
    <w:uiPriority w:val="99"/>
    <w:semiHidden/>
    <w:unhideWhenUsed/>
    <w:rsid w:val="005F068D"/>
    <w:rPr>
      <w:color w:val="605E5C"/>
      <w:shd w:val="clear" w:color="auto" w:fill="E1DFDD"/>
    </w:rPr>
  </w:style>
  <w:style w:type="paragraph" w:customStyle="1" w:styleId="Default">
    <w:name w:val="Default"/>
    <w:rsid w:val="00EE14FC"/>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unhideWhenUsed/>
    <w:rsid w:val="00ED0F1B"/>
    <w:rPr>
      <w:color w:val="605E5C"/>
      <w:shd w:val="clear" w:color="auto" w:fill="E1DFDD"/>
    </w:rPr>
  </w:style>
  <w:style w:type="table" w:styleId="TableGrid">
    <w:name w:val="Table Grid"/>
    <w:basedOn w:val="TableNormal"/>
    <w:uiPriority w:val="39"/>
    <w:rsid w:val="00E85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6705F"/>
    <w:rPr>
      <w:color w:val="605E5C"/>
      <w:shd w:val="clear" w:color="auto" w:fill="E1DFDD"/>
    </w:rPr>
  </w:style>
  <w:style w:type="character" w:customStyle="1" w:styleId="UnresolvedMention5">
    <w:name w:val="Unresolved Mention5"/>
    <w:basedOn w:val="DefaultParagraphFont"/>
    <w:uiPriority w:val="99"/>
    <w:semiHidden/>
    <w:unhideWhenUsed/>
    <w:rsid w:val="00C92645"/>
    <w:rPr>
      <w:color w:val="605E5C"/>
      <w:shd w:val="clear" w:color="auto" w:fill="E1DFDD"/>
    </w:rPr>
  </w:style>
  <w:style w:type="paragraph" w:styleId="Revision">
    <w:name w:val="Revision"/>
    <w:hidden/>
    <w:uiPriority w:val="99"/>
    <w:semiHidden/>
    <w:rsid w:val="00CC141E"/>
    <w:pPr>
      <w:spacing w:after="0" w:line="240" w:lineRule="auto"/>
    </w:pPr>
    <w:rPr>
      <w:rFonts w:ascii="Calibri" w:hAnsi="Calibri" w:cs="Times New Roman"/>
      <w:lang w:eastAsia="en-GB"/>
    </w:rPr>
  </w:style>
  <w:style w:type="paragraph" w:styleId="Quote">
    <w:name w:val="Quote"/>
    <w:basedOn w:val="Normal"/>
    <w:next w:val="Normal"/>
    <w:link w:val="QuoteChar"/>
    <w:uiPriority w:val="29"/>
    <w:qFormat/>
    <w:rsid w:val="00A87EB5"/>
    <w:pPr>
      <w:spacing w:before="240"/>
      <w:ind w:left="862" w:right="862"/>
    </w:pPr>
    <w:rPr>
      <w:rFonts w:cstheme="minorBidi"/>
      <w:iCs/>
    </w:rPr>
  </w:style>
  <w:style w:type="character" w:customStyle="1" w:styleId="QuoteChar">
    <w:name w:val="Quote Char"/>
    <w:basedOn w:val="DefaultParagraphFont"/>
    <w:link w:val="Quote"/>
    <w:uiPriority w:val="29"/>
    <w:rsid w:val="00A87EB5"/>
    <w:rPr>
      <w:iCs/>
      <w:sz w:val="28"/>
      <w:szCs w:val="28"/>
    </w:rPr>
  </w:style>
  <w:style w:type="character" w:customStyle="1" w:styleId="Heading2Char">
    <w:name w:val="Heading 2 Char"/>
    <w:basedOn w:val="DefaultParagraphFont"/>
    <w:link w:val="Heading2"/>
    <w:uiPriority w:val="9"/>
    <w:rsid w:val="00944B2E"/>
    <w:rPr>
      <w:rFonts w:eastAsiaTheme="minorEastAsia" w:cstheme="minorHAnsi"/>
      <w:b/>
      <w:bCs/>
      <w:sz w:val="32"/>
      <w:szCs w:val="32"/>
    </w:rPr>
  </w:style>
  <w:style w:type="character" w:customStyle="1" w:styleId="Heading3Char">
    <w:name w:val="Heading 3 Char"/>
    <w:basedOn w:val="DefaultParagraphFont"/>
    <w:link w:val="Heading3"/>
    <w:uiPriority w:val="9"/>
    <w:rsid w:val="00944B2E"/>
    <w:rPr>
      <w:rFonts w:eastAsiaTheme="minorEastAsia" w:cstheme="minorHAnsi"/>
      <w:i/>
      <w:iCs/>
      <w:sz w:val="28"/>
      <w:szCs w:val="28"/>
    </w:rPr>
  </w:style>
  <w:style w:type="character" w:styleId="UnresolvedMention">
    <w:name w:val="Unresolved Mention"/>
    <w:basedOn w:val="DefaultParagraphFont"/>
    <w:uiPriority w:val="99"/>
    <w:semiHidden/>
    <w:unhideWhenUsed/>
    <w:rsid w:val="00C54209"/>
    <w:rPr>
      <w:color w:val="605E5C"/>
      <w:shd w:val="clear" w:color="auto" w:fill="E1DFDD"/>
    </w:rPr>
  </w:style>
  <w:style w:type="paragraph" w:customStyle="1" w:styleId="11NumPara">
    <w:name w:val="1.1 Num Para"/>
    <w:basedOn w:val="ListNumber2"/>
    <w:link w:val="11NumParaChar"/>
    <w:qFormat/>
    <w:rsid w:val="007F1AC1"/>
    <w:pPr>
      <w:numPr>
        <w:ilvl w:val="1"/>
      </w:numPr>
      <w:ind w:left="709" w:hanging="709"/>
    </w:pPr>
    <w:rPr>
      <w:rFonts w:ascii="Calibri" w:hAnsi="Calibri"/>
      <w:kern w:val="2"/>
      <w:sz w:val="28"/>
      <w14:ligatures w14:val="standardContextual"/>
    </w:rPr>
  </w:style>
  <w:style w:type="character" w:customStyle="1" w:styleId="11NumParaChar">
    <w:name w:val="1.1 Num Para Char"/>
    <w:basedOn w:val="DefaultParagraphFont"/>
    <w:link w:val="11NumPara"/>
    <w:rsid w:val="007F1AC1"/>
    <w:rPr>
      <w:rFonts w:ascii="Calibri" w:hAnsi="Calibri"/>
      <w:kern w:val="2"/>
      <w:sz w:val="28"/>
      <w14:ligatures w14:val="standardContextual"/>
    </w:rPr>
  </w:style>
  <w:style w:type="paragraph" w:styleId="ListNumber2">
    <w:name w:val="List Number 2"/>
    <w:basedOn w:val="Normal"/>
    <w:uiPriority w:val="99"/>
    <w:unhideWhenUsed/>
    <w:rsid w:val="007F1AC1"/>
    <w:pPr>
      <w:numPr>
        <w:numId w:val="25"/>
      </w:numPr>
      <w:spacing w:after="0"/>
      <w:contextualSpacing/>
    </w:pPr>
    <w:rPr>
      <w:rFonts w:eastAsiaTheme="minorHAnsi" w:cstheme="minorBidi"/>
      <w:sz w:val="22"/>
      <w:szCs w:val="22"/>
    </w:rPr>
  </w:style>
  <w:style w:type="paragraph" w:customStyle="1" w:styleId="NIHRCFootnotes">
    <w:name w:val="NIHRC Footnotes"/>
    <w:basedOn w:val="Normal"/>
    <w:qFormat/>
    <w:rsid w:val="00E70DDB"/>
    <w:pPr>
      <w:tabs>
        <w:tab w:val="left" w:pos="284"/>
      </w:tabs>
      <w:spacing w:after="0" w:line="288" w:lineRule="auto"/>
    </w:pPr>
    <w:rPr>
      <w:rFonts w:ascii="Verdana" w:hAnsi="Verdana" w:cs="Arial"/>
      <w:color w:val="77328A"/>
      <w:sz w:val="16"/>
      <w:szCs w:val="16"/>
    </w:rPr>
  </w:style>
  <w:style w:type="character" w:styleId="Mention">
    <w:name w:val="Mention"/>
    <w:basedOn w:val="DefaultParagraphFont"/>
    <w:uiPriority w:val="99"/>
    <w:unhideWhenUsed/>
    <w:rsid w:val="00806AA7"/>
    <w:rPr>
      <w:color w:val="2B579A"/>
      <w:shd w:val="clear" w:color="auto" w:fill="E1DFDD"/>
    </w:rPr>
  </w:style>
  <w:style w:type="paragraph" w:styleId="TOCHeading">
    <w:name w:val="TOC Heading"/>
    <w:basedOn w:val="Heading1"/>
    <w:next w:val="Normal"/>
    <w:uiPriority w:val="39"/>
    <w:unhideWhenUsed/>
    <w:qFormat/>
    <w:rsid w:val="00EC58BC"/>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EC58BC"/>
    <w:pPr>
      <w:spacing w:after="100"/>
    </w:pPr>
  </w:style>
  <w:style w:type="paragraph" w:styleId="TOC3">
    <w:name w:val="toc 3"/>
    <w:basedOn w:val="Normal"/>
    <w:next w:val="Normal"/>
    <w:autoRedefine/>
    <w:uiPriority w:val="39"/>
    <w:unhideWhenUsed/>
    <w:rsid w:val="00EC58BC"/>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93338">
      <w:bodyDiv w:val="1"/>
      <w:marLeft w:val="0"/>
      <w:marRight w:val="0"/>
      <w:marTop w:val="0"/>
      <w:marBottom w:val="0"/>
      <w:divBdr>
        <w:top w:val="none" w:sz="0" w:space="0" w:color="auto"/>
        <w:left w:val="none" w:sz="0" w:space="0" w:color="auto"/>
        <w:bottom w:val="none" w:sz="0" w:space="0" w:color="auto"/>
        <w:right w:val="none" w:sz="0" w:space="0" w:color="auto"/>
      </w:divBdr>
    </w:div>
    <w:div w:id="452602126">
      <w:bodyDiv w:val="1"/>
      <w:marLeft w:val="0"/>
      <w:marRight w:val="0"/>
      <w:marTop w:val="0"/>
      <w:marBottom w:val="0"/>
      <w:divBdr>
        <w:top w:val="none" w:sz="0" w:space="0" w:color="auto"/>
        <w:left w:val="none" w:sz="0" w:space="0" w:color="auto"/>
        <w:bottom w:val="none" w:sz="0" w:space="0" w:color="auto"/>
        <w:right w:val="none" w:sz="0" w:space="0" w:color="auto"/>
      </w:divBdr>
    </w:div>
    <w:div w:id="535122343">
      <w:bodyDiv w:val="1"/>
      <w:marLeft w:val="0"/>
      <w:marRight w:val="0"/>
      <w:marTop w:val="0"/>
      <w:marBottom w:val="0"/>
      <w:divBdr>
        <w:top w:val="none" w:sz="0" w:space="0" w:color="auto"/>
        <w:left w:val="none" w:sz="0" w:space="0" w:color="auto"/>
        <w:bottom w:val="none" w:sz="0" w:space="0" w:color="auto"/>
        <w:right w:val="none" w:sz="0" w:space="0" w:color="auto"/>
      </w:divBdr>
    </w:div>
    <w:div w:id="1007489232">
      <w:bodyDiv w:val="1"/>
      <w:marLeft w:val="0"/>
      <w:marRight w:val="0"/>
      <w:marTop w:val="0"/>
      <w:marBottom w:val="0"/>
      <w:divBdr>
        <w:top w:val="none" w:sz="0" w:space="0" w:color="auto"/>
        <w:left w:val="none" w:sz="0" w:space="0" w:color="auto"/>
        <w:bottom w:val="none" w:sz="0" w:space="0" w:color="auto"/>
        <w:right w:val="none" w:sz="0" w:space="0" w:color="auto"/>
      </w:divBdr>
    </w:div>
    <w:div w:id="1239052185">
      <w:bodyDiv w:val="1"/>
      <w:marLeft w:val="0"/>
      <w:marRight w:val="0"/>
      <w:marTop w:val="0"/>
      <w:marBottom w:val="0"/>
      <w:divBdr>
        <w:top w:val="none" w:sz="0" w:space="0" w:color="auto"/>
        <w:left w:val="none" w:sz="0" w:space="0" w:color="auto"/>
        <w:bottom w:val="none" w:sz="0" w:space="0" w:color="auto"/>
        <w:right w:val="none" w:sz="0" w:space="0" w:color="auto"/>
      </w:divBdr>
    </w:div>
    <w:div w:id="1268077969">
      <w:bodyDiv w:val="1"/>
      <w:marLeft w:val="0"/>
      <w:marRight w:val="0"/>
      <w:marTop w:val="0"/>
      <w:marBottom w:val="0"/>
      <w:divBdr>
        <w:top w:val="none" w:sz="0" w:space="0" w:color="auto"/>
        <w:left w:val="none" w:sz="0" w:space="0" w:color="auto"/>
        <w:bottom w:val="none" w:sz="0" w:space="0" w:color="auto"/>
        <w:right w:val="none" w:sz="0" w:space="0" w:color="auto"/>
      </w:divBdr>
    </w:div>
    <w:div w:id="1302812372">
      <w:bodyDiv w:val="1"/>
      <w:marLeft w:val="0"/>
      <w:marRight w:val="0"/>
      <w:marTop w:val="0"/>
      <w:marBottom w:val="0"/>
      <w:divBdr>
        <w:top w:val="none" w:sz="0" w:space="0" w:color="auto"/>
        <w:left w:val="none" w:sz="0" w:space="0" w:color="auto"/>
        <w:bottom w:val="none" w:sz="0" w:space="0" w:color="auto"/>
        <w:right w:val="none" w:sz="0" w:space="0" w:color="auto"/>
      </w:divBdr>
    </w:div>
    <w:div w:id="1374386644">
      <w:bodyDiv w:val="1"/>
      <w:marLeft w:val="0"/>
      <w:marRight w:val="0"/>
      <w:marTop w:val="0"/>
      <w:marBottom w:val="0"/>
      <w:divBdr>
        <w:top w:val="none" w:sz="0" w:space="0" w:color="auto"/>
        <w:left w:val="none" w:sz="0" w:space="0" w:color="auto"/>
        <w:bottom w:val="none" w:sz="0" w:space="0" w:color="auto"/>
        <w:right w:val="none" w:sz="0" w:space="0" w:color="auto"/>
      </w:divBdr>
    </w:div>
    <w:div w:id="1420911796">
      <w:bodyDiv w:val="1"/>
      <w:marLeft w:val="0"/>
      <w:marRight w:val="0"/>
      <w:marTop w:val="0"/>
      <w:marBottom w:val="0"/>
      <w:divBdr>
        <w:top w:val="none" w:sz="0" w:space="0" w:color="auto"/>
        <w:left w:val="none" w:sz="0" w:space="0" w:color="auto"/>
        <w:bottom w:val="none" w:sz="0" w:space="0" w:color="auto"/>
        <w:right w:val="none" w:sz="0" w:space="0" w:color="auto"/>
      </w:divBdr>
    </w:div>
    <w:div w:id="1476946371">
      <w:bodyDiv w:val="1"/>
      <w:marLeft w:val="0"/>
      <w:marRight w:val="0"/>
      <w:marTop w:val="0"/>
      <w:marBottom w:val="0"/>
      <w:divBdr>
        <w:top w:val="none" w:sz="0" w:space="0" w:color="auto"/>
        <w:left w:val="none" w:sz="0" w:space="0" w:color="auto"/>
        <w:bottom w:val="none" w:sz="0" w:space="0" w:color="auto"/>
        <w:right w:val="none" w:sz="0" w:space="0" w:color="auto"/>
      </w:divBdr>
    </w:div>
    <w:div w:id="1515875838">
      <w:bodyDiv w:val="1"/>
      <w:marLeft w:val="0"/>
      <w:marRight w:val="0"/>
      <w:marTop w:val="0"/>
      <w:marBottom w:val="0"/>
      <w:divBdr>
        <w:top w:val="none" w:sz="0" w:space="0" w:color="auto"/>
        <w:left w:val="none" w:sz="0" w:space="0" w:color="auto"/>
        <w:bottom w:val="none" w:sz="0" w:space="0" w:color="auto"/>
        <w:right w:val="none" w:sz="0" w:space="0" w:color="auto"/>
      </w:divBdr>
    </w:div>
    <w:div w:id="1587959435">
      <w:bodyDiv w:val="1"/>
      <w:marLeft w:val="0"/>
      <w:marRight w:val="0"/>
      <w:marTop w:val="0"/>
      <w:marBottom w:val="0"/>
      <w:divBdr>
        <w:top w:val="none" w:sz="0" w:space="0" w:color="auto"/>
        <w:left w:val="none" w:sz="0" w:space="0" w:color="auto"/>
        <w:bottom w:val="none" w:sz="0" w:space="0" w:color="auto"/>
        <w:right w:val="none" w:sz="0" w:space="0" w:color="auto"/>
      </w:divBdr>
    </w:div>
    <w:div w:id="1670015527">
      <w:bodyDiv w:val="1"/>
      <w:marLeft w:val="0"/>
      <w:marRight w:val="0"/>
      <w:marTop w:val="0"/>
      <w:marBottom w:val="0"/>
      <w:divBdr>
        <w:top w:val="none" w:sz="0" w:space="0" w:color="auto"/>
        <w:left w:val="none" w:sz="0" w:space="0" w:color="auto"/>
        <w:bottom w:val="none" w:sz="0" w:space="0" w:color="auto"/>
        <w:right w:val="none" w:sz="0" w:space="0" w:color="auto"/>
      </w:divBdr>
    </w:div>
    <w:div w:id="1689286867">
      <w:bodyDiv w:val="1"/>
      <w:marLeft w:val="0"/>
      <w:marRight w:val="0"/>
      <w:marTop w:val="0"/>
      <w:marBottom w:val="0"/>
      <w:divBdr>
        <w:top w:val="none" w:sz="0" w:space="0" w:color="auto"/>
        <w:left w:val="none" w:sz="0" w:space="0" w:color="auto"/>
        <w:bottom w:val="none" w:sz="0" w:space="0" w:color="auto"/>
        <w:right w:val="none" w:sz="0" w:space="0" w:color="auto"/>
      </w:divBdr>
    </w:div>
    <w:div w:id="1755586028">
      <w:bodyDiv w:val="1"/>
      <w:marLeft w:val="0"/>
      <w:marRight w:val="0"/>
      <w:marTop w:val="0"/>
      <w:marBottom w:val="0"/>
      <w:divBdr>
        <w:top w:val="none" w:sz="0" w:space="0" w:color="auto"/>
        <w:left w:val="none" w:sz="0" w:space="0" w:color="auto"/>
        <w:bottom w:val="none" w:sz="0" w:space="0" w:color="auto"/>
        <w:right w:val="none" w:sz="0" w:space="0" w:color="auto"/>
      </w:divBdr>
    </w:div>
    <w:div w:id="1783645835">
      <w:bodyDiv w:val="1"/>
      <w:marLeft w:val="0"/>
      <w:marRight w:val="0"/>
      <w:marTop w:val="0"/>
      <w:marBottom w:val="0"/>
      <w:divBdr>
        <w:top w:val="none" w:sz="0" w:space="0" w:color="auto"/>
        <w:left w:val="none" w:sz="0" w:space="0" w:color="auto"/>
        <w:bottom w:val="none" w:sz="0" w:space="0" w:color="auto"/>
        <w:right w:val="none" w:sz="0" w:space="0" w:color="auto"/>
      </w:divBdr>
    </w:div>
    <w:div w:id="2063139606">
      <w:bodyDiv w:val="1"/>
      <w:marLeft w:val="0"/>
      <w:marRight w:val="0"/>
      <w:marTop w:val="0"/>
      <w:marBottom w:val="0"/>
      <w:divBdr>
        <w:top w:val="none" w:sz="0" w:space="0" w:color="auto"/>
        <w:left w:val="none" w:sz="0" w:space="0" w:color="auto"/>
        <w:bottom w:val="none" w:sz="0" w:space="0" w:color="auto"/>
        <w:right w:val="none" w:sz="0" w:space="0" w:color="auto"/>
      </w:divBdr>
    </w:div>
    <w:div w:id="210930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1;ilis.Haughey@nihrc.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judiciaryni.uk/judicial-decisions/2023-nica-35" TargetMode="External"/><Relationship Id="rId3" Type="http://schemas.openxmlformats.org/officeDocument/2006/relationships/hyperlink" Target="https://www.judiciaryni.uk/files/judiciaryni/2024-09/%5B2024%5D%20NICA%2059.pdf" TargetMode="External"/><Relationship Id="rId7" Type="http://schemas.openxmlformats.org/officeDocument/2006/relationships/hyperlink" Target="https://www.judiciaryni.uk/files/judiciaryni/2024-09/%5B2024%5D%20NICA%2059.pdf" TargetMode="External"/><Relationship Id="rId2" Type="http://schemas.openxmlformats.org/officeDocument/2006/relationships/hyperlink" Target="https://www.judiciaryni.uk/judicial-decisions/2024-nikb-35" TargetMode="External"/><Relationship Id="rId1" Type="http://schemas.openxmlformats.org/officeDocument/2006/relationships/hyperlink" Target="https://www.judiciaryni.uk/files/judiciaryni/2024-09/%5B2024%5D%20NICA%2059.pdf" TargetMode="External"/><Relationship Id="rId6" Type="http://schemas.openxmlformats.org/officeDocument/2006/relationships/hyperlink" Target="https://www.judiciaryni.uk/files/judiciaryni/2024-09/%5B2024%5D%20NICA%2059.pdf" TargetMode="External"/><Relationship Id="rId5" Type="http://schemas.openxmlformats.org/officeDocument/2006/relationships/hyperlink" Target="https://www.judiciaryni.uk/judicial-decisions/2024-nikb-35" TargetMode="External"/><Relationship Id="rId4" Type="http://schemas.openxmlformats.org/officeDocument/2006/relationships/hyperlink" Target="https://www.judiciaryni.uk/files/judiciaryni/2024-09/%5B2024%5D%20NICA%2059.pdf" TargetMode="External"/><Relationship Id="rId9" Type="http://schemas.openxmlformats.org/officeDocument/2006/relationships/hyperlink" Target="https://assets.publishing.service.gov.uk/government/uploads/system/uploads/attachment_data/file/1139420/Political_Declaration_by_the_European_Commission_and_the_Government_of_the_United_Kingd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AEA37-0C47-449D-8D1D-E19D841E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4305</Words>
  <Characters>24541</Characters>
  <Application>Microsoft Office Word</Application>
  <DocSecurity>0</DocSecurity>
  <Lines>204</Lines>
  <Paragraphs>57</Paragraphs>
  <ScaleCrop>false</ScaleCrop>
  <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2025-04-30T15:45:00Z</dcterms:created>
  <dcterms:modified xsi:type="dcterms:W3CDTF">2025-04-30T15:52:00Z</dcterms:modified>
</cp:coreProperties>
</file>