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DCF75" w14:textId="77777777" w:rsidR="00421A75" w:rsidRDefault="00421A75" w:rsidP="00421A75">
      <w:pPr>
        <w:pStyle w:val="Title"/>
        <w:rPr>
          <w:sz w:val="48"/>
          <w:szCs w:val="48"/>
        </w:rPr>
      </w:pPr>
    </w:p>
    <w:p w14:paraId="30484FEA" w14:textId="7497F67F" w:rsidR="00814698" w:rsidRDefault="00B954A0" w:rsidP="00814698">
      <w:r>
        <w:rPr>
          <w:noProof/>
        </w:rPr>
        <w:drawing>
          <wp:anchor distT="0" distB="0" distL="114300" distR="114300" simplePos="0" relativeHeight="251658240" behindDoc="1" locked="0" layoutInCell="1" allowOverlap="1" wp14:anchorId="1CD197E1" wp14:editId="04D85928">
            <wp:simplePos x="0" y="0"/>
            <wp:positionH relativeFrom="margin">
              <wp:align>right</wp:align>
            </wp:positionH>
            <wp:positionV relativeFrom="paragraph">
              <wp:posOffset>60960</wp:posOffset>
            </wp:positionV>
            <wp:extent cx="3100705" cy="784860"/>
            <wp:effectExtent l="0" t="0" r="4445" b="0"/>
            <wp:wrapTight wrapText="bothSides">
              <wp:wrapPolygon edited="0">
                <wp:start x="0" y="0"/>
                <wp:lineTo x="0" y="20971"/>
                <wp:lineTo x="21498" y="20971"/>
                <wp:lineTo x="21498" y="0"/>
                <wp:lineTo x="0" y="0"/>
              </wp:wrapPolygon>
            </wp:wrapTight>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100705" cy="7848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99BD60F" wp14:editId="2890E7DE">
            <wp:extent cx="2475675" cy="950611"/>
            <wp:effectExtent l="0" t="0" r="0" b="0"/>
            <wp:docPr id="3" name="Picture 3"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website&#10;&#10;Description automatically generated"/>
                    <pic:cNvPicPr/>
                  </pic:nvPicPr>
                  <pic:blipFill rotWithShape="1">
                    <a:blip r:embed="rId12" cstate="print">
                      <a:extLst>
                        <a:ext uri="{28A0092B-C50C-407E-A947-70E740481C1C}">
                          <a14:useLocalDpi xmlns:a14="http://schemas.microsoft.com/office/drawing/2010/main" val="0"/>
                        </a:ext>
                      </a:extLst>
                    </a:blip>
                    <a:srcRect l="11811" t="20472" r="11024" b="18110"/>
                    <a:stretch/>
                  </pic:blipFill>
                  <pic:spPr bwMode="auto">
                    <a:xfrm>
                      <a:off x="0" y="0"/>
                      <a:ext cx="2475675" cy="950611"/>
                    </a:xfrm>
                    <a:prstGeom prst="rect">
                      <a:avLst/>
                    </a:prstGeom>
                    <a:ln>
                      <a:noFill/>
                    </a:ln>
                    <a:extLst>
                      <a:ext uri="{53640926-AAD7-44D8-BBD7-CCE9431645EC}">
                        <a14:shadowObscured xmlns:a14="http://schemas.microsoft.com/office/drawing/2010/main"/>
                      </a:ext>
                    </a:extLst>
                  </pic:spPr>
                </pic:pic>
              </a:graphicData>
            </a:graphic>
          </wp:inline>
        </w:drawing>
      </w:r>
    </w:p>
    <w:p w14:paraId="50E0E83E" w14:textId="116F4432" w:rsidR="00814698" w:rsidRDefault="00814698" w:rsidP="00814698"/>
    <w:p w14:paraId="04D551C9" w14:textId="77777777" w:rsidR="00814698" w:rsidRDefault="00814698" w:rsidP="00814698"/>
    <w:p w14:paraId="09515FC7" w14:textId="77777777" w:rsidR="00814698" w:rsidRDefault="00814698" w:rsidP="00814698"/>
    <w:p w14:paraId="48234121" w14:textId="77777777" w:rsidR="00814698" w:rsidRDefault="00814698" w:rsidP="00814698"/>
    <w:p w14:paraId="2AD49E33" w14:textId="77777777" w:rsidR="00814698" w:rsidRPr="00814698" w:rsidRDefault="00814698" w:rsidP="00814698"/>
    <w:p w14:paraId="7B1C7CB0" w14:textId="23A9F28D" w:rsidR="00421A75" w:rsidRPr="008366C5" w:rsidRDefault="00421A75" w:rsidP="00B74C2F">
      <w:pPr>
        <w:pStyle w:val="Title"/>
        <w:jc w:val="center"/>
        <w:rPr>
          <w:sz w:val="48"/>
          <w:szCs w:val="48"/>
        </w:rPr>
      </w:pPr>
      <w:bookmarkStart w:id="0" w:name="_Hlk164352428"/>
      <w:r w:rsidRPr="00B74C2F">
        <w:rPr>
          <w:sz w:val="44"/>
          <w:szCs w:val="44"/>
        </w:rPr>
        <w:t xml:space="preserve">Submission of the Equality Commission for </w:t>
      </w:r>
      <w:r w:rsidR="00C002ED">
        <w:rPr>
          <w:sz w:val="44"/>
          <w:szCs w:val="44"/>
        </w:rPr>
        <w:br/>
      </w:r>
      <w:r w:rsidRPr="00B74C2F">
        <w:rPr>
          <w:sz w:val="44"/>
          <w:szCs w:val="44"/>
        </w:rPr>
        <w:t xml:space="preserve">Northern Ireland and the </w:t>
      </w:r>
      <w:r w:rsidR="00C002ED" w:rsidRPr="00B74C2F">
        <w:rPr>
          <w:sz w:val="44"/>
          <w:szCs w:val="44"/>
        </w:rPr>
        <w:br/>
      </w:r>
      <w:r w:rsidRPr="00B74C2F">
        <w:rPr>
          <w:sz w:val="44"/>
          <w:szCs w:val="44"/>
        </w:rPr>
        <w:t>Northern Ireland Human Rights Commission to the Independent Review of the Windsor Framework</w:t>
      </w:r>
    </w:p>
    <w:p w14:paraId="0EE86D31" w14:textId="77777777" w:rsidR="00421A75" w:rsidRDefault="00421A75" w:rsidP="00421A75"/>
    <w:p w14:paraId="05B1B105" w14:textId="77777777" w:rsidR="00421A75" w:rsidRDefault="00421A75" w:rsidP="00421A75"/>
    <w:p w14:paraId="0CE0B37C" w14:textId="77777777" w:rsidR="00421A75" w:rsidRPr="005A1178" w:rsidRDefault="00421A75" w:rsidP="00421A75">
      <w:pPr>
        <w:jc w:val="center"/>
        <w:rPr>
          <w:b/>
          <w:bCs/>
          <w:sz w:val="32"/>
          <w:szCs w:val="32"/>
        </w:rPr>
        <w:sectPr w:rsidR="00421A75" w:rsidRPr="005A1178" w:rsidSect="00421A75">
          <w:headerReference w:type="default" r:id="rId13"/>
          <w:footerReference w:type="default" r:id="rId14"/>
          <w:pgSz w:w="11906" w:h="16838"/>
          <w:pgMar w:top="1440" w:right="1440" w:bottom="1440" w:left="1440" w:header="708" w:footer="708" w:gutter="0"/>
          <w:cols w:space="708"/>
          <w:docGrid w:linePitch="360"/>
        </w:sectPr>
      </w:pPr>
      <w:r>
        <w:rPr>
          <w:b/>
          <w:bCs/>
          <w:sz w:val="32"/>
          <w:szCs w:val="32"/>
        </w:rPr>
        <w:t>May</w:t>
      </w:r>
      <w:r w:rsidRPr="008366C5">
        <w:rPr>
          <w:b/>
          <w:bCs/>
          <w:sz w:val="32"/>
          <w:szCs w:val="32"/>
        </w:rPr>
        <w:t xml:space="preserve"> 2025</w:t>
      </w:r>
      <w:bookmarkEnd w:id="0"/>
    </w:p>
    <w:bookmarkStart w:id="1" w:name="_Toc74584440" w:displacedByCustomXml="next"/>
    <w:sdt>
      <w:sdtPr>
        <w:rPr>
          <w:rFonts w:asciiTheme="minorHAnsi" w:eastAsiaTheme="minorEastAsia" w:hAnsiTheme="minorHAnsi" w:cstheme="minorBidi"/>
          <w:color w:val="auto"/>
          <w:sz w:val="28"/>
          <w:szCs w:val="28"/>
          <w:lang w:val="en-GB"/>
        </w:rPr>
        <w:id w:val="1037086026"/>
        <w:docPartObj>
          <w:docPartGallery w:val="Table of Contents"/>
          <w:docPartUnique/>
        </w:docPartObj>
      </w:sdtPr>
      <w:sdtEndPr>
        <w:rPr>
          <w:noProof/>
        </w:rPr>
      </w:sdtEndPr>
      <w:sdtContent>
        <w:p w14:paraId="23524509" w14:textId="77777777" w:rsidR="00421A75" w:rsidRPr="004E63EF" w:rsidRDefault="00421A75" w:rsidP="00421A75">
          <w:pPr>
            <w:pStyle w:val="TOCHeading"/>
          </w:pPr>
          <w:r w:rsidRPr="004E63EF">
            <w:t>Contents</w:t>
          </w:r>
        </w:p>
        <w:p w14:paraId="0541143A" w14:textId="7B2D3BF6" w:rsidR="004E63EF" w:rsidRDefault="00421A75">
          <w:pPr>
            <w:pStyle w:val="TOC1"/>
            <w:tabs>
              <w:tab w:val="right" w:leader="dot" w:pos="9736"/>
            </w:tabs>
            <w:rPr>
              <w:rFonts w:cstheme="minorBidi"/>
              <w:noProof/>
              <w:kern w:val="2"/>
              <w:sz w:val="24"/>
              <w:szCs w:val="24"/>
              <w:lang w:eastAsia="en-GB"/>
              <w14:ligatures w14:val="standardContextual"/>
            </w:rPr>
          </w:pPr>
          <w:r w:rsidRPr="004E63EF">
            <w:fldChar w:fldCharType="begin"/>
          </w:r>
          <w:r w:rsidRPr="004E63EF">
            <w:instrText xml:space="preserve"> TOC \o "1-3" \h \z \u </w:instrText>
          </w:r>
          <w:r w:rsidRPr="004E63EF">
            <w:fldChar w:fldCharType="separate"/>
          </w:r>
          <w:hyperlink w:anchor="_Toc199342888" w:history="1">
            <w:r w:rsidR="004E63EF" w:rsidRPr="00B12824">
              <w:rPr>
                <w:rStyle w:val="Hyperlink"/>
                <w:noProof/>
              </w:rPr>
              <w:t>1.0 Introduction</w:t>
            </w:r>
            <w:r w:rsidR="004E63EF">
              <w:rPr>
                <w:noProof/>
                <w:webHidden/>
              </w:rPr>
              <w:tab/>
            </w:r>
            <w:r w:rsidR="004E63EF">
              <w:rPr>
                <w:noProof/>
                <w:webHidden/>
              </w:rPr>
              <w:fldChar w:fldCharType="begin"/>
            </w:r>
            <w:r w:rsidR="004E63EF">
              <w:rPr>
                <w:noProof/>
                <w:webHidden/>
              </w:rPr>
              <w:instrText xml:space="preserve"> PAGEREF _Toc199342888 \h </w:instrText>
            </w:r>
            <w:r w:rsidR="004E63EF">
              <w:rPr>
                <w:noProof/>
                <w:webHidden/>
              </w:rPr>
            </w:r>
            <w:r w:rsidR="004E63EF">
              <w:rPr>
                <w:noProof/>
                <w:webHidden/>
              </w:rPr>
              <w:fldChar w:fldCharType="separate"/>
            </w:r>
            <w:r w:rsidR="00725B29">
              <w:rPr>
                <w:noProof/>
                <w:webHidden/>
              </w:rPr>
              <w:t>2</w:t>
            </w:r>
            <w:r w:rsidR="004E63EF">
              <w:rPr>
                <w:noProof/>
                <w:webHidden/>
              </w:rPr>
              <w:fldChar w:fldCharType="end"/>
            </w:r>
          </w:hyperlink>
        </w:p>
        <w:p w14:paraId="2CB1BA75" w14:textId="21151B3D" w:rsidR="004E63EF" w:rsidRDefault="004E63EF">
          <w:pPr>
            <w:pStyle w:val="TOC1"/>
            <w:tabs>
              <w:tab w:val="right" w:leader="dot" w:pos="9736"/>
            </w:tabs>
            <w:rPr>
              <w:rFonts w:cstheme="minorBidi"/>
              <w:noProof/>
              <w:kern w:val="2"/>
              <w:sz w:val="24"/>
              <w:szCs w:val="24"/>
              <w:lang w:eastAsia="en-GB"/>
              <w14:ligatures w14:val="standardContextual"/>
            </w:rPr>
          </w:pPr>
          <w:hyperlink w:anchor="_Toc199342889" w:history="1">
            <w:r w:rsidRPr="00B12824">
              <w:rPr>
                <w:rStyle w:val="Hyperlink"/>
                <w:noProof/>
              </w:rPr>
              <w:t>2.0 Windsor Framework Article 2</w:t>
            </w:r>
            <w:r>
              <w:rPr>
                <w:noProof/>
                <w:webHidden/>
              </w:rPr>
              <w:tab/>
            </w:r>
            <w:r>
              <w:rPr>
                <w:noProof/>
                <w:webHidden/>
              </w:rPr>
              <w:fldChar w:fldCharType="begin"/>
            </w:r>
            <w:r>
              <w:rPr>
                <w:noProof/>
                <w:webHidden/>
              </w:rPr>
              <w:instrText xml:space="preserve"> PAGEREF _Toc199342889 \h </w:instrText>
            </w:r>
            <w:r>
              <w:rPr>
                <w:noProof/>
                <w:webHidden/>
              </w:rPr>
            </w:r>
            <w:r>
              <w:rPr>
                <w:noProof/>
                <w:webHidden/>
              </w:rPr>
              <w:fldChar w:fldCharType="separate"/>
            </w:r>
            <w:r w:rsidR="00725B29">
              <w:rPr>
                <w:noProof/>
                <w:webHidden/>
              </w:rPr>
              <w:t>2</w:t>
            </w:r>
            <w:r>
              <w:rPr>
                <w:noProof/>
                <w:webHidden/>
              </w:rPr>
              <w:fldChar w:fldCharType="end"/>
            </w:r>
          </w:hyperlink>
        </w:p>
        <w:p w14:paraId="394AD5A0" w14:textId="68CC4FD8" w:rsidR="004E63EF" w:rsidRDefault="004E63EF">
          <w:pPr>
            <w:pStyle w:val="TOC1"/>
            <w:tabs>
              <w:tab w:val="right" w:leader="dot" w:pos="9736"/>
            </w:tabs>
            <w:rPr>
              <w:rFonts w:cstheme="minorBidi"/>
              <w:noProof/>
              <w:kern w:val="2"/>
              <w:sz w:val="24"/>
              <w:szCs w:val="24"/>
              <w:lang w:eastAsia="en-GB"/>
              <w14:ligatures w14:val="standardContextual"/>
            </w:rPr>
          </w:pPr>
          <w:hyperlink w:anchor="_Toc199342890" w:history="1">
            <w:r w:rsidRPr="00B12824">
              <w:rPr>
                <w:rStyle w:val="Hyperlink"/>
                <w:noProof/>
              </w:rPr>
              <w:t>3.0 Scope of the Independent Review</w:t>
            </w:r>
            <w:r>
              <w:rPr>
                <w:noProof/>
                <w:webHidden/>
              </w:rPr>
              <w:tab/>
            </w:r>
            <w:r>
              <w:rPr>
                <w:noProof/>
                <w:webHidden/>
              </w:rPr>
              <w:fldChar w:fldCharType="begin"/>
            </w:r>
            <w:r>
              <w:rPr>
                <w:noProof/>
                <w:webHidden/>
              </w:rPr>
              <w:instrText xml:space="preserve"> PAGEREF _Toc199342890 \h </w:instrText>
            </w:r>
            <w:r>
              <w:rPr>
                <w:noProof/>
                <w:webHidden/>
              </w:rPr>
            </w:r>
            <w:r>
              <w:rPr>
                <w:noProof/>
                <w:webHidden/>
              </w:rPr>
              <w:fldChar w:fldCharType="separate"/>
            </w:r>
            <w:r w:rsidR="00725B29">
              <w:rPr>
                <w:noProof/>
                <w:webHidden/>
              </w:rPr>
              <w:t>4</w:t>
            </w:r>
            <w:r>
              <w:rPr>
                <w:noProof/>
                <w:webHidden/>
              </w:rPr>
              <w:fldChar w:fldCharType="end"/>
            </w:r>
          </w:hyperlink>
        </w:p>
        <w:p w14:paraId="06F21AAB" w14:textId="4236B47D" w:rsidR="004E63EF" w:rsidRDefault="004E63EF">
          <w:pPr>
            <w:pStyle w:val="TOC1"/>
            <w:tabs>
              <w:tab w:val="left" w:pos="720"/>
              <w:tab w:val="right" w:leader="dot" w:pos="9736"/>
            </w:tabs>
            <w:rPr>
              <w:rFonts w:cstheme="minorBidi"/>
              <w:noProof/>
              <w:kern w:val="2"/>
              <w:sz w:val="24"/>
              <w:szCs w:val="24"/>
              <w:lang w:eastAsia="en-GB"/>
              <w14:ligatures w14:val="standardContextual"/>
            </w:rPr>
          </w:pPr>
          <w:hyperlink w:anchor="_Toc199342891" w:history="1">
            <w:r w:rsidRPr="00B12824">
              <w:rPr>
                <w:rStyle w:val="Hyperlink"/>
                <w:noProof/>
              </w:rPr>
              <w:t>4.0</w:t>
            </w:r>
            <w:r>
              <w:rPr>
                <w:rFonts w:cstheme="minorBidi"/>
                <w:noProof/>
                <w:kern w:val="2"/>
                <w:sz w:val="24"/>
                <w:szCs w:val="24"/>
                <w:lang w:eastAsia="en-GB"/>
                <w14:ligatures w14:val="standardContextual"/>
              </w:rPr>
              <w:t xml:space="preserve"> </w:t>
            </w:r>
            <w:r w:rsidRPr="00B12824">
              <w:rPr>
                <w:rStyle w:val="Hyperlink"/>
                <w:noProof/>
              </w:rPr>
              <w:t>Implementation of Windsor Framework Article 2</w:t>
            </w:r>
            <w:r>
              <w:rPr>
                <w:noProof/>
                <w:webHidden/>
              </w:rPr>
              <w:tab/>
            </w:r>
            <w:r>
              <w:rPr>
                <w:noProof/>
                <w:webHidden/>
              </w:rPr>
              <w:fldChar w:fldCharType="begin"/>
            </w:r>
            <w:r>
              <w:rPr>
                <w:noProof/>
                <w:webHidden/>
              </w:rPr>
              <w:instrText xml:space="preserve"> PAGEREF _Toc199342891 \h </w:instrText>
            </w:r>
            <w:r>
              <w:rPr>
                <w:noProof/>
                <w:webHidden/>
              </w:rPr>
            </w:r>
            <w:r>
              <w:rPr>
                <w:noProof/>
                <w:webHidden/>
              </w:rPr>
              <w:fldChar w:fldCharType="separate"/>
            </w:r>
            <w:r w:rsidR="00725B29">
              <w:rPr>
                <w:noProof/>
                <w:webHidden/>
              </w:rPr>
              <w:t>6</w:t>
            </w:r>
            <w:r>
              <w:rPr>
                <w:noProof/>
                <w:webHidden/>
              </w:rPr>
              <w:fldChar w:fldCharType="end"/>
            </w:r>
          </w:hyperlink>
        </w:p>
        <w:p w14:paraId="38505D70" w14:textId="576A9128" w:rsidR="00421A75" w:rsidRPr="004E63EF" w:rsidRDefault="00421A75" w:rsidP="00421A75">
          <w:r w:rsidRPr="004E63EF">
            <w:rPr>
              <w:noProof/>
            </w:rPr>
            <w:fldChar w:fldCharType="end"/>
          </w:r>
        </w:p>
      </w:sdtContent>
    </w:sdt>
    <w:p w14:paraId="7E1D6527" w14:textId="77777777" w:rsidR="00421A75" w:rsidRDefault="00421A75" w:rsidP="00421A75">
      <w:pPr>
        <w:spacing w:after="160" w:line="259" w:lineRule="auto"/>
        <w:rPr>
          <w:b/>
          <w:sz w:val="40"/>
          <w:szCs w:val="40"/>
        </w:rPr>
      </w:pPr>
      <w:bookmarkStart w:id="2" w:name="_Toc196470497"/>
      <w:r>
        <w:br w:type="page"/>
      </w:r>
    </w:p>
    <w:p w14:paraId="48BE96B5" w14:textId="60BFD55B" w:rsidR="00421A75" w:rsidRPr="00AE301D" w:rsidRDefault="00421A75" w:rsidP="00421A75">
      <w:pPr>
        <w:pStyle w:val="Heading1"/>
        <w:keepNext w:val="0"/>
        <w:keepLines w:val="0"/>
        <w:spacing w:after="360"/>
        <w:ind w:left="720" w:hanging="720"/>
      </w:pPr>
      <w:bookmarkStart w:id="3" w:name="_Toc199342888"/>
      <w:r>
        <w:t>1.0 Introduction</w:t>
      </w:r>
      <w:bookmarkEnd w:id="1"/>
      <w:bookmarkEnd w:id="2"/>
      <w:bookmarkEnd w:id="3"/>
      <w:r>
        <w:t xml:space="preserve"> </w:t>
      </w:r>
    </w:p>
    <w:p w14:paraId="52A87C3D" w14:textId="78F47FD4" w:rsidR="00421A75" w:rsidRDefault="00F76E5A" w:rsidP="00421A75">
      <w:pPr>
        <w:pStyle w:val="ListParagraph"/>
        <w:numPr>
          <w:ilvl w:val="1"/>
          <w:numId w:val="0"/>
        </w:numPr>
        <w:spacing w:after="0"/>
        <w:ind w:left="709" w:hanging="720"/>
        <w:contextualSpacing w:val="0"/>
      </w:pPr>
      <w:r w:rsidRPr="00F76E5A">
        <w:rPr>
          <w:rFonts w:ascii="Aptos Display" w:hAnsi="Aptos Display"/>
        </w:rPr>
        <w:t>1.1</w:t>
      </w:r>
      <w:r>
        <w:t xml:space="preserve"> </w:t>
      </w:r>
      <w:r>
        <w:tab/>
      </w:r>
      <w:r w:rsidR="00421A75" w:rsidRPr="000835C7">
        <w:t xml:space="preserve">The Equality Commission for Northern Ireland (ECNI) is an independent public body established under the Northern Ireland Act 1998. Its powers and duties derive from </w:t>
      </w:r>
      <w:proofErr w:type="gramStart"/>
      <w:r w:rsidR="00421A75" w:rsidRPr="000835C7">
        <w:t>a number of</w:t>
      </w:r>
      <w:proofErr w:type="gramEnd"/>
      <w:r w:rsidR="00421A75" w:rsidRPr="000835C7">
        <w:t xml:space="preserve"> equality statutes providing protection against discrimination on the grounds of age, disability, race, religion and political opinion, sex and sexual orientation. Its remit also includes overseeing the statutory duties on public authorities </w:t>
      </w:r>
      <w:r w:rsidR="00421A75">
        <w:t xml:space="preserve">on the </w:t>
      </w:r>
      <w:r w:rsidR="00421A75" w:rsidRPr="000835C7">
        <w:t>promotion</w:t>
      </w:r>
      <w:r w:rsidR="00421A75">
        <w:t xml:space="preserve"> of </w:t>
      </w:r>
      <w:r w:rsidR="00421A75" w:rsidRPr="000835C7">
        <w:t>equality of opportunity and good relations under Section 75 of the Northern Ireland Act 1998.</w:t>
      </w:r>
    </w:p>
    <w:p w14:paraId="24B30BE0" w14:textId="77777777" w:rsidR="00421A75" w:rsidRPr="00F76E5A" w:rsidRDefault="00421A75" w:rsidP="00421A75">
      <w:pPr>
        <w:pStyle w:val="ListParagraph"/>
        <w:ind w:left="709"/>
        <w:rPr>
          <w:rFonts w:asciiTheme="majorHAnsi" w:hAnsiTheme="majorHAnsi"/>
        </w:rPr>
      </w:pPr>
    </w:p>
    <w:p w14:paraId="03DB5071" w14:textId="2648A9A3" w:rsidR="00421A75" w:rsidRPr="000835C7" w:rsidRDefault="00F76E5A" w:rsidP="00421A75">
      <w:pPr>
        <w:pStyle w:val="ListParagraph"/>
        <w:numPr>
          <w:ilvl w:val="1"/>
          <w:numId w:val="0"/>
        </w:numPr>
        <w:spacing w:after="0"/>
        <w:ind w:left="709" w:hanging="720"/>
        <w:contextualSpacing w:val="0"/>
      </w:pPr>
      <w:r w:rsidRPr="00F76E5A">
        <w:rPr>
          <w:rFonts w:asciiTheme="majorHAnsi" w:hAnsiTheme="majorHAnsi"/>
        </w:rPr>
        <w:t>1.2</w:t>
      </w:r>
      <w:r>
        <w:t xml:space="preserve"> </w:t>
      </w:r>
      <w:r>
        <w:tab/>
      </w:r>
      <w:r w:rsidR="00421A75" w:rsidRPr="000835C7">
        <w:t xml:space="preserve">The Northern Ireland Human Rights Commission (the NIHRC), pursuant to section 69(1) the Northern Ireland Act 1998, reviews the adequacy and effectiveness of law and practice </w:t>
      </w:r>
      <w:r w:rsidR="00421A75" w:rsidRPr="0075312D">
        <w:t>relating</w:t>
      </w:r>
      <w:r w:rsidR="00421A75" w:rsidRPr="000835C7">
        <w:t xml:space="preserve"> to the protection of human rights in Northern Ireland (NI). </w:t>
      </w:r>
    </w:p>
    <w:p w14:paraId="0FA9BE25" w14:textId="77777777" w:rsidR="00421A75" w:rsidRPr="000835C7" w:rsidRDefault="00421A75" w:rsidP="00421A75">
      <w:pPr>
        <w:pStyle w:val="ListParagraph"/>
        <w:ind w:left="709"/>
      </w:pPr>
    </w:p>
    <w:p w14:paraId="7DF042AA" w14:textId="60A20159" w:rsidR="00421A75" w:rsidRDefault="00F76E5A" w:rsidP="00421A75">
      <w:pPr>
        <w:pStyle w:val="ListParagraph"/>
        <w:numPr>
          <w:ilvl w:val="1"/>
          <w:numId w:val="0"/>
        </w:numPr>
        <w:spacing w:after="0"/>
        <w:ind w:left="709" w:hanging="720"/>
        <w:contextualSpacing w:val="0"/>
      </w:pPr>
      <w:r w:rsidRPr="00F76E5A">
        <w:rPr>
          <w:rFonts w:ascii="Aptos Display" w:hAnsi="Aptos Display"/>
        </w:rPr>
        <w:t>1.3</w:t>
      </w:r>
      <w:r>
        <w:tab/>
      </w:r>
      <w:r w:rsidR="00421A75">
        <w:t xml:space="preserve">The </w:t>
      </w:r>
      <w:r w:rsidR="00421A75" w:rsidRPr="00CA209F">
        <w:t>NIHRC</w:t>
      </w:r>
      <w:r w:rsidR="00421A75">
        <w:t xml:space="preserve"> and</w:t>
      </w:r>
      <w:r w:rsidR="00421A75" w:rsidRPr="00CA209F">
        <w:t xml:space="preserve"> ECNI</w:t>
      </w:r>
      <w:r w:rsidR="00421A75">
        <w:t xml:space="preserve"> (the Commissions)</w:t>
      </w:r>
      <w:r w:rsidR="00421A75" w:rsidRPr="00CA209F">
        <w:t xml:space="preserve">, pursuant to </w:t>
      </w:r>
      <w:r w:rsidR="00421A75" w:rsidRPr="00730066">
        <w:t>section 78A(1) and 79B(1)</w:t>
      </w:r>
      <w:r w:rsidR="00421A75" w:rsidRPr="00CA209F">
        <w:t xml:space="preserve"> of the Northern Ireland Act 1998, </w:t>
      </w:r>
      <w:r w:rsidR="00421A75">
        <w:t xml:space="preserve">respectively, are required to </w:t>
      </w:r>
      <w:r w:rsidR="00421A75" w:rsidRPr="00CA209F">
        <w:t>monitor</w:t>
      </w:r>
      <w:r w:rsidR="00421A75">
        <w:t xml:space="preserve"> and report on</w:t>
      </w:r>
      <w:r w:rsidR="00421A75" w:rsidRPr="00CA209F">
        <w:t xml:space="preserve"> the implementation of </w:t>
      </w:r>
      <w:r w:rsidR="00421A75">
        <w:t xml:space="preserve">Windsor Framework </w:t>
      </w:r>
      <w:r w:rsidR="00421A75" w:rsidRPr="00944B2E">
        <w:t>Article</w:t>
      </w:r>
      <w:r w:rsidR="00421A75">
        <w:t xml:space="preserve"> 2.</w:t>
      </w:r>
      <w:r w:rsidR="00421A75" w:rsidRPr="00AC5730">
        <w:rPr>
          <w:rStyle w:val="FootnoteReference"/>
        </w:rPr>
        <w:footnoteReference w:id="2"/>
      </w:r>
      <w:r w:rsidR="00421A75">
        <w:t xml:space="preserve"> </w:t>
      </w:r>
      <w:r w:rsidR="00421A75" w:rsidRPr="000835C7">
        <w:t xml:space="preserve">In accordance with these functions, the Commissions </w:t>
      </w:r>
      <w:r w:rsidR="00421A75">
        <w:t xml:space="preserve">make this brief submission which we hope will benefit the work of the Independent Review of the Windsor Framework. </w:t>
      </w:r>
    </w:p>
    <w:p w14:paraId="053A80ED" w14:textId="7F7F6AFE" w:rsidR="00421A75" w:rsidRDefault="00F76E5A" w:rsidP="00F76E5A">
      <w:pPr>
        <w:pStyle w:val="Heading1"/>
        <w:keepNext w:val="0"/>
        <w:keepLines w:val="0"/>
        <w:spacing w:after="360"/>
      </w:pPr>
      <w:bookmarkStart w:id="4" w:name="_Toc196470498"/>
      <w:bookmarkStart w:id="5" w:name="_Toc199342889"/>
      <w:r>
        <w:t xml:space="preserve">2.0 </w:t>
      </w:r>
      <w:r w:rsidR="00421A75">
        <w:t>Windsor Framework Article 2</w:t>
      </w:r>
      <w:bookmarkEnd w:id="4"/>
      <w:bookmarkEnd w:id="5"/>
      <w:r w:rsidR="00421A75">
        <w:t xml:space="preserve"> </w:t>
      </w:r>
    </w:p>
    <w:p w14:paraId="7075C61B" w14:textId="16FA2E56" w:rsidR="00421A75" w:rsidRDefault="00F76E5A" w:rsidP="00421A75">
      <w:pPr>
        <w:pStyle w:val="ListParagraph"/>
        <w:numPr>
          <w:ilvl w:val="1"/>
          <w:numId w:val="0"/>
        </w:numPr>
        <w:spacing w:after="0"/>
        <w:ind w:left="709" w:hanging="720"/>
        <w:contextualSpacing w:val="0"/>
      </w:pPr>
      <w:r w:rsidRPr="00F76E5A">
        <w:rPr>
          <w:rFonts w:asciiTheme="majorHAnsi" w:hAnsiTheme="majorHAnsi"/>
        </w:rPr>
        <w:t>2.1</w:t>
      </w:r>
      <w:r>
        <w:t xml:space="preserve"> </w:t>
      </w:r>
      <w:r>
        <w:tab/>
      </w:r>
      <w:r w:rsidR="00421A75">
        <w:t>Windsor Framework Article 2 requires the UK Government to ensure that no diminution of rights, safeguards and equality of opportunities contained in the relevant part of the Belfast (Good Friday) Agreement 1998 occurs as a result of the UK’s withdrawal from the EU.</w:t>
      </w:r>
      <w:r w:rsidR="00421A75">
        <w:rPr>
          <w:rStyle w:val="FootnoteReference"/>
        </w:rPr>
        <w:footnoteReference w:id="3"/>
      </w:r>
      <w:r w:rsidR="00421A75">
        <w:t xml:space="preserve"> This commitment to ensure ‘no diminution’ is measured by the relevant EU standards as they were on the 31 December 2020.</w:t>
      </w:r>
      <w:r w:rsidR="00421A75">
        <w:rPr>
          <w:vertAlign w:val="superscript"/>
        </w:rPr>
        <w:footnoteReference w:id="4"/>
      </w:r>
      <w:r w:rsidR="00421A75">
        <w:t xml:space="preserve">  </w:t>
      </w:r>
    </w:p>
    <w:p w14:paraId="713DE27B" w14:textId="77777777" w:rsidR="00421A75" w:rsidRDefault="00421A75" w:rsidP="00421A75">
      <w:pPr>
        <w:pStyle w:val="ListParagraph"/>
        <w:ind w:left="709"/>
      </w:pPr>
    </w:p>
    <w:p w14:paraId="6E267F71" w14:textId="25CC4A4E" w:rsidR="00421A75" w:rsidRDefault="00F76E5A" w:rsidP="00F76E5A">
      <w:pPr>
        <w:pStyle w:val="ListParagraph"/>
        <w:numPr>
          <w:ilvl w:val="1"/>
          <w:numId w:val="0"/>
        </w:numPr>
        <w:spacing w:after="0"/>
        <w:ind w:left="709" w:hanging="709"/>
        <w:contextualSpacing w:val="0"/>
      </w:pPr>
      <w:r w:rsidRPr="00F76E5A">
        <w:rPr>
          <w:rFonts w:asciiTheme="majorHAnsi" w:hAnsiTheme="majorHAnsi"/>
        </w:rPr>
        <w:t>2.2</w:t>
      </w:r>
      <w:r>
        <w:rPr>
          <w:rFonts w:asciiTheme="majorHAnsi" w:hAnsiTheme="majorHAnsi"/>
        </w:rPr>
        <w:tab/>
      </w:r>
      <w:r w:rsidR="00421A75" w:rsidRPr="00F20032">
        <w:t xml:space="preserve">The NI Court of Appeal and High Court have handed down rulings interpreting </w:t>
      </w:r>
      <w:r w:rsidR="00421A75">
        <w:t xml:space="preserve">Windsor Framework </w:t>
      </w:r>
      <w:r w:rsidR="00421A75" w:rsidRPr="00F20032">
        <w:t>Article 2, the Belfast (Good Friday) Agreement chapter and the approach to relevant EU law,</w:t>
      </w:r>
      <w:r w:rsidR="00421A75" w:rsidRPr="003F4BDD">
        <w:rPr>
          <w:rStyle w:val="FootnoteReference"/>
        </w:rPr>
        <w:t xml:space="preserve"> </w:t>
      </w:r>
      <w:r w:rsidR="00421A75">
        <w:rPr>
          <w:rStyle w:val="FootnoteReference"/>
        </w:rPr>
        <w:footnoteReference w:id="5"/>
      </w:r>
      <w:r w:rsidR="00421A75" w:rsidRPr="00F20032">
        <w:t xml:space="preserve"> with further proceedings expected.</w:t>
      </w:r>
      <w:r w:rsidR="00421A75">
        <w:rPr>
          <w:rStyle w:val="FootnoteReference"/>
        </w:rPr>
        <w:footnoteReference w:id="6"/>
      </w:r>
      <w:r w:rsidR="00421A75">
        <w:t xml:space="preserve">  </w:t>
      </w:r>
    </w:p>
    <w:p w14:paraId="55F40E81" w14:textId="77777777" w:rsidR="00421A75" w:rsidRDefault="00421A75" w:rsidP="00421A75">
      <w:pPr>
        <w:pStyle w:val="ListParagraph"/>
        <w:ind w:left="709"/>
      </w:pPr>
    </w:p>
    <w:p w14:paraId="0EDD5FD4" w14:textId="560233A0" w:rsidR="00421A75" w:rsidRPr="0037392A" w:rsidRDefault="00F76E5A" w:rsidP="00421A75">
      <w:pPr>
        <w:pStyle w:val="ListParagraph"/>
        <w:numPr>
          <w:ilvl w:val="1"/>
          <w:numId w:val="0"/>
        </w:numPr>
        <w:spacing w:after="0"/>
        <w:ind w:left="709" w:hanging="720"/>
        <w:contextualSpacing w:val="0"/>
        <w:rPr>
          <w:b/>
          <w:bCs/>
        </w:rPr>
      </w:pPr>
      <w:r w:rsidRPr="00F76E5A">
        <w:rPr>
          <w:rFonts w:asciiTheme="majorHAnsi" w:hAnsiTheme="majorHAnsi"/>
        </w:rPr>
        <w:t>2.3</w:t>
      </w:r>
      <w:r>
        <w:t xml:space="preserve"> </w:t>
      </w:r>
      <w:r>
        <w:tab/>
      </w:r>
      <w:r w:rsidR="00421A75" w:rsidRPr="00BA45AD">
        <w:t>T</w:t>
      </w:r>
      <w:r w:rsidR="00421A75">
        <w:t xml:space="preserve">hough some remain subject to appeal, </w:t>
      </w:r>
      <w:r w:rsidR="00421A75" w:rsidRPr="00BA45AD">
        <w:t>the decisions of the courts have</w:t>
      </w:r>
      <w:r w:rsidR="00421A75">
        <w:t>, to date,</w:t>
      </w:r>
      <w:r w:rsidR="00421A75" w:rsidRPr="00BA45AD">
        <w:t xml:space="preserve"> aligned with the Commissions’ analysis set out in our working paper</w:t>
      </w:r>
      <w:r w:rsidR="00421A75" w:rsidRPr="00BA45AD">
        <w:rPr>
          <w:rStyle w:val="FootnoteReference"/>
          <w:rFonts w:cs="Calibri"/>
        </w:rPr>
        <w:footnoteReference w:id="7"/>
      </w:r>
      <w:r w:rsidR="00421A75" w:rsidRPr="00BA45AD">
        <w:t xml:space="preserve"> and we welcome the recognition by the courts of the value of our submissions.</w:t>
      </w:r>
      <w:r w:rsidR="00421A75" w:rsidRPr="00BA45AD">
        <w:rPr>
          <w:rStyle w:val="FootnoteReference"/>
          <w:rFonts w:cs="Calibri"/>
        </w:rPr>
        <w:footnoteReference w:id="8"/>
      </w:r>
      <w:r w:rsidR="00421A75" w:rsidRPr="00BA45AD">
        <w:t xml:space="preserve"> </w:t>
      </w:r>
    </w:p>
    <w:p w14:paraId="5DB2103F" w14:textId="77777777" w:rsidR="00421A75" w:rsidRDefault="00421A75" w:rsidP="00421A75">
      <w:pPr>
        <w:pStyle w:val="ListParagraph"/>
        <w:ind w:left="709"/>
      </w:pPr>
    </w:p>
    <w:p w14:paraId="13261EA0" w14:textId="4492F7B5" w:rsidR="00421A75" w:rsidRPr="00BC456A" w:rsidRDefault="00F76E5A" w:rsidP="00421A75">
      <w:pPr>
        <w:pStyle w:val="ListParagraph"/>
        <w:numPr>
          <w:ilvl w:val="1"/>
          <w:numId w:val="0"/>
        </w:numPr>
        <w:spacing w:after="0"/>
        <w:ind w:left="709" w:hanging="720"/>
        <w:contextualSpacing w:val="0"/>
        <w:rPr>
          <w:b/>
          <w:bCs/>
        </w:rPr>
      </w:pPr>
      <w:r w:rsidRPr="00F76E5A">
        <w:rPr>
          <w:rFonts w:asciiTheme="majorHAnsi" w:hAnsiTheme="majorHAnsi"/>
        </w:rPr>
        <w:t>2.4</w:t>
      </w:r>
      <w:r>
        <w:tab/>
      </w:r>
      <w:r w:rsidR="00421A75">
        <w:t>In addition to the non-diminution commitment, t</w:t>
      </w:r>
      <w:r w:rsidR="00421A75" w:rsidRPr="00F20032">
        <w:t>he UK Government has ‘dynamic alignment’ obligations in relation to the six Equality Directives in WF Annex 1</w:t>
      </w:r>
      <w:r w:rsidR="00421A75" w:rsidRPr="00F20032">
        <w:rPr>
          <w:vertAlign w:val="superscript"/>
        </w:rPr>
        <w:footnoteReference w:id="9"/>
      </w:r>
      <w:r w:rsidR="00421A75">
        <w:t>,</w:t>
      </w:r>
      <w:r w:rsidR="00421A75" w:rsidRPr="00F20032">
        <w:t xml:space="preserve"> arising out of WF Article 13 (3), relating to WF Article 2(1)</w:t>
      </w:r>
      <w:r w:rsidR="00421A75">
        <w:t>.</w:t>
      </w:r>
      <w:r w:rsidR="00421A75" w:rsidRPr="00F20032">
        <w:t xml:space="preserve"> This ‘dynamic alignment’ commitment was made by the</w:t>
      </w:r>
      <w:r w:rsidR="00421A75">
        <w:t xml:space="preserve"> UK</w:t>
      </w:r>
      <w:r w:rsidR="00421A75" w:rsidRPr="00F20032">
        <w:t xml:space="preserve"> Government to ensure that Northern Ireland did not fall behind minimum European standards in anti-discrimination law.</w:t>
      </w:r>
      <w:r w:rsidR="00421A75" w:rsidRPr="00F20032">
        <w:rPr>
          <w:vertAlign w:val="superscript"/>
        </w:rPr>
        <w:footnoteReference w:id="10"/>
      </w:r>
      <w:r w:rsidR="00421A75" w:rsidRPr="00F20032">
        <w:t xml:space="preserve">  </w:t>
      </w:r>
    </w:p>
    <w:p w14:paraId="798E5D39" w14:textId="796FFD49" w:rsidR="00421A75" w:rsidRDefault="00421A75" w:rsidP="00421A75">
      <w:pPr>
        <w:spacing w:after="160" w:line="259" w:lineRule="auto"/>
        <w:rPr>
          <w:rFonts w:ascii="Calibri" w:hAnsi="Calibri"/>
        </w:rPr>
      </w:pPr>
    </w:p>
    <w:p w14:paraId="49BE6520" w14:textId="77777777" w:rsidR="00B74C2F" w:rsidRDefault="00B74C2F" w:rsidP="00421A75">
      <w:pPr>
        <w:spacing w:after="160" w:line="259" w:lineRule="auto"/>
        <w:rPr>
          <w:rFonts w:ascii="Calibri" w:hAnsi="Calibri"/>
        </w:rPr>
      </w:pPr>
    </w:p>
    <w:p w14:paraId="63C2E5FE" w14:textId="77777777" w:rsidR="00B74C2F" w:rsidRDefault="00B74C2F" w:rsidP="00421A75">
      <w:pPr>
        <w:spacing w:after="160" w:line="259" w:lineRule="auto"/>
        <w:rPr>
          <w:rFonts w:ascii="Calibri" w:hAnsi="Calibri"/>
        </w:rPr>
      </w:pPr>
    </w:p>
    <w:p w14:paraId="27F88EC9" w14:textId="77777777" w:rsidR="00B74C2F" w:rsidRDefault="00B74C2F" w:rsidP="00421A75">
      <w:pPr>
        <w:spacing w:after="160" w:line="259" w:lineRule="auto"/>
        <w:rPr>
          <w:rFonts w:ascii="Calibri" w:hAnsi="Calibri"/>
        </w:rPr>
      </w:pPr>
    </w:p>
    <w:p w14:paraId="3A856261" w14:textId="77777777" w:rsidR="00B74C2F" w:rsidRDefault="00B74C2F" w:rsidP="00421A75">
      <w:pPr>
        <w:spacing w:after="160" w:line="259" w:lineRule="auto"/>
        <w:rPr>
          <w:rFonts w:ascii="Calibri" w:hAnsi="Calibri"/>
        </w:rPr>
      </w:pPr>
    </w:p>
    <w:p w14:paraId="7892DA9E" w14:textId="77777777" w:rsidR="00B74C2F" w:rsidRDefault="00B74C2F" w:rsidP="00421A75">
      <w:pPr>
        <w:spacing w:after="160" w:line="259" w:lineRule="auto"/>
        <w:rPr>
          <w:rFonts w:ascii="Calibri" w:hAnsi="Calibri"/>
        </w:rPr>
      </w:pPr>
    </w:p>
    <w:p w14:paraId="659B5BC6" w14:textId="39872FF6" w:rsidR="00421A75" w:rsidRPr="00944B2E" w:rsidRDefault="00F76E5A" w:rsidP="00421A75">
      <w:pPr>
        <w:pStyle w:val="Heading1"/>
        <w:keepNext w:val="0"/>
        <w:keepLines w:val="0"/>
        <w:spacing w:after="360"/>
        <w:ind w:left="720" w:hanging="720"/>
      </w:pPr>
      <w:bookmarkStart w:id="6" w:name="_Toc196470499"/>
      <w:bookmarkStart w:id="7" w:name="_Toc199342890"/>
      <w:r>
        <w:t xml:space="preserve">3.0 </w:t>
      </w:r>
      <w:r w:rsidR="00421A75">
        <w:t>S</w:t>
      </w:r>
      <w:bookmarkEnd w:id="6"/>
      <w:r w:rsidR="00421A75">
        <w:t>cope of the Independent Review</w:t>
      </w:r>
      <w:bookmarkEnd w:id="7"/>
      <w:permStart w:id="446960868" w:edGrp="everyone"/>
      <w:permEnd w:id="446960868"/>
    </w:p>
    <w:p w14:paraId="01D7B5E1" w14:textId="77777777" w:rsidR="00F76E5A" w:rsidRPr="00F76E5A" w:rsidRDefault="00F76E5A" w:rsidP="00F76E5A">
      <w:pPr>
        <w:pStyle w:val="ListParagraph"/>
        <w:numPr>
          <w:ilvl w:val="0"/>
          <w:numId w:val="1"/>
        </w:numPr>
        <w:spacing w:after="0"/>
        <w:rPr>
          <w:rFonts w:ascii="Calibri" w:eastAsiaTheme="minorHAnsi" w:hAnsi="Calibri" w:cstheme="minorBidi"/>
          <w:vanish/>
          <w:kern w:val="2"/>
          <w:szCs w:val="22"/>
          <w14:ligatures w14:val="standardContextual"/>
        </w:rPr>
      </w:pPr>
    </w:p>
    <w:p w14:paraId="1E253C66" w14:textId="77777777" w:rsidR="00F76E5A" w:rsidRPr="00F76E5A" w:rsidRDefault="00F76E5A" w:rsidP="00F76E5A">
      <w:pPr>
        <w:pStyle w:val="ListParagraph"/>
        <w:numPr>
          <w:ilvl w:val="0"/>
          <w:numId w:val="1"/>
        </w:numPr>
        <w:spacing w:after="0"/>
        <w:rPr>
          <w:rFonts w:ascii="Calibri" w:eastAsiaTheme="minorHAnsi" w:hAnsi="Calibri" w:cstheme="minorBidi"/>
          <w:vanish/>
          <w:kern w:val="2"/>
          <w:szCs w:val="22"/>
          <w14:ligatures w14:val="standardContextual"/>
        </w:rPr>
      </w:pPr>
    </w:p>
    <w:p w14:paraId="1B1BCC72" w14:textId="4B69350E" w:rsidR="00421A75" w:rsidRDefault="00421A75" w:rsidP="00F76E5A">
      <w:pPr>
        <w:pStyle w:val="11NumPara"/>
        <w:numPr>
          <w:ilvl w:val="1"/>
          <w:numId w:val="1"/>
        </w:numPr>
      </w:pPr>
      <w:r>
        <w:t xml:space="preserve">The Commissions recall the origins of the Independent Review </w:t>
      </w:r>
      <w:r w:rsidRPr="006E6D3F">
        <w:t>under the terms of Schedule 6A to the Northern Ireland Act 1998</w:t>
      </w:r>
      <w:r>
        <w:t>, which deals with democratic consent processes in NI related to EU withdrawal</w:t>
      </w:r>
      <w:r w:rsidRPr="006E6D3F">
        <w:t>.</w:t>
      </w:r>
      <w:r>
        <w:t xml:space="preserve"> The Review follows the passing of a consent motion in the NI Assembly by </w:t>
      </w:r>
      <w:proofErr w:type="gramStart"/>
      <w:r>
        <w:t>a majority of</w:t>
      </w:r>
      <w:proofErr w:type="gramEnd"/>
      <w:r>
        <w:t xml:space="preserve"> MLAs voting but not with cross-community support. This consent motion as provided for under the terms of Schedule 6A, applies only to articles 5-10 of the Windsor Framework. </w:t>
      </w:r>
    </w:p>
    <w:p w14:paraId="147EE4AB" w14:textId="77777777" w:rsidR="00421A75" w:rsidRDefault="00421A75" w:rsidP="00421A75">
      <w:pPr>
        <w:pStyle w:val="11NumPara"/>
        <w:numPr>
          <w:ilvl w:val="0"/>
          <w:numId w:val="0"/>
        </w:numPr>
        <w:ind w:left="720"/>
      </w:pPr>
    </w:p>
    <w:p w14:paraId="631730E3" w14:textId="77777777" w:rsidR="00421A75" w:rsidRDefault="00421A75" w:rsidP="00421A75">
      <w:pPr>
        <w:pStyle w:val="11NumPara"/>
        <w:numPr>
          <w:ilvl w:val="1"/>
          <w:numId w:val="1"/>
        </w:numPr>
      </w:pPr>
      <w:r>
        <w:t xml:space="preserve">The protection of equality and human rights in Article 2 of the Windsor Framework is outside the scope of Articles 5-10 and not subject to the consent motion. Therefore, it is not relevant for the purposes of Schedule 6A, nor is it </w:t>
      </w:r>
      <w:r w:rsidRPr="00B74C2F">
        <w:t>specifically</w:t>
      </w:r>
      <w:r>
        <w:t xml:space="preserve"> included in the Terms of Reference for the Independent Review. </w:t>
      </w:r>
    </w:p>
    <w:p w14:paraId="0BBB5A39" w14:textId="77777777" w:rsidR="00421A75" w:rsidRDefault="00421A75" w:rsidP="00421A75">
      <w:pPr>
        <w:pStyle w:val="11NumPara"/>
        <w:numPr>
          <w:ilvl w:val="0"/>
          <w:numId w:val="0"/>
        </w:numPr>
        <w:ind w:left="720"/>
      </w:pPr>
    </w:p>
    <w:p w14:paraId="2D80E372" w14:textId="77777777" w:rsidR="00421A75" w:rsidRDefault="00421A75" w:rsidP="00421A75">
      <w:pPr>
        <w:pStyle w:val="ListParagraph"/>
        <w:numPr>
          <w:ilvl w:val="1"/>
          <w:numId w:val="1"/>
        </w:numPr>
        <w:spacing w:after="0"/>
        <w:contextualSpacing w:val="0"/>
      </w:pPr>
      <w:r w:rsidRPr="00CA71DB">
        <w:t>We also note the Review’s stated purpose to report on the implications of the WF on social, economic and political life in Northern Ireland, including consideration of any effect of the Windsor Framework on the constitutional status of Northern Ireland.</w:t>
      </w:r>
      <w:r>
        <w:rPr>
          <w:rStyle w:val="FootnoteReference"/>
        </w:rPr>
        <w:footnoteReference w:id="11"/>
      </w:r>
      <w:r w:rsidRPr="00CA71DB">
        <w:t xml:space="preserve"> </w:t>
      </w:r>
    </w:p>
    <w:p w14:paraId="44A262BB" w14:textId="77777777" w:rsidR="00421A75" w:rsidRDefault="00421A75" w:rsidP="00421A75">
      <w:pPr>
        <w:pStyle w:val="ListParagraph"/>
        <w:ind w:left="1004"/>
      </w:pPr>
    </w:p>
    <w:p w14:paraId="24B2835E" w14:textId="77777777" w:rsidR="00421A75" w:rsidRPr="003C7C01" w:rsidRDefault="00421A75" w:rsidP="00421A75">
      <w:pPr>
        <w:pStyle w:val="ListParagraph"/>
        <w:numPr>
          <w:ilvl w:val="1"/>
          <w:numId w:val="1"/>
        </w:numPr>
        <w:spacing w:after="0"/>
        <w:contextualSpacing w:val="0"/>
      </w:pPr>
      <w:r w:rsidRPr="003C7C01">
        <w:t>To the extent that the human rights and equality commitment in Article 2 of the Windsor Framework is being considered</w:t>
      </w:r>
      <w:r>
        <w:t xml:space="preserve"> </w:t>
      </w:r>
      <w:r w:rsidRPr="00B74C2F">
        <w:t>by the Review,</w:t>
      </w:r>
      <w:r w:rsidRPr="003C7C01">
        <w:t xml:space="preserve"> the Commissions draw attention to the following points.</w:t>
      </w:r>
    </w:p>
    <w:p w14:paraId="6F66620C" w14:textId="77777777" w:rsidR="00421A75" w:rsidRPr="005D7C41" w:rsidRDefault="00421A75" w:rsidP="00421A75">
      <w:pPr>
        <w:pStyle w:val="ListParagraph"/>
        <w:rPr>
          <w:highlight w:val="yellow"/>
        </w:rPr>
      </w:pPr>
      <w:r w:rsidRPr="005D7C41">
        <w:rPr>
          <w:highlight w:val="yellow"/>
        </w:rPr>
        <w:t xml:space="preserve"> </w:t>
      </w:r>
    </w:p>
    <w:p w14:paraId="45CC4957" w14:textId="77777777" w:rsidR="00421A75" w:rsidRPr="003C7C01" w:rsidRDefault="00421A75" w:rsidP="00421A75">
      <w:pPr>
        <w:pStyle w:val="ListParagraph"/>
        <w:numPr>
          <w:ilvl w:val="1"/>
          <w:numId w:val="1"/>
        </w:numPr>
        <w:spacing w:after="0"/>
        <w:contextualSpacing w:val="0"/>
      </w:pPr>
      <w:r w:rsidRPr="003C7C01">
        <w:t xml:space="preserve">Human rights and equality protections are central to the Belfast (Good Friday) Agreement.  The importance of protecting the 1998 Agreement and its human rights and equality commitments was accepted in negotiations leading to the UK’s withdrawal from the EU. The commitment to safeguarding equality and human rights protections is reflected in Windsor Framework Article 2. </w:t>
      </w:r>
    </w:p>
    <w:p w14:paraId="4926667F" w14:textId="77777777" w:rsidR="00421A75" w:rsidRPr="003C7C01" w:rsidRDefault="00421A75" w:rsidP="00421A75">
      <w:pPr>
        <w:pStyle w:val="ListParagraph"/>
        <w:ind w:left="1004"/>
      </w:pPr>
    </w:p>
    <w:p w14:paraId="6136F272" w14:textId="2BDE5BDA" w:rsidR="00421A75" w:rsidRPr="003C7C01" w:rsidRDefault="00421A75" w:rsidP="00421A75">
      <w:pPr>
        <w:pStyle w:val="ListParagraph"/>
        <w:numPr>
          <w:ilvl w:val="1"/>
          <w:numId w:val="1"/>
        </w:numPr>
        <w:spacing w:after="0"/>
        <w:contextualSpacing w:val="0"/>
      </w:pPr>
      <w:r w:rsidRPr="003C7C01">
        <w:t>Due to its constitutional status and the devolution settlement, equality and human rights protections in NI are in many contexts distinct from those in England, Scotland and Wales.</w:t>
      </w:r>
      <w:r w:rsidRPr="003C7C01">
        <w:rPr>
          <w:rStyle w:val="FootnoteReference"/>
        </w:rPr>
        <w:footnoteReference w:id="12"/>
      </w:r>
      <w:r w:rsidRPr="003C7C01">
        <w:t xml:space="preserve">  Nevertheless, human rights and equality protections in NI have often </w:t>
      </w:r>
      <w:proofErr w:type="gramStart"/>
      <w:r w:rsidRPr="003C7C01">
        <w:t>lagged behind</w:t>
      </w:r>
      <w:proofErr w:type="gramEnd"/>
      <w:r w:rsidRPr="003C7C01">
        <w:t xml:space="preserve"> developments in other parts of the UK. For example, there is no consolidated, comprehensive equality law in NI, no specific protection against age discrimination in provision of facilities, goods and services in equality law, nor has gender pay gap reporting been implemented in NI.</w:t>
      </w:r>
      <w:r w:rsidRPr="003C7C01">
        <w:rPr>
          <w:rStyle w:val="FootnoteReference"/>
        </w:rPr>
        <w:footnoteReference w:id="13"/>
      </w:r>
      <w:r w:rsidRPr="003C7C01">
        <w:t xml:space="preserve">  Similarly</w:t>
      </w:r>
      <w:r w:rsidR="00C002ED">
        <w:t>,</w:t>
      </w:r>
      <w:r w:rsidRPr="003C7C01">
        <w:t xml:space="preserve"> developments recognising marriage equality and reproductive rights were implemented in NI a considerable time after comparable developments in Great Britain.</w:t>
      </w:r>
      <w:r w:rsidRPr="003C7C01">
        <w:rPr>
          <w:rStyle w:val="FootnoteReference"/>
        </w:rPr>
        <w:footnoteReference w:id="14"/>
      </w:r>
      <w:r w:rsidRPr="003C7C01">
        <w:t xml:space="preserve"> </w:t>
      </w:r>
    </w:p>
    <w:p w14:paraId="13FFF73A" w14:textId="77777777" w:rsidR="00421A75" w:rsidRPr="003C7C01" w:rsidRDefault="00421A75" w:rsidP="00421A75">
      <w:pPr>
        <w:pStyle w:val="ListParagraph"/>
        <w:ind w:left="1004"/>
      </w:pPr>
    </w:p>
    <w:p w14:paraId="5DBC308E" w14:textId="77777777" w:rsidR="00421A75" w:rsidRPr="003C7C01" w:rsidRDefault="00421A75" w:rsidP="00421A75">
      <w:pPr>
        <w:pStyle w:val="ListParagraph"/>
        <w:numPr>
          <w:ilvl w:val="1"/>
          <w:numId w:val="1"/>
        </w:numPr>
        <w:spacing w:after="0"/>
        <w:contextualSpacing w:val="0"/>
      </w:pPr>
      <w:r w:rsidRPr="003C7C01">
        <w:t xml:space="preserve">The recitals to the Windsor Framework note that EU law “provided a supporting framework for the provisions on Rights, Safeguards and Equality of Opportunity in the 1998 Agreement”.  As noted by the Court of Appeal in NI, </w:t>
      </w:r>
    </w:p>
    <w:p w14:paraId="179F922D" w14:textId="77777777" w:rsidR="00421A75" w:rsidRPr="003C7C01" w:rsidRDefault="00421A75" w:rsidP="004A45AB">
      <w:pPr>
        <w:pStyle w:val="Quote"/>
        <w:ind w:left="1440"/>
        <w:jc w:val="left"/>
      </w:pPr>
      <w:r w:rsidRPr="003C7C01">
        <w:t>Article 2(1) is plainly an extremely important provision within the Ireland/Northern Ireland Protocol [Windsor Framework], coming immediately after article 1 which sets out the objectives of the protocol, including that the arrangements set out in the protocol are “necessary… to protect the 1998 Agreement in all its dimensions”.</w:t>
      </w:r>
      <w:r w:rsidRPr="003C7C01">
        <w:rPr>
          <w:rStyle w:val="FootnoteReference"/>
        </w:rPr>
        <w:footnoteReference w:id="15"/>
      </w:r>
    </w:p>
    <w:p w14:paraId="5FB792FA" w14:textId="77777777" w:rsidR="00421A75" w:rsidRPr="003C7C01" w:rsidRDefault="00421A75" w:rsidP="00421A75">
      <w:pPr>
        <w:pStyle w:val="ListParagraph"/>
        <w:ind w:left="1004"/>
      </w:pPr>
    </w:p>
    <w:p w14:paraId="208E575D" w14:textId="77777777" w:rsidR="00421A75" w:rsidRDefault="00421A75" w:rsidP="00421A75">
      <w:pPr>
        <w:pStyle w:val="ListParagraph"/>
        <w:numPr>
          <w:ilvl w:val="1"/>
          <w:numId w:val="1"/>
        </w:numPr>
        <w:spacing w:after="0"/>
        <w:contextualSpacing w:val="0"/>
      </w:pPr>
      <w:r w:rsidRPr="003C7C01">
        <w:t>Article 2 of the Windsor Framework provides a degree of protection in a jurisdiction where human rights and equality remain contested</w:t>
      </w:r>
      <w:r>
        <w:t xml:space="preserve">, </w:t>
      </w:r>
      <w:r w:rsidRPr="00B74C2F">
        <w:t>underpinning Belfast Good Friday Agreement commitments.</w:t>
      </w:r>
      <w:r w:rsidRPr="003C7C01">
        <w:t xml:space="preserve"> While important, that protection is limited by the range of relevant EU measures that bound the UK before Brexit.</w:t>
      </w:r>
    </w:p>
    <w:p w14:paraId="0FBA5CC3" w14:textId="77777777" w:rsidR="00421A75" w:rsidRDefault="00421A75" w:rsidP="00421A75">
      <w:pPr>
        <w:pStyle w:val="ListParagraph"/>
      </w:pPr>
    </w:p>
    <w:p w14:paraId="7B854D5F" w14:textId="77777777" w:rsidR="00421A75" w:rsidRDefault="00421A75" w:rsidP="00421A75">
      <w:pPr>
        <w:spacing w:after="160" w:line="259" w:lineRule="auto"/>
        <w:rPr>
          <w:b/>
          <w:sz w:val="40"/>
          <w:szCs w:val="40"/>
        </w:rPr>
      </w:pPr>
      <w:r>
        <w:br w:type="page"/>
      </w:r>
    </w:p>
    <w:p w14:paraId="43E65226" w14:textId="54BCB48C" w:rsidR="007A6778" w:rsidRDefault="004A45AB" w:rsidP="007A6778">
      <w:pPr>
        <w:pStyle w:val="Heading1"/>
        <w:keepNext w:val="0"/>
        <w:keepLines w:val="0"/>
        <w:numPr>
          <w:ilvl w:val="0"/>
          <w:numId w:val="7"/>
        </w:numPr>
        <w:spacing w:after="360"/>
      </w:pPr>
      <w:r>
        <w:t xml:space="preserve"> </w:t>
      </w:r>
      <w:bookmarkStart w:id="8" w:name="_Toc199342891"/>
      <w:r w:rsidR="00421A75">
        <w:t xml:space="preserve">Implementation of Windsor Framework Article </w:t>
      </w:r>
      <w:bookmarkEnd w:id="8"/>
      <w:r w:rsidR="007A6778">
        <w:t>2</w:t>
      </w:r>
    </w:p>
    <w:p w14:paraId="59014D6F" w14:textId="06CB339C" w:rsidR="00421A75" w:rsidRPr="00B74C2F" w:rsidRDefault="004A45AB" w:rsidP="000C23AD">
      <w:pPr>
        <w:pStyle w:val="11NumPara"/>
        <w:numPr>
          <w:ilvl w:val="0"/>
          <w:numId w:val="0"/>
        </w:numPr>
        <w:ind w:left="793" w:hanging="680"/>
      </w:pPr>
      <w:r w:rsidRPr="00B74C2F">
        <w:t xml:space="preserve">4.1  </w:t>
      </w:r>
      <w:r w:rsidR="000C23AD" w:rsidRPr="00B74C2F">
        <w:t xml:space="preserve">   </w:t>
      </w:r>
      <w:r w:rsidR="00421A75" w:rsidRPr="00B74C2F">
        <w:t xml:space="preserve">While entirely outside the democratic consent mechanism and Schedule 6A of the Northern Ireland Act 1998, the effective implementation of Windsor Framework Article 2 is an important part of protecting the human rights and equality commitments in the Belfast (Good Friday) Agreement. The Commissions are therefore not making recommendations to the Independent Review in relation to its implementation but draw the following to the attention </w:t>
      </w:r>
      <w:r w:rsidR="000C0C3B" w:rsidRPr="00B74C2F">
        <w:t xml:space="preserve">of </w:t>
      </w:r>
      <w:r w:rsidR="00421A75" w:rsidRPr="00B74C2F">
        <w:t xml:space="preserve">the Review as part of the wider context in which the review is being conducted. </w:t>
      </w:r>
    </w:p>
    <w:p w14:paraId="22047F95" w14:textId="77777777" w:rsidR="00421A75" w:rsidRPr="00B74C2F" w:rsidRDefault="00421A75" w:rsidP="00C002ED">
      <w:pPr>
        <w:pStyle w:val="ListParagraph"/>
        <w:spacing w:after="0"/>
        <w:ind w:left="793" w:right="113" w:hanging="680"/>
      </w:pPr>
    </w:p>
    <w:p w14:paraId="219F2BF5" w14:textId="0396B248" w:rsidR="00421A75" w:rsidRPr="00B74C2F" w:rsidRDefault="00421A75" w:rsidP="000C23AD">
      <w:pPr>
        <w:pStyle w:val="11NumPara"/>
        <w:numPr>
          <w:ilvl w:val="1"/>
          <w:numId w:val="10"/>
        </w:numPr>
        <w:ind w:left="793" w:hanging="680"/>
      </w:pPr>
      <w:r w:rsidRPr="00B74C2F">
        <w:t xml:space="preserve">The Commissions consider that clear and visible leadership and commitment at </w:t>
      </w:r>
      <w:r w:rsidR="007A6778" w:rsidRPr="00B74C2F">
        <w:t>th</w:t>
      </w:r>
      <w:r w:rsidRPr="00B74C2F">
        <w:t>e highest level by government is required to ensure effective implementation of</w:t>
      </w:r>
      <w:r w:rsidR="000C0C3B" w:rsidRPr="00B74C2F">
        <w:t>,</w:t>
      </w:r>
      <w:r w:rsidRPr="00B74C2F">
        <w:t xml:space="preserve"> and compliance with</w:t>
      </w:r>
      <w:r w:rsidR="000C0C3B" w:rsidRPr="00B74C2F">
        <w:t>,</w:t>
      </w:r>
      <w:r w:rsidRPr="00B74C2F">
        <w:t xml:space="preserve"> WF Article 2. This includes as regards the UKG, Whitehall Departments, the NI Executive and NI Departments.</w:t>
      </w:r>
    </w:p>
    <w:p w14:paraId="72660BA6" w14:textId="77777777" w:rsidR="00421A75" w:rsidRPr="00B74C2F" w:rsidRDefault="00421A75" w:rsidP="000C23AD">
      <w:pPr>
        <w:pStyle w:val="11NumPara"/>
        <w:numPr>
          <w:ilvl w:val="0"/>
          <w:numId w:val="0"/>
        </w:numPr>
        <w:ind w:left="793" w:hanging="680"/>
      </w:pPr>
      <w:r w:rsidRPr="00B74C2F">
        <w:t xml:space="preserve"> </w:t>
      </w:r>
    </w:p>
    <w:p w14:paraId="4FD9E19B" w14:textId="4C98CB32" w:rsidR="00421A75" w:rsidRPr="00B74C2F" w:rsidRDefault="007A6778" w:rsidP="000C23AD">
      <w:pPr>
        <w:pStyle w:val="11NumPara"/>
        <w:numPr>
          <w:ilvl w:val="1"/>
          <w:numId w:val="10"/>
        </w:numPr>
        <w:ind w:left="793" w:hanging="680"/>
      </w:pPr>
      <w:r w:rsidRPr="00B74C2F">
        <w:t xml:space="preserve"> </w:t>
      </w:r>
      <w:r w:rsidR="00421A75" w:rsidRPr="00B74C2F">
        <w:t xml:space="preserve">This leadership and commitment should be evidenced by tangible actions across government, including by ensuring effective guidance and training for relevant officials, embedding early consideration of Article 2 into processes, and being open and transparent in how Article 2 compliance considerations have been </w:t>
      </w:r>
      <w:proofErr w:type="gramStart"/>
      <w:r w:rsidR="00421A75" w:rsidRPr="00B74C2F">
        <w:t>taken into account</w:t>
      </w:r>
      <w:proofErr w:type="gramEnd"/>
      <w:r w:rsidR="00421A75" w:rsidRPr="00B74C2F">
        <w:t xml:space="preserve"> when developing legislation.</w:t>
      </w:r>
    </w:p>
    <w:p w14:paraId="74B0CC59" w14:textId="77777777" w:rsidR="00421A75" w:rsidRPr="00B74C2F" w:rsidRDefault="00421A75" w:rsidP="000C23AD">
      <w:pPr>
        <w:pStyle w:val="ListParagraph"/>
        <w:ind w:left="793" w:right="113" w:hanging="680"/>
      </w:pPr>
    </w:p>
    <w:p w14:paraId="24D57ABC" w14:textId="2C037C72" w:rsidR="00BC3BED" w:rsidRPr="00B74C2F" w:rsidRDefault="00421A75" w:rsidP="000C23AD">
      <w:pPr>
        <w:pStyle w:val="ListParagraph"/>
        <w:numPr>
          <w:ilvl w:val="1"/>
          <w:numId w:val="10"/>
        </w:numPr>
        <w:spacing w:after="0"/>
        <w:ind w:left="793" w:hanging="680"/>
        <w:rPr>
          <w:i/>
          <w:iCs/>
        </w:rPr>
      </w:pPr>
      <w:r w:rsidRPr="00B74C2F">
        <w:t>In general,</w:t>
      </w:r>
      <w:r w:rsidRPr="00B74C2F">
        <w:rPr>
          <w:b/>
        </w:rPr>
        <w:t xml:space="preserve"> </w:t>
      </w:r>
      <w:r w:rsidRPr="00B74C2F">
        <w:t xml:space="preserve">the Commissions are concerned there has been very limited or no detail, in Explanatory Memoranda / Human Rights Memoranda and other associated material provided by government on proposed legislation in terms of its consideration of Windsor Framework Article 2 compliance.  These materials are essential to parliamentary scrutiny of legislation. </w:t>
      </w:r>
    </w:p>
    <w:p w14:paraId="2CD24747" w14:textId="77777777" w:rsidR="00BC3BED" w:rsidRPr="00B74C2F" w:rsidRDefault="00BC3BED" w:rsidP="00BC3BED">
      <w:pPr>
        <w:pStyle w:val="ListParagraph"/>
        <w:rPr>
          <w:rFonts w:cs="Calibri"/>
        </w:rPr>
      </w:pPr>
    </w:p>
    <w:p w14:paraId="187AC1C7" w14:textId="049C4FCE" w:rsidR="00BC3BED" w:rsidRPr="00B74C2F" w:rsidRDefault="00421A75" w:rsidP="000C23AD">
      <w:pPr>
        <w:pStyle w:val="ListParagraph"/>
        <w:numPr>
          <w:ilvl w:val="1"/>
          <w:numId w:val="10"/>
        </w:numPr>
        <w:spacing w:after="0"/>
        <w:ind w:left="737" w:hanging="624"/>
        <w:contextualSpacing w:val="0"/>
        <w:rPr>
          <w:i/>
          <w:iCs/>
        </w:rPr>
      </w:pPr>
      <w:r w:rsidRPr="00B74C2F">
        <w:rPr>
          <w:rFonts w:cs="Calibri"/>
        </w:rPr>
        <w:t>To date, the Commissions have identified three EU Directives within the scope of the ‘dynamic alignment’ obligation, meaning that they must be transposed into NI law by the transposition deadlines.</w:t>
      </w:r>
      <w:r w:rsidRPr="00B74C2F">
        <w:rPr>
          <w:rStyle w:val="FootnoteReference"/>
          <w:rFonts w:cs="Calibri"/>
        </w:rPr>
        <w:footnoteReference w:id="16"/>
      </w:r>
      <w:r w:rsidRPr="00B74C2F">
        <w:rPr>
          <w:rFonts w:cs="Calibri"/>
        </w:rPr>
        <w:t xml:space="preserve"> </w:t>
      </w:r>
      <w:r w:rsidR="00EF45A0" w:rsidRPr="00B74C2F">
        <w:rPr>
          <w:rFonts w:cs="Calibri"/>
        </w:rPr>
        <w:t xml:space="preserve"> </w:t>
      </w:r>
      <w:r w:rsidR="00FE670B" w:rsidRPr="00B74C2F">
        <w:rPr>
          <w:rFonts w:cs="Calibri"/>
        </w:rPr>
        <w:t>The Commissions’ views</w:t>
      </w:r>
      <w:r w:rsidR="000C0C3B" w:rsidRPr="00B74C2F">
        <w:rPr>
          <w:rFonts w:cs="Calibri"/>
        </w:rPr>
        <w:t xml:space="preserve"> on the relevance of the EU Pay Transparency Directive</w:t>
      </w:r>
      <w:r w:rsidR="00FE670B" w:rsidRPr="00B74C2F">
        <w:rPr>
          <w:rFonts w:cs="Calibri"/>
        </w:rPr>
        <w:t xml:space="preserve"> are set out in a joint briefing paper published in March 2024.</w:t>
      </w:r>
      <w:r w:rsidR="00FE670B" w:rsidRPr="00B74C2F">
        <w:rPr>
          <w:rStyle w:val="FootnoteReference"/>
          <w:rFonts w:cs="Calibri"/>
        </w:rPr>
        <w:footnoteReference w:id="17"/>
      </w:r>
      <w:r w:rsidR="00FE670B" w:rsidRPr="00B74C2F">
        <w:rPr>
          <w:rFonts w:cs="Calibri"/>
        </w:rPr>
        <w:t xml:space="preserve"> While it is understood active consideration is being given to transposition of the Directives on</w:t>
      </w:r>
      <w:r w:rsidR="006A3D34" w:rsidRPr="00B74C2F">
        <w:rPr>
          <w:rFonts w:cs="Calibri"/>
        </w:rPr>
        <w:t xml:space="preserve"> Standards for Equality Bodies, there has not been confirmation that the minimum requirements of the EU Pay Transparency Directive will be implemented in NI law.</w:t>
      </w:r>
    </w:p>
    <w:p w14:paraId="213C111C" w14:textId="77777777" w:rsidR="00BC3BED" w:rsidRPr="00B74C2F" w:rsidRDefault="00BC3BED" w:rsidP="00BC3BED">
      <w:pPr>
        <w:pStyle w:val="ListParagraph"/>
        <w:spacing w:after="0"/>
        <w:contextualSpacing w:val="0"/>
        <w:rPr>
          <w:rFonts w:cs="Calibri"/>
        </w:rPr>
      </w:pPr>
    </w:p>
    <w:p w14:paraId="483870A3" w14:textId="77777777" w:rsidR="000C23AD" w:rsidRPr="00B74C2F" w:rsidRDefault="00BC3BED" w:rsidP="000C23AD">
      <w:pPr>
        <w:pStyle w:val="ListParagraph"/>
        <w:numPr>
          <w:ilvl w:val="1"/>
          <w:numId w:val="10"/>
        </w:numPr>
        <w:spacing w:after="0"/>
        <w:ind w:left="793" w:hanging="680"/>
        <w:contextualSpacing w:val="0"/>
        <w:rPr>
          <w:rFonts w:cs="Calibri"/>
        </w:rPr>
      </w:pPr>
      <w:r w:rsidRPr="00B74C2F">
        <w:t>To date, the decisions of the Northern Ireland High Court and Court of Appeal have aligned with the Commissions’ analysis set out in our working paper on Article 2</w:t>
      </w:r>
      <w:r w:rsidRPr="00B74C2F">
        <w:rPr>
          <w:rStyle w:val="FootnoteReference"/>
          <w:rFonts w:cs="Calibri"/>
        </w:rPr>
        <w:footnoteReference w:id="18"/>
      </w:r>
      <w:r w:rsidRPr="00B74C2F">
        <w:t xml:space="preserve"> and we welcome the recognition by the courts of the value of our submissions.</w:t>
      </w:r>
      <w:r w:rsidRPr="00B74C2F">
        <w:rPr>
          <w:rStyle w:val="FootnoteReference"/>
          <w:rFonts w:cs="Calibri"/>
        </w:rPr>
        <w:footnoteReference w:id="19"/>
      </w:r>
      <w:r w:rsidRPr="00B74C2F">
        <w:rPr>
          <w:b/>
          <w:bCs/>
        </w:rPr>
        <w:t xml:space="preserve"> </w:t>
      </w:r>
      <w:r w:rsidRPr="00B74C2F">
        <w:t>We consider it important that these judgments are reflected in the development and scrutiny of government policy and legislation, unless or until there is a contrary ruling.</w:t>
      </w:r>
    </w:p>
    <w:p w14:paraId="3845EEBD" w14:textId="77777777" w:rsidR="000C23AD" w:rsidRPr="00B74C2F" w:rsidRDefault="000C23AD" w:rsidP="000C23AD">
      <w:pPr>
        <w:pStyle w:val="ListParagraph"/>
      </w:pPr>
    </w:p>
    <w:p w14:paraId="79816393" w14:textId="42DD8B5E" w:rsidR="00421A75" w:rsidRPr="00B74C2F" w:rsidRDefault="00421A75" w:rsidP="000C23AD">
      <w:pPr>
        <w:pStyle w:val="ListParagraph"/>
        <w:numPr>
          <w:ilvl w:val="1"/>
          <w:numId w:val="10"/>
        </w:numPr>
        <w:spacing w:after="0"/>
        <w:ind w:left="793" w:hanging="680"/>
        <w:contextualSpacing w:val="0"/>
        <w:rPr>
          <w:rFonts w:cs="Calibri"/>
        </w:rPr>
      </w:pPr>
      <w:r w:rsidRPr="00B74C2F">
        <w:t xml:space="preserve">The Commissions recognise that long term North-South equivalence of protection for equality and human rights is important. For example, it can help facilitate the enjoyment of certain rights on a cross-border basis, in keeping with the North-South rights dimension of the Belfast (Good Friday) </w:t>
      </w:r>
      <w:r w:rsidRPr="00B74C2F">
        <w:rPr>
          <w:color w:val="000000"/>
        </w:rPr>
        <w:t>Agreement. It would assist, for example, in the smooth functioning of North-South co-operation across a range of policy areas from all-island healthcare to North-South justice co-operation, many of which have a strong equality and rights dimension.</w:t>
      </w:r>
      <w:r w:rsidRPr="00B74C2F">
        <w:rPr>
          <w:rStyle w:val="FootnoteReference"/>
          <w:color w:val="000000"/>
        </w:rPr>
        <w:footnoteReference w:id="20"/>
      </w:r>
      <w:r w:rsidRPr="00B74C2F">
        <w:rPr>
          <w:color w:val="000000"/>
        </w:rPr>
        <w:t xml:space="preserve"> </w:t>
      </w:r>
    </w:p>
    <w:p w14:paraId="73D5F9CE" w14:textId="77777777" w:rsidR="00421A75" w:rsidRPr="00B74C2F" w:rsidRDefault="00421A75" w:rsidP="00421A75">
      <w:pPr>
        <w:pStyle w:val="ListParagraph"/>
        <w:ind w:left="1004"/>
      </w:pPr>
    </w:p>
    <w:p w14:paraId="72DD5A54" w14:textId="5494616C" w:rsidR="00421A75" w:rsidRPr="000C23AD" w:rsidRDefault="004A45AB" w:rsidP="000C23AD">
      <w:pPr>
        <w:pStyle w:val="ListParagraph"/>
        <w:numPr>
          <w:ilvl w:val="1"/>
          <w:numId w:val="0"/>
        </w:numPr>
        <w:spacing w:after="0"/>
        <w:ind w:left="709" w:hanging="720"/>
        <w:contextualSpacing w:val="0"/>
        <w:rPr>
          <w:b/>
        </w:rPr>
      </w:pPr>
      <w:r w:rsidRPr="00B74C2F">
        <w:t>4.</w:t>
      </w:r>
      <w:r w:rsidR="000C23AD" w:rsidRPr="00B74C2F">
        <w:t xml:space="preserve">8. </w:t>
      </w:r>
      <w:r w:rsidR="000C23AD" w:rsidRPr="00B74C2F">
        <w:tab/>
      </w:r>
      <w:r w:rsidR="00421A75" w:rsidRPr="00B74C2F">
        <w:t>The Review is invited to note the importance of implementing Article 2 in protecting the equality and human rights commitments in the Belfast (Good Friday) Agreement and to distinguish Article 2 from wider recommendations relating to Articles 5 to 10.</w:t>
      </w:r>
    </w:p>
    <w:p w14:paraId="086F55F5" w14:textId="77777777" w:rsidR="00421A75" w:rsidRPr="00F76E5A" w:rsidRDefault="00421A75" w:rsidP="00421A75">
      <w:pPr>
        <w:pStyle w:val="ListParagraph"/>
        <w:ind w:left="1004"/>
        <w:rPr>
          <w:rFonts w:ascii="Calibri" w:hAnsi="Calibri"/>
        </w:rPr>
      </w:pPr>
    </w:p>
    <w:p w14:paraId="32414171" w14:textId="15C76752" w:rsidR="00421A75" w:rsidRPr="00F76E5A" w:rsidRDefault="004A45AB" w:rsidP="00F76E5A">
      <w:pPr>
        <w:pStyle w:val="ListParagraph"/>
        <w:numPr>
          <w:ilvl w:val="1"/>
          <w:numId w:val="0"/>
        </w:numPr>
        <w:spacing w:after="0"/>
        <w:ind w:left="709" w:hanging="720"/>
        <w:contextualSpacing w:val="0"/>
        <w:rPr>
          <w:i/>
        </w:rPr>
      </w:pPr>
      <w:r>
        <w:t>4.</w:t>
      </w:r>
      <w:r w:rsidR="000C23AD">
        <w:t>9</w:t>
      </w:r>
      <w:r>
        <w:tab/>
      </w:r>
      <w:r w:rsidR="00421A75" w:rsidRPr="00CA71DB">
        <w:t>In light of this, and in so far as the Review may wish to consider its work in the context of the broader functioning of the WF, including its protection of rights and equalities, we highlight the following resources:</w:t>
      </w:r>
      <w:r w:rsidR="00421A75">
        <w:br/>
      </w:r>
    </w:p>
    <w:p w14:paraId="0C7850B0" w14:textId="77777777" w:rsidR="00421A75" w:rsidRPr="00CA71DB" w:rsidRDefault="00421A75" w:rsidP="00421A75">
      <w:pPr>
        <w:pStyle w:val="ListParagraph"/>
        <w:numPr>
          <w:ilvl w:val="1"/>
          <w:numId w:val="3"/>
        </w:numPr>
        <w:spacing w:after="0"/>
        <w:contextualSpacing w:val="0"/>
        <w:rPr>
          <w:rStyle w:val="Hyperlink"/>
        </w:rPr>
      </w:pPr>
      <w:r>
        <w:fldChar w:fldCharType="begin"/>
      </w:r>
      <w:r>
        <w:instrText>HYPERLINK "https://www.equalityni.org/ECNI/media/ECNI/Publications/Delivering%20Equality/DMU/NIHRC-ECNI-Scope-of-Protocol-Working-Paper-December-2022.pdf"</w:instrText>
      </w:r>
      <w:r>
        <w:fldChar w:fldCharType="separate"/>
      </w:r>
      <w:r w:rsidRPr="00CA71DB">
        <w:rPr>
          <w:rStyle w:val="Hyperlink"/>
        </w:rPr>
        <w:t>Working Paper: The Scope of Article 2(1) of the Ireland/Northern Ireland Protocol – (ECNI and NIHRC, 2022</w:t>
      </w:r>
      <w:r w:rsidRPr="0020195E">
        <w:rPr>
          <w:rStyle w:val="Hyperlink"/>
        </w:rPr>
        <w:t>)</w:t>
      </w:r>
    </w:p>
    <w:p w14:paraId="7EBC3218" w14:textId="77777777" w:rsidR="00421A75" w:rsidRPr="00CA71DB" w:rsidRDefault="00421A75" w:rsidP="00421A75">
      <w:pPr>
        <w:pStyle w:val="ListParagraph"/>
      </w:pPr>
      <w:r>
        <w:fldChar w:fldCharType="end"/>
      </w:r>
    </w:p>
    <w:p w14:paraId="14DAD1D6" w14:textId="77777777" w:rsidR="00421A75" w:rsidRPr="00CA71DB" w:rsidRDefault="00421A75" w:rsidP="00421A75">
      <w:pPr>
        <w:pStyle w:val="ListParagraph"/>
        <w:numPr>
          <w:ilvl w:val="1"/>
          <w:numId w:val="3"/>
        </w:numPr>
        <w:spacing w:after="0"/>
        <w:contextualSpacing w:val="0"/>
      </w:pPr>
      <w:hyperlink r:id="rId15" w:history="1">
        <w:r w:rsidRPr="00CA71DB">
          <w:rPr>
            <w:rStyle w:val="Hyperlink"/>
          </w:rPr>
          <w:t>Annual Report on the Implementation of Article 2 of the Windsor Framework (NIHRC and ECNI, June 2024)</w:t>
        </w:r>
      </w:hyperlink>
      <w:r w:rsidRPr="00CA71DB">
        <w:br/>
      </w:r>
    </w:p>
    <w:p w14:paraId="29B0AFD2" w14:textId="77777777" w:rsidR="00421A75" w:rsidRDefault="00421A75" w:rsidP="00421A75">
      <w:pPr>
        <w:pStyle w:val="ListParagraph"/>
        <w:numPr>
          <w:ilvl w:val="1"/>
          <w:numId w:val="3"/>
        </w:numPr>
        <w:spacing w:after="0"/>
        <w:contextualSpacing w:val="0"/>
      </w:pPr>
      <w:hyperlink r:id="rId16" w:history="1">
        <w:r w:rsidRPr="00CA71DB">
          <w:rPr>
            <w:rStyle w:val="Hyperlink"/>
          </w:rPr>
          <w:t>Submission of the ECNI and NIHRC to the NI Affairs Committee inquiry on the operation of the Windsor Framework (January 2025)</w:t>
        </w:r>
      </w:hyperlink>
    </w:p>
    <w:p w14:paraId="7A55E427" w14:textId="77777777" w:rsidR="00421A75" w:rsidRDefault="00421A75" w:rsidP="00421A75">
      <w:pPr>
        <w:pStyle w:val="ListParagraph"/>
      </w:pPr>
    </w:p>
    <w:p w14:paraId="4C1E9657" w14:textId="24894125" w:rsidR="00421A75" w:rsidRPr="00F76E5A" w:rsidRDefault="004A45AB" w:rsidP="00F76E5A">
      <w:pPr>
        <w:pStyle w:val="ListParagraph"/>
        <w:numPr>
          <w:ilvl w:val="1"/>
          <w:numId w:val="0"/>
        </w:numPr>
        <w:spacing w:after="0"/>
        <w:ind w:left="709" w:hanging="720"/>
        <w:contextualSpacing w:val="0"/>
        <w:rPr>
          <w:i/>
        </w:rPr>
      </w:pPr>
      <w:r>
        <w:rPr>
          <w:rFonts w:ascii="Calibri" w:hAnsi="Calibri" w:cs="Calibri"/>
        </w:rPr>
        <w:t>4.</w:t>
      </w:r>
      <w:r w:rsidR="000C23AD">
        <w:rPr>
          <w:rFonts w:ascii="Calibri" w:hAnsi="Calibri" w:cs="Calibri"/>
        </w:rPr>
        <w:t>10</w:t>
      </w:r>
      <w:r>
        <w:rPr>
          <w:rFonts w:ascii="Calibri" w:hAnsi="Calibri" w:cs="Calibri"/>
        </w:rPr>
        <w:tab/>
      </w:r>
      <w:r w:rsidR="00421A75" w:rsidRPr="00BC32E3">
        <w:rPr>
          <w:rFonts w:ascii="Calibri" w:hAnsi="Calibri" w:cs="Calibri"/>
        </w:rPr>
        <w:t xml:space="preserve">If it would be of assistance, the Commissions are available to engage with the Review on any of the recommendations raised in these resources. </w:t>
      </w:r>
    </w:p>
    <w:p w14:paraId="4C7A7048" w14:textId="77777777" w:rsidR="00421A75" w:rsidRPr="00F76E5A" w:rsidRDefault="00421A75" w:rsidP="00F76E5A">
      <w:pPr>
        <w:pStyle w:val="ListParagraph"/>
        <w:ind w:left="709"/>
        <w:rPr>
          <w:i/>
        </w:rPr>
      </w:pPr>
    </w:p>
    <w:p w14:paraId="10324A7C" w14:textId="77777777" w:rsidR="00421A75" w:rsidRDefault="00421A75" w:rsidP="00F76E5A">
      <w:pPr>
        <w:pStyle w:val="ListParagraph"/>
        <w:ind w:left="1004"/>
      </w:pPr>
    </w:p>
    <w:p w14:paraId="74601FBB" w14:textId="77777777" w:rsidR="00421A75" w:rsidRPr="00F76E5A" w:rsidRDefault="00421A75" w:rsidP="00F76E5A">
      <w:pPr>
        <w:pStyle w:val="ListParagraph"/>
      </w:pPr>
    </w:p>
    <w:p w14:paraId="26AE3AFA" w14:textId="77777777" w:rsidR="00421A75" w:rsidRPr="00F76E5A" w:rsidRDefault="00421A75" w:rsidP="00F76E5A">
      <w:pPr>
        <w:pStyle w:val="ListParagraph"/>
      </w:pPr>
    </w:p>
    <w:p w14:paraId="05194DFC" w14:textId="3FC5A2AA" w:rsidR="000C0C3B" w:rsidRDefault="000C0C3B">
      <w:pPr>
        <w:spacing w:after="160" w:line="278" w:lineRule="auto"/>
        <w:rPr>
          <w:b/>
          <w:bCs/>
        </w:rPr>
      </w:pPr>
      <w:r>
        <w:rPr>
          <w:b/>
          <w:bCs/>
        </w:rPr>
        <w:br w:type="page"/>
      </w:r>
    </w:p>
    <w:p w14:paraId="73C4B8EF" w14:textId="77777777" w:rsidR="00421A75" w:rsidRDefault="00421A75" w:rsidP="00421A75">
      <w:pPr>
        <w:pStyle w:val="ListParagraph"/>
        <w:jc w:val="center"/>
        <w:rPr>
          <w:b/>
          <w:bCs/>
        </w:rPr>
      </w:pPr>
    </w:p>
    <w:p w14:paraId="5CF7A7D4" w14:textId="77777777" w:rsidR="00421A75" w:rsidRDefault="00421A75" w:rsidP="00421A75">
      <w:pPr>
        <w:pStyle w:val="ListParagraph"/>
        <w:jc w:val="center"/>
        <w:rPr>
          <w:b/>
          <w:bCs/>
        </w:rPr>
      </w:pPr>
    </w:p>
    <w:p w14:paraId="23EE455C" w14:textId="77777777" w:rsidR="00421A75" w:rsidRDefault="00421A75" w:rsidP="00421A75">
      <w:pPr>
        <w:pStyle w:val="ListParagraph"/>
        <w:jc w:val="center"/>
        <w:rPr>
          <w:b/>
          <w:bCs/>
        </w:rPr>
      </w:pPr>
    </w:p>
    <w:p w14:paraId="06E7AFFE" w14:textId="77777777" w:rsidR="00421A75" w:rsidRDefault="00421A75" w:rsidP="00421A75">
      <w:pPr>
        <w:pStyle w:val="ListParagraph"/>
        <w:jc w:val="center"/>
        <w:rPr>
          <w:b/>
          <w:bCs/>
        </w:rPr>
      </w:pPr>
    </w:p>
    <w:p w14:paraId="01576763" w14:textId="77777777" w:rsidR="00421A75" w:rsidRDefault="00421A75" w:rsidP="00421A75">
      <w:pPr>
        <w:pStyle w:val="ListParagraph"/>
        <w:jc w:val="center"/>
        <w:rPr>
          <w:b/>
          <w:bCs/>
        </w:rPr>
      </w:pPr>
    </w:p>
    <w:p w14:paraId="1125F8B7" w14:textId="77777777" w:rsidR="00421A75" w:rsidRDefault="00421A75" w:rsidP="00421A75">
      <w:pPr>
        <w:pStyle w:val="ListParagraph"/>
        <w:jc w:val="center"/>
        <w:rPr>
          <w:b/>
          <w:bCs/>
        </w:rPr>
      </w:pPr>
    </w:p>
    <w:p w14:paraId="78C33D59" w14:textId="77777777" w:rsidR="00421A75" w:rsidRDefault="00421A75" w:rsidP="00421A75">
      <w:pPr>
        <w:pStyle w:val="ListParagraph"/>
        <w:jc w:val="center"/>
        <w:rPr>
          <w:b/>
          <w:bCs/>
        </w:rPr>
      </w:pPr>
    </w:p>
    <w:p w14:paraId="751585DD" w14:textId="77777777" w:rsidR="00421A75" w:rsidRDefault="00421A75" w:rsidP="00421A75">
      <w:pPr>
        <w:pStyle w:val="ListParagraph"/>
        <w:jc w:val="center"/>
        <w:rPr>
          <w:b/>
          <w:bCs/>
        </w:rPr>
      </w:pPr>
    </w:p>
    <w:p w14:paraId="55BD618D" w14:textId="77777777" w:rsidR="00421A75" w:rsidRDefault="00421A75" w:rsidP="00421A75">
      <w:pPr>
        <w:pStyle w:val="ListParagraph"/>
        <w:jc w:val="center"/>
        <w:rPr>
          <w:b/>
          <w:bCs/>
        </w:rPr>
      </w:pPr>
    </w:p>
    <w:p w14:paraId="21C93ED1" w14:textId="498557A0" w:rsidR="00421A75" w:rsidRPr="004A45AB" w:rsidRDefault="00421A75" w:rsidP="004A45AB">
      <w:pPr>
        <w:spacing w:after="160" w:line="259" w:lineRule="auto"/>
        <w:rPr>
          <w:b/>
          <w:bCs/>
        </w:rPr>
      </w:pPr>
    </w:p>
    <w:p w14:paraId="407B985D" w14:textId="77777777" w:rsidR="00421A75" w:rsidRDefault="00421A75" w:rsidP="00421A75">
      <w:pPr>
        <w:pStyle w:val="ListParagraph"/>
        <w:jc w:val="center"/>
        <w:rPr>
          <w:b/>
          <w:bCs/>
        </w:rPr>
      </w:pPr>
    </w:p>
    <w:p w14:paraId="609109B7" w14:textId="77777777" w:rsidR="00421A75" w:rsidRDefault="00421A75" w:rsidP="00421A75">
      <w:pPr>
        <w:pStyle w:val="ListParagraph"/>
        <w:jc w:val="center"/>
        <w:rPr>
          <w:b/>
          <w:bCs/>
        </w:rPr>
      </w:pPr>
    </w:p>
    <w:p w14:paraId="372E9AD5" w14:textId="77777777" w:rsidR="00421A75" w:rsidRDefault="00421A75" w:rsidP="00421A75">
      <w:pPr>
        <w:pStyle w:val="ListParagraph"/>
        <w:jc w:val="center"/>
        <w:rPr>
          <w:b/>
          <w:bCs/>
        </w:rPr>
      </w:pPr>
    </w:p>
    <w:p w14:paraId="11F69FB2" w14:textId="77777777" w:rsidR="00421A75" w:rsidRPr="00497B69" w:rsidRDefault="00421A75" w:rsidP="00421A75">
      <w:pPr>
        <w:ind w:left="720" w:hanging="720"/>
        <w:jc w:val="center"/>
        <w:rPr>
          <w:b/>
          <w:bCs/>
        </w:rPr>
      </w:pPr>
      <w:r w:rsidRPr="00497B69">
        <w:rPr>
          <w:b/>
          <w:bCs/>
        </w:rPr>
        <w:t>Contact Us</w:t>
      </w:r>
    </w:p>
    <w:p w14:paraId="3D5919A0" w14:textId="77777777" w:rsidR="00421A75" w:rsidRPr="00944B2E" w:rsidRDefault="00421A75" w:rsidP="00421A75">
      <w:pPr>
        <w:pStyle w:val="BasicParagraph"/>
        <w:jc w:val="center"/>
        <w:rPr>
          <w:b/>
          <w:bCs/>
        </w:rPr>
      </w:pPr>
    </w:p>
    <w:p w14:paraId="1E38DE2D" w14:textId="77777777" w:rsidR="00421A75" w:rsidRPr="00944B2E" w:rsidRDefault="00421A75" w:rsidP="00421A75">
      <w:pPr>
        <w:pStyle w:val="BasicParagraph"/>
        <w:jc w:val="center"/>
        <w:rPr>
          <w:b/>
          <w:bCs/>
        </w:rPr>
      </w:pPr>
      <w:r w:rsidRPr="00944B2E">
        <w:rPr>
          <w:b/>
          <w:bCs/>
        </w:rPr>
        <w:t>For queries, please contact:</w:t>
      </w:r>
    </w:p>
    <w:p w14:paraId="06B03007" w14:textId="77777777" w:rsidR="00421A75" w:rsidRPr="00422A86" w:rsidRDefault="00421A75" w:rsidP="00421A75">
      <w:pPr>
        <w:pStyle w:val="BasicParagraph"/>
        <w:jc w:val="center"/>
        <w:rPr>
          <w:rStyle w:val="Hyperlink"/>
          <w:rFonts w:asciiTheme="minorHAnsi" w:hAnsiTheme="minorHAnsi" w:cstheme="minorHAnsi"/>
          <w:bCs/>
          <w:sz w:val="32"/>
          <w:szCs w:val="32"/>
        </w:rPr>
      </w:pPr>
      <w:r>
        <w:rPr>
          <w:rStyle w:val="Hyperlink"/>
          <w:rFonts w:asciiTheme="minorHAnsi" w:hAnsiTheme="minorHAnsi" w:cstheme="minorHAnsi"/>
          <w:bCs/>
          <w:sz w:val="32"/>
          <w:szCs w:val="32"/>
        </w:rPr>
        <w:t>equinn@</w:t>
      </w:r>
      <w:r w:rsidRPr="005A1178">
        <w:rPr>
          <w:rStyle w:val="Hyperlink"/>
          <w:rFonts w:asciiTheme="minorHAnsi" w:hAnsiTheme="minorHAnsi" w:cstheme="minorHAnsi"/>
          <w:bCs/>
          <w:sz w:val="32"/>
          <w:szCs w:val="32"/>
        </w:rPr>
        <w:t>equalityni.org</w:t>
      </w:r>
    </w:p>
    <w:p w14:paraId="302F418E" w14:textId="77777777" w:rsidR="00421A75" w:rsidRPr="00422A86" w:rsidRDefault="00421A75" w:rsidP="00421A75">
      <w:pPr>
        <w:pStyle w:val="BasicParagraph"/>
        <w:jc w:val="center"/>
        <w:rPr>
          <w:rStyle w:val="Hyperlink"/>
          <w:rFonts w:asciiTheme="minorHAnsi" w:hAnsiTheme="minorHAnsi" w:cstheme="minorHAnsi"/>
          <w:bCs/>
          <w:sz w:val="32"/>
          <w:szCs w:val="32"/>
        </w:rPr>
      </w:pPr>
      <w:hyperlink r:id="rId17" w:history="1">
        <w:r>
          <w:rPr>
            <w:rStyle w:val="Hyperlink"/>
            <w:rFonts w:asciiTheme="minorHAnsi" w:hAnsiTheme="minorHAnsi" w:cstheme="minorHAnsi"/>
            <w:bCs/>
            <w:sz w:val="32"/>
            <w:szCs w:val="32"/>
          </w:rPr>
          <w:t>E</w:t>
        </w:r>
        <w:r w:rsidRPr="00422A86">
          <w:rPr>
            <w:rStyle w:val="Hyperlink"/>
            <w:rFonts w:asciiTheme="minorHAnsi" w:hAnsiTheme="minorHAnsi" w:cstheme="minorHAnsi"/>
            <w:bCs/>
            <w:sz w:val="32"/>
            <w:szCs w:val="32"/>
          </w:rPr>
          <w:t>ilis.Haughey@nihrc.org</w:t>
        </w:r>
      </w:hyperlink>
    </w:p>
    <w:p w14:paraId="1FF2A33A" w14:textId="77777777" w:rsidR="00421A75" w:rsidRDefault="00421A75" w:rsidP="00421A75"/>
    <w:p w14:paraId="23FE527C" w14:textId="77777777" w:rsidR="00D91935" w:rsidRDefault="00D91935"/>
    <w:sectPr w:rsidR="00D91935" w:rsidSect="00421A75">
      <w:footerReference w:type="default" r:id="rId18"/>
      <w:pgSz w:w="11906" w:h="16838"/>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BCD70" w14:textId="77777777" w:rsidR="00401D31" w:rsidRDefault="00401D31" w:rsidP="00421A75">
      <w:pPr>
        <w:spacing w:after="0"/>
      </w:pPr>
      <w:r>
        <w:separator/>
      </w:r>
    </w:p>
  </w:endnote>
  <w:endnote w:type="continuationSeparator" w:id="0">
    <w:p w14:paraId="6C819962" w14:textId="77777777" w:rsidR="00401D31" w:rsidRDefault="00401D31" w:rsidP="00421A75">
      <w:pPr>
        <w:spacing w:after="0"/>
      </w:pPr>
      <w:r>
        <w:continuationSeparator/>
      </w:r>
    </w:p>
  </w:endnote>
  <w:endnote w:type="continuationNotice" w:id="1">
    <w:p w14:paraId="173AE0F7" w14:textId="77777777" w:rsidR="00401D31" w:rsidRDefault="00401D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D97E4" w14:textId="77777777" w:rsidR="00421A75" w:rsidRDefault="00421A75" w:rsidP="0075312D">
    <w:pPr>
      <w:pStyle w:val="Footer"/>
    </w:pPr>
  </w:p>
  <w:p w14:paraId="4328EE5A" w14:textId="77777777" w:rsidR="00421A75" w:rsidRDefault="00421A75" w:rsidP="00753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4698709"/>
      <w:docPartObj>
        <w:docPartGallery w:val="Page Numbers (Bottom of Page)"/>
        <w:docPartUnique/>
      </w:docPartObj>
    </w:sdtPr>
    <w:sdtEndPr/>
    <w:sdtContent>
      <w:p w14:paraId="638E5B93" w14:textId="77777777" w:rsidR="00453E82" w:rsidRDefault="00401D31">
        <w:pPr>
          <w:pStyle w:val="Footer"/>
          <w:jc w:val="center"/>
        </w:pPr>
        <w:r>
          <w:fldChar w:fldCharType="begin"/>
        </w:r>
        <w:r>
          <w:instrText>PAGE   \* MERGEFORMAT</w:instrText>
        </w:r>
        <w:r>
          <w:fldChar w:fldCharType="separate"/>
        </w:r>
        <w:r>
          <w:t>2</w:t>
        </w:r>
        <w:r>
          <w:fldChar w:fldCharType="end"/>
        </w:r>
      </w:p>
    </w:sdtContent>
  </w:sdt>
  <w:p w14:paraId="675C0392" w14:textId="77777777" w:rsidR="00453E82" w:rsidRDefault="00453E82" w:rsidP="00753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75B36" w14:textId="77777777" w:rsidR="00401D31" w:rsidRDefault="00401D31" w:rsidP="00421A75">
      <w:pPr>
        <w:spacing w:after="0"/>
      </w:pPr>
      <w:r>
        <w:separator/>
      </w:r>
    </w:p>
  </w:footnote>
  <w:footnote w:type="continuationSeparator" w:id="0">
    <w:p w14:paraId="5116DFDE" w14:textId="77777777" w:rsidR="00401D31" w:rsidRDefault="00401D31" w:rsidP="00421A75">
      <w:pPr>
        <w:spacing w:after="0"/>
      </w:pPr>
      <w:r>
        <w:continuationSeparator/>
      </w:r>
    </w:p>
  </w:footnote>
  <w:footnote w:type="continuationNotice" w:id="1">
    <w:p w14:paraId="4048DCF7" w14:textId="77777777" w:rsidR="00401D31" w:rsidRDefault="00401D31">
      <w:pPr>
        <w:spacing w:after="0"/>
      </w:pPr>
    </w:p>
  </w:footnote>
  <w:footnote w:id="2">
    <w:p w14:paraId="362E3DD1" w14:textId="77777777" w:rsidR="00421A75" w:rsidRPr="00D81C0E" w:rsidRDefault="00421A75" w:rsidP="00421A75">
      <w:pPr>
        <w:pStyle w:val="FootnoteText"/>
        <w:rPr>
          <w:rFonts w:asciiTheme="minorHAnsi" w:hAnsiTheme="minorHAnsi" w:cstheme="minorHAnsi"/>
        </w:rPr>
      </w:pPr>
      <w:r w:rsidRPr="00D81C0E">
        <w:rPr>
          <w:rStyle w:val="FootnoteReference"/>
          <w:rFonts w:asciiTheme="minorHAnsi" w:hAnsiTheme="minorHAnsi" w:cstheme="minorHAnsi"/>
        </w:rPr>
        <w:footnoteRef/>
      </w:r>
      <w:r w:rsidRPr="00D81C0E">
        <w:rPr>
          <w:rFonts w:asciiTheme="minorHAnsi" w:hAnsiTheme="minorHAnsi" w:cstheme="minorHAnsi"/>
        </w:rPr>
        <w:t xml:space="preserve"> The Windsor Framework was formerly known as the Protocol on Ireland/Northern Ireland to the to the Agreement on the Withdrawal of the UK of Great Britain and NI from the EU and the EEAC, 24 January 2020 (UK-EU Withdrawal Agreement). All references to the Protocol in this document have been updated to reflect this change (see Decision No 1/2023 of the Joint Committee established by the Agreement on the Withdrawal of the United Kingdom of Great Britain and Northern Ireland from the European Union and the European Atomic Energy Community of 24 March 2023 laying down arrangements relating to the Windsor Framework).</w:t>
      </w:r>
    </w:p>
  </w:footnote>
  <w:footnote w:id="3">
    <w:p w14:paraId="27064CD3" w14:textId="77777777" w:rsidR="00421A75" w:rsidRPr="00D81C0E" w:rsidRDefault="00421A75" w:rsidP="00421A75">
      <w:pPr>
        <w:pStyle w:val="FootnoteText"/>
        <w:rPr>
          <w:rFonts w:asciiTheme="minorHAnsi" w:hAnsiTheme="minorHAnsi" w:cstheme="minorHAnsi"/>
        </w:rPr>
      </w:pPr>
      <w:r w:rsidRPr="00D81C0E">
        <w:rPr>
          <w:rStyle w:val="FootnoteReference"/>
          <w:rFonts w:asciiTheme="minorHAnsi" w:hAnsiTheme="minorHAnsi" w:cstheme="minorHAnsi"/>
        </w:rPr>
        <w:footnoteRef/>
      </w:r>
      <w:r w:rsidRPr="00D81C0E">
        <w:rPr>
          <w:rFonts w:asciiTheme="minorHAnsi" w:hAnsiTheme="minorHAnsi" w:cstheme="minorHAnsi"/>
        </w:rPr>
        <w:t xml:space="preserve"> Section 7A, EU (Withdrawal) Act 2018 gives effect to all the rights obligations and remedies arising under the UK-EU Withdrawal Agreement without the need for further enactment. </w:t>
      </w:r>
    </w:p>
  </w:footnote>
  <w:footnote w:id="4">
    <w:p w14:paraId="37BE0296" w14:textId="77777777" w:rsidR="00421A75" w:rsidRPr="00D81C0E" w:rsidRDefault="00421A75" w:rsidP="00421A75">
      <w:pPr>
        <w:pStyle w:val="NIHRCFootnotes"/>
        <w:spacing w:line="240" w:lineRule="auto"/>
        <w:rPr>
          <w:rFonts w:asciiTheme="minorHAnsi" w:hAnsiTheme="minorHAnsi" w:cstheme="minorHAnsi"/>
          <w:color w:val="auto"/>
          <w:sz w:val="20"/>
          <w:szCs w:val="20"/>
        </w:rPr>
      </w:pPr>
      <w:r w:rsidRPr="00D81C0E">
        <w:rPr>
          <w:rStyle w:val="FootnoteReference"/>
          <w:rFonts w:asciiTheme="minorHAnsi" w:hAnsiTheme="minorHAnsi" w:cstheme="minorHAnsi"/>
          <w:color w:val="auto"/>
          <w:sz w:val="20"/>
          <w:szCs w:val="20"/>
        </w:rPr>
        <w:footnoteRef/>
      </w:r>
      <w:r w:rsidRPr="00D81C0E">
        <w:rPr>
          <w:rFonts w:asciiTheme="minorHAnsi" w:hAnsiTheme="minorHAnsi" w:cstheme="minorHAnsi"/>
          <w:color w:val="auto"/>
          <w:sz w:val="20"/>
          <w:szCs w:val="20"/>
        </w:rPr>
        <w:t xml:space="preserve"> UK Government, ‘UK Government Commitment to No-diminution of Rights, Safeguards and Equality of Opportunity in Northern Ireland’ (NIO, 2020), at para 13.</w:t>
      </w:r>
    </w:p>
  </w:footnote>
  <w:footnote w:id="5">
    <w:p w14:paraId="0F75F65C" w14:textId="77777777" w:rsidR="00421A75" w:rsidRPr="00D81C0E" w:rsidRDefault="00421A75" w:rsidP="00421A75">
      <w:pPr>
        <w:pStyle w:val="FootnoteText"/>
        <w:rPr>
          <w:rFonts w:asciiTheme="minorHAnsi" w:hAnsiTheme="minorHAnsi" w:cstheme="minorHAnsi"/>
        </w:rPr>
      </w:pPr>
      <w:r w:rsidRPr="00D81C0E">
        <w:rPr>
          <w:rStyle w:val="FootnoteReference"/>
          <w:rFonts w:asciiTheme="minorHAnsi" w:hAnsiTheme="minorHAnsi" w:cstheme="minorHAnsi"/>
        </w:rPr>
        <w:footnoteRef/>
      </w:r>
      <w:r w:rsidRPr="00D81C0E">
        <w:rPr>
          <w:rFonts w:asciiTheme="minorHAnsi" w:hAnsiTheme="minorHAnsi" w:cstheme="minorHAnsi"/>
        </w:rPr>
        <w:t xml:space="preserve"> See, for example, </w:t>
      </w:r>
      <w:hyperlink r:id="rId1" w:history="1">
        <w:r w:rsidRPr="00D81C0E">
          <w:rPr>
            <w:rStyle w:val="Hyperlink"/>
            <w:rFonts w:asciiTheme="minorHAnsi" w:hAnsiTheme="minorHAnsi" w:cstheme="minorHAnsi"/>
            <w:i/>
            <w:color w:val="auto"/>
          </w:rPr>
          <w:t xml:space="preserve">Dillon &amp; Ors v Secretary of State for NI </w:t>
        </w:r>
        <w:r w:rsidRPr="00D81C0E">
          <w:rPr>
            <w:rStyle w:val="Hyperlink"/>
            <w:rFonts w:asciiTheme="minorHAnsi" w:hAnsiTheme="minorHAnsi" w:cstheme="minorHAnsi"/>
            <w:color w:val="auto"/>
          </w:rPr>
          <w:t xml:space="preserve"> [2024] NICA 59</w:t>
        </w:r>
      </w:hyperlink>
      <w:r w:rsidRPr="00D81C0E">
        <w:rPr>
          <w:rFonts w:asciiTheme="minorHAnsi" w:hAnsiTheme="minorHAnsi" w:cstheme="minorHAnsi"/>
        </w:rPr>
        <w:t xml:space="preserve"> and </w:t>
      </w:r>
      <w:hyperlink r:id="rId2" w:history="1">
        <w:r w:rsidRPr="00D81C0E">
          <w:rPr>
            <w:rStyle w:val="Hyperlink"/>
            <w:rFonts w:asciiTheme="minorHAnsi" w:hAnsiTheme="minorHAnsi" w:cstheme="minorHAnsi"/>
            <w:i/>
            <w:color w:val="auto"/>
          </w:rPr>
          <w:t xml:space="preserve">Re NIHRC and JR295 </w:t>
        </w:r>
        <w:r w:rsidRPr="00D81C0E">
          <w:rPr>
            <w:rStyle w:val="Hyperlink"/>
            <w:rFonts w:asciiTheme="minorHAnsi" w:hAnsiTheme="minorHAnsi" w:cstheme="minorHAnsi"/>
            <w:color w:val="auto"/>
          </w:rPr>
          <w:t>[2024] NIKB 35</w:t>
        </w:r>
      </w:hyperlink>
      <w:r w:rsidRPr="00D81C0E">
        <w:rPr>
          <w:rFonts w:asciiTheme="minorHAnsi" w:hAnsiTheme="minorHAnsi" w:cstheme="minorHAnsi"/>
        </w:rPr>
        <w:t xml:space="preserve">.  </w:t>
      </w:r>
    </w:p>
  </w:footnote>
  <w:footnote w:id="6">
    <w:p w14:paraId="3B78CDF0" w14:textId="77777777" w:rsidR="00421A75" w:rsidRPr="00D81C0E" w:rsidRDefault="00421A75" w:rsidP="00421A75">
      <w:pPr>
        <w:pStyle w:val="FootnoteText"/>
        <w:rPr>
          <w:rFonts w:asciiTheme="minorHAnsi" w:hAnsiTheme="minorHAnsi" w:cstheme="minorHAnsi"/>
        </w:rPr>
      </w:pPr>
      <w:r w:rsidRPr="00D81C0E">
        <w:rPr>
          <w:rStyle w:val="FootnoteReference"/>
          <w:rFonts w:asciiTheme="minorHAnsi" w:hAnsiTheme="minorHAnsi" w:cstheme="minorHAnsi"/>
        </w:rPr>
        <w:footnoteRef/>
      </w:r>
      <w:r w:rsidRPr="00D81C0E">
        <w:rPr>
          <w:rFonts w:asciiTheme="minorHAnsi" w:hAnsiTheme="minorHAnsi" w:cstheme="minorHAnsi"/>
        </w:rPr>
        <w:t xml:space="preserve">Jayne McCormack, ‘Criticism of Courts' decision to allow Legacy Act appeal’, </w:t>
      </w:r>
      <w:r w:rsidRPr="00D81C0E">
        <w:rPr>
          <w:rFonts w:asciiTheme="minorHAnsi" w:hAnsiTheme="minorHAnsi" w:cstheme="minorHAnsi"/>
          <w:i/>
        </w:rPr>
        <w:t>BBC</w:t>
      </w:r>
      <w:r w:rsidRPr="00D81C0E">
        <w:rPr>
          <w:rFonts w:asciiTheme="minorHAnsi" w:hAnsiTheme="minorHAnsi" w:cstheme="minorHAnsi"/>
        </w:rPr>
        <w:t xml:space="preserve"> </w:t>
      </w:r>
      <w:r w:rsidRPr="00D81C0E">
        <w:rPr>
          <w:rFonts w:asciiTheme="minorHAnsi" w:hAnsiTheme="minorHAnsi" w:cstheme="minorHAnsi"/>
          <w:i/>
        </w:rPr>
        <w:t>News</w:t>
      </w:r>
      <w:r w:rsidRPr="00D81C0E">
        <w:rPr>
          <w:rFonts w:asciiTheme="minorHAnsi" w:hAnsiTheme="minorHAnsi" w:cstheme="minorHAnsi"/>
        </w:rPr>
        <w:t xml:space="preserve">, 10 April 2025.  </w:t>
      </w:r>
    </w:p>
  </w:footnote>
  <w:footnote w:id="7">
    <w:p w14:paraId="2481319A" w14:textId="77777777" w:rsidR="00421A75" w:rsidRPr="00D81C0E" w:rsidRDefault="00421A75" w:rsidP="00421A75">
      <w:pPr>
        <w:pStyle w:val="FootnoteText"/>
        <w:rPr>
          <w:rFonts w:asciiTheme="minorHAnsi" w:hAnsiTheme="minorHAnsi" w:cstheme="minorHAnsi"/>
        </w:rPr>
      </w:pPr>
      <w:r w:rsidRPr="00D81C0E">
        <w:rPr>
          <w:rStyle w:val="FootnoteReference"/>
          <w:rFonts w:asciiTheme="minorHAnsi" w:hAnsiTheme="minorHAnsi" w:cstheme="minorHAnsi"/>
        </w:rPr>
        <w:footnoteRef/>
      </w:r>
      <w:r w:rsidRPr="00D81C0E">
        <w:rPr>
          <w:rFonts w:asciiTheme="minorHAnsi" w:hAnsiTheme="minorHAnsi" w:cstheme="minorHAnsi"/>
        </w:rPr>
        <w:t xml:space="preserve"> NI Human Rights Commission and Equality Commission for NI, ‘Working Paper: Scope of Article 2(1) of the Ireland/Northern Ireland Protocol to the UK-EU Withdrawal Agreement 2020’ (NIHRC and ECNI, 2022).</w:t>
      </w:r>
    </w:p>
  </w:footnote>
  <w:footnote w:id="8">
    <w:p w14:paraId="0B58AA61" w14:textId="77777777" w:rsidR="00421A75" w:rsidRPr="00D81C0E" w:rsidRDefault="00421A75" w:rsidP="00421A75">
      <w:pPr>
        <w:pStyle w:val="FootnoteText"/>
        <w:rPr>
          <w:rFonts w:asciiTheme="minorHAnsi" w:hAnsiTheme="minorHAnsi" w:cstheme="minorHAnsi"/>
        </w:rPr>
      </w:pPr>
      <w:r w:rsidRPr="00D81C0E">
        <w:rPr>
          <w:rStyle w:val="FootnoteReference"/>
          <w:rFonts w:asciiTheme="minorHAnsi" w:hAnsiTheme="minorHAnsi" w:cstheme="minorHAnsi"/>
        </w:rPr>
        <w:footnoteRef/>
      </w:r>
      <w:r w:rsidRPr="00D81C0E">
        <w:rPr>
          <w:rFonts w:asciiTheme="minorHAnsi" w:hAnsiTheme="minorHAnsi" w:cstheme="minorHAnsi"/>
        </w:rPr>
        <w:t xml:space="preserve"> </w:t>
      </w:r>
      <w:hyperlink r:id="rId3" w:history="1">
        <w:r w:rsidRPr="00D81C0E">
          <w:rPr>
            <w:rStyle w:val="Hyperlink"/>
            <w:rFonts w:asciiTheme="minorHAnsi" w:hAnsiTheme="minorHAnsi" w:cstheme="minorHAnsi"/>
            <w:i/>
            <w:iCs/>
            <w:color w:val="auto"/>
          </w:rPr>
          <w:t>Dillon &amp; Ors v SSNI</w:t>
        </w:r>
        <w:r w:rsidRPr="00D81C0E">
          <w:rPr>
            <w:rStyle w:val="Hyperlink"/>
            <w:rFonts w:asciiTheme="minorHAnsi" w:hAnsiTheme="minorHAnsi" w:cstheme="minorHAnsi"/>
            <w:color w:val="auto"/>
          </w:rPr>
          <w:t xml:space="preserve"> [2024] NICA 59</w:t>
        </w:r>
      </w:hyperlink>
      <w:r w:rsidRPr="00D81C0E">
        <w:rPr>
          <w:rStyle w:val="Hyperlink"/>
          <w:rFonts w:asciiTheme="minorHAnsi" w:hAnsiTheme="minorHAnsi" w:cstheme="minorHAnsi"/>
          <w:color w:val="auto"/>
        </w:rPr>
        <w:t xml:space="preserve"> at para 112;  </w:t>
      </w:r>
      <w:hyperlink r:id="rId4" w:history="1">
        <w:r w:rsidRPr="00D81C0E">
          <w:rPr>
            <w:rStyle w:val="Hyperlink"/>
            <w:rFonts w:asciiTheme="minorHAnsi" w:hAnsiTheme="minorHAnsi" w:cstheme="minorHAnsi"/>
            <w:i/>
            <w:iCs/>
            <w:color w:val="auto"/>
          </w:rPr>
          <w:t xml:space="preserve">Re SPUC Pro-Life Limited Application </w:t>
        </w:r>
        <w:r w:rsidRPr="00D81C0E">
          <w:rPr>
            <w:rStyle w:val="Hyperlink"/>
            <w:rFonts w:asciiTheme="minorHAnsi" w:hAnsiTheme="minorHAnsi" w:cstheme="minorHAnsi"/>
            <w:color w:val="auto"/>
          </w:rPr>
          <w:t>[2023] NICA 35</w:t>
        </w:r>
      </w:hyperlink>
      <w:r w:rsidRPr="00D81C0E">
        <w:rPr>
          <w:rStyle w:val="Hyperlink"/>
          <w:rFonts w:asciiTheme="minorHAnsi" w:hAnsiTheme="minorHAnsi" w:cstheme="minorHAnsi"/>
          <w:color w:val="auto"/>
        </w:rPr>
        <w:t xml:space="preserve"> at para 72.</w:t>
      </w:r>
    </w:p>
  </w:footnote>
  <w:footnote w:id="9">
    <w:p w14:paraId="638CFF03" w14:textId="77777777" w:rsidR="00421A75" w:rsidRPr="00D81C0E" w:rsidRDefault="00421A75" w:rsidP="00421A75">
      <w:pPr>
        <w:pStyle w:val="FootnoteText"/>
        <w:rPr>
          <w:rFonts w:asciiTheme="minorHAnsi" w:hAnsiTheme="minorHAnsi" w:cstheme="minorHAnsi"/>
        </w:rPr>
      </w:pPr>
      <w:r w:rsidRPr="00D81C0E">
        <w:rPr>
          <w:rStyle w:val="FootnoteReference"/>
          <w:rFonts w:asciiTheme="minorHAnsi" w:hAnsiTheme="minorHAnsi" w:cstheme="minorHAnsi"/>
        </w:rPr>
        <w:footnoteRef/>
      </w:r>
      <w:r w:rsidRPr="00D81C0E">
        <w:rPr>
          <w:rFonts w:asciiTheme="minorHAnsi" w:hAnsiTheme="minorHAnsi" w:cstheme="minorHAnsi"/>
          <w:shd w:val="clear" w:color="auto" w:fill="FFFFFF"/>
        </w:rPr>
        <w:t xml:space="preserve"> For further information on the scope of WF Article 2, see </w:t>
      </w:r>
      <w:r w:rsidRPr="00D81C0E">
        <w:rPr>
          <w:rFonts w:asciiTheme="minorHAnsi" w:hAnsiTheme="minorHAnsi" w:cstheme="minorHAnsi"/>
        </w:rPr>
        <w:t xml:space="preserve">ECNI, NIHRC </w:t>
      </w:r>
      <w:hyperlink r:id="rId5" w:history="1">
        <w:r w:rsidRPr="00D81C0E">
          <w:rPr>
            <w:rStyle w:val="Hyperlink"/>
            <w:rFonts w:asciiTheme="minorHAnsi" w:hAnsiTheme="minorHAnsi" w:cstheme="minorHAnsi"/>
          </w:rPr>
          <w:t>Working Paper: The Scope of Article 2(1) of the Ireland/ Northern Ireland Protocol</w:t>
        </w:r>
      </w:hyperlink>
      <w:r w:rsidRPr="00D81C0E">
        <w:rPr>
          <w:rFonts w:asciiTheme="minorHAnsi" w:hAnsiTheme="minorHAnsi" w:cstheme="minorHAnsi"/>
        </w:rPr>
        <w:t>, (ECNI and NIHRC, December 2022).</w:t>
      </w:r>
      <w:r w:rsidRPr="00D81C0E">
        <w:rPr>
          <w:rFonts w:asciiTheme="minorHAnsi" w:hAnsiTheme="minorHAnsi" w:cstheme="minorHAnsi"/>
          <w:shd w:val="clear" w:color="auto" w:fill="FFFFFF"/>
        </w:rPr>
        <w:t> </w:t>
      </w:r>
    </w:p>
  </w:footnote>
  <w:footnote w:id="10">
    <w:p w14:paraId="332003A3" w14:textId="77777777" w:rsidR="00421A75" w:rsidRPr="00D81C0E" w:rsidRDefault="00421A75" w:rsidP="00421A75">
      <w:pPr>
        <w:pStyle w:val="FootnoteText"/>
        <w:rPr>
          <w:rFonts w:asciiTheme="minorHAnsi" w:hAnsiTheme="minorHAnsi" w:cstheme="minorHAnsi"/>
        </w:rPr>
      </w:pPr>
      <w:r w:rsidRPr="00D81C0E">
        <w:rPr>
          <w:rStyle w:val="FootnoteReference"/>
          <w:rFonts w:asciiTheme="minorHAnsi" w:hAnsiTheme="minorHAnsi" w:cstheme="minorHAnsi"/>
        </w:rPr>
        <w:footnoteRef/>
      </w:r>
      <w:r w:rsidRPr="00D81C0E">
        <w:rPr>
          <w:rFonts w:asciiTheme="minorHAnsi" w:hAnsiTheme="minorHAnsi" w:cstheme="minorHAnsi"/>
        </w:rPr>
        <w:t xml:space="preserve"> </w:t>
      </w:r>
      <w:hyperlink r:id="rId6" w:history="1">
        <w:r w:rsidRPr="00D81C0E">
          <w:rPr>
            <w:rStyle w:val="Hyperlink"/>
            <w:rFonts w:asciiTheme="minorHAnsi" w:hAnsiTheme="minorHAnsi" w:cstheme="minorHAnsi"/>
          </w:rPr>
          <w:t>Explainer: UK Government commitment to no diminution of rights, safeguards and equality of opportunity in Northern Ireland</w:t>
        </w:r>
      </w:hyperlink>
      <w:r w:rsidRPr="00D81C0E">
        <w:rPr>
          <w:rFonts w:asciiTheme="minorHAnsi" w:hAnsiTheme="minorHAnsi" w:cstheme="minorHAnsi"/>
        </w:rPr>
        <w:t>, 7 August 2020, para 7, para 12.</w:t>
      </w:r>
    </w:p>
  </w:footnote>
  <w:footnote w:id="11">
    <w:p w14:paraId="6E384D1E" w14:textId="77777777" w:rsidR="00421A75" w:rsidRPr="00D81C0E" w:rsidRDefault="00421A75" w:rsidP="00421A75">
      <w:pPr>
        <w:pStyle w:val="FootnoteText"/>
        <w:rPr>
          <w:rFonts w:asciiTheme="minorHAnsi" w:hAnsiTheme="minorHAnsi" w:cstheme="minorHAnsi"/>
        </w:rPr>
      </w:pPr>
      <w:r w:rsidRPr="00D81C0E">
        <w:rPr>
          <w:rStyle w:val="FootnoteReference"/>
          <w:rFonts w:asciiTheme="minorHAnsi" w:hAnsiTheme="minorHAnsi" w:cstheme="minorHAnsi"/>
        </w:rPr>
        <w:footnoteRef/>
      </w:r>
      <w:r w:rsidRPr="00D81C0E">
        <w:rPr>
          <w:rFonts w:asciiTheme="minorHAnsi" w:hAnsiTheme="minorHAnsi" w:cstheme="minorHAnsi"/>
        </w:rPr>
        <w:t xml:space="preserve"> </w:t>
      </w:r>
      <w:hyperlink r:id="rId7" w:history="1">
        <w:r w:rsidRPr="00D81C0E">
          <w:rPr>
            <w:rStyle w:val="Hyperlink"/>
            <w:rFonts w:asciiTheme="minorHAnsi" w:hAnsiTheme="minorHAnsi" w:cstheme="minorHAnsi"/>
          </w:rPr>
          <w:t>Independent Review of the Windsor Framework Terms of Reference</w:t>
        </w:r>
      </w:hyperlink>
      <w:r w:rsidRPr="00D81C0E">
        <w:rPr>
          <w:rFonts w:asciiTheme="minorHAnsi" w:hAnsiTheme="minorHAnsi" w:cstheme="minorHAnsi"/>
        </w:rPr>
        <w:t xml:space="preserve"> (Gov.uk, January 2025)</w:t>
      </w:r>
    </w:p>
  </w:footnote>
  <w:footnote w:id="12">
    <w:p w14:paraId="00F36DFD" w14:textId="77777777" w:rsidR="00421A75" w:rsidRPr="00D81C0E" w:rsidRDefault="00421A75" w:rsidP="00421A75">
      <w:pPr>
        <w:pStyle w:val="FootnoteText"/>
        <w:rPr>
          <w:rFonts w:asciiTheme="minorHAnsi" w:hAnsiTheme="minorHAnsi" w:cstheme="minorHAnsi"/>
        </w:rPr>
      </w:pPr>
      <w:r w:rsidRPr="00D81C0E">
        <w:rPr>
          <w:rStyle w:val="FootnoteReference"/>
          <w:rFonts w:asciiTheme="minorHAnsi" w:hAnsiTheme="minorHAnsi" w:cstheme="minorHAnsi"/>
        </w:rPr>
        <w:footnoteRef/>
      </w:r>
      <w:r w:rsidRPr="00D81C0E">
        <w:rPr>
          <w:rFonts w:asciiTheme="minorHAnsi" w:hAnsiTheme="minorHAnsi" w:cstheme="minorHAnsi"/>
        </w:rPr>
        <w:t xml:space="preserve"> See, for example, Northern Ireland Act 1998; Sex Discrimination (NI) Order 1976; Disability Discrimination Act 1995; Race Relations (NI) Order 1997; Equality (Disability, etc.) (NI) Order 2000; Employment Equality (Sexual Orientation) Regulations (NI) 2003;</w:t>
      </w:r>
      <w:r w:rsidRPr="00D81C0E">
        <w:rPr>
          <w:rFonts w:asciiTheme="minorHAnsi" w:eastAsiaTheme="minorHAnsi" w:hAnsiTheme="minorHAnsi" w:cstheme="minorHAnsi"/>
        </w:rPr>
        <w:t xml:space="preserve"> </w:t>
      </w:r>
      <w:r w:rsidRPr="00D81C0E">
        <w:rPr>
          <w:rFonts w:asciiTheme="minorHAnsi" w:hAnsiTheme="minorHAnsi" w:cstheme="minorHAnsi"/>
        </w:rPr>
        <w:t xml:space="preserve">Special Educational Needs and Disability (NI) Order 2005; Disability Discrimination (NI) Order 2006; Employment Equality (Age) Regulations (NI) 2006; Equality Act (Sexual Orientation) Regulations (NI) 2006. </w:t>
      </w:r>
    </w:p>
  </w:footnote>
  <w:footnote w:id="13">
    <w:p w14:paraId="15CF4094" w14:textId="77777777" w:rsidR="00421A75" w:rsidRPr="00D81C0E" w:rsidRDefault="00421A75" w:rsidP="00421A75">
      <w:pPr>
        <w:pStyle w:val="FootnoteText"/>
        <w:rPr>
          <w:rFonts w:asciiTheme="minorHAnsi" w:hAnsiTheme="minorHAnsi" w:cstheme="minorHAnsi"/>
        </w:rPr>
      </w:pPr>
      <w:r w:rsidRPr="00D81C0E">
        <w:rPr>
          <w:rStyle w:val="FootnoteReference"/>
          <w:rFonts w:asciiTheme="minorHAnsi" w:hAnsiTheme="minorHAnsi" w:cstheme="minorHAnsi"/>
        </w:rPr>
        <w:footnoteRef/>
      </w:r>
      <w:r w:rsidRPr="00D81C0E">
        <w:rPr>
          <w:rFonts w:asciiTheme="minorHAnsi" w:hAnsiTheme="minorHAnsi" w:cstheme="minorHAnsi"/>
        </w:rPr>
        <w:t xml:space="preserve"> See NI Human Rights Commission, ‘</w:t>
      </w:r>
      <w:hyperlink r:id="rId8" w:history="1">
        <w:r w:rsidRPr="00D81C0E">
          <w:rPr>
            <w:rStyle w:val="Hyperlink"/>
            <w:rFonts w:asciiTheme="minorHAnsi" w:hAnsiTheme="minorHAnsi" w:cstheme="minorHAnsi"/>
          </w:rPr>
          <w:t>Annual Statement 2024</w:t>
        </w:r>
      </w:hyperlink>
      <w:r w:rsidRPr="00D81C0E">
        <w:rPr>
          <w:rFonts w:asciiTheme="minorHAnsi" w:hAnsiTheme="minorHAnsi" w:cstheme="minorHAnsi"/>
        </w:rPr>
        <w:t xml:space="preserve"> – Human Rights in NI’ (NIHRC, 2024), NI Human Rights Commission and Equality Commission for NI, ‘</w:t>
      </w:r>
      <w:hyperlink r:id="rId9" w:history="1">
        <w:r w:rsidRPr="00D81C0E">
          <w:rPr>
            <w:rStyle w:val="Hyperlink"/>
            <w:rFonts w:asciiTheme="minorHAnsi" w:hAnsiTheme="minorHAnsi" w:cstheme="minorHAnsi"/>
          </w:rPr>
          <w:t>Annual Report on the implementation of Article 2 of the Windsor Framework 2023-2024</w:t>
        </w:r>
      </w:hyperlink>
      <w:r w:rsidRPr="00D81C0E">
        <w:rPr>
          <w:rFonts w:asciiTheme="minorHAnsi" w:hAnsiTheme="minorHAnsi" w:cstheme="minorHAnsi"/>
        </w:rPr>
        <w:t>’ (NIHRC and ECNI, 2024), Equality Commission for NI and NI Human Rights Commission, ‘</w:t>
      </w:r>
      <w:hyperlink r:id="rId10" w:history="1">
        <w:r w:rsidRPr="00D81C0E">
          <w:rPr>
            <w:rStyle w:val="Hyperlink"/>
            <w:rFonts w:asciiTheme="minorHAnsi" w:hAnsiTheme="minorHAnsi" w:cstheme="minorHAnsi"/>
          </w:rPr>
          <w:t>Briefing Paper</w:t>
        </w:r>
      </w:hyperlink>
      <w:r w:rsidRPr="00D81C0E">
        <w:rPr>
          <w:rFonts w:asciiTheme="minorHAnsi" w:hAnsiTheme="minorHAnsi" w:cstheme="minorHAnsi"/>
        </w:rPr>
        <w:t>: The EU Pay Transparency Directive: The UK Government’s dynamic alignment obligations relating to Windsor Framework Article 2’ (ECNI and NIHRC, 2024).</w:t>
      </w:r>
    </w:p>
  </w:footnote>
  <w:footnote w:id="14">
    <w:p w14:paraId="4AED340D" w14:textId="77777777" w:rsidR="00421A75" w:rsidRPr="00D81C0E" w:rsidRDefault="00421A75" w:rsidP="00421A75">
      <w:pPr>
        <w:pStyle w:val="FootnoteText"/>
        <w:rPr>
          <w:rFonts w:asciiTheme="minorHAnsi" w:hAnsiTheme="minorHAnsi" w:cstheme="minorHAnsi"/>
        </w:rPr>
      </w:pPr>
      <w:r w:rsidRPr="00D81C0E">
        <w:rPr>
          <w:rStyle w:val="FootnoteReference"/>
          <w:rFonts w:asciiTheme="minorHAnsi" w:hAnsiTheme="minorHAnsi" w:cstheme="minorHAnsi"/>
        </w:rPr>
        <w:footnoteRef/>
      </w:r>
      <w:r w:rsidRPr="00D81C0E">
        <w:rPr>
          <w:rFonts w:asciiTheme="minorHAnsi" w:hAnsiTheme="minorHAnsi" w:cstheme="minorHAnsi"/>
        </w:rPr>
        <w:t xml:space="preserve"> The Marriage (Same-sex Couples) and Civil Partnership (Opposite-sex Couples) (Northern Ireland) Regulations 2019; Abortion (NI) (No 2) Regulations 2020.</w:t>
      </w:r>
    </w:p>
  </w:footnote>
  <w:footnote w:id="15">
    <w:p w14:paraId="08F2A43D" w14:textId="77777777" w:rsidR="00421A75" w:rsidRPr="00D81C0E" w:rsidRDefault="00421A75" w:rsidP="00421A75">
      <w:pPr>
        <w:pStyle w:val="FootnoteText"/>
        <w:rPr>
          <w:rFonts w:asciiTheme="minorHAnsi" w:hAnsiTheme="minorHAnsi" w:cstheme="minorHAnsi"/>
        </w:rPr>
      </w:pPr>
      <w:r w:rsidRPr="00D81C0E">
        <w:rPr>
          <w:rStyle w:val="FootnoteReference"/>
          <w:rFonts w:asciiTheme="minorHAnsi" w:hAnsiTheme="minorHAnsi" w:cstheme="minorHAnsi"/>
        </w:rPr>
        <w:footnoteRef/>
      </w:r>
      <w:r w:rsidRPr="00D81C0E">
        <w:rPr>
          <w:rFonts w:asciiTheme="minorHAnsi" w:hAnsiTheme="minorHAnsi" w:cstheme="minorHAnsi"/>
        </w:rPr>
        <w:t xml:space="preserve"> </w:t>
      </w:r>
      <w:r w:rsidRPr="001E59D0">
        <w:rPr>
          <w:rFonts w:asciiTheme="minorHAnsi" w:hAnsiTheme="minorHAnsi" w:cstheme="minorHAnsi"/>
          <w:i/>
          <w:iCs/>
        </w:rPr>
        <w:t>Secretary of State for NI v Dillon</w:t>
      </w:r>
      <w:r>
        <w:rPr>
          <w:rFonts w:asciiTheme="minorHAnsi" w:hAnsiTheme="minorHAnsi" w:cstheme="minorHAnsi"/>
        </w:rPr>
        <w:t xml:space="preserve"> [2024] NICA 59, at para 157.</w:t>
      </w:r>
    </w:p>
  </w:footnote>
  <w:footnote w:id="16">
    <w:p w14:paraId="5F937B4B" w14:textId="77777777" w:rsidR="00421A75" w:rsidRPr="00D81C0E" w:rsidRDefault="00421A75" w:rsidP="00421A75">
      <w:pPr>
        <w:pStyle w:val="FootnoteText"/>
        <w:rPr>
          <w:rFonts w:asciiTheme="minorHAnsi" w:hAnsiTheme="minorHAnsi" w:cstheme="minorHAnsi"/>
        </w:rPr>
      </w:pPr>
      <w:r w:rsidRPr="00D81C0E">
        <w:rPr>
          <w:rStyle w:val="FootnoteReference"/>
          <w:rFonts w:asciiTheme="minorHAnsi" w:hAnsiTheme="minorHAnsi" w:cstheme="minorHAnsi"/>
        </w:rPr>
        <w:footnoteRef/>
      </w:r>
      <w:r w:rsidRPr="00D81C0E">
        <w:rPr>
          <w:rFonts w:asciiTheme="minorHAnsi" w:hAnsiTheme="minorHAnsi" w:cstheme="minorHAnsi"/>
        </w:rPr>
        <w:t xml:space="preserve"> The identified Directives are the two Directives on Standards for Equality Bodies (</w:t>
      </w:r>
      <w:hyperlink r:id="rId11" w:history="1">
        <w:r w:rsidRPr="00D81C0E">
          <w:rPr>
            <w:rStyle w:val="Hyperlink"/>
            <w:rFonts w:asciiTheme="minorHAnsi" w:hAnsiTheme="minorHAnsi" w:cstheme="minorHAnsi"/>
          </w:rPr>
          <w:t>Directive (EU) 2024/1500</w:t>
        </w:r>
      </w:hyperlink>
      <w:r w:rsidRPr="00D81C0E">
        <w:rPr>
          <w:rFonts w:asciiTheme="minorHAnsi" w:hAnsiTheme="minorHAnsi" w:cstheme="minorHAnsi"/>
        </w:rPr>
        <w:t xml:space="preserve"> and </w:t>
      </w:r>
      <w:hyperlink r:id="rId12" w:history="1">
        <w:r w:rsidRPr="00D81C0E">
          <w:rPr>
            <w:rStyle w:val="Hyperlink"/>
            <w:rFonts w:asciiTheme="minorHAnsi" w:hAnsiTheme="minorHAnsi" w:cstheme="minorHAnsi"/>
          </w:rPr>
          <w:t>Directive (EU) 2024/1499</w:t>
        </w:r>
      </w:hyperlink>
      <w:r w:rsidRPr="00D81C0E">
        <w:rPr>
          <w:rFonts w:asciiTheme="minorHAnsi" w:hAnsiTheme="minorHAnsi" w:cstheme="minorHAnsi"/>
        </w:rPr>
        <w:t>), and the Pay Transparency Directive (</w:t>
      </w:r>
      <w:hyperlink r:id="rId13" w:history="1">
        <w:r w:rsidRPr="00D81C0E">
          <w:rPr>
            <w:rStyle w:val="Hyperlink"/>
            <w:rFonts w:asciiTheme="minorHAnsi" w:hAnsiTheme="minorHAnsi" w:cstheme="minorHAnsi"/>
          </w:rPr>
          <w:t>EU Directive 2023/970</w:t>
        </w:r>
      </w:hyperlink>
      <w:r w:rsidRPr="00D81C0E">
        <w:rPr>
          <w:rFonts w:asciiTheme="minorHAnsi" w:hAnsiTheme="minorHAnsi" w:cstheme="minorHAnsi"/>
        </w:rPr>
        <w:t>).</w:t>
      </w:r>
    </w:p>
  </w:footnote>
  <w:footnote w:id="17">
    <w:p w14:paraId="526D9198" w14:textId="77777777" w:rsidR="00FE670B" w:rsidRDefault="00FE670B" w:rsidP="00FE670B">
      <w:pPr>
        <w:pStyle w:val="FootnoteText"/>
      </w:pPr>
      <w:r>
        <w:rPr>
          <w:rStyle w:val="FootnoteReference"/>
        </w:rPr>
        <w:footnoteRef/>
      </w:r>
      <w:r>
        <w:t xml:space="preserve"> </w:t>
      </w:r>
      <w:r w:rsidRPr="00E162EE">
        <w:rPr>
          <w:rFonts w:ascii="Calibri" w:hAnsi="Calibri" w:cs="Calibri"/>
        </w:rPr>
        <w:t xml:space="preserve">Equality Commission for NI and NI Human Rights Commission, </w:t>
      </w:r>
      <w:hyperlink r:id="rId14" w:history="1">
        <w:r w:rsidRPr="00F2002E">
          <w:rPr>
            <w:rStyle w:val="Hyperlink"/>
            <w:rFonts w:ascii="Calibri" w:hAnsi="Calibri" w:cs="Calibri"/>
          </w:rPr>
          <w:t>‘ECNI and NIHRC Briefing Paper: The EU Pay Transparency Directive: The UK Government’s dynamic alignment obligations relating to Windsor Framework Article 2</w:t>
        </w:r>
      </w:hyperlink>
      <w:r w:rsidRPr="00E162EE">
        <w:rPr>
          <w:rFonts w:ascii="Calibri" w:hAnsi="Calibri" w:cs="Calibri"/>
        </w:rPr>
        <w:t>’ (ECNI and NIHRC, 2024).</w:t>
      </w:r>
    </w:p>
  </w:footnote>
  <w:footnote w:id="18">
    <w:p w14:paraId="0D99B036" w14:textId="77777777" w:rsidR="00BC3BED" w:rsidRPr="00644864" w:rsidRDefault="00BC3BED" w:rsidP="00BC3BED">
      <w:pPr>
        <w:pStyle w:val="FootnoteText"/>
        <w:rPr>
          <w:rFonts w:asciiTheme="minorHAnsi" w:hAnsiTheme="minorHAnsi" w:cstheme="minorHAnsi"/>
          <w:szCs w:val="24"/>
        </w:rPr>
      </w:pPr>
      <w:r w:rsidRPr="00644864">
        <w:rPr>
          <w:rStyle w:val="FootnoteReference"/>
          <w:rFonts w:asciiTheme="minorHAnsi" w:hAnsiTheme="minorHAnsi" w:cstheme="minorHAnsi"/>
          <w:szCs w:val="24"/>
        </w:rPr>
        <w:footnoteRef/>
      </w:r>
      <w:r w:rsidRPr="00644864">
        <w:rPr>
          <w:rFonts w:asciiTheme="minorHAnsi" w:hAnsiTheme="minorHAnsi" w:cstheme="minorHAnsi"/>
          <w:szCs w:val="24"/>
        </w:rPr>
        <w:t xml:space="preserve"> NI Human Rights Commission and Equality Commission for NI, ‘Working Paper: Scope of Article 2(1) of the Ireland/Northern Ireland Protocol to the UK-EU Withdrawal Agreement 2020’ (NIHRC and ECNI, 2022).</w:t>
      </w:r>
    </w:p>
  </w:footnote>
  <w:footnote w:id="19">
    <w:p w14:paraId="5C09CD00" w14:textId="77777777" w:rsidR="00BC3BED" w:rsidRPr="00A60E51" w:rsidRDefault="00BC3BED" w:rsidP="00BC3BED">
      <w:pPr>
        <w:pStyle w:val="FootnoteText"/>
      </w:pPr>
      <w:r w:rsidRPr="00644864">
        <w:rPr>
          <w:rStyle w:val="FootnoteReference"/>
          <w:rFonts w:asciiTheme="minorHAnsi" w:hAnsiTheme="minorHAnsi" w:cstheme="minorHAnsi"/>
          <w:szCs w:val="24"/>
        </w:rPr>
        <w:footnoteRef/>
      </w:r>
      <w:r w:rsidRPr="00644864">
        <w:rPr>
          <w:rFonts w:asciiTheme="minorHAnsi" w:hAnsiTheme="minorHAnsi" w:cstheme="minorHAnsi"/>
          <w:szCs w:val="24"/>
        </w:rPr>
        <w:t xml:space="preserve"> </w:t>
      </w:r>
      <w:hyperlink r:id="rId15" w:history="1">
        <w:r w:rsidRPr="00F87A2A">
          <w:rPr>
            <w:rStyle w:val="Hyperlink"/>
            <w:rFonts w:asciiTheme="minorHAnsi" w:hAnsiTheme="minorHAnsi" w:cstheme="minorHAnsi"/>
            <w:i/>
            <w:iCs/>
          </w:rPr>
          <w:t>Dillon &amp; Ors v SSNI</w:t>
        </w:r>
        <w:r w:rsidRPr="00F87A2A">
          <w:rPr>
            <w:rStyle w:val="Hyperlink"/>
            <w:rFonts w:asciiTheme="minorHAnsi" w:hAnsiTheme="minorHAnsi" w:cstheme="minorHAnsi"/>
          </w:rPr>
          <w:t xml:space="preserve"> [2024] NICA 59</w:t>
        </w:r>
      </w:hyperlink>
      <w:r>
        <w:rPr>
          <w:rStyle w:val="Hyperlink"/>
          <w:rFonts w:asciiTheme="minorHAnsi" w:hAnsiTheme="minorHAnsi" w:cstheme="minorHAnsi"/>
        </w:rPr>
        <w:t xml:space="preserve"> at [112]; </w:t>
      </w:r>
      <w:r w:rsidRPr="001D7652">
        <w:rPr>
          <w:rStyle w:val="Hyperlink"/>
          <w:rFonts w:asciiTheme="minorHAnsi" w:hAnsiTheme="minorHAnsi" w:cstheme="minorHAnsi"/>
        </w:rPr>
        <w:t xml:space="preserve"> </w:t>
      </w:r>
      <w:hyperlink r:id="rId16" w:history="1">
        <w:r w:rsidRPr="001D7652">
          <w:rPr>
            <w:rStyle w:val="Hyperlink"/>
            <w:rFonts w:asciiTheme="minorHAnsi" w:hAnsiTheme="minorHAnsi" w:cstheme="minorHAnsi"/>
            <w:i/>
            <w:iCs/>
          </w:rPr>
          <w:t xml:space="preserve">Re SPUC Pro-Life Limited Application </w:t>
        </w:r>
        <w:r w:rsidRPr="001D7652">
          <w:rPr>
            <w:rStyle w:val="Hyperlink"/>
            <w:rFonts w:asciiTheme="minorHAnsi" w:hAnsiTheme="minorHAnsi" w:cstheme="minorHAnsi"/>
          </w:rPr>
          <w:t>[2023] NICA 35</w:t>
        </w:r>
      </w:hyperlink>
      <w:r w:rsidRPr="002F60BD">
        <w:rPr>
          <w:rStyle w:val="Hyperlink"/>
          <w:rFonts w:asciiTheme="minorHAnsi" w:hAnsiTheme="minorHAnsi" w:cstheme="minorHAnsi"/>
        </w:rPr>
        <w:t xml:space="preserve"> at [72].</w:t>
      </w:r>
    </w:p>
  </w:footnote>
  <w:footnote w:id="20">
    <w:p w14:paraId="37EDE2DC" w14:textId="77777777" w:rsidR="00421A75" w:rsidRPr="001919FB" w:rsidRDefault="00421A75" w:rsidP="00421A75">
      <w:pPr>
        <w:pStyle w:val="FootnoteText"/>
        <w:rPr>
          <w:rFonts w:asciiTheme="minorHAnsi" w:hAnsiTheme="minorHAnsi" w:cstheme="minorHAnsi"/>
        </w:rPr>
      </w:pPr>
      <w:r w:rsidRPr="001919FB">
        <w:rPr>
          <w:rStyle w:val="FootnoteReference"/>
          <w:rFonts w:asciiTheme="minorHAnsi" w:hAnsiTheme="minorHAnsi" w:cstheme="minorHAnsi"/>
        </w:rPr>
        <w:footnoteRef/>
      </w:r>
      <w:r w:rsidRPr="001919FB">
        <w:rPr>
          <w:rFonts w:asciiTheme="minorHAnsi" w:hAnsiTheme="minorHAnsi" w:cstheme="minorHAnsi"/>
        </w:rPr>
        <w:t xml:space="preserve"> NI Human Rights Commission and Equality Commission for NI, ‘Working Paper: The Scope of Article 2(1) of the Ireland/ Northern Ireland Protocol’ (NIHRC and ECNI,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4DA01" w14:textId="77777777" w:rsidR="00421A75" w:rsidRDefault="00421A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200B9"/>
    <w:multiLevelType w:val="multilevel"/>
    <w:tmpl w:val="4EF694FC"/>
    <w:lvl w:ilvl="0">
      <w:start w:val="2"/>
      <w:numFmt w:val="decimal"/>
      <w:lvlText w:val="%1.0"/>
      <w:lvlJc w:val="left"/>
      <w:pPr>
        <w:ind w:left="720" w:hanging="720"/>
      </w:pPr>
      <w:rPr>
        <w:rFonts w:hint="default"/>
      </w:rPr>
    </w:lvl>
    <w:lvl w:ilvl="1">
      <w:start w:val="1"/>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1CD7F9F"/>
    <w:multiLevelType w:val="multilevel"/>
    <w:tmpl w:val="AD1486D2"/>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305146E9"/>
    <w:multiLevelType w:val="multilevel"/>
    <w:tmpl w:val="AF1EBDB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i w:val="0"/>
        <w:i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31EA097C"/>
    <w:multiLevelType w:val="multilevel"/>
    <w:tmpl w:val="0688EC6E"/>
    <w:lvl w:ilvl="0">
      <w:start w:val="1"/>
      <w:numFmt w:val="decimal"/>
      <w:pStyle w:val="ListNumber2"/>
      <w:lvlText w:val="%1."/>
      <w:lvlJc w:val="left"/>
      <w:pPr>
        <w:ind w:left="4046" w:hanging="360"/>
      </w:pPr>
    </w:lvl>
    <w:lvl w:ilvl="1">
      <w:start w:val="1"/>
      <w:numFmt w:val="decimal"/>
      <w:pStyle w:val="11NumPara"/>
      <w:lvlText w:val="%1.%2."/>
      <w:lvlJc w:val="left"/>
      <w:pPr>
        <w:ind w:left="857" w:hanging="432"/>
      </w:pPr>
      <w:rPr>
        <w:b w:val="0"/>
        <w:bCs w:val="0"/>
        <w:i w:val="0"/>
        <w:iCs w:val="0"/>
        <w:vertAlign w:val="baseline"/>
      </w:rPr>
    </w:lvl>
    <w:lvl w:ilvl="2">
      <w:start w:val="1"/>
      <w:numFmt w:val="decimal"/>
      <w:lvlText w:val="%1.%2.%3."/>
      <w:lvlJc w:val="left"/>
      <w:pPr>
        <w:ind w:left="4910" w:hanging="504"/>
      </w:pPr>
    </w:lvl>
    <w:lvl w:ilvl="3">
      <w:start w:val="1"/>
      <w:numFmt w:val="decimal"/>
      <w:lvlText w:val="%1.%2.%3.%4."/>
      <w:lvlJc w:val="left"/>
      <w:pPr>
        <w:ind w:left="5414" w:hanging="648"/>
      </w:pPr>
    </w:lvl>
    <w:lvl w:ilvl="4">
      <w:start w:val="1"/>
      <w:numFmt w:val="decimal"/>
      <w:lvlText w:val="%1.%2.%3.%4.%5."/>
      <w:lvlJc w:val="left"/>
      <w:pPr>
        <w:ind w:left="5918" w:hanging="792"/>
      </w:pPr>
    </w:lvl>
    <w:lvl w:ilvl="5">
      <w:start w:val="1"/>
      <w:numFmt w:val="decimal"/>
      <w:lvlText w:val="%1.%2.%3.%4.%5.%6."/>
      <w:lvlJc w:val="left"/>
      <w:pPr>
        <w:ind w:left="6422" w:hanging="936"/>
      </w:pPr>
    </w:lvl>
    <w:lvl w:ilvl="6">
      <w:start w:val="1"/>
      <w:numFmt w:val="decimal"/>
      <w:lvlText w:val="%1.%2.%3.%4.%5.%6.%7."/>
      <w:lvlJc w:val="left"/>
      <w:pPr>
        <w:ind w:left="6926" w:hanging="1080"/>
      </w:pPr>
    </w:lvl>
    <w:lvl w:ilvl="7">
      <w:start w:val="1"/>
      <w:numFmt w:val="decimal"/>
      <w:lvlText w:val="%1.%2.%3.%4.%5.%6.%7.%8."/>
      <w:lvlJc w:val="left"/>
      <w:pPr>
        <w:ind w:left="7430" w:hanging="1224"/>
      </w:pPr>
    </w:lvl>
    <w:lvl w:ilvl="8">
      <w:start w:val="1"/>
      <w:numFmt w:val="decimal"/>
      <w:lvlText w:val="%1.%2.%3.%4.%5.%6.%7.%8.%9."/>
      <w:lvlJc w:val="left"/>
      <w:pPr>
        <w:ind w:left="8006" w:hanging="1440"/>
      </w:pPr>
    </w:lvl>
  </w:abstractNum>
  <w:abstractNum w:abstractNumId="4" w15:restartNumberingAfterBreak="0">
    <w:nsid w:val="37F278FA"/>
    <w:multiLevelType w:val="multilevel"/>
    <w:tmpl w:val="4EF694FC"/>
    <w:lvl w:ilvl="0">
      <w:start w:val="2"/>
      <w:numFmt w:val="decimal"/>
      <w:lvlText w:val="%1.0"/>
      <w:lvlJc w:val="left"/>
      <w:pPr>
        <w:ind w:left="720" w:hanging="720"/>
      </w:pPr>
      <w:rPr>
        <w:rFonts w:hint="default"/>
      </w:rPr>
    </w:lvl>
    <w:lvl w:ilvl="1">
      <w:start w:val="1"/>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BC52E86"/>
    <w:multiLevelType w:val="multilevel"/>
    <w:tmpl w:val="E7844B62"/>
    <w:lvl w:ilvl="0">
      <w:start w:val="4"/>
      <w:numFmt w:val="decimal"/>
      <w:lvlText w:val="%1.0"/>
      <w:lvlJc w:val="left"/>
      <w:pPr>
        <w:ind w:left="520" w:hanging="520"/>
      </w:pPr>
      <w:rPr>
        <w:rFonts w:hint="default"/>
      </w:rPr>
    </w:lvl>
    <w:lvl w:ilvl="1">
      <w:start w:val="1"/>
      <w:numFmt w:val="decimal"/>
      <w:lvlText w:val="%1.%2"/>
      <w:lvlJc w:val="left"/>
      <w:pPr>
        <w:ind w:left="1240" w:hanging="5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3F8D518E"/>
    <w:multiLevelType w:val="multilevel"/>
    <w:tmpl w:val="99803424"/>
    <w:lvl w:ilvl="0">
      <w:start w:val="3"/>
      <w:numFmt w:val="decimal"/>
      <w:lvlText w:val="%1.0"/>
      <w:lvlJc w:val="left"/>
      <w:pPr>
        <w:ind w:left="720" w:hanging="720"/>
      </w:pPr>
      <w:rPr>
        <w:rFonts w:hint="default"/>
      </w:rPr>
    </w:lvl>
    <w:lvl w:ilvl="1">
      <w:start w:val="4"/>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A6C52D8"/>
    <w:multiLevelType w:val="hybridMultilevel"/>
    <w:tmpl w:val="F47A8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287A48"/>
    <w:multiLevelType w:val="multilevel"/>
    <w:tmpl w:val="F6C0CE9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1AF0773"/>
    <w:multiLevelType w:val="multilevel"/>
    <w:tmpl w:val="99803424"/>
    <w:lvl w:ilvl="0">
      <w:start w:val="3"/>
      <w:numFmt w:val="decimal"/>
      <w:lvlText w:val="%1.0"/>
      <w:lvlJc w:val="left"/>
      <w:pPr>
        <w:ind w:left="720" w:hanging="720"/>
      </w:pPr>
      <w:rPr>
        <w:rFonts w:hint="default"/>
      </w:rPr>
    </w:lvl>
    <w:lvl w:ilvl="1">
      <w:start w:val="4"/>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981508">
    <w:abstractNumId w:val="4"/>
  </w:num>
  <w:num w:numId="2" w16cid:durableId="324867684">
    <w:abstractNumId w:val="3"/>
  </w:num>
  <w:num w:numId="3" w16cid:durableId="2110196297">
    <w:abstractNumId w:val="7"/>
  </w:num>
  <w:num w:numId="4" w16cid:durableId="1710834006">
    <w:abstractNumId w:val="0"/>
  </w:num>
  <w:num w:numId="5" w16cid:durableId="751125394">
    <w:abstractNumId w:val="9"/>
  </w:num>
  <w:num w:numId="6" w16cid:durableId="37628932">
    <w:abstractNumId w:val="6"/>
  </w:num>
  <w:num w:numId="7" w16cid:durableId="855966737">
    <w:abstractNumId w:val="5"/>
  </w:num>
  <w:num w:numId="8" w16cid:durableId="601686391">
    <w:abstractNumId w:val="8"/>
  </w:num>
  <w:num w:numId="9" w16cid:durableId="1574195778">
    <w:abstractNumId w:val="1"/>
  </w:num>
  <w:num w:numId="10" w16cid:durableId="1123156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readOnly"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75"/>
    <w:rsid w:val="000800AB"/>
    <w:rsid w:val="000C0C3B"/>
    <w:rsid w:val="000C23AD"/>
    <w:rsid w:val="000D543E"/>
    <w:rsid w:val="000E3765"/>
    <w:rsid w:val="00105CA6"/>
    <w:rsid w:val="001358BB"/>
    <w:rsid w:val="001C4E11"/>
    <w:rsid w:val="00211E82"/>
    <w:rsid w:val="00217891"/>
    <w:rsid w:val="00247289"/>
    <w:rsid w:val="00267999"/>
    <w:rsid w:val="002C0F7E"/>
    <w:rsid w:val="00383B3E"/>
    <w:rsid w:val="00401D31"/>
    <w:rsid w:val="00421A75"/>
    <w:rsid w:val="00453E82"/>
    <w:rsid w:val="004A45AB"/>
    <w:rsid w:val="004E63EF"/>
    <w:rsid w:val="004E7DA7"/>
    <w:rsid w:val="00583752"/>
    <w:rsid w:val="006A3D34"/>
    <w:rsid w:val="00725B29"/>
    <w:rsid w:val="007A6778"/>
    <w:rsid w:val="00814698"/>
    <w:rsid w:val="008709EF"/>
    <w:rsid w:val="008A571B"/>
    <w:rsid w:val="009A0438"/>
    <w:rsid w:val="009B3E81"/>
    <w:rsid w:val="00AF2CF6"/>
    <w:rsid w:val="00B74C2F"/>
    <w:rsid w:val="00B954A0"/>
    <w:rsid w:val="00BC3BED"/>
    <w:rsid w:val="00C002ED"/>
    <w:rsid w:val="00CA64E9"/>
    <w:rsid w:val="00D141F9"/>
    <w:rsid w:val="00D91935"/>
    <w:rsid w:val="00DA7E0A"/>
    <w:rsid w:val="00EF45A0"/>
    <w:rsid w:val="00F42F06"/>
    <w:rsid w:val="00F76E5A"/>
    <w:rsid w:val="00FE6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B300F"/>
  <w15:chartTrackingRefBased/>
  <w15:docId w15:val="{E8FD996A-E9AB-4A37-AE55-355203FDF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A75"/>
    <w:pPr>
      <w:spacing w:after="240" w:line="240" w:lineRule="auto"/>
    </w:pPr>
    <w:rPr>
      <w:rFonts w:eastAsiaTheme="minorEastAsia" w:cstheme="minorHAnsi"/>
      <w:kern w:val="0"/>
      <w:sz w:val="28"/>
      <w:szCs w:val="28"/>
      <w14:ligatures w14:val="none"/>
    </w:rPr>
  </w:style>
  <w:style w:type="paragraph" w:styleId="Heading1">
    <w:name w:val="heading 1"/>
    <w:basedOn w:val="Normal"/>
    <w:next w:val="Normal"/>
    <w:link w:val="Heading1Char"/>
    <w:uiPriority w:val="9"/>
    <w:qFormat/>
    <w:rsid w:val="00421A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1A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1A75"/>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421A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1A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1A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1A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1A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1A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A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1A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1A75"/>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421A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1A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1A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1A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1A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1A75"/>
    <w:rPr>
      <w:rFonts w:eastAsiaTheme="majorEastAsia" w:cstheme="majorBidi"/>
      <w:color w:val="272727" w:themeColor="text1" w:themeTint="D8"/>
    </w:rPr>
  </w:style>
  <w:style w:type="paragraph" w:styleId="Title">
    <w:name w:val="Title"/>
    <w:basedOn w:val="Normal"/>
    <w:next w:val="Normal"/>
    <w:link w:val="TitleChar"/>
    <w:uiPriority w:val="10"/>
    <w:qFormat/>
    <w:rsid w:val="00421A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1A75"/>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421A75"/>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421A75"/>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421A75"/>
    <w:pPr>
      <w:spacing w:before="160"/>
      <w:jc w:val="center"/>
    </w:pPr>
    <w:rPr>
      <w:i/>
      <w:iCs/>
      <w:color w:val="404040" w:themeColor="text1" w:themeTint="BF"/>
    </w:rPr>
  </w:style>
  <w:style w:type="character" w:customStyle="1" w:styleId="QuoteChar">
    <w:name w:val="Quote Char"/>
    <w:basedOn w:val="DefaultParagraphFont"/>
    <w:link w:val="Quote"/>
    <w:uiPriority w:val="29"/>
    <w:rsid w:val="00421A75"/>
    <w:rPr>
      <w:i/>
      <w:iCs/>
      <w:color w:val="404040" w:themeColor="text1" w:themeTint="BF"/>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Maire,L"/>
    <w:basedOn w:val="Normal"/>
    <w:link w:val="ListParagraphChar"/>
    <w:uiPriority w:val="34"/>
    <w:qFormat/>
    <w:rsid w:val="00421A75"/>
    <w:pPr>
      <w:ind w:left="720"/>
      <w:contextualSpacing/>
    </w:pPr>
  </w:style>
  <w:style w:type="character" w:styleId="IntenseEmphasis">
    <w:name w:val="Intense Emphasis"/>
    <w:basedOn w:val="DefaultParagraphFont"/>
    <w:uiPriority w:val="21"/>
    <w:qFormat/>
    <w:rsid w:val="00421A75"/>
    <w:rPr>
      <w:i/>
      <w:iCs/>
      <w:color w:val="0F4761" w:themeColor="accent1" w:themeShade="BF"/>
    </w:rPr>
  </w:style>
  <w:style w:type="paragraph" w:styleId="IntenseQuote">
    <w:name w:val="Intense Quote"/>
    <w:basedOn w:val="Normal"/>
    <w:next w:val="Normal"/>
    <w:link w:val="IntenseQuoteChar"/>
    <w:uiPriority w:val="30"/>
    <w:qFormat/>
    <w:rsid w:val="00421A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1A75"/>
    <w:rPr>
      <w:i/>
      <w:iCs/>
      <w:color w:val="0F4761" w:themeColor="accent1" w:themeShade="BF"/>
    </w:rPr>
  </w:style>
  <w:style w:type="character" w:styleId="IntenseReference">
    <w:name w:val="Intense Reference"/>
    <w:basedOn w:val="DefaultParagraphFont"/>
    <w:uiPriority w:val="32"/>
    <w:qFormat/>
    <w:rsid w:val="00421A75"/>
    <w:rPr>
      <w:b/>
      <w:bCs/>
      <w:smallCaps/>
      <w:color w:val="0F4761" w:themeColor="accent1" w:themeShade="BF"/>
      <w:spacing w:val="5"/>
    </w:rPr>
  </w:style>
  <w:style w:type="paragraph" w:styleId="FootnoteText">
    <w:name w:val="footnote text"/>
    <w:aliases w:val="5_G,Footnote Text Char1,Footnote Text Char Char,Footnote Text1,Footnote Text Char1 Char Char,Footnote Text Char Char Char Char,Footnote Text Char1 Char Char1 Char Char,Footnote Text Char Char Char Char1 Char Char, Char,Char,Footnote Quot,f"/>
    <w:basedOn w:val="Normal"/>
    <w:link w:val="FootnoteTextChar"/>
    <w:uiPriority w:val="99"/>
    <w:unhideWhenUsed/>
    <w:qFormat/>
    <w:rsid w:val="00421A75"/>
    <w:pPr>
      <w:spacing w:after="0"/>
    </w:pPr>
    <w:rPr>
      <w:rFonts w:ascii="Verdana" w:hAnsi="Verdana" w:cstheme="minorBidi"/>
      <w:sz w:val="20"/>
      <w:szCs w:val="20"/>
    </w:rPr>
  </w:style>
  <w:style w:type="character" w:customStyle="1" w:styleId="FootnoteTextChar">
    <w:name w:val="Footnote Text Char"/>
    <w:aliases w:val="5_G Char,Footnote Text Char1 Char,Footnote Text Char Char Char,Footnote Text1 Char,Footnote Text Char1 Char Char Char,Footnote Text Char Char Char Char Char,Footnote Text Char1 Char Char1 Char Char Char, Char Char,Char Char,f Char"/>
    <w:basedOn w:val="DefaultParagraphFont"/>
    <w:link w:val="FootnoteText"/>
    <w:uiPriority w:val="99"/>
    <w:rsid w:val="00421A75"/>
    <w:rPr>
      <w:rFonts w:ascii="Verdana" w:eastAsiaTheme="minorEastAsia" w:hAnsi="Verdana"/>
      <w:kern w:val="0"/>
      <w:sz w:val="20"/>
      <w:szCs w:val="20"/>
      <w14:ligatures w14:val="none"/>
    </w:rPr>
  </w:style>
  <w:style w:type="character" w:styleId="Hyperlink">
    <w:name w:val="Hyperlink"/>
    <w:basedOn w:val="DefaultParagraphFont"/>
    <w:uiPriority w:val="99"/>
    <w:unhideWhenUsed/>
    <w:rsid w:val="00421A75"/>
    <w:rPr>
      <w:color w:val="467886" w:themeColor="hyperlink"/>
      <w:u w:val="single"/>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FR"/>
    <w:basedOn w:val="DefaultParagraphFont"/>
    <w:link w:val="4GChar"/>
    <w:uiPriority w:val="99"/>
    <w:unhideWhenUsed/>
    <w:qFormat/>
    <w:rsid w:val="00421A75"/>
    <w:rPr>
      <w:vertAlign w:val="superscript"/>
    </w:rPr>
  </w:style>
  <w:style w:type="paragraph" w:customStyle="1" w:styleId="4GChar">
    <w:name w:val="4_G Char"/>
    <w:aliases w:val="Footnote Reference1 Char,Footnotes refss Char,ftref Char,BVI fnr Char,BVI fnr Car Car Char,BVI fnr Car Char,BVI fnr Car Car Car Car Char,BVI fnr Char Car Car Car Char,ftref,BVI fnr Car Car,BVI fnr Car"/>
    <w:basedOn w:val="Normal"/>
    <w:link w:val="FootnoteReference"/>
    <w:uiPriority w:val="99"/>
    <w:rsid w:val="00421A75"/>
    <w:pPr>
      <w:spacing w:after="160" w:line="240" w:lineRule="exact"/>
      <w:jc w:val="both"/>
    </w:pPr>
    <w:rPr>
      <w:rFonts w:eastAsiaTheme="minorHAnsi" w:cstheme="minorBidi"/>
      <w:kern w:val="2"/>
      <w:sz w:val="24"/>
      <w:szCs w:val="24"/>
      <w:vertAlign w:val="superscript"/>
      <w14:ligatures w14:val="standardContextual"/>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rsid w:val="00421A75"/>
  </w:style>
  <w:style w:type="paragraph" w:styleId="Header">
    <w:name w:val="header"/>
    <w:basedOn w:val="Normal"/>
    <w:link w:val="HeaderChar"/>
    <w:uiPriority w:val="99"/>
    <w:unhideWhenUsed/>
    <w:rsid w:val="00421A75"/>
    <w:pPr>
      <w:tabs>
        <w:tab w:val="center" w:pos="4513"/>
        <w:tab w:val="right" w:pos="9026"/>
      </w:tabs>
    </w:pPr>
  </w:style>
  <w:style w:type="character" w:customStyle="1" w:styleId="HeaderChar">
    <w:name w:val="Header Char"/>
    <w:basedOn w:val="DefaultParagraphFont"/>
    <w:link w:val="Header"/>
    <w:uiPriority w:val="99"/>
    <w:rsid w:val="00421A75"/>
    <w:rPr>
      <w:rFonts w:eastAsiaTheme="minorEastAsia" w:cstheme="minorHAnsi"/>
      <w:kern w:val="0"/>
      <w:sz w:val="28"/>
      <w:szCs w:val="28"/>
      <w14:ligatures w14:val="none"/>
    </w:rPr>
  </w:style>
  <w:style w:type="paragraph" w:styleId="Footer">
    <w:name w:val="footer"/>
    <w:basedOn w:val="Normal"/>
    <w:link w:val="FooterChar"/>
    <w:uiPriority w:val="99"/>
    <w:unhideWhenUsed/>
    <w:rsid w:val="00421A75"/>
    <w:pPr>
      <w:tabs>
        <w:tab w:val="center" w:pos="4513"/>
        <w:tab w:val="right" w:pos="9026"/>
      </w:tabs>
    </w:pPr>
  </w:style>
  <w:style w:type="character" w:customStyle="1" w:styleId="FooterChar">
    <w:name w:val="Footer Char"/>
    <w:basedOn w:val="DefaultParagraphFont"/>
    <w:link w:val="Footer"/>
    <w:uiPriority w:val="99"/>
    <w:rsid w:val="00421A75"/>
    <w:rPr>
      <w:rFonts w:eastAsiaTheme="minorEastAsia" w:cstheme="minorHAnsi"/>
      <w:kern w:val="0"/>
      <w:sz w:val="28"/>
      <w:szCs w:val="28"/>
      <w14:ligatures w14:val="none"/>
    </w:rPr>
  </w:style>
  <w:style w:type="character" w:styleId="CommentReference">
    <w:name w:val="annotation reference"/>
    <w:basedOn w:val="DefaultParagraphFont"/>
    <w:uiPriority w:val="99"/>
    <w:unhideWhenUsed/>
    <w:rsid w:val="00421A75"/>
    <w:rPr>
      <w:sz w:val="16"/>
      <w:szCs w:val="16"/>
    </w:rPr>
  </w:style>
  <w:style w:type="paragraph" w:styleId="CommentText">
    <w:name w:val="annotation text"/>
    <w:basedOn w:val="Normal"/>
    <w:link w:val="CommentTextChar"/>
    <w:uiPriority w:val="99"/>
    <w:unhideWhenUsed/>
    <w:rsid w:val="00421A75"/>
    <w:rPr>
      <w:sz w:val="20"/>
      <w:szCs w:val="20"/>
    </w:rPr>
  </w:style>
  <w:style w:type="character" w:customStyle="1" w:styleId="CommentTextChar">
    <w:name w:val="Comment Text Char"/>
    <w:basedOn w:val="DefaultParagraphFont"/>
    <w:link w:val="CommentText"/>
    <w:uiPriority w:val="99"/>
    <w:rsid w:val="00421A75"/>
    <w:rPr>
      <w:rFonts w:eastAsiaTheme="minorEastAsia" w:cstheme="minorHAnsi"/>
      <w:kern w:val="0"/>
      <w:sz w:val="20"/>
      <w:szCs w:val="20"/>
      <w14:ligatures w14:val="none"/>
    </w:rPr>
  </w:style>
  <w:style w:type="paragraph" w:customStyle="1" w:styleId="BasicParagraph">
    <w:name w:val="[Basic Paragraph]"/>
    <w:basedOn w:val="Normal"/>
    <w:uiPriority w:val="99"/>
    <w:rsid w:val="00421A75"/>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11NumPara">
    <w:name w:val="1.1 Num Para"/>
    <w:basedOn w:val="ListNumber2"/>
    <w:link w:val="11NumParaChar"/>
    <w:qFormat/>
    <w:rsid w:val="00421A75"/>
    <w:pPr>
      <w:numPr>
        <w:ilvl w:val="1"/>
      </w:numPr>
      <w:ind w:left="709" w:hanging="709"/>
    </w:pPr>
    <w:rPr>
      <w:rFonts w:ascii="Calibri" w:hAnsi="Calibri"/>
      <w:kern w:val="2"/>
      <w:sz w:val="28"/>
      <w14:ligatures w14:val="standardContextual"/>
    </w:rPr>
  </w:style>
  <w:style w:type="character" w:customStyle="1" w:styleId="11NumParaChar">
    <w:name w:val="1.1 Num Para Char"/>
    <w:basedOn w:val="DefaultParagraphFont"/>
    <w:link w:val="11NumPara"/>
    <w:rsid w:val="00421A75"/>
    <w:rPr>
      <w:rFonts w:ascii="Calibri" w:hAnsi="Calibri"/>
      <w:sz w:val="28"/>
      <w:szCs w:val="22"/>
    </w:rPr>
  </w:style>
  <w:style w:type="paragraph" w:styleId="ListNumber2">
    <w:name w:val="List Number 2"/>
    <w:basedOn w:val="Normal"/>
    <w:uiPriority w:val="99"/>
    <w:unhideWhenUsed/>
    <w:rsid w:val="00421A75"/>
    <w:pPr>
      <w:numPr>
        <w:numId w:val="2"/>
      </w:numPr>
      <w:spacing w:after="0"/>
      <w:contextualSpacing/>
    </w:pPr>
    <w:rPr>
      <w:rFonts w:eastAsiaTheme="minorHAnsi" w:cstheme="minorBidi"/>
      <w:sz w:val="22"/>
      <w:szCs w:val="22"/>
    </w:rPr>
  </w:style>
  <w:style w:type="paragraph" w:customStyle="1" w:styleId="NIHRCFootnotes">
    <w:name w:val="NIHRC Footnotes"/>
    <w:basedOn w:val="Normal"/>
    <w:qFormat/>
    <w:rsid w:val="00421A75"/>
    <w:pPr>
      <w:tabs>
        <w:tab w:val="left" w:pos="284"/>
      </w:tabs>
      <w:spacing w:after="0" w:line="288" w:lineRule="auto"/>
    </w:pPr>
    <w:rPr>
      <w:rFonts w:ascii="Verdana" w:hAnsi="Verdana" w:cs="Arial"/>
      <w:color w:val="77328A"/>
      <w:sz w:val="16"/>
      <w:szCs w:val="16"/>
    </w:rPr>
  </w:style>
  <w:style w:type="paragraph" w:styleId="TOCHeading">
    <w:name w:val="TOC Heading"/>
    <w:basedOn w:val="Heading1"/>
    <w:next w:val="Normal"/>
    <w:uiPriority w:val="39"/>
    <w:unhideWhenUsed/>
    <w:qFormat/>
    <w:rsid w:val="00421A75"/>
    <w:pPr>
      <w:spacing w:before="240" w:after="0" w:line="259" w:lineRule="auto"/>
      <w:outlineLvl w:val="9"/>
    </w:pPr>
    <w:rPr>
      <w:sz w:val="32"/>
      <w:szCs w:val="32"/>
      <w:lang w:val="en-US"/>
    </w:rPr>
  </w:style>
  <w:style w:type="paragraph" w:styleId="TOC1">
    <w:name w:val="toc 1"/>
    <w:basedOn w:val="Normal"/>
    <w:next w:val="Normal"/>
    <w:autoRedefine/>
    <w:uiPriority w:val="39"/>
    <w:unhideWhenUsed/>
    <w:rsid w:val="00421A75"/>
    <w:pPr>
      <w:spacing w:after="100"/>
    </w:pPr>
  </w:style>
  <w:style w:type="character" w:styleId="LineNumber">
    <w:name w:val="line number"/>
    <w:basedOn w:val="DefaultParagraphFont"/>
    <w:uiPriority w:val="99"/>
    <w:semiHidden/>
    <w:unhideWhenUsed/>
    <w:rsid w:val="004A45AB"/>
  </w:style>
  <w:style w:type="paragraph" w:styleId="Revision">
    <w:name w:val="Revision"/>
    <w:hidden/>
    <w:uiPriority w:val="99"/>
    <w:semiHidden/>
    <w:rsid w:val="000C0C3B"/>
    <w:pPr>
      <w:spacing w:after="0" w:line="240" w:lineRule="auto"/>
    </w:pPr>
    <w:rPr>
      <w:rFonts w:eastAsiaTheme="minorEastAsia" w:cstheme="minorHAnsi"/>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fif"/><Relationship Id="rId17" Type="http://schemas.openxmlformats.org/officeDocument/2006/relationships/hyperlink" Target="mailto:&#201;ilis.Haughey@nihrc.org" TargetMode="External"/><Relationship Id="rId2" Type="http://schemas.openxmlformats.org/officeDocument/2006/relationships/customXml" Target="../customXml/item2.xml"/><Relationship Id="rId16" Type="http://schemas.openxmlformats.org/officeDocument/2006/relationships/hyperlink" Target="https://committees.parliament.uk/writtenevidence/13620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qualityni.org/ECNI/media/ECNI/Publications/Delivering%20Equality/DMU/DMU-JointAnnualReport-2023-24.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nihrc.org/publication/detail/annual-human-rights-statement-2024" TargetMode="External"/><Relationship Id="rId13" Type="http://schemas.openxmlformats.org/officeDocument/2006/relationships/hyperlink" Target="https://eur-lex.europa.eu/eli/dir/2023/970/oj" TargetMode="External"/><Relationship Id="rId3" Type="http://schemas.openxmlformats.org/officeDocument/2006/relationships/hyperlink" Target="https://www.judiciaryni.uk/files/judiciaryni/2024-09/%5B2024%5D%20NICA%2059.pdf" TargetMode="External"/><Relationship Id="rId7" Type="http://schemas.openxmlformats.org/officeDocument/2006/relationships/hyperlink" Target="https://assets.publishing.service.gov.uk/media/6780f2f861e7988536018409/Independent_Review__Terms_of_Reference.pdf" TargetMode="External"/><Relationship Id="rId12" Type="http://schemas.openxmlformats.org/officeDocument/2006/relationships/hyperlink" Target="https://protect.checkpoint.com/v2/___https:/eur-lex.europa.eu/legal-content/EN/TXT/?uri=OJ:L_202401499___.YzJlOnVsc3RlcnVuaXZlcnNpdHk6YzpvOmIxZTg4MmJmZmRjNDUwNGZhNTNmZTg1NjQ1ZjY2NWE4OjY6NDNiZjowN2ZiYjBiZGZlZjAyNDAxYjczZDIzYjI3YWJlN2E3OGRkN2IwZjVjY2EzNTU3MDZiNWE2YjJjMWIyM2UwMDU4OnA6RjpO" TargetMode="External"/><Relationship Id="rId2" Type="http://schemas.openxmlformats.org/officeDocument/2006/relationships/hyperlink" Target="https://www.judiciaryni.uk/judicial-decisions/2024-nikb-35" TargetMode="External"/><Relationship Id="rId16" Type="http://schemas.openxmlformats.org/officeDocument/2006/relationships/hyperlink" Target="https://www.judiciaryni.uk/judicial-decisions/2023-nica-35" TargetMode="External"/><Relationship Id="rId1" Type="http://schemas.openxmlformats.org/officeDocument/2006/relationships/hyperlink" Target="https://www.judiciaryni.uk/files/judiciaryni/2024-09/%5B2024%5D%20NICA%2059.pdf" TargetMode="External"/><Relationship Id="rId6" Type="http://schemas.openxmlformats.org/officeDocument/2006/relationships/hyperlink" Target="https://assets.publishing.service.gov.uk/government/uploads/system/uploads/attachment_data/file/907682/Explainer__UK_Government_commitment_to_no_diminution_of_rights__safeguards_and_equality_of_opportunity_in_Northern_Ireland.pdf" TargetMode="External"/><Relationship Id="rId11" Type="http://schemas.openxmlformats.org/officeDocument/2006/relationships/hyperlink" Target="https://protect.checkpoint.com/v2/___https:/eur-lex.europa.eu/legal-content/EN/TXT/?uri=OJ:L_202401500___.YzJlOnVsc3RlcnVuaXZlcnNpdHk6YzpvOmIxZTg4MmJmZmRjNDUwNGZhNTNmZTg1NjQ1ZjY2NWE4OjY6YTc1Mjo5MWVkMWIxZjRkMmQxNDkwYWNmOWNlMzA3ZTdiNmM0MDNkY2ZmMDQzODNiNTRhODg4MzQ3NjA1MjlhOThiMmZmOnA6RjpO" TargetMode="External"/><Relationship Id="rId5" Type="http://schemas.openxmlformats.org/officeDocument/2006/relationships/hyperlink" Target="https://www.equalityni.org/ECNI/media/ECNI/Publications/Delivering%20Equality/DMU/NIHRC-ECNI-Scope-of-Protocol-Working-Paper-December-2022.pdf" TargetMode="External"/><Relationship Id="rId15" Type="http://schemas.openxmlformats.org/officeDocument/2006/relationships/hyperlink" Target="https://www.judiciaryni.uk/files/judiciaryni/2024-09/%5B2024%5D%20NICA%2059.pdf" TargetMode="External"/><Relationship Id="rId10" Type="http://schemas.openxmlformats.org/officeDocument/2006/relationships/hyperlink" Target="https://nihrc.org/publication/detail/joint-nihrc-ecni-briefing-paper-on-the-eu-pay-transparency-directive" TargetMode="External"/><Relationship Id="rId4" Type="http://schemas.openxmlformats.org/officeDocument/2006/relationships/hyperlink" Target="https://www.judiciaryni.uk/judicial-decisions/2023-nica-35" TargetMode="External"/><Relationship Id="rId9" Type="http://schemas.openxmlformats.org/officeDocument/2006/relationships/hyperlink" Target="https://nihrc.org/publication/detail/nihrc-and-ecni-annual-report-on-the-implementation-of-article-2-of-the-windsor-framework-2024" TargetMode="External"/><Relationship Id="rId14" Type="http://schemas.openxmlformats.org/officeDocument/2006/relationships/hyperlink" Target="https://www.equalityni.org/ECNI/media/ECNI/Publications/Delivering%20Equality/DMU/ECNI_NIHRC_Briefing-paper_Pay-Transparency-Directive_4-March-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BFC6D29CA7D64582CD3FECC4DACEBC" ma:contentTypeVersion="6" ma:contentTypeDescription="Create a new document." ma:contentTypeScope="" ma:versionID="5899725cbd9115091774f98e91becd46">
  <xsd:schema xmlns:xsd="http://www.w3.org/2001/XMLSchema" xmlns:xs="http://www.w3.org/2001/XMLSchema" xmlns:p="http://schemas.microsoft.com/office/2006/metadata/properties" xmlns:ns2="747e211f-edd5-49a2-a56a-0bba1342ca96" xmlns:ns3="c602a341-a332-4142-9445-238289b94cda" targetNamespace="http://schemas.microsoft.com/office/2006/metadata/properties" ma:root="true" ma:fieldsID="b3d8d260d241cc810f7a447e106fc3d1" ns2:_="" ns3:_="">
    <xsd:import namespace="747e211f-edd5-49a2-a56a-0bba1342ca96"/>
    <xsd:import namespace="c602a341-a332-4142-9445-238289b94c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e211f-edd5-49a2-a56a-0bba1342c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02a341-a332-4142-9445-238289b94c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8D22E-08D8-4C5D-AFDE-42F4BFCAE5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F6CDE8-6C42-40D0-8AB5-5D692A23C437}">
  <ds:schemaRefs>
    <ds:schemaRef ds:uri="http://schemas.openxmlformats.org/officeDocument/2006/bibliography"/>
  </ds:schemaRefs>
</ds:datastoreItem>
</file>

<file path=customXml/itemProps3.xml><?xml version="1.0" encoding="utf-8"?>
<ds:datastoreItem xmlns:ds="http://schemas.openxmlformats.org/officeDocument/2006/customXml" ds:itemID="{8B38837F-EB9D-4062-B524-015D3FC18699}">
  <ds:schemaRefs>
    <ds:schemaRef ds:uri="http://schemas.microsoft.com/sharepoint/v3/contenttype/forms"/>
  </ds:schemaRefs>
</ds:datastoreItem>
</file>

<file path=customXml/itemProps4.xml><?xml version="1.0" encoding="utf-8"?>
<ds:datastoreItem xmlns:ds="http://schemas.openxmlformats.org/officeDocument/2006/customXml" ds:itemID="{E86F2740-D284-4D3D-AA93-D990957DF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e211f-edd5-49a2-a56a-0bba1342ca96"/>
    <ds:schemaRef ds:uri="c602a341-a332-4142-9445-238289b94c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1638</Words>
  <Characters>9338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Edel Quinn</dc:creator>
  <cp:keywords/>
  <dc:description/>
  <cp:lastModifiedBy>Eilis Haughey</cp:lastModifiedBy>
  <cp:revision>2</cp:revision>
  <cp:lastPrinted>2025-05-30T10:16:00Z</cp:lastPrinted>
  <dcterms:created xsi:type="dcterms:W3CDTF">2025-06-05T09:33:00Z</dcterms:created>
  <dcterms:modified xsi:type="dcterms:W3CDTF">2025-06-05T09:33:00Z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0x01010026BFC6D29CA7D64582CD3FECC4DACEBC</vt:lpwstr>
  </property>
  <property fmtid="{D5CDD505-2E9C-101B-9397-08002B2CF9AE}" pid="3" name="MediaServiceImageTags">
    <vt:lpwstr/>
  </property>
</Properties>
</file>