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311E" w14:textId="77777777" w:rsidR="00015718" w:rsidRPr="006F01F3" w:rsidRDefault="00015718" w:rsidP="00015718">
      <w:pPr>
        <w:pStyle w:val="BasicParagraph"/>
        <w:suppressAutoHyphens/>
        <w:jc w:val="center"/>
        <w:rPr>
          <w:rFonts w:ascii="Verdana" w:hAnsi="Verdana" w:cs="Arial"/>
          <w:b/>
          <w:bCs/>
          <w:color w:val="734791"/>
          <w:sz w:val="36"/>
          <w:szCs w:val="36"/>
        </w:rPr>
      </w:pPr>
      <w:bookmarkStart w:id="0" w:name="_Toc118292599"/>
      <w:r w:rsidRPr="006F01F3">
        <w:rPr>
          <w:rFonts w:ascii="Verdana" w:hAnsi="Verdana" w:cs="Arial"/>
          <w:b/>
          <w:bCs/>
          <w:noProof/>
          <w:color w:val="734791"/>
          <w:sz w:val="36"/>
          <w:szCs w:val="36"/>
          <w:lang w:eastAsia="en-GB"/>
        </w:rPr>
        <w:drawing>
          <wp:inline distT="0" distB="0" distL="0" distR="0" wp14:anchorId="49F49AF8" wp14:editId="47E9E60C">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0A9203A6" w14:textId="77777777" w:rsidR="00015718" w:rsidRPr="006F01F3" w:rsidRDefault="00015718" w:rsidP="00015718">
      <w:pPr>
        <w:pStyle w:val="BasicParagraph"/>
        <w:suppressAutoHyphens/>
        <w:jc w:val="center"/>
        <w:rPr>
          <w:rFonts w:ascii="Verdana" w:hAnsi="Verdana" w:cs="Arial"/>
          <w:b/>
          <w:bCs/>
          <w:color w:val="734791"/>
          <w:sz w:val="36"/>
          <w:szCs w:val="36"/>
        </w:rPr>
      </w:pPr>
    </w:p>
    <w:p w14:paraId="1EA2B02D" w14:textId="4935CD35" w:rsidR="00015718" w:rsidRPr="006F01F3" w:rsidRDefault="00375410" w:rsidP="00E32D88">
      <w:pPr>
        <w:pStyle w:val="Title"/>
      </w:pPr>
      <w:r w:rsidRPr="006F01F3">
        <w:t>Submission</w:t>
      </w:r>
      <w:r w:rsidR="00015718" w:rsidRPr="006F01F3">
        <w:t xml:space="preserve"> </w:t>
      </w:r>
      <w:r w:rsidR="00097577" w:rsidRPr="006F01F3">
        <w:t xml:space="preserve">to the </w:t>
      </w:r>
      <w:r w:rsidR="003E02A3">
        <w:t xml:space="preserve">House of Lords </w:t>
      </w:r>
      <w:r w:rsidR="00097577" w:rsidRPr="006F01F3">
        <w:t>European Affairs Committee Inquiry on Dynamic Alignment</w:t>
      </w:r>
    </w:p>
    <w:p w14:paraId="624D8304" w14:textId="77777777" w:rsidR="00015718" w:rsidRPr="006F01F3" w:rsidRDefault="00015718" w:rsidP="00015718">
      <w:pPr>
        <w:pStyle w:val="Default"/>
        <w:spacing w:line="288" w:lineRule="auto"/>
        <w:jc w:val="center"/>
        <w:rPr>
          <w:rFonts w:cs="Arial"/>
          <w:color w:val="232120"/>
          <w:sz w:val="36"/>
          <w:szCs w:val="36"/>
        </w:rPr>
      </w:pPr>
    </w:p>
    <w:p w14:paraId="52A81408" w14:textId="77777777" w:rsidR="00015718" w:rsidRPr="006F01F3" w:rsidRDefault="00015718" w:rsidP="00015718">
      <w:pPr>
        <w:pStyle w:val="Default"/>
        <w:spacing w:line="288" w:lineRule="auto"/>
        <w:jc w:val="center"/>
        <w:rPr>
          <w:rFonts w:cs="Arial"/>
          <w:color w:val="232120"/>
          <w:sz w:val="36"/>
          <w:szCs w:val="36"/>
        </w:rPr>
      </w:pPr>
    </w:p>
    <w:p w14:paraId="1515601C" w14:textId="77777777" w:rsidR="00015718" w:rsidRPr="006F01F3" w:rsidRDefault="00015718" w:rsidP="00015718">
      <w:pPr>
        <w:pStyle w:val="Default"/>
        <w:spacing w:line="288" w:lineRule="auto"/>
        <w:jc w:val="center"/>
        <w:rPr>
          <w:rFonts w:cs="Arial"/>
          <w:color w:val="232120"/>
          <w:sz w:val="36"/>
          <w:szCs w:val="36"/>
        </w:rPr>
      </w:pPr>
    </w:p>
    <w:p w14:paraId="7014C68B" w14:textId="77777777" w:rsidR="00015718" w:rsidRPr="006F01F3" w:rsidRDefault="00015718" w:rsidP="00015718">
      <w:pPr>
        <w:pStyle w:val="Default"/>
        <w:spacing w:line="288" w:lineRule="auto"/>
        <w:jc w:val="center"/>
        <w:rPr>
          <w:rFonts w:cs="Arial"/>
          <w:color w:val="232120"/>
          <w:sz w:val="36"/>
          <w:szCs w:val="36"/>
        </w:rPr>
      </w:pPr>
    </w:p>
    <w:p w14:paraId="6811C16C" w14:textId="77777777" w:rsidR="00015718" w:rsidRPr="006F01F3" w:rsidRDefault="00015718" w:rsidP="00015718">
      <w:pPr>
        <w:pStyle w:val="Default"/>
        <w:spacing w:line="288" w:lineRule="auto"/>
        <w:jc w:val="center"/>
        <w:rPr>
          <w:rFonts w:cs="Arial"/>
          <w:color w:val="232120"/>
          <w:sz w:val="36"/>
          <w:szCs w:val="36"/>
        </w:rPr>
      </w:pPr>
    </w:p>
    <w:p w14:paraId="0C36410D" w14:textId="77777777" w:rsidR="00015718" w:rsidRPr="006F01F3" w:rsidRDefault="00015718" w:rsidP="00015718">
      <w:pPr>
        <w:pStyle w:val="Default"/>
        <w:spacing w:line="288" w:lineRule="auto"/>
        <w:jc w:val="center"/>
        <w:rPr>
          <w:rFonts w:cs="Arial"/>
          <w:color w:val="232120"/>
          <w:sz w:val="36"/>
          <w:szCs w:val="36"/>
        </w:rPr>
      </w:pPr>
    </w:p>
    <w:p w14:paraId="186A4A05" w14:textId="379517B7" w:rsidR="00015718" w:rsidRPr="006F01F3" w:rsidRDefault="00CC156D" w:rsidP="00015718">
      <w:pPr>
        <w:jc w:val="center"/>
        <w:rPr>
          <w:rFonts w:cs="Arial"/>
          <w:b/>
          <w:color w:val="232120"/>
          <w:sz w:val="30"/>
          <w:szCs w:val="30"/>
        </w:rPr>
      </w:pPr>
      <w:r>
        <w:rPr>
          <w:rFonts w:cs="Arial"/>
          <w:b/>
          <w:color w:val="232120"/>
          <w:sz w:val="30"/>
          <w:szCs w:val="30"/>
        </w:rPr>
        <w:t xml:space="preserve">05 </w:t>
      </w:r>
      <w:r w:rsidR="003B31F5">
        <w:rPr>
          <w:rFonts w:cs="Arial"/>
          <w:b/>
          <w:color w:val="232120"/>
          <w:sz w:val="30"/>
          <w:szCs w:val="30"/>
        </w:rPr>
        <w:t xml:space="preserve">May </w:t>
      </w:r>
      <w:r w:rsidR="00097577" w:rsidRPr="006F01F3">
        <w:rPr>
          <w:rFonts w:cs="Arial"/>
          <w:b/>
          <w:color w:val="232120"/>
          <w:sz w:val="30"/>
          <w:szCs w:val="30"/>
        </w:rPr>
        <w:t>2026</w:t>
      </w:r>
    </w:p>
    <w:p w14:paraId="40A6616E" w14:textId="77777777" w:rsidR="00015718" w:rsidRPr="006F01F3" w:rsidRDefault="00015718" w:rsidP="00015718"/>
    <w:p w14:paraId="56151385" w14:textId="77777777" w:rsidR="003F60F5" w:rsidRPr="006F01F3" w:rsidRDefault="003F60F5" w:rsidP="003F60F5"/>
    <w:p w14:paraId="3F07405E" w14:textId="77777777" w:rsidR="00015718" w:rsidRPr="006F01F3" w:rsidRDefault="00015718">
      <w:pPr>
        <w:rPr>
          <w:rFonts w:eastAsiaTheme="majorEastAsia" w:cstheme="majorBidi"/>
          <w:b/>
          <w:szCs w:val="26"/>
        </w:rPr>
      </w:pPr>
      <w:bookmarkStart w:id="1" w:name="_Toc121392669"/>
      <w:r w:rsidRPr="006F01F3">
        <w:br w:type="page"/>
      </w:r>
    </w:p>
    <w:bookmarkStart w:id="2" w:name="_Toc228875296" w:displacedByCustomXml="next"/>
    <w:sdt>
      <w:sdtPr>
        <w:rPr>
          <w:rFonts w:eastAsiaTheme="minorEastAsia" w:cstheme="minorBidi"/>
          <w:b w:val="0"/>
          <w:color w:val="auto"/>
          <w:sz w:val="24"/>
          <w:szCs w:val="24"/>
        </w:rPr>
        <w:id w:val="504181103"/>
        <w:docPartObj>
          <w:docPartGallery w:val="Table of Contents"/>
          <w:docPartUnique/>
        </w:docPartObj>
      </w:sdtPr>
      <w:sdtEndPr>
        <w:rPr>
          <w:bCs/>
          <w:noProof/>
        </w:rPr>
      </w:sdtEndPr>
      <w:sdtContent>
        <w:p w14:paraId="4456DCF5" w14:textId="5E3A599A" w:rsidR="00A250D0" w:rsidRPr="006F01F3" w:rsidRDefault="00A250D0" w:rsidP="00C231F7">
          <w:pPr>
            <w:pStyle w:val="Heading1"/>
            <w:numPr>
              <w:ilvl w:val="0"/>
              <w:numId w:val="0"/>
            </w:numPr>
            <w:ind w:left="720" w:hanging="720"/>
          </w:pPr>
          <w:r w:rsidRPr="006F01F3">
            <w:t>Table of Contents</w:t>
          </w:r>
          <w:bookmarkEnd w:id="2"/>
        </w:p>
        <w:p w14:paraId="7F8C4E3F" w14:textId="77777777" w:rsidR="00A250D0" w:rsidRPr="006F01F3" w:rsidRDefault="00A250D0" w:rsidP="00A250D0">
          <w:pPr>
            <w:rPr>
              <w:lang w:val="en-US"/>
            </w:rPr>
          </w:pPr>
        </w:p>
        <w:p w14:paraId="73E41739" w14:textId="4BD504BC" w:rsidR="00237D13" w:rsidRDefault="00A250D0">
          <w:pPr>
            <w:pStyle w:val="TOC1"/>
            <w:rPr>
              <w:rFonts w:asciiTheme="minorHAnsi" w:hAnsiTheme="minorHAnsi"/>
              <w:b w:val="0"/>
              <w:bCs w:val="0"/>
              <w:kern w:val="2"/>
              <w:lang w:eastAsia="en-GB"/>
              <w14:ligatures w14:val="standardContextual"/>
            </w:rPr>
          </w:pPr>
          <w:r w:rsidRPr="006F01F3">
            <w:fldChar w:fldCharType="begin"/>
          </w:r>
          <w:r w:rsidRPr="006F01F3">
            <w:instrText xml:space="preserve"> TOC \o "1-3" \h \z \u </w:instrText>
          </w:r>
          <w:r w:rsidRPr="006F01F3">
            <w:fldChar w:fldCharType="separate"/>
          </w:r>
          <w:hyperlink w:anchor="_Toc228875296" w:history="1">
            <w:r w:rsidR="00237D13" w:rsidRPr="001E74F9">
              <w:rPr>
                <w:rStyle w:val="Hyperlink"/>
              </w:rPr>
              <w:t>Table of Contents</w:t>
            </w:r>
            <w:r w:rsidR="00237D13">
              <w:rPr>
                <w:webHidden/>
              </w:rPr>
              <w:tab/>
            </w:r>
            <w:r w:rsidR="00237D13">
              <w:rPr>
                <w:webHidden/>
              </w:rPr>
              <w:fldChar w:fldCharType="begin"/>
            </w:r>
            <w:r w:rsidR="00237D13">
              <w:rPr>
                <w:webHidden/>
              </w:rPr>
              <w:instrText xml:space="preserve"> PAGEREF _Toc228875296 \h </w:instrText>
            </w:r>
            <w:r w:rsidR="00237D13">
              <w:rPr>
                <w:webHidden/>
              </w:rPr>
            </w:r>
            <w:r w:rsidR="00237D13">
              <w:rPr>
                <w:webHidden/>
              </w:rPr>
              <w:fldChar w:fldCharType="separate"/>
            </w:r>
            <w:r w:rsidR="00281D39">
              <w:rPr>
                <w:webHidden/>
              </w:rPr>
              <w:t>2</w:t>
            </w:r>
            <w:r w:rsidR="00237D13">
              <w:rPr>
                <w:webHidden/>
              </w:rPr>
              <w:fldChar w:fldCharType="end"/>
            </w:r>
          </w:hyperlink>
        </w:p>
        <w:p w14:paraId="105BDB7F" w14:textId="41D290AA" w:rsidR="00237D13" w:rsidRDefault="00237D13">
          <w:pPr>
            <w:pStyle w:val="TOC1"/>
            <w:rPr>
              <w:rFonts w:asciiTheme="minorHAnsi" w:hAnsiTheme="minorHAnsi"/>
              <w:b w:val="0"/>
              <w:bCs w:val="0"/>
              <w:kern w:val="2"/>
              <w:lang w:eastAsia="en-GB"/>
              <w14:ligatures w14:val="standardContextual"/>
            </w:rPr>
          </w:pPr>
          <w:hyperlink w:anchor="_Toc228875297" w:history="1">
            <w:r w:rsidRPr="001E74F9">
              <w:rPr>
                <w:rStyle w:val="Hyperlink"/>
              </w:rPr>
              <w:t>Summary of Advice and Recommendations</w:t>
            </w:r>
            <w:r>
              <w:rPr>
                <w:webHidden/>
              </w:rPr>
              <w:tab/>
            </w:r>
            <w:r>
              <w:rPr>
                <w:webHidden/>
              </w:rPr>
              <w:fldChar w:fldCharType="begin"/>
            </w:r>
            <w:r>
              <w:rPr>
                <w:webHidden/>
              </w:rPr>
              <w:instrText xml:space="preserve"> PAGEREF _Toc228875297 \h </w:instrText>
            </w:r>
            <w:r>
              <w:rPr>
                <w:webHidden/>
              </w:rPr>
            </w:r>
            <w:r>
              <w:rPr>
                <w:webHidden/>
              </w:rPr>
              <w:fldChar w:fldCharType="separate"/>
            </w:r>
            <w:r w:rsidR="00281D39">
              <w:rPr>
                <w:webHidden/>
              </w:rPr>
              <w:t>3</w:t>
            </w:r>
            <w:r>
              <w:rPr>
                <w:webHidden/>
              </w:rPr>
              <w:fldChar w:fldCharType="end"/>
            </w:r>
          </w:hyperlink>
        </w:p>
        <w:p w14:paraId="2F005F4B" w14:textId="38FF8D89" w:rsidR="00237D13" w:rsidRDefault="00237D13">
          <w:pPr>
            <w:pStyle w:val="TOC1"/>
            <w:rPr>
              <w:rFonts w:asciiTheme="minorHAnsi" w:hAnsiTheme="minorHAnsi"/>
              <w:b w:val="0"/>
              <w:bCs w:val="0"/>
              <w:kern w:val="2"/>
              <w:lang w:eastAsia="en-GB"/>
              <w14:ligatures w14:val="standardContextual"/>
            </w:rPr>
          </w:pPr>
          <w:hyperlink w:anchor="_Toc228875298" w:history="1">
            <w:r w:rsidRPr="001E74F9">
              <w:rPr>
                <w:rStyle w:val="Hyperlink"/>
              </w:rPr>
              <w:t>1.0</w:t>
            </w:r>
            <w:r>
              <w:rPr>
                <w:rFonts w:asciiTheme="minorHAnsi" w:hAnsiTheme="minorHAnsi"/>
                <w:b w:val="0"/>
                <w:bCs w:val="0"/>
                <w:kern w:val="2"/>
                <w:lang w:eastAsia="en-GB"/>
                <w14:ligatures w14:val="standardContextual"/>
              </w:rPr>
              <w:tab/>
            </w:r>
            <w:r w:rsidRPr="001E74F9">
              <w:rPr>
                <w:rStyle w:val="Hyperlink"/>
              </w:rPr>
              <w:t>Introduction</w:t>
            </w:r>
            <w:r>
              <w:rPr>
                <w:webHidden/>
              </w:rPr>
              <w:tab/>
            </w:r>
            <w:r>
              <w:rPr>
                <w:webHidden/>
              </w:rPr>
              <w:fldChar w:fldCharType="begin"/>
            </w:r>
            <w:r>
              <w:rPr>
                <w:webHidden/>
              </w:rPr>
              <w:instrText xml:space="preserve"> PAGEREF _Toc228875298 \h </w:instrText>
            </w:r>
            <w:r>
              <w:rPr>
                <w:webHidden/>
              </w:rPr>
            </w:r>
            <w:r>
              <w:rPr>
                <w:webHidden/>
              </w:rPr>
              <w:fldChar w:fldCharType="separate"/>
            </w:r>
            <w:r w:rsidR="00281D39">
              <w:rPr>
                <w:webHidden/>
              </w:rPr>
              <w:t>5</w:t>
            </w:r>
            <w:r>
              <w:rPr>
                <w:webHidden/>
              </w:rPr>
              <w:fldChar w:fldCharType="end"/>
            </w:r>
          </w:hyperlink>
        </w:p>
        <w:p w14:paraId="3C549703" w14:textId="05869118" w:rsidR="00237D13" w:rsidRDefault="00237D13">
          <w:pPr>
            <w:pStyle w:val="TOC1"/>
            <w:rPr>
              <w:rFonts w:asciiTheme="minorHAnsi" w:hAnsiTheme="minorHAnsi"/>
              <w:b w:val="0"/>
              <w:bCs w:val="0"/>
              <w:kern w:val="2"/>
              <w:lang w:eastAsia="en-GB"/>
              <w14:ligatures w14:val="standardContextual"/>
            </w:rPr>
          </w:pPr>
          <w:hyperlink w:anchor="_Toc228875299" w:history="1">
            <w:r w:rsidRPr="001E74F9">
              <w:rPr>
                <w:rStyle w:val="Hyperlink"/>
              </w:rPr>
              <w:t>2.0</w:t>
            </w:r>
            <w:r>
              <w:rPr>
                <w:rFonts w:asciiTheme="minorHAnsi" w:hAnsiTheme="minorHAnsi"/>
                <w:b w:val="0"/>
                <w:bCs w:val="0"/>
                <w:kern w:val="2"/>
                <w:lang w:eastAsia="en-GB"/>
                <w14:ligatures w14:val="standardContextual"/>
              </w:rPr>
              <w:tab/>
            </w:r>
            <w:r w:rsidRPr="001E74F9">
              <w:rPr>
                <w:rStyle w:val="Hyperlink"/>
              </w:rPr>
              <w:t>Windsor Framework Article 2 and dynamic alignment</w:t>
            </w:r>
            <w:r>
              <w:rPr>
                <w:webHidden/>
              </w:rPr>
              <w:tab/>
            </w:r>
            <w:r>
              <w:rPr>
                <w:webHidden/>
              </w:rPr>
              <w:fldChar w:fldCharType="begin"/>
            </w:r>
            <w:r>
              <w:rPr>
                <w:webHidden/>
              </w:rPr>
              <w:instrText xml:space="preserve"> PAGEREF _Toc228875299 \h </w:instrText>
            </w:r>
            <w:r>
              <w:rPr>
                <w:webHidden/>
              </w:rPr>
            </w:r>
            <w:r>
              <w:rPr>
                <w:webHidden/>
              </w:rPr>
              <w:fldChar w:fldCharType="separate"/>
            </w:r>
            <w:r w:rsidR="00281D39">
              <w:rPr>
                <w:webHidden/>
              </w:rPr>
              <w:t>6</w:t>
            </w:r>
            <w:r>
              <w:rPr>
                <w:webHidden/>
              </w:rPr>
              <w:fldChar w:fldCharType="end"/>
            </w:r>
          </w:hyperlink>
        </w:p>
        <w:p w14:paraId="143234F8" w14:textId="3AE2BA7E" w:rsidR="00237D13" w:rsidRDefault="00237D13">
          <w:pPr>
            <w:pStyle w:val="TOC2"/>
            <w:tabs>
              <w:tab w:val="right" w:leader="dot" w:pos="9016"/>
            </w:tabs>
            <w:rPr>
              <w:rFonts w:asciiTheme="minorHAnsi" w:hAnsiTheme="minorHAnsi"/>
              <w:noProof/>
              <w:kern w:val="2"/>
              <w:lang w:eastAsia="en-GB"/>
              <w14:ligatures w14:val="standardContextual"/>
            </w:rPr>
          </w:pPr>
          <w:hyperlink w:anchor="_Toc228875300" w:history="1">
            <w:r w:rsidRPr="001E74F9">
              <w:rPr>
                <w:rStyle w:val="Hyperlink"/>
                <w:bCs/>
                <w:noProof/>
              </w:rPr>
              <w:t>Question 1:</w:t>
            </w:r>
            <w:r w:rsidRPr="001E74F9">
              <w:rPr>
                <w:rStyle w:val="Hyperlink"/>
                <w:noProof/>
              </w:rPr>
              <w:t xml:space="preserve"> What is Dynamic alignment?</w:t>
            </w:r>
            <w:r>
              <w:rPr>
                <w:noProof/>
                <w:webHidden/>
              </w:rPr>
              <w:tab/>
            </w:r>
            <w:r>
              <w:rPr>
                <w:noProof/>
                <w:webHidden/>
              </w:rPr>
              <w:fldChar w:fldCharType="begin"/>
            </w:r>
            <w:r>
              <w:rPr>
                <w:noProof/>
                <w:webHidden/>
              </w:rPr>
              <w:instrText xml:space="preserve"> PAGEREF _Toc228875300 \h </w:instrText>
            </w:r>
            <w:r>
              <w:rPr>
                <w:noProof/>
                <w:webHidden/>
              </w:rPr>
            </w:r>
            <w:r>
              <w:rPr>
                <w:noProof/>
                <w:webHidden/>
              </w:rPr>
              <w:fldChar w:fldCharType="separate"/>
            </w:r>
            <w:r w:rsidR="00281D39">
              <w:rPr>
                <w:noProof/>
                <w:webHidden/>
              </w:rPr>
              <w:t>8</w:t>
            </w:r>
            <w:r>
              <w:rPr>
                <w:noProof/>
                <w:webHidden/>
              </w:rPr>
              <w:fldChar w:fldCharType="end"/>
            </w:r>
          </w:hyperlink>
        </w:p>
        <w:p w14:paraId="6526D0A1" w14:textId="0D4839CD" w:rsidR="00237D13" w:rsidRDefault="00237D13">
          <w:pPr>
            <w:pStyle w:val="TOC3"/>
            <w:tabs>
              <w:tab w:val="right" w:leader="dot" w:pos="9016"/>
            </w:tabs>
            <w:rPr>
              <w:rFonts w:asciiTheme="minorHAnsi" w:hAnsiTheme="minorHAnsi"/>
              <w:noProof/>
              <w:kern w:val="2"/>
              <w:lang w:eastAsia="en-GB"/>
              <w14:ligatures w14:val="standardContextual"/>
            </w:rPr>
          </w:pPr>
          <w:hyperlink w:anchor="_Toc228875301" w:history="1">
            <w:r w:rsidRPr="001E74F9">
              <w:rPr>
                <w:rStyle w:val="Hyperlink"/>
                <w:noProof/>
              </w:rPr>
              <w:t>Dynamic alignment with EU Measures</w:t>
            </w:r>
            <w:r>
              <w:rPr>
                <w:noProof/>
                <w:webHidden/>
              </w:rPr>
              <w:tab/>
            </w:r>
            <w:r>
              <w:rPr>
                <w:noProof/>
                <w:webHidden/>
              </w:rPr>
              <w:fldChar w:fldCharType="begin"/>
            </w:r>
            <w:r>
              <w:rPr>
                <w:noProof/>
                <w:webHidden/>
              </w:rPr>
              <w:instrText xml:space="preserve"> PAGEREF _Toc228875301 \h </w:instrText>
            </w:r>
            <w:r>
              <w:rPr>
                <w:noProof/>
                <w:webHidden/>
              </w:rPr>
            </w:r>
            <w:r>
              <w:rPr>
                <w:noProof/>
                <w:webHidden/>
              </w:rPr>
              <w:fldChar w:fldCharType="separate"/>
            </w:r>
            <w:r w:rsidR="00281D39">
              <w:rPr>
                <w:noProof/>
                <w:webHidden/>
              </w:rPr>
              <w:t>8</w:t>
            </w:r>
            <w:r>
              <w:rPr>
                <w:noProof/>
                <w:webHidden/>
              </w:rPr>
              <w:fldChar w:fldCharType="end"/>
            </w:r>
          </w:hyperlink>
        </w:p>
        <w:p w14:paraId="1D1E95B8" w14:textId="344C48CF" w:rsidR="00237D13" w:rsidRDefault="00237D13">
          <w:pPr>
            <w:pStyle w:val="TOC3"/>
            <w:tabs>
              <w:tab w:val="right" w:leader="dot" w:pos="9016"/>
            </w:tabs>
            <w:rPr>
              <w:rFonts w:asciiTheme="minorHAnsi" w:hAnsiTheme="minorHAnsi"/>
              <w:noProof/>
              <w:kern w:val="2"/>
              <w:lang w:eastAsia="en-GB"/>
              <w14:ligatures w14:val="standardContextual"/>
            </w:rPr>
          </w:pPr>
          <w:hyperlink w:anchor="_Toc228875302" w:history="1">
            <w:r w:rsidRPr="001E74F9">
              <w:rPr>
                <w:rStyle w:val="Hyperlink"/>
                <w:noProof/>
              </w:rPr>
              <w:t>CJEU Jurisprudence</w:t>
            </w:r>
            <w:r>
              <w:rPr>
                <w:noProof/>
                <w:webHidden/>
              </w:rPr>
              <w:tab/>
            </w:r>
            <w:r>
              <w:rPr>
                <w:noProof/>
                <w:webHidden/>
              </w:rPr>
              <w:fldChar w:fldCharType="begin"/>
            </w:r>
            <w:r>
              <w:rPr>
                <w:noProof/>
                <w:webHidden/>
              </w:rPr>
              <w:instrText xml:space="preserve"> PAGEREF _Toc228875302 \h </w:instrText>
            </w:r>
            <w:r>
              <w:rPr>
                <w:noProof/>
                <w:webHidden/>
              </w:rPr>
            </w:r>
            <w:r>
              <w:rPr>
                <w:noProof/>
                <w:webHidden/>
              </w:rPr>
              <w:fldChar w:fldCharType="separate"/>
            </w:r>
            <w:r w:rsidR="00281D39">
              <w:rPr>
                <w:noProof/>
                <w:webHidden/>
              </w:rPr>
              <w:t>10</w:t>
            </w:r>
            <w:r>
              <w:rPr>
                <w:noProof/>
                <w:webHidden/>
              </w:rPr>
              <w:fldChar w:fldCharType="end"/>
            </w:r>
          </w:hyperlink>
        </w:p>
        <w:p w14:paraId="39627688" w14:textId="16A9165C" w:rsidR="00237D13" w:rsidRDefault="00237D13">
          <w:pPr>
            <w:pStyle w:val="TOC1"/>
            <w:rPr>
              <w:rFonts w:asciiTheme="minorHAnsi" w:hAnsiTheme="minorHAnsi"/>
              <w:b w:val="0"/>
              <w:bCs w:val="0"/>
              <w:kern w:val="2"/>
              <w:lang w:eastAsia="en-GB"/>
              <w14:ligatures w14:val="standardContextual"/>
            </w:rPr>
          </w:pPr>
          <w:hyperlink w:anchor="_Toc228875303" w:history="1">
            <w:r w:rsidRPr="001E74F9">
              <w:rPr>
                <w:rStyle w:val="Hyperlink"/>
              </w:rPr>
              <w:t>3.0</w:t>
            </w:r>
            <w:r>
              <w:rPr>
                <w:rFonts w:asciiTheme="minorHAnsi" w:hAnsiTheme="minorHAnsi"/>
                <w:b w:val="0"/>
                <w:bCs w:val="0"/>
                <w:kern w:val="2"/>
                <w:lang w:eastAsia="en-GB"/>
                <w14:ligatures w14:val="standardContextual"/>
              </w:rPr>
              <w:tab/>
            </w:r>
            <w:r w:rsidRPr="001E74F9">
              <w:rPr>
                <w:rStyle w:val="Hyperlink"/>
              </w:rPr>
              <w:t>Lessons from NI</w:t>
            </w:r>
            <w:r>
              <w:rPr>
                <w:webHidden/>
              </w:rPr>
              <w:tab/>
            </w:r>
            <w:r>
              <w:rPr>
                <w:webHidden/>
              </w:rPr>
              <w:fldChar w:fldCharType="begin"/>
            </w:r>
            <w:r>
              <w:rPr>
                <w:webHidden/>
              </w:rPr>
              <w:instrText xml:space="preserve"> PAGEREF _Toc228875303 \h </w:instrText>
            </w:r>
            <w:r>
              <w:rPr>
                <w:webHidden/>
              </w:rPr>
            </w:r>
            <w:r>
              <w:rPr>
                <w:webHidden/>
              </w:rPr>
              <w:fldChar w:fldCharType="separate"/>
            </w:r>
            <w:r w:rsidR="00281D39">
              <w:rPr>
                <w:webHidden/>
              </w:rPr>
              <w:t>14</w:t>
            </w:r>
            <w:r>
              <w:rPr>
                <w:webHidden/>
              </w:rPr>
              <w:fldChar w:fldCharType="end"/>
            </w:r>
          </w:hyperlink>
        </w:p>
        <w:p w14:paraId="116A0C36" w14:textId="6C7B981F" w:rsidR="00237D13" w:rsidRDefault="00237D13">
          <w:pPr>
            <w:pStyle w:val="TOC2"/>
            <w:tabs>
              <w:tab w:val="right" w:leader="dot" w:pos="9016"/>
            </w:tabs>
            <w:rPr>
              <w:rFonts w:asciiTheme="minorHAnsi" w:hAnsiTheme="minorHAnsi"/>
              <w:noProof/>
              <w:kern w:val="2"/>
              <w:lang w:eastAsia="en-GB"/>
              <w14:ligatures w14:val="standardContextual"/>
            </w:rPr>
          </w:pPr>
          <w:hyperlink w:anchor="_Toc228875304" w:history="1">
            <w:r w:rsidRPr="001E74F9">
              <w:rPr>
                <w:rStyle w:val="Hyperlink"/>
                <w:bCs/>
                <w:noProof/>
              </w:rPr>
              <w:t>Question 2b:</w:t>
            </w:r>
            <w:r w:rsidRPr="001E74F9">
              <w:rPr>
                <w:rStyle w:val="Hyperlink"/>
                <w:noProof/>
              </w:rPr>
              <w:t xml:space="preserve"> In developing its arrangements for dynamic alignment, are there lessons that the UK should draw from the experience of a form of dynamic alignment with respect to NI under the Withdrawal Agreement Protocol/Windsor Framework?</w:t>
            </w:r>
            <w:r>
              <w:rPr>
                <w:noProof/>
                <w:webHidden/>
              </w:rPr>
              <w:tab/>
            </w:r>
            <w:r>
              <w:rPr>
                <w:noProof/>
                <w:webHidden/>
              </w:rPr>
              <w:fldChar w:fldCharType="begin"/>
            </w:r>
            <w:r>
              <w:rPr>
                <w:noProof/>
                <w:webHidden/>
              </w:rPr>
              <w:instrText xml:space="preserve"> PAGEREF _Toc228875304 \h </w:instrText>
            </w:r>
            <w:r>
              <w:rPr>
                <w:noProof/>
                <w:webHidden/>
              </w:rPr>
            </w:r>
            <w:r>
              <w:rPr>
                <w:noProof/>
                <w:webHidden/>
              </w:rPr>
              <w:fldChar w:fldCharType="separate"/>
            </w:r>
            <w:r w:rsidR="00281D39">
              <w:rPr>
                <w:noProof/>
                <w:webHidden/>
              </w:rPr>
              <w:t>14</w:t>
            </w:r>
            <w:r>
              <w:rPr>
                <w:noProof/>
                <w:webHidden/>
              </w:rPr>
              <w:fldChar w:fldCharType="end"/>
            </w:r>
          </w:hyperlink>
        </w:p>
        <w:p w14:paraId="2C632E10" w14:textId="5FE996C6" w:rsidR="00237D13" w:rsidRDefault="00237D13">
          <w:pPr>
            <w:pStyle w:val="TOC1"/>
            <w:rPr>
              <w:rFonts w:asciiTheme="minorHAnsi" w:hAnsiTheme="minorHAnsi"/>
              <w:b w:val="0"/>
              <w:bCs w:val="0"/>
              <w:kern w:val="2"/>
              <w:lang w:eastAsia="en-GB"/>
              <w14:ligatures w14:val="standardContextual"/>
            </w:rPr>
          </w:pPr>
          <w:hyperlink w:anchor="_Toc228875305" w:history="1">
            <w:r w:rsidRPr="001E74F9">
              <w:rPr>
                <w:rStyle w:val="Hyperlink"/>
              </w:rPr>
              <w:t>4.0</w:t>
            </w:r>
            <w:r>
              <w:rPr>
                <w:rFonts w:asciiTheme="minorHAnsi" w:hAnsiTheme="minorHAnsi"/>
                <w:b w:val="0"/>
                <w:bCs w:val="0"/>
                <w:kern w:val="2"/>
                <w:lang w:eastAsia="en-GB"/>
                <w14:ligatures w14:val="standardContextual"/>
              </w:rPr>
              <w:tab/>
            </w:r>
            <w:r w:rsidRPr="001E74F9">
              <w:rPr>
                <w:rStyle w:val="Hyperlink"/>
              </w:rPr>
              <w:t>Stakeholder Engagement</w:t>
            </w:r>
            <w:r>
              <w:rPr>
                <w:webHidden/>
              </w:rPr>
              <w:tab/>
            </w:r>
            <w:r>
              <w:rPr>
                <w:webHidden/>
              </w:rPr>
              <w:fldChar w:fldCharType="begin"/>
            </w:r>
            <w:r>
              <w:rPr>
                <w:webHidden/>
              </w:rPr>
              <w:instrText xml:space="preserve"> PAGEREF _Toc228875305 \h </w:instrText>
            </w:r>
            <w:r>
              <w:rPr>
                <w:webHidden/>
              </w:rPr>
            </w:r>
            <w:r>
              <w:rPr>
                <w:webHidden/>
              </w:rPr>
              <w:fldChar w:fldCharType="separate"/>
            </w:r>
            <w:r w:rsidR="00281D39">
              <w:rPr>
                <w:webHidden/>
              </w:rPr>
              <w:t>20</w:t>
            </w:r>
            <w:r>
              <w:rPr>
                <w:webHidden/>
              </w:rPr>
              <w:fldChar w:fldCharType="end"/>
            </w:r>
          </w:hyperlink>
        </w:p>
        <w:p w14:paraId="73EAE95C" w14:textId="77C6F3FB" w:rsidR="00237D13" w:rsidRDefault="00237D13">
          <w:pPr>
            <w:pStyle w:val="TOC2"/>
            <w:tabs>
              <w:tab w:val="right" w:leader="dot" w:pos="9016"/>
            </w:tabs>
            <w:rPr>
              <w:rFonts w:asciiTheme="minorHAnsi" w:hAnsiTheme="minorHAnsi"/>
              <w:noProof/>
              <w:kern w:val="2"/>
              <w:lang w:eastAsia="en-GB"/>
              <w14:ligatures w14:val="standardContextual"/>
            </w:rPr>
          </w:pPr>
          <w:hyperlink w:anchor="_Toc228875306" w:history="1">
            <w:r w:rsidRPr="001E74F9">
              <w:rPr>
                <w:rStyle w:val="Hyperlink"/>
                <w:bCs/>
                <w:noProof/>
              </w:rPr>
              <w:t>Question 3:</w:t>
            </w:r>
            <w:r w:rsidRPr="001E74F9">
              <w:rPr>
                <w:rStyle w:val="Hyperlink"/>
                <w:noProof/>
              </w:rPr>
              <w:t xml:space="preserve"> Can formal ‘decision-shaping’ by non-EU states, under agreements with the EU, deliver real influence over the EU law to which it applies?</w:t>
            </w:r>
            <w:r>
              <w:rPr>
                <w:noProof/>
                <w:webHidden/>
              </w:rPr>
              <w:tab/>
            </w:r>
            <w:r>
              <w:rPr>
                <w:noProof/>
                <w:webHidden/>
              </w:rPr>
              <w:fldChar w:fldCharType="begin"/>
            </w:r>
            <w:r>
              <w:rPr>
                <w:noProof/>
                <w:webHidden/>
              </w:rPr>
              <w:instrText xml:space="preserve"> PAGEREF _Toc228875306 \h </w:instrText>
            </w:r>
            <w:r>
              <w:rPr>
                <w:noProof/>
                <w:webHidden/>
              </w:rPr>
            </w:r>
            <w:r>
              <w:rPr>
                <w:noProof/>
                <w:webHidden/>
              </w:rPr>
              <w:fldChar w:fldCharType="separate"/>
            </w:r>
            <w:r w:rsidR="00281D39">
              <w:rPr>
                <w:noProof/>
                <w:webHidden/>
              </w:rPr>
              <w:t>20</w:t>
            </w:r>
            <w:r>
              <w:rPr>
                <w:noProof/>
                <w:webHidden/>
              </w:rPr>
              <w:fldChar w:fldCharType="end"/>
            </w:r>
          </w:hyperlink>
        </w:p>
        <w:p w14:paraId="53678529" w14:textId="16076E8D" w:rsidR="00A250D0" w:rsidRPr="006F01F3" w:rsidRDefault="00A250D0">
          <w:r w:rsidRPr="006F01F3">
            <w:rPr>
              <w:b/>
              <w:bCs/>
              <w:noProof/>
            </w:rPr>
            <w:fldChar w:fldCharType="end"/>
          </w:r>
        </w:p>
      </w:sdtContent>
    </w:sdt>
    <w:p w14:paraId="31218C30" w14:textId="77777777" w:rsidR="00A250D0" w:rsidRPr="006F01F3" w:rsidRDefault="00A250D0">
      <w:pPr>
        <w:spacing w:line="240" w:lineRule="auto"/>
        <w:rPr>
          <w:rFonts w:eastAsiaTheme="majorEastAsia" w:cstheme="majorBidi"/>
          <w:b/>
          <w:color w:val="77328A"/>
          <w:sz w:val="32"/>
          <w:szCs w:val="32"/>
        </w:rPr>
      </w:pPr>
      <w:r w:rsidRPr="006F01F3">
        <w:br w:type="page"/>
      </w:r>
    </w:p>
    <w:p w14:paraId="1ABE5F68" w14:textId="22914369" w:rsidR="00E32D88" w:rsidRPr="006F01F3" w:rsidRDefault="00E32D88" w:rsidP="00E32D88">
      <w:pPr>
        <w:pStyle w:val="Heading1"/>
        <w:numPr>
          <w:ilvl w:val="0"/>
          <w:numId w:val="0"/>
        </w:numPr>
        <w:ind w:left="720" w:hanging="720"/>
      </w:pPr>
      <w:bookmarkStart w:id="3" w:name="_Toc228875297"/>
      <w:r w:rsidRPr="006F01F3">
        <w:lastRenderedPageBreak/>
        <w:t>Summary of Advice and Recommendations</w:t>
      </w:r>
      <w:bookmarkEnd w:id="3"/>
      <w:r w:rsidRPr="006F01F3">
        <w:t xml:space="preserve"> </w:t>
      </w:r>
    </w:p>
    <w:p w14:paraId="0E26C00A" w14:textId="456FF99F" w:rsidR="00E32D88" w:rsidRPr="009029C9" w:rsidRDefault="00E32D88" w:rsidP="007544A5">
      <w:pPr>
        <w:pBdr>
          <w:top w:val="single" w:sz="4" w:space="1" w:color="auto"/>
          <w:left w:val="single" w:sz="4" w:space="4" w:color="auto"/>
          <w:bottom w:val="single" w:sz="4" w:space="1" w:color="auto"/>
          <w:right w:val="single" w:sz="4" w:space="4" w:color="auto"/>
        </w:pBdr>
        <w:rPr>
          <w:b/>
          <w:bCs/>
        </w:rPr>
      </w:pPr>
      <w:r w:rsidRPr="006F01F3">
        <w:rPr>
          <w:b/>
          <w:bCs/>
        </w:rPr>
        <w:t xml:space="preserve">The </w:t>
      </w:r>
      <w:r w:rsidR="007544A5" w:rsidRPr="006F01F3">
        <w:rPr>
          <w:b/>
          <w:bCs/>
        </w:rPr>
        <w:t>Northern Ireland</w:t>
      </w:r>
      <w:r w:rsidRPr="006F01F3">
        <w:rPr>
          <w:b/>
          <w:bCs/>
        </w:rPr>
        <w:t xml:space="preserve"> Human Rights Commission</w:t>
      </w:r>
      <w:r w:rsidR="007544A5" w:rsidRPr="006F01F3">
        <w:rPr>
          <w:b/>
          <w:bCs/>
        </w:rPr>
        <w:t xml:space="preserve"> recommends that</w:t>
      </w:r>
      <w:r w:rsidRPr="006F01F3">
        <w:rPr>
          <w:b/>
          <w:bCs/>
        </w:rPr>
        <w:t xml:space="preserve">: </w:t>
      </w:r>
    </w:p>
    <w:p w14:paraId="70947582" w14:textId="77777777" w:rsidR="009029C9" w:rsidRDefault="009029C9" w:rsidP="009029C9">
      <w:pPr>
        <w:pBdr>
          <w:top w:val="single" w:sz="4" w:space="1" w:color="auto"/>
          <w:left w:val="single" w:sz="4" w:space="4" w:color="auto"/>
          <w:bottom w:val="single" w:sz="4" w:space="1" w:color="auto"/>
          <w:right w:val="single" w:sz="4" w:space="4" w:color="auto"/>
        </w:pBdr>
      </w:pPr>
    </w:p>
    <w:p w14:paraId="0A6CFF81" w14:textId="73C81B08" w:rsidR="009029C9" w:rsidRPr="009029C9" w:rsidRDefault="009029C9" w:rsidP="009029C9">
      <w:pPr>
        <w:pBdr>
          <w:top w:val="single" w:sz="4" w:space="1" w:color="auto"/>
          <w:left w:val="single" w:sz="4" w:space="4" w:color="auto"/>
          <w:bottom w:val="single" w:sz="4" w:space="1" w:color="auto"/>
          <w:right w:val="single" w:sz="4" w:space="4" w:color="auto"/>
        </w:pBdr>
        <w:ind w:left="720" w:hanging="720"/>
        <w:rPr>
          <w:b/>
          <w:bCs/>
        </w:rPr>
      </w:pPr>
      <w:r w:rsidRPr="009029C9">
        <w:rPr>
          <w:b/>
          <w:bCs/>
        </w:rPr>
        <w:t>2.18</w:t>
      </w:r>
      <w:r w:rsidRPr="009029C9">
        <w:rPr>
          <w:b/>
          <w:bCs/>
        </w:rPr>
        <w:tab/>
        <w:t>the Committee ask the UK Government to undertake, with the EU, a review of monitoring and information-sharing mechanisms pursuant to the Windsor Framework, including Article 2, and publish the findings with any recommendations for improvement.</w:t>
      </w:r>
    </w:p>
    <w:p w14:paraId="1292B455" w14:textId="77777777" w:rsidR="009029C9" w:rsidRPr="009029C9" w:rsidRDefault="009029C9" w:rsidP="009029C9">
      <w:pPr>
        <w:pBdr>
          <w:top w:val="single" w:sz="4" w:space="1" w:color="auto"/>
          <w:left w:val="single" w:sz="4" w:space="4" w:color="auto"/>
          <w:bottom w:val="single" w:sz="4" w:space="1" w:color="auto"/>
          <w:right w:val="single" w:sz="4" w:space="4" w:color="auto"/>
        </w:pBdr>
        <w:rPr>
          <w:b/>
          <w:bCs/>
        </w:rPr>
      </w:pPr>
    </w:p>
    <w:p w14:paraId="211CEAC3" w14:textId="5EC1ECAD" w:rsidR="009029C9" w:rsidRPr="009029C9" w:rsidRDefault="009029C9" w:rsidP="009029C9">
      <w:pPr>
        <w:pBdr>
          <w:top w:val="single" w:sz="4" w:space="1" w:color="auto"/>
          <w:left w:val="single" w:sz="4" w:space="4" w:color="auto"/>
          <w:bottom w:val="single" w:sz="4" w:space="1" w:color="auto"/>
          <w:right w:val="single" w:sz="4" w:space="4" w:color="auto"/>
        </w:pBdr>
        <w:ind w:left="720" w:hanging="720"/>
        <w:rPr>
          <w:b/>
          <w:bCs/>
        </w:rPr>
      </w:pPr>
      <w:r w:rsidRPr="009029C9">
        <w:rPr>
          <w:b/>
          <w:bCs/>
        </w:rPr>
        <w:t>2.19</w:t>
      </w:r>
      <w:r w:rsidRPr="009029C9">
        <w:rPr>
          <w:b/>
          <w:bCs/>
        </w:rPr>
        <w:tab/>
        <w:t>to facilitate compliance with the dynamic alignment obligation pursuant to Articles 2 and 13 of the Windsor Framework, the UK Government publish an annual report monitoring and providing detailed analysis of any proposed changes by the EU to the equality directives listed in Annex 1 and relevant CJEU case law.</w:t>
      </w:r>
    </w:p>
    <w:p w14:paraId="6D66F20F" w14:textId="77777777" w:rsidR="009029C9" w:rsidRPr="009029C9" w:rsidRDefault="009029C9" w:rsidP="009029C9">
      <w:pPr>
        <w:pBdr>
          <w:top w:val="single" w:sz="4" w:space="1" w:color="auto"/>
          <w:left w:val="single" w:sz="4" w:space="4" w:color="auto"/>
          <w:bottom w:val="single" w:sz="4" w:space="1" w:color="auto"/>
          <w:right w:val="single" w:sz="4" w:space="4" w:color="auto"/>
        </w:pBdr>
        <w:rPr>
          <w:b/>
          <w:bCs/>
        </w:rPr>
      </w:pPr>
      <w:r w:rsidRPr="009029C9">
        <w:rPr>
          <w:b/>
          <w:bCs/>
        </w:rPr>
        <w:t xml:space="preserve"> </w:t>
      </w:r>
    </w:p>
    <w:p w14:paraId="216124A2" w14:textId="50A1A2E8" w:rsidR="009029C9" w:rsidRPr="009029C9" w:rsidRDefault="009029C9" w:rsidP="009029C9">
      <w:pPr>
        <w:pBdr>
          <w:top w:val="single" w:sz="4" w:space="1" w:color="auto"/>
          <w:left w:val="single" w:sz="4" w:space="4" w:color="auto"/>
          <w:bottom w:val="single" w:sz="4" w:space="1" w:color="auto"/>
          <w:right w:val="single" w:sz="4" w:space="4" w:color="auto"/>
        </w:pBdr>
        <w:ind w:left="720" w:hanging="720"/>
        <w:rPr>
          <w:b/>
          <w:bCs/>
        </w:rPr>
      </w:pPr>
      <w:r w:rsidRPr="009029C9">
        <w:rPr>
          <w:b/>
          <w:bCs/>
        </w:rPr>
        <w:t>2.20</w:t>
      </w:r>
      <w:r w:rsidRPr="009029C9">
        <w:rPr>
          <w:b/>
          <w:bCs/>
        </w:rPr>
        <w:tab/>
        <w:t xml:space="preserve">the UK Government and EU undertake regular reviews of new EU equality and human rights laws to identify new measures to be considered for addition to Annex 1, as provided for under Article 13(4) of the Windsor Framework. </w:t>
      </w:r>
      <w:proofErr w:type="gramStart"/>
      <w:r w:rsidRPr="009029C9">
        <w:rPr>
          <w:b/>
          <w:bCs/>
        </w:rPr>
        <w:t>Particular consideration</w:t>
      </w:r>
      <w:proofErr w:type="gramEnd"/>
      <w:r w:rsidRPr="009029C9">
        <w:rPr>
          <w:b/>
          <w:bCs/>
        </w:rPr>
        <w:t xml:space="preserve"> should be given to alignment of standards across both jurisdictions on the island of Ireland, where these enhance rights.</w:t>
      </w:r>
    </w:p>
    <w:p w14:paraId="26C72602" w14:textId="77777777" w:rsidR="009029C9" w:rsidRPr="009029C9" w:rsidRDefault="009029C9" w:rsidP="009029C9">
      <w:pPr>
        <w:pBdr>
          <w:top w:val="single" w:sz="4" w:space="1" w:color="auto"/>
          <w:left w:val="single" w:sz="4" w:space="4" w:color="auto"/>
          <w:bottom w:val="single" w:sz="4" w:space="1" w:color="auto"/>
          <w:right w:val="single" w:sz="4" w:space="4" w:color="auto"/>
        </w:pBdr>
        <w:rPr>
          <w:b/>
          <w:bCs/>
        </w:rPr>
      </w:pPr>
    </w:p>
    <w:p w14:paraId="31498647" w14:textId="18AD003B" w:rsidR="009029C9" w:rsidRPr="009029C9" w:rsidRDefault="009029C9" w:rsidP="009029C9">
      <w:pPr>
        <w:pBdr>
          <w:top w:val="single" w:sz="4" w:space="1" w:color="auto"/>
          <w:left w:val="single" w:sz="4" w:space="4" w:color="auto"/>
          <w:bottom w:val="single" w:sz="4" w:space="1" w:color="auto"/>
          <w:right w:val="single" w:sz="4" w:space="4" w:color="auto"/>
        </w:pBdr>
        <w:ind w:left="720" w:hanging="720"/>
        <w:rPr>
          <w:b/>
          <w:bCs/>
        </w:rPr>
      </w:pPr>
      <w:r w:rsidRPr="009029C9">
        <w:rPr>
          <w:b/>
          <w:bCs/>
        </w:rPr>
        <w:t>3.13</w:t>
      </w:r>
      <w:r w:rsidRPr="009029C9">
        <w:rPr>
          <w:b/>
          <w:bCs/>
        </w:rPr>
        <w:tab/>
        <w:t>the UK Government and EU agree and publish a robust and comprehensive framework for considering whether a new measure amends or replaces an existing one and commends the NIHRC’s approach in respect of the Annex 1 equality directives for consideration.</w:t>
      </w:r>
    </w:p>
    <w:p w14:paraId="6CB12350" w14:textId="77777777" w:rsidR="009029C9" w:rsidRPr="009029C9" w:rsidRDefault="009029C9" w:rsidP="009029C9">
      <w:pPr>
        <w:pBdr>
          <w:top w:val="single" w:sz="4" w:space="1" w:color="auto"/>
          <w:left w:val="single" w:sz="4" w:space="4" w:color="auto"/>
          <w:bottom w:val="single" w:sz="4" w:space="1" w:color="auto"/>
          <w:right w:val="single" w:sz="4" w:space="4" w:color="auto"/>
        </w:pBdr>
        <w:rPr>
          <w:b/>
          <w:bCs/>
        </w:rPr>
      </w:pPr>
    </w:p>
    <w:p w14:paraId="62A4A5E0" w14:textId="3FEE910E" w:rsidR="009029C9" w:rsidRPr="009029C9" w:rsidRDefault="009029C9" w:rsidP="009029C9">
      <w:pPr>
        <w:pBdr>
          <w:top w:val="single" w:sz="4" w:space="1" w:color="auto"/>
          <w:left w:val="single" w:sz="4" w:space="4" w:color="auto"/>
          <w:bottom w:val="single" w:sz="4" w:space="1" w:color="auto"/>
          <w:right w:val="single" w:sz="4" w:space="4" w:color="auto"/>
        </w:pBdr>
        <w:ind w:left="720" w:hanging="720"/>
        <w:rPr>
          <w:b/>
          <w:bCs/>
        </w:rPr>
      </w:pPr>
      <w:r w:rsidRPr="009029C9">
        <w:rPr>
          <w:b/>
          <w:bCs/>
        </w:rPr>
        <w:t>3.14</w:t>
      </w:r>
      <w:r w:rsidRPr="009029C9">
        <w:rPr>
          <w:b/>
          <w:bCs/>
        </w:rPr>
        <w:tab/>
        <w:t>the Committee urges the UK Government to set out how it will ensure that NI law is updated to reflect those provisions of the EU Pay Transparency Directive and the EU directives on standards for equality bodies which amend or replace Annex 1 Equality Directives.</w:t>
      </w:r>
    </w:p>
    <w:p w14:paraId="617C7F47" w14:textId="77777777" w:rsidR="009029C9" w:rsidRPr="009029C9" w:rsidRDefault="009029C9" w:rsidP="009029C9">
      <w:pPr>
        <w:pBdr>
          <w:top w:val="single" w:sz="4" w:space="1" w:color="auto"/>
          <w:left w:val="single" w:sz="4" w:space="4" w:color="auto"/>
          <w:bottom w:val="single" w:sz="4" w:space="1" w:color="auto"/>
          <w:right w:val="single" w:sz="4" w:space="4" w:color="auto"/>
        </w:pBdr>
        <w:rPr>
          <w:b/>
          <w:bCs/>
        </w:rPr>
      </w:pPr>
    </w:p>
    <w:p w14:paraId="002BBF22" w14:textId="3E3F93B6" w:rsidR="009029C9" w:rsidRPr="009029C9" w:rsidRDefault="009029C9" w:rsidP="009029C9">
      <w:pPr>
        <w:pBdr>
          <w:top w:val="single" w:sz="4" w:space="1" w:color="auto"/>
          <w:left w:val="single" w:sz="4" w:space="4" w:color="auto"/>
          <w:bottom w:val="single" w:sz="4" w:space="1" w:color="auto"/>
          <w:right w:val="single" w:sz="4" w:space="4" w:color="auto"/>
        </w:pBdr>
        <w:ind w:left="720" w:hanging="720"/>
        <w:rPr>
          <w:b/>
          <w:bCs/>
        </w:rPr>
      </w:pPr>
      <w:r w:rsidRPr="009029C9">
        <w:rPr>
          <w:b/>
          <w:bCs/>
        </w:rPr>
        <w:lastRenderedPageBreak/>
        <w:t>3.15</w:t>
      </w:r>
      <w:r w:rsidRPr="009029C9">
        <w:rPr>
          <w:b/>
          <w:bCs/>
        </w:rPr>
        <w:tab/>
        <w:t xml:space="preserve">the Committee asks the UK Government to ensure that equality and human rights considerations are built in at all key stages when the ‘Stormont brake’ or the revised process under Windsor Framework Article 13(4) is engaged and that a human rights compliant approach is prioritised. </w:t>
      </w:r>
    </w:p>
    <w:p w14:paraId="027D9F93" w14:textId="77777777" w:rsidR="009029C9" w:rsidRPr="009029C9" w:rsidRDefault="009029C9" w:rsidP="009029C9">
      <w:pPr>
        <w:pBdr>
          <w:top w:val="single" w:sz="4" w:space="1" w:color="auto"/>
          <w:left w:val="single" w:sz="4" w:space="4" w:color="auto"/>
          <w:bottom w:val="single" w:sz="4" w:space="1" w:color="auto"/>
          <w:right w:val="single" w:sz="4" w:space="4" w:color="auto"/>
        </w:pBdr>
        <w:rPr>
          <w:b/>
          <w:bCs/>
        </w:rPr>
      </w:pPr>
    </w:p>
    <w:p w14:paraId="285F7FAE" w14:textId="12E0B6BF" w:rsidR="009029C9" w:rsidRPr="009029C9" w:rsidRDefault="009029C9" w:rsidP="009029C9">
      <w:pPr>
        <w:pBdr>
          <w:top w:val="single" w:sz="4" w:space="1" w:color="auto"/>
          <w:left w:val="single" w:sz="4" w:space="4" w:color="auto"/>
          <w:bottom w:val="single" w:sz="4" w:space="1" w:color="auto"/>
          <w:right w:val="single" w:sz="4" w:space="4" w:color="auto"/>
        </w:pBdr>
        <w:ind w:left="720" w:hanging="720"/>
        <w:rPr>
          <w:b/>
          <w:bCs/>
        </w:rPr>
      </w:pPr>
      <w:r w:rsidRPr="009029C9">
        <w:rPr>
          <w:b/>
          <w:bCs/>
        </w:rPr>
        <w:t>4.7</w:t>
      </w:r>
      <w:r w:rsidRPr="009029C9">
        <w:rPr>
          <w:b/>
          <w:bCs/>
        </w:rPr>
        <w:tab/>
        <w:t>the Committee ask the UK Government and EU officials to ensure ongoing, timely and structured engagement with NI civil society including equality and human rights stakeholders, on matters relating to Windsor Framework Article 2. This engagement should include those working on rights and equality on a cross-border basis.</w:t>
      </w:r>
    </w:p>
    <w:p w14:paraId="2F3683EA" w14:textId="77777777" w:rsidR="009029C9" w:rsidRPr="009029C9" w:rsidRDefault="009029C9" w:rsidP="009029C9">
      <w:pPr>
        <w:pBdr>
          <w:top w:val="single" w:sz="4" w:space="1" w:color="auto"/>
          <w:left w:val="single" w:sz="4" w:space="4" w:color="auto"/>
          <w:bottom w:val="single" w:sz="4" w:space="1" w:color="auto"/>
          <w:right w:val="single" w:sz="4" w:space="4" w:color="auto"/>
        </w:pBdr>
        <w:rPr>
          <w:b/>
          <w:bCs/>
        </w:rPr>
      </w:pPr>
    </w:p>
    <w:p w14:paraId="596F7628" w14:textId="603252A6" w:rsidR="009029C9" w:rsidRPr="009029C9" w:rsidRDefault="009029C9" w:rsidP="009029C9">
      <w:pPr>
        <w:pBdr>
          <w:top w:val="single" w:sz="4" w:space="1" w:color="auto"/>
          <w:left w:val="single" w:sz="4" w:space="4" w:color="auto"/>
          <w:bottom w:val="single" w:sz="4" w:space="1" w:color="auto"/>
          <w:right w:val="single" w:sz="4" w:space="4" w:color="auto"/>
        </w:pBdr>
        <w:ind w:left="720" w:hanging="720"/>
        <w:rPr>
          <w:b/>
          <w:bCs/>
        </w:rPr>
      </w:pPr>
      <w:r w:rsidRPr="009029C9">
        <w:rPr>
          <w:b/>
          <w:bCs/>
        </w:rPr>
        <w:t>4.9</w:t>
      </w:r>
      <w:r w:rsidRPr="009029C9">
        <w:rPr>
          <w:b/>
          <w:bCs/>
        </w:rPr>
        <w:tab/>
        <w:t xml:space="preserve">the Committee ask the UK Government to provide details about how information on new EU legislative and policy developments of relevance to the Windsor Framework will be shared with NI stakeholders to facilitate the opportunity for engagement with those proposals at an early stage. </w:t>
      </w:r>
    </w:p>
    <w:p w14:paraId="4C3D2E4F" w14:textId="77777777" w:rsidR="009029C9" w:rsidRPr="009029C9" w:rsidRDefault="009029C9" w:rsidP="009029C9">
      <w:pPr>
        <w:pBdr>
          <w:top w:val="single" w:sz="4" w:space="1" w:color="auto"/>
          <w:left w:val="single" w:sz="4" w:space="4" w:color="auto"/>
          <w:bottom w:val="single" w:sz="4" w:space="1" w:color="auto"/>
          <w:right w:val="single" w:sz="4" w:space="4" w:color="auto"/>
        </w:pBdr>
        <w:rPr>
          <w:b/>
          <w:bCs/>
        </w:rPr>
      </w:pPr>
    </w:p>
    <w:p w14:paraId="62266D35" w14:textId="0F7D3F77" w:rsidR="009029C9" w:rsidRPr="009029C9" w:rsidRDefault="009029C9" w:rsidP="009029C9">
      <w:pPr>
        <w:pBdr>
          <w:top w:val="single" w:sz="4" w:space="1" w:color="auto"/>
          <w:left w:val="single" w:sz="4" w:space="4" w:color="auto"/>
          <w:bottom w:val="single" w:sz="4" w:space="1" w:color="auto"/>
          <w:right w:val="single" w:sz="4" w:space="4" w:color="auto"/>
        </w:pBdr>
        <w:ind w:left="720" w:hanging="720"/>
        <w:rPr>
          <w:b/>
          <w:bCs/>
        </w:rPr>
      </w:pPr>
      <w:r w:rsidRPr="009029C9">
        <w:rPr>
          <w:b/>
          <w:bCs/>
        </w:rPr>
        <w:t>4.12</w:t>
      </w:r>
      <w:r w:rsidRPr="009029C9">
        <w:rPr>
          <w:b/>
          <w:bCs/>
        </w:rPr>
        <w:tab/>
        <w:t>the Committee urges the UK Government to undertake and publish early and detailed technical analysis of proposed EU law developments, including those of relevance to Windsor Framework Article 2, to facilitate effective parliamentary scrutiny of those developments.</w:t>
      </w:r>
    </w:p>
    <w:p w14:paraId="7738624B" w14:textId="77777777" w:rsidR="009029C9" w:rsidRPr="009029C9" w:rsidRDefault="009029C9" w:rsidP="009029C9">
      <w:pPr>
        <w:pBdr>
          <w:top w:val="single" w:sz="4" w:space="1" w:color="auto"/>
          <w:left w:val="single" w:sz="4" w:space="4" w:color="auto"/>
          <w:bottom w:val="single" w:sz="4" w:space="1" w:color="auto"/>
          <w:right w:val="single" w:sz="4" w:space="4" w:color="auto"/>
        </w:pBdr>
        <w:rPr>
          <w:b/>
          <w:bCs/>
        </w:rPr>
      </w:pPr>
    </w:p>
    <w:p w14:paraId="192F0DDB" w14:textId="52F87C7D" w:rsidR="009029C9" w:rsidRPr="009029C9" w:rsidRDefault="009029C9" w:rsidP="009029C9">
      <w:pPr>
        <w:pBdr>
          <w:top w:val="single" w:sz="4" w:space="1" w:color="auto"/>
          <w:left w:val="single" w:sz="4" w:space="4" w:color="auto"/>
          <w:bottom w:val="single" w:sz="4" w:space="1" w:color="auto"/>
          <w:right w:val="single" w:sz="4" w:space="4" w:color="auto"/>
        </w:pBdr>
        <w:ind w:left="720" w:hanging="720"/>
        <w:rPr>
          <w:b/>
          <w:bCs/>
        </w:rPr>
      </w:pPr>
      <w:r w:rsidRPr="009029C9">
        <w:rPr>
          <w:b/>
          <w:bCs/>
        </w:rPr>
        <w:t>4.13</w:t>
      </w:r>
      <w:r w:rsidRPr="009029C9">
        <w:rPr>
          <w:b/>
          <w:bCs/>
        </w:rPr>
        <w:tab/>
        <w:t xml:space="preserve">the Committee consider whether there is early, detailed and effective scrutiny of proposed EU law developments relevant to the dynamic alignment obligations, including under Windsor Framework Article 2, within the UK parliamentary committee structure.  </w:t>
      </w:r>
    </w:p>
    <w:p w14:paraId="7518ABD2" w14:textId="77777777" w:rsidR="009029C9" w:rsidRPr="006F01F3" w:rsidRDefault="009029C9" w:rsidP="007544A5">
      <w:pPr>
        <w:pBdr>
          <w:top w:val="single" w:sz="4" w:space="1" w:color="auto"/>
          <w:left w:val="single" w:sz="4" w:space="4" w:color="auto"/>
          <w:bottom w:val="single" w:sz="4" w:space="1" w:color="auto"/>
          <w:right w:val="single" w:sz="4" w:space="4" w:color="auto"/>
        </w:pBdr>
      </w:pPr>
    </w:p>
    <w:p w14:paraId="15D701C9" w14:textId="77777777" w:rsidR="00E32D88" w:rsidRPr="006F01F3" w:rsidRDefault="00E32D88">
      <w:pPr>
        <w:spacing w:line="240" w:lineRule="auto"/>
      </w:pPr>
      <w:r w:rsidRPr="006F01F3">
        <w:br w:type="page"/>
      </w:r>
    </w:p>
    <w:p w14:paraId="05BC957A" w14:textId="648C8BF4" w:rsidR="00FE169D" w:rsidRPr="006F01F3" w:rsidRDefault="00015718" w:rsidP="00383628">
      <w:pPr>
        <w:pStyle w:val="Heading1"/>
        <w:numPr>
          <w:ilvl w:val="0"/>
          <w:numId w:val="9"/>
        </w:numPr>
      </w:pPr>
      <w:bookmarkStart w:id="4" w:name="_Toc228875298"/>
      <w:r w:rsidRPr="006F01F3">
        <w:lastRenderedPageBreak/>
        <w:t>Introduction</w:t>
      </w:r>
      <w:bookmarkEnd w:id="4"/>
    </w:p>
    <w:p w14:paraId="5470D70D" w14:textId="0852DBED" w:rsidR="001560F2" w:rsidRPr="006F01F3" w:rsidRDefault="001560F2" w:rsidP="00E32D88">
      <w:pPr>
        <w:pStyle w:val="ListParagraph"/>
        <w:numPr>
          <w:ilvl w:val="1"/>
          <w:numId w:val="9"/>
        </w:numPr>
        <w:ind w:left="720"/>
      </w:pPr>
      <w:r w:rsidRPr="006F01F3">
        <w:t xml:space="preserve">The Northern Ireland Human Rights Commission (NIHRC), pursuant to section 69(1) of the Northern Ireland Act 1998, reviews the adequacy and effectiveness of law and practice relating to the protection of human rights in </w:t>
      </w:r>
      <w:r w:rsidR="006F01F3">
        <w:t>Northern Ireland (</w:t>
      </w:r>
      <w:r w:rsidRPr="006F01F3">
        <w:t>NI</w:t>
      </w:r>
      <w:r w:rsidR="006F01F3">
        <w:t>)</w:t>
      </w:r>
      <w:r w:rsidRPr="006F01F3">
        <w:t xml:space="preserve">. The NIHRC is also </w:t>
      </w:r>
      <w:r w:rsidR="00097577" w:rsidRPr="006F01F3">
        <w:t>require</w:t>
      </w:r>
      <w:r w:rsidRPr="006F01F3">
        <w:t>d, under section 78</w:t>
      </w:r>
      <w:proofErr w:type="gramStart"/>
      <w:r w:rsidRPr="006F01F3">
        <w:t>A(</w:t>
      </w:r>
      <w:proofErr w:type="gramEnd"/>
      <w:r w:rsidRPr="006F01F3">
        <w:t>1)</w:t>
      </w:r>
      <w:r w:rsidR="00DA032A" w:rsidRPr="006F01F3">
        <w:t xml:space="preserve"> of the 1998 Act</w:t>
      </w:r>
      <w:r w:rsidRPr="006F01F3">
        <w:t xml:space="preserve"> to monitor the implementation of Article 2(1) of the </w:t>
      </w:r>
      <w:r w:rsidR="00073FEF" w:rsidRPr="006F01F3">
        <w:t>Windsor Framework</w:t>
      </w:r>
      <w:r w:rsidRPr="006F01F3">
        <w:t>.</w:t>
      </w:r>
      <w:r w:rsidR="003419DA" w:rsidRPr="006F01F3">
        <w:rPr>
          <w:rStyle w:val="FootnoteReference"/>
        </w:rPr>
        <w:footnoteReference w:id="2"/>
      </w:r>
      <w:r w:rsidRPr="006F01F3">
        <w:t xml:space="preserve"> In accordance with these functions</w:t>
      </w:r>
      <w:r w:rsidR="00097577" w:rsidRPr="006F01F3">
        <w:t>, this advice is submitted to the House of Lords European Affairs Committee</w:t>
      </w:r>
      <w:r w:rsidR="00234668">
        <w:t xml:space="preserve"> for its</w:t>
      </w:r>
      <w:r w:rsidR="00097577" w:rsidRPr="006F01F3">
        <w:t xml:space="preserve"> </w:t>
      </w:r>
      <w:r w:rsidR="00234668">
        <w:t>I</w:t>
      </w:r>
      <w:r w:rsidR="006F01F3" w:rsidRPr="006F01F3">
        <w:t>nquiry on dynamic alignment</w:t>
      </w:r>
      <w:r w:rsidR="00097577" w:rsidRPr="006F01F3">
        <w:t xml:space="preserve">. </w:t>
      </w:r>
    </w:p>
    <w:p w14:paraId="0C50F090" w14:textId="77777777" w:rsidR="00E32D88" w:rsidRPr="006F01F3" w:rsidRDefault="00E32D88" w:rsidP="00E32D88">
      <w:pPr>
        <w:ind w:left="709"/>
      </w:pPr>
    </w:p>
    <w:p w14:paraId="754B615C" w14:textId="3850FBF7" w:rsidR="00097577" w:rsidRPr="006F01F3" w:rsidRDefault="00E32D88" w:rsidP="00097577">
      <w:pPr>
        <w:pStyle w:val="ListParagraph"/>
        <w:rPr>
          <w:b/>
          <w:bCs/>
        </w:rPr>
      </w:pPr>
      <w:r w:rsidRPr="006F01F3">
        <w:t>The NIHRC bases its advice on the full range of internationally accepted human rights standards, including the European Convention on Human Rights (ECHR), as incorporated by the Human Rights Act 1998, and the treaty obligations of the Council of Europe (</w:t>
      </w:r>
      <w:proofErr w:type="spellStart"/>
      <w:r w:rsidRPr="006F01F3">
        <w:t>CoE</w:t>
      </w:r>
      <w:proofErr w:type="spellEnd"/>
      <w:r w:rsidRPr="006F01F3">
        <w:t xml:space="preserve">) and the United Nations (UN).  </w:t>
      </w:r>
    </w:p>
    <w:p w14:paraId="216E47FF" w14:textId="77777777" w:rsidR="00E32D88" w:rsidRPr="006F01F3" w:rsidRDefault="00E32D88" w:rsidP="00E32D88">
      <w:pPr>
        <w:pStyle w:val="ListParagraph"/>
        <w:numPr>
          <w:ilvl w:val="0"/>
          <w:numId w:val="0"/>
        </w:numPr>
        <w:ind w:left="720"/>
      </w:pPr>
    </w:p>
    <w:p w14:paraId="5454B57A" w14:textId="0489D3FE" w:rsidR="00097577" w:rsidRPr="006F01F3" w:rsidRDefault="00E32D88" w:rsidP="00097577">
      <w:pPr>
        <w:pStyle w:val="ListParagraph"/>
        <w:rPr>
          <w:b/>
          <w:bCs/>
        </w:rPr>
      </w:pPr>
      <w:r w:rsidRPr="006F01F3">
        <w:t xml:space="preserve">The NIHRC further advises on the </w:t>
      </w:r>
      <w:r w:rsidR="00DA032A" w:rsidRPr="006F01F3">
        <w:t>United Kingdom (</w:t>
      </w:r>
      <w:r w:rsidRPr="006F01F3">
        <w:t>UK</w:t>
      </w:r>
      <w:r w:rsidR="00DA032A" w:rsidRPr="006F01F3">
        <w:t>)</w:t>
      </w:r>
      <w:r w:rsidRPr="006F01F3">
        <w:t xml:space="preserve"> Government’s </w:t>
      </w:r>
      <w:r w:rsidR="00DA032A" w:rsidRPr="006F01F3">
        <w:t xml:space="preserve">compliance with its </w:t>
      </w:r>
      <w:r w:rsidRPr="006F01F3">
        <w:t xml:space="preserve">commitment in </w:t>
      </w:r>
      <w:r w:rsidR="00D26EE2" w:rsidRPr="006F01F3">
        <w:t xml:space="preserve">Windsor Framework </w:t>
      </w:r>
      <w:r w:rsidRPr="006F01F3">
        <w:t>Article 2 to ensure there is no diminution of rights, safeguards and equality of opportunity in the relevant section of the Belfast (Good Friday) Agreement</w:t>
      </w:r>
      <w:r w:rsidR="00562588" w:rsidRPr="006F01F3">
        <w:t xml:space="preserve"> 1998</w:t>
      </w:r>
      <w:r w:rsidRPr="006F01F3">
        <w:t xml:space="preserve"> </w:t>
      </w:r>
      <w:proofErr w:type="gramStart"/>
      <w:r w:rsidRPr="006F01F3">
        <w:t>as a result of</w:t>
      </w:r>
      <w:proofErr w:type="gramEnd"/>
      <w:r w:rsidRPr="006F01F3">
        <w:t xml:space="preserve"> the UK’s withdrawal from the </w:t>
      </w:r>
      <w:r w:rsidR="00DA032A" w:rsidRPr="006F01F3">
        <w:t>European Union (EU)</w:t>
      </w:r>
      <w:r w:rsidRPr="006F01F3">
        <w:t xml:space="preserve">. </w:t>
      </w:r>
      <w:r w:rsidR="008F5AD7" w:rsidRPr="006F01F3">
        <w:rPr>
          <w:rFonts w:ascii="Segoe UI" w:hAnsi="Segoe UI" w:cs="Segoe UI"/>
          <w:color w:val="auto"/>
          <w:sz w:val="18"/>
          <w:szCs w:val="18"/>
        </w:rPr>
        <w:t xml:space="preserve"> </w:t>
      </w:r>
      <w:r w:rsidR="008F5AD7" w:rsidRPr="006F01F3">
        <w:t xml:space="preserve">Article 2 also entails a degree of dynamic alignment as outlined below. </w:t>
      </w:r>
      <w:r w:rsidR="00687034" w:rsidRPr="006F01F3">
        <w:t>S</w:t>
      </w:r>
      <w:r w:rsidRPr="006F01F3">
        <w:t>ection 7A of the EU (Withdrawal) Act 2018</w:t>
      </w:r>
      <w:r w:rsidR="00687034" w:rsidRPr="006F01F3">
        <w:t xml:space="preserve"> gives effect </w:t>
      </w:r>
      <w:r w:rsidR="009F17D7" w:rsidRPr="006F01F3">
        <w:t xml:space="preserve">in UK law </w:t>
      </w:r>
      <w:r w:rsidR="00687034" w:rsidRPr="006F01F3">
        <w:t xml:space="preserve">to </w:t>
      </w:r>
      <w:r w:rsidR="00D7069F" w:rsidRPr="006F01F3">
        <w:t xml:space="preserve">the Withdrawal Agreement, </w:t>
      </w:r>
      <w:r w:rsidR="00234668">
        <w:t>which includes</w:t>
      </w:r>
      <w:r w:rsidR="00234668" w:rsidRPr="006F01F3">
        <w:t xml:space="preserve"> </w:t>
      </w:r>
      <w:r w:rsidR="00D7069F" w:rsidRPr="006F01F3">
        <w:t>the Windsor Framework</w:t>
      </w:r>
      <w:r w:rsidRPr="006F01F3">
        <w:t xml:space="preserve">. Section 6 of the NI Act 1998 prohibits the NI Assembly from making any law which is incompatible with Windsor Framework Article 2. Section 24 of the 1998 Act also requires all acts of NI Ministers and NI Departments to be compatible with Windsor Framework Article 2. </w:t>
      </w:r>
    </w:p>
    <w:p w14:paraId="063CC037" w14:textId="77777777" w:rsidR="001560F2" w:rsidRPr="006F01F3" w:rsidRDefault="001560F2" w:rsidP="00E32D88">
      <w:pPr>
        <w:ind w:left="720"/>
      </w:pPr>
    </w:p>
    <w:p w14:paraId="20CD798B" w14:textId="44271886" w:rsidR="00FE169D" w:rsidRDefault="006F01F3" w:rsidP="00E32D88">
      <w:pPr>
        <w:pStyle w:val="ListParagraph"/>
      </w:pPr>
      <w:r>
        <w:t xml:space="preserve">The </w:t>
      </w:r>
      <w:r w:rsidR="00FE169D" w:rsidRPr="006F01F3">
        <w:t>NIHRC welcomes the opportunity to respond</w:t>
      </w:r>
      <w:r w:rsidR="008667B2" w:rsidRPr="006F01F3">
        <w:t xml:space="preserve"> to the</w:t>
      </w:r>
      <w:r w:rsidR="00FE169D" w:rsidRPr="006F01F3">
        <w:t xml:space="preserve"> </w:t>
      </w:r>
      <w:r w:rsidR="00097577" w:rsidRPr="006F01F3">
        <w:t xml:space="preserve">European Affairs Committee </w:t>
      </w:r>
      <w:r w:rsidRPr="006F01F3">
        <w:t xml:space="preserve">inquiry </w:t>
      </w:r>
      <w:r w:rsidR="00097577" w:rsidRPr="006F01F3">
        <w:t xml:space="preserve">on </w:t>
      </w:r>
      <w:r w:rsidR="00562588" w:rsidRPr="006F01F3">
        <w:t>dynamic alignment a</w:t>
      </w:r>
      <w:r w:rsidR="00AA0760" w:rsidRPr="006F01F3">
        <w:t xml:space="preserve">nd </w:t>
      </w:r>
      <w:r w:rsidR="00097577" w:rsidRPr="006F01F3">
        <w:t xml:space="preserve">has focused on </w:t>
      </w:r>
      <w:r w:rsidR="00097577" w:rsidRPr="006F01F3">
        <w:lastRenderedPageBreak/>
        <w:t>addressing only those questions in the Committee</w:t>
      </w:r>
      <w:r w:rsidR="00AA0760" w:rsidRPr="006F01F3">
        <w:t>’</w:t>
      </w:r>
      <w:r w:rsidR="00097577" w:rsidRPr="006F01F3">
        <w:t xml:space="preserve">s call for evidence which fall within its remit. </w:t>
      </w:r>
      <w:r w:rsidR="00AA0760" w:rsidRPr="006F01F3">
        <w:t xml:space="preserve">The NIHRC would be happy to provide further evidence to the Committee, should this prove useful. </w:t>
      </w:r>
    </w:p>
    <w:p w14:paraId="605271E4" w14:textId="77777777" w:rsidR="00F5184E" w:rsidRPr="006F01F3" w:rsidRDefault="00F5184E" w:rsidP="00F5184E">
      <w:pPr>
        <w:pStyle w:val="ListParagraph"/>
        <w:numPr>
          <w:ilvl w:val="0"/>
          <w:numId w:val="0"/>
        </w:numPr>
        <w:ind w:left="720"/>
      </w:pPr>
    </w:p>
    <w:p w14:paraId="20847FF4" w14:textId="1A5808C5" w:rsidR="0084608F" w:rsidRPr="006F01F3" w:rsidRDefault="000137A7" w:rsidP="000137A7">
      <w:pPr>
        <w:pStyle w:val="Heading1"/>
      </w:pPr>
      <w:bookmarkStart w:id="5" w:name="_Toc228875299"/>
      <w:r w:rsidRPr="006F01F3">
        <w:t>Windsor Framework Article 2 and dynamic alignment</w:t>
      </w:r>
      <w:bookmarkEnd w:id="5"/>
    </w:p>
    <w:p w14:paraId="043EAECF" w14:textId="5344041F" w:rsidR="00380D55" w:rsidRPr="006F01F3" w:rsidRDefault="009C30B0" w:rsidP="00783DF2">
      <w:pPr>
        <w:pStyle w:val="ListParagraph"/>
      </w:pPr>
      <w:r w:rsidRPr="006F01F3">
        <w:t xml:space="preserve">Human rights and equality protections are at the heart of the Belfast (Good Friday) Agreement </w:t>
      </w:r>
      <w:r w:rsidR="00586350" w:rsidRPr="006F01F3">
        <w:t xml:space="preserve">1998 </w:t>
      </w:r>
      <w:r w:rsidRPr="006F01F3">
        <w:t xml:space="preserve">and are central to the peace process in NI. </w:t>
      </w:r>
      <w:r w:rsidR="00586350" w:rsidRPr="006F01F3">
        <w:t xml:space="preserve">The Declaration of Support to </w:t>
      </w:r>
      <w:r w:rsidR="00BB7CDB">
        <w:t xml:space="preserve">the </w:t>
      </w:r>
      <w:r w:rsidR="00586350" w:rsidRPr="006F01F3">
        <w:t>1998 Agreement includes a dedication to the “protection and vindication of the human rights of all”</w:t>
      </w:r>
      <w:r w:rsidR="00380D55" w:rsidRPr="006F01F3">
        <w:t>.</w:t>
      </w:r>
      <w:r w:rsidR="00586350" w:rsidRPr="006F01F3">
        <w:t xml:space="preserve"> </w:t>
      </w:r>
      <w:r w:rsidR="00380D55" w:rsidRPr="006F01F3">
        <w:t xml:space="preserve">Human rights </w:t>
      </w:r>
      <w:r w:rsidR="0043440C" w:rsidRPr="006F01F3">
        <w:t xml:space="preserve">and equality protections continue to be </w:t>
      </w:r>
      <w:r w:rsidR="00380D55" w:rsidRPr="006F01F3">
        <w:t>contested in NI</w:t>
      </w:r>
      <w:r w:rsidR="0043440C" w:rsidRPr="006F01F3">
        <w:t xml:space="preserve">. While the </w:t>
      </w:r>
      <w:r w:rsidR="00EC44F3" w:rsidRPr="006F01F3">
        <w:t>E</w:t>
      </w:r>
      <w:r w:rsidR="0043440C" w:rsidRPr="006F01F3">
        <w:t xml:space="preserve">CHR was incorporated </w:t>
      </w:r>
      <w:r w:rsidR="00A3002B" w:rsidRPr="006F01F3">
        <w:t xml:space="preserve">into UK law </w:t>
      </w:r>
      <w:r w:rsidR="00EC44F3" w:rsidRPr="006F01F3">
        <w:t xml:space="preserve">via the Human Rights Act, a Bill of Rights for NI to reflect the </w:t>
      </w:r>
      <w:proofErr w:type="gramStart"/>
      <w:r w:rsidR="00EC44F3" w:rsidRPr="006F01F3">
        <w:t>particular</w:t>
      </w:r>
      <w:r w:rsidR="001E2D2A" w:rsidRPr="006F01F3">
        <w:t xml:space="preserve"> </w:t>
      </w:r>
      <w:r w:rsidR="00EC44F3" w:rsidRPr="006F01F3">
        <w:t>circumstances</w:t>
      </w:r>
      <w:proofErr w:type="gramEnd"/>
      <w:r w:rsidR="00EC44F3" w:rsidRPr="006F01F3">
        <w:t xml:space="preserve"> in NI and drawing on international instruments and experience remains outstanding.</w:t>
      </w:r>
      <w:r w:rsidR="00EC44F3" w:rsidRPr="006F01F3">
        <w:rPr>
          <w:rStyle w:val="FootnoteReference"/>
        </w:rPr>
        <w:footnoteReference w:id="3"/>
      </w:r>
      <w:r w:rsidR="00EC44F3" w:rsidRPr="006F01F3">
        <w:t xml:space="preserve"> </w:t>
      </w:r>
      <w:r w:rsidR="004F364E" w:rsidRPr="006F01F3">
        <w:t xml:space="preserve"> </w:t>
      </w:r>
      <w:r w:rsidR="001E2D2A" w:rsidRPr="006F01F3">
        <w:t>T</w:t>
      </w:r>
      <w:r w:rsidR="0043440C" w:rsidRPr="006F01F3">
        <w:t xml:space="preserve">here are many examples of rights and safeguards in NI falling behind those in </w:t>
      </w:r>
      <w:r w:rsidR="00234668">
        <w:t xml:space="preserve">Great Britain </w:t>
      </w:r>
      <w:r w:rsidR="0043440C" w:rsidRPr="006F01F3">
        <w:t>and Ireland</w:t>
      </w:r>
      <w:r w:rsidR="001E2D2A" w:rsidRPr="006F01F3">
        <w:t>.</w:t>
      </w:r>
      <w:r w:rsidR="001E2D2A" w:rsidRPr="006F01F3">
        <w:rPr>
          <w:rStyle w:val="FootnoteReference"/>
        </w:rPr>
        <w:footnoteReference w:id="4"/>
      </w:r>
    </w:p>
    <w:p w14:paraId="512D8D04" w14:textId="77777777" w:rsidR="00380D55" w:rsidRPr="006F01F3" w:rsidRDefault="00380D55" w:rsidP="00380D55">
      <w:pPr>
        <w:pStyle w:val="ListParagraph"/>
        <w:numPr>
          <w:ilvl w:val="0"/>
          <w:numId w:val="0"/>
        </w:numPr>
        <w:ind w:left="720"/>
      </w:pPr>
    </w:p>
    <w:p w14:paraId="674991B1" w14:textId="5EB0909A" w:rsidR="00B8284F" w:rsidRPr="006F01F3" w:rsidRDefault="00D26EE2" w:rsidP="00783DF2">
      <w:pPr>
        <w:pStyle w:val="ListParagraph"/>
      </w:pPr>
      <w:r w:rsidRPr="006F01F3">
        <w:t xml:space="preserve">As noted in the preamble to the Windsor Framework, </w:t>
      </w:r>
      <w:r w:rsidR="009C30B0" w:rsidRPr="006F01F3">
        <w:t xml:space="preserve">EU law has </w:t>
      </w:r>
      <w:r w:rsidR="008849B1" w:rsidRPr="006F01F3">
        <w:t>“</w:t>
      </w:r>
      <w:r w:rsidRPr="006F01F3">
        <w:t xml:space="preserve">provided a supporting framework for the provisions on Rights, Safeguards and Equality of Opportunity of the 1998 Agreement”. </w:t>
      </w:r>
      <w:r w:rsidR="00380D55" w:rsidRPr="006F01F3">
        <w:t xml:space="preserve">Prior to withdrawal from the EU, </w:t>
      </w:r>
      <w:r w:rsidR="00160375" w:rsidRPr="006F01F3">
        <w:t xml:space="preserve">many of the </w:t>
      </w:r>
      <w:r w:rsidR="00380D55" w:rsidRPr="006F01F3">
        <w:t xml:space="preserve">significant developments in equality law in NI </w:t>
      </w:r>
      <w:r w:rsidR="00160375" w:rsidRPr="006F01F3">
        <w:t xml:space="preserve">were the </w:t>
      </w:r>
      <w:r w:rsidR="00380D55" w:rsidRPr="006F01F3">
        <w:t>result of EU law obligations.</w:t>
      </w:r>
      <w:r w:rsidR="00380D55" w:rsidRPr="006F01F3">
        <w:rPr>
          <w:rStyle w:val="FootnoteReference"/>
        </w:rPr>
        <w:footnoteReference w:id="5"/>
      </w:r>
      <w:r w:rsidR="00380D55" w:rsidRPr="006F01F3">
        <w:t xml:space="preserve"> </w:t>
      </w:r>
      <w:r w:rsidR="009C30B0" w:rsidRPr="006F01F3">
        <w:t>In addition, EU free movement law had facilitated the open border between NI and Ireland.</w:t>
      </w:r>
      <w:r w:rsidR="00B8284F" w:rsidRPr="006F01F3">
        <w:t xml:space="preserve"> </w:t>
      </w:r>
    </w:p>
    <w:p w14:paraId="5F239459" w14:textId="77777777" w:rsidR="00B8284F" w:rsidRPr="006F01F3" w:rsidRDefault="00B8284F" w:rsidP="00B8284F">
      <w:pPr>
        <w:pStyle w:val="ListParagraph"/>
        <w:numPr>
          <w:ilvl w:val="0"/>
          <w:numId w:val="0"/>
        </w:numPr>
        <w:ind w:left="720"/>
      </w:pPr>
    </w:p>
    <w:p w14:paraId="2275292E" w14:textId="003B8DB1" w:rsidR="009C30B0" w:rsidRPr="006F01F3" w:rsidRDefault="009C30B0" w:rsidP="00783DF2">
      <w:pPr>
        <w:pStyle w:val="ListParagraph"/>
      </w:pPr>
      <w:r w:rsidRPr="006F01F3">
        <w:t xml:space="preserve">The importance of protecting the 1998 Agreement and its human rights and equality commitments was accepted </w:t>
      </w:r>
      <w:r w:rsidR="00FA62AA" w:rsidRPr="006F01F3">
        <w:t xml:space="preserve">as a key issue for resolution </w:t>
      </w:r>
      <w:r w:rsidRPr="006F01F3">
        <w:t xml:space="preserve">in negotiations leading to the UK’s withdrawal from the </w:t>
      </w:r>
      <w:r w:rsidRPr="006F01F3">
        <w:lastRenderedPageBreak/>
        <w:t>EU.</w:t>
      </w:r>
      <w:r w:rsidR="0033065C" w:rsidRPr="006F01F3">
        <w:rPr>
          <w:rStyle w:val="FootnoteReference"/>
        </w:rPr>
        <w:footnoteReference w:id="6"/>
      </w:r>
      <w:r w:rsidRPr="006F01F3">
        <w:t xml:space="preserve">  </w:t>
      </w:r>
      <w:r w:rsidR="00C07783" w:rsidRPr="006F01F3">
        <w:t xml:space="preserve">Article 1 of the Windsor Framework sets out </w:t>
      </w:r>
      <w:r w:rsidR="003E4FC4" w:rsidRPr="006F01F3">
        <w:t>its</w:t>
      </w:r>
      <w:r w:rsidR="00C07783" w:rsidRPr="006F01F3">
        <w:t xml:space="preserve"> objectives, </w:t>
      </w:r>
      <w:r w:rsidR="00561434" w:rsidRPr="006F01F3">
        <w:t xml:space="preserve">which include provision </w:t>
      </w:r>
      <w:r w:rsidR="00C07783" w:rsidRPr="006F01F3">
        <w:t>for the “arrangements necessary to address the unique circumstances on the island of Ireland, to maintain the necessary conditions for continued North-South cooperation, to avoid a hard border and protect the 1998 Agreement in all its dimensions”.</w:t>
      </w:r>
    </w:p>
    <w:p w14:paraId="17BBDF21" w14:textId="77777777" w:rsidR="005A6B6D" w:rsidRPr="006F01F3" w:rsidRDefault="005A6B6D" w:rsidP="005A6B6D">
      <w:pPr>
        <w:pStyle w:val="ListParagraph"/>
        <w:numPr>
          <w:ilvl w:val="0"/>
          <w:numId w:val="0"/>
        </w:numPr>
        <w:ind w:left="720"/>
      </w:pPr>
    </w:p>
    <w:p w14:paraId="5AE28121" w14:textId="7A655F54" w:rsidR="00712F07" w:rsidRPr="006F01F3" w:rsidRDefault="00561434" w:rsidP="00783606">
      <w:pPr>
        <w:pStyle w:val="ListParagraph"/>
      </w:pPr>
      <w:r w:rsidRPr="006F01F3">
        <w:t xml:space="preserve">Windsor Framework </w:t>
      </w:r>
      <w:r w:rsidR="007071B1" w:rsidRPr="006F01F3">
        <w:t xml:space="preserve">Article 2 </w:t>
      </w:r>
      <w:r w:rsidR="008E7A80" w:rsidRPr="006F01F3">
        <w:t xml:space="preserve">requires the UK Government to ensure that there is no diminution of rights, safeguards and equality of opportunities contained in the relevant part of the Belfast (Good Friday) Agreement 1998, </w:t>
      </w:r>
      <w:proofErr w:type="gramStart"/>
      <w:r w:rsidR="008E7A80" w:rsidRPr="006F01F3">
        <w:t>as a result of</w:t>
      </w:r>
      <w:proofErr w:type="gramEnd"/>
      <w:r w:rsidR="008E7A80" w:rsidRPr="006F01F3">
        <w:t xml:space="preserve"> the UK’s withdrawal from the EU. </w:t>
      </w:r>
      <w:r w:rsidR="002A3C84" w:rsidRPr="006F01F3">
        <w:t xml:space="preserve">This means that </w:t>
      </w:r>
      <w:r w:rsidR="00C031A8" w:rsidRPr="006F01F3">
        <w:t xml:space="preserve">a range of EU measures that bound the UK before its withdrawal continue to set minimum standards in </w:t>
      </w:r>
      <w:r w:rsidR="00BB7CDB">
        <w:t>NI</w:t>
      </w:r>
      <w:r w:rsidR="00811DE2" w:rsidRPr="006F01F3">
        <w:t xml:space="preserve">. </w:t>
      </w:r>
      <w:proofErr w:type="gramStart"/>
      <w:r w:rsidR="00811DE2" w:rsidRPr="006F01F3">
        <w:t>The majority of</w:t>
      </w:r>
      <w:proofErr w:type="gramEnd"/>
      <w:r w:rsidR="00811DE2" w:rsidRPr="006F01F3">
        <w:t xml:space="preserve"> EU obligations against which </w:t>
      </w:r>
      <w:r w:rsidR="00811DE2" w:rsidRPr="006F01F3">
        <w:rPr>
          <w:rFonts w:cs="Arial"/>
          <w:color w:val="000000" w:themeColor="text1"/>
        </w:rPr>
        <w:t>the UK Government commitment is measured relate to the relevant EU standards as they were on 31 December 2020.</w:t>
      </w:r>
      <w:r w:rsidR="00811DE2" w:rsidRPr="006F01F3">
        <w:rPr>
          <w:rStyle w:val="FootnoteReference"/>
          <w:rFonts w:cs="Arial"/>
          <w:color w:val="000000" w:themeColor="text1"/>
        </w:rPr>
        <w:footnoteReference w:id="7"/>
      </w:r>
      <w:r w:rsidR="00D05E07" w:rsidRPr="006F01F3">
        <w:rPr>
          <w:rFonts w:cs="Arial"/>
          <w:color w:val="000000" w:themeColor="text1"/>
        </w:rPr>
        <w:t xml:space="preserve"> However, in addition, pursuant to Article 13</w:t>
      </w:r>
      <w:r w:rsidR="00712F07" w:rsidRPr="006F01F3">
        <w:rPr>
          <w:rFonts w:cs="Arial"/>
          <w:color w:val="000000" w:themeColor="text1"/>
        </w:rPr>
        <w:t>(3)</w:t>
      </w:r>
      <w:r w:rsidR="00D05E07" w:rsidRPr="006F01F3">
        <w:rPr>
          <w:rFonts w:cs="Arial"/>
          <w:color w:val="000000" w:themeColor="text1"/>
        </w:rPr>
        <w:t xml:space="preserve"> of the Windsor Framework, </w:t>
      </w:r>
      <w:r w:rsidR="009E409C" w:rsidRPr="006F01F3">
        <w:rPr>
          <w:rFonts w:cs="Arial"/>
          <w:color w:val="000000" w:themeColor="text1"/>
        </w:rPr>
        <w:t xml:space="preserve">six EU </w:t>
      </w:r>
      <w:r w:rsidR="00DF48CA" w:rsidRPr="006F01F3">
        <w:rPr>
          <w:rFonts w:cs="Arial"/>
          <w:color w:val="000000" w:themeColor="text1"/>
        </w:rPr>
        <w:t>equality directives listed</w:t>
      </w:r>
      <w:r w:rsidR="009E409C" w:rsidRPr="006F01F3">
        <w:rPr>
          <w:rFonts w:cs="Arial"/>
          <w:color w:val="000000" w:themeColor="text1"/>
        </w:rPr>
        <w:t xml:space="preserve"> in Annex 1</w:t>
      </w:r>
      <w:r w:rsidR="007C53F7" w:rsidRPr="006F01F3">
        <w:rPr>
          <w:rFonts w:cs="Arial"/>
          <w:color w:val="000000" w:themeColor="text1"/>
        </w:rPr>
        <w:t xml:space="preserve"> of the Windsor Framework,</w:t>
      </w:r>
      <w:r w:rsidR="009E409C" w:rsidRPr="006F01F3">
        <w:rPr>
          <w:rFonts w:cs="Arial"/>
          <w:color w:val="000000" w:themeColor="text1"/>
        </w:rPr>
        <w:t xml:space="preserve"> </w:t>
      </w:r>
      <w:r w:rsidR="00712F07" w:rsidRPr="006F01F3">
        <w:rPr>
          <w:rFonts w:cs="Arial"/>
          <w:color w:val="000000" w:themeColor="text1"/>
        </w:rPr>
        <w:t xml:space="preserve">are subject to a dynamic alignment obligation. </w:t>
      </w:r>
    </w:p>
    <w:p w14:paraId="3E80B3C4" w14:textId="77777777" w:rsidR="00712F07" w:rsidRPr="006F01F3" w:rsidRDefault="00712F07" w:rsidP="003C5FBD">
      <w:pPr>
        <w:pStyle w:val="ListParagraph"/>
        <w:numPr>
          <w:ilvl w:val="0"/>
          <w:numId w:val="0"/>
        </w:numPr>
        <w:ind w:left="720"/>
      </w:pPr>
    </w:p>
    <w:p w14:paraId="4C75F6DF" w14:textId="28FE2C67" w:rsidR="00377BA6" w:rsidRPr="006F01F3" w:rsidRDefault="008E7A80" w:rsidP="00783606">
      <w:pPr>
        <w:pStyle w:val="ListParagraph"/>
      </w:pPr>
      <w:r w:rsidRPr="006F01F3">
        <w:t>The rights listed in the 1998 Agreement include the “civil rights … of everyone in the community”. In 2024, the NI Court of Appeal held that the Rights, Safeguards and Equality of Opportunity chapter consists of a “broad suite of rights” and extends “further than those rights specifically listed”.</w:t>
      </w:r>
      <w:r w:rsidRPr="006F01F3">
        <w:rPr>
          <w:rStyle w:val="FootnoteReference"/>
        </w:rPr>
        <w:footnoteReference w:id="8"/>
      </w:r>
      <w:r w:rsidRPr="006F01F3">
        <w:t xml:space="preserve"> This decision is subject to appeal.</w:t>
      </w:r>
      <w:r w:rsidRPr="006F01F3">
        <w:rPr>
          <w:rStyle w:val="FootnoteReference"/>
        </w:rPr>
        <w:footnoteReference w:id="9"/>
      </w:r>
      <w:r w:rsidRPr="006F01F3">
        <w:t xml:space="preserve">  </w:t>
      </w:r>
    </w:p>
    <w:p w14:paraId="648CA65F" w14:textId="77777777" w:rsidR="00377BA6" w:rsidRPr="006F01F3" w:rsidRDefault="00377BA6" w:rsidP="00292B8C">
      <w:pPr>
        <w:pStyle w:val="ListParagraph"/>
        <w:numPr>
          <w:ilvl w:val="0"/>
          <w:numId w:val="0"/>
        </w:numPr>
        <w:ind w:left="720"/>
      </w:pPr>
    </w:p>
    <w:p w14:paraId="6685C58F" w14:textId="19A87E16" w:rsidR="00D2214F" w:rsidRPr="006F01F3" w:rsidRDefault="00AB2834" w:rsidP="00292B8C">
      <w:pPr>
        <w:pStyle w:val="ListParagraph"/>
      </w:pPr>
      <w:r w:rsidRPr="006F01F3">
        <w:rPr>
          <w:rFonts w:cs="Calibri"/>
          <w:szCs w:val="28"/>
        </w:rPr>
        <w:t xml:space="preserve">The Courts have considered the enforceability of the non-diminution commitment in Windsor Framework Article 2, but the question of </w:t>
      </w:r>
      <w:r w:rsidR="003C5FBD" w:rsidRPr="006F01F3">
        <w:rPr>
          <w:rFonts w:cs="Calibri"/>
          <w:szCs w:val="28"/>
        </w:rPr>
        <w:t>enforceability of</w:t>
      </w:r>
      <w:r w:rsidRPr="006F01F3">
        <w:rPr>
          <w:rFonts w:cs="Calibri"/>
          <w:szCs w:val="28"/>
        </w:rPr>
        <w:t xml:space="preserve"> dynamic alignment has not </w:t>
      </w:r>
      <w:r w:rsidR="003C5FBD" w:rsidRPr="006F01F3">
        <w:rPr>
          <w:rFonts w:cs="Calibri"/>
          <w:szCs w:val="28"/>
        </w:rPr>
        <w:t xml:space="preserve">yet </w:t>
      </w:r>
      <w:r w:rsidRPr="006F01F3">
        <w:rPr>
          <w:rFonts w:cs="Calibri"/>
          <w:szCs w:val="28"/>
        </w:rPr>
        <w:t xml:space="preserve">been before the courts.  </w:t>
      </w:r>
      <w:r w:rsidR="00292B8C" w:rsidRPr="006F01F3">
        <w:t xml:space="preserve">The Court of Appeal in </w:t>
      </w:r>
      <w:r w:rsidR="00292B8C" w:rsidRPr="006F01F3">
        <w:rPr>
          <w:i/>
        </w:rPr>
        <w:t>Dillon</w:t>
      </w:r>
      <w:r w:rsidR="00292B8C" w:rsidRPr="006F01F3">
        <w:t xml:space="preserve"> has confirmed that </w:t>
      </w:r>
      <w:r w:rsidR="00292B8C" w:rsidRPr="006F01F3">
        <w:rPr>
          <w:rFonts w:cs="Calibri"/>
          <w:szCs w:val="28"/>
        </w:rPr>
        <w:t xml:space="preserve">“a diminution prohibited by Article 2 [of the Windsor Framework] might occur either by reducing the substance of a right (as here) or </w:t>
      </w:r>
      <w:r w:rsidR="00292B8C" w:rsidRPr="006F01F3">
        <w:rPr>
          <w:rFonts w:cs="Calibri"/>
          <w:szCs w:val="28"/>
        </w:rPr>
        <w:lastRenderedPageBreak/>
        <w:t>by reducing the efficacy of available remedies”.</w:t>
      </w:r>
      <w:r w:rsidR="00292B8C" w:rsidRPr="006F01F3">
        <w:rPr>
          <w:rStyle w:val="FootnoteReference"/>
          <w:rFonts w:cs="Calibri"/>
          <w:szCs w:val="28"/>
        </w:rPr>
        <w:footnoteReference w:id="10"/>
      </w:r>
      <w:r w:rsidR="00292B8C" w:rsidRPr="006F01F3">
        <w:rPr>
          <w:rFonts w:cs="Calibri"/>
          <w:szCs w:val="28"/>
        </w:rPr>
        <w:t xml:space="preserve">  </w:t>
      </w:r>
      <w:r w:rsidR="00377BA6" w:rsidRPr="006F01F3">
        <w:rPr>
          <w:lang w:val="en-US"/>
        </w:rPr>
        <w:t>As noted by Lock et al, while the C</w:t>
      </w:r>
      <w:r w:rsidR="00234668">
        <w:rPr>
          <w:lang w:val="en-US"/>
        </w:rPr>
        <w:t xml:space="preserve">ourt of </w:t>
      </w:r>
      <w:r w:rsidR="00377BA6" w:rsidRPr="006F01F3">
        <w:rPr>
          <w:lang w:val="en-US"/>
        </w:rPr>
        <w:t>J</w:t>
      </w:r>
      <w:r w:rsidR="00234668">
        <w:rPr>
          <w:lang w:val="en-US"/>
        </w:rPr>
        <w:t xml:space="preserve">ustice of the </w:t>
      </w:r>
      <w:r w:rsidR="00377BA6" w:rsidRPr="006F01F3">
        <w:rPr>
          <w:lang w:val="en-US"/>
        </w:rPr>
        <w:t>E</w:t>
      </w:r>
      <w:r w:rsidR="00234668">
        <w:rPr>
          <w:lang w:val="en-US"/>
        </w:rPr>
        <w:t xml:space="preserve">uropean </w:t>
      </w:r>
      <w:r w:rsidR="00377BA6" w:rsidRPr="006F01F3">
        <w:rPr>
          <w:lang w:val="en-US"/>
        </w:rPr>
        <w:t>U</w:t>
      </w:r>
      <w:r w:rsidR="00234668">
        <w:rPr>
          <w:lang w:val="en-US"/>
        </w:rPr>
        <w:t>nion (CJEU)</w:t>
      </w:r>
      <w:r w:rsidR="00377BA6" w:rsidRPr="006F01F3">
        <w:rPr>
          <w:lang w:val="en-US"/>
        </w:rPr>
        <w:t xml:space="preserve"> affirmed that </w:t>
      </w:r>
      <w:r w:rsidR="00377BA6" w:rsidRPr="006F01F3">
        <w:t>Member States are in principle able to choose enforcement procedures and remedies, they must ensure that these remedies result in real and effective judicial protection of the EU law rights.</w:t>
      </w:r>
      <w:r w:rsidR="00292B8C" w:rsidRPr="006F01F3">
        <w:rPr>
          <w:rStyle w:val="FootnoteReference"/>
        </w:rPr>
        <w:footnoteReference w:id="11"/>
      </w:r>
      <w:r w:rsidR="00292B8C" w:rsidRPr="006F01F3">
        <w:t xml:space="preserve"> </w:t>
      </w:r>
      <w:r w:rsidR="00377BA6" w:rsidRPr="006F01F3">
        <w:t xml:space="preserve"> </w:t>
      </w:r>
      <w:r w:rsidR="00292B8C" w:rsidRPr="006F01F3">
        <w:t xml:space="preserve">  </w:t>
      </w:r>
    </w:p>
    <w:p w14:paraId="73479B6E" w14:textId="77777777" w:rsidR="003C5FBD" w:rsidRPr="006F01F3" w:rsidRDefault="003C5FBD" w:rsidP="003C5FBD">
      <w:pPr>
        <w:pStyle w:val="ListParagraph"/>
        <w:numPr>
          <w:ilvl w:val="0"/>
          <w:numId w:val="0"/>
        </w:numPr>
        <w:ind w:left="720"/>
      </w:pPr>
    </w:p>
    <w:p w14:paraId="0068DF61" w14:textId="1374C3CB" w:rsidR="00DB1186" w:rsidRPr="006F01F3" w:rsidRDefault="00DB1186" w:rsidP="00DB1186">
      <w:pPr>
        <w:pStyle w:val="ListParagraph"/>
      </w:pPr>
      <w:r w:rsidRPr="006F01F3">
        <w:t xml:space="preserve">The </w:t>
      </w:r>
      <w:r w:rsidR="00234668">
        <w:t xml:space="preserve">interrelationship of human rights </w:t>
      </w:r>
      <w:r w:rsidR="0033294E">
        <w:t xml:space="preserve">and economic integration in </w:t>
      </w:r>
      <w:r w:rsidRPr="006F01F3">
        <w:t xml:space="preserve">the EU is </w:t>
      </w:r>
      <w:r w:rsidR="0033294E">
        <w:t xml:space="preserve">critically important and should inform all </w:t>
      </w:r>
      <w:r w:rsidR="00CD7035">
        <w:t xml:space="preserve">consideration. </w:t>
      </w:r>
      <w:r w:rsidR="00CD7035" w:rsidRPr="006F01F3">
        <w:t>Fundamental</w:t>
      </w:r>
      <w:r w:rsidRPr="006F01F3">
        <w:t xml:space="preserve"> rights </w:t>
      </w:r>
      <w:r w:rsidR="0033294E">
        <w:t xml:space="preserve">are </w:t>
      </w:r>
      <w:r w:rsidRPr="006F01F3">
        <w:t>recognised as “an integral part” of the general principles of EU law.</w:t>
      </w:r>
      <w:r w:rsidRPr="006F01F3">
        <w:rPr>
          <w:rStyle w:val="FootnoteReference"/>
        </w:rPr>
        <w:footnoteReference w:id="12"/>
      </w:r>
      <w:r w:rsidRPr="006F01F3">
        <w:t xml:space="preserve"> Respect for human rights is a condition for the legality of EU measures.</w:t>
      </w:r>
      <w:r w:rsidRPr="006F01F3">
        <w:rPr>
          <w:rStyle w:val="FootnoteReference"/>
        </w:rPr>
        <w:footnoteReference w:id="13"/>
      </w:r>
      <w:r w:rsidRPr="006F01F3">
        <w:rPr>
          <w:rStyle w:val="FootnoteReference"/>
        </w:rPr>
        <w:t xml:space="preserve"> </w:t>
      </w:r>
      <w:r w:rsidRPr="006F01F3">
        <w:t xml:space="preserve"> Windsor Framework Article 2 and the dynamic alignment obligation in relation to the EU Equality Directives in Annex 1 reflect this commitment.  </w:t>
      </w:r>
    </w:p>
    <w:p w14:paraId="1CF9E22D" w14:textId="77777777" w:rsidR="008E7A80" w:rsidRPr="006F01F3" w:rsidRDefault="008E7A80" w:rsidP="00B622F4"/>
    <w:p w14:paraId="7471723A" w14:textId="77777777" w:rsidR="00561434" w:rsidRPr="006F01F3" w:rsidRDefault="00561434" w:rsidP="00834CEF">
      <w:pPr>
        <w:pStyle w:val="Heading2"/>
      </w:pPr>
      <w:bookmarkStart w:id="6" w:name="_Toc228875300"/>
      <w:r w:rsidRPr="006F01F3">
        <w:rPr>
          <w:bCs/>
        </w:rPr>
        <w:t>Question 1:</w:t>
      </w:r>
      <w:r w:rsidRPr="006F01F3">
        <w:t xml:space="preserve"> What is Dynamic alignment?</w:t>
      </w:r>
      <w:bookmarkEnd w:id="6"/>
    </w:p>
    <w:p w14:paraId="0DAD7792" w14:textId="01B94503" w:rsidR="00B622F4" w:rsidRPr="006F01F3" w:rsidRDefault="0053013D" w:rsidP="00561434">
      <w:pPr>
        <w:pStyle w:val="Heading3"/>
      </w:pPr>
      <w:bookmarkStart w:id="7" w:name="_Toc228875301"/>
      <w:r w:rsidRPr="006F01F3">
        <w:t xml:space="preserve">Dynamic alignment with </w:t>
      </w:r>
      <w:r w:rsidR="00B622F4" w:rsidRPr="006F01F3">
        <w:t>EU Measures</w:t>
      </w:r>
      <w:bookmarkEnd w:id="7"/>
      <w:r w:rsidR="00B622F4" w:rsidRPr="006F01F3">
        <w:t xml:space="preserve"> </w:t>
      </w:r>
    </w:p>
    <w:p w14:paraId="112D2CDF" w14:textId="1352F7A9" w:rsidR="0084608F" w:rsidRPr="006F01F3" w:rsidRDefault="008E7A80" w:rsidP="007559F7">
      <w:pPr>
        <w:pStyle w:val="ListParagraph"/>
      </w:pPr>
      <w:r w:rsidRPr="006F01F3">
        <w:rPr>
          <w:rFonts w:cs="Arial"/>
          <w:color w:val="000000" w:themeColor="text1"/>
        </w:rPr>
        <w:t>Article</w:t>
      </w:r>
      <w:r w:rsidR="006842B0" w:rsidRPr="006F01F3">
        <w:rPr>
          <w:rFonts w:cs="Arial"/>
          <w:color w:val="000000" w:themeColor="text1"/>
        </w:rPr>
        <w:t>s</w:t>
      </w:r>
      <w:r w:rsidRPr="006F01F3">
        <w:rPr>
          <w:rFonts w:cs="Arial"/>
          <w:color w:val="000000" w:themeColor="text1"/>
        </w:rPr>
        <w:t xml:space="preserve"> 2 </w:t>
      </w:r>
      <w:r w:rsidR="006842B0" w:rsidRPr="006F01F3">
        <w:rPr>
          <w:rFonts w:cs="Arial"/>
          <w:color w:val="000000" w:themeColor="text1"/>
        </w:rPr>
        <w:t xml:space="preserve">and </w:t>
      </w:r>
      <w:r w:rsidRPr="006F01F3">
        <w:rPr>
          <w:rFonts w:cs="Arial"/>
          <w:color w:val="000000" w:themeColor="text1"/>
        </w:rPr>
        <w:t>13 of the Windsor Framework require that NI law dynamically aligns with any improvements to minimum standards of protection enshrined in six EU Equality Directives listed in Annex 1 to the Windsor Framework.</w:t>
      </w:r>
      <w:r w:rsidRPr="006F01F3">
        <w:rPr>
          <w:rStyle w:val="FootnoteReference"/>
        </w:rPr>
        <w:footnoteReference w:id="14"/>
      </w:r>
      <w:r w:rsidRPr="006F01F3">
        <w:rPr>
          <w:rFonts w:cs="Arial"/>
          <w:color w:val="000000" w:themeColor="text1"/>
        </w:rPr>
        <w:t xml:space="preserve"> </w:t>
      </w:r>
      <w:r w:rsidR="00783DF2" w:rsidRPr="006F01F3">
        <w:t xml:space="preserve">Article 13(3) of the Windsor </w:t>
      </w:r>
      <w:r w:rsidR="00783DF2" w:rsidRPr="006F01F3">
        <w:lastRenderedPageBreak/>
        <w:t xml:space="preserve">Framework provides that where the Windsor Framework refers to an EU law measure, </w:t>
      </w:r>
      <w:r w:rsidR="008F30DE" w:rsidRPr="006F01F3">
        <w:t xml:space="preserve">which includes </w:t>
      </w:r>
      <w:r w:rsidR="00783DF2" w:rsidRPr="006F01F3">
        <w:t>the six equality directives in Annex 1, “that reference shall be read as referring to a Union act as amended or replaced”.</w:t>
      </w:r>
      <w:r w:rsidR="00A72E82" w:rsidRPr="006F01F3">
        <w:t xml:space="preserve">  It is the </w:t>
      </w:r>
      <w:r w:rsidR="007559F7" w:rsidRPr="006F01F3">
        <w:t xml:space="preserve">NIHRC’s </w:t>
      </w:r>
      <w:r w:rsidR="00A72E82" w:rsidRPr="006F01F3">
        <w:t xml:space="preserve">view that Article 13(3) must </w:t>
      </w:r>
      <w:r w:rsidR="00A9224F">
        <w:t xml:space="preserve">be </w:t>
      </w:r>
      <w:r w:rsidR="00A72E82" w:rsidRPr="006F01F3">
        <w:t xml:space="preserve">read with Article 2 and </w:t>
      </w:r>
      <w:r w:rsidR="007559F7" w:rsidRPr="006F01F3">
        <w:t xml:space="preserve">therefore </w:t>
      </w:r>
      <w:r w:rsidR="00A72E82" w:rsidRPr="006F01F3">
        <w:t xml:space="preserve">the dynamic alignment obligation has effect subject to the requirement that there is no diminution </w:t>
      </w:r>
      <w:r w:rsidR="007559F7" w:rsidRPr="006F01F3">
        <w:t xml:space="preserve">of rights and safeguards. </w:t>
      </w:r>
      <w:r w:rsidR="00783DF2" w:rsidRPr="006F01F3">
        <w:t xml:space="preserve"> </w:t>
      </w:r>
      <w:r w:rsidR="007559F7" w:rsidRPr="006F01F3">
        <w:t xml:space="preserve">The </w:t>
      </w:r>
      <w:r w:rsidR="00783DF2" w:rsidRPr="006F01F3">
        <w:t xml:space="preserve">UK Government </w:t>
      </w:r>
      <w:r w:rsidR="00673512" w:rsidRPr="006F01F3">
        <w:t xml:space="preserve">is therefore required </w:t>
      </w:r>
      <w:r w:rsidR="00783DF2" w:rsidRPr="006F01F3">
        <w:t xml:space="preserve">to ensure that any amendment to, or replacement of, </w:t>
      </w:r>
      <w:r w:rsidR="00D91BE2" w:rsidRPr="006F01F3">
        <w:t xml:space="preserve">any provision of </w:t>
      </w:r>
      <w:r w:rsidR="00783DF2" w:rsidRPr="006F01F3">
        <w:t>an Annex 1 Directive</w:t>
      </w:r>
      <w:r w:rsidR="00D91BE2" w:rsidRPr="006F01F3">
        <w:t xml:space="preserve"> </w:t>
      </w:r>
      <w:r w:rsidR="00783DF2" w:rsidRPr="006F01F3">
        <w:t>by the EU on or after 1 January 2021</w:t>
      </w:r>
      <w:r w:rsidR="00D91BE2" w:rsidRPr="006F01F3">
        <w:t xml:space="preserve">, </w:t>
      </w:r>
      <w:r w:rsidR="00783DF2" w:rsidRPr="006F01F3">
        <w:t xml:space="preserve">which enhances rights and protections, is reflected in NI law. </w:t>
      </w:r>
    </w:p>
    <w:p w14:paraId="68FCF3A4" w14:textId="77777777" w:rsidR="009B0721" w:rsidRPr="006F01F3" w:rsidRDefault="009B0721" w:rsidP="009B0721">
      <w:pPr>
        <w:pStyle w:val="ListParagraph"/>
        <w:numPr>
          <w:ilvl w:val="0"/>
          <w:numId w:val="0"/>
        </w:numPr>
        <w:ind w:left="720"/>
      </w:pPr>
    </w:p>
    <w:p w14:paraId="6C06C4F2" w14:textId="41DDED2F" w:rsidR="00E273D2" w:rsidRPr="006F01F3" w:rsidRDefault="0001513F" w:rsidP="007E7261">
      <w:pPr>
        <w:pStyle w:val="ListParagraph"/>
      </w:pPr>
      <w:r w:rsidRPr="006F01F3">
        <w:t>According to the UK Government, the purpose of this commitment was “to provide a reassurance” and to ensure that NI would not fall behind minimum EU standards in anti-discrimination law.</w:t>
      </w:r>
      <w:r w:rsidR="00D91BE2" w:rsidRPr="006F01F3">
        <w:rPr>
          <w:rStyle w:val="FootnoteReference"/>
        </w:rPr>
        <w:footnoteReference w:id="15"/>
      </w:r>
      <w:r w:rsidRPr="006F01F3">
        <w:t xml:space="preserve">  </w:t>
      </w:r>
      <w:r w:rsidR="0053013D" w:rsidRPr="006F01F3">
        <w:t>This</w:t>
      </w:r>
      <w:r w:rsidRPr="006F01F3">
        <w:t xml:space="preserve"> commitment is designed to ensure that “if the EU decides to amend or replace the substantive rights in those directives to improve the minimum levels of protection available, the corresponding substantive rights protections in Northern Ireland will also develop to take account of this”.</w:t>
      </w:r>
      <w:r w:rsidRPr="006F01F3">
        <w:rPr>
          <w:rStyle w:val="FootnoteReference"/>
        </w:rPr>
        <w:footnoteReference w:id="16"/>
      </w:r>
      <w:r w:rsidR="008E780A" w:rsidRPr="006F01F3">
        <w:t xml:space="preserve"> </w:t>
      </w:r>
      <w:r w:rsidR="007559F7" w:rsidRPr="006F01F3">
        <w:t>This a</w:t>
      </w:r>
      <w:r w:rsidR="00A9224F">
        <w:t>ccords</w:t>
      </w:r>
      <w:r w:rsidR="007559F7" w:rsidRPr="006F01F3">
        <w:t xml:space="preserve"> with the NIHRC understanding of </w:t>
      </w:r>
      <w:r w:rsidR="003617B3" w:rsidRPr="006F01F3">
        <w:t>how</w:t>
      </w:r>
      <w:r w:rsidR="007559F7" w:rsidRPr="006F01F3">
        <w:t xml:space="preserve"> Wind</w:t>
      </w:r>
      <w:r w:rsidR="00A9224F">
        <w:t>s</w:t>
      </w:r>
      <w:r w:rsidR="007559F7" w:rsidRPr="006F01F3">
        <w:t>or Framework Article 2 and 13(3)</w:t>
      </w:r>
      <w:r w:rsidR="003617B3" w:rsidRPr="006F01F3">
        <w:t xml:space="preserve"> </w:t>
      </w:r>
      <w:r w:rsidR="00302A26" w:rsidRPr="006F01F3">
        <w:t>work together</w:t>
      </w:r>
      <w:r w:rsidR="007559F7" w:rsidRPr="006F01F3">
        <w:t>.</w:t>
      </w:r>
    </w:p>
    <w:p w14:paraId="5ABE72A5" w14:textId="77777777" w:rsidR="00E273D2" w:rsidRPr="006F01F3" w:rsidRDefault="00E273D2" w:rsidP="00E273D2">
      <w:pPr>
        <w:pStyle w:val="ListParagraph"/>
        <w:numPr>
          <w:ilvl w:val="0"/>
          <w:numId w:val="0"/>
        </w:numPr>
        <w:ind w:left="720"/>
      </w:pPr>
    </w:p>
    <w:p w14:paraId="0108D60E" w14:textId="0CBDF2AF" w:rsidR="0084608F" w:rsidRPr="006F01F3" w:rsidRDefault="0033294E" w:rsidP="007E7261">
      <w:pPr>
        <w:pStyle w:val="ListParagraph"/>
      </w:pPr>
      <w:r>
        <w:t>It is the view of t</w:t>
      </w:r>
      <w:r w:rsidR="00F304FE" w:rsidRPr="006F01F3">
        <w:t>he NIHRC that long-term North-South equivalence of rights was envisaged by the Belfast (Good Friday) Agreement 1998 and is important for the enjoyment of rights on a cross-border basis and access to island of Ireland and cross-border services.</w:t>
      </w:r>
      <w:r w:rsidR="00F304FE" w:rsidRPr="006F01F3">
        <w:rPr>
          <w:rStyle w:val="FootnoteReference"/>
        </w:rPr>
        <w:footnoteReference w:id="17"/>
      </w:r>
      <w:r w:rsidR="00F304FE" w:rsidRPr="006F01F3">
        <w:t xml:space="preserve"> </w:t>
      </w:r>
      <w:r w:rsidR="00E819D3" w:rsidRPr="006F01F3">
        <w:t xml:space="preserve">The principle of equivalence </w:t>
      </w:r>
      <w:r w:rsidR="00F304FE" w:rsidRPr="006F01F3">
        <w:t>also underpins North-South co-operation, consistent with Article 11 of the Windsor Framework</w:t>
      </w:r>
      <w:r w:rsidR="00967D15" w:rsidRPr="006F01F3">
        <w:t xml:space="preserve">, which further provides that the </w:t>
      </w:r>
      <w:r w:rsidR="00A9224F">
        <w:t xml:space="preserve">UK-EU </w:t>
      </w:r>
      <w:r w:rsidR="00E52661" w:rsidRPr="006F01F3">
        <w:t xml:space="preserve">Joint Committee should “keep under constant review the extent to which the implementation and application of this Protocol maintains the necessary conditions for North-South cooperation on the island of </w:t>
      </w:r>
      <w:r w:rsidR="00E52661" w:rsidRPr="006F01F3">
        <w:lastRenderedPageBreak/>
        <w:t>Ireland”.</w:t>
      </w:r>
      <w:r w:rsidR="00B24547" w:rsidRPr="006F01F3">
        <w:rPr>
          <w:rStyle w:val="FootnoteReference"/>
        </w:rPr>
        <w:footnoteReference w:id="18"/>
      </w:r>
      <w:r w:rsidR="00967D15" w:rsidRPr="006F01F3">
        <w:t xml:space="preserve">  The principle of dynamic alignment helps mitigate divergence of rights on the island of Ireland post-Brexit</w:t>
      </w:r>
      <w:r w:rsidR="00A47B9E" w:rsidRPr="006F01F3">
        <w:t>,</w:t>
      </w:r>
      <w:r w:rsidR="00967D15" w:rsidRPr="006F01F3">
        <w:t xml:space="preserve"> albeit limited to the equality protections in the six </w:t>
      </w:r>
      <w:r>
        <w:t>d</w:t>
      </w:r>
      <w:r w:rsidR="00967D15" w:rsidRPr="006F01F3">
        <w:t>irectives in Annex 1</w:t>
      </w:r>
      <w:r w:rsidR="00D91BE2" w:rsidRPr="006F01F3">
        <w:t xml:space="preserve"> in respect of Article 2</w:t>
      </w:r>
      <w:r w:rsidR="00967D15" w:rsidRPr="006F01F3">
        <w:t xml:space="preserve">.  </w:t>
      </w:r>
    </w:p>
    <w:p w14:paraId="1D98D377" w14:textId="77777777" w:rsidR="0028243B" w:rsidRPr="006F01F3" w:rsidRDefault="0028243B" w:rsidP="0028243B">
      <w:pPr>
        <w:pStyle w:val="ListParagraph"/>
        <w:numPr>
          <w:ilvl w:val="0"/>
          <w:numId w:val="0"/>
        </w:numPr>
        <w:ind w:left="720"/>
      </w:pPr>
    </w:p>
    <w:p w14:paraId="56BFF7F8" w14:textId="11FCCFA3" w:rsidR="0028243B" w:rsidRPr="006F01F3" w:rsidRDefault="0028243B" w:rsidP="007E7261">
      <w:pPr>
        <w:pStyle w:val="ListParagraph"/>
      </w:pPr>
      <w:r w:rsidRPr="006F01F3">
        <w:t>In addition, Windsor Framework Article 13(4) provides a mechanism where</w:t>
      </w:r>
      <w:r w:rsidR="00A25638" w:rsidRPr="006F01F3">
        <w:t>by</w:t>
      </w:r>
      <w:r w:rsidRPr="006F01F3">
        <w:t xml:space="preserve"> a new EU measure</w:t>
      </w:r>
      <w:r w:rsidR="00A9224F">
        <w:t>,</w:t>
      </w:r>
      <w:r w:rsidRPr="006F01F3">
        <w:t xml:space="preserve"> which neither amends </w:t>
      </w:r>
      <w:r w:rsidR="0033294E">
        <w:t>n</w:t>
      </w:r>
      <w:r w:rsidRPr="006F01F3">
        <w:t xml:space="preserve">or replaces an </w:t>
      </w:r>
      <w:r w:rsidR="00635D61" w:rsidRPr="006F01F3">
        <w:t>EU measure in one of the Annexes</w:t>
      </w:r>
      <w:r w:rsidR="00A9224F">
        <w:t>,</w:t>
      </w:r>
      <w:r w:rsidRPr="006F01F3">
        <w:t xml:space="preserve"> can be added to the Windsor Framework at the request of either the UK or the EU. </w:t>
      </w:r>
      <w:r w:rsidR="00E819D3" w:rsidRPr="006F01F3">
        <w:t xml:space="preserve">The </w:t>
      </w:r>
      <w:r w:rsidR="00635D61" w:rsidRPr="006F01F3">
        <w:t xml:space="preserve">UK and EU have been exchanging views on the implications of </w:t>
      </w:r>
      <w:r w:rsidR="00E819D3" w:rsidRPr="006F01F3">
        <w:t xml:space="preserve">adding the EU Artificial Intelligence Act to Annex 2 </w:t>
      </w:r>
      <w:r w:rsidR="00635D61" w:rsidRPr="006F01F3">
        <w:t xml:space="preserve">for the proper functioning of the Windsor Framework in both the Specialised Committee and the </w:t>
      </w:r>
      <w:r w:rsidR="00D91BE2" w:rsidRPr="006F01F3">
        <w:t>UK-EU</w:t>
      </w:r>
      <w:r w:rsidR="00635D61" w:rsidRPr="006F01F3">
        <w:t xml:space="preserve"> Joint Committee.</w:t>
      </w:r>
      <w:r w:rsidR="00635D61" w:rsidRPr="006F01F3">
        <w:rPr>
          <w:rStyle w:val="FootnoteReference"/>
        </w:rPr>
        <w:footnoteReference w:id="19"/>
      </w:r>
      <w:r w:rsidR="00635D61" w:rsidRPr="006F01F3">
        <w:t xml:space="preserve"> </w:t>
      </w:r>
      <w:r w:rsidR="00762211" w:rsidRPr="006F01F3">
        <w:t xml:space="preserve">Following the political agreement between the UK and the EU in 2023, any decision by the Joint Committee to add a new measure to the Annexes of the Windsor Framework </w:t>
      </w:r>
      <w:r w:rsidR="0033294E">
        <w:t>will</w:t>
      </w:r>
      <w:r w:rsidR="0033294E" w:rsidRPr="006F01F3">
        <w:t xml:space="preserve"> </w:t>
      </w:r>
      <w:r w:rsidR="00762211" w:rsidRPr="006F01F3">
        <w:t>be subject to an applicability motion in the NI Assembly.</w:t>
      </w:r>
      <w:r w:rsidR="00915896" w:rsidRPr="006F01F3">
        <w:rPr>
          <w:rStyle w:val="FootnoteReference"/>
        </w:rPr>
        <w:footnoteReference w:id="20"/>
      </w:r>
      <w:r w:rsidR="00762211" w:rsidRPr="006F01F3">
        <w:t xml:space="preserve"> </w:t>
      </w:r>
    </w:p>
    <w:p w14:paraId="0E0E8936" w14:textId="77777777" w:rsidR="00CB20F5" w:rsidRPr="006F01F3" w:rsidRDefault="00CB20F5" w:rsidP="00B622F4"/>
    <w:p w14:paraId="331431B0" w14:textId="7755A9E2" w:rsidR="00B622F4" w:rsidRPr="006F01F3" w:rsidRDefault="00B622F4" w:rsidP="00A47B9E">
      <w:pPr>
        <w:pStyle w:val="Heading3"/>
      </w:pPr>
      <w:bookmarkStart w:id="8" w:name="_Toc228875302"/>
      <w:r w:rsidRPr="006F01F3">
        <w:t xml:space="preserve">CJEU </w:t>
      </w:r>
      <w:r w:rsidR="007B3446" w:rsidRPr="006F01F3">
        <w:t>Jurisprudence</w:t>
      </w:r>
      <w:bookmarkEnd w:id="8"/>
      <w:r w:rsidR="007B3446" w:rsidRPr="006F01F3">
        <w:t xml:space="preserve"> </w:t>
      </w:r>
    </w:p>
    <w:p w14:paraId="1E2D3401" w14:textId="212CABC4" w:rsidR="00070321" w:rsidRPr="006F01F3" w:rsidRDefault="003B6259" w:rsidP="00322C4F">
      <w:pPr>
        <w:pStyle w:val="ListParagraph"/>
        <w:widowControl/>
      </w:pPr>
      <w:r w:rsidRPr="006F01F3">
        <w:rPr>
          <w:rFonts w:cs="Arial"/>
          <w:color w:val="000000" w:themeColor="text1"/>
        </w:rPr>
        <w:t xml:space="preserve">The dynamic alignment obligation </w:t>
      </w:r>
      <w:r w:rsidR="004224B3" w:rsidRPr="006F01F3">
        <w:rPr>
          <w:rFonts w:cs="Arial"/>
          <w:color w:val="000000" w:themeColor="text1"/>
        </w:rPr>
        <w:t xml:space="preserve">also </w:t>
      </w:r>
      <w:r w:rsidRPr="006F01F3">
        <w:rPr>
          <w:rFonts w:cs="Arial"/>
          <w:color w:val="000000" w:themeColor="text1"/>
        </w:rPr>
        <w:t xml:space="preserve">requires </w:t>
      </w:r>
      <w:r w:rsidR="00D91BE2" w:rsidRPr="006F01F3">
        <w:rPr>
          <w:rFonts w:cs="Arial"/>
          <w:color w:val="000000" w:themeColor="text1"/>
        </w:rPr>
        <w:t xml:space="preserve">ongoing </w:t>
      </w:r>
      <w:r w:rsidRPr="006F01F3">
        <w:rPr>
          <w:rFonts w:cs="Arial"/>
          <w:color w:val="000000" w:themeColor="text1"/>
        </w:rPr>
        <w:t>adherence to relevant CJEU case law.</w:t>
      </w:r>
      <w:r w:rsidRPr="006F01F3">
        <w:rPr>
          <w:rStyle w:val="FootnoteReference"/>
          <w:rFonts w:cs="Arial"/>
          <w:color w:val="000000" w:themeColor="text1"/>
        </w:rPr>
        <w:footnoteReference w:id="21"/>
      </w:r>
      <w:r w:rsidRPr="006F01F3">
        <w:rPr>
          <w:rFonts w:cs="Arial"/>
          <w:color w:val="000000" w:themeColor="text1"/>
        </w:rPr>
        <w:t xml:space="preserve"> </w:t>
      </w:r>
      <w:r w:rsidRPr="006F01F3">
        <w:t xml:space="preserve">This </w:t>
      </w:r>
      <w:r w:rsidR="009568C2" w:rsidRPr="006F01F3">
        <w:t>provides an important qualification to the general approach after the 1 January 2021</w:t>
      </w:r>
      <w:r w:rsidR="0033294E">
        <w:t>,</w:t>
      </w:r>
      <w:r w:rsidR="009568C2" w:rsidRPr="006F01F3">
        <w:t xml:space="preserve"> as set out in Article 4 of the Withdrawal Agreement</w:t>
      </w:r>
      <w:r w:rsidRPr="006F01F3">
        <w:t xml:space="preserve">.  </w:t>
      </w:r>
      <w:r w:rsidR="009B0721" w:rsidRPr="006F01F3">
        <w:t xml:space="preserve">Article 13(2) </w:t>
      </w:r>
      <w:r w:rsidRPr="006F01F3">
        <w:t>states that provisions of the Windsor Framework</w:t>
      </w:r>
      <w:r w:rsidR="009B0721" w:rsidRPr="006F01F3">
        <w:t xml:space="preserve"> </w:t>
      </w:r>
      <w:r w:rsidRPr="006F01F3">
        <w:t>referring</w:t>
      </w:r>
      <w:r w:rsidR="007E7261" w:rsidRPr="006F01F3">
        <w:t xml:space="preserve"> to</w:t>
      </w:r>
      <w:r w:rsidRPr="006F01F3">
        <w:t xml:space="preserve"> </w:t>
      </w:r>
      <w:r w:rsidR="009B0721" w:rsidRPr="006F01F3">
        <w:t xml:space="preserve">EU </w:t>
      </w:r>
      <w:r w:rsidRPr="006F01F3">
        <w:t xml:space="preserve">law or </w:t>
      </w:r>
      <w:r w:rsidR="007E7261" w:rsidRPr="006F01F3">
        <w:t xml:space="preserve">to </w:t>
      </w:r>
      <w:r w:rsidRPr="006F01F3">
        <w:t>concepts</w:t>
      </w:r>
      <w:r w:rsidR="007E7261" w:rsidRPr="006F01F3">
        <w:t xml:space="preserve"> or provisions thereof</w:t>
      </w:r>
      <w:r w:rsidRPr="006F01F3">
        <w:t xml:space="preserve"> </w:t>
      </w:r>
      <w:r w:rsidR="009B0721" w:rsidRPr="006F01F3">
        <w:t xml:space="preserve">should be </w:t>
      </w:r>
      <w:r w:rsidR="006F2F55" w:rsidRPr="006F01F3">
        <w:t xml:space="preserve">interpreted in conformity with the relevant case law of the </w:t>
      </w:r>
      <w:r w:rsidR="009B0721" w:rsidRPr="006F01F3">
        <w:t>CJEU.</w:t>
      </w:r>
      <w:r w:rsidR="004224B3" w:rsidRPr="006F01F3">
        <w:t xml:space="preserve"> </w:t>
      </w:r>
      <w:r w:rsidR="007E7261" w:rsidRPr="006F01F3">
        <w:t xml:space="preserve">UK Government and NI </w:t>
      </w:r>
      <w:r w:rsidR="008B5FED" w:rsidRPr="006F01F3">
        <w:t>d</w:t>
      </w:r>
      <w:r w:rsidR="007E7261" w:rsidRPr="006F01F3">
        <w:t>epartments should</w:t>
      </w:r>
      <w:r w:rsidR="00E819D3" w:rsidRPr="006F01F3">
        <w:t xml:space="preserve"> therefore </w:t>
      </w:r>
      <w:r w:rsidR="007E7261" w:rsidRPr="006F01F3">
        <w:t xml:space="preserve">consider relevant EU case law </w:t>
      </w:r>
      <w:r w:rsidR="00B227F0" w:rsidRPr="006F01F3">
        <w:t xml:space="preserve">in the development of laws and policies in areas covered by the six Annex 1 </w:t>
      </w:r>
      <w:r w:rsidR="0033294E">
        <w:t>e</w:t>
      </w:r>
      <w:r w:rsidR="00B227F0" w:rsidRPr="006F01F3">
        <w:t xml:space="preserve">quality </w:t>
      </w:r>
      <w:r w:rsidR="0033294E">
        <w:t>d</w:t>
      </w:r>
      <w:r w:rsidR="00B227F0" w:rsidRPr="006F01F3">
        <w:t>irectives</w:t>
      </w:r>
      <w:r w:rsidR="00D91BE2" w:rsidRPr="006F01F3">
        <w:t>. Similarly</w:t>
      </w:r>
      <w:r w:rsidR="0096142E" w:rsidRPr="006F01F3">
        <w:t>,</w:t>
      </w:r>
      <w:r w:rsidR="00D91BE2" w:rsidRPr="006F01F3">
        <w:t xml:space="preserve"> </w:t>
      </w:r>
      <w:r w:rsidR="00A0710C" w:rsidRPr="006F01F3">
        <w:t>NI courts</w:t>
      </w:r>
      <w:r w:rsidR="00D91BE2" w:rsidRPr="006F01F3">
        <w:t xml:space="preserve"> should ensure that any consideration of a provision of the six Annex 1 </w:t>
      </w:r>
      <w:r w:rsidR="0033294E">
        <w:t>e</w:t>
      </w:r>
      <w:r w:rsidR="00D91BE2" w:rsidRPr="006F01F3">
        <w:t xml:space="preserve">quality </w:t>
      </w:r>
      <w:r w:rsidR="0033294E">
        <w:t>d</w:t>
      </w:r>
      <w:r w:rsidR="00D91BE2" w:rsidRPr="006F01F3">
        <w:t>irectives is in line with relevant CJEU jurisprudence</w:t>
      </w:r>
      <w:r w:rsidR="00A0710C" w:rsidRPr="006F01F3">
        <w:t xml:space="preserve">. </w:t>
      </w:r>
      <w:r w:rsidR="008B5FED" w:rsidRPr="006F01F3">
        <w:t>It is therefore necessary to</w:t>
      </w:r>
      <w:r w:rsidR="00C44F26" w:rsidRPr="006F01F3">
        <w:t xml:space="preserve"> </w:t>
      </w:r>
      <w:r w:rsidR="00C44F26" w:rsidRPr="006F01F3">
        <w:lastRenderedPageBreak/>
        <w:t xml:space="preserve">monitor </w:t>
      </w:r>
      <w:r w:rsidR="00516B49" w:rsidRPr="006F01F3">
        <w:t>relevant CJEU case law developments to ensure that NI law is compliant with Article</w:t>
      </w:r>
      <w:r w:rsidR="00C44F26" w:rsidRPr="006F01F3">
        <w:t>s</w:t>
      </w:r>
      <w:r w:rsidR="00516B49" w:rsidRPr="006F01F3">
        <w:t xml:space="preserve"> 2 and 13 of the Windsor Framework. </w:t>
      </w:r>
    </w:p>
    <w:p w14:paraId="4730D01F" w14:textId="77777777" w:rsidR="00070321" w:rsidRPr="006F01F3" w:rsidRDefault="00070321" w:rsidP="00070321">
      <w:pPr>
        <w:pStyle w:val="ListParagraph"/>
        <w:numPr>
          <w:ilvl w:val="0"/>
          <w:numId w:val="0"/>
        </w:numPr>
        <w:ind w:left="720"/>
      </w:pPr>
    </w:p>
    <w:p w14:paraId="38D993F9" w14:textId="51FBBE60" w:rsidR="00CB20F5" w:rsidRPr="006F01F3" w:rsidRDefault="00DE526A" w:rsidP="007B4BB5">
      <w:pPr>
        <w:pStyle w:val="ListParagraph"/>
        <w:rPr>
          <w:rStyle w:val="Hyperlink"/>
          <w:color w:val="000000"/>
          <w:u w:val="none"/>
        </w:rPr>
      </w:pPr>
      <w:r w:rsidRPr="006F01F3">
        <w:t xml:space="preserve">Monitoring </w:t>
      </w:r>
      <w:r w:rsidR="001914EC" w:rsidRPr="006F01F3">
        <w:t xml:space="preserve">relevant </w:t>
      </w:r>
      <w:r w:rsidRPr="006F01F3">
        <w:t xml:space="preserve">EU </w:t>
      </w:r>
      <w:r w:rsidR="00434EC1" w:rsidRPr="006F01F3">
        <w:t xml:space="preserve">legislative, policy and case law </w:t>
      </w:r>
      <w:r w:rsidRPr="006F01F3">
        <w:t>developments</w:t>
      </w:r>
      <w:r w:rsidR="00434EC1" w:rsidRPr="006F01F3">
        <w:t xml:space="preserve"> </w:t>
      </w:r>
      <w:r w:rsidRPr="006F01F3">
        <w:t xml:space="preserve">is essential to ensure </w:t>
      </w:r>
      <w:r w:rsidR="00434EC1" w:rsidRPr="006F01F3">
        <w:t xml:space="preserve">that NI law </w:t>
      </w:r>
      <w:r w:rsidR="001914EC" w:rsidRPr="006F01F3">
        <w:t xml:space="preserve">remains compliant with </w:t>
      </w:r>
      <w:r w:rsidR="00A9224F">
        <w:t xml:space="preserve">the </w:t>
      </w:r>
      <w:r w:rsidR="001914EC" w:rsidRPr="006F01F3">
        <w:t>dynamic alignment obligation and avoids any breach of Windsor Framework Articles 2 and 13</w:t>
      </w:r>
      <w:r w:rsidRPr="006F01F3">
        <w:t xml:space="preserve">.  This </w:t>
      </w:r>
      <w:r w:rsidR="00434EC1" w:rsidRPr="006F01F3">
        <w:t xml:space="preserve">requires </w:t>
      </w:r>
      <w:r w:rsidR="001914EC" w:rsidRPr="006F01F3">
        <w:t xml:space="preserve">considerable </w:t>
      </w:r>
      <w:r w:rsidR="00434EC1" w:rsidRPr="006F01F3">
        <w:t xml:space="preserve">resources and expertise </w:t>
      </w:r>
      <w:r w:rsidR="001914EC" w:rsidRPr="006F01F3">
        <w:t xml:space="preserve">to be allocated </w:t>
      </w:r>
      <w:r w:rsidR="00434EC1" w:rsidRPr="006F01F3">
        <w:t>to identifying and scrutinising relevant</w:t>
      </w:r>
      <w:r w:rsidR="00470E42">
        <w:t xml:space="preserve"> EU</w:t>
      </w:r>
      <w:r w:rsidR="00434EC1" w:rsidRPr="006F01F3">
        <w:t xml:space="preserve"> developments.  The </w:t>
      </w:r>
      <w:r w:rsidR="00245D0D" w:rsidRPr="006F01F3">
        <w:t>NIHRC, the Equality Commission for NI</w:t>
      </w:r>
      <w:r w:rsidR="00907F39">
        <w:t xml:space="preserve"> (ECNI)</w:t>
      </w:r>
      <w:r w:rsidR="00245D0D" w:rsidRPr="006F01F3">
        <w:t xml:space="preserve"> and the Irish Human Rights and Equality Commission</w:t>
      </w:r>
      <w:r w:rsidR="00F87403" w:rsidRPr="006F01F3">
        <w:rPr>
          <w:rStyle w:val="FootnoteReference"/>
        </w:rPr>
        <w:footnoteReference w:id="22"/>
      </w:r>
      <w:r w:rsidR="00F87403" w:rsidRPr="006F01F3">
        <w:t xml:space="preserve"> </w:t>
      </w:r>
      <w:r w:rsidR="00245D0D" w:rsidRPr="006F01F3">
        <w:t>have</w:t>
      </w:r>
      <w:r w:rsidR="00E101BE" w:rsidRPr="006F01F3">
        <w:t xml:space="preserve"> </w:t>
      </w:r>
      <w:r w:rsidR="00245D0D" w:rsidRPr="006F01F3">
        <w:t>commissioned a series of</w:t>
      </w:r>
      <w:r w:rsidR="00E101BE" w:rsidRPr="006F01F3">
        <w:t xml:space="preserve"> research </w:t>
      </w:r>
      <w:r w:rsidR="00245D0D" w:rsidRPr="006F01F3">
        <w:t xml:space="preserve">projects </w:t>
      </w:r>
      <w:r w:rsidR="00E101BE" w:rsidRPr="006F01F3">
        <w:t>to track and examine the divergence in the protection of rights and equality on the island of Ireland since the UK’s exit from the EU</w:t>
      </w:r>
      <w:r w:rsidR="00EF67ED" w:rsidRPr="006F01F3">
        <w:t xml:space="preserve">, which includes </w:t>
      </w:r>
      <w:r w:rsidR="00E819D3" w:rsidRPr="006F01F3">
        <w:t xml:space="preserve">tracking </w:t>
      </w:r>
      <w:r w:rsidR="00EF67ED" w:rsidRPr="006F01F3">
        <w:t>CJEU case law developments relating to the interpretation of the Annex 1 equality directives</w:t>
      </w:r>
      <w:r w:rsidR="00E101BE" w:rsidRPr="006F01F3">
        <w:t>.</w:t>
      </w:r>
      <w:r w:rsidR="00E101BE" w:rsidRPr="006F01F3">
        <w:rPr>
          <w:rStyle w:val="FootnoteReference"/>
        </w:rPr>
        <w:footnoteReference w:id="23"/>
      </w:r>
      <w:r w:rsidR="004224B3" w:rsidRPr="006F01F3">
        <w:t xml:space="preserve">  </w:t>
      </w:r>
      <w:r w:rsidR="00A658EF" w:rsidRPr="006F01F3">
        <w:t xml:space="preserve">For example, in the </w:t>
      </w:r>
      <w:proofErr w:type="spellStart"/>
      <w:r w:rsidR="00A658EF" w:rsidRPr="006F01F3">
        <w:rPr>
          <w:i/>
        </w:rPr>
        <w:t>Szpital</w:t>
      </w:r>
      <w:proofErr w:type="spellEnd"/>
      <w:r w:rsidR="00A658EF" w:rsidRPr="006F01F3">
        <w:rPr>
          <w:i/>
        </w:rPr>
        <w:t xml:space="preserve"> </w:t>
      </w:r>
      <w:proofErr w:type="spellStart"/>
      <w:r w:rsidR="00A658EF" w:rsidRPr="006F01F3">
        <w:rPr>
          <w:i/>
        </w:rPr>
        <w:t>Kliniczny</w:t>
      </w:r>
      <w:proofErr w:type="spellEnd"/>
      <w:r w:rsidR="0085604D" w:rsidRPr="006F01F3">
        <w:rPr>
          <w:iCs/>
        </w:rPr>
        <w:t xml:space="preserve"> case</w:t>
      </w:r>
      <w:r w:rsidR="00A658EF" w:rsidRPr="006F01F3">
        <w:t xml:space="preserve"> </w:t>
      </w:r>
      <w:r w:rsidR="00D653A5" w:rsidRPr="006F01F3">
        <w:t xml:space="preserve">the CJEU </w:t>
      </w:r>
      <w:r w:rsidR="00A658EF" w:rsidRPr="006F01F3">
        <w:t>refined the concept of disability discrimination within the EU Framework Equality Directive,</w:t>
      </w:r>
      <w:r w:rsidR="00D653A5" w:rsidRPr="006F01F3">
        <w:rPr>
          <w:rStyle w:val="FootnoteReference"/>
        </w:rPr>
        <w:footnoteReference w:id="24"/>
      </w:r>
      <w:r w:rsidR="00A658EF" w:rsidRPr="006F01F3">
        <w:t xml:space="preserve"> finding that</w:t>
      </w:r>
      <w:r w:rsidR="00470E42">
        <w:t xml:space="preserve"> the</w:t>
      </w:r>
      <w:r w:rsidR="00A658EF" w:rsidRPr="006F01F3">
        <w:t xml:space="preserve"> </w:t>
      </w:r>
      <w:r w:rsidR="00A658EF" w:rsidRPr="006F01F3">
        <w:rPr>
          <w:rStyle w:val="Hyperlink"/>
          <w:rFonts w:cstheme="minorHAnsi"/>
          <w:color w:val="auto"/>
          <w:u w:val="none"/>
        </w:rPr>
        <w:t>definition of ‘disability discrimination’ should include discrimination between persons with disabilities.</w:t>
      </w:r>
      <w:r w:rsidR="004F66CC" w:rsidRPr="006F01F3">
        <w:rPr>
          <w:iCs/>
          <w:vertAlign w:val="superscript"/>
        </w:rPr>
        <w:footnoteReference w:id="25"/>
      </w:r>
      <w:r w:rsidR="00A658EF" w:rsidRPr="006F01F3">
        <w:rPr>
          <w:rStyle w:val="Hyperlink"/>
          <w:rFonts w:cstheme="minorHAnsi"/>
          <w:color w:val="auto"/>
          <w:u w:val="none"/>
        </w:rPr>
        <w:t xml:space="preserve"> </w:t>
      </w:r>
      <w:r w:rsidR="00D653A5" w:rsidRPr="006F01F3">
        <w:rPr>
          <w:rStyle w:val="Hyperlink"/>
          <w:rFonts w:cstheme="minorHAnsi"/>
          <w:color w:val="auto"/>
          <w:u w:val="none"/>
        </w:rPr>
        <w:t xml:space="preserve">The Court </w:t>
      </w:r>
      <w:r w:rsidR="00A658EF" w:rsidRPr="006F01F3">
        <w:rPr>
          <w:rStyle w:val="Hyperlink"/>
          <w:rFonts w:cstheme="minorHAnsi"/>
          <w:color w:val="auto"/>
          <w:u w:val="none"/>
        </w:rPr>
        <w:t>also</w:t>
      </w:r>
      <w:r w:rsidR="00D653A5" w:rsidRPr="006F01F3">
        <w:rPr>
          <w:rStyle w:val="Hyperlink"/>
          <w:rFonts w:cstheme="minorHAnsi"/>
          <w:color w:val="auto"/>
          <w:u w:val="none"/>
        </w:rPr>
        <w:t xml:space="preserve"> found</w:t>
      </w:r>
      <w:r w:rsidR="00A658EF" w:rsidRPr="006F01F3">
        <w:rPr>
          <w:rStyle w:val="Hyperlink"/>
          <w:rFonts w:cstheme="minorHAnsi"/>
          <w:color w:val="auto"/>
          <w:u w:val="none"/>
        </w:rPr>
        <w:t xml:space="preserve"> that discrimination which is inextricably linked to a protected characteristic amounts to direct discrimination.</w:t>
      </w:r>
      <w:r w:rsidR="0085604D" w:rsidRPr="006F01F3">
        <w:rPr>
          <w:rStyle w:val="FootnoteReference"/>
          <w:rFonts w:cstheme="minorHAnsi"/>
          <w:color w:val="auto"/>
        </w:rPr>
        <w:footnoteReference w:id="26"/>
      </w:r>
      <w:r w:rsidR="0085604D" w:rsidRPr="006F01F3">
        <w:rPr>
          <w:rStyle w:val="Hyperlink"/>
          <w:rFonts w:cstheme="minorHAnsi"/>
          <w:color w:val="auto"/>
          <w:u w:val="none"/>
        </w:rPr>
        <w:t xml:space="preserve"> </w:t>
      </w:r>
      <w:r w:rsidR="00A658EF" w:rsidRPr="006F01F3">
        <w:rPr>
          <w:rStyle w:val="Hyperlink"/>
          <w:rFonts w:cstheme="minorHAnsi"/>
          <w:color w:val="auto"/>
          <w:u w:val="none"/>
        </w:rPr>
        <w:t xml:space="preserve"> </w:t>
      </w:r>
      <w:r w:rsidR="00213D40" w:rsidRPr="006F01F3">
        <w:rPr>
          <w:rStyle w:val="Hyperlink"/>
          <w:rFonts w:cstheme="minorHAnsi"/>
          <w:color w:val="auto"/>
          <w:u w:val="none"/>
        </w:rPr>
        <w:t xml:space="preserve">Therefore to ensure compliance with Articles 2 and 13(2) the definition of disability in NI law </w:t>
      </w:r>
      <w:r w:rsidR="00783606" w:rsidRPr="006F01F3">
        <w:rPr>
          <w:rStyle w:val="Hyperlink"/>
          <w:rFonts w:cstheme="minorHAnsi"/>
          <w:color w:val="auto"/>
          <w:u w:val="none"/>
        </w:rPr>
        <w:t xml:space="preserve">should </w:t>
      </w:r>
      <w:r w:rsidR="00213D40" w:rsidRPr="006F01F3">
        <w:rPr>
          <w:rStyle w:val="Hyperlink"/>
          <w:rFonts w:cstheme="minorHAnsi"/>
          <w:color w:val="auto"/>
          <w:u w:val="none"/>
        </w:rPr>
        <w:t xml:space="preserve">reflect this jurisprudence.  </w:t>
      </w:r>
    </w:p>
    <w:p w14:paraId="5992A47B" w14:textId="77777777" w:rsidR="00516B49" w:rsidRPr="006F01F3" w:rsidRDefault="00516B49" w:rsidP="00516B49">
      <w:pPr>
        <w:pStyle w:val="ListParagraph"/>
        <w:numPr>
          <w:ilvl w:val="0"/>
          <w:numId w:val="0"/>
        </w:numPr>
        <w:ind w:left="720"/>
        <w:rPr>
          <w:rStyle w:val="Hyperlink"/>
          <w:color w:val="000000"/>
          <w:u w:val="none"/>
        </w:rPr>
      </w:pPr>
    </w:p>
    <w:p w14:paraId="4399597A" w14:textId="3ACEDF44" w:rsidR="009D19C3" w:rsidRPr="006F01F3" w:rsidRDefault="00783606" w:rsidP="009D19C3">
      <w:pPr>
        <w:pStyle w:val="ListParagraph"/>
      </w:pPr>
      <w:r w:rsidRPr="006F01F3">
        <w:lastRenderedPageBreak/>
        <w:t>The NI Court of Appeal has confirmed that the EU Charter of Fundamental Rights continues to apply in the interpretation of relevant provisions of EU minimum standards within scope of the Windsor Framework.</w:t>
      </w:r>
      <w:r w:rsidRPr="006F01F3">
        <w:rPr>
          <w:vertAlign w:val="superscript"/>
        </w:rPr>
        <w:footnoteReference w:id="27"/>
      </w:r>
      <w:r w:rsidRPr="006F01F3">
        <w:t xml:space="preserve"> Independent research commissioned by the NIHRC on the interaction between the EU Charter of Fundamental Rights and the NI legal framework has highlighted that</w:t>
      </w:r>
      <w:r w:rsidR="008334A0" w:rsidRPr="006F01F3">
        <w:t>:</w:t>
      </w:r>
    </w:p>
    <w:p w14:paraId="3E868C3E" w14:textId="77777777" w:rsidR="009D19C3" w:rsidRPr="006F01F3" w:rsidRDefault="009D19C3" w:rsidP="0001186B">
      <w:pPr>
        <w:pStyle w:val="Quote"/>
        <w:ind w:left="1440"/>
      </w:pPr>
      <w:r w:rsidRPr="006F01F3">
        <w:t>in Northern Ireland, EU law carries [EU] Charter applicability with it via Article 4 of the Withdrawal Agreement and Article 2 of the Windsor Framework, with an obligation of dynamic alignment and a concomitant duty to conform to the evolving case law of the CJEU under Article 13 of the Windsor Framework in respect of specifically listed legislation (</w:t>
      </w:r>
      <w:proofErr w:type="spellStart"/>
      <w:r w:rsidRPr="006F01F3">
        <w:t>ie</w:t>
      </w:r>
      <w:proofErr w:type="spellEnd"/>
      <w:r w:rsidRPr="006F01F3">
        <w:t>, in respect of Article 2 this duty applies to the Annex 1 Directives…).</w:t>
      </w:r>
      <w:r w:rsidRPr="006F01F3">
        <w:rPr>
          <w:rStyle w:val="FootnoteReference"/>
        </w:rPr>
        <w:footnoteReference w:id="28"/>
      </w:r>
    </w:p>
    <w:p w14:paraId="435F6A87" w14:textId="77777777" w:rsidR="009D19C3" w:rsidRPr="006F01F3" w:rsidRDefault="009D19C3" w:rsidP="00583E2F">
      <w:pPr>
        <w:pStyle w:val="ListParagraph"/>
        <w:numPr>
          <w:ilvl w:val="0"/>
          <w:numId w:val="0"/>
        </w:numPr>
        <w:ind w:left="720"/>
      </w:pPr>
    </w:p>
    <w:p w14:paraId="27330D8B" w14:textId="512CE9C1" w:rsidR="00CE3B7E" w:rsidRPr="006F01F3" w:rsidRDefault="004268A6" w:rsidP="00322C4F">
      <w:pPr>
        <w:pStyle w:val="ListParagraph"/>
        <w:widowControl/>
      </w:pPr>
      <w:r w:rsidRPr="006F01F3">
        <w:t xml:space="preserve">The dynamic alignment obligation </w:t>
      </w:r>
      <w:r w:rsidR="00CD445F" w:rsidRPr="006F01F3">
        <w:t xml:space="preserve">in respect of Articles 5 and 7-10 of the Windsor Framework </w:t>
      </w:r>
      <w:r w:rsidRPr="006F01F3">
        <w:t xml:space="preserve">is subject to the </w:t>
      </w:r>
      <w:r w:rsidR="00964D32" w:rsidRPr="006F01F3">
        <w:t xml:space="preserve">continued supervision and </w:t>
      </w:r>
      <w:r w:rsidRPr="006F01F3">
        <w:t xml:space="preserve">jurisdiction of the CJEU, and </w:t>
      </w:r>
      <w:r w:rsidR="00516B49" w:rsidRPr="006F01F3">
        <w:t xml:space="preserve">pursuant to Article 12, </w:t>
      </w:r>
      <w:r w:rsidRPr="006F01F3">
        <w:t>its judgments will produce the same effects in the UK as in the EU and its Member States.</w:t>
      </w:r>
      <w:r w:rsidRPr="006F01F3">
        <w:rPr>
          <w:rStyle w:val="FootnoteReference"/>
        </w:rPr>
        <w:footnoteReference w:id="29"/>
      </w:r>
      <w:r w:rsidRPr="006F01F3">
        <w:t xml:space="preserve"> </w:t>
      </w:r>
      <w:r w:rsidR="00516B49" w:rsidRPr="006F01F3">
        <w:t xml:space="preserve">Article 2 is not </w:t>
      </w:r>
      <w:r w:rsidR="00A37504" w:rsidRPr="006F01F3">
        <w:t>included in the jurisdiction of the CJEU</w:t>
      </w:r>
      <w:r w:rsidR="009D19C3" w:rsidRPr="006F01F3">
        <w:t xml:space="preserve"> and it falls to NI courts to uphold Windsor Framework Article 2. </w:t>
      </w:r>
      <w:r w:rsidR="005176C3" w:rsidRPr="006F01F3">
        <w:t>The NI Court of Appeal considered Windsor Framework Article 2 and found it to be directly effective.</w:t>
      </w:r>
      <w:r w:rsidR="009D19C3" w:rsidRPr="006F01F3">
        <w:rPr>
          <w:rStyle w:val="FootnoteReference"/>
        </w:rPr>
        <w:footnoteReference w:id="30"/>
      </w:r>
      <w:r w:rsidR="005176C3" w:rsidRPr="006F01F3">
        <w:t xml:space="preserve"> Relying on the reasoning of the UK Supreme Court in </w:t>
      </w:r>
      <w:r w:rsidR="005176C3" w:rsidRPr="006F01F3">
        <w:rPr>
          <w:i/>
          <w:iCs/>
        </w:rPr>
        <w:t>Allister</w:t>
      </w:r>
      <w:r w:rsidR="005176C3" w:rsidRPr="006F01F3">
        <w:t>,</w:t>
      </w:r>
      <w:r w:rsidR="005176C3" w:rsidRPr="006F01F3">
        <w:rPr>
          <w:rStyle w:val="FootnoteReference"/>
        </w:rPr>
        <w:footnoteReference w:id="31"/>
      </w:r>
      <w:r w:rsidR="005176C3" w:rsidRPr="006F01F3">
        <w:t xml:space="preserve"> the Court found that the Windsor Framework was given effect by Section 7A of the EU Withdrawal Act</w:t>
      </w:r>
      <w:r w:rsidR="009D19C3" w:rsidRPr="006F01F3">
        <w:t xml:space="preserve"> and that the</w:t>
      </w:r>
      <w:r w:rsidR="005176C3" w:rsidRPr="006F01F3">
        <w:t xml:space="preserve"> non-diminution commitment in Windsor Framework Article 2 has direct effect and can be relied on in the courts.</w:t>
      </w:r>
      <w:r w:rsidR="005176C3" w:rsidRPr="006F01F3">
        <w:rPr>
          <w:rStyle w:val="FootnoteReference"/>
        </w:rPr>
        <w:footnoteReference w:id="32"/>
      </w:r>
      <w:r w:rsidR="005176C3" w:rsidRPr="006F01F3">
        <w:t xml:space="preserve"> </w:t>
      </w:r>
      <w:r w:rsidR="000217AC" w:rsidRPr="006F01F3">
        <w:t xml:space="preserve">To ensure compliance </w:t>
      </w:r>
      <w:r w:rsidR="00A37504" w:rsidRPr="006F01F3">
        <w:t xml:space="preserve">with </w:t>
      </w:r>
      <w:r w:rsidR="00531F45" w:rsidRPr="006F01F3">
        <w:t xml:space="preserve">Windsor Framework Article 2, including the </w:t>
      </w:r>
      <w:r w:rsidR="000217AC" w:rsidRPr="006F01F3">
        <w:t xml:space="preserve">dynamic alignment obligation in respect of </w:t>
      </w:r>
      <w:r w:rsidR="000217AC" w:rsidRPr="006F01F3">
        <w:lastRenderedPageBreak/>
        <w:t xml:space="preserve">the </w:t>
      </w:r>
      <w:r w:rsidR="00531F45" w:rsidRPr="006F01F3">
        <w:t>Annex 1 Equality Directives</w:t>
      </w:r>
      <w:r w:rsidR="000217AC" w:rsidRPr="006F01F3">
        <w:t xml:space="preserve">, </w:t>
      </w:r>
      <w:r w:rsidR="00964D32" w:rsidRPr="006F01F3">
        <w:t xml:space="preserve">UK courts </w:t>
      </w:r>
      <w:r w:rsidR="000217AC" w:rsidRPr="006F01F3">
        <w:t xml:space="preserve">are empowered to </w:t>
      </w:r>
      <w:r w:rsidR="00B075BD" w:rsidRPr="006F01F3">
        <w:t>disapply inconsistent or incompatible domestic provisions</w:t>
      </w:r>
      <w:r w:rsidR="00964D32" w:rsidRPr="006F01F3">
        <w:t>.</w:t>
      </w:r>
      <w:r w:rsidR="00964D32" w:rsidRPr="006F01F3">
        <w:rPr>
          <w:rStyle w:val="FootnoteReference"/>
        </w:rPr>
        <w:footnoteReference w:id="33"/>
      </w:r>
      <w:r w:rsidR="00B075BD" w:rsidRPr="006F01F3">
        <w:t xml:space="preserve"> </w:t>
      </w:r>
    </w:p>
    <w:p w14:paraId="2DB5A1DC" w14:textId="77777777" w:rsidR="005E6436" w:rsidRPr="006F01F3" w:rsidRDefault="005E6436" w:rsidP="005E6436"/>
    <w:p w14:paraId="4EE563A3" w14:textId="62630A08" w:rsidR="005E6436" w:rsidRPr="006F01F3" w:rsidRDefault="003643C2" w:rsidP="003643C2">
      <w:pPr>
        <w:pStyle w:val="ListParagraph"/>
        <w:rPr>
          <w:b/>
          <w:bCs/>
        </w:rPr>
      </w:pPr>
      <w:r w:rsidRPr="006F01F3">
        <w:t xml:space="preserve">The NIHRC </w:t>
      </w:r>
      <w:r w:rsidR="00D91385">
        <w:t>may</w:t>
      </w:r>
      <w:r w:rsidR="00D91385" w:rsidRPr="006F01F3">
        <w:t xml:space="preserve"> </w:t>
      </w:r>
      <w:r w:rsidRPr="006F01F3">
        <w:t>raise any matter of relevance to Article 2 with the Specialised Committee on the implementation of the Windsor Framework.</w:t>
      </w:r>
      <w:r w:rsidRPr="006F01F3">
        <w:rPr>
          <w:rStyle w:val="FootnoteReference"/>
        </w:rPr>
        <w:footnoteReference w:id="34"/>
      </w:r>
      <w:r w:rsidRPr="006F01F3">
        <w:t xml:space="preserve">  The UK-EU Joint Committee is responsible for the implementation and operation of the Withdrawal Agreement and </w:t>
      </w:r>
      <w:r w:rsidR="00D91385">
        <w:t>may</w:t>
      </w:r>
      <w:r w:rsidR="00D91385" w:rsidRPr="006F01F3">
        <w:t xml:space="preserve"> </w:t>
      </w:r>
      <w:r w:rsidRPr="006F01F3">
        <w:t>adopt decisions by mutual consent</w:t>
      </w:r>
      <w:r w:rsidR="00D91385">
        <w:t>,</w:t>
      </w:r>
      <w:r w:rsidRPr="006F01F3">
        <w:t xml:space="preserve"> which will have the same legal effect </w:t>
      </w:r>
      <w:r w:rsidR="00D91385">
        <w:t>as</w:t>
      </w:r>
      <w:r w:rsidR="00D91385" w:rsidRPr="006F01F3">
        <w:t xml:space="preserve"> </w:t>
      </w:r>
      <w:r w:rsidRPr="006F01F3">
        <w:t>the UK-EU Withdrawal Agreement.</w:t>
      </w:r>
      <w:r w:rsidRPr="006F01F3">
        <w:rPr>
          <w:rStyle w:val="FootnoteReference"/>
        </w:rPr>
        <w:footnoteReference w:id="35"/>
      </w:r>
      <w:r w:rsidRPr="006F01F3">
        <w:t xml:space="preserve">  </w:t>
      </w:r>
      <w:r w:rsidR="00D91385">
        <w:t>In the event that</w:t>
      </w:r>
      <w:r w:rsidR="00D91385" w:rsidRPr="006F01F3">
        <w:t xml:space="preserve"> </w:t>
      </w:r>
      <w:r w:rsidR="005E6436" w:rsidRPr="006F01F3">
        <w:t>a dispute on the implementation and operation of the Withdrawal Agreement cannot be resolved th</w:t>
      </w:r>
      <w:r w:rsidR="00470E42">
        <w:t>r</w:t>
      </w:r>
      <w:r w:rsidR="005E6436" w:rsidRPr="006F01F3">
        <w:t>ough the UK-EU Joint Committee, arbitration is provided for in Articles 167-181 of the Withdrawal Agreement, with further details as to procedure in Appendix VIII. The arbitration procedure includes a limited role for the CJEU.</w:t>
      </w:r>
      <w:r w:rsidR="005E6436" w:rsidRPr="006F01F3">
        <w:rPr>
          <w:rStyle w:val="FootnoteReference"/>
        </w:rPr>
        <w:footnoteReference w:id="36"/>
      </w:r>
      <w:r w:rsidR="005E6436" w:rsidRPr="006F01F3">
        <w:t xml:space="preserve">  Where an issue about the interpretation of EU law arises </w:t>
      </w:r>
      <w:proofErr w:type="gramStart"/>
      <w:r w:rsidR="005E6436" w:rsidRPr="006F01F3">
        <w:t>in the course of</w:t>
      </w:r>
      <w:proofErr w:type="gramEnd"/>
      <w:r w:rsidR="005E6436" w:rsidRPr="006F01F3">
        <w:t xml:space="preserve"> arbitration, this must be referred to the CJEU for consideration and decision. </w:t>
      </w:r>
      <w:r w:rsidR="00D91385">
        <w:t>A</w:t>
      </w:r>
      <w:r w:rsidR="00D91385" w:rsidRPr="006F01F3">
        <w:t xml:space="preserve"> </w:t>
      </w:r>
      <w:r w:rsidR="005E6436" w:rsidRPr="006F01F3">
        <w:t xml:space="preserve">decision as to the interpretation of EU law is binding on the arbitration panel, who will ultimately </w:t>
      </w:r>
      <w:r w:rsidR="00D91385">
        <w:t xml:space="preserve">determine the </w:t>
      </w:r>
      <w:r w:rsidR="005E6436" w:rsidRPr="006F01F3">
        <w:t>dispute. To date, this arbitration process has not been engaged. In 2025 the NIHRC published independent research on enforcement and remedies in relation to Windsor Framework Article 2, which considers this process in more detail.</w:t>
      </w:r>
      <w:r w:rsidR="005E6436" w:rsidRPr="006F01F3">
        <w:rPr>
          <w:rStyle w:val="FootnoteReference"/>
        </w:rPr>
        <w:footnoteReference w:id="37"/>
      </w:r>
      <w:r w:rsidR="005E6436" w:rsidRPr="006F01F3">
        <w:t xml:space="preserve">  </w:t>
      </w:r>
    </w:p>
    <w:p w14:paraId="386DD109" w14:textId="77777777" w:rsidR="00CC65D6" w:rsidRPr="006F01F3" w:rsidRDefault="00CC65D6" w:rsidP="00CC65D6">
      <w:pPr>
        <w:pStyle w:val="ListParagraph"/>
        <w:numPr>
          <w:ilvl w:val="0"/>
          <w:numId w:val="0"/>
        </w:numPr>
        <w:ind w:left="720"/>
      </w:pPr>
    </w:p>
    <w:p w14:paraId="0C47EDCD" w14:textId="0794EC91" w:rsidR="0019479C" w:rsidRPr="006F01F3" w:rsidRDefault="0019479C" w:rsidP="00507E37">
      <w:pPr>
        <w:pStyle w:val="ListParagraph"/>
      </w:pPr>
      <w:r w:rsidRPr="006F01F3">
        <w:t xml:space="preserve">Under the </w:t>
      </w:r>
      <w:r w:rsidR="00507E37" w:rsidRPr="006F01F3">
        <w:t xml:space="preserve">dynamic alignment obligation </w:t>
      </w:r>
      <w:r w:rsidR="00470E42">
        <w:t xml:space="preserve">in the </w:t>
      </w:r>
      <w:r w:rsidRPr="006F01F3">
        <w:t>Windsor Framework, the UK and EU have developed information</w:t>
      </w:r>
      <w:r w:rsidR="00D91385">
        <w:t xml:space="preserve"> </w:t>
      </w:r>
      <w:r w:rsidRPr="006F01F3">
        <w:t>sharing mechanisms</w:t>
      </w:r>
      <w:r w:rsidR="00F56972" w:rsidRPr="006F01F3">
        <w:t>. In addition</w:t>
      </w:r>
      <w:r w:rsidR="00470E42">
        <w:t>,</w:t>
      </w:r>
      <w:r w:rsidR="00507E37" w:rsidRPr="006F01F3">
        <w:t xml:space="preserve"> the UK Government will </w:t>
      </w:r>
      <w:r w:rsidRPr="006F01F3">
        <w:t>monitor and scrutinis</w:t>
      </w:r>
      <w:r w:rsidR="00D91385">
        <w:t>e</w:t>
      </w:r>
      <w:r w:rsidRPr="006F01F3">
        <w:t xml:space="preserve"> EU developments</w:t>
      </w:r>
      <w:r w:rsidR="00863AC0" w:rsidRPr="006F01F3">
        <w:t xml:space="preserve">, including those </w:t>
      </w:r>
      <w:r w:rsidR="00F56972" w:rsidRPr="006F01F3">
        <w:t xml:space="preserve">proposed </w:t>
      </w:r>
      <w:r w:rsidR="00470E42" w:rsidRPr="006F01F3">
        <w:t xml:space="preserve">EU </w:t>
      </w:r>
      <w:r w:rsidR="00F56972" w:rsidRPr="006F01F3">
        <w:t>measures, legislative changes and case</w:t>
      </w:r>
      <w:r w:rsidR="00470E42">
        <w:t xml:space="preserve"> law</w:t>
      </w:r>
      <w:r w:rsidR="00863AC0" w:rsidRPr="006F01F3">
        <w:t xml:space="preserve"> relevant to Article 2</w:t>
      </w:r>
      <w:r w:rsidR="00507E37" w:rsidRPr="006F01F3">
        <w:t xml:space="preserve">.  </w:t>
      </w:r>
    </w:p>
    <w:p w14:paraId="3780B087" w14:textId="77777777" w:rsidR="00507E37" w:rsidRPr="006F01F3" w:rsidRDefault="00507E37" w:rsidP="00507E37"/>
    <w:p w14:paraId="04A75775" w14:textId="19695E60" w:rsidR="00863AC0" w:rsidRPr="006F01F3" w:rsidRDefault="00863AC0" w:rsidP="00CE3B7E">
      <w:pPr>
        <w:pStyle w:val="ListParagraph"/>
      </w:pPr>
      <w:r w:rsidRPr="006F01F3">
        <w:rPr>
          <w:b/>
          <w:bCs/>
        </w:rPr>
        <w:t>The NIHRC recommends that the Committee ask the UK Government to undertake, with the EU, a review of monitoring and information</w:t>
      </w:r>
      <w:r w:rsidR="006C6B4E">
        <w:rPr>
          <w:b/>
          <w:bCs/>
        </w:rPr>
        <w:t>-</w:t>
      </w:r>
      <w:r w:rsidRPr="006F01F3">
        <w:rPr>
          <w:b/>
          <w:bCs/>
        </w:rPr>
        <w:t xml:space="preserve">sharing mechanisms pursuant to </w:t>
      </w:r>
      <w:r w:rsidRPr="006F01F3">
        <w:rPr>
          <w:b/>
          <w:bCs/>
        </w:rPr>
        <w:lastRenderedPageBreak/>
        <w:t>the Windsor Framework, including Article 2, and publish the findings with any recommendations for improvement.</w:t>
      </w:r>
    </w:p>
    <w:p w14:paraId="22D2D58F" w14:textId="77777777" w:rsidR="00863AC0" w:rsidRPr="006F01F3" w:rsidRDefault="00863AC0" w:rsidP="00863AC0">
      <w:pPr>
        <w:pStyle w:val="ListParagraph"/>
        <w:numPr>
          <w:ilvl w:val="0"/>
          <w:numId w:val="0"/>
        </w:numPr>
        <w:ind w:left="720"/>
        <w:rPr>
          <w:b/>
          <w:bCs/>
        </w:rPr>
      </w:pPr>
    </w:p>
    <w:p w14:paraId="41B69C45" w14:textId="1A067446" w:rsidR="00727536" w:rsidRPr="006F01F3" w:rsidRDefault="000137A7" w:rsidP="00CE3B7E">
      <w:pPr>
        <w:pStyle w:val="ListParagraph"/>
      </w:pPr>
      <w:r w:rsidRPr="006F01F3">
        <w:rPr>
          <w:b/>
          <w:bCs/>
        </w:rPr>
        <w:t xml:space="preserve">The </w:t>
      </w:r>
      <w:r w:rsidR="004F458A" w:rsidRPr="006F01F3">
        <w:rPr>
          <w:b/>
          <w:bCs/>
        </w:rPr>
        <w:t>NIHRC</w:t>
      </w:r>
      <w:r w:rsidR="00C36F02" w:rsidRPr="006F01F3">
        <w:rPr>
          <w:b/>
          <w:bCs/>
        </w:rPr>
        <w:t xml:space="preserve"> recommends that</w:t>
      </w:r>
      <w:r w:rsidR="00856142" w:rsidRPr="006F01F3">
        <w:rPr>
          <w:b/>
          <w:bCs/>
        </w:rPr>
        <w:t>,</w:t>
      </w:r>
      <w:r w:rsidR="00C36F02" w:rsidRPr="006F01F3">
        <w:rPr>
          <w:b/>
          <w:bCs/>
        </w:rPr>
        <w:t xml:space="preserve"> </w:t>
      </w:r>
      <w:r w:rsidR="00856142" w:rsidRPr="006F01F3">
        <w:rPr>
          <w:b/>
          <w:bCs/>
        </w:rPr>
        <w:t xml:space="preserve">to facilitate compliance with the </w:t>
      </w:r>
      <w:r w:rsidR="00856142" w:rsidRPr="006F01F3">
        <w:rPr>
          <w:rFonts w:eastAsia="Times New Roman"/>
          <w:b/>
          <w:bCs/>
        </w:rPr>
        <w:t>dynamic alignment obligation pursuant to Articles 2 and 13 of the Windsor Framework,</w:t>
      </w:r>
      <w:r w:rsidR="00856142" w:rsidRPr="006F01F3" w:rsidDel="00856142">
        <w:rPr>
          <w:b/>
          <w:bCs/>
        </w:rPr>
        <w:t xml:space="preserve"> </w:t>
      </w:r>
      <w:r w:rsidR="00245D0D" w:rsidRPr="006F01F3">
        <w:rPr>
          <w:b/>
          <w:bCs/>
        </w:rPr>
        <w:t xml:space="preserve">the UK Government </w:t>
      </w:r>
      <w:r w:rsidR="00764E59" w:rsidRPr="006F01F3">
        <w:rPr>
          <w:b/>
          <w:bCs/>
        </w:rPr>
        <w:t>publish</w:t>
      </w:r>
      <w:r w:rsidR="00856142" w:rsidRPr="006F01F3">
        <w:rPr>
          <w:b/>
          <w:bCs/>
        </w:rPr>
        <w:t xml:space="preserve"> </w:t>
      </w:r>
      <w:r w:rsidR="00DA7572" w:rsidRPr="006F01F3">
        <w:rPr>
          <w:b/>
          <w:bCs/>
        </w:rPr>
        <w:t>an annual report monitoring and providing</w:t>
      </w:r>
      <w:r w:rsidR="00764E59" w:rsidRPr="006F01F3">
        <w:rPr>
          <w:b/>
          <w:bCs/>
        </w:rPr>
        <w:t xml:space="preserve"> detailed analysis of</w:t>
      </w:r>
      <w:r w:rsidR="00C36F02" w:rsidRPr="006F01F3">
        <w:rPr>
          <w:b/>
          <w:bCs/>
        </w:rPr>
        <w:t xml:space="preserve"> any proposed changes by the EU to the equality directives listed in Annex 1 and relevant CJEU case law</w:t>
      </w:r>
      <w:r w:rsidR="00C36F02" w:rsidRPr="006F01F3">
        <w:rPr>
          <w:rFonts w:eastAsia="Times New Roman"/>
          <w:b/>
          <w:bCs/>
        </w:rPr>
        <w:t>.</w:t>
      </w:r>
    </w:p>
    <w:p w14:paraId="3C9DE5D3" w14:textId="6614955A" w:rsidR="000137A7" w:rsidRPr="006F01F3" w:rsidRDefault="00245D0D" w:rsidP="00727536">
      <w:pPr>
        <w:pStyle w:val="ListParagraph"/>
        <w:numPr>
          <w:ilvl w:val="0"/>
          <w:numId w:val="0"/>
        </w:numPr>
        <w:ind w:left="720"/>
        <w:rPr>
          <w:rFonts w:eastAsia="Times New Roman"/>
          <w:b/>
          <w:bCs/>
        </w:rPr>
      </w:pPr>
      <w:r w:rsidRPr="006F01F3">
        <w:rPr>
          <w:rFonts w:eastAsia="Times New Roman"/>
          <w:b/>
          <w:bCs/>
        </w:rPr>
        <w:t xml:space="preserve"> </w:t>
      </w:r>
    </w:p>
    <w:p w14:paraId="3228FE47" w14:textId="1C9A9FF9" w:rsidR="00C36F02" w:rsidRPr="006F01F3" w:rsidRDefault="00C36F02" w:rsidP="00CE3B7E">
      <w:pPr>
        <w:pStyle w:val="ListParagraph"/>
        <w:rPr>
          <w:b/>
          <w:bCs/>
        </w:rPr>
      </w:pPr>
      <w:r w:rsidRPr="006F01F3">
        <w:rPr>
          <w:b/>
          <w:bCs/>
        </w:rPr>
        <w:t xml:space="preserve">The </w:t>
      </w:r>
      <w:r w:rsidR="004F458A" w:rsidRPr="006F01F3">
        <w:rPr>
          <w:b/>
          <w:bCs/>
        </w:rPr>
        <w:t>NIHRC</w:t>
      </w:r>
      <w:r w:rsidRPr="006F01F3">
        <w:rPr>
          <w:b/>
          <w:bCs/>
        </w:rPr>
        <w:t xml:space="preserve"> recommends that the UK Government and EU undertake regular reviews of new EU equality and human rights laws to identify new measures to be considered for addition to Annex 1, as provided for under Article 13(4) of the Windsor Framework. </w:t>
      </w:r>
      <w:proofErr w:type="gramStart"/>
      <w:r w:rsidRPr="006F01F3">
        <w:rPr>
          <w:b/>
          <w:bCs/>
        </w:rPr>
        <w:t>Particular consideration</w:t>
      </w:r>
      <w:proofErr w:type="gramEnd"/>
      <w:r w:rsidRPr="006F01F3">
        <w:rPr>
          <w:b/>
          <w:bCs/>
        </w:rPr>
        <w:t xml:space="preserve"> should be given to alignment of standards across </w:t>
      </w:r>
      <w:r w:rsidR="00CD7035">
        <w:rPr>
          <w:b/>
          <w:bCs/>
        </w:rPr>
        <w:t>both</w:t>
      </w:r>
      <w:r w:rsidRPr="006F01F3">
        <w:rPr>
          <w:b/>
          <w:bCs/>
        </w:rPr>
        <w:t xml:space="preserve"> jurisdictions on the island of Ireland</w:t>
      </w:r>
      <w:r w:rsidR="008F1C5C">
        <w:rPr>
          <w:b/>
          <w:bCs/>
        </w:rPr>
        <w:t>, where these enhance rights</w:t>
      </w:r>
      <w:r w:rsidRPr="006F01F3">
        <w:rPr>
          <w:b/>
          <w:bCs/>
        </w:rPr>
        <w:t>.</w:t>
      </w:r>
    </w:p>
    <w:p w14:paraId="46694CA9" w14:textId="77777777" w:rsidR="00764E59" w:rsidRPr="006F01F3" w:rsidRDefault="00764E59" w:rsidP="00764E59">
      <w:pPr>
        <w:rPr>
          <w:b/>
          <w:bCs/>
        </w:rPr>
      </w:pPr>
    </w:p>
    <w:p w14:paraId="3A29C9EF" w14:textId="77777777" w:rsidR="00747FD5" w:rsidRPr="006F01F3" w:rsidRDefault="00747FD5" w:rsidP="000137A7">
      <w:pPr>
        <w:pStyle w:val="Heading1"/>
      </w:pPr>
      <w:bookmarkStart w:id="9" w:name="_Toc228875303"/>
      <w:r w:rsidRPr="006F01F3">
        <w:t>Lessons from NI</w:t>
      </w:r>
      <w:bookmarkEnd w:id="9"/>
    </w:p>
    <w:p w14:paraId="2C65887E" w14:textId="45C0C637" w:rsidR="003623DE" w:rsidRPr="006F01F3" w:rsidRDefault="00747FD5" w:rsidP="00834CEF">
      <w:pPr>
        <w:pStyle w:val="Heading2"/>
      </w:pPr>
      <w:bookmarkStart w:id="10" w:name="_Toc228875304"/>
      <w:r w:rsidRPr="006F01F3">
        <w:rPr>
          <w:bCs/>
        </w:rPr>
        <w:t>Question 2</w:t>
      </w:r>
      <w:r w:rsidR="007B3446" w:rsidRPr="006F01F3">
        <w:rPr>
          <w:bCs/>
        </w:rPr>
        <w:t>b</w:t>
      </w:r>
      <w:r w:rsidRPr="006F01F3">
        <w:rPr>
          <w:bCs/>
        </w:rPr>
        <w:t>:</w:t>
      </w:r>
      <w:r w:rsidRPr="006F01F3">
        <w:t xml:space="preserve"> In developing its arrangements for dynamic alignment, are there lessons that the UK should draw from the experience of a form of dynamic alignment with respect to </w:t>
      </w:r>
      <w:r w:rsidR="000137A7" w:rsidRPr="006F01F3">
        <w:t xml:space="preserve">NI </w:t>
      </w:r>
      <w:r w:rsidRPr="006F01F3">
        <w:t>under the Withdrawal Agreement Protocol/Windsor Framework?</w:t>
      </w:r>
      <w:bookmarkEnd w:id="10"/>
    </w:p>
    <w:p w14:paraId="620686D7" w14:textId="76ED86FA" w:rsidR="007E7261" w:rsidRPr="006F01F3" w:rsidRDefault="00837CA3" w:rsidP="00837CA3">
      <w:pPr>
        <w:pStyle w:val="ListParagraph"/>
        <w:numPr>
          <w:ilvl w:val="1"/>
          <w:numId w:val="16"/>
        </w:numPr>
        <w:ind w:left="720"/>
      </w:pPr>
      <w:r w:rsidRPr="006F01F3">
        <w:t>In respect of Windsor Framework Article</w:t>
      </w:r>
      <w:r w:rsidR="00D91385">
        <w:t>s</w:t>
      </w:r>
      <w:r w:rsidRPr="006F01F3">
        <w:t xml:space="preserve"> 2</w:t>
      </w:r>
      <w:r w:rsidR="00E01266" w:rsidRPr="006F01F3">
        <w:t xml:space="preserve"> and 13</w:t>
      </w:r>
      <w:r w:rsidR="002858A8" w:rsidRPr="006F01F3">
        <w:t xml:space="preserve">, </w:t>
      </w:r>
      <w:r w:rsidR="00E01266" w:rsidRPr="006F01F3">
        <w:t xml:space="preserve">the </w:t>
      </w:r>
      <w:r w:rsidR="002858A8" w:rsidRPr="006F01F3">
        <w:t xml:space="preserve">dynamic alignment </w:t>
      </w:r>
      <w:r w:rsidR="008F1C5C">
        <w:t xml:space="preserve">obligation </w:t>
      </w:r>
      <w:r w:rsidRPr="006F01F3">
        <w:t xml:space="preserve">requires the UK Government to </w:t>
      </w:r>
      <w:r w:rsidR="00E01266" w:rsidRPr="006F01F3">
        <w:t xml:space="preserve">ensure </w:t>
      </w:r>
      <w:r w:rsidR="00E01266" w:rsidRPr="006F01F3">
        <w:rPr>
          <w:rFonts w:cs="Arial"/>
          <w:color w:val="000000" w:themeColor="text1"/>
        </w:rPr>
        <w:t xml:space="preserve">any improvements to minimum standards of equality protection enshrined in </w:t>
      </w:r>
      <w:r w:rsidR="008F1C5C">
        <w:rPr>
          <w:rFonts w:cs="Arial"/>
          <w:color w:val="000000" w:themeColor="text1"/>
        </w:rPr>
        <w:t xml:space="preserve">the </w:t>
      </w:r>
      <w:r w:rsidR="00E01266" w:rsidRPr="006F01F3">
        <w:rPr>
          <w:rFonts w:cs="Arial"/>
          <w:color w:val="000000" w:themeColor="text1"/>
        </w:rPr>
        <w:t xml:space="preserve">six </w:t>
      </w:r>
      <w:r w:rsidR="008F1C5C">
        <w:rPr>
          <w:rFonts w:cs="Arial"/>
          <w:color w:val="000000" w:themeColor="text1"/>
        </w:rPr>
        <w:t xml:space="preserve">Annex 1 </w:t>
      </w:r>
      <w:r w:rsidR="00D91385">
        <w:rPr>
          <w:rFonts w:cs="Arial"/>
          <w:color w:val="000000" w:themeColor="text1"/>
        </w:rPr>
        <w:t>e</w:t>
      </w:r>
      <w:r w:rsidR="00E01266" w:rsidRPr="006F01F3">
        <w:rPr>
          <w:rFonts w:cs="Arial"/>
          <w:color w:val="000000" w:themeColor="text1"/>
        </w:rPr>
        <w:t xml:space="preserve">quality </w:t>
      </w:r>
      <w:r w:rsidR="00D91385">
        <w:rPr>
          <w:rFonts w:cs="Arial"/>
          <w:color w:val="000000" w:themeColor="text1"/>
        </w:rPr>
        <w:t>d</w:t>
      </w:r>
      <w:r w:rsidR="00E01266" w:rsidRPr="006F01F3">
        <w:rPr>
          <w:rFonts w:cs="Arial"/>
          <w:color w:val="000000" w:themeColor="text1"/>
        </w:rPr>
        <w:t>irectives</w:t>
      </w:r>
      <w:r w:rsidR="00E01266" w:rsidRPr="006F01F3">
        <w:t xml:space="preserve"> are implemented in NI law.</w:t>
      </w:r>
      <w:r w:rsidR="00165562" w:rsidRPr="006F01F3">
        <w:t xml:space="preserve"> As equality is devolved, it would usually fall to the NI Assembly and Executive to implement this. </w:t>
      </w:r>
      <w:r w:rsidR="002B7756" w:rsidRPr="006F01F3">
        <w:t>Where action is necessary to give effect to the UK Government’s international obligations, the Secretary of State can direct that this action be taken.</w:t>
      </w:r>
      <w:r w:rsidR="002B7756" w:rsidRPr="006F01F3">
        <w:rPr>
          <w:rStyle w:val="FootnoteReference"/>
        </w:rPr>
        <w:footnoteReference w:id="38"/>
      </w:r>
      <w:r w:rsidR="002B7756" w:rsidRPr="006F01F3">
        <w:t xml:space="preserve"> </w:t>
      </w:r>
      <w:r w:rsidR="00500A48" w:rsidRPr="006F01F3">
        <w:t xml:space="preserve">Assessing </w:t>
      </w:r>
      <w:proofErr w:type="gramStart"/>
      <w:r w:rsidR="00500A48" w:rsidRPr="006F01F3">
        <w:t>whether or not</w:t>
      </w:r>
      <w:proofErr w:type="gramEnd"/>
      <w:r w:rsidR="00500A48" w:rsidRPr="006F01F3">
        <w:t xml:space="preserve"> a new measure ‘amends or replaces’ an existing </w:t>
      </w:r>
      <w:r w:rsidR="008E1841">
        <w:t xml:space="preserve">EU </w:t>
      </w:r>
      <w:r w:rsidR="00500A48" w:rsidRPr="006F01F3">
        <w:t>measure is a critical task in implementing dynamic alignment and require</w:t>
      </w:r>
      <w:r w:rsidR="00D91385">
        <w:t>s</w:t>
      </w:r>
      <w:r w:rsidR="00500A48" w:rsidRPr="006F01F3">
        <w:t xml:space="preserve"> detailed consideration. </w:t>
      </w:r>
      <w:r w:rsidR="00165562" w:rsidRPr="006F01F3">
        <w:t xml:space="preserve">The scope of this obligation is a relatively </w:t>
      </w:r>
      <w:r w:rsidR="006D0D77" w:rsidRPr="006F01F3">
        <w:t xml:space="preserve">straightforward process </w:t>
      </w:r>
      <w:r w:rsidR="00D91385">
        <w:t>if</w:t>
      </w:r>
      <w:r w:rsidR="00D91385" w:rsidRPr="006F01F3">
        <w:t xml:space="preserve"> </w:t>
      </w:r>
      <w:r w:rsidR="007E7261" w:rsidRPr="006F01F3">
        <w:t xml:space="preserve">a </w:t>
      </w:r>
      <w:r w:rsidR="007E7261" w:rsidRPr="006F01F3">
        <w:lastRenderedPageBreak/>
        <w:t>proposed EU measure explicitly amends or replaces an Annex 1</w:t>
      </w:r>
      <w:r w:rsidR="006D0D77" w:rsidRPr="006F01F3">
        <w:t xml:space="preserve"> directive</w:t>
      </w:r>
      <w:r w:rsidR="003A505A" w:rsidRPr="006F01F3">
        <w:t>, a form of textual amendment,</w:t>
      </w:r>
      <w:r w:rsidR="006D0D77" w:rsidRPr="006F01F3">
        <w:t xml:space="preserve"> and </w:t>
      </w:r>
      <w:r w:rsidR="007E7261" w:rsidRPr="006F01F3">
        <w:t xml:space="preserve">identifying what needs to be updated in NI law </w:t>
      </w:r>
      <w:r w:rsidR="006D0D77" w:rsidRPr="006F01F3">
        <w:t>is clear</w:t>
      </w:r>
      <w:r w:rsidR="007E7261" w:rsidRPr="006F01F3">
        <w:t xml:space="preserve">. </w:t>
      </w:r>
    </w:p>
    <w:p w14:paraId="71C6A32C" w14:textId="77777777" w:rsidR="007E7261" w:rsidRPr="006F01F3" w:rsidRDefault="007E7261" w:rsidP="007E7261">
      <w:pPr>
        <w:pStyle w:val="ListParagraph"/>
        <w:numPr>
          <w:ilvl w:val="0"/>
          <w:numId w:val="0"/>
        </w:numPr>
        <w:ind w:left="720"/>
      </w:pPr>
    </w:p>
    <w:p w14:paraId="4A8BA8DC" w14:textId="7661446C" w:rsidR="005856BB" w:rsidRPr="006F01F3" w:rsidRDefault="00E01266" w:rsidP="00165562">
      <w:pPr>
        <w:pStyle w:val="ListParagraph"/>
        <w:numPr>
          <w:ilvl w:val="1"/>
          <w:numId w:val="16"/>
        </w:numPr>
        <w:ind w:left="720"/>
      </w:pPr>
      <w:r w:rsidRPr="006F01F3">
        <w:t xml:space="preserve">Where </w:t>
      </w:r>
      <w:r w:rsidR="008F1C5C">
        <w:t xml:space="preserve">a </w:t>
      </w:r>
      <w:r w:rsidR="007E7261" w:rsidRPr="006F01F3">
        <w:t>new EU measure or provision of a new measure supplements</w:t>
      </w:r>
      <w:r w:rsidR="00583E2F" w:rsidRPr="006F01F3">
        <w:t>,</w:t>
      </w:r>
      <w:r w:rsidR="007E7261" w:rsidRPr="006F01F3">
        <w:t xml:space="preserve"> consolidates </w:t>
      </w:r>
      <w:r w:rsidR="00583E2F" w:rsidRPr="006F01F3">
        <w:t xml:space="preserve">or further enforces </w:t>
      </w:r>
      <w:r w:rsidR="007E7261" w:rsidRPr="006F01F3">
        <w:t xml:space="preserve">an Annex 1 </w:t>
      </w:r>
      <w:r w:rsidR="00D91385">
        <w:t>d</w:t>
      </w:r>
      <w:r w:rsidR="007E7261" w:rsidRPr="006F01F3">
        <w:t>irective</w:t>
      </w:r>
      <w:r w:rsidRPr="006F01F3">
        <w:t xml:space="preserve"> and does not explicitly state that it will amend or replace that measure, then </w:t>
      </w:r>
      <w:r w:rsidR="007E7261" w:rsidRPr="006F01F3">
        <w:t xml:space="preserve">a consistent approach is required to ensure that any enhancement to rights and protections is reflected in NI </w:t>
      </w:r>
      <w:r w:rsidRPr="006F01F3">
        <w:t>l</w:t>
      </w:r>
      <w:r w:rsidR="007E7261" w:rsidRPr="006F01F3">
        <w:t xml:space="preserve">aw. </w:t>
      </w:r>
      <w:r w:rsidR="003A505A" w:rsidRPr="006F01F3">
        <w:t xml:space="preserve">Such amendments can </w:t>
      </w:r>
      <w:r w:rsidR="00165562" w:rsidRPr="006F01F3">
        <w:t xml:space="preserve">also </w:t>
      </w:r>
      <w:r w:rsidR="00D91385">
        <w:t xml:space="preserve">occur </w:t>
      </w:r>
      <w:r w:rsidR="003A505A" w:rsidRPr="006F01F3">
        <w:t>indirectly or by implication.</w:t>
      </w:r>
      <w:r w:rsidR="00583E2F" w:rsidRPr="006F01F3">
        <w:t xml:space="preserve"> For </w:t>
      </w:r>
      <w:r w:rsidR="00CD7035" w:rsidRPr="006F01F3">
        <w:t>example,</w:t>
      </w:r>
      <w:r w:rsidR="00583E2F" w:rsidRPr="006F01F3">
        <w:t xml:space="preserve"> a recent EU </w:t>
      </w:r>
      <w:r w:rsidR="00D91385">
        <w:t>d</w:t>
      </w:r>
      <w:r w:rsidR="00583E2F" w:rsidRPr="006F01F3">
        <w:t>irective has updated the definition of discrimination in EU law to include ‘intersectional discrimination’, which has implications for other EU equality measures in Annex 1.</w:t>
      </w:r>
      <w:r w:rsidR="00C333BC" w:rsidRPr="006F01F3">
        <w:rPr>
          <w:rStyle w:val="FootnoteReference"/>
        </w:rPr>
        <w:footnoteReference w:id="39"/>
      </w:r>
      <w:r w:rsidR="00583E2F" w:rsidRPr="006F01F3">
        <w:t xml:space="preserve"> </w:t>
      </w:r>
      <w:r w:rsidR="008057B0" w:rsidRPr="006F01F3">
        <w:t xml:space="preserve">This is </w:t>
      </w:r>
      <w:proofErr w:type="gramStart"/>
      <w:r w:rsidR="008057B0" w:rsidRPr="006F01F3">
        <w:t>similar to</w:t>
      </w:r>
      <w:proofErr w:type="gramEnd"/>
      <w:r w:rsidR="008057B0" w:rsidRPr="006F01F3">
        <w:t xml:space="preserve"> the process of implied repeal in UK law</w:t>
      </w:r>
      <w:r w:rsidR="008F1C5C">
        <w:t>;</w:t>
      </w:r>
      <w:r w:rsidR="008057B0" w:rsidRPr="006F01F3">
        <w:t xml:space="preserve"> where there is conflict, a later statute prevails over the earlier </w:t>
      </w:r>
      <w:r w:rsidR="005A64A1">
        <w:t>statute</w:t>
      </w:r>
      <w:r w:rsidR="008057B0" w:rsidRPr="006F01F3">
        <w:t>.</w:t>
      </w:r>
      <w:r w:rsidR="008057B0" w:rsidRPr="006F01F3">
        <w:rPr>
          <w:rStyle w:val="FootnoteReference"/>
        </w:rPr>
        <w:footnoteReference w:id="40"/>
      </w:r>
    </w:p>
    <w:p w14:paraId="6AD9EBE4" w14:textId="77777777" w:rsidR="005856BB" w:rsidRPr="006F01F3" w:rsidRDefault="005856BB" w:rsidP="005856BB">
      <w:pPr>
        <w:pStyle w:val="ListParagraph"/>
        <w:numPr>
          <w:ilvl w:val="0"/>
          <w:numId w:val="0"/>
        </w:numPr>
        <w:ind w:left="720"/>
      </w:pPr>
    </w:p>
    <w:p w14:paraId="426E75A4" w14:textId="5E7FB041" w:rsidR="005856BB" w:rsidRPr="006F01F3" w:rsidRDefault="00F56972" w:rsidP="00165562">
      <w:pPr>
        <w:pStyle w:val="ListParagraph"/>
        <w:numPr>
          <w:ilvl w:val="1"/>
          <w:numId w:val="16"/>
        </w:numPr>
        <w:ind w:left="720"/>
      </w:pPr>
      <w:r w:rsidRPr="006F01F3">
        <w:t>T</w:t>
      </w:r>
      <w:r w:rsidR="00895E7A" w:rsidRPr="006F01F3">
        <w:t xml:space="preserve">he NIHRC </w:t>
      </w:r>
      <w:r w:rsidR="005A64A1">
        <w:t>advises</w:t>
      </w:r>
      <w:r w:rsidR="005A64A1" w:rsidRPr="006F01F3">
        <w:t xml:space="preserve"> </w:t>
      </w:r>
      <w:r w:rsidR="00895E7A" w:rsidRPr="006F01F3">
        <w:t xml:space="preserve">that analysis of whether a new measure effectively amends or replaces an existing </w:t>
      </w:r>
      <w:r w:rsidR="005A64A1">
        <w:t>measure</w:t>
      </w:r>
      <w:r w:rsidR="005A64A1" w:rsidRPr="006F01F3">
        <w:t xml:space="preserve"> </w:t>
      </w:r>
      <w:r w:rsidR="005A64A1">
        <w:t>should include consideration of at least the following</w:t>
      </w:r>
      <w:r w:rsidR="00895E7A" w:rsidRPr="006F01F3">
        <w:t xml:space="preserve"> criteria</w:t>
      </w:r>
      <w:r w:rsidR="005856BB" w:rsidRPr="006F01F3">
        <w:t>:</w:t>
      </w:r>
    </w:p>
    <w:p w14:paraId="22A3EB92" w14:textId="77777777" w:rsidR="005856BB" w:rsidRPr="006F01F3" w:rsidRDefault="005856BB" w:rsidP="009B6F67">
      <w:pPr>
        <w:pStyle w:val="ListParagraph"/>
        <w:numPr>
          <w:ilvl w:val="0"/>
          <w:numId w:val="0"/>
        </w:numPr>
        <w:ind w:left="720"/>
      </w:pPr>
    </w:p>
    <w:p w14:paraId="282C0275" w14:textId="79151D59" w:rsidR="005856BB" w:rsidRPr="006F01F3" w:rsidRDefault="007E7261" w:rsidP="005856BB">
      <w:pPr>
        <w:pStyle w:val="ListParagraph"/>
        <w:numPr>
          <w:ilvl w:val="0"/>
          <w:numId w:val="22"/>
        </w:numPr>
      </w:pPr>
      <w:r w:rsidRPr="006F01F3">
        <w:t xml:space="preserve">the </w:t>
      </w:r>
      <w:r w:rsidRPr="006F01F3">
        <w:rPr>
          <w:b/>
          <w:bCs/>
        </w:rPr>
        <w:t>legal basis</w:t>
      </w:r>
      <w:r w:rsidRPr="006F01F3">
        <w:t xml:space="preserve"> </w:t>
      </w:r>
      <w:r w:rsidR="00FE2E66" w:rsidRPr="006F01F3">
        <w:t>of both</w:t>
      </w:r>
      <w:r w:rsidRPr="006F01F3">
        <w:t xml:space="preserve"> </w:t>
      </w:r>
      <w:r w:rsidR="00FE2E66" w:rsidRPr="006F01F3">
        <w:t xml:space="preserve">the original and new </w:t>
      </w:r>
      <w:r w:rsidRPr="006F01F3">
        <w:t>measure</w:t>
      </w:r>
      <w:r w:rsidR="00FE2E66" w:rsidRPr="006F01F3">
        <w:t>s</w:t>
      </w:r>
      <w:r w:rsidRPr="006F01F3">
        <w:t xml:space="preserve">; </w:t>
      </w:r>
    </w:p>
    <w:p w14:paraId="5884D9F3" w14:textId="3A13DFAF" w:rsidR="00922FC1" w:rsidRPr="006F01F3" w:rsidRDefault="007E7261" w:rsidP="00922FC1">
      <w:pPr>
        <w:pStyle w:val="ListParagraph"/>
        <w:numPr>
          <w:ilvl w:val="0"/>
          <w:numId w:val="22"/>
        </w:numPr>
      </w:pPr>
      <w:r w:rsidRPr="006F01F3">
        <w:t xml:space="preserve">the </w:t>
      </w:r>
      <w:r w:rsidR="004277D9" w:rsidRPr="006F01F3">
        <w:rPr>
          <w:b/>
          <w:bCs/>
        </w:rPr>
        <w:t>aim or purpose</w:t>
      </w:r>
      <w:r w:rsidR="004277D9" w:rsidRPr="006F01F3">
        <w:t xml:space="preserve"> </w:t>
      </w:r>
      <w:r w:rsidRPr="006F01F3">
        <w:t xml:space="preserve">of the new measure; </w:t>
      </w:r>
    </w:p>
    <w:p w14:paraId="07FE2B5E" w14:textId="6C3DE817" w:rsidR="009B6F67" w:rsidRPr="006F01F3" w:rsidRDefault="007E7261" w:rsidP="004277D9">
      <w:pPr>
        <w:pStyle w:val="ListParagraph"/>
        <w:numPr>
          <w:ilvl w:val="0"/>
          <w:numId w:val="22"/>
        </w:numPr>
      </w:pPr>
      <w:r w:rsidRPr="006F01F3">
        <w:t xml:space="preserve">the degree of </w:t>
      </w:r>
      <w:r w:rsidRPr="006F01F3">
        <w:rPr>
          <w:b/>
          <w:bCs/>
        </w:rPr>
        <w:t>overlap on the substance</w:t>
      </w:r>
      <w:r w:rsidRPr="006F01F3">
        <w:t xml:space="preserve"> of the rights and safeguards between the new measure and the Annex 1 equality directive</w:t>
      </w:r>
      <w:r w:rsidR="009D2964" w:rsidRPr="006F01F3">
        <w:t xml:space="preserve">; </w:t>
      </w:r>
    </w:p>
    <w:p w14:paraId="2AD03D76" w14:textId="217E9CF0" w:rsidR="004277D9" w:rsidRPr="006F01F3" w:rsidRDefault="004277D9" w:rsidP="004277D9">
      <w:pPr>
        <w:pStyle w:val="ListParagraph"/>
        <w:numPr>
          <w:ilvl w:val="0"/>
          <w:numId w:val="22"/>
        </w:numPr>
      </w:pPr>
      <w:r w:rsidRPr="006F01F3">
        <w:t xml:space="preserve">the degree to which </w:t>
      </w:r>
      <w:r w:rsidR="008F1C5C">
        <w:t>it facilitates the</w:t>
      </w:r>
      <w:r w:rsidRPr="006F01F3">
        <w:t xml:space="preserve"> </w:t>
      </w:r>
      <w:r w:rsidRPr="006F01F3">
        <w:rPr>
          <w:b/>
          <w:bCs/>
        </w:rPr>
        <w:t>implementation and application</w:t>
      </w:r>
      <w:r w:rsidRPr="006F01F3">
        <w:t xml:space="preserve"> of an Annex 1 equality directive</w:t>
      </w:r>
      <w:r w:rsidR="0017605C" w:rsidRPr="006F01F3">
        <w:t>;</w:t>
      </w:r>
    </w:p>
    <w:p w14:paraId="169AFE06" w14:textId="0978BFE5" w:rsidR="004277D9" w:rsidRPr="006F01F3" w:rsidRDefault="007E7261" w:rsidP="00895E7A">
      <w:pPr>
        <w:pStyle w:val="ListParagraph"/>
        <w:numPr>
          <w:ilvl w:val="0"/>
          <w:numId w:val="22"/>
        </w:numPr>
      </w:pPr>
      <w:r w:rsidRPr="006F01F3">
        <w:t xml:space="preserve">the </w:t>
      </w:r>
      <w:r w:rsidR="004277D9" w:rsidRPr="006F01F3">
        <w:t xml:space="preserve">degree </w:t>
      </w:r>
      <w:r w:rsidRPr="006F01F3">
        <w:t xml:space="preserve">to which the new measure facilitates the </w:t>
      </w:r>
      <w:r w:rsidRPr="006F01F3">
        <w:rPr>
          <w:b/>
          <w:bCs/>
        </w:rPr>
        <w:t xml:space="preserve">enforcement </w:t>
      </w:r>
      <w:r w:rsidRPr="006F01F3">
        <w:t>of an Annex 1 equality directive</w:t>
      </w:r>
      <w:r w:rsidR="004277D9" w:rsidRPr="006F01F3">
        <w:t xml:space="preserve">; </w:t>
      </w:r>
    </w:p>
    <w:p w14:paraId="3C9870A2" w14:textId="195D9156" w:rsidR="004277D9" w:rsidRPr="006F01F3" w:rsidRDefault="004277D9" w:rsidP="00895E7A">
      <w:pPr>
        <w:pStyle w:val="ListParagraph"/>
        <w:numPr>
          <w:ilvl w:val="0"/>
          <w:numId w:val="22"/>
        </w:numPr>
      </w:pPr>
      <w:r w:rsidRPr="006F01F3">
        <w:t xml:space="preserve">the degree to which it </w:t>
      </w:r>
      <w:r w:rsidR="0017605C" w:rsidRPr="006F01F3">
        <w:rPr>
          <w:b/>
          <w:bCs/>
        </w:rPr>
        <w:t>interprets and</w:t>
      </w:r>
      <w:r w:rsidR="0017605C" w:rsidRPr="006F01F3">
        <w:t xml:space="preserve"> </w:t>
      </w:r>
      <w:r w:rsidRPr="006F01F3">
        <w:rPr>
          <w:b/>
          <w:bCs/>
        </w:rPr>
        <w:t>clarifies</w:t>
      </w:r>
      <w:r w:rsidRPr="006F01F3">
        <w:t xml:space="preserve"> existing concepts; and</w:t>
      </w:r>
    </w:p>
    <w:p w14:paraId="26D32AA4" w14:textId="786659BA" w:rsidR="00837CA3" w:rsidRPr="006F01F3" w:rsidRDefault="004277D9" w:rsidP="00895E7A">
      <w:pPr>
        <w:pStyle w:val="ListParagraph"/>
        <w:numPr>
          <w:ilvl w:val="0"/>
          <w:numId w:val="22"/>
        </w:numPr>
      </w:pPr>
      <w:r w:rsidRPr="006F01F3">
        <w:t xml:space="preserve">any relevant </w:t>
      </w:r>
      <w:r w:rsidRPr="006F01F3">
        <w:rPr>
          <w:b/>
          <w:bCs/>
        </w:rPr>
        <w:t>CJEU case law</w:t>
      </w:r>
      <w:r w:rsidRPr="006F01F3">
        <w:t>.</w:t>
      </w:r>
    </w:p>
    <w:p w14:paraId="3C4F53C3" w14:textId="77777777" w:rsidR="00837CA3" w:rsidRPr="006F01F3" w:rsidRDefault="00837CA3" w:rsidP="00837CA3">
      <w:pPr>
        <w:pStyle w:val="ListParagraph"/>
        <w:numPr>
          <w:ilvl w:val="0"/>
          <w:numId w:val="0"/>
        </w:numPr>
        <w:ind w:left="720"/>
      </w:pPr>
    </w:p>
    <w:p w14:paraId="275B11FA" w14:textId="191D5D20" w:rsidR="00B47281" w:rsidRPr="006F01F3" w:rsidRDefault="008F1C5C" w:rsidP="00B47281">
      <w:pPr>
        <w:pStyle w:val="ListParagraph"/>
        <w:autoSpaceDE/>
        <w:autoSpaceDN/>
        <w:adjustRightInd/>
        <w:contextualSpacing/>
      </w:pPr>
      <w:r>
        <w:lastRenderedPageBreak/>
        <w:t>In</w:t>
      </w:r>
      <w:r w:rsidR="00FD00B9" w:rsidRPr="006F01F3">
        <w:t xml:space="preserve"> </w:t>
      </w:r>
      <w:r w:rsidR="00837CA3" w:rsidRPr="006F01F3">
        <w:t>June 2023, the EU adopted the Pay Transparency Directive</w:t>
      </w:r>
      <w:bookmarkStart w:id="11" w:name="_Hlk205118095"/>
      <w:r w:rsidR="00837CA3" w:rsidRPr="006F01F3">
        <w:t>,</w:t>
      </w:r>
      <w:r w:rsidR="00837CA3" w:rsidRPr="006F01F3">
        <w:rPr>
          <w:rStyle w:val="FootnoteReference"/>
        </w:rPr>
        <w:footnoteReference w:id="41"/>
      </w:r>
      <w:bookmarkEnd w:id="11"/>
      <w:r w:rsidR="00837CA3" w:rsidRPr="006F01F3">
        <w:t xml:space="preserve"> which aims to strengthen the existing enforcement tools and procedures </w:t>
      </w:r>
      <w:r w:rsidR="00FD00B9" w:rsidRPr="006F01F3">
        <w:t xml:space="preserve">relating to </w:t>
      </w:r>
      <w:r w:rsidR="00A35981" w:rsidRPr="006F01F3">
        <w:t>the rights and obligations and equal pay provisions in the EU Gender Equality (Employment) Directive</w:t>
      </w:r>
      <w:r w:rsidR="002B4367" w:rsidRPr="006F01F3">
        <w:t>,</w:t>
      </w:r>
      <w:r w:rsidRPr="006F01F3">
        <w:rPr>
          <w:rStyle w:val="FootnoteReference"/>
        </w:rPr>
        <w:footnoteReference w:id="42"/>
      </w:r>
      <w:r w:rsidR="002B4367" w:rsidRPr="006F01F3">
        <w:t xml:space="preserve"> which is listed in Annex 1 of the Windsor Framework</w:t>
      </w:r>
      <w:r w:rsidR="00837CA3" w:rsidRPr="006F01F3">
        <w:t xml:space="preserve">. </w:t>
      </w:r>
      <w:r w:rsidR="00047046" w:rsidRPr="006F01F3">
        <w:t xml:space="preserve"> </w:t>
      </w:r>
      <w:r w:rsidR="00201025" w:rsidRPr="006F01F3">
        <w:t>The EU Pay Transparency Directive</w:t>
      </w:r>
      <w:r w:rsidR="00A35981" w:rsidRPr="006F01F3">
        <w:t xml:space="preserve"> </w:t>
      </w:r>
      <w:r w:rsidR="00837CA3" w:rsidRPr="006F01F3">
        <w:t>must be transposed by Member States by 7 June 2026.</w:t>
      </w:r>
      <w:r w:rsidR="00C333BC" w:rsidRPr="006F01F3">
        <w:rPr>
          <w:rStyle w:val="FootnoteReference"/>
        </w:rPr>
        <w:footnoteReference w:id="43"/>
      </w:r>
    </w:p>
    <w:p w14:paraId="0996E7F5" w14:textId="77777777" w:rsidR="00B47281" w:rsidRPr="006F01F3" w:rsidRDefault="00B47281" w:rsidP="00B47281">
      <w:pPr>
        <w:pStyle w:val="ListParagraph"/>
        <w:numPr>
          <w:ilvl w:val="0"/>
          <w:numId w:val="0"/>
        </w:numPr>
        <w:autoSpaceDE/>
        <w:autoSpaceDN/>
        <w:adjustRightInd/>
        <w:ind w:left="720"/>
        <w:contextualSpacing/>
      </w:pPr>
    </w:p>
    <w:p w14:paraId="0FD62EEE" w14:textId="20923120" w:rsidR="00837CA3" w:rsidRPr="006F01F3" w:rsidRDefault="00A35981" w:rsidP="00B47281">
      <w:pPr>
        <w:pStyle w:val="ListParagraph"/>
        <w:autoSpaceDE/>
        <w:autoSpaceDN/>
        <w:adjustRightInd/>
        <w:contextualSpacing/>
      </w:pPr>
      <w:r w:rsidRPr="006F01F3">
        <w:t>The NIHRC, together with ECNI, conducted a</w:t>
      </w:r>
      <w:r w:rsidR="002B4367" w:rsidRPr="006F01F3">
        <w:t xml:space="preserve"> detailed</w:t>
      </w:r>
      <w:r w:rsidRPr="006F01F3">
        <w:t xml:space="preserve"> analysis of the EU Pay Transparency Directive and</w:t>
      </w:r>
      <w:r w:rsidR="00E01266" w:rsidRPr="006F01F3">
        <w:t xml:space="preserve"> considered </w:t>
      </w:r>
      <w:proofErr w:type="gramStart"/>
      <w:r w:rsidR="00E01266" w:rsidRPr="006F01F3">
        <w:t>a number of</w:t>
      </w:r>
      <w:proofErr w:type="gramEnd"/>
      <w:r w:rsidR="00E01266" w:rsidRPr="006F01F3">
        <w:t xml:space="preserve"> </w:t>
      </w:r>
      <w:r w:rsidR="00452886" w:rsidRPr="006F01F3">
        <w:t>factors, including:</w:t>
      </w:r>
    </w:p>
    <w:p w14:paraId="38A24A4C" w14:textId="77777777" w:rsidR="00452886" w:rsidRPr="006F01F3" w:rsidRDefault="00452886" w:rsidP="00452886">
      <w:pPr>
        <w:pStyle w:val="ListParagraph"/>
        <w:widowControl/>
        <w:numPr>
          <w:ilvl w:val="0"/>
          <w:numId w:val="0"/>
        </w:numPr>
        <w:suppressAutoHyphens w:val="0"/>
        <w:autoSpaceDE/>
        <w:autoSpaceDN/>
        <w:adjustRightInd/>
        <w:ind w:left="720"/>
        <w:contextualSpacing/>
        <w:textAlignment w:val="auto"/>
      </w:pPr>
    </w:p>
    <w:p w14:paraId="7D7B5DD0" w14:textId="11601A3C" w:rsidR="00452886" w:rsidRPr="006F01F3" w:rsidRDefault="00452886" w:rsidP="00452886">
      <w:pPr>
        <w:pStyle w:val="ListParagraph"/>
        <w:numPr>
          <w:ilvl w:val="0"/>
          <w:numId w:val="18"/>
        </w:numPr>
        <w:contextualSpacing/>
      </w:pPr>
      <w:r w:rsidRPr="006F01F3">
        <w:rPr>
          <w:b/>
          <w:bCs/>
        </w:rPr>
        <w:t>legal basis</w:t>
      </w:r>
      <w:r w:rsidR="00D11424" w:rsidRPr="006F01F3">
        <w:rPr>
          <w:b/>
          <w:bCs/>
        </w:rPr>
        <w:t>:</w:t>
      </w:r>
      <w:r w:rsidRPr="006F01F3">
        <w:t xml:space="preserve"> </w:t>
      </w:r>
      <w:r w:rsidR="00FD00B9" w:rsidRPr="006F01F3">
        <w:t>the EU Pay Transparency Directive</w:t>
      </w:r>
      <w:r w:rsidR="000B5162" w:rsidRPr="006F01F3">
        <w:t xml:space="preserve"> and the EU Gender Equality (Employment) </w:t>
      </w:r>
      <w:r w:rsidR="0017605C" w:rsidRPr="006F01F3">
        <w:t xml:space="preserve">Directive </w:t>
      </w:r>
      <w:r w:rsidR="000B5162" w:rsidRPr="006F01F3">
        <w:t>have the same legal basis in Article 157 of the Treaty on the Functioning of the EU</w:t>
      </w:r>
      <w:r w:rsidRPr="006F01F3">
        <w:t>;</w:t>
      </w:r>
      <w:r w:rsidR="00D216C9" w:rsidRPr="006F01F3">
        <w:rPr>
          <w:rStyle w:val="FootnoteReference"/>
        </w:rPr>
        <w:footnoteReference w:id="44"/>
      </w:r>
    </w:p>
    <w:p w14:paraId="00CADE84" w14:textId="2EDB3B8D" w:rsidR="00452886" w:rsidRPr="006F01F3" w:rsidRDefault="005E4317" w:rsidP="00452886">
      <w:pPr>
        <w:pStyle w:val="ListParagraph"/>
        <w:numPr>
          <w:ilvl w:val="0"/>
          <w:numId w:val="18"/>
        </w:numPr>
        <w:contextualSpacing/>
      </w:pPr>
      <w:r w:rsidRPr="006F01F3">
        <w:rPr>
          <w:b/>
          <w:bCs/>
        </w:rPr>
        <w:t>aim</w:t>
      </w:r>
      <w:r w:rsidR="00D11424" w:rsidRPr="006F01F3">
        <w:rPr>
          <w:b/>
          <w:bCs/>
        </w:rPr>
        <w:t>:</w:t>
      </w:r>
      <w:r w:rsidRPr="006F01F3">
        <w:t xml:space="preserve"> the</w:t>
      </w:r>
      <w:r w:rsidR="00452886" w:rsidRPr="006F01F3">
        <w:t xml:space="preserve"> EU Pay Transparency Directive </w:t>
      </w:r>
      <w:r w:rsidR="00D11424" w:rsidRPr="006F01F3">
        <w:t xml:space="preserve">aims </w:t>
      </w:r>
      <w:r w:rsidR="008F79AB" w:rsidRPr="006F01F3">
        <w:t xml:space="preserve">to </w:t>
      </w:r>
      <w:r w:rsidR="00452886" w:rsidRPr="006F01F3">
        <w:t>strengthe</w:t>
      </w:r>
      <w:r w:rsidR="008F79AB" w:rsidRPr="006F01F3">
        <w:t>n</w:t>
      </w:r>
      <w:r w:rsidR="00452886" w:rsidRPr="006F01F3">
        <w:t xml:space="preserve"> the application of the principle of equal pay and the prohibition of discrimination set out in the EU Gender Equality (Employment) Directive, through both pay transparency and reinforced enforcement mechanisms;</w:t>
      </w:r>
    </w:p>
    <w:p w14:paraId="122969B7" w14:textId="26CF1507" w:rsidR="004277D9" w:rsidRPr="006F01F3" w:rsidRDefault="004277D9" w:rsidP="004277D9">
      <w:pPr>
        <w:pStyle w:val="ListParagraph"/>
        <w:numPr>
          <w:ilvl w:val="0"/>
          <w:numId w:val="18"/>
        </w:numPr>
        <w:contextualSpacing/>
      </w:pPr>
      <w:r w:rsidRPr="006F01F3">
        <w:rPr>
          <w:b/>
          <w:bCs/>
        </w:rPr>
        <w:t>substance:</w:t>
      </w:r>
      <w:r w:rsidRPr="006F01F3">
        <w:t xml:space="preserve"> the</w:t>
      </w:r>
      <w:r w:rsidR="000B5162" w:rsidRPr="006F01F3">
        <w:t>re</w:t>
      </w:r>
      <w:r w:rsidRPr="006F01F3">
        <w:t xml:space="preserve"> </w:t>
      </w:r>
      <w:r w:rsidR="000B5162" w:rsidRPr="006F01F3">
        <w:t xml:space="preserve">is a </w:t>
      </w:r>
      <w:r w:rsidRPr="006F01F3">
        <w:t xml:space="preserve">considerable degree of overlap on the substance of the rights and safeguards between the two directives; </w:t>
      </w:r>
    </w:p>
    <w:p w14:paraId="01C71B70" w14:textId="420153B9" w:rsidR="00452886" w:rsidRPr="006F01F3" w:rsidRDefault="00762620" w:rsidP="00452886">
      <w:pPr>
        <w:pStyle w:val="ListParagraph"/>
        <w:numPr>
          <w:ilvl w:val="0"/>
          <w:numId w:val="18"/>
        </w:numPr>
        <w:contextualSpacing/>
      </w:pPr>
      <w:r w:rsidRPr="006F01F3">
        <w:rPr>
          <w:b/>
          <w:bCs/>
        </w:rPr>
        <w:t>enforcement</w:t>
      </w:r>
      <w:r w:rsidR="000E0207" w:rsidRPr="006F01F3">
        <w:rPr>
          <w:b/>
          <w:bCs/>
        </w:rPr>
        <w:t xml:space="preserve"> </w:t>
      </w:r>
      <w:r w:rsidR="00B2423B" w:rsidRPr="006F01F3">
        <w:rPr>
          <w:b/>
          <w:bCs/>
        </w:rPr>
        <w:t>and</w:t>
      </w:r>
      <w:r w:rsidR="000E0207" w:rsidRPr="006F01F3">
        <w:rPr>
          <w:b/>
          <w:bCs/>
        </w:rPr>
        <w:t xml:space="preserve"> implementation: </w:t>
      </w:r>
      <w:r w:rsidR="00452886" w:rsidRPr="006F01F3">
        <w:t xml:space="preserve">the </w:t>
      </w:r>
      <w:r w:rsidR="008F79AB" w:rsidRPr="006F01F3">
        <w:t xml:space="preserve">EU Pay Transparency Directive </w:t>
      </w:r>
      <w:r w:rsidR="00452886" w:rsidRPr="006F01F3">
        <w:t xml:space="preserve">makes clear that its provisions relating to remedies and enforcement “apply to” proceedings relating to any right or obligation relating to the principle of equal pay set out in the </w:t>
      </w:r>
      <w:r w:rsidR="008F79AB" w:rsidRPr="006F01F3">
        <w:t>EU Gender Equality (Employment) Directive</w:t>
      </w:r>
      <w:r w:rsidR="00452886" w:rsidRPr="006F01F3">
        <w:t>;</w:t>
      </w:r>
    </w:p>
    <w:p w14:paraId="56446F5F" w14:textId="6F0DB11F" w:rsidR="008F79AB" w:rsidRPr="006F01F3" w:rsidRDefault="000E0207" w:rsidP="00322C4F">
      <w:pPr>
        <w:pStyle w:val="ListParagraph"/>
        <w:widowControl/>
        <w:numPr>
          <w:ilvl w:val="0"/>
          <w:numId w:val="18"/>
        </w:numPr>
        <w:ind w:left="1077" w:hanging="357"/>
        <w:contextualSpacing/>
      </w:pPr>
      <w:r w:rsidRPr="006F01F3">
        <w:rPr>
          <w:b/>
          <w:bCs/>
        </w:rPr>
        <w:t xml:space="preserve">interpretation: </w:t>
      </w:r>
      <w:r w:rsidR="00452886" w:rsidRPr="006F01F3">
        <w:t xml:space="preserve">the </w:t>
      </w:r>
      <w:r w:rsidR="008F79AB" w:rsidRPr="006F01F3">
        <w:t xml:space="preserve">EU Pay Transparency Directive </w:t>
      </w:r>
      <w:r w:rsidR="00452886" w:rsidRPr="006F01F3">
        <w:t xml:space="preserve">clarifies </w:t>
      </w:r>
      <w:proofErr w:type="gramStart"/>
      <w:r w:rsidR="00452886" w:rsidRPr="006F01F3">
        <w:t>a number of</w:t>
      </w:r>
      <w:proofErr w:type="gramEnd"/>
      <w:r w:rsidR="00452886" w:rsidRPr="006F01F3">
        <w:t xml:space="preserve"> existing concepts in the </w:t>
      </w:r>
      <w:r w:rsidR="008F79AB" w:rsidRPr="006F01F3">
        <w:t>earlier</w:t>
      </w:r>
      <w:r w:rsidR="00452886" w:rsidRPr="006F01F3">
        <w:t xml:space="preserve"> Directive, including </w:t>
      </w:r>
      <w:r w:rsidR="00452886" w:rsidRPr="006F01F3">
        <w:lastRenderedPageBreak/>
        <w:t>core concepts related to equal pay for equal work or work of equal value</w:t>
      </w:r>
      <w:r w:rsidR="008F79AB" w:rsidRPr="006F01F3">
        <w:t xml:space="preserve">; </w:t>
      </w:r>
      <w:r w:rsidR="00B5200A" w:rsidRPr="006F01F3">
        <w:t xml:space="preserve">and </w:t>
      </w:r>
    </w:p>
    <w:p w14:paraId="14B9BA0A" w14:textId="71CF1FCC" w:rsidR="00452886" w:rsidRPr="006F01F3" w:rsidRDefault="00E37A24" w:rsidP="00D37B29">
      <w:pPr>
        <w:pStyle w:val="ListParagraph"/>
        <w:keepLines/>
        <w:numPr>
          <w:ilvl w:val="0"/>
          <w:numId w:val="18"/>
        </w:numPr>
        <w:ind w:left="1077" w:hanging="357"/>
        <w:contextualSpacing/>
      </w:pPr>
      <w:r w:rsidRPr="006F01F3">
        <w:rPr>
          <w:b/>
          <w:bCs/>
        </w:rPr>
        <w:t xml:space="preserve">case-law: </w:t>
      </w:r>
      <w:r w:rsidR="00794DF3" w:rsidRPr="006F01F3">
        <w:t>the</w:t>
      </w:r>
      <w:r w:rsidR="000B5162" w:rsidRPr="006F01F3">
        <w:t xml:space="preserve"> EU Pay Transparency Directive </w:t>
      </w:r>
      <w:r w:rsidR="0017605C" w:rsidRPr="006F01F3">
        <w:t>u</w:t>
      </w:r>
      <w:r w:rsidR="000B5162" w:rsidRPr="006F01F3">
        <w:t xml:space="preserve">pdates </w:t>
      </w:r>
      <w:r w:rsidR="00540A10" w:rsidRPr="006F01F3">
        <w:t xml:space="preserve">the legal framework </w:t>
      </w:r>
      <w:r w:rsidR="00452886" w:rsidRPr="006F01F3">
        <w:t>in accordance with CJEU case law.</w:t>
      </w:r>
      <w:r w:rsidR="00B47281" w:rsidRPr="006F01F3">
        <w:rPr>
          <w:rStyle w:val="FootnoteReference"/>
        </w:rPr>
        <w:footnoteReference w:id="45"/>
      </w:r>
    </w:p>
    <w:p w14:paraId="5E55BED6" w14:textId="77777777" w:rsidR="00C67BD0" w:rsidRPr="006F01F3" w:rsidRDefault="00C67BD0" w:rsidP="00B47281"/>
    <w:p w14:paraId="11CCD4FB" w14:textId="7116E741" w:rsidR="00B2423B" w:rsidRPr="006F01F3" w:rsidRDefault="00794DF3" w:rsidP="00B5200A">
      <w:pPr>
        <w:pStyle w:val="ListParagraph"/>
      </w:pPr>
      <w:r w:rsidRPr="006F01F3">
        <w:t xml:space="preserve">For example, the </w:t>
      </w:r>
      <w:r w:rsidR="00B2423B" w:rsidRPr="006F01F3">
        <w:t xml:space="preserve">EU Commission </w:t>
      </w:r>
      <w:r w:rsidR="005A64A1">
        <w:t>E</w:t>
      </w:r>
      <w:r w:rsidR="00B2423B" w:rsidRPr="006F01F3">
        <w:t xml:space="preserve">xplanatory </w:t>
      </w:r>
      <w:r w:rsidR="005A64A1">
        <w:t>M</w:t>
      </w:r>
      <w:r w:rsidR="00B2423B" w:rsidRPr="006F01F3">
        <w:t>emorandum confirm</w:t>
      </w:r>
      <w:r w:rsidR="005A64A1">
        <w:t>s</w:t>
      </w:r>
      <w:r w:rsidR="00B2423B" w:rsidRPr="006F01F3">
        <w:t xml:space="preserve"> that provisions on the right to information in the </w:t>
      </w:r>
      <w:r w:rsidR="005A64A1">
        <w:t xml:space="preserve">Pay Transparency </w:t>
      </w:r>
      <w:r w:rsidR="00B2423B" w:rsidRPr="006F01F3">
        <w:t xml:space="preserve">Directive (Articles 7 and 8) are aimed </w:t>
      </w:r>
      <w:r w:rsidR="00B2423B" w:rsidRPr="006F01F3">
        <w:rPr>
          <w:rFonts w:cstheme="minorHAnsi"/>
          <w:color w:val="222222"/>
          <w:spacing w:val="4"/>
          <w:szCs w:val="28"/>
          <w:shd w:val="clear" w:color="auto" w:fill="FFFFFF"/>
        </w:rPr>
        <w:t>at providing workers with the necessary information to assess whether they are carrying out equal work or work of equal value, and to enforce their right to equal pay</w:t>
      </w:r>
      <w:r w:rsidR="005A64A1">
        <w:rPr>
          <w:rFonts w:cstheme="minorHAnsi"/>
          <w:color w:val="222222"/>
          <w:spacing w:val="4"/>
          <w:szCs w:val="28"/>
          <w:shd w:val="clear" w:color="auto" w:fill="FFFFFF"/>
        </w:rPr>
        <w:t>.</w:t>
      </w:r>
      <w:r w:rsidR="00B2423B" w:rsidRPr="006F01F3">
        <w:rPr>
          <w:rStyle w:val="FootnoteReference"/>
          <w:rFonts w:cstheme="minorHAnsi"/>
          <w:color w:val="222222"/>
          <w:spacing w:val="4"/>
          <w:szCs w:val="28"/>
          <w:shd w:val="clear" w:color="auto" w:fill="FFFFFF"/>
        </w:rPr>
        <w:footnoteReference w:id="46"/>
      </w:r>
      <w:r w:rsidR="00B2423B" w:rsidRPr="006F01F3">
        <w:t xml:space="preserve"> This is linked </w:t>
      </w:r>
      <w:r w:rsidR="005A64A1">
        <w:t xml:space="preserve">directly </w:t>
      </w:r>
      <w:r w:rsidR="00B2423B" w:rsidRPr="006F01F3">
        <w:t>to the enforcement of the principle of equal pay.</w:t>
      </w:r>
      <w:r w:rsidR="00B2423B" w:rsidRPr="006F01F3">
        <w:rPr>
          <w:rStyle w:val="FootnoteReference"/>
        </w:rPr>
        <w:footnoteReference w:id="47"/>
      </w:r>
      <w:r w:rsidR="00B2423B" w:rsidRPr="006F01F3">
        <w:t xml:space="preserve"> Similarly, provisions on limitation periods,</w:t>
      </w:r>
      <w:r w:rsidR="00B2423B" w:rsidRPr="006F01F3">
        <w:rPr>
          <w:rStyle w:val="FootnoteReference"/>
        </w:rPr>
        <w:footnoteReference w:id="48"/>
      </w:r>
      <w:r w:rsidR="00B2423B" w:rsidRPr="006F01F3">
        <w:t xml:space="preserve"> the right to compensation</w:t>
      </w:r>
      <w:r w:rsidR="00B2423B" w:rsidRPr="006F01F3">
        <w:rPr>
          <w:rStyle w:val="FootnoteReference"/>
        </w:rPr>
        <w:footnoteReference w:id="49"/>
      </w:r>
      <w:r w:rsidR="00B2423B" w:rsidRPr="006F01F3">
        <w:t xml:space="preserve"> and proof of equal work or work of equal value</w:t>
      </w:r>
      <w:r w:rsidR="00B2423B" w:rsidRPr="006F01F3">
        <w:rPr>
          <w:rStyle w:val="FootnoteReference"/>
        </w:rPr>
        <w:footnoteReference w:id="50"/>
      </w:r>
      <w:r w:rsidR="00B2423B" w:rsidRPr="006F01F3">
        <w:t xml:space="preserve"> aim to reflect CJEU case law developments clarifying and interpreting the enforcement of</w:t>
      </w:r>
      <w:r w:rsidR="006326F1">
        <w:t xml:space="preserve"> the</w:t>
      </w:r>
      <w:r w:rsidR="00B2423B" w:rsidRPr="006F01F3">
        <w:t xml:space="preserve"> EU Gender Equality (Employment) Directive.</w:t>
      </w:r>
      <w:r w:rsidR="000B5162" w:rsidRPr="006F01F3">
        <w:rPr>
          <w:rStyle w:val="FootnoteReference"/>
        </w:rPr>
        <w:footnoteReference w:id="51"/>
      </w:r>
    </w:p>
    <w:p w14:paraId="75731705" w14:textId="77777777" w:rsidR="00B2423B" w:rsidRPr="006F01F3" w:rsidRDefault="00B2423B" w:rsidP="00B2423B">
      <w:pPr>
        <w:pStyle w:val="ListParagraph"/>
        <w:numPr>
          <w:ilvl w:val="0"/>
          <w:numId w:val="0"/>
        </w:numPr>
        <w:ind w:left="720"/>
      </w:pPr>
    </w:p>
    <w:p w14:paraId="16A7F022" w14:textId="17925506" w:rsidR="00B2423B" w:rsidRPr="006F01F3" w:rsidRDefault="00B2423B" w:rsidP="00B5200A">
      <w:pPr>
        <w:pStyle w:val="ListParagraph"/>
      </w:pPr>
      <w:r w:rsidRPr="006F01F3">
        <w:t xml:space="preserve">The </w:t>
      </w:r>
      <w:r w:rsidR="005A64A1">
        <w:t xml:space="preserve">NIHRC and ECNI </w:t>
      </w:r>
      <w:r w:rsidRPr="006F01F3">
        <w:t>found that</w:t>
      </w:r>
      <w:r w:rsidR="005A64A1">
        <w:t>,</w:t>
      </w:r>
      <w:r w:rsidRPr="006F01F3">
        <w:t xml:space="preserve"> </w:t>
      </w:r>
      <w:r w:rsidRPr="006F01F3">
        <w:rPr>
          <w:rFonts w:cstheme="minorHAnsi"/>
          <w:szCs w:val="28"/>
        </w:rPr>
        <w:t xml:space="preserve">apart from a small number of provisions of the </w:t>
      </w:r>
      <w:r w:rsidRPr="006F01F3">
        <w:t>EU Pay Transparency Directive</w:t>
      </w:r>
      <w:r w:rsidRPr="006F01F3">
        <w:rPr>
          <w:rFonts w:cstheme="minorHAnsi"/>
          <w:szCs w:val="28"/>
        </w:rPr>
        <w:t xml:space="preserve"> that are no longer relevant now that the UK has left the EU, all other provisions amend or replace provisions in the </w:t>
      </w:r>
      <w:r w:rsidRPr="006F01F3">
        <w:t>EU Gender Equality (Employment) Directive.</w:t>
      </w:r>
      <w:r w:rsidRPr="006F01F3">
        <w:rPr>
          <w:rStyle w:val="FootnoteReference"/>
        </w:rPr>
        <w:footnoteReference w:id="52"/>
      </w:r>
      <w:r w:rsidRPr="006F01F3">
        <w:t xml:space="preserve"> </w:t>
      </w:r>
    </w:p>
    <w:p w14:paraId="36858258" w14:textId="77777777" w:rsidR="00B2423B" w:rsidRPr="006F01F3" w:rsidRDefault="00B2423B" w:rsidP="00B2423B">
      <w:pPr>
        <w:ind w:left="284"/>
      </w:pPr>
    </w:p>
    <w:p w14:paraId="42FB2E60" w14:textId="44F151A5" w:rsidR="002C1695" w:rsidRPr="006F01F3" w:rsidRDefault="002C1695" w:rsidP="00B2423B">
      <w:pPr>
        <w:pStyle w:val="ListParagraph"/>
      </w:pPr>
      <w:r w:rsidRPr="006F01F3">
        <w:t>In addition</w:t>
      </w:r>
      <w:r w:rsidR="00850EB5" w:rsidRPr="006F01F3">
        <w:t>,</w:t>
      </w:r>
      <w:r w:rsidRPr="006F01F3">
        <w:t xml:space="preserve"> in 2024, </w:t>
      </w:r>
      <w:bookmarkStart w:id="12" w:name="_Hlk176445651"/>
      <w:r w:rsidRPr="006F01F3">
        <w:t xml:space="preserve">the EU adopted two new directives setting minimum standards for equality bodies, strengthening their role and </w:t>
      </w:r>
      <w:r w:rsidRPr="006F01F3">
        <w:lastRenderedPageBreak/>
        <w:t xml:space="preserve">independence to achieve more robust enforcement of equality protections under the EU </w:t>
      </w:r>
      <w:r w:rsidR="005A64A1">
        <w:t>e</w:t>
      </w:r>
      <w:r w:rsidRPr="006F01F3">
        <w:t xml:space="preserve">quality </w:t>
      </w:r>
      <w:r w:rsidR="005A64A1">
        <w:t>d</w:t>
      </w:r>
      <w:r w:rsidRPr="006F01F3">
        <w:t>irectives in Annex 1.</w:t>
      </w:r>
      <w:r w:rsidRPr="006F01F3">
        <w:rPr>
          <w:rStyle w:val="FootnoteReference"/>
        </w:rPr>
        <w:footnoteReference w:id="53"/>
      </w:r>
      <w:bookmarkEnd w:id="12"/>
      <w:r w:rsidRPr="006F01F3">
        <w:t xml:space="preserve"> The </w:t>
      </w:r>
      <w:r w:rsidR="00587DB6" w:rsidRPr="006F01F3">
        <w:t xml:space="preserve">NIHRC </w:t>
      </w:r>
      <w:r w:rsidRPr="006F01F3">
        <w:t>considers</w:t>
      </w:r>
      <w:r w:rsidR="00B47281" w:rsidRPr="006F01F3">
        <w:t xml:space="preserve"> </w:t>
      </w:r>
      <w:r w:rsidRPr="006F01F3">
        <w:t xml:space="preserve">that these EU directives amend or replace provisions of the EU equality directives in Annex 1 of the Windsor Framework. </w:t>
      </w:r>
      <w:r w:rsidR="00B47281" w:rsidRPr="006F01F3">
        <w:t>When these were at proposal stage the UK Government accepted this.</w:t>
      </w:r>
      <w:r w:rsidR="00B47281" w:rsidRPr="006F01F3">
        <w:rPr>
          <w:rStyle w:val="FootnoteReference"/>
        </w:rPr>
        <w:footnoteReference w:id="54"/>
      </w:r>
      <w:r w:rsidR="00502972" w:rsidRPr="006F01F3">
        <w:t xml:space="preserve">  The </w:t>
      </w:r>
      <w:r w:rsidR="005A64A1">
        <w:t>d</w:t>
      </w:r>
      <w:r w:rsidR="00165562" w:rsidRPr="006F01F3">
        <w:t xml:space="preserve">irectives </w:t>
      </w:r>
      <w:r w:rsidR="00502972" w:rsidRPr="006F01F3">
        <w:t xml:space="preserve">aim to create a strengthened framework for </w:t>
      </w:r>
      <w:r w:rsidR="00E2395C" w:rsidRPr="006F01F3">
        <w:t>the</w:t>
      </w:r>
      <w:r w:rsidR="00502972" w:rsidRPr="006F01F3">
        <w:t xml:space="preserve"> promot</w:t>
      </w:r>
      <w:r w:rsidR="00E2395C" w:rsidRPr="006F01F3">
        <w:t>ion and</w:t>
      </w:r>
      <w:r w:rsidR="00502972" w:rsidRPr="006F01F3">
        <w:t xml:space="preserve"> application of equal treatment</w:t>
      </w:r>
      <w:r w:rsidR="00E2395C" w:rsidRPr="006F01F3">
        <w:t xml:space="preserve">, </w:t>
      </w:r>
      <w:r w:rsidR="00502972" w:rsidRPr="006F01F3">
        <w:t xml:space="preserve">equal opportunities and </w:t>
      </w:r>
      <w:r w:rsidR="00E2395C" w:rsidRPr="006F01F3">
        <w:t xml:space="preserve">to </w:t>
      </w:r>
      <w:r w:rsidR="00502972" w:rsidRPr="006F01F3">
        <w:t>combat discrimination</w:t>
      </w:r>
      <w:r w:rsidR="00713F7A" w:rsidRPr="006F01F3">
        <w:t xml:space="preserve"> by setting minimum standards addressing the role and independence of equality bodies</w:t>
      </w:r>
      <w:r w:rsidR="00E2395C" w:rsidRPr="006F01F3">
        <w:t xml:space="preserve"> across the six Annex 1 </w:t>
      </w:r>
      <w:r w:rsidR="005A64A1">
        <w:t>e</w:t>
      </w:r>
      <w:r w:rsidR="00E2395C" w:rsidRPr="006F01F3">
        <w:t xml:space="preserve">quality </w:t>
      </w:r>
      <w:r w:rsidR="005A64A1">
        <w:t>d</w:t>
      </w:r>
      <w:r w:rsidR="00E2395C" w:rsidRPr="006F01F3">
        <w:t xml:space="preserve">irectives. </w:t>
      </w:r>
      <w:r w:rsidR="00713F7A" w:rsidRPr="006F01F3">
        <w:t xml:space="preserve"> </w:t>
      </w:r>
    </w:p>
    <w:p w14:paraId="5BA60B2F" w14:textId="77777777" w:rsidR="002C1695" w:rsidRPr="006F01F3" w:rsidRDefault="002C1695" w:rsidP="002C1695">
      <w:pPr>
        <w:pStyle w:val="ListParagraph"/>
        <w:numPr>
          <w:ilvl w:val="0"/>
          <w:numId w:val="0"/>
        </w:numPr>
        <w:ind w:left="720"/>
      </w:pPr>
    </w:p>
    <w:p w14:paraId="77914658" w14:textId="67871C6B" w:rsidR="002C1695" w:rsidRPr="006F01F3" w:rsidRDefault="002C1695" w:rsidP="00B5200A">
      <w:pPr>
        <w:pStyle w:val="ListParagraph"/>
      </w:pPr>
      <w:r w:rsidRPr="006F01F3">
        <w:t xml:space="preserve">It is the </w:t>
      </w:r>
      <w:r w:rsidR="005A64A1">
        <w:t xml:space="preserve">view of the </w:t>
      </w:r>
      <w:r w:rsidR="00587DB6" w:rsidRPr="006F01F3">
        <w:t>NIHRC</w:t>
      </w:r>
      <w:r w:rsidRPr="006F01F3">
        <w:t xml:space="preserve"> that </w:t>
      </w:r>
      <w:r w:rsidR="008B317C" w:rsidRPr="006F01F3">
        <w:t xml:space="preserve">where a new EU measure or its provisions amend or replace one or more of the Annex 1 </w:t>
      </w:r>
      <w:r w:rsidR="005A64A1">
        <w:t>e</w:t>
      </w:r>
      <w:r w:rsidR="008B317C" w:rsidRPr="006F01F3">
        <w:t xml:space="preserve">quality </w:t>
      </w:r>
      <w:r w:rsidR="005A64A1">
        <w:t>d</w:t>
      </w:r>
      <w:r w:rsidR="008B317C" w:rsidRPr="006F01F3">
        <w:t>irectives, N</w:t>
      </w:r>
      <w:r w:rsidRPr="006F01F3">
        <w:t xml:space="preserve">I law should </w:t>
      </w:r>
      <w:r w:rsidR="008B317C" w:rsidRPr="006F01F3">
        <w:t xml:space="preserve">be </w:t>
      </w:r>
      <w:r w:rsidRPr="006F01F3">
        <w:t>amended</w:t>
      </w:r>
      <w:r w:rsidR="00D70949" w:rsidRPr="006F01F3">
        <w:t xml:space="preserve"> as required</w:t>
      </w:r>
      <w:r w:rsidRPr="006F01F3">
        <w:t xml:space="preserve"> </w:t>
      </w:r>
      <w:r w:rsidR="008B317C" w:rsidRPr="006F01F3">
        <w:t xml:space="preserve">by </w:t>
      </w:r>
      <w:r w:rsidRPr="006F01F3">
        <w:t>the transposition deadline</w:t>
      </w:r>
      <w:r w:rsidR="00957F3D" w:rsidRPr="006F01F3">
        <w:t>, in this case by</w:t>
      </w:r>
      <w:r w:rsidR="0050760D" w:rsidRPr="006F01F3">
        <w:t xml:space="preserve"> </w:t>
      </w:r>
      <w:r w:rsidR="00794DF3" w:rsidRPr="006F01F3">
        <w:t>19</w:t>
      </w:r>
      <w:r w:rsidR="00957F3D" w:rsidRPr="006F01F3">
        <w:t xml:space="preserve"> </w:t>
      </w:r>
      <w:r w:rsidR="0050760D" w:rsidRPr="006F01F3">
        <w:t>June 2026</w:t>
      </w:r>
      <w:r w:rsidRPr="006F01F3">
        <w:t>.</w:t>
      </w:r>
      <w:r w:rsidR="00D37B29" w:rsidRPr="006F01F3">
        <w:rPr>
          <w:rStyle w:val="FootnoteReference"/>
        </w:rPr>
        <w:footnoteReference w:id="55"/>
      </w:r>
      <w:r w:rsidR="002B4367" w:rsidRPr="006F01F3">
        <w:t xml:space="preserve"> </w:t>
      </w:r>
      <w:r w:rsidR="00587DB6" w:rsidRPr="006F01F3">
        <w:t xml:space="preserve">The NIHRC has </w:t>
      </w:r>
      <w:r w:rsidR="005A64A1">
        <w:t xml:space="preserve">previously </w:t>
      </w:r>
      <w:r w:rsidR="00587DB6" w:rsidRPr="006F01F3">
        <w:t xml:space="preserve">urged the Department for Communities in NI to bring forward </w:t>
      </w:r>
      <w:r w:rsidR="00587DB6" w:rsidRPr="006F01F3">
        <w:rPr>
          <w:rFonts w:eastAsia="Times New Roman"/>
        </w:rPr>
        <w:t>legislation to ensure NI law dynamically aligns with those provisions of the</w:t>
      </w:r>
      <w:r w:rsidR="00587DB6" w:rsidRPr="006F01F3">
        <w:t xml:space="preserve"> EU Pay Transparency Directive and the</w:t>
      </w:r>
      <w:r w:rsidR="00587DB6" w:rsidRPr="006F01F3">
        <w:rPr>
          <w:rFonts w:eastAsia="Times New Roman"/>
        </w:rPr>
        <w:t xml:space="preserve"> EU directives on standards for equality bodies</w:t>
      </w:r>
      <w:r w:rsidR="00485898" w:rsidRPr="006F01F3">
        <w:rPr>
          <w:rFonts w:eastAsia="Times New Roman"/>
        </w:rPr>
        <w:t xml:space="preserve"> which amend or replace Annex 1 </w:t>
      </w:r>
      <w:r w:rsidR="005A64A1">
        <w:rPr>
          <w:rFonts w:eastAsia="Times New Roman"/>
        </w:rPr>
        <w:t>e</w:t>
      </w:r>
      <w:r w:rsidR="00485898" w:rsidRPr="006F01F3">
        <w:rPr>
          <w:rFonts w:eastAsia="Times New Roman"/>
        </w:rPr>
        <w:t xml:space="preserve">quality </w:t>
      </w:r>
      <w:r w:rsidR="005A64A1">
        <w:rPr>
          <w:rFonts w:eastAsia="Times New Roman"/>
        </w:rPr>
        <w:t>d</w:t>
      </w:r>
      <w:r w:rsidR="00485898" w:rsidRPr="006F01F3">
        <w:rPr>
          <w:rFonts w:eastAsia="Times New Roman"/>
        </w:rPr>
        <w:t>irectives</w:t>
      </w:r>
      <w:r w:rsidR="00587DB6" w:rsidRPr="006F01F3">
        <w:rPr>
          <w:rFonts w:eastAsia="Times New Roman"/>
        </w:rPr>
        <w:t>.</w:t>
      </w:r>
      <w:r w:rsidR="0042251E" w:rsidRPr="006F01F3">
        <w:rPr>
          <w:rStyle w:val="FootnoteReference"/>
        </w:rPr>
        <w:footnoteReference w:id="56"/>
      </w:r>
      <w:r w:rsidR="00587DB6" w:rsidRPr="006F01F3">
        <w:rPr>
          <w:rFonts w:eastAsia="Times New Roman"/>
        </w:rPr>
        <w:t xml:space="preserve">  </w:t>
      </w:r>
    </w:p>
    <w:p w14:paraId="13E962EA" w14:textId="77777777" w:rsidR="002C1695" w:rsidRPr="006F01F3" w:rsidRDefault="002C1695" w:rsidP="002C1695">
      <w:pPr>
        <w:pStyle w:val="ListParagraph"/>
        <w:numPr>
          <w:ilvl w:val="0"/>
          <w:numId w:val="0"/>
        </w:numPr>
        <w:ind w:left="720"/>
      </w:pPr>
    </w:p>
    <w:p w14:paraId="34F566BA" w14:textId="06C6B83B" w:rsidR="00FD00B9" w:rsidRPr="006F01F3" w:rsidRDefault="00281963" w:rsidP="00B5200A">
      <w:pPr>
        <w:pStyle w:val="ListParagraph"/>
      </w:pPr>
      <w:r w:rsidRPr="006F01F3">
        <w:t>The Joint Consultative Working Group on the implementation of the Windsor Framework is designed as a forum for the exchange of information and</w:t>
      </w:r>
      <w:r w:rsidR="006326F1">
        <w:t xml:space="preserve"> for</w:t>
      </w:r>
      <w:r w:rsidRPr="006F01F3">
        <w:t xml:space="preserve"> mutual consultation, including </w:t>
      </w:r>
      <w:r w:rsidR="005A64A1">
        <w:t>on</w:t>
      </w:r>
      <w:r w:rsidR="005A64A1" w:rsidRPr="006F01F3">
        <w:t xml:space="preserve"> </w:t>
      </w:r>
      <w:r w:rsidRPr="006F01F3">
        <w:t xml:space="preserve">planned EU </w:t>
      </w:r>
      <w:r w:rsidR="005A64A1">
        <w:t>measures</w:t>
      </w:r>
      <w:r w:rsidR="005A64A1" w:rsidRPr="006F01F3">
        <w:t xml:space="preserve"> </w:t>
      </w:r>
      <w:r w:rsidRPr="006F01F3">
        <w:t>that amend or replace EU laws listed in the Annexes of the Windsor Framework.</w:t>
      </w:r>
      <w:r w:rsidR="0053266B" w:rsidRPr="006F01F3">
        <w:rPr>
          <w:rStyle w:val="FootnoteReference"/>
        </w:rPr>
        <w:footnoteReference w:id="57"/>
      </w:r>
      <w:r w:rsidRPr="006F01F3">
        <w:t xml:space="preserve">  </w:t>
      </w:r>
      <w:r w:rsidR="00C81879" w:rsidRPr="006F01F3">
        <w:t xml:space="preserve">This mechanism is essential for the </w:t>
      </w:r>
      <w:r w:rsidR="00C81879" w:rsidRPr="006F01F3">
        <w:lastRenderedPageBreak/>
        <w:t>smooth operation of the</w:t>
      </w:r>
      <w:r w:rsidR="00BE498B" w:rsidRPr="006F01F3">
        <w:t xml:space="preserve"> dynamic alignment</w:t>
      </w:r>
      <w:r w:rsidR="00C81879" w:rsidRPr="006F01F3">
        <w:t xml:space="preserve"> </w:t>
      </w:r>
      <w:r w:rsidR="00573621" w:rsidRPr="006F01F3">
        <w:t xml:space="preserve">obligation </w:t>
      </w:r>
      <w:r w:rsidR="00BE498B" w:rsidRPr="006F01F3">
        <w:t xml:space="preserve">and </w:t>
      </w:r>
      <w:r w:rsidR="00CF4E40" w:rsidRPr="006F01F3">
        <w:t xml:space="preserve">should be used to ensure </w:t>
      </w:r>
      <w:r w:rsidR="00BE498B" w:rsidRPr="006F01F3">
        <w:t xml:space="preserve">early </w:t>
      </w:r>
      <w:r w:rsidR="00CF4E40" w:rsidRPr="006F01F3">
        <w:t xml:space="preserve">consideration of human rights and equality implications of new measures. </w:t>
      </w:r>
    </w:p>
    <w:p w14:paraId="797C138F" w14:textId="77777777" w:rsidR="00850EB5" w:rsidRPr="006F01F3" w:rsidRDefault="00850EB5" w:rsidP="00850EB5">
      <w:pPr>
        <w:pStyle w:val="ListParagraph"/>
        <w:numPr>
          <w:ilvl w:val="0"/>
          <w:numId w:val="0"/>
        </w:numPr>
        <w:ind w:left="720"/>
      </w:pPr>
    </w:p>
    <w:p w14:paraId="5D56EA89" w14:textId="269F0E91" w:rsidR="00654473" w:rsidRPr="006F01F3" w:rsidRDefault="00583B0E" w:rsidP="00621F94">
      <w:pPr>
        <w:pStyle w:val="ListParagraph"/>
      </w:pPr>
      <w:r w:rsidRPr="006F01F3">
        <w:t>As referenced above</w:t>
      </w:r>
      <w:r w:rsidR="00A04152">
        <w:t>,</w:t>
      </w:r>
      <w:r w:rsidRPr="006F01F3">
        <w:t xml:space="preserve"> economic cooperati</w:t>
      </w:r>
      <w:r w:rsidR="006326F1">
        <w:t>on</w:t>
      </w:r>
      <w:r w:rsidRPr="006F01F3">
        <w:t xml:space="preserve"> and human rights are interconnected and mutually reinforcing. </w:t>
      </w:r>
      <w:r w:rsidR="005A64A1">
        <w:t>Moreover</w:t>
      </w:r>
      <w:r w:rsidR="0017605C" w:rsidRPr="006F01F3">
        <w:t xml:space="preserve">, all EU law must be read </w:t>
      </w:r>
      <w:proofErr w:type="gramStart"/>
      <w:r w:rsidR="0017605C" w:rsidRPr="006F01F3">
        <w:t>in light of</w:t>
      </w:r>
      <w:proofErr w:type="gramEnd"/>
      <w:r w:rsidR="0017605C" w:rsidRPr="006F01F3">
        <w:t xml:space="preserve"> the EU Charter of Fundamental Rights, which has the same legal value </w:t>
      </w:r>
      <w:r w:rsidR="005B7CCE">
        <w:t>as</w:t>
      </w:r>
      <w:r w:rsidR="0017605C" w:rsidRPr="006F01F3">
        <w:t xml:space="preserve"> the EU foundational treaties.</w:t>
      </w:r>
      <w:r w:rsidR="0017605C" w:rsidRPr="006F01F3">
        <w:rPr>
          <w:rStyle w:val="FootnoteReference"/>
        </w:rPr>
        <w:footnoteReference w:id="58"/>
      </w:r>
      <w:r w:rsidR="0017605C" w:rsidRPr="006F01F3">
        <w:t xml:space="preserve"> The interconnected nature of EU law is </w:t>
      </w:r>
      <w:r w:rsidRPr="006F01F3">
        <w:t xml:space="preserve">illustrated in the human rights and equality implications of some of the trade-focused legislation in Annex 2 of the Windsor Framework. </w:t>
      </w:r>
      <w:r w:rsidR="003623DE" w:rsidRPr="006F01F3">
        <w:t>The NIHRC has</w:t>
      </w:r>
      <w:r w:rsidR="00B5200A" w:rsidRPr="006F01F3">
        <w:t xml:space="preserve"> </w:t>
      </w:r>
      <w:r w:rsidR="003623DE" w:rsidRPr="006F01F3">
        <w:t xml:space="preserve">identified measures </w:t>
      </w:r>
      <w:r w:rsidR="00B5200A" w:rsidRPr="006F01F3">
        <w:t xml:space="preserve">within scope of the non-diminution commitment in </w:t>
      </w:r>
      <w:r w:rsidR="003623DE" w:rsidRPr="006F01F3">
        <w:t>Windsor Framework Article 2</w:t>
      </w:r>
      <w:r w:rsidR="003623DE" w:rsidRPr="006F01F3">
        <w:rPr>
          <w:rStyle w:val="FootnoteReference"/>
        </w:rPr>
        <w:footnoteReference w:id="59"/>
      </w:r>
      <w:r w:rsidR="003623DE" w:rsidRPr="006F01F3">
        <w:t xml:space="preserve"> which are </w:t>
      </w:r>
      <w:r w:rsidR="00B5200A" w:rsidRPr="006F01F3">
        <w:t xml:space="preserve">listed in Annex 2 and are therefore also subject to the dynamic alignment obligation. </w:t>
      </w:r>
      <w:r w:rsidR="00C05F4E" w:rsidRPr="006F01F3">
        <w:t xml:space="preserve">These include measures that are relevant for disabled people in terms of accessibility standards. </w:t>
      </w:r>
      <w:r w:rsidR="003623DE" w:rsidRPr="006F01F3">
        <w:t>For example, Article 24 of the EU Directive on Machinery (Directive 2006/42/EC),</w:t>
      </w:r>
      <w:r w:rsidR="003623DE" w:rsidRPr="006F01F3">
        <w:rPr>
          <w:rStyle w:val="FootnoteReference"/>
        </w:rPr>
        <w:footnoteReference w:id="60"/>
      </w:r>
      <w:r w:rsidR="003623DE" w:rsidRPr="006F01F3">
        <w:t xml:space="preserve"> amends the law on the manufacture of lifts in relation to access for, and use by, disabled people, which is included in Windsor Framework Annex 2.</w:t>
      </w:r>
      <w:r w:rsidR="00621F94" w:rsidRPr="006F01F3">
        <w:t xml:space="preserve">  </w:t>
      </w:r>
    </w:p>
    <w:p w14:paraId="6A707211" w14:textId="77777777" w:rsidR="00654473" w:rsidRPr="006F01F3" w:rsidRDefault="00654473" w:rsidP="00654473">
      <w:pPr>
        <w:pStyle w:val="ListParagraph"/>
        <w:numPr>
          <w:ilvl w:val="0"/>
          <w:numId w:val="0"/>
        </w:numPr>
        <w:ind w:left="720"/>
      </w:pPr>
    </w:p>
    <w:p w14:paraId="58199C4F" w14:textId="1078EF4F" w:rsidR="00B3546E" w:rsidRPr="006F01F3" w:rsidRDefault="00A51C46" w:rsidP="00A04152">
      <w:pPr>
        <w:pStyle w:val="ListParagraph"/>
        <w:widowControl/>
      </w:pPr>
      <w:r w:rsidRPr="006F01F3">
        <w:t xml:space="preserve">This measure is also subject to the </w:t>
      </w:r>
      <w:r w:rsidR="003623DE" w:rsidRPr="006F01F3">
        <w:t>‘Stormont brake’ mechanism</w:t>
      </w:r>
      <w:r w:rsidR="0086306E" w:rsidRPr="006F01F3">
        <w:t xml:space="preserve"> and this may have</w:t>
      </w:r>
      <w:r w:rsidR="003623DE" w:rsidRPr="006F01F3">
        <w:t xml:space="preserve"> potential implications for equality and human rights, including those relating to disabled people in NI.</w:t>
      </w:r>
      <w:r w:rsidR="00C26FF6" w:rsidRPr="006F01F3">
        <w:rPr>
          <w:rStyle w:val="FootnoteReference"/>
        </w:rPr>
        <w:footnoteReference w:id="61"/>
      </w:r>
      <w:r w:rsidR="003623DE" w:rsidRPr="006F01F3">
        <w:t xml:space="preserve"> </w:t>
      </w:r>
      <w:r w:rsidR="006D385B">
        <w:t>If</w:t>
      </w:r>
      <w:r w:rsidR="006D385B" w:rsidRPr="006F01F3">
        <w:t xml:space="preserve"> </w:t>
      </w:r>
      <w:r w:rsidR="00654473" w:rsidRPr="006F01F3">
        <w:t xml:space="preserve">Members of the NI Assembly </w:t>
      </w:r>
      <w:r w:rsidR="006D385B">
        <w:t xml:space="preserve">demonstrate </w:t>
      </w:r>
      <w:r w:rsidR="00654473" w:rsidRPr="006F01F3">
        <w:t xml:space="preserve">that the EU </w:t>
      </w:r>
      <w:r w:rsidR="006D385B">
        <w:t>measure</w:t>
      </w:r>
      <w:r w:rsidR="006D385B" w:rsidRPr="006F01F3">
        <w:t xml:space="preserve"> </w:t>
      </w:r>
      <w:r w:rsidR="00654473" w:rsidRPr="006F01F3">
        <w:t>has a significant and lasting impact specific to the everyday lives of communities in NI in a way that is liable to persist, the ‘Stormont brake’ can be invoked.</w:t>
      </w:r>
      <w:r w:rsidR="00654473" w:rsidRPr="006F01F3">
        <w:rPr>
          <w:rStyle w:val="FootnoteReference"/>
        </w:rPr>
        <w:footnoteReference w:id="62"/>
      </w:r>
      <w:r w:rsidR="00654473" w:rsidRPr="006F01F3">
        <w:t xml:space="preserve">  </w:t>
      </w:r>
      <w:r w:rsidR="006D385B">
        <w:t>If</w:t>
      </w:r>
      <w:r w:rsidR="006D385B" w:rsidRPr="006F01F3">
        <w:t xml:space="preserve"> </w:t>
      </w:r>
      <w:r w:rsidR="00E826C6" w:rsidRPr="006F01F3">
        <w:t>the Secretary of State agrees</w:t>
      </w:r>
      <w:r w:rsidR="009B6DAB" w:rsidRPr="006F01F3">
        <w:t xml:space="preserve">, the UK Government </w:t>
      </w:r>
      <w:r w:rsidR="006D385B">
        <w:t>may</w:t>
      </w:r>
      <w:r w:rsidR="009B6DAB" w:rsidRPr="006F01F3">
        <w:t xml:space="preserve"> </w:t>
      </w:r>
      <w:r w:rsidR="006D385B">
        <w:t>prevent</w:t>
      </w:r>
      <w:r w:rsidR="006D385B" w:rsidRPr="006F01F3">
        <w:t xml:space="preserve"> </w:t>
      </w:r>
      <w:r w:rsidR="009B6DAB" w:rsidRPr="006F01F3">
        <w:t xml:space="preserve">the application of </w:t>
      </w:r>
      <w:r w:rsidR="006D385B">
        <w:t xml:space="preserve">the </w:t>
      </w:r>
      <w:r w:rsidR="009B6DAB" w:rsidRPr="006F01F3">
        <w:t>EU legal provisions in NI which amend or replace measures in Annex 2.</w:t>
      </w:r>
      <w:r w:rsidR="009B6DAB" w:rsidRPr="006F01F3">
        <w:rPr>
          <w:rStyle w:val="FootnoteReference"/>
        </w:rPr>
        <w:footnoteReference w:id="63"/>
      </w:r>
      <w:r w:rsidR="009B6DAB" w:rsidRPr="006F01F3">
        <w:t xml:space="preserve">  </w:t>
      </w:r>
      <w:r w:rsidR="003623DE" w:rsidRPr="006F01F3">
        <w:t xml:space="preserve">The </w:t>
      </w:r>
      <w:r w:rsidR="00E26207" w:rsidRPr="006F01F3">
        <w:t>NIHRC and the E</w:t>
      </w:r>
      <w:r w:rsidR="006D385B">
        <w:t>CNI</w:t>
      </w:r>
      <w:r w:rsidR="00E26207" w:rsidRPr="006F01F3">
        <w:t xml:space="preserve"> </w:t>
      </w:r>
      <w:r w:rsidR="003623DE" w:rsidRPr="006F01F3">
        <w:t xml:space="preserve">have called for equality and human rights </w:t>
      </w:r>
      <w:r w:rsidR="003623DE" w:rsidRPr="006F01F3">
        <w:lastRenderedPageBreak/>
        <w:t>considerations to be built into all key stages of the ‘Stormont brake’ mechanism.</w:t>
      </w:r>
      <w:r w:rsidR="003623DE" w:rsidRPr="006F01F3">
        <w:rPr>
          <w:rStyle w:val="FootnoteReference"/>
        </w:rPr>
        <w:footnoteReference w:id="64"/>
      </w:r>
    </w:p>
    <w:p w14:paraId="3341E162" w14:textId="77777777" w:rsidR="00F10495" w:rsidRPr="006F01F3" w:rsidRDefault="00F10495" w:rsidP="00F10495">
      <w:pPr>
        <w:pStyle w:val="ListParagraph"/>
        <w:numPr>
          <w:ilvl w:val="0"/>
          <w:numId w:val="0"/>
        </w:numPr>
        <w:ind w:left="720"/>
        <w:rPr>
          <w:b/>
          <w:bCs/>
        </w:rPr>
      </w:pPr>
    </w:p>
    <w:p w14:paraId="172442D4" w14:textId="2665673C" w:rsidR="002B7756" w:rsidRPr="006F01F3" w:rsidRDefault="002B7756" w:rsidP="00621F94">
      <w:pPr>
        <w:pStyle w:val="ListParagraph"/>
        <w:rPr>
          <w:b/>
          <w:bCs/>
        </w:rPr>
      </w:pPr>
      <w:r w:rsidRPr="006F01F3">
        <w:rPr>
          <w:b/>
          <w:bCs/>
        </w:rPr>
        <w:t xml:space="preserve">The NIHRC recommends that </w:t>
      </w:r>
      <w:r w:rsidR="005B7CCE">
        <w:rPr>
          <w:b/>
          <w:bCs/>
        </w:rPr>
        <w:t xml:space="preserve">the </w:t>
      </w:r>
      <w:r w:rsidRPr="006F01F3">
        <w:rPr>
          <w:b/>
          <w:bCs/>
        </w:rPr>
        <w:t xml:space="preserve">UK Government and EU agree and publish a robust and comprehensive framework for considering whether a new measure amends or replaces an existing one and commends the </w:t>
      </w:r>
      <w:r w:rsidR="00B31210" w:rsidRPr="006F01F3">
        <w:rPr>
          <w:b/>
          <w:bCs/>
        </w:rPr>
        <w:t xml:space="preserve">NIHRC’s </w:t>
      </w:r>
      <w:r w:rsidRPr="006F01F3">
        <w:rPr>
          <w:b/>
          <w:bCs/>
        </w:rPr>
        <w:t xml:space="preserve">approach </w:t>
      </w:r>
      <w:r w:rsidR="00B31210" w:rsidRPr="006F01F3">
        <w:rPr>
          <w:b/>
          <w:bCs/>
        </w:rPr>
        <w:t xml:space="preserve">in respect of the </w:t>
      </w:r>
      <w:r w:rsidR="00B31210" w:rsidRPr="006F01F3">
        <w:rPr>
          <w:rFonts w:eastAsia="Times New Roman"/>
          <w:b/>
          <w:bCs/>
        </w:rPr>
        <w:t xml:space="preserve">Annex 1 </w:t>
      </w:r>
      <w:r w:rsidR="006D385B">
        <w:rPr>
          <w:rFonts w:eastAsia="Times New Roman"/>
          <w:b/>
          <w:bCs/>
        </w:rPr>
        <w:t>e</w:t>
      </w:r>
      <w:r w:rsidR="00B31210" w:rsidRPr="006F01F3">
        <w:rPr>
          <w:rFonts w:eastAsia="Times New Roman"/>
          <w:b/>
          <w:bCs/>
        </w:rPr>
        <w:t xml:space="preserve">quality </w:t>
      </w:r>
      <w:r w:rsidR="006D385B">
        <w:rPr>
          <w:rFonts w:eastAsia="Times New Roman"/>
          <w:b/>
          <w:bCs/>
        </w:rPr>
        <w:t>d</w:t>
      </w:r>
      <w:r w:rsidR="00B31210" w:rsidRPr="006F01F3">
        <w:rPr>
          <w:rFonts w:eastAsia="Times New Roman"/>
          <w:b/>
          <w:bCs/>
        </w:rPr>
        <w:t>irectives</w:t>
      </w:r>
      <w:r w:rsidR="00B31210" w:rsidRPr="006F01F3">
        <w:rPr>
          <w:b/>
          <w:bCs/>
        </w:rPr>
        <w:t xml:space="preserve"> </w:t>
      </w:r>
      <w:r w:rsidRPr="006F01F3">
        <w:rPr>
          <w:b/>
          <w:bCs/>
        </w:rPr>
        <w:t>for consideration</w:t>
      </w:r>
      <w:r w:rsidR="00B31210" w:rsidRPr="006F01F3">
        <w:rPr>
          <w:b/>
          <w:bCs/>
        </w:rPr>
        <w:t>.</w:t>
      </w:r>
    </w:p>
    <w:p w14:paraId="65248CCA" w14:textId="77777777" w:rsidR="002B7756" w:rsidRPr="006F01F3" w:rsidRDefault="002B7756" w:rsidP="00B31210">
      <w:pPr>
        <w:pStyle w:val="ListParagraph"/>
        <w:numPr>
          <w:ilvl w:val="0"/>
          <w:numId w:val="0"/>
        </w:numPr>
        <w:ind w:left="720"/>
        <w:rPr>
          <w:b/>
          <w:bCs/>
        </w:rPr>
      </w:pPr>
    </w:p>
    <w:p w14:paraId="301DA126" w14:textId="20E1F297" w:rsidR="00621F94" w:rsidRPr="006F01F3" w:rsidRDefault="00F10495" w:rsidP="00621F94">
      <w:pPr>
        <w:pStyle w:val="ListParagraph"/>
        <w:rPr>
          <w:b/>
          <w:bCs/>
        </w:rPr>
      </w:pPr>
      <w:r w:rsidRPr="006F01F3">
        <w:rPr>
          <w:b/>
          <w:bCs/>
        </w:rPr>
        <w:t xml:space="preserve">The NIHRC recommends that the Committee urges </w:t>
      </w:r>
      <w:r w:rsidR="00485898" w:rsidRPr="006F01F3">
        <w:rPr>
          <w:b/>
          <w:bCs/>
        </w:rPr>
        <w:t xml:space="preserve">the UK Government </w:t>
      </w:r>
      <w:r w:rsidRPr="006F01F3">
        <w:rPr>
          <w:b/>
          <w:bCs/>
        </w:rPr>
        <w:t xml:space="preserve">to set out </w:t>
      </w:r>
      <w:r w:rsidR="00485898" w:rsidRPr="006F01F3">
        <w:rPr>
          <w:b/>
          <w:bCs/>
        </w:rPr>
        <w:t xml:space="preserve">how it will ensure </w:t>
      </w:r>
      <w:r w:rsidR="00B8762B" w:rsidRPr="006F01F3">
        <w:rPr>
          <w:b/>
          <w:bCs/>
        </w:rPr>
        <w:t xml:space="preserve">that </w:t>
      </w:r>
      <w:r w:rsidR="00485898" w:rsidRPr="006F01F3">
        <w:rPr>
          <w:b/>
          <w:bCs/>
        </w:rPr>
        <w:t xml:space="preserve">NI law is updated to reflect </w:t>
      </w:r>
      <w:r w:rsidR="00485898" w:rsidRPr="006F01F3">
        <w:rPr>
          <w:rFonts w:eastAsia="Times New Roman"/>
          <w:b/>
          <w:bCs/>
        </w:rPr>
        <w:t>those provisions of the</w:t>
      </w:r>
      <w:r w:rsidR="00485898" w:rsidRPr="006F01F3">
        <w:rPr>
          <w:b/>
          <w:bCs/>
        </w:rPr>
        <w:t xml:space="preserve"> EU Pay Transparency Directive and the</w:t>
      </w:r>
      <w:r w:rsidR="00485898" w:rsidRPr="006F01F3">
        <w:rPr>
          <w:rFonts w:eastAsia="Times New Roman"/>
          <w:b/>
          <w:bCs/>
        </w:rPr>
        <w:t xml:space="preserve"> EU directives on standards for equality bodies which amend or replace Annex 1 Equality Directives.</w:t>
      </w:r>
    </w:p>
    <w:p w14:paraId="660E032B" w14:textId="77777777" w:rsidR="00267541" w:rsidRPr="006F01F3" w:rsidRDefault="00267541" w:rsidP="00267541">
      <w:pPr>
        <w:pStyle w:val="ListParagraph"/>
        <w:numPr>
          <w:ilvl w:val="0"/>
          <w:numId w:val="0"/>
        </w:numPr>
        <w:ind w:left="720"/>
        <w:rPr>
          <w:b/>
          <w:bCs/>
        </w:rPr>
      </w:pPr>
    </w:p>
    <w:p w14:paraId="79BB4BEC" w14:textId="29BD898A" w:rsidR="00C26FF6" w:rsidRPr="006F01F3" w:rsidRDefault="00C26FF6" w:rsidP="00267541">
      <w:pPr>
        <w:pStyle w:val="ListParagraph"/>
        <w:widowControl/>
        <w:suppressAutoHyphens w:val="0"/>
        <w:autoSpaceDE/>
        <w:autoSpaceDN/>
        <w:adjustRightInd/>
        <w:contextualSpacing/>
        <w:textAlignment w:val="auto"/>
        <w:rPr>
          <w:b/>
          <w:bCs/>
        </w:rPr>
      </w:pPr>
      <w:r w:rsidRPr="006F01F3">
        <w:rPr>
          <w:b/>
          <w:bCs/>
        </w:rPr>
        <w:t xml:space="preserve">The NIHRC recommends that the Committee asks the UK Government </w:t>
      </w:r>
      <w:r w:rsidR="00FB5D0E" w:rsidRPr="006F01F3">
        <w:rPr>
          <w:b/>
          <w:bCs/>
        </w:rPr>
        <w:t xml:space="preserve">to </w:t>
      </w:r>
      <w:r w:rsidR="00FB5D0E" w:rsidRPr="006F01F3">
        <w:rPr>
          <w:rFonts w:eastAsia="Times New Roman" w:cs="Calibri"/>
          <w:b/>
          <w:bCs/>
          <w:szCs w:val="28"/>
          <w:lang w:eastAsia="en-GB"/>
        </w:rPr>
        <w:t xml:space="preserve">ensure that </w:t>
      </w:r>
      <w:r w:rsidR="00FB5D0E" w:rsidRPr="006F01F3">
        <w:rPr>
          <w:b/>
          <w:bCs/>
        </w:rPr>
        <w:t xml:space="preserve">equality and human rights considerations are built in at all key stages </w:t>
      </w:r>
      <w:r w:rsidRPr="006F01F3">
        <w:rPr>
          <w:b/>
          <w:bCs/>
        </w:rPr>
        <w:t xml:space="preserve">when the ‘Stormont brake’ </w:t>
      </w:r>
      <w:r w:rsidR="00FB5D0E" w:rsidRPr="006F01F3">
        <w:rPr>
          <w:b/>
          <w:bCs/>
        </w:rPr>
        <w:t xml:space="preserve">or </w:t>
      </w:r>
      <w:r w:rsidRPr="006F01F3">
        <w:rPr>
          <w:b/>
          <w:bCs/>
        </w:rPr>
        <w:t>the revised process under Windsor Framework Article 13(4)</w:t>
      </w:r>
      <w:r w:rsidRPr="006F01F3">
        <w:rPr>
          <w:rFonts w:eastAsia="Times New Roman" w:cs="Calibri"/>
          <w:b/>
          <w:bCs/>
          <w:szCs w:val="28"/>
          <w:lang w:eastAsia="en-GB"/>
        </w:rPr>
        <w:t xml:space="preserve"> is engaged</w:t>
      </w:r>
      <w:r w:rsidR="00FB5D0E" w:rsidRPr="006F01F3">
        <w:rPr>
          <w:rFonts w:eastAsia="Times New Roman" w:cs="Calibri"/>
          <w:b/>
          <w:bCs/>
          <w:szCs w:val="28"/>
          <w:lang w:eastAsia="en-GB"/>
        </w:rPr>
        <w:t xml:space="preserve"> </w:t>
      </w:r>
      <w:r w:rsidR="004B126A" w:rsidRPr="006F01F3">
        <w:rPr>
          <w:rFonts w:eastAsia="Times New Roman" w:cs="Calibri"/>
          <w:b/>
          <w:bCs/>
          <w:szCs w:val="28"/>
          <w:lang w:eastAsia="en-GB"/>
        </w:rPr>
        <w:t>and that a human rights compliant approach is prioritised</w:t>
      </w:r>
      <w:r w:rsidR="00281306" w:rsidRPr="006F01F3">
        <w:rPr>
          <w:rFonts w:eastAsia="Times New Roman" w:cs="Calibri"/>
          <w:b/>
          <w:bCs/>
          <w:szCs w:val="28"/>
          <w:lang w:eastAsia="en-GB"/>
        </w:rPr>
        <w:t xml:space="preserve">. </w:t>
      </w:r>
    </w:p>
    <w:p w14:paraId="35434ED4" w14:textId="77777777" w:rsidR="00C26FF6" w:rsidRPr="006F01F3" w:rsidRDefault="00C26FF6" w:rsidP="00281306">
      <w:pPr>
        <w:pStyle w:val="ListParagraph"/>
        <w:numPr>
          <w:ilvl w:val="0"/>
          <w:numId w:val="0"/>
        </w:numPr>
        <w:ind w:left="720"/>
        <w:rPr>
          <w:b/>
          <w:bCs/>
        </w:rPr>
      </w:pPr>
    </w:p>
    <w:p w14:paraId="6B2E93F5" w14:textId="102DC914" w:rsidR="000137A7" w:rsidRPr="006F01F3" w:rsidRDefault="000137A7" w:rsidP="000C115C">
      <w:pPr>
        <w:pStyle w:val="Heading1"/>
      </w:pPr>
      <w:bookmarkStart w:id="13" w:name="_Toc228875305"/>
      <w:r w:rsidRPr="006F01F3">
        <w:t>Stakeholder Engagement</w:t>
      </w:r>
      <w:bookmarkEnd w:id="13"/>
      <w:r w:rsidRPr="006F01F3">
        <w:t xml:space="preserve"> </w:t>
      </w:r>
    </w:p>
    <w:p w14:paraId="14971A79" w14:textId="58846BF6" w:rsidR="000C115C" w:rsidRPr="006F01F3" w:rsidRDefault="00747FD5" w:rsidP="00834CEF">
      <w:pPr>
        <w:pStyle w:val="Heading2"/>
      </w:pPr>
      <w:bookmarkStart w:id="14" w:name="_Toc228875306"/>
      <w:r w:rsidRPr="006F01F3">
        <w:rPr>
          <w:bCs/>
        </w:rPr>
        <w:t>Question 3:</w:t>
      </w:r>
      <w:r w:rsidRPr="006F01F3">
        <w:t xml:space="preserve"> Can formal ‘decision-shaping’ by non-EU states, under agreements with the EU, deliver real influence over the EU law to which it applies?</w:t>
      </w:r>
      <w:bookmarkEnd w:id="14"/>
    </w:p>
    <w:p w14:paraId="4D929503" w14:textId="77777777" w:rsidR="00267541" w:rsidRPr="006F01F3" w:rsidRDefault="00267541" w:rsidP="005E6436"/>
    <w:p w14:paraId="0F934B74" w14:textId="77777777" w:rsidR="00B532E7" w:rsidRPr="00B532E7" w:rsidRDefault="00B532E7" w:rsidP="00B532E7">
      <w:pPr>
        <w:pStyle w:val="ListParagraph"/>
        <w:widowControl/>
        <w:numPr>
          <w:ilvl w:val="0"/>
          <w:numId w:val="21"/>
        </w:numPr>
        <w:suppressAutoHyphens w:val="0"/>
        <w:autoSpaceDE/>
        <w:autoSpaceDN/>
        <w:adjustRightInd/>
        <w:textAlignment w:val="auto"/>
        <w:rPr>
          <w:vanish/>
        </w:rPr>
      </w:pPr>
    </w:p>
    <w:p w14:paraId="5B90D36C" w14:textId="77777777" w:rsidR="00B532E7" w:rsidRPr="00B532E7" w:rsidRDefault="00B532E7" w:rsidP="00B532E7">
      <w:pPr>
        <w:pStyle w:val="ListParagraph"/>
        <w:widowControl/>
        <w:numPr>
          <w:ilvl w:val="0"/>
          <w:numId w:val="21"/>
        </w:numPr>
        <w:suppressAutoHyphens w:val="0"/>
        <w:autoSpaceDE/>
        <w:autoSpaceDN/>
        <w:adjustRightInd/>
        <w:textAlignment w:val="auto"/>
        <w:rPr>
          <w:vanish/>
        </w:rPr>
      </w:pPr>
    </w:p>
    <w:p w14:paraId="01603B3A" w14:textId="77777777" w:rsidR="00B532E7" w:rsidRPr="00B532E7" w:rsidRDefault="00B532E7" w:rsidP="00B532E7">
      <w:pPr>
        <w:pStyle w:val="ListParagraph"/>
        <w:widowControl/>
        <w:numPr>
          <w:ilvl w:val="0"/>
          <w:numId w:val="21"/>
        </w:numPr>
        <w:suppressAutoHyphens w:val="0"/>
        <w:autoSpaceDE/>
        <w:autoSpaceDN/>
        <w:adjustRightInd/>
        <w:textAlignment w:val="auto"/>
        <w:rPr>
          <w:vanish/>
        </w:rPr>
      </w:pPr>
    </w:p>
    <w:p w14:paraId="4597C57E" w14:textId="5E0BAFB2" w:rsidR="00AD77F8" w:rsidRPr="006F01F3" w:rsidRDefault="007B3446" w:rsidP="00B532E7">
      <w:pPr>
        <w:pStyle w:val="ListParagraph"/>
        <w:widowControl/>
        <w:numPr>
          <w:ilvl w:val="1"/>
          <w:numId w:val="21"/>
        </w:numPr>
        <w:suppressAutoHyphens w:val="0"/>
        <w:autoSpaceDE/>
        <w:autoSpaceDN/>
        <w:adjustRightInd/>
        <w:textAlignment w:val="auto"/>
      </w:pPr>
      <w:r w:rsidRPr="006F01F3">
        <w:t>Following the political agreement of the UK Government and EU Commission in 2023 on a new way forward on the Windsor Framework, several engagement structures were enhanced to strengthen the ability of NI</w:t>
      </w:r>
      <w:r w:rsidR="006C287D" w:rsidRPr="006F01F3">
        <w:t xml:space="preserve"> civil society </w:t>
      </w:r>
      <w:r w:rsidR="00AD77F8" w:rsidRPr="006F01F3">
        <w:t>s</w:t>
      </w:r>
      <w:r w:rsidRPr="006F01F3">
        <w:t xml:space="preserve">takeholders to </w:t>
      </w:r>
      <w:r w:rsidR="00AD77F8" w:rsidRPr="006F01F3">
        <w:t xml:space="preserve">influence EU </w:t>
      </w:r>
      <w:r w:rsidR="00AD77F8" w:rsidRPr="006F01F3">
        <w:lastRenderedPageBreak/>
        <w:t>law</w:t>
      </w:r>
      <w:r w:rsidRPr="006F01F3">
        <w:t>.</w:t>
      </w:r>
      <w:r w:rsidRPr="006F01F3">
        <w:rPr>
          <w:rStyle w:val="FootnoteReference"/>
        </w:rPr>
        <w:footnoteReference w:id="65"/>
      </w:r>
      <w:r w:rsidRPr="006F01F3">
        <w:t xml:space="preserve"> These include additional engagement mechanisms under the Specialised Committee on the implementation of the Windsor Framework and the Joint Consultative Working Group, which were designed to facilitate information exchange and provid</w:t>
      </w:r>
      <w:r w:rsidR="00AD77F8" w:rsidRPr="006F01F3">
        <w:t>e</w:t>
      </w:r>
      <w:r w:rsidRPr="006F01F3">
        <w:t xml:space="preserve"> NI stakeholders with meaningful channels to engage with EU legislation. </w:t>
      </w:r>
    </w:p>
    <w:p w14:paraId="58CE2046" w14:textId="77777777" w:rsidR="00AD77F8" w:rsidRPr="006F01F3" w:rsidRDefault="00AD77F8" w:rsidP="00AD77F8"/>
    <w:p w14:paraId="253E3001" w14:textId="162C9FE8" w:rsidR="00AD77F8" w:rsidRPr="006F01F3" w:rsidRDefault="00AD77F8" w:rsidP="003B09C5">
      <w:pPr>
        <w:pStyle w:val="ListParagraph"/>
        <w:widowControl/>
        <w:numPr>
          <w:ilvl w:val="1"/>
          <w:numId w:val="21"/>
        </w:numPr>
        <w:suppressAutoHyphens w:val="0"/>
        <w:autoSpaceDE/>
        <w:autoSpaceDN/>
        <w:adjustRightInd/>
        <w:textAlignment w:val="auto"/>
      </w:pPr>
      <w:r w:rsidRPr="006F01F3">
        <w:t xml:space="preserve">The Specialised Committee functions as the </w:t>
      </w:r>
      <w:r w:rsidR="006D385B">
        <w:t>primary</w:t>
      </w:r>
      <w:r w:rsidR="006D385B" w:rsidRPr="006F01F3">
        <w:t xml:space="preserve"> </w:t>
      </w:r>
      <w:r w:rsidRPr="006F01F3">
        <w:t>forum for the technical implementation and governance of the Windsor Framework.</w:t>
      </w:r>
      <w:r w:rsidRPr="006F01F3">
        <w:rPr>
          <w:rStyle w:val="FootnoteReference"/>
        </w:rPr>
        <w:footnoteReference w:id="66"/>
      </w:r>
      <w:r w:rsidRPr="006F01F3">
        <w:t xml:space="preserve"> This Committee </w:t>
      </w:r>
      <w:r w:rsidR="006D385B">
        <w:t>may</w:t>
      </w:r>
      <w:r w:rsidR="006D385B" w:rsidRPr="006F01F3">
        <w:t xml:space="preserve"> </w:t>
      </w:r>
      <w:r w:rsidRPr="006F01F3">
        <w:t xml:space="preserve">make recommendations to the </w:t>
      </w:r>
      <w:r w:rsidR="005B7CCE">
        <w:t>UK-EU</w:t>
      </w:r>
      <w:r w:rsidRPr="006F01F3">
        <w:t xml:space="preserve"> Joint Committee on its functioning.</w:t>
      </w:r>
      <w:r w:rsidRPr="006F01F3">
        <w:rPr>
          <w:rStyle w:val="FootnoteReference"/>
        </w:rPr>
        <w:footnoteReference w:id="67"/>
      </w:r>
      <w:r w:rsidRPr="006F01F3">
        <w:t xml:space="preserve">  The Joint Committee takes decisions on</w:t>
      </w:r>
      <w:r w:rsidR="005B7CCE">
        <w:t xml:space="preserve"> the</w:t>
      </w:r>
      <w:r w:rsidRPr="006F01F3">
        <w:t xml:space="preserve"> implementation of the Withdrawal Agreement, including amendments to the annexes of EU legislation relevant to NI.</w:t>
      </w:r>
      <w:r w:rsidRPr="006F01F3">
        <w:rPr>
          <w:rStyle w:val="FootnoteReference"/>
        </w:rPr>
        <w:footnoteReference w:id="68"/>
      </w:r>
      <w:r w:rsidR="00C1672C" w:rsidRPr="006F01F3">
        <w:t xml:space="preserve"> </w:t>
      </w:r>
      <w:r w:rsidRPr="006F01F3">
        <w:t>The NIHRC</w:t>
      </w:r>
      <w:r w:rsidR="006C4050" w:rsidRPr="006F01F3">
        <w:t>, the E</w:t>
      </w:r>
      <w:r w:rsidR="006D385B">
        <w:t>CNI</w:t>
      </w:r>
      <w:r w:rsidR="006C4050" w:rsidRPr="006F01F3">
        <w:t xml:space="preserve"> and the Joint Committee of the NIHRC and the Irish Human Rights and Equality Commission </w:t>
      </w:r>
      <w:r w:rsidR="006D385B">
        <w:t>may</w:t>
      </w:r>
      <w:r w:rsidR="006D385B" w:rsidRPr="006F01F3">
        <w:t xml:space="preserve"> </w:t>
      </w:r>
      <w:r w:rsidR="006C4050" w:rsidRPr="006F01F3">
        <w:t>also raise any matter of relevance to Windsor Framework Article 2 for the consideration of the Specialised Committee.</w:t>
      </w:r>
      <w:r w:rsidR="003B09C5" w:rsidRPr="006F01F3">
        <w:rPr>
          <w:rStyle w:val="FootnoteReference"/>
        </w:rPr>
        <w:footnoteReference w:id="69"/>
      </w:r>
      <w:r w:rsidR="006C4050" w:rsidRPr="006F01F3">
        <w:t xml:space="preserve"> </w:t>
      </w:r>
    </w:p>
    <w:p w14:paraId="41EABEDC" w14:textId="77777777" w:rsidR="006C4050" w:rsidRPr="006F01F3" w:rsidRDefault="006C4050" w:rsidP="006C4050">
      <w:pPr>
        <w:pStyle w:val="ListParagraph"/>
        <w:numPr>
          <w:ilvl w:val="0"/>
          <w:numId w:val="0"/>
        </w:numPr>
        <w:ind w:left="720"/>
      </w:pPr>
    </w:p>
    <w:p w14:paraId="0E9D419C" w14:textId="5F684F6B" w:rsidR="006C4050" w:rsidRPr="006F01F3" w:rsidRDefault="006C4050" w:rsidP="00AD77F8">
      <w:pPr>
        <w:pStyle w:val="ListParagraph"/>
        <w:widowControl/>
        <w:numPr>
          <w:ilvl w:val="1"/>
          <w:numId w:val="21"/>
        </w:numPr>
        <w:suppressAutoHyphens w:val="0"/>
        <w:autoSpaceDE/>
        <w:autoSpaceDN/>
        <w:adjustRightInd/>
        <w:textAlignment w:val="auto"/>
      </w:pPr>
      <w:r w:rsidRPr="006F01F3">
        <w:t xml:space="preserve">Since 2024, </w:t>
      </w:r>
      <w:bookmarkStart w:id="15" w:name="_Hlk195102329"/>
      <w:r w:rsidRPr="006F01F3">
        <w:t>the Co-Chairs of the Specialised Committee meet regularly, on an informal basis, with civil society representatives including human rights and equality stakeholders</w:t>
      </w:r>
      <w:bookmarkEnd w:id="15"/>
      <w:r w:rsidRPr="006F01F3">
        <w:t>.  The Co-Chairs have highlighted the importance of continued joint engagement with NI stakeholders.</w:t>
      </w:r>
      <w:r w:rsidRPr="006F01F3">
        <w:rPr>
          <w:rStyle w:val="FootnoteReference"/>
        </w:rPr>
        <w:footnoteReference w:id="70"/>
      </w:r>
      <w:r w:rsidR="006C287D" w:rsidRPr="006F01F3">
        <w:t xml:space="preserve">  Regular engagement between the Co-Chairs and civil society organisations in NI continues.</w:t>
      </w:r>
      <w:r w:rsidR="006C287D" w:rsidRPr="006F01F3">
        <w:rPr>
          <w:rStyle w:val="FootnoteReference"/>
        </w:rPr>
        <w:footnoteReference w:id="71"/>
      </w:r>
      <w:r w:rsidR="006C287D" w:rsidRPr="006F01F3">
        <w:t xml:space="preserve"> </w:t>
      </w:r>
      <w:r w:rsidR="005E3429">
        <w:t>T</w:t>
      </w:r>
      <w:r w:rsidR="006C287D" w:rsidRPr="006F01F3">
        <w:t xml:space="preserve">hese </w:t>
      </w:r>
      <w:r w:rsidR="006D385B">
        <w:t>are</w:t>
      </w:r>
      <w:r w:rsidR="006C287D" w:rsidRPr="006F01F3">
        <w:t xml:space="preserve"> “valuable engagements in terms of being able to raise issues in a space where both the UK and EU are present”</w:t>
      </w:r>
      <w:r w:rsidR="005E3429">
        <w:t>.</w:t>
      </w:r>
      <w:r w:rsidR="00C25857">
        <w:rPr>
          <w:rStyle w:val="FootnoteReference"/>
        </w:rPr>
        <w:footnoteReference w:id="72"/>
      </w:r>
      <w:r w:rsidR="005E3429">
        <w:t xml:space="preserve"> However,</w:t>
      </w:r>
      <w:r w:rsidR="006C287D" w:rsidRPr="006F01F3">
        <w:t xml:space="preserve"> some concerns about the informality of the process have been raised, particularly whether and to what extent issues communicated by civil society stakeholders are relayed for consideration at the UK-EU Joint </w:t>
      </w:r>
      <w:r w:rsidR="006C287D" w:rsidRPr="006F01F3">
        <w:lastRenderedPageBreak/>
        <w:t>Committee meetings.</w:t>
      </w:r>
      <w:r w:rsidR="006C287D" w:rsidRPr="006F01F3">
        <w:rPr>
          <w:rStyle w:val="FootnoteReference"/>
        </w:rPr>
        <w:footnoteReference w:id="73"/>
      </w:r>
      <w:r w:rsidR="00A9617A" w:rsidRPr="006F01F3">
        <w:t xml:space="preserve"> The informality of the engagement of the Specialised Committee with civil society stakeholders “makes it difficult to monitor and assess its effectiveness”.</w:t>
      </w:r>
      <w:r w:rsidR="00A9617A" w:rsidRPr="006F01F3">
        <w:rPr>
          <w:rStyle w:val="FootnoteReference"/>
        </w:rPr>
        <w:footnoteReference w:id="74"/>
      </w:r>
      <w:r w:rsidR="00A9617A" w:rsidRPr="006F01F3">
        <w:t xml:space="preserve"> This has led to the NI Scrutiny Committee calling for </w:t>
      </w:r>
      <w:r w:rsidR="00741A30" w:rsidRPr="006F01F3">
        <w:t xml:space="preserve">the UK and the EU </w:t>
      </w:r>
      <w:r w:rsidR="004B126A" w:rsidRPr="006F01F3">
        <w:t>to “</w:t>
      </w:r>
      <w:r w:rsidR="00741A30" w:rsidRPr="006F01F3">
        <w:t xml:space="preserve">consider jointly establishing a more formal, co-ordinated civil society platform for Northern Ireland stakeholder engagement” and for “a formal programme of engagement with equality and human rights stakeholders, including the NIHRC and </w:t>
      </w:r>
      <w:r w:rsidR="00604F22">
        <w:t>ECNI</w:t>
      </w:r>
      <w:r w:rsidR="00741A30" w:rsidRPr="006F01F3">
        <w:t>, ensuring that a wide range of stakeholders are represented”.</w:t>
      </w:r>
      <w:r w:rsidR="00741A30" w:rsidRPr="006F01F3">
        <w:rPr>
          <w:rStyle w:val="FootnoteReference"/>
        </w:rPr>
        <w:footnoteReference w:id="75"/>
      </w:r>
    </w:p>
    <w:p w14:paraId="4BB3848A" w14:textId="77777777" w:rsidR="0009424C" w:rsidRPr="006F01F3" w:rsidRDefault="0009424C" w:rsidP="0009424C">
      <w:pPr>
        <w:pStyle w:val="ListParagraph"/>
        <w:numPr>
          <w:ilvl w:val="0"/>
          <w:numId w:val="0"/>
        </w:numPr>
        <w:ind w:left="720"/>
      </w:pPr>
    </w:p>
    <w:p w14:paraId="7F8FD38B" w14:textId="4D857FEE" w:rsidR="0009424C" w:rsidRPr="006F01F3" w:rsidRDefault="00A9617A" w:rsidP="00AD77F8">
      <w:pPr>
        <w:pStyle w:val="ListParagraph"/>
        <w:widowControl/>
        <w:numPr>
          <w:ilvl w:val="1"/>
          <w:numId w:val="21"/>
        </w:numPr>
        <w:suppressAutoHyphens w:val="0"/>
        <w:autoSpaceDE/>
        <w:autoSpaceDN/>
        <w:adjustRightInd/>
        <w:textAlignment w:val="auto"/>
      </w:pPr>
      <w:r w:rsidRPr="006F01F3">
        <w:t xml:space="preserve">In addition, in </w:t>
      </w:r>
      <w:r w:rsidR="0009424C" w:rsidRPr="006F01F3">
        <w:t xml:space="preserve">2023, the UK and EU committed to </w:t>
      </w:r>
      <w:r w:rsidR="00FC2552" w:rsidRPr="006F01F3">
        <w:t>establishing “regular engagement with Northern Ireland stakeholders including citizens and businesses, at each level of the Withdrawal Agreement’s structures and with the co-chairs of the Joint Committee”.</w:t>
      </w:r>
      <w:r w:rsidR="00FC2552" w:rsidRPr="006F01F3">
        <w:rPr>
          <w:rStyle w:val="FootnoteReference"/>
        </w:rPr>
        <w:footnoteReference w:id="76"/>
      </w:r>
      <w:r w:rsidR="00FC2552" w:rsidRPr="006F01F3">
        <w:t xml:space="preserve"> However engagement with civil society stakeholders in NI by the </w:t>
      </w:r>
      <w:r w:rsidR="0053266B" w:rsidRPr="006F01F3">
        <w:t>UK-EU</w:t>
      </w:r>
      <w:r w:rsidR="00FC2552" w:rsidRPr="006F01F3">
        <w:t xml:space="preserve"> Joint Committee has not been forthcoming.</w:t>
      </w:r>
      <w:r w:rsidR="00FC2552" w:rsidRPr="006F01F3">
        <w:rPr>
          <w:rStyle w:val="FootnoteReference"/>
        </w:rPr>
        <w:footnoteReference w:id="77"/>
      </w:r>
      <w:r w:rsidR="00FC2552" w:rsidRPr="006F01F3">
        <w:t xml:space="preserve">   </w:t>
      </w:r>
    </w:p>
    <w:p w14:paraId="61A75A2E" w14:textId="77777777" w:rsidR="0006563B" w:rsidRPr="006F01F3" w:rsidRDefault="0006563B" w:rsidP="00AD5596"/>
    <w:p w14:paraId="25D614A4" w14:textId="77777777" w:rsidR="003B09C5" w:rsidRPr="006F01F3" w:rsidRDefault="0006563B" w:rsidP="0006563B">
      <w:pPr>
        <w:pStyle w:val="ListParagraph"/>
        <w:widowControl/>
        <w:numPr>
          <w:ilvl w:val="1"/>
          <w:numId w:val="21"/>
        </w:numPr>
        <w:suppressAutoHyphens w:val="0"/>
        <w:autoSpaceDE/>
        <w:autoSpaceDN/>
        <w:adjustRightInd/>
        <w:textAlignment w:val="auto"/>
      </w:pPr>
      <w:r w:rsidRPr="006F01F3">
        <w:t xml:space="preserve">In addition, in November 2025, the EU Commission held an engagement seminar with NI stakeholders on its 2026 work </w:t>
      </w:r>
      <w:r w:rsidR="003B09C5" w:rsidRPr="006F01F3">
        <w:t>programme</w:t>
      </w:r>
      <w:r w:rsidRPr="006F01F3">
        <w:t>, which highlighted key developments that may be of relevance to NI and the Windsor Framework.</w:t>
      </w:r>
      <w:r w:rsidRPr="006F01F3">
        <w:rPr>
          <w:rStyle w:val="FootnoteReference"/>
        </w:rPr>
        <w:footnoteReference w:id="78"/>
      </w:r>
      <w:r w:rsidRPr="006F01F3">
        <w:t xml:space="preserve"> The seminar also highlighted how NI stakeholders could engage with specific EU legislative and policy developments through its consultation processes via the ‘Have Your Say’ portal.</w:t>
      </w:r>
      <w:r w:rsidRPr="006F01F3">
        <w:rPr>
          <w:rStyle w:val="FootnoteReference"/>
        </w:rPr>
        <w:footnoteReference w:id="79"/>
      </w:r>
      <w:r w:rsidR="00E215E8" w:rsidRPr="006F01F3">
        <w:t xml:space="preserve">  </w:t>
      </w:r>
    </w:p>
    <w:p w14:paraId="20E292B3" w14:textId="77777777" w:rsidR="003B09C5" w:rsidRPr="006F01F3" w:rsidRDefault="003B09C5" w:rsidP="003B09C5">
      <w:pPr>
        <w:pStyle w:val="ListParagraph"/>
        <w:numPr>
          <w:ilvl w:val="0"/>
          <w:numId w:val="0"/>
        </w:numPr>
        <w:ind w:left="720"/>
      </w:pPr>
    </w:p>
    <w:p w14:paraId="6C3B79FD" w14:textId="5323F761" w:rsidR="0006563B" w:rsidRPr="006F01F3" w:rsidRDefault="00CC1B25" w:rsidP="0006563B">
      <w:pPr>
        <w:pStyle w:val="ListParagraph"/>
        <w:widowControl/>
        <w:numPr>
          <w:ilvl w:val="1"/>
          <w:numId w:val="21"/>
        </w:numPr>
        <w:suppressAutoHyphens w:val="0"/>
        <w:autoSpaceDE/>
        <w:autoSpaceDN/>
        <w:adjustRightInd/>
        <w:textAlignment w:val="auto"/>
      </w:pPr>
      <w:r w:rsidRPr="006F01F3">
        <w:t xml:space="preserve">Influencing EU decision making on new EU measures requires </w:t>
      </w:r>
      <w:r w:rsidR="003643C2" w:rsidRPr="006F01F3">
        <w:t xml:space="preserve">early engagement with the EU Commission, </w:t>
      </w:r>
      <w:r w:rsidRPr="006F01F3">
        <w:t xml:space="preserve">tracking new measures of relevance and sustained and effective engagement at an early stage. </w:t>
      </w:r>
      <w:r w:rsidR="00E215E8" w:rsidRPr="006F01F3">
        <w:t xml:space="preserve">For example, </w:t>
      </w:r>
      <w:r w:rsidR="00A747F8" w:rsidRPr="006F01F3">
        <w:t>t</w:t>
      </w:r>
      <w:r w:rsidR="00E215E8" w:rsidRPr="006F01F3">
        <w:t xml:space="preserve">hrough </w:t>
      </w:r>
      <w:r w:rsidR="00A747F8" w:rsidRPr="006F01F3">
        <w:t xml:space="preserve">the European </w:t>
      </w:r>
      <w:r w:rsidR="00E215E8" w:rsidRPr="006F01F3">
        <w:t xml:space="preserve">Network of National Human Rights Institutions, national human rights institutions across Europe </w:t>
      </w:r>
      <w:r w:rsidR="00A747F8" w:rsidRPr="006F01F3">
        <w:t xml:space="preserve">collaborated to provide human rights recommendations to </w:t>
      </w:r>
      <w:r w:rsidR="00A747F8" w:rsidRPr="006F01F3">
        <w:lastRenderedPageBreak/>
        <w:t>the EU Commission’s White Paper on Artificial Intelligence,</w:t>
      </w:r>
      <w:r w:rsidR="00A747F8" w:rsidRPr="006F01F3">
        <w:rPr>
          <w:rStyle w:val="FootnoteReference"/>
        </w:rPr>
        <w:footnoteReference w:id="80"/>
      </w:r>
      <w:r w:rsidR="00A747F8" w:rsidRPr="006F01F3">
        <w:t xml:space="preserve"> and</w:t>
      </w:r>
      <w:r w:rsidR="00202D9D" w:rsidRPr="006F01F3">
        <w:t xml:space="preserve"> on</w:t>
      </w:r>
      <w:r w:rsidR="00A747F8" w:rsidRPr="006F01F3">
        <w:t xml:space="preserve"> a common position on the EU Artificial Intelligence Act</w:t>
      </w:r>
      <w:r w:rsidR="00640CF0" w:rsidRPr="006F01F3">
        <w:t>.</w:t>
      </w:r>
      <w:r w:rsidR="00640CF0" w:rsidRPr="006F01F3">
        <w:rPr>
          <w:rStyle w:val="FootnoteReference"/>
        </w:rPr>
        <w:footnoteReference w:id="81"/>
      </w:r>
      <w:r w:rsidR="00640CF0" w:rsidRPr="006F01F3">
        <w:t xml:space="preserve">  </w:t>
      </w:r>
    </w:p>
    <w:p w14:paraId="6F3A6A3C" w14:textId="77777777" w:rsidR="004F458A" w:rsidRPr="006F01F3" w:rsidRDefault="004F458A" w:rsidP="003643C2"/>
    <w:p w14:paraId="342AF65F" w14:textId="0AE1D5D1" w:rsidR="004F458A" w:rsidRPr="006F01F3" w:rsidRDefault="004F458A" w:rsidP="00AD77F8">
      <w:pPr>
        <w:pStyle w:val="ListParagraph"/>
        <w:widowControl/>
        <w:numPr>
          <w:ilvl w:val="1"/>
          <w:numId w:val="21"/>
        </w:numPr>
        <w:suppressAutoHyphens w:val="0"/>
        <w:autoSpaceDE/>
        <w:autoSpaceDN/>
        <w:adjustRightInd/>
        <w:textAlignment w:val="auto"/>
      </w:pPr>
      <w:r w:rsidRPr="006F01F3">
        <w:rPr>
          <w:b/>
          <w:bCs/>
        </w:rPr>
        <w:t xml:space="preserve">The NIHRC recommends that the Committee ask </w:t>
      </w:r>
      <w:r w:rsidR="005E3429">
        <w:rPr>
          <w:b/>
          <w:bCs/>
        </w:rPr>
        <w:t xml:space="preserve">the </w:t>
      </w:r>
      <w:r w:rsidRPr="006F01F3">
        <w:rPr>
          <w:b/>
          <w:bCs/>
        </w:rPr>
        <w:t>UK Government and EU officials to ensure ongoing</w:t>
      </w:r>
      <w:r w:rsidR="009C0AA0" w:rsidRPr="006F01F3">
        <w:rPr>
          <w:b/>
          <w:bCs/>
        </w:rPr>
        <w:t>,</w:t>
      </w:r>
      <w:r w:rsidRPr="006F01F3">
        <w:rPr>
          <w:b/>
          <w:bCs/>
        </w:rPr>
        <w:t xml:space="preserve"> timely and structured engagement with NI civil society including equality and human rights stakeholders</w:t>
      </w:r>
      <w:r w:rsidRPr="006F01F3">
        <w:rPr>
          <w:rFonts w:cs="Calibri"/>
          <w:b/>
          <w:bCs/>
        </w:rPr>
        <w:t>, on matters relating to Windsor Framework Article 2. This engagement should include those working on rights and equality on a cross-border basis.</w:t>
      </w:r>
    </w:p>
    <w:p w14:paraId="7FEA048B" w14:textId="77777777" w:rsidR="002F550C" w:rsidRPr="006F01F3" w:rsidRDefault="002F550C" w:rsidP="002F550C">
      <w:pPr>
        <w:pStyle w:val="ListParagraph"/>
        <w:numPr>
          <w:ilvl w:val="0"/>
          <w:numId w:val="0"/>
        </w:numPr>
        <w:ind w:left="720"/>
      </w:pPr>
    </w:p>
    <w:p w14:paraId="4847A74D" w14:textId="7AEEA71F" w:rsidR="002F550C" w:rsidRPr="006F01F3" w:rsidRDefault="002F550C" w:rsidP="00AD77F8">
      <w:pPr>
        <w:pStyle w:val="ListParagraph"/>
        <w:widowControl/>
        <w:numPr>
          <w:ilvl w:val="1"/>
          <w:numId w:val="21"/>
        </w:numPr>
        <w:suppressAutoHyphens w:val="0"/>
        <w:autoSpaceDE/>
        <w:autoSpaceDN/>
        <w:adjustRightInd/>
        <w:textAlignment w:val="auto"/>
      </w:pPr>
      <w:r w:rsidRPr="006F01F3">
        <w:t>As noted above, the Joint Consultative Working Group functions as a consultation mechanism which facilitates the provision of information by the EU to</w:t>
      </w:r>
      <w:r w:rsidR="005E3429">
        <w:t xml:space="preserve"> the</w:t>
      </w:r>
      <w:r w:rsidRPr="006F01F3">
        <w:t xml:space="preserve"> UK </w:t>
      </w:r>
      <w:r w:rsidR="006D385B">
        <w:t>on</w:t>
      </w:r>
      <w:r w:rsidR="006D385B" w:rsidRPr="006F01F3">
        <w:t xml:space="preserve"> </w:t>
      </w:r>
      <w:r w:rsidRPr="006F01F3">
        <w:t>planned EU legislative changes falling within the scope of the Windsor Framework and enables consultation on those proposals.</w:t>
      </w:r>
      <w:r w:rsidRPr="006F01F3">
        <w:rPr>
          <w:rStyle w:val="FootnoteReference"/>
        </w:rPr>
        <w:footnoteReference w:id="82"/>
      </w:r>
      <w:r w:rsidRPr="006F01F3">
        <w:t xml:space="preserve"> </w:t>
      </w:r>
      <w:r w:rsidR="005534A1" w:rsidRPr="006F01F3">
        <w:t>E</w:t>
      </w:r>
      <w:r w:rsidRPr="006F01F3">
        <w:t xml:space="preserve">arly engagement </w:t>
      </w:r>
      <w:r w:rsidR="00E6183C" w:rsidRPr="006F01F3">
        <w:t xml:space="preserve">increases transparency and </w:t>
      </w:r>
      <w:r w:rsidRPr="006F01F3">
        <w:t>allows NI stakeholders a chance to scrutinise and react to EU proposals during the EU legislative process and engage at an early stage.</w:t>
      </w:r>
      <w:r w:rsidR="00F555F7" w:rsidRPr="006F01F3">
        <w:t xml:space="preserve">  </w:t>
      </w:r>
    </w:p>
    <w:p w14:paraId="004FC423" w14:textId="77777777" w:rsidR="0006563B" w:rsidRPr="006F01F3" w:rsidRDefault="0006563B" w:rsidP="0006563B">
      <w:pPr>
        <w:pStyle w:val="ListParagraph"/>
        <w:numPr>
          <w:ilvl w:val="0"/>
          <w:numId w:val="0"/>
        </w:numPr>
        <w:ind w:left="720"/>
      </w:pPr>
    </w:p>
    <w:p w14:paraId="4E1B170A" w14:textId="1FAA032F" w:rsidR="0006563B" w:rsidRPr="006F01F3" w:rsidRDefault="0006563B" w:rsidP="004D07B6">
      <w:pPr>
        <w:pStyle w:val="ListParagraph"/>
        <w:widowControl/>
        <w:numPr>
          <w:ilvl w:val="1"/>
          <w:numId w:val="21"/>
        </w:numPr>
        <w:suppressAutoHyphens w:val="0"/>
        <w:autoSpaceDE/>
        <w:autoSpaceDN/>
        <w:adjustRightInd/>
        <w:textAlignment w:val="auto"/>
      </w:pPr>
      <w:r w:rsidRPr="006F01F3">
        <w:rPr>
          <w:b/>
          <w:bCs/>
        </w:rPr>
        <w:t xml:space="preserve">The NIHRC recommends that the Committee </w:t>
      </w:r>
      <w:r w:rsidR="003B09C5" w:rsidRPr="006F01F3">
        <w:rPr>
          <w:b/>
          <w:bCs/>
        </w:rPr>
        <w:t>ask</w:t>
      </w:r>
      <w:r w:rsidRPr="006F01F3">
        <w:rPr>
          <w:b/>
          <w:bCs/>
        </w:rPr>
        <w:t xml:space="preserve"> </w:t>
      </w:r>
      <w:r w:rsidR="005E3429">
        <w:rPr>
          <w:b/>
          <w:bCs/>
        </w:rPr>
        <w:t xml:space="preserve">the </w:t>
      </w:r>
      <w:r w:rsidRPr="006F01F3">
        <w:rPr>
          <w:b/>
          <w:bCs/>
        </w:rPr>
        <w:t xml:space="preserve">UK Government to provide details about how information on new EU </w:t>
      </w:r>
      <w:r w:rsidR="00791AF8" w:rsidRPr="006F01F3">
        <w:rPr>
          <w:b/>
          <w:bCs/>
        </w:rPr>
        <w:t xml:space="preserve">legislative and policy developments </w:t>
      </w:r>
      <w:r w:rsidRPr="006F01F3">
        <w:rPr>
          <w:b/>
          <w:bCs/>
        </w:rPr>
        <w:t xml:space="preserve">of relevance to the Windsor Framework will be shared </w:t>
      </w:r>
      <w:r w:rsidR="00791AF8" w:rsidRPr="006F01F3">
        <w:rPr>
          <w:b/>
          <w:bCs/>
        </w:rPr>
        <w:t>with NI stakeholder</w:t>
      </w:r>
      <w:r w:rsidR="00D80E3F" w:rsidRPr="006F01F3">
        <w:rPr>
          <w:b/>
          <w:bCs/>
        </w:rPr>
        <w:t>s</w:t>
      </w:r>
      <w:r w:rsidR="00791AF8" w:rsidRPr="006F01F3">
        <w:rPr>
          <w:b/>
          <w:bCs/>
        </w:rPr>
        <w:t xml:space="preserve"> to facilitate</w:t>
      </w:r>
      <w:r w:rsidR="005E3429">
        <w:rPr>
          <w:b/>
          <w:bCs/>
        </w:rPr>
        <w:t xml:space="preserve"> the</w:t>
      </w:r>
      <w:r w:rsidR="00791AF8" w:rsidRPr="006F01F3">
        <w:rPr>
          <w:b/>
          <w:bCs/>
        </w:rPr>
        <w:t xml:space="preserve"> opportunity for engagement with those proposals at an early stage. </w:t>
      </w:r>
    </w:p>
    <w:p w14:paraId="3BF6F2B4" w14:textId="77777777" w:rsidR="004D07B6" w:rsidRPr="006F01F3" w:rsidRDefault="004D07B6" w:rsidP="004D07B6">
      <w:pPr>
        <w:pStyle w:val="ListParagraph"/>
        <w:numPr>
          <w:ilvl w:val="0"/>
          <w:numId w:val="0"/>
        </w:numPr>
        <w:ind w:left="720"/>
      </w:pPr>
    </w:p>
    <w:p w14:paraId="13E64AC3" w14:textId="4D9407E3" w:rsidR="004D07B6" w:rsidRPr="006F01F3" w:rsidRDefault="006A4733" w:rsidP="00DE6B40">
      <w:pPr>
        <w:pStyle w:val="ListParagraph"/>
        <w:widowControl/>
        <w:numPr>
          <w:ilvl w:val="1"/>
          <w:numId w:val="21"/>
        </w:numPr>
        <w:suppressAutoHyphens w:val="0"/>
        <w:autoSpaceDE/>
        <w:autoSpaceDN/>
        <w:adjustRightInd/>
        <w:textAlignment w:val="auto"/>
      </w:pPr>
      <w:r w:rsidRPr="006F01F3">
        <w:t xml:space="preserve">There are clear commitments from the EU </w:t>
      </w:r>
      <w:r w:rsidR="008358F5" w:rsidRPr="006F01F3">
        <w:t xml:space="preserve">to </w:t>
      </w:r>
      <w:r w:rsidR="005609A1" w:rsidRPr="006F01F3">
        <w:t xml:space="preserve">ensure </w:t>
      </w:r>
      <w:r w:rsidR="008358F5" w:rsidRPr="006F01F3">
        <w:t xml:space="preserve">transparency </w:t>
      </w:r>
      <w:r w:rsidR="005609A1" w:rsidRPr="006F01F3">
        <w:t xml:space="preserve">in </w:t>
      </w:r>
      <w:r w:rsidR="00CD7035">
        <w:t xml:space="preserve">the </w:t>
      </w:r>
      <w:r w:rsidR="005609A1" w:rsidRPr="006F01F3">
        <w:t xml:space="preserve">development of </w:t>
      </w:r>
      <w:r w:rsidR="008358F5" w:rsidRPr="006F01F3">
        <w:t xml:space="preserve">proposed measures and </w:t>
      </w:r>
      <w:r w:rsidRPr="006F01F3">
        <w:t>to engage with NI civil society stakeholders</w:t>
      </w:r>
      <w:r w:rsidR="008358F5" w:rsidRPr="006F01F3">
        <w:t>.</w:t>
      </w:r>
      <w:r w:rsidRPr="006F01F3">
        <w:t xml:space="preserve">  </w:t>
      </w:r>
      <w:r w:rsidR="008358F5" w:rsidRPr="006F01F3">
        <w:t xml:space="preserve">Further engagement with the EU Commission on substantive proposals </w:t>
      </w:r>
      <w:r w:rsidR="00CD7035">
        <w:t>will</w:t>
      </w:r>
      <w:r w:rsidR="008358F5" w:rsidRPr="006F01F3">
        <w:t xml:space="preserve"> also influence development </w:t>
      </w:r>
      <w:r w:rsidR="00DE6B40" w:rsidRPr="006F01F3">
        <w:t xml:space="preserve">of </w:t>
      </w:r>
      <w:r w:rsidR="008358F5" w:rsidRPr="006F01F3">
        <w:t>EU law and policy which impact on Windsor Framework Article 2.</w:t>
      </w:r>
      <w:r w:rsidR="00DE6B40" w:rsidRPr="006F01F3">
        <w:t xml:space="preserve">  In addition</w:t>
      </w:r>
      <w:r w:rsidR="002B0F56" w:rsidRPr="006F01F3">
        <w:t xml:space="preserve"> to</w:t>
      </w:r>
      <w:r w:rsidR="00DE6B40" w:rsidRPr="006F01F3">
        <w:t xml:space="preserve"> </w:t>
      </w:r>
      <w:r w:rsidR="008358F5" w:rsidRPr="006F01F3">
        <w:t xml:space="preserve">the formal UK-EU structures, UK parliamentary scrutiny </w:t>
      </w:r>
      <w:r w:rsidR="008358F5" w:rsidRPr="006F01F3">
        <w:lastRenderedPageBreak/>
        <w:t>offers a vital domestic channel</w:t>
      </w:r>
      <w:r w:rsidR="00DE6B40" w:rsidRPr="006F01F3">
        <w:t xml:space="preserve">, provided </w:t>
      </w:r>
      <w:r w:rsidR="005E3429">
        <w:t xml:space="preserve">MPs, peers and relevant Committees have </w:t>
      </w:r>
      <w:r w:rsidR="00DE6B40" w:rsidRPr="006F01F3">
        <w:t xml:space="preserve">early access to adequate information. </w:t>
      </w:r>
    </w:p>
    <w:p w14:paraId="6081B8EF" w14:textId="77777777" w:rsidR="00DE6B40" w:rsidRPr="006F01F3" w:rsidRDefault="00DE6B40" w:rsidP="00DE6B40">
      <w:pPr>
        <w:pStyle w:val="ListParagraph"/>
        <w:numPr>
          <w:ilvl w:val="0"/>
          <w:numId w:val="0"/>
        </w:numPr>
        <w:ind w:left="720"/>
      </w:pPr>
    </w:p>
    <w:p w14:paraId="37E82935" w14:textId="27A50EBC" w:rsidR="00DE6B40" w:rsidRPr="006F01F3" w:rsidRDefault="00850EB5" w:rsidP="00DE6B40">
      <w:pPr>
        <w:pStyle w:val="ListParagraph"/>
        <w:widowControl/>
        <w:numPr>
          <w:ilvl w:val="1"/>
          <w:numId w:val="21"/>
        </w:numPr>
        <w:suppressAutoHyphens w:val="0"/>
        <w:autoSpaceDE/>
        <w:autoSpaceDN/>
        <w:adjustRightInd/>
        <w:textAlignment w:val="auto"/>
      </w:pPr>
      <w:r w:rsidRPr="006F01F3">
        <w:t xml:space="preserve">In respect of the Windsor Framework the effectiveness of engagement with the EU is reliant on sufficient awareness of relevant EU developments and analysis of their impact in NI. </w:t>
      </w:r>
      <w:r w:rsidR="00DE6B40" w:rsidRPr="006F01F3">
        <w:t xml:space="preserve">Prior to its dissolution </w:t>
      </w:r>
      <w:r w:rsidR="00DB7CA7" w:rsidRPr="006F01F3">
        <w:t>the</w:t>
      </w:r>
      <w:r w:rsidR="00DE6B40" w:rsidRPr="006F01F3">
        <w:t xml:space="preserve"> House of Commons European Scrutiny Committee conducted in-depth scrutiny of issues relating to the UK’s withdrawal from the EU, including matters relating to Windsor Framework Article 2.</w:t>
      </w:r>
      <w:r w:rsidR="00CD601E" w:rsidRPr="006F01F3">
        <w:rPr>
          <w:rStyle w:val="FootnoteReference"/>
        </w:rPr>
        <w:footnoteReference w:id="83"/>
      </w:r>
      <w:r w:rsidR="00DE6B40" w:rsidRPr="006F01F3">
        <w:t xml:space="preserve">  The UK Government submitted </w:t>
      </w:r>
      <w:r w:rsidR="00CD7035">
        <w:t>e</w:t>
      </w:r>
      <w:r w:rsidR="00DE6B40" w:rsidRPr="006F01F3">
        <w:t xml:space="preserve">xplanatory </w:t>
      </w:r>
      <w:r w:rsidR="00CD7035">
        <w:t>m</w:t>
      </w:r>
      <w:r w:rsidR="00DE6B40" w:rsidRPr="006F01F3">
        <w:t xml:space="preserve">emoranda on EU proposals which amended or replaced existing measures that fall within the Windsor Framework for consideration by that </w:t>
      </w:r>
      <w:r w:rsidR="00CD7035">
        <w:t>c</w:t>
      </w:r>
      <w:r w:rsidR="00DE6B40" w:rsidRPr="006F01F3">
        <w:t>ommittee.</w:t>
      </w:r>
      <w:r w:rsidR="00DE6B40" w:rsidRPr="006F01F3">
        <w:rPr>
          <w:rStyle w:val="FootnoteReference"/>
        </w:rPr>
        <w:footnoteReference w:id="84"/>
      </w:r>
      <w:r w:rsidR="00DE6B40" w:rsidRPr="006F01F3">
        <w:t xml:space="preserve"> Relevant EU laws and proposals now fall under the remit of relevant departmental or other committees.</w:t>
      </w:r>
      <w:r w:rsidR="00DE6B40" w:rsidRPr="006F01F3">
        <w:rPr>
          <w:rStyle w:val="FootnoteReference"/>
        </w:rPr>
        <w:footnoteReference w:id="85"/>
      </w:r>
      <w:r w:rsidR="00DE6B40" w:rsidRPr="006F01F3">
        <w:t xml:space="preserve"> Therefore </w:t>
      </w:r>
      <w:r w:rsidR="004F458A" w:rsidRPr="006F01F3">
        <w:t>those</w:t>
      </w:r>
      <w:r w:rsidR="00DE6B40" w:rsidRPr="006F01F3">
        <w:t xml:space="preserve"> parliamentary committees will need </w:t>
      </w:r>
      <w:r w:rsidR="007544A5" w:rsidRPr="006F01F3">
        <w:t xml:space="preserve">to ensure that there is appropriate monitoring </w:t>
      </w:r>
      <w:r w:rsidR="00A53315">
        <w:t xml:space="preserve">and scrutiny </w:t>
      </w:r>
      <w:r w:rsidR="007544A5" w:rsidRPr="006F01F3">
        <w:t xml:space="preserve">of proposed new </w:t>
      </w:r>
      <w:r w:rsidR="00DE6B40" w:rsidRPr="006F01F3">
        <w:t>EU measures</w:t>
      </w:r>
      <w:r w:rsidR="001B0238" w:rsidRPr="006F01F3">
        <w:t>, including those</w:t>
      </w:r>
      <w:r w:rsidR="00DE6B40" w:rsidRPr="006F01F3">
        <w:t xml:space="preserve"> of relevance to </w:t>
      </w:r>
      <w:r w:rsidR="007544A5" w:rsidRPr="006F01F3">
        <w:t>the Windsor Framework</w:t>
      </w:r>
      <w:r w:rsidR="001B0238" w:rsidRPr="006F01F3">
        <w:t>,</w:t>
      </w:r>
      <w:r w:rsidR="007544A5" w:rsidRPr="006F01F3">
        <w:t xml:space="preserve"> to ensure that opportunities for scrutiny </w:t>
      </w:r>
      <w:r w:rsidR="001B0238" w:rsidRPr="006F01F3">
        <w:t>of</w:t>
      </w:r>
      <w:r w:rsidR="004D333B" w:rsidRPr="006F01F3">
        <w:t>,</w:t>
      </w:r>
      <w:r w:rsidR="001B0238" w:rsidRPr="006F01F3">
        <w:t xml:space="preserve"> </w:t>
      </w:r>
      <w:r w:rsidR="007544A5" w:rsidRPr="006F01F3">
        <w:t xml:space="preserve">and influence </w:t>
      </w:r>
      <w:r w:rsidR="001B0238" w:rsidRPr="006F01F3">
        <w:t>over</w:t>
      </w:r>
      <w:r w:rsidR="004D333B" w:rsidRPr="006F01F3">
        <w:t>,</w:t>
      </w:r>
      <w:r w:rsidR="001B0238" w:rsidRPr="006F01F3">
        <w:t xml:space="preserve"> </w:t>
      </w:r>
      <w:r w:rsidR="007544A5" w:rsidRPr="006F01F3">
        <w:t xml:space="preserve">those new measures are maximised.  </w:t>
      </w:r>
    </w:p>
    <w:p w14:paraId="6EFEF4BB" w14:textId="77777777" w:rsidR="00AD77F8" w:rsidRPr="006F01F3" w:rsidRDefault="00AD77F8" w:rsidP="00AD77F8"/>
    <w:p w14:paraId="4DA98D43" w14:textId="2B6629C3" w:rsidR="00DE15AC" w:rsidRPr="006F01F3" w:rsidRDefault="00D9527A" w:rsidP="00AD77F8">
      <w:pPr>
        <w:pStyle w:val="ListParagraph"/>
        <w:widowControl/>
        <w:numPr>
          <w:ilvl w:val="1"/>
          <w:numId w:val="21"/>
        </w:numPr>
        <w:suppressAutoHyphens w:val="0"/>
        <w:autoSpaceDE/>
        <w:autoSpaceDN/>
        <w:adjustRightInd/>
        <w:textAlignment w:val="auto"/>
      </w:pPr>
      <w:r w:rsidRPr="006F01F3">
        <w:rPr>
          <w:b/>
          <w:bCs/>
        </w:rPr>
        <w:t xml:space="preserve">The NIHRC recommends </w:t>
      </w:r>
      <w:r w:rsidR="00850EB5" w:rsidRPr="006F01F3">
        <w:rPr>
          <w:b/>
          <w:bCs/>
        </w:rPr>
        <w:t xml:space="preserve">that the Committee </w:t>
      </w:r>
      <w:r w:rsidR="00DE15AC" w:rsidRPr="006F01F3">
        <w:rPr>
          <w:b/>
          <w:bCs/>
        </w:rPr>
        <w:t xml:space="preserve">urges the UK Government to undertake and publish </w:t>
      </w:r>
      <w:r w:rsidR="0006563B" w:rsidRPr="006F01F3">
        <w:rPr>
          <w:b/>
          <w:bCs/>
        </w:rPr>
        <w:t xml:space="preserve">early </w:t>
      </w:r>
      <w:r w:rsidR="00DE15AC" w:rsidRPr="006F01F3">
        <w:rPr>
          <w:b/>
          <w:bCs/>
        </w:rPr>
        <w:t xml:space="preserve">and detailed technical </w:t>
      </w:r>
      <w:r w:rsidR="0006563B" w:rsidRPr="006F01F3">
        <w:rPr>
          <w:b/>
          <w:bCs/>
        </w:rPr>
        <w:t>analysis of proposed EU law developments</w:t>
      </w:r>
      <w:r w:rsidR="004221C5" w:rsidRPr="006F01F3">
        <w:rPr>
          <w:b/>
          <w:bCs/>
        </w:rPr>
        <w:t>, including those</w:t>
      </w:r>
      <w:r w:rsidR="0006563B" w:rsidRPr="006F01F3">
        <w:rPr>
          <w:b/>
          <w:bCs/>
        </w:rPr>
        <w:t xml:space="preserve"> of relevance to Windsor Framework Article 2</w:t>
      </w:r>
      <w:r w:rsidR="004221C5" w:rsidRPr="006F01F3">
        <w:rPr>
          <w:b/>
          <w:bCs/>
        </w:rPr>
        <w:t>,</w:t>
      </w:r>
      <w:r w:rsidR="00DE15AC" w:rsidRPr="006F01F3">
        <w:rPr>
          <w:b/>
          <w:bCs/>
        </w:rPr>
        <w:t xml:space="preserve"> to facilitate effective parliamentary scrutiny of those developments.</w:t>
      </w:r>
    </w:p>
    <w:p w14:paraId="7C9D299D" w14:textId="77777777" w:rsidR="00DE15AC" w:rsidRPr="006F01F3" w:rsidRDefault="00DE15AC" w:rsidP="00DE15AC">
      <w:pPr>
        <w:pStyle w:val="ListParagraph"/>
        <w:numPr>
          <w:ilvl w:val="0"/>
          <w:numId w:val="0"/>
        </w:numPr>
        <w:ind w:left="720"/>
        <w:rPr>
          <w:b/>
          <w:bCs/>
        </w:rPr>
      </w:pPr>
    </w:p>
    <w:p w14:paraId="6CE4BAFF" w14:textId="7F5FAE8B" w:rsidR="00DC7303" w:rsidRPr="006F01F3" w:rsidRDefault="00DE15AC" w:rsidP="006C6CB8">
      <w:pPr>
        <w:pStyle w:val="ListParagraph"/>
        <w:widowControl/>
        <w:numPr>
          <w:ilvl w:val="1"/>
          <w:numId w:val="21"/>
        </w:numPr>
        <w:suppressAutoHyphens w:val="0"/>
        <w:autoSpaceDE/>
        <w:autoSpaceDN/>
        <w:adjustRightInd/>
        <w:textAlignment w:val="auto"/>
      </w:pPr>
      <w:r w:rsidRPr="006F01F3">
        <w:rPr>
          <w:b/>
          <w:bCs/>
        </w:rPr>
        <w:t>The NIHRC recommends that the Committee consider whether there is</w:t>
      </w:r>
      <w:r w:rsidR="006C6CB8" w:rsidRPr="006F01F3">
        <w:rPr>
          <w:b/>
          <w:bCs/>
        </w:rPr>
        <w:t xml:space="preserve"> </w:t>
      </w:r>
      <w:r w:rsidR="0093374E" w:rsidRPr="006F01F3">
        <w:rPr>
          <w:b/>
          <w:bCs/>
        </w:rPr>
        <w:t>early</w:t>
      </w:r>
      <w:r w:rsidR="004221C5" w:rsidRPr="006F01F3">
        <w:rPr>
          <w:b/>
          <w:bCs/>
        </w:rPr>
        <w:t>,</w:t>
      </w:r>
      <w:r w:rsidRPr="006F01F3">
        <w:rPr>
          <w:b/>
          <w:bCs/>
        </w:rPr>
        <w:t xml:space="preserve"> detailed </w:t>
      </w:r>
      <w:r w:rsidR="00D10284" w:rsidRPr="006F01F3">
        <w:rPr>
          <w:b/>
          <w:bCs/>
        </w:rPr>
        <w:t xml:space="preserve">and effective </w:t>
      </w:r>
      <w:r w:rsidRPr="006F01F3">
        <w:rPr>
          <w:b/>
          <w:bCs/>
        </w:rPr>
        <w:t xml:space="preserve">scrutiny of proposed EU law developments </w:t>
      </w:r>
      <w:r w:rsidR="00D274B5" w:rsidRPr="006F01F3">
        <w:rPr>
          <w:b/>
          <w:bCs/>
        </w:rPr>
        <w:t xml:space="preserve">relevant </w:t>
      </w:r>
      <w:r w:rsidRPr="006F01F3">
        <w:rPr>
          <w:b/>
          <w:bCs/>
        </w:rPr>
        <w:t xml:space="preserve">to </w:t>
      </w:r>
      <w:r w:rsidR="00A53315">
        <w:rPr>
          <w:b/>
          <w:bCs/>
        </w:rPr>
        <w:t xml:space="preserve">the </w:t>
      </w:r>
      <w:r w:rsidR="0061479F" w:rsidRPr="006F01F3">
        <w:rPr>
          <w:b/>
          <w:bCs/>
        </w:rPr>
        <w:t xml:space="preserve">dynamic alignment obligations, including under </w:t>
      </w:r>
      <w:r w:rsidRPr="006F01F3">
        <w:rPr>
          <w:b/>
          <w:bCs/>
        </w:rPr>
        <w:t>Windsor Framework Article 2</w:t>
      </w:r>
      <w:r w:rsidR="00EB4F2A" w:rsidRPr="006F01F3">
        <w:rPr>
          <w:b/>
          <w:bCs/>
        </w:rPr>
        <w:t>,</w:t>
      </w:r>
      <w:r w:rsidRPr="006F01F3">
        <w:rPr>
          <w:b/>
          <w:bCs/>
        </w:rPr>
        <w:t xml:space="preserve"> within the </w:t>
      </w:r>
      <w:r w:rsidR="00D10284" w:rsidRPr="006F01F3">
        <w:rPr>
          <w:b/>
          <w:bCs/>
        </w:rPr>
        <w:t xml:space="preserve">UK </w:t>
      </w:r>
      <w:r w:rsidRPr="006F01F3">
        <w:rPr>
          <w:b/>
          <w:bCs/>
        </w:rPr>
        <w:t>parliamentary committee structure</w:t>
      </w:r>
      <w:r w:rsidR="0006563B" w:rsidRPr="006F01F3">
        <w:rPr>
          <w:b/>
          <w:bCs/>
        </w:rPr>
        <w:t xml:space="preserve">. </w:t>
      </w:r>
      <w:r w:rsidR="004F458A" w:rsidRPr="006F01F3">
        <w:rPr>
          <w:b/>
          <w:bCs/>
        </w:rPr>
        <w:t xml:space="preserve"> </w:t>
      </w:r>
      <w:bookmarkEnd w:id="0"/>
      <w:bookmarkEnd w:id="1"/>
      <w:r w:rsidR="00DC7303" w:rsidRPr="006F01F3">
        <w:rPr>
          <w:rFonts w:cs="Arial"/>
          <w:b/>
          <w:bCs/>
          <w:color w:val="77328A"/>
          <w:sz w:val="36"/>
          <w:szCs w:val="36"/>
        </w:rPr>
        <w:br w:type="page"/>
      </w:r>
    </w:p>
    <w:p w14:paraId="0E6EFCB4" w14:textId="77777777" w:rsidR="00661F34" w:rsidRPr="006F01F3" w:rsidRDefault="00661F34" w:rsidP="0062748F">
      <w:pPr>
        <w:ind w:left="720" w:hanging="720"/>
        <w:jc w:val="center"/>
        <w:rPr>
          <w:rFonts w:cs="Arial"/>
          <w:b/>
          <w:bCs/>
          <w:color w:val="77328A"/>
          <w:sz w:val="36"/>
          <w:szCs w:val="36"/>
        </w:rPr>
      </w:pPr>
    </w:p>
    <w:p w14:paraId="24F37276" w14:textId="77777777" w:rsidR="00661F34" w:rsidRPr="006F01F3" w:rsidRDefault="00661F34" w:rsidP="0062748F">
      <w:pPr>
        <w:ind w:left="720" w:hanging="720"/>
        <w:jc w:val="center"/>
        <w:rPr>
          <w:rFonts w:cs="Arial"/>
          <w:b/>
          <w:bCs/>
          <w:color w:val="77328A"/>
          <w:sz w:val="36"/>
          <w:szCs w:val="36"/>
        </w:rPr>
      </w:pPr>
    </w:p>
    <w:p w14:paraId="4670C173" w14:textId="77777777" w:rsidR="00661F34" w:rsidRPr="006F01F3" w:rsidRDefault="00661F34" w:rsidP="0062748F">
      <w:pPr>
        <w:ind w:left="720" w:hanging="720"/>
        <w:jc w:val="center"/>
        <w:rPr>
          <w:rFonts w:cs="Arial"/>
          <w:b/>
          <w:bCs/>
          <w:color w:val="77328A"/>
          <w:sz w:val="36"/>
          <w:szCs w:val="36"/>
        </w:rPr>
      </w:pPr>
    </w:p>
    <w:p w14:paraId="7C245FFD" w14:textId="77777777" w:rsidR="00A44E14" w:rsidRPr="006F01F3" w:rsidRDefault="00A44E14" w:rsidP="0062748F">
      <w:pPr>
        <w:ind w:left="720" w:hanging="720"/>
        <w:jc w:val="center"/>
        <w:rPr>
          <w:rFonts w:cs="Arial"/>
          <w:b/>
          <w:bCs/>
          <w:color w:val="77328A"/>
          <w:sz w:val="36"/>
          <w:szCs w:val="36"/>
        </w:rPr>
      </w:pPr>
    </w:p>
    <w:p w14:paraId="3CEFBAE0" w14:textId="77777777" w:rsidR="00A44E14" w:rsidRPr="006F01F3" w:rsidRDefault="00A44E14" w:rsidP="0062748F">
      <w:pPr>
        <w:ind w:left="720" w:hanging="720"/>
        <w:jc w:val="center"/>
        <w:rPr>
          <w:rFonts w:cs="Arial"/>
          <w:b/>
          <w:bCs/>
          <w:color w:val="77328A"/>
          <w:sz w:val="36"/>
          <w:szCs w:val="36"/>
        </w:rPr>
      </w:pPr>
    </w:p>
    <w:p w14:paraId="75BC4585" w14:textId="77777777" w:rsidR="00661F34" w:rsidRPr="006F01F3" w:rsidRDefault="00661F34" w:rsidP="0062748F">
      <w:pPr>
        <w:ind w:left="720" w:hanging="720"/>
        <w:jc w:val="center"/>
        <w:rPr>
          <w:rFonts w:cs="Arial"/>
          <w:b/>
          <w:bCs/>
          <w:color w:val="77328A"/>
          <w:sz w:val="36"/>
          <w:szCs w:val="36"/>
        </w:rPr>
      </w:pPr>
    </w:p>
    <w:p w14:paraId="42067BE5" w14:textId="77777777" w:rsidR="00661F34" w:rsidRPr="006F01F3" w:rsidRDefault="00661F34" w:rsidP="0062748F">
      <w:pPr>
        <w:ind w:left="720" w:hanging="720"/>
        <w:jc w:val="center"/>
        <w:rPr>
          <w:rFonts w:cs="Arial"/>
          <w:b/>
          <w:bCs/>
          <w:color w:val="77328A"/>
          <w:sz w:val="36"/>
          <w:szCs w:val="36"/>
        </w:rPr>
      </w:pPr>
    </w:p>
    <w:p w14:paraId="5F4A6428" w14:textId="77777777" w:rsidR="00661F34" w:rsidRPr="006F01F3" w:rsidRDefault="00661F34" w:rsidP="0062748F">
      <w:pPr>
        <w:ind w:left="720" w:hanging="720"/>
        <w:jc w:val="center"/>
        <w:rPr>
          <w:rFonts w:cs="Arial"/>
          <w:b/>
          <w:bCs/>
          <w:color w:val="77328A"/>
          <w:sz w:val="36"/>
          <w:szCs w:val="36"/>
        </w:rPr>
      </w:pPr>
    </w:p>
    <w:p w14:paraId="17C9D878" w14:textId="77777777" w:rsidR="00661F34" w:rsidRPr="006F01F3" w:rsidRDefault="00661F34" w:rsidP="0062748F">
      <w:pPr>
        <w:ind w:left="720" w:hanging="720"/>
        <w:jc w:val="center"/>
        <w:rPr>
          <w:rFonts w:cs="Arial"/>
          <w:b/>
          <w:bCs/>
          <w:color w:val="77328A"/>
          <w:sz w:val="36"/>
          <w:szCs w:val="36"/>
        </w:rPr>
      </w:pPr>
    </w:p>
    <w:p w14:paraId="1D5C9149" w14:textId="71EB59E6" w:rsidR="0062748F" w:rsidRPr="006F01F3" w:rsidRDefault="0062748F" w:rsidP="0062748F">
      <w:pPr>
        <w:ind w:left="720" w:hanging="720"/>
        <w:jc w:val="center"/>
      </w:pPr>
      <w:r w:rsidRPr="006F01F3">
        <w:rPr>
          <w:rFonts w:cs="Arial"/>
          <w:b/>
          <w:bCs/>
          <w:color w:val="77328A"/>
          <w:sz w:val="36"/>
          <w:szCs w:val="36"/>
        </w:rPr>
        <w:t>Contact us</w:t>
      </w:r>
    </w:p>
    <w:p w14:paraId="033E5352" w14:textId="77777777" w:rsidR="0062748F" w:rsidRPr="006F01F3" w:rsidRDefault="0062748F" w:rsidP="0062748F">
      <w:pPr>
        <w:pStyle w:val="BasicParagraph"/>
        <w:suppressAutoHyphens/>
        <w:jc w:val="center"/>
        <w:rPr>
          <w:rFonts w:ascii="Verdana" w:hAnsi="Verdana" w:cs="Arial"/>
          <w:b/>
          <w:color w:val="77328A"/>
          <w:sz w:val="36"/>
          <w:szCs w:val="36"/>
        </w:rPr>
      </w:pPr>
    </w:p>
    <w:p w14:paraId="5EB13D3C" w14:textId="77777777" w:rsidR="00661F34" w:rsidRPr="006F01F3" w:rsidRDefault="00661F34" w:rsidP="0062748F">
      <w:pPr>
        <w:pStyle w:val="BasicParagraph"/>
        <w:suppressAutoHyphens/>
        <w:jc w:val="center"/>
        <w:rPr>
          <w:rFonts w:ascii="Verdana" w:hAnsi="Verdana" w:cs="Arial"/>
          <w:b/>
          <w:color w:val="77328A"/>
          <w:sz w:val="36"/>
          <w:szCs w:val="36"/>
        </w:rPr>
      </w:pPr>
    </w:p>
    <w:p w14:paraId="090F344E" w14:textId="6669E949" w:rsidR="0062748F" w:rsidRPr="006F01F3" w:rsidRDefault="0062748F" w:rsidP="0062748F">
      <w:pPr>
        <w:jc w:val="center"/>
        <w:rPr>
          <w:rFonts w:cs="Arial"/>
          <w:b/>
          <w:color w:val="232120"/>
          <w:sz w:val="30"/>
          <w:szCs w:val="30"/>
        </w:rPr>
      </w:pPr>
      <w:r w:rsidRPr="006F01F3">
        <w:rPr>
          <w:rFonts w:cs="Arial"/>
          <w:b/>
          <w:color w:val="232120"/>
          <w:sz w:val="30"/>
          <w:szCs w:val="30"/>
        </w:rPr>
        <w:t>Please send any queries to</w:t>
      </w:r>
      <w:r w:rsidR="004C16C4" w:rsidRPr="006F01F3">
        <w:rPr>
          <w:rFonts w:cs="Arial"/>
          <w:b/>
          <w:color w:val="232120"/>
          <w:sz w:val="30"/>
          <w:szCs w:val="30"/>
        </w:rPr>
        <w:t xml:space="preserve"> </w:t>
      </w:r>
      <w:hyperlink r:id="rId12" w:history="1">
        <w:r w:rsidR="004C16C4" w:rsidRPr="006F01F3">
          <w:rPr>
            <w:rStyle w:val="Hyperlink"/>
            <w:rFonts w:cs="Arial"/>
            <w:b/>
            <w:sz w:val="30"/>
            <w:szCs w:val="30"/>
          </w:rPr>
          <w:t>Eilis.Haughey@nihrc.org</w:t>
        </w:r>
      </w:hyperlink>
      <w:r w:rsidR="004C16C4" w:rsidRPr="006F01F3">
        <w:rPr>
          <w:rFonts w:cs="Arial"/>
          <w:b/>
          <w:color w:val="232120"/>
          <w:sz w:val="30"/>
          <w:szCs w:val="30"/>
        </w:rPr>
        <w:t xml:space="preserve"> </w:t>
      </w:r>
    </w:p>
    <w:p w14:paraId="27563AB4" w14:textId="77777777" w:rsidR="0062748F" w:rsidRPr="006F01F3" w:rsidRDefault="0062748F" w:rsidP="0062748F">
      <w:pPr>
        <w:rPr>
          <w:rFonts w:cs="Arial"/>
          <w:b/>
          <w:color w:val="232120"/>
          <w:sz w:val="30"/>
          <w:szCs w:val="30"/>
        </w:rPr>
      </w:pPr>
    </w:p>
    <w:p w14:paraId="3216D5DC" w14:textId="77777777" w:rsidR="0062748F" w:rsidRPr="006F01F3" w:rsidRDefault="0062748F" w:rsidP="0062748F">
      <w:pPr>
        <w:jc w:val="center"/>
        <w:rPr>
          <w:rFonts w:cs="Arial"/>
          <w:b/>
          <w:color w:val="232120"/>
          <w:sz w:val="30"/>
          <w:szCs w:val="30"/>
        </w:rPr>
      </w:pPr>
    </w:p>
    <w:p w14:paraId="311738A5" w14:textId="77777777" w:rsidR="0062748F" w:rsidRPr="006F01F3" w:rsidRDefault="0062748F" w:rsidP="0062748F">
      <w:pPr>
        <w:jc w:val="center"/>
        <w:rPr>
          <w:rFonts w:cs="Arial"/>
          <w:b/>
          <w:color w:val="232120"/>
          <w:sz w:val="30"/>
          <w:szCs w:val="30"/>
        </w:rPr>
      </w:pPr>
    </w:p>
    <w:p w14:paraId="62E4DA5C" w14:textId="77777777" w:rsidR="0062748F" w:rsidRPr="006F01F3" w:rsidRDefault="0062748F" w:rsidP="0062748F">
      <w:pPr>
        <w:jc w:val="center"/>
        <w:rPr>
          <w:rFonts w:cs="Arial"/>
          <w:color w:val="232120"/>
          <w:sz w:val="28"/>
          <w:szCs w:val="28"/>
        </w:rPr>
      </w:pPr>
      <w:hyperlink r:id="rId13" w:history="1">
        <w:r w:rsidRPr="006F01F3">
          <w:rPr>
            <w:rStyle w:val="Hyperlink"/>
            <w:rFonts w:cs="Arial"/>
            <w:color w:val="232120"/>
            <w:sz w:val="28"/>
            <w:szCs w:val="28"/>
            <w:lang w:val="en-US"/>
          </w:rPr>
          <w:t>www.nihrc.org</w:t>
        </w:r>
      </w:hyperlink>
      <w:r w:rsidRPr="006F01F3">
        <w:rPr>
          <w:rFonts w:cs="Arial"/>
          <w:color w:val="232120"/>
          <w:sz w:val="28"/>
          <w:szCs w:val="28"/>
          <w:lang w:val="en-US"/>
        </w:rPr>
        <w:t xml:space="preserve">  |  </w:t>
      </w:r>
      <w:hyperlink r:id="rId14" w:history="1">
        <w:r w:rsidRPr="006F01F3">
          <w:rPr>
            <w:rStyle w:val="Hyperlink"/>
            <w:rFonts w:cs="Arial"/>
            <w:color w:val="232120"/>
            <w:sz w:val="28"/>
            <w:szCs w:val="28"/>
            <w:lang w:val="en-US"/>
          </w:rPr>
          <w:t>info@nihrc.org</w:t>
        </w:r>
      </w:hyperlink>
      <w:r w:rsidRPr="006F01F3">
        <w:rPr>
          <w:rFonts w:cs="Arial"/>
          <w:color w:val="232120"/>
          <w:sz w:val="28"/>
          <w:szCs w:val="28"/>
          <w:lang w:val="en-US"/>
        </w:rPr>
        <w:t xml:space="preserve">  |  +44 (0)28 9024 3987</w:t>
      </w:r>
    </w:p>
    <w:p w14:paraId="0099D767" w14:textId="77777777" w:rsidR="0062748F" w:rsidRPr="006F01F3" w:rsidRDefault="0062748F" w:rsidP="0062748F">
      <w:pPr>
        <w:jc w:val="center"/>
        <w:rPr>
          <w:rFonts w:cs="Arial"/>
          <w:color w:val="232120"/>
          <w:sz w:val="28"/>
          <w:szCs w:val="28"/>
        </w:rPr>
      </w:pPr>
      <w:r w:rsidRPr="006F01F3">
        <w:rPr>
          <w:rFonts w:cs="Arial"/>
          <w:color w:val="232120"/>
          <w:sz w:val="28"/>
          <w:szCs w:val="28"/>
          <w:lang w:val="en-US"/>
        </w:rPr>
        <w:t>4</w:t>
      </w:r>
      <w:r w:rsidRPr="006F01F3">
        <w:rPr>
          <w:rFonts w:cs="Arial"/>
          <w:color w:val="232120"/>
          <w:sz w:val="28"/>
          <w:szCs w:val="28"/>
          <w:vertAlign w:val="superscript"/>
          <w:lang w:val="en-US"/>
        </w:rPr>
        <w:t>th</w:t>
      </w:r>
      <w:r w:rsidRPr="006F01F3">
        <w:rPr>
          <w:rFonts w:cs="Arial"/>
          <w:color w:val="232120"/>
          <w:sz w:val="28"/>
          <w:szCs w:val="28"/>
          <w:lang w:val="en-US"/>
        </w:rPr>
        <w:t xml:space="preserve"> Floor, Alfred House, 19-21 Alfred Street, Belfast, BT2 8ED</w:t>
      </w:r>
    </w:p>
    <w:p w14:paraId="28E9294A" w14:textId="77777777" w:rsidR="0062748F" w:rsidRPr="006F01F3" w:rsidRDefault="0062748F" w:rsidP="0062748F">
      <w:pPr>
        <w:jc w:val="center"/>
        <w:rPr>
          <w:rFonts w:cs="Arial"/>
          <w:b/>
          <w:color w:val="232120"/>
          <w:sz w:val="28"/>
          <w:szCs w:val="28"/>
        </w:rPr>
      </w:pPr>
    </w:p>
    <w:p w14:paraId="13E1CF6F" w14:textId="77777777" w:rsidR="0062748F" w:rsidRPr="006F01F3" w:rsidRDefault="0062748F" w:rsidP="0062748F">
      <w:pPr>
        <w:jc w:val="center"/>
        <w:rPr>
          <w:rFonts w:cs="Arial"/>
          <w:color w:val="232120"/>
          <w:sz w:val="20"/>
          <w:szCs w:val="20"/>
        </w:rPr>
      </w:pPr>
    </w:p>
    <w:p w14:paraId="58DF823E" w14:textId="77777777" w:rsidR="0062748F" w:rsidRPr="0066028C" w:rsidRDefault="0062748F" w:rsidP="0062748F">
      <w:pPr>
        <w:pStyle w:val="BasicParagraph"/>
        <w:suppressAutoHyphens/>
        <w:spacing w:line="240" w:lineRule="auto"/>
        <w:jc w:val="center"/>
        <w:rPr>
          <w:rFonts w:ascii="Verdana" w:hAnsi="Verdana" w:cs="Arial"/>
          <w:color w:val="232120"/>
          <w:sz w:val="28"/>
          <w:szCs w:val="28"/>
        </w:rPr>
      </w:pPr>
      <w:r w:rsidRPr="006F01F3">
        <w:rPr>
          <w:rFonts w:ascii="Verdana" w:hAnsi="Verdana" w:cs="Arial"/>
          <w:noProof/>
          <w:color w:val="232120"/>
          <w:sz w:val="28"/>
          <w:szCs w:val="28"/>
          <w:lang w:eastAsia="en-GB"/>
        </w:rPr>
        <w:drawing>
          <wp:inline distT="0" distB="0" distL="0" distR="0" wp14:anchorId="11946D77" wp14:editId="06381D70">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24133220" w14:textId="77777777" w:rsidR="0062748F" w:rsidRPr="0066028C" w:rsidRDefault="0062748F">
      <w:pPr>
        <w:spacing w:line="240" w:lineRule="auto"/>
        <w:rPr>
          <w:rFonts w:eastAsiaTheme="minorHAnsi" w:cs="Times New Roman"/>
          <w:sz w:val="20"/>
          <w:szCs w:val="20"/>
        </w:rPr>
      </w:pPr>
    </w:p>
    <w:sectPr w:rsidR="0062748F" w:rsidRPr="0066028C" w:rsidSect="00A63277">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9396" w14:textId="77777777" w:rsidR="0070389D" w:rsidRDefault="0070389D" w:rsidP="003F60F5">
      <w:r>
        <w:separator/>
      </w:r>
    </w:p>
  </w:endnote>
  <w:endnote w:type="continuationSeparator" w:id="0">
    <w:p w14:paraId="145EE300" w14:textId="77777777" w:rsidR="0070389D" w:rsidRDefault="0070389D" w:rsidP="003F60F5">
      <w:r>
        <w:continuationSeparator/>
      </w:r>
    </w:p>
  </w:endnote>
  <w:endnote w:type="continuationNotice" w:id="1">
    <w:p w14:paraId="3E450F60" w14:textId="77777777" w:rsidR="0070389D" w:rsidRDefault="007038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Calibri"/>
    <w:charset w:val="00"/>
    <w:family w:val="auto"/>
    <w:pitch w:val="default"/>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7328A"/>
      </w:rPr>
      <w:id w:val="831108615"/>
      <w:docPartObj>
        <w:docPartGallery w:val="Page Numbers (Bottom of Page)"/>
        <w:docPartUnique/>
      </w:docPartObj>
    </w:sdtPr>
    <w:sdtEndPr>
      <w:rPr>
        <w:noProof/>
      </w:rPr>
    </w:sdtEndPr>
    <w:sdtContent>
      <w:p w14:paraId="4A016D6A" w14:textId="030CA4F5" w:rsidR="007D17F2" w:rsidRPr="007D17F2" w:rsidRDefault="007D17F2">
        <w:pPr>
          <w:pStyle w:val="Footer"/>
          <w:jc w:val="right"/>
          <w:rPr>
            <w:color w:val="77328A"/>
          </w:rPr>
        </w:pPr>
        <w:r w:rsidRPr="007D17F2">
          <w:rPr>
            <w:color w:val="77328A"/>
          </w:rPr>
          <w:fldChar w:fldCharType="begin"/>
        </w:r>
        <w:r w:rsidRPr="007D17F2">
          <w:rPr>
            <w:color w:val="77328A"/>
          </w:rPr>
          <w:instrText xml:space="preserve"> PAGE   \* MERGEFORMAT </w:instrText>
        </w:r>
        <w:r w:rsidRPr="007D17F2">
          <w:rPr>
            <w:color w:val="77328A"/>
          </w:rPr>
          <w:fldChar w:fldCharType="separate"/>
        </w:r>
        <w:r w:rsidRPr="007D17F2">
          <w:rPr>
            <w:noProof/>
            <w:color w:val="77328A"/>
          </w:rPr>
          <w:t>2</w:t>
        </w:r>
        <w:r w:rsidRPr="007D17F2">
          <w:rPr>
            <w:noProof/>
            <w:color w:val="77328A"/>
          </w:rPr>
          <w:fldChar w:fldCharType="end"/>
        </w:r>
      </w:p>
    </w:sdtContent>
  </w:sdt>
  <w:p w14:paraId="4982FD1F" w14:textId="77777777" w:rsidR="007D17F2" w:rsidRDefault="007D1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D615E" w14:textId="77777777" w:rsidR="0070389D" w:rsidRDefault="0070389D" w:rsidP="003F60F5">
      <w:r>
        <w:separator/>
      </w:r>
    </w:p>
  </w:footnote>
  <w:footnote w:type="continuationSeparator" w:id="0">
    <w:p w14:paraId="1288BAA2" w14:textId="77777777" w:rsidR="0070389D" w:rsidRDefault="0070389D" w:rsidP="003F60F5">
      <w:r>
        <w:continuationSeparator/>
      </w:r>
    </w:p>
  </w:footnote>
  <w:footnote w:type="continuationNotice" w:id="1">
    <w:p w14:paraId="39E2DD98" w14:textId="77777777" w:rsidR="0070389D" w:rsidRDefault="0070389D">
      <w:pPr>
        <w:spacing w:line="240" w:lineRule="auto"/>
      </w:pPr>
    </w:p>
  </w:footnote>
  <w:footnote w:id="2">
    <w:p w14:paraId="13DB3011" w14:textId="7549EF72" w:rsidR="003419DA" w:rsidRPr="00F57D0E" w:rsidRDefault="003419DA" w:rsidP="00F57D0E">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The Windsor Framework was formerly known as the Protocol on Ireland/Northern Ireland to the to the Agreement on the Withdrawal of the UK of Great Britain and NI from the EU and the </w:t>
      </w:r>
      <w:r w:rsidR="00201AF4">
        <w:rPr>
          <w:color w:val="77328A"/>
          <w:sz w:val="16"/>
          <w:szCs w:val="16"/>
        </w:rPr>
        <w:t>European Atomic Energy Community</w:t>
      </w:r>
      <w:r w:rsidRPr="00F57D0E">
        <w:rPr>
          <w:color w:val="77328A"/>
          <w:sz w:val="16"/>
          <w:szCs w:val="16"/>
        </w:rPr>
        <w:t>, 24 January 2020 (UK-EU Withdrawal Agreement).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0FC7D315" w14:textId="4B1755EA" w:rsidR="00EC44F3" w:rsidRPr="00F57D0E" w:rsidRDefault="00EC44F3" w:rsidP="00F57D0E">
      <w:pPr>
        <w:pStyle w:val="NIHRCFootnotes"/>
      </w:pPr>
      <w:r w:rsidRPr="00F57D0E">
        <w:rPr>
          <w:rStyle w:val="FootnoteReference"/>
        </w:rPr>
        <w:footnoteRef/>
      </w:r>
      <w:r w:rsidRPr="00F57D0E">
        <w:t xml:space="preserve"> The NIHRC provided advice to the UK Government in 2008 (NI Human Rights Commission, ‘A Bill of Rights for NI: Advice to the Secretary of State for NI’ (NIHRC, 2008)). In 2022, the NI Assembly Ad Hoc Committee on a Bill of Rights reaffirmed that </w:t>
      </w:r>
      <w:proofErr w:type="gramStart"/>
      <w:r w:rsidRPr="00F57D0E">
        <w:t>a majority of</w:t>
      </w:r>
      <w:proofErr w:type="gramEnd"/>
      <w:r w:rsidRPr="00F57D0E">
        <w:t xml:space="preserve"> individuals and groups in NI support a Bill of Rights</w:t>
      </w:r>
      <w:r w:rsidR="001E2D2A" w:rsidRPr="00F57D0E">
        <w:t xml:space="preserve"> but was unable to advise as to what form this should take due to the absence of an expert panel and the disagreement of the Democratic Unionist Party. (NI Assembly, ‘Report of the Ad Hoc Committee on Bill of Rights’ (NIA, 2022)).</w:t>
      </w:r>
    </w:p>
  </w:footnote>
  <w:footnote w:id="4">
    <w:p w14:paraId="5DBB9C34" w14:textId="65E9AED5" w:rsidR="001E2D2A" w:rsidRPr="00F57D0E" w:rsidRDefault="001E2D2A" w:rsidP="00F57D0E">
      <w:pPr>
        <w:pStyle w:val="NIHRCFootnotes"/>
      </w:pPr>
      <w:r w:rsidRPr="00F57D0E">
        <w:rPr>
          <w:rStyle w:val="FootnoteReference"/>
        </w:rPr>
        <w:footnoteRef/>
      </w:r>
      <w:r w:rsidRPr="00F57D0E">
        <w:t xml:space="preserve"> </w:t>
      </w:r>
      <w:r w:rsidR="0033065C" w:rsidRPr="00F57D0E">
        <w:t>For example</w:t>
      </w:r>
      <w:r w:rsidR="00DB3DA7" w:rsidRPr="00F57D0E">
        <w:t>,</w:t>
      </w:r>
      <w:r w:rsidR="0033065C" w:rsidRPr="00F57D0E">
        <w:t xml:space="preserve"> in areas such as the introduction of marriage equality for same-sex partners and abortion law reform, changes to the NI law were introduced by the UK Parliament rather than the NI Assembly</w:t>
      </w:r>
      <w:r w:rsidR="00577E52" w:rsidRPr="00F57D0E">
        <w:t xml:space="preserve"> (NI (Executive Formation etc) Act 2019)</w:t>
      </w:r>
      <w:r w:rsidR="0033065C" w:rsidRPr="00F57D0E">
        <w:t xml:space="preserve">. </w:t>
      </w:r>
      <w:r w:rsidR="00577E52" w:rsidRPr="00F57D0E">
        <w:t xml:space="preserve">Similarly, gender pay gap reporting has not been implemented in </w:t>
      </w:r>
      <w:proofErr w:type="gramStart"/>
      <w:r w:rsidR="00577E52" w:rsidRPr="00F57D0E">
        <w:t>NI</w:t>
      </w:r>
      <w:proofErr w:type="gramEnd"/>
      <w:r w:rsidR="00577E52" w:rsidRPr="00F57D0E">
        <w:t xml:space="preserve"> and it remains the only part of the UK and Ireland without this framework in place </w:t>
      </w:r>
      <w:r w:rsidR="00DB3DA7" w:rsidRPr="00F57D0E">
        <w:t xml:space="preserve">(see </w:t>
      </w:r>
      <w:r w:rsidR="00201AF4">
        <w:t xml:space="preserve">Northern Ireland </w:t>
      </w:r>
      <w:r w:rsidR="00DB3DA7" w:rsidRPr="00F57D0E">
        <w:t>Human Rights Commission, ‘Submission to the Department for Communities’ Consultation on the Gender Pay Gap Information Regulations’ (NIHRC, 2025)).</w:t>
      </w:r>
    </w:p>
  </w:footnote>
  <w:footnote w:id="5">
    <w:p w14:paraId="47DE1683" w14:textId="43FB9CCA" w:rsidR="00380D55" w:rsidRPr="00F57D0E" w:rsidRDefault="00380D55" w:rsidP="00F57D0E">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Equality Commission for NI, </w:t>
      </w:r>
      <w:r w:rsidR="00201AF4">
        <w:rPr>
          <w:color w:val="77328A"/>
          <w:sz w:val="16"/>
          <w:szCs w:val="16"/>
        </w:rPr>
        <w:t>‘</w:t>
      </w:r>
      <w:r w:rsidRPr="00F57D0E">
        <w:rPr>
          <w:color w:val="77328A"/>
          <w:sz w:val="16"/>
          <w:szCs w:val="16"/>
        </w:rPr>
        <w:t>Submission to the Committee for the Executive Office Inquiry into Gaps in Equality Legislation’ (ECNI, 2024).</w:t>
      </w:r>
    </w:p>
  </w:footnote>
  <w:footnote w:id="6">
    <w:p w14:paraId="29C657F9" w14:textId="37D04ABF" w:rsidR="0033065C" w:rsidRPr="00F57D0E" w:rsidRDefault="0033065C" w:rsidP="00F57D0E">
      <w:pPr>
        <w:pStyle w:val="FootnoteText"/>
        <w:spacing w:line="240" w:lineRule="auto"/>
        <w:rPr>
          <w:rFonts w:cstheme="minorHAnsi"/>
          <w:color w:val="77328A"/>
          <w:sz w:val="16"/>
          <w:szCs w:val="16"/>
        </w:rPr>
      </w:pPr>
      <w:r w:rsidRPr="00F57D0E">
        <w:rPr>
          <w:rStyle w:val="FootnoteReference"/>
          <w:rFonts w:cstheme="minorHAnsi"/>
          <w:color w:val="77328A"/>
          <w:sz w:val="16"/>
          <w:szCs w:val="16"/>
        </w:rPr>
        <w:footnoteRef/>
      </w:r>
      <w:r w:rsidRPr="00F57D0E">
        <w:rPr>
          <w:rFonts w:cstheme="minorHAnsi"/>
          <w:color w:val="77328A"/>
          <w:sz w:val="16"/>
          <w:szCs w:val="16"/>
        </w:rPr>
        <w:t xml:space="preserve"> Joint report from the Negotiators of the EU and UK Government progress during Phase 1 of Negotiations under Article 50 TEU on the UK’s Orderly Withdrawal from the EU, 8 December 2017, at para 42 and 53</w:t>
      </w:r>
      <w:r w:rsidR="00E435CC" w:rsidRPr="00F57D0E">
        <w:rPr>
          <w:rFonts w:cstheme="minorHAnsi"/>
          <w:color w:val="77328A"/>
          <w:sz w:val="16"/>
          <w:szCs w:val="16"/>
        </w:rPr>
        <w:t xml:space="preserve">; Preamble to the Windsor Framework recognised that the </w:t>
      </w:r>
      <w:r w:rsidR="00561434" w:rsidRPr="00F57D0E">
        <w:rPr>
          <w:rFonts w:cstheme="minorHAnsi"/>
          <w:color w:val="77328A"/>
          <w:sz w:val="16"/>
          <w:szCs w:val="16"/>
        </w:rPr>
        <w:t>UK withdrawal from the EU presented a ‘significant and unique challenge to the island of Ireland’.</w:t>
      </w:r>
    </w:p>
  </w:footnote>
  <w:footnote w:id="7">
    <w:p w14:paraId="4B38BE62" w14:textId="77777777" w:rsidR="00811DE2" w:rsidRPr="00F57D0E" w:rsidRDefault="00811DE2" w:rsidP="00811DE2">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w:t>
      </w:r>
      <w:r w:rsidRPr="00F57D0E">
        <w:rPr>
          <w:rFonts w:cs="Calibri"/>
          <w:color w:val="77328A"/>
          <w:sz w:val="16"/>
          <w:szCs w:val="16"/>
        </w:rPr>
        <w:t>NI Office, ‘UK Government Commitment to No-diminution of Rights, Safeguards and Equality of Opportunity in Northern Ireland’ (NIO, 2020), at para 13.</w:t>
      </w:r>
    </w:p>
  </w:footnote>
  <w:footnote w:id="8">
    <w:p w14:paraId="127353C0" w14:textId="2220ED82" w:rsidR="008E7A80" w:rsidRPr="00F57D0E" w:rsidRDefault="008E7A80" w:rsidP="00F57D0E">
      <w:pPr>
        <w:pStyle w:val="NIHRCFootnotes"/>
      </w:pPr>
      <w:r w:rsidRPr="00F57D0E">
        <w:rPr>
          <w:rStyle w:val="FootnoteReference"/>
        </w:rPr>
        <w:footnoteRef/>
      </w:r>
      <w:r w:rsidRPr="00F57D0E">
        <w:t xml:space="preserve"> </w:t>
      </w:r>
      <w:r w:rsidR="006A22D9" w:rsidRPr="00292B8C">
        <w:rPr>
          <w:rFonts w:cstheme="minorHAnsi"/>
          <w:i/>
          <w:iCs/>
        </w:rPr>
        <w:t xml:space="preserve">Martina Dillon and Others v Secretary of State for NI </w:t>
      </w:r>
      <w:r w:rsidRPr="00F57D0E">
        <w:rPr>
          <w:rFonts w:cstheme="minorHAnsi"/>
        </w:rPr>
        <w:t xml:space="preserve">[2024] NICA 59, at para 115. </w:t>
      </w:r>
    </w:p>
  </w:footnote>
  <w:footnote w:id="9">
    <w:p w14:paraId="6D609E6D" w14:textId="758A3C8C" w:rsidR="008E7A80" w:rsidRPr="00201AF4" w:rsidRDefault="008E7A80" w:rsidP="00F57D0E">
      <w:pPr>
        <w:pStyle w:val="NIHRCFootnotes"/>
        <w:rPr>
          <w:rFonts w:cstheme="minorHAnsi"/>
        </w:rPr>
      </w:pPr>
      <w:r w:rsidRPr="00F57D0E">
        <w:rPr>
          <w:rStyle w:val="FootnoteReference"/>
        </w:rPr>
        <w:footnoteRef/>
      </w:r>
      <w:r w:rsidRPr="00F57D0E">
        <w:t xml:space="preserve"> </w:t>
      </w:r>
      <w:r w:rsidRPr="00F57D0E">
        <w:rPr>
          <w:rFonts w:cstheme="minorHAnsi"/>
          <w:iCs/>
        </w:rPr>
        <w:t>The UK Supreme</w:t>
      </w:r>
      <w:r w:rsidRPr="00F57D0E">
        <w:rPr>
          <w:rFonts w:cstheme="minorHAnsi"/>
          <w:i/>
        </w:rPr>
        <w:t xml:space="preserve"> </w:t>
      </w:r>
      <w:r w:rsidRPr="00F57D0E">
        <w:rPr>
          <w:rFonts w:cstheme="minorHAnsi"/>
        </w:rPr>
        <w:t>Court heard an appeal on 14-16 October 2025 (UKSC/2025/0013) and a decision of the court is awaited. Further details are available here:</w:t>
      </w:r>
      <w:r w:rsidR="00201AF4">
        <w:rPr>
          <w:rFonts w:cstheme="minorHAnsi"/>
        </w:rPr>
        <w:t xml:space="preserve"> </w:t>
      </w:r>
      <w:hyperlink r:id="rId1" w:history="1">
        <w:r w:rsidR="00201AF4" w:rsidRPr="00C47F12">
          <w:rPr>
            <w:rStyle w:val="Hyperlink"/>
            <w:rFonts w:cstheme="minorHAnsi"/>
          </w:rPr>
          <w:t>https://supremecourt.uk/cases/uksc-2025-0013</w:t>
        </w:r>
      </w:hyperlink>
      <w:r w:rsidR="00201AF4">
        <w:rPr>
          <w:rFonts w:cstheme="minorHAnsi"/>
        </w:rPr>
        <w:t>.</w:t>
      </w:r>
    </w:p>
  </w:footnote>
  <w:footnote w:id="10">
    <w:p w14:paraId="20D869E7" w14:textId="4E6A92D9" w:rsidR="00292B8C" w:rsidRPr="00292B8C" w:rsidRDefault="00292B8C" w:rsidP="00292B8C">
      <w:pPr>
        <w:pStyle w:val="FootnoteText"/>
        <w:spacing w:line="240" w:lineRule="auto"/>
        <w:rPr>
          <w:rFonts w:cstheme="minorHAnsi"/>
          <w:color w:val="77328A"/>
          <w:sz w:val="16"/>
          <w:szCs w:val="16"/>
        </w:rPr>
      </w:pPr>
      <w:r w:rsidRPr="00292B8C">
        <w:rPr>
          <w:rStyle w:val="FootnoteReference"/>
          <w:rFonts w:cstheme="minorHAnsi"/>
          <w:color w:val="77328A"/>
          <w:sz w:val="16"/>
          <w:szCs w:val="16"/>
        </w:rPr>
        <w:footnoteRef/>
      </w:r>
      <w:r w:rsidRPr="00292B8C">
        <w:rPr>
          <w:rFonts w:cstheme="minorHAnsi"/>
          <w:color w:val="77328A"/>
          <w:sz w:val="16"/>
          <w:szCs w:val="16"/>
        </w:rPr>
        <w:t xml:space="preserve"> </w:t>
      </w:r>
      <w:r w:rsidRPr="00292B8C">
        <w:rPr>
          <w:rFonts w:cstheme="minorHAnsi"/>
          <w:i/>
          <w:iCs/>
          <w:color w:val="77328A"/>
          <w:sz w:val="16"/>
          <w:szCs w:val="16"/>
        </w:rPr>
        <w:t xml:space="preserve">Martina Dillon and Others v Secretary of State for NI </w:t>
      </w:r>
      <w:r w:rsidRPr="00292B8C">
        <w:rPr>
          <w:rFonts w:cstheme="minorHAnsi"/>
          <w:color w:val="77328A"/>
          <w:sz w:val="16"/>
          <w:szCs w:val="16"/>
        </w:rPr>
        <w:t xml:space="preserve">[2024] NICA 59, at para 149. The Court of Appeal upheld the decision of the High Court that found that that the offending provisions in that case should be disapplied (at para 57, 151-158; </w:t>
      </w:r>
      <w:r w:rsidRPr="00292B8C">
        <w:rPr>
          <w:rFonts w:cstheme="minorHAnsi"/>
          <w:i/>
          <w:iCs/>
          <w:color w:val="77328A"/>
          <w:sz w:val="16"/>
          <w:szCs w:val="16"/>
        </w:rPr>
        <w:t>In the matter of an application by Martina Dillon and others for Judicial Review</w:t>
      </w:r>
      <w:r w:rsidRPr="00292B8C">
        <w:rPr>
          <w:rFonts w:cstheme="minorHAnsi"/>
          <w:color w:val="77328A"/>
          <w:sz w:val="16"/>
          <w:szCs w:val="16"/>
        </w:rPr>
        <w:t xml:space="preserve"> [2024] NIKB 11, at para 710).</w:t>
      </w:r>
    </w:p>
  </w:footnote>
  <w:footnote w:id="11">
    <w:p w14:paraId="3707C8D3" w14:textId="2BCA2731" w:rsidR="00292B8C" w:rsidRPr="00292B8C" w:rsidRDefault="00292B8C" w:rsidP="00292B8C">
      <w:pPr>
        <w:pStyle w:val="NIHRCFootnotes"/>
      </w:pPr>
      <w:r w:rsidRPr="00292B8C">
        <w:rPr>
          <w:rStyle w:val="FootnoteReference"/>
        </w:rPr>
        <w:footnoteRef/>
      </w:r>
      <w:r w:rsidRPr="00292B8C">
        <w:t xml:space="preserve"> Tobias Lock, Eleni </w:t>
      </w:r>
      <w:proofErr w:type="spellStart"/>
      <w:r w:rsidRPr="00292B8C">
        <w:t>Frantziou</w:t>
      </w:r>
      <w:proofErr w:type="spellEnd"/>
      <w:r w:rsidRPr="00292B8C">
        <w:t xml:space="preserve"> and Anurag Deb, ‘The Interaction between the EU Charter of Fundamental Rights and </w:t>
      </w:r>
      <w:r w:rsidR="006A22D9" w:rsidRPr="00292B8C">
        <w:t xml:space="preserve">General Principles </w:t>
      </w:r>
      <w:r w:rsidRPr="00292B8C">
        <w:t xml:space="preserve">with the </w:t>
      </w:r>
      <w:r w:rsidRPr="00727536">
        <w:t xml:space="preserve">Windsor Framework’ (NIHRC, 2024), at 28. </w:t>
      </w:r>
      <w:r w:rsidR="003C5FBD" w:rsidRPr="00727536">
        <w:t xml:space="preserve">See also Anurag Deb, Eleni </w:t>
      </w:r>
      <w:proofErr w:type="spellStart"/>
      <w:r w:rsidR="003C5FBD" w:rsidRPr="00727536">
        <w:t>Frantziou</w:t>
      </w:r>
      <w:proofErr w:type="spellEnd"/>
      <w:r w:rsidR="003C5FBD" w:rsidRPr="00727536">
        <w:t>, Sylvia de Mars, Colin Murray and Aoife O’Donoghue, ‘Windsor Framework Article 2: Enforcement and Remedies’ (NIHRC, 2025) where the researchers argue that “the remedies that UK courts granted for breaches of EU law before Brexit will continue to be available for all breaches of the Withdrawal Agreement after Brexit” (at 56).</w:t>
      </w:r>
    </w:p>
  </w:footnote>
  <w:footnote w:id="12">
    <w:p w14:paraId="1FBE17D8" w14:textId="2163EBE2" w:rsidR="00DB1186" w:rsidRPr="00F57D0E" w:rsidRDefault="00DB1186" w:rsidP="00DB1186">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See </w:t>
      </w:r>
      <w:r w:rsidRPr="00F57D0E">
        <w:rPr>
          <w:i/>
          <w:iCs/>
          <w:color w:val="77328A"/>
          <w:sz w:val="16"/>
          <w:szCs w:val="16"/>
        </w:rPr>
        <w:t>Erich Stauder v City of Ulm</w:t>
      </w:r>
      <w:r w:rsidRPr="00F57D0E">
        <w:rPr>
          <w:color w:val="77328A"/>
          <w:sz w:val="16"/>
          <w:szCs w:val="16"/>
        </w:rPr>
        <w:t xml:space="preserve">, Case 29/69, 12 November 1969, at para 7; </w:t>
      </w:r>
      <w:r w:rsidRPr="00F57D0E">
        <w:rPr>
          <w:i/>
          <w:iCs/>
          <w:color w:val="77328A"/>
          <w:sz w:val="16"/>
          <w:szCs w:val="16"/>
        </w:rPr>
        <w:t xml:space="preserve">Internationale </w:t>
      </w:r>
      <w:proofErr w:type="spellStart"/>
      <w:r w:rsidRPr="00F57D0E">
        <w:rPr>
          <w:i/>
          <w:iCs/>
          <w:color w:val="77328A"/>
          <w:sz w:val="16"/>
          <w:szCs w:val="16"/>
        </w:rPr>
        <w:t>Handelsgesellschaft</w:t>
      </w:r>
      <w:proofErr w:type="spellEnd"/>
      <w:r w:rsidRPr="00F57D0E">
        <w:rPr>
          <w:i/>
          <w:iCs/>
          <w:color w:val="77328A"/>
          <w:sz w:val="16"/>
          <w:szCs w:val="16"/>
        </w:rPr>
        <w:t xml:space="preserve"> v </w:t>
      </w:r>
      <w:proofErr w:type="spellStart"/>
      <w:r w:rsidRPr="00F57D0E">
        <w:rPr>
          <w:i/>
          <w:iCs/>
          <w:color w:val="77328A"/>
          <w:sz w:val="16"/>
          <w:szCs w:val="16"/>
        </w:rPr>
        <w:t>Einfuhr</w:t>
      </w:r>
      <w:proofErr w:type="spellEnd"/>
      <w:r w:rsidRPr="00F57D0E">
        <w:rPr>
          <w:i/>
          <w:iCs/>
          <w:color w:val="77328A"/>
          <w:sz w:val="16"/>
          <w:szCs w:val="16"/>
        </w:rPr>
        <w:t xml:space="preserve">- und </w:t>
      </w:r>
      <w:proofErr w:type="spellStart"/>
      <w:r w:rsidRPr="00F57D0E">
        <w:rPr>
          <w:i/>
          <w:iCs/>
          <w:color w:val="77328A"/>
          <w:sz w:val="16"/>
          <w:szCs w:val="16"/>
        </w:rPr>
        <w:t>Vorratstelle</w:t>
      </w:r>
      <w:proofErr w:type="spellEnd"/>
      <w:r w:rsidRPr="00F57D0E">
        <w:rPr>
          <w:i/>
          <w:iCs/>
          <w:color w:val="77328A"/>
          <w:sz w:val="16"/>
          <w:szCs w:val="16"/>
        </w:rPr>
        <w:t xml:space="preserve"> für </w:t>
      </w:r>
      <w:proofErr w:type="spellStart"/>
      <w:r w:rsidRPr="00F57D0E">
        <w:rPr>
          <w:i/>
          <w:iCs/>
          <w:color w:val="77328A"/>
          <w:sz w:val="16"/>
          <w:szCs w:val="16"/>
        </w:rPr>
        <w:t>Getreide</w:t>
      </w:r>
      <w:proofErr w:type="spellEnd"/>
      <w:r w:rsidRPr="00F57D0E">
        <w:rPr>
          <w:i/>
          <w:iCs/>
          <w:color w:val="77328A"/>
          <w:sz w:val="16"/>
          <w:szCs w:val="16"/>
        </w:rPr>
        <w:t xml:space="preserve"> und </w:t>
      </w:r>
      <w:proofErr w:type="spellStart"/>
      <w:r w:rsidRPr="00F57D0E">
        <w:rPr>
          <w:i/>
          <w:iCs/>
          <w:color w:val="77328A"/>
          <w:sz w:val="16"/>
          <w:szCs w:val="16"/>
        </w:rPr>
        <w:t>Futtermittel</w:t>
      </w:r>
      <w:proofErr w:type="spellEnd"/>
      <w:r w:rsidRPr="00F57D0E">
        <w:rPr>
          <w:color w:val="77328A"/>
          <w:sz w:val="16"/>
          <w:szCs w:val="16"/>
        </w:rPr>
        <w:t xml:space="preserve">, Case 11/70, 17 December 1970, at para 4. The CJEU has ruled that respect for human rights is a condition for the legality of EU measures (see </w:t>
      </w:r>
      <w:r w:rsidRPr="00F57D0E">
        <w:rPr>
          <w:i/>
          <w:iCs/>
          <w:color w:val="77328A"/>
          <w:sz w:val="16"/>
          <w:szCs w:val="16"/>
        </w:rPr>
        <w:t xml:space="preserve">Yassin Abdullah Kadi and Al </w:t>
      </w:r>
      <w:proofErr w:type="spellStart"/>
      <w:r w:rsidRPr="00F57D0E">
        <w:rPr>
          <w:i/>
          <w:iCs/>
          <w:color w:val="77328A"/>
          <w:sz w:val="16"/>
          <w:szCs w:val="16"/>
        </w:rPr>
        <w:t>Barakaat</w:t>
      </w:r>
      <w:proofErr w:type="spellEnd"/>
      <w:r w:rsidRPr="00F57D0E">
        <w:rPr>
          <w:i/>
          <w:iCs/>
          <w:color w:val="77328A"/>
          <w:sz w:val="16"/>
          <w:szCs w:val="16"/>
        </w:rPr>
        <w:t xml:space="preserve"> International Foundation v EU Council and Commission,</w:t>
      </w:r>
      <w:r w:rsidRPr="00F57D0E">
        <w:rPr>
          <w:b/>
          <w:bCs/>
          <w:color w:val="77328A"/>
          <w:sz w:val="16"/>
          <w:szCs w:val="16"/>
        </w:rPr>
        <w:t xml:space="preserve"> </w:t>
      </w:r>
      <w:r w:rsidRPr="00F57D0E">
        <w:rPr>
          <w:color w:val="77328A"/>
          <w:sz w:val="16"/>
          <w:szCs w:val="16"/>
        </w:rPr>
        <w:t>C-402/05 and 415/05, 3 September 2008</w:t>
      </w:r>
      <w:r w:rsidR="003858A9">
        <w:rPr>
          <w:color w:val="77328A"/>
          <w:sz w:val="16"/>
          <w:szCs w:val="16"/>
        </w:rPr>
        <w:t>)</w:t>
      </w:r>
      <w:r w:rsidR="001C1286">
        <w:rPr>
          <w:color w:val="77328A"/>
          <w:sz w:val="16"/>
          <w:szCs w:val="16"/>
        </w:rPr>
        <w:t>.</w:t>
      </w:r>
    </w:p>
  </w:footnote>
  <w:footnote w:id="13">
    <w:p w14:paraId="5AA58512" w14:textId="77777777" w:rsidR="00DB1186" w:rsidRPr="00F57D0E" w:rsidRDefault="00DB1186" w:rsidP="00DB1186">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Paul Craig and Gráinne de </w:t>
      </w:r>
      <w:proofErr w:type="spellStart"/>
      <w:r w:rsidRPr="00F57D0E">
        <w:rPr>
          <w:color w:val="77328A"/>
          <w:sz w:val="16"/>
          <w:szCs w:val="16"/>
        </w:rPr>
        <w:t>Búrca</w:t>
      </w:r>
      <w:proofErr w:type="spellEnd"/>
      <w:r w:rsidRPr="00F57D0E">
        <w:rPr>
          <w:color w:val="77328A"/>
          <w:sz w:val="16"/>
          <w:szCs w:val="16"/>
        </w:rPr>
        <w:t>, ‘EU Law: Text, Cases and Materials – 8</w:t>
      </w:r>
      <w:r w:rsidRPr="00F57D0E">
        <w:rPr>
          <w:color w:val="77328A"/>
          <w:sz w:val="16"/>
          <w:szCs w:val="16"/>
          <w:vertAlign w:val="superscript"/>
        </w:rPr>
        <w:t>th</w:t>
      </w:r>
      <w:r w:rsidRPr="00F57D0E">
        <w:rPr>
          <w:color w:val="77328A"/>
          <w:sz w:val="16"/>
          <w:szCs w:val="16"/>
        </w:rPr>
        <w:t xml:space="preserve"> Edition – UK Version’ (OUP, 2024), at 423. </w:t>
      </w:r>
    </w:p>
  </w:footnote>
  <w:footnote w:id="14">
    <w:p w14:paraId="1EAE87C3" w14:textId="4C04FF1F" w:rsidR="008E7A80" w:rsidRPr="00F57D0E" w:rsidRDefault="008E7A80" w:rsidP="00F57D0E">
      <w:pPr>
        <w:pStyle w:val="NIHRCFootnotes"/>
      </w:pPr>
      <w:r w:rsidRPr="00F57D0E">
        <w:rPr>
          <w:rStyle w:val="FootnoteReference"/>
        </w:rPr>
        <w:footnoteRef/>
      </w:r>
      <w:r w:rsidRPr="00F57D0E">
        <w:t xml:space="preserve"> </w:t>
      </w:r>
      <w:r w:rsidR="001B79CB" w:rsidRPr="00F57D0E">
        <w:t xml:space="preserve">Race Equality Directive: </w:t>
      </w:r>
      <w:r w:rsidRPr="00F57D0E">
        <w:t xml:space="preserve">Directive 2000/43/EC, ‘EU Council Directive on Implementing the Principle of Equal Treatment Between Persons Irrespective of Racial or Ethnic Origin’, 29 June 2000; </w:t>
      </w:r>
      <w:r w:rsidR="001B79CB" w:rsidRPr="00F57D0E">
        <w:t xml:space="preserve">Employment Equality (Framework) Directive: </w:t>
      </w:r>
      <w:r w:rsidRPr="00F57D0E">
        <w:t xml:space="preserve">Directive 2000/78/EC, ‘EU Council Directive on Establishing a General Framework for Equal Treatment in Employment and Occupation’, 27 November 2000; </w:t>
      </w:r>
      <w:r w:rsidR="001B79CB" w:rsidRPr="00F57D0E">
        <w:t xml:space="preserve">Gender Equality Directives: </w:t>
      </w:r>
      <w:r w:rsidRPr="00F57D0E">
        <w:t>Directive 2004/113/EC, ‘EU Council Directive on Implementing the Principle of Equal Treatment Between Men and Women in the Access To and Supply of Goods and Services’, 13 December 2004; Directive 2006/54/EC, ‘EU Parliament and Council Directive on the Implementation of the Principle of Equal Opportunities and Equal Treatment of Men and Women in Matters of Employment and Occupation’, 5 July 2006; Directive 2010/41/EU, ‘EU Parliament and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15">
    <w:p w14:paraId="3F2323BB" w14:textId="77777777" w:rsidR="00D91BE2" w:rsidRPr="00F57D0E" w:rsidRDefault="00D91BE2" w:rsidP="00D91BE2">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NI Office, ‘UK Government Commitment to “No Diminution of Rights, Safeguards and Equality of Opportunity” in Northern Ireland: What does it Mean and How will it be Implemented?’ (NIO, 2020), at para 12.</w:t>
      </w:r>
    </w:p>
  </w:footnote>
  <w:footnote w:id="16">
    <w:p w14:paraId="7AA82BE8" w14:textId="77777777" w:rsidR="0001513F" w:rsidRPr="00F57D0E" w:rsidRDefault="0001513F" w:rsidP="00F57D0E">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NI Office, ‘UK Government Commitment to “No Diminution of Rights, Safeguards and Equality of Opportunity” in Northern Ireland: What does it Mean and How will it be Implemented?’ (NIO, 2020), at para 12.</w:t>
      </w:r>
    </w:p>
  </w:footnote>
  <w:footnote w:id="17">
    <w:p w14:paraId="4B88EB28" w14:textId="09E40C04" w:rsidR="00F304FE" w:rsidRPr="00F57D0E" w:rsidRDefault="00F304FE" w:rsidP="00F57D0E">
      <w:pPr>
        <w:pStyle w:val="NIHRCFootnotes"/>
      </w:pPr>
      <w:r w:rsidRPr="00F57D0E">
        <w:rPr>
          <w:vertAlign w:val="superscript"/>
        </w:rPr>
        <w:footnoteRef/>
      </w:r>
      <w:r w:rsidRPr="00F57D0E">
        <w:t xml:space="preserve"> N</w:t>
      </w:r>
      <w:r w:rsidR="003858A9">
        <w:t>orthern Ireland</w:t>
      </w:r>
      <w:r w:rsidRPr="00F57D0E">
        <w:t xml:space="preserve"> Human Rights Commission and Irish Human Rights and Equality Commission ‘Policy Statement on the UK Withdrawal from the EU’ (NIHRC and IHREC, 2018), at 6.</w:t>
      </w:r>
    </w:p>
  </w:footnote>
  <w:footnote w:id="18">
    <w:p w14:paraId="1BDC3E4C" w14:textId="39C3259F" w:rsidR="00B24547" w:rsidRPr="00F57D0E" w:rsidRDefault="00B24547" w:rsidP="00F57D0E">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Article 11(2), Windsor Framework</w:t>
      </w:r>
      <w:r w:rsidR="005267B3" w:rsidRPr="00F57D0E">
        <w:rPr>
          <w:color w:val="77328A"/>
          <w:sz w:val="16"/>
          <w:szCs w:val="16"/>
        </w:rPr>
        <w:t>.</w:t>
      </w:r>
    </w:p>
  </w:footnote>
  <w:footnote w:id="19">
    <w:p w14:paraId="0BD18324" w14:textId="30E592C3" w:rsidR="00635D61" w:rsidRPr="00F57D0E" w:rsidRDefault="00635D61" w:rsidP="00F57D0E">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w:t>
      </w:r>
      <w:r w:rsidRPr="00F57D0E">
        <w:rPr>
          <w:rFonts w:cs="Calibri"/>
          <w:color w:val="77328A"/>
          <w:sz w:val="16"/>
          <w:szCs w:val="16"/>
        </w:rPr>
        <w:t>UK Government and EU Commission, ‘Press Release: Joint statement on the Withdrawal Agreement Joint Committee and Trade and Cooperation Agreement Partnership Council meetings’, 2 February 2026; UK Government and EU Commission, ‘Press Release: Specialised Committee on the Implementation of the Windsor Framework - Joint Statement’, 3 December 2025</w:t>
      </w:r>
      <w:r w:rsidR="00762211" w:rsidRPr="00F57D0E">
        <w:rPr>
          <w:rFonts w:cs="Calibri"/>
          <w:color w:val="77328A"/>
          <w:sz w:val="16"/>
          <w:szCs w:val="16"/>
        </w:rPr>
        <w:t>.</w:t>
      </w:r>
    </w:p>
  </w:footnote>
  <w:footnote w:id="20">
    <w:p w14:paraId="5E119EC3" w14:textId="20F52A52" w:rsidR="00915896" w:rsidRPr="00F57D0E" w:rsidRDefault="00915896" w:rsidP="00F57D0E">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Windsor Framework (Democratic Scrutiny) Regulations 2024.  If an applicability motion is not passed by the Assembly with cross-community support, the UK Government</w:t>
      </w:r>
      <w:r w:rsidR="0096142E">
        <w:rPr>
          <w:color w:val="77328A"/>
          <w:sz w:val="16"/>
          <w:szCs w:val="16"/>
        </w:rPr>
        <w:t xml:space="preserve"> can</w:t>
      </w:r>
      <w:r w:rsidRPr="00F57D0E">
        <w:rPr>
          <w:color w:val="77328A"/>
          <w:sz w:val="16"/>
          <w:szCs w:val="16"/>
        </w:rPr>
        <w:t xml:space="preserve"> add the new measure to the relevant Annex of the Windsor </w:t>
      </w:r>
      <w:r w:rsidR="0096142E">
        <w:rPr>
          <w:color w:val="77328A"/>
          <w:sz w:val="16"/>
          <w:szCs w:val="16"/>
        </w:rPr>
        <w:t xml:space="preserve">Framework </w:t>
      </w:r>
      <w:r w:rsidRPr="00F57D0E">
        <w:rPr>
          <w:color w:val="77328A"/>
          <w:sz w:val="16"/>
          <w:szCs w:val="16"/>
        </w:rPr>
        <w:t xml:space="preserve">if there are exceptional circumstances or if the new EU measure would not create a regulatory border between NI and the rest of the UK.  </w:t>
      </w:r>
    </w:p>
  </w:footnote>
  <w:footnote w:id="21">
    <w:p w14:paraId="7B2BAD49" w14:textId="7F45966B" w:rsidR="003B6259" w:rsidRPr="00F57D0E" w:rsidRDefault="003B6259" w:rsidP="00F57D0E">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Article 1</w:t>
      </w:r>
      <w:r w:rsidR="004224B3" w:rsidRPr="00F57D0E">
        <w:rPr>
          <w:color w:val="77328A"/>
          <w:sz w:val="16"/>
          <w:szCs w:val="16"/>
        </w:rPr>
        <w:t>3</w:t>
      </w:r>
      <w:r w:rsidR="0085604D" w:rsidRPr="00F57D0E">
        <w:rPr>
          <w:color w:val="77328A"/>
          <w:sz w:val="16"/>
          <w:szCs w:val="16"/>
        </w:rPr>
        <w:t>(</w:t>
      </w:r>
      <w:r w:rsidRPr="00F57D0E">
        <w:rPr>
          <w:color w:val="77328A"/>
          <w:sz w:val="16"/>
          <w:szCs w:val="16"/>
        </w:rPr>
        <w:t xml:space="preserve">2), </w:t>
      </w:r>
      <w:r w:rsidR="004224B3" w:rsidRPr="00F57D0E">
        <w:rPr>
          <w:color w:val="77328A"/>
          <w:sz w:val="16"/>
          <w:szCs w:val="16"/>
        </w:rPr>
        <w:t>Windsor</w:t>
      </w:r>
      <w:r w:rsidR="0085604D" w:rsidRPr="00F57D0E">
        <w:rPr>
          <w:color w:val="77328A"/>
          <w:sz w:val="16"/>
          <w:szCs w:val="16"/>
        </w:rPr>
        <w:t xml:space="preserve"> </w:t>
      </w:r>
      <w:r w:rsidR="004224B3" w:rsidRPr="00F57D0E">
        <w:rPr>
          <w:color w:val="77328A"/>
          <w:sz w:val="16"/>
          <w:szCs w:val="16"/>
        </w:rPr>
        <w:t>Framework</w:t>
      </w:r>
      <w:r w:rsidRPr="00F57D0E">
        <w:rPr>
          <w:color w:val="77328A"/>
          <w:sz w:val="16"/>
          <w:szCs w:val="16"/>
        </w:rPr>
        <w:t xml:space="preserve">. </w:t>
      </w:r>
    </w:p>
  </w:footnote>
  <w:footnote w:id="22">
    <w:p w14:paraId="7689D3D8" w14:textId="6B44F62E" w:rsidR="00F87403" w:rsidRPr="00F57D0E" w:rsidRDefault="00F87403" w:rsidP="00F57D0E">
      <w:pPr>
        <w:pStyle w:val="FootnoteText"/>
        <w:spacing w:line="240" w:lineRule="auto"/>
        <w:rPr>
          <w:color w:val="77328A"/>
          <w:sz w:val="16"/>
          <w:szCs w:val="16"/>
        </w:rPr>
      </w:pPr>
      <w:r w:rsidRPr="00F57D0E">
        <w:rPr>
          <w:rStyle w:val="FootnoteReference"/>
          <w:color w:val="77328A"/>
          <w:sz w:val="16"/>
          <w:szCs w:val="16"/>
        </w:rPr>
        <w:footnoteRef/>
      </w:r>
      <w:r w:rsidR="004A4955">
        <w:rPr>
          <w:color w:val="77328A"/>
          <w:sz w:val="16"/>
          <w:szCs w:val="16"/>
        </w:rPr>
        <w:t xml:space="preserve"> Article 2(2) of the Windsor Framework requires the UK Government to </w:t>
      </w:r>
      <w:r w:rsidR="004A4955" w:rsidRPr="004A4955">
        <w:rPr>
          <w:color w:val="77328A"/>
          <w:sz w:val="16"/>
          <w:szCs w:val="16"/>
        </w:rPr>
        <w:t xml:space="preserve">continue to facilitate the work of the </w:t>
      </w:r>
      <w:r w:rsidR="004A4955">
        <w:rPr>
          <w:color w:val="77328A"/>
          <w:sz w:val="16"/>
          <w:szCs w:val="16"/>
        </w:rPr>
        <w:t>NIHRC</w:t>
      </w:r>
      <w:r w:rsidR="004A4955" w:rsidRPr="004A4955">
        <w:rPr>
          <w:color w:val="77328A"/>
          <w:sz w:val="16"/>
          <w:szCs w:val="16"/>
        </w:rPr>
        <w:t>, the Equality Commission for Northern Ireland and the Joint Committee of representatives of the Human Rights Commissions of Northern Ireland and Ireland</w:t>
      </w:r>
      <w:r w:rsidR="004A4955">
        <w:rPr>
          <w:color w:val="77328A"/>
          <w:sz w:val="16"/>
          <w:szCs w:val="16"/>
        </w:rPr>
        <w:t xml:space="preserve"> </w:t>
      </w:r>
      <w:r w:rsidR="004A4955" w:rsidRPr="004A4955">
        <w:rPr>
          <w:color w:val="77328A"/>
          <w:sz w:val="16"/>
          <w:szCs w:val="16"/>
        </w:rPr>
        <w:t>in upholding human rights and equality standards</w:t>
      </w:r>
      <w:r w:rsidR="004A4955">
        <w:rPr>
          <w:color w:val="77328A"/>
          <w:sz w:val="16"/>
          <w:szCs w:val="16"/>
        </w:rPr>
        <w:t xml:space="preserve">. In addition, the three Commissions can bring </w:t>
      </w:r>
      <w:r w:rsidR="004A4955" w:rsidRPr="004A4955">
        <w:rPr>
          <w:color w:val="77328A"/>
          <w:sz w:val="16"/>
          <w:szCs w:val="16"/>
        </w:rPr>
        <w:t xml:space="preserve">any matter of relevance to Article 2 </w:t>
      </w:r>
      <w:r w:rsidR="004A4955">
        <w:rPr>
          <w:color w:val="77328A"/>
          <w:sz w:val="16"/>
          <w:szCs w:val="16"/>
        </w:rPr>
        <w:t>to Specialised Committee on the Implementation of the Windsor Framework for its consideration</w:t>
      </w:r>
      <w:r w:rsidR="0060062C">
        <w:rPr>
          <w:color w:val="77328A"/>
          <w:sz w:val="16"/>
          <w:szCs w:val="16"/>
        </w:rPr>
        <w:t xml:space="preserve"> (Article 14(c), Windsor Framework)</w:t>
      </w:r>
      <w:r w:rsidRPr="00F57D0E">
        <w:rPr>
          <w:color w:val="77328A"/>
          <w:sz w:val="16"/>
          <w:szCs w:val="16"/>
        </w:rPr>
        <w:t xml:space="preserve">. </w:t>
      </w:r>
    </w:p>
  </w:footnote>
  <w:footnote w:id="23">
    <w:p w14:paraId="2DCE3AF1" w14:textId="4700B164" w:rsidR="00E101BE" w:rsidRPr="00F57D0E" w:rsidRDefault="00E101BE" w:rsidP="00F57D0E">
      <w:pPr>
        <w:pStyle w:val="NIHRCFootnotes"/>
        <w:rPr>
          <w:rFonts w:cstheme="minorHAnsi"/>
        </w:rPr>
      </w:pPr>
      <w:r w:rsidRPr="00F57D0E">
        <w:rPr>
          <w:rStyle w:val="FootnoteReference"/>
          <w:rFonts w:cstheme="minorHAnsi"/>
        </w:rPr>
        <w:footnoteRef/>
      </w:r>
      <w:r w:rsidRPr="00F57D0E">
        <w:rPr>
          <w:rFonts w:cstheme="minorHAnsi"/>
        </w:rPr>
        <w:t xml:space="preserve"> </w:t>
      </w:r>
      <w:r w:rsidR="00583B83" w:rsidRPr="00F57D0E">
        <w:rPr>
          <w:rFonts w:cstheme="minorHAnsi"/>
        </w:rPr>
        <w:t xml:space="preserve">Sarah Craig, Claire Lougarre and Rory O’Connell, ‘EU Developments in Equality and Human Rights: The Impact of Brexit on the </w:t>
      </w:r>
      <w:r w:rsidR="0060062C" w:rsidRPr="00F57D0E">
        <w:rPr>
          <w:rFonts w:cstheme="minorHAnsi"/>
        </w:rPr>
        <w:t xml:space="preserve">Divergence </w:t>
      </w:r>
      <w:r w:rsidR="00583B83" w:rsidRPr="00F57D0E">
        <w:rPr>
          <w:rFonts w:cstheme="minorHAnsi"/>
        </w:rPr>
        <w:t xml:space="preserve">of </w:t>
      </w:r>
      <w:r w:rsidR="0060062C" w:rsidRPr="00F57D0E">
        <w:rPr>
          <w:rFonts w:cstheme="minorHAnsi"/>
        </w:rPr>
        <w:t xml:space="preserve">Rights </w:t>
      </w:r>
      <w:r w:rsidR="00583B83" w:rsidRPr="00F57D0E">
        <w:rPr>
          <w:rFonts w:cstheme="minorHAnsi"/>
        </w:rPr>
        <w:t xml:space="preserve">and </w:t>
      </w:r>
      <w:r w:rsidR="0060062C" w:rsidRPr="00F57D0E">
        <w:rPr>
          <w:rFonts w:cstheme="minorHAnsi"/>
        </w:rPr>
        <w:t xml:space="preserve">Best Practice </w:t>
      </w:r>
      <w:r w:rsidR="00583B83" w:rsidRPr="00F57D0E">
        <w:rPr>
          <w:rFonts w:cstheme="minorHAnsi"/>
        </w:rPr>
        <w:t xml:space="preserve">on the </w:t>
      </w:r>
      <w:r w:rsidR="0060062C" w:rsidRPr="00F57D0E">
        <w:rPr>
          <w:rFonts w:cstheme="minorHAnsi"/>
        </w:rPr>
        <w:t xml:space="preserve">Island </w:t>
      </w:r>
      <w:r w:rsidR="00583B83" w:rsidRPr="00F57D0E">
        <w:rPr>
          <w:rFonts w:cstheme="minorHAnsi"/>
        </w:rPr>
        <w:t xml:space="preserve">of Ireland: Update paper on </w:t>
      </w:r>
      <w:r w:rsidR="0060062C" w:rsidRPr="00F57D0E">
        <w:rPr>
          <w:rFonts w:cstheme="minorHAnsi"/>
        </w:rPr>
        <w:t>Developments Post</w:t>
      </w:r>
      <w:r w:rsidR="0060062C">
        <w:rPr>
          <w:rFonts w:cstheme="minorHAnsi"/>
        </w:rPr>
        <w:t>-</w:t>
      </w:r>
      <w:r w:rsidR="00583B83" w:rsidRPr="00F57D0E">
        <w:rPr>
          <w:rFonts w:cstheme="minorHAnsi"/>
        </w:rPr>
        <w:t xml:space="preserve">January 2022’ (ECNI, NIHRC and IHREC, 2024); </w:t>
      </w:r>
      <w:r w:rsidRPr="00F57D0E">
        <w:rPr>
          <w:rFonts w:cstheme="minorHAnsi"/>
        </w:rPr>
        <w:t>Sarah Crai</w:t>
      </w:r>
      <w:r w:rsidR="00583B83" w:rsidRPr="00F57D0E">
        <w:rPr>
          <w:rFonts w:cstheme="minorHAnsi"/>
        </w:rPr>
        <w:t xml:space="preserve">g, Anurag Deb, Eleni </w:t>
      </w:r>
      <w:proofErr w:type="spellStart"/>
      <w:r w:rsidR="00583B83" w:rsidRPr="00F57D0E">
        <w:rPr>
          <w:rFonts w:cstheme="minorHAnsi"/>
        </w:rPr>
        <w:t>Frantziou</w:t>
      </w:r>
      <w:proofErr w:type="spellEnd"/>
      <w:r w:rsidR="00583B83" w:rsidRPr="00F57D0E">
        <w:rPr>
          <w:rFonts w:cstheme="minorHAnsi"/>
        </w:rPr>
        <w:t>, Alexander Horne, Colin Murray, Clare Rice and Jane Rooney</w:t>
      </w:r>
      <w:r w:rsidRPr="00F57D0E">
        <w:rPr>
          <w:rFonts w:cstheme="minorHAnsi"/>
        </w:rPr>
        <w:t>, ‘EU Developments in Equality and Human Rights: The Impact of Brexit on the Divergence of Rights and Best Practice on the Island of Ireland</w:t>
      </w:r>
      <w:r w:rsidR="00583B83" w:rsidRPr="00F57D0E">
        <w:rPr>
          <w:rFonts w:cstheme="minorHAnsi"/>
        </w:rPr>
        <w:t>’</w:t>
      </w:r>
      <w:r w:rsidRPr="00F57D0E">
        <w:rPr>
          <w:rFonts w:cstheme="minorHAnsi"/>
        </w:rPr>
        <w:t xml:space="preserve"> (ECNI, NIHRC and IHREC, 2022); </w:t>
      </w:r>
      <w:r w:rsidRPr="00F57D0E">
        <w:rPr>
          <w:rFonts w:cs="Calibri"/>
        </w:rPr>
        <w:t xml:space="preserve">Equality Commission for NI, </w:t>
      </w:r>
      <w:r w:rsidR="0060062C">
        <w:rPr>
          <w:rFonts w:cs="Calibri"/>
        </w:rPr>
        <w:t>Northern Ireland</w:t>
      </w:r>
      <w:r w:rsidRPr="00F57D0E">
        <w:rPr>
          <w:rFonts w:cs="Calibri"/>
        </w:rPr>
        <w:t xml:space="preserve"> Human Rights Commission and Irish Human Rights and Equality Commission, ‘Policy Recommendations: EU Developments in Equality and Human Rights – The Impact of Brexit on the Divergence of Rights and Best Practice on the Island of Ireland’ (ECNI, NIHRC and IHREC, 2023).</w:t>
      </w:r>
    </w:p>
  </w:footnote>
  <w:footnote w:id="24">
    <w:p w14:paraId="27E8785A" w14:textId="14B89868" w:rsidR="00D653A5" w:rsidRPr="00F57D0E" w:rsidRDefault="00D653A5" w:rsidP="00F57D0E">
      <w:pPr>
        <w:pStyle w:val="NIHRCFootnotes"/>
        <w:rPr>
          <w:rFonts w:cs="Segoe UI"/>
        </w:rPr>
      </w:pPr>
      <w:r w:rsidRPr="00F57D0E">
        <w:rPr>
          <w:rStyle w:val="FootnoteReference"/>
          <w:rFonts w:cs="Segoe UI"/>
        </w:rPr>
        <w:footnoteRef/>
      </w:r>
      <w:r w:rsidRPr="00F57D0E">
        <w:rPr>
          <w:rFonts w:cs="Segoe UI"/>
        </w:rPr>
        <w:t xml:space="preserve"> Directive 2000/78/EC, ‘</w:t>
      </w:r>
      <w:r w:rsidR="0060062C" w:rsidRPr="00F57D0E">
        <w:rPr>
          <w:rFonts w:cs="Segoe UI"/>
        </w:rPr>
        <w:t xml:space="preserve">EU </w:t>
      </w:r>
      <w:r w:rsidRPr="00F57D0E">
        <w:rPr>
          <w:rFonts w:cs="Segoe UI"/>
        </w:rPr>
        <w:t>Council Directive on Establishing a General Framework for Equal Treatment in Employment and Occupation’, 27 November 2000.</w:t>
      </w:r>
    </w:p>
  </w:footnote>
  <w:footnote w:id="25">
    <w:p w14:paraId="6CEC2555" w14:textId="77777777" w:rsidR="004F66CC" w:rsidRPr="00F57D0E" w:rsidRDefault="004F66CC" w:rsidP="00F57D0E">
      <w:pPr>
        <w:pStyle w:val="FootnoteText"/>
        <w:spacing w:line="240" w:lineRule="auto"/>
        <w:rPr>
          <w:rFonts w:cstheme="minorHAnsi"/>
          <w:color w:val="77328A"/>
          <w:sz w:val="16"/>
          <w:szCs w:val="16"/>
        </w:rPr>
      </w:pPr>
      <w:r w:rsidRPr="00F57D0E">
        <w:rPr>
          <w:rStyle w:val="FootnoteReference"/>
          <w:rFonts w:cstheme="minorHAnsi"/>
          <w:color w:val="77328A"/>
          <w:sz w:val="16"/>
          <w:szCs w:val="16"/>
        </w:rPr>
        <w:footnoteRef/>
      </w:r>
      <w:r w:rsidRPr="00F57D0E">
        <w:rPr>
          <w:rFonts w:cstheme="minorHAnsi"/>
          <w:color w:val="77328A"/>
          <w:sz w:val="16"/>
          <w:szCs w:val="16"/>
        </w:rPr>
        <w:t xml:space="preserve"> </w:t>
      </w:r>
      <w:proofErr w:type="spellStart"/>
      <w:r w:rsidRPr="00F57D0E">
        <w:rPr>
          <w:rFonts w:cstheme="minorHAnsi"/>
          <w:i/>
          <w:color w:val="77328A"/>
          <w:sz w:val="16"/>
          <w:szCs w:val="16"/>
        </w:rPr>
        <w:t>Szpital</w:t>
      </w:r>
      <w:proofErr w:type="spellEnd"/>
      <w:r w:rsidRPr="00F57D0E">
        <w:rPr>
          <w:rFonts w:cstheme="minorHAnsi"/>
          <w:i/>
          <w:color w:val="77328A"/>
          <w:sz w:val="16"/>
          <w:szCs w:val="16"/>
        </w:rPr>
        <w:t xml:space="preserve"> </w:t>
      </w:r>
      <w:proofErr w:type="spellStart"/>
      <w:r w:rsidRPr="00F57D0E">
        <w:rPr>
          <w:rFonts w:cstheme="minorHAnsi"/>
          <w:i/>
          <w:color w:val="77328A"/>
          <w:sz w:val="16"/>
          <w:szCs w:val="16"/>
        </w:rPr>
        <w:t>Kliniczny</w:t>
      </w:r>
      <w:proofErr w:type="spellEnd"/>
      <w:r w:rsidRPr="00F57D0E">
        <w:rPr>
          <w:rFonts w:cstheme="minorHAnsi"/>
          <w:i/>
          <w:color w:val="77328A"/>
          <w:sz w:val="16"/>
          <w:szCs w:val="16"/>
        </w:rPr>
        <w:t xml:space="preserve"> mi. </w:t>
      </w:r>
      <w:proofErr w:type="spellStart"/>
      <w:r w:rsidRPr="00F57D0E">
        <w:rPr>
          <w:rFonts w:cstheme="minorHAnsi"/>
          <w:i/>
          <w:color w:val="77328A"/>
          <w:sz w:val="16"/>
          <w:szCs w:val="16"/>
        </w:rPr>
        <w:t>dra</w:t>
      </w:r>
      <w:proofErr w:type="spellEnd"/>
      <w:r w:rsidRPr="00F57D0E">
        <w:rPr>
          <w:rFonts w:cstheme="minorHAnsi"/>
          <w:i/>
          <w:color w:val="77328A"/>
          <w:sz w:val="16"/>
          <w:szCs w:val="16"/>
        </w:rPr>
        <w:t xml:space="preserve"> J. </w:t>
      </w:r>
      <w:proofErr w:type="spellStart"/>
      <w:r w:rsidRPr="00F57D0E">
        <w:rPr>
          <w:rFonts w:cstheme="minorHAnsi"/>
          <w:i/>
          <w:color w:val="77328A"/>
          <w:sz w:val="16"/>
          <w:szCs w:val="16"/>
        </w:rPr>
        <w:t>Babińskiego</w:t>
      </w:r>
      <w:proofErr w:type="spellEnd"/>
      <w:r w:rsidRPr="00F57D0E">
        <w:rPr>
          <w:rFonts w:cstheme="minorHAnsi"/>
          <w:i/>
          <w:color w:val="77328A"/>
          <w:sz w:val="16"/>
          <w:szCs w:val="16"/>
        </w:rPr>
        <w:t xml:space="preserve"> </w:t>
      </w:r>
      <w:proofErr w:type="spellStart"/>
      <w:r w:rsidRPr="00F57D0E">
        <w:rPr>
          <w:rFonts w:cstheme="minorHAnsi"/>
          <w:i/>
          <w:color w:val="77328A"/>
          <w:sz w:val="16"/>
          <w:szCs w:val="16"/>
        </w:rPr>
        <w:t>Samodzielny</w:t>
      </w:r>
      <w:proofErr w:type="spellEnd"/>
      <w:r w:rsidRPr="00F57D0E">
        <w:rPr>
          <w:rFonts w:cstheme="minorHAnsi"/>
          <w:i/>
          <w:color w:val="77328A"/>
          <w:sz w:val="16"/>
          <w:szCs w:val="16"/>
        </w:rPr>
        <w:t xml:space="preserve"> </w:t>
      </w:r>
      <w:proofErr w:type="spellStart"/>
      <w:r w:rsidRPr="00F57D0E">
        <w:rPr>
          <w:rFonts w:cstheme="minorHAnsi"/>
          <w:i/>
          <w:color w:val="77328A"/>
          <w:sz w:val="16"/>
          <w:szCs w:val="16"/>
        </w:rPr>
        <w:t>Publiczny</w:t>
      </w:r>
      <w:proofErr w:type="spellEnd"/>
      <w:r w:rsidRPr="00F57D0E">
        <w:rPr>
          <w:rFonts w:cstheme="minorHAnsi"/>
          <w:i/>
          <w:color w:val="77328A"/>
          <w:sz w:val="16"/>
          <w:szCs w:val="16"/>
        </w:rPr>
        <w:t xml:space="preserve"> </w:t>
      </w:r>
      <w:proofErr w:type="spellStart"/>
      <w:r w:rsidRPr="00F57D0E">
        <w:rPr>
          <w:rFonts w:cstheme="minorHAnsi"/>
          <w:i/>
          <w:color w:val="77328A"/>
          <w:sz w:val="16"/>
          <w:szCs w:val="16"/>
        </w:rPr>
        <w:t>Zakład</w:t>
      </w:r>
      <w:proofErr w:type="spellEnd"/>
      <w:r w:rsidRPr="00F57D0E">
        <w:rPr>
          <w:rFonts w:cstheme="minorHAnsi"/>
          <w:i/>
          <w:color w:val="77328A"/>
          <w:sz w:val="16"/>
          <w:szCs w:val="16"/>
        </w:rPr>
        <w:t xml:space="preserve"> </w:t>
      </w:r>
      <w:proofErr w:type="spellStart"/>
      <w:r w:rsidRPr="00F57D0E">
        <w:rPr>
          <w:rFonts w:cstheme="minorHAnsi"/>
          <w:i/>
          <w:color w:val="77328A"/>
          <w:sz w:val="16"/>
          <w:szCs w:val="16"/>
        </w:rPr>
        <w:t>Opieki</w:t>
      </w:r>
      <w:proofErr w:type="spellEnd"/>
      <w:r w:rsidRPr="00F57D0E">
        <w:rPr>
          <w:rFonts w:cstheme="minorHAnsi"/>
          <w:i/>
          <w:color w:val="77328A"/>
          <w:sz w:val="16"/>
          <w:szCs w:val="16"/>
        </w:rPr>
        <w:t xml:space="preserve"> </w:t>
      </w:r>
      <w:proofErr w:type="spellStart"/>
      <w:r w:rsidRPr="00F57D0E">
        <w:rPr>
          <w:rFonts w:cstheme="minorHAnsi"/>
          <w:i/>
          <w:color w:val="77328A"/>
          <w:sz w:val="16"/>
          <w:szCs w:val="16"/>
        </w:rPr>
        <w:t>Zdrowotnej</w:t>
      </w:r>
      <w:proofErr w:type="spellEnd"/>
      <w:r w:rsidRPr="00F57D0E">
        <w:rPr>
          <w:rFonts w:cstheme="minorHAnsi"/>
          <w:i/>
          <w:color w:val="77328A"/>
          <w:sz w:val="16"/>
          <w:szCs w:val="16"/>
        </w:rPr>
        <w:t xml:space="preserve"> w Krakowi</w:t>
      </w:r>
      <w:r w:rsidRPr="00F57D0E">
        <w:rPr>
          <w:rFonts w:cstheme="minorHAnsi"/>
          <w:color w:val="77328A"/>
          <w:sz w:val="16"/>
          <w:szCs w:val="16"/>
        </w:rPr>
        <w:t>e, Case C-16/19, 29 January 2021</w:t>
      </w:r>
      <w:r w:rsidRPr="00F57D0E">
        <w:rPr>
          <w:rStyle w:val="Hyperlink"/>
          <w:rFonts w:cstheme="minorHAnsi"/>
          <w:color w:val="77328A"/>
          <w:sz w:val="16"/>
          <w:szCs w:val="16"/>
          <w:u w:val="none"/>
        </w:rPr>
        <w:t>.</w:t>
      </w:r>
    </w:p>
  </w:footnote>
  <w:footnote w:id="26">
    <w:p w14:paraId="6DECD03C" w14:textId="77E50B44" w:rsidR="0085604D" w:rsidRPr="00F57D0E" w:rsidRDefault="0085604D" w:rsidP="00F57D0E">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See also cases such as </w:t>
      </w:r>
      <w:r w:rsidRPr="00F57D0E">
        <w:rPr>
          <w:rFonts w:cs="Segoe UI"/>
          <w:i/>
          <w:iCs/>
          <w:color w:val="77328A"/>
          <w:sz w:val="16"/>
          <w:szCs w:val="16"/>
        </w:rPr>
        <w:t>IX v WABE eV</w:t>
      </w:r>
      <w:r w:rsidRPr="00F57D0E">
        <w:rPr>
          <w:rFonts w:cs="Segoe UI"/>
          <w:color w:val="77328A"/>
          <w:sz w:val="16"/>
          <w:szCs w:val="16"/>
        </w:rPr>
        <w:t xml:space="preserve"> and </w:t>
      </w:r>
      <w:r w:rsidRPr="00F57D0E">
        <w:rPr>
          <w:rFonts w:cs="Segoe UI"/>
          <w:i/>
          <w:iCs/>
          <w:color w:val="77328A"/>
          <w:sz w:val="16"/>
          <w:szCs w:val="16"/>
        </w:rPr>
        <w:t>MH Müller Handels GmbH v MJ</w:t>
      </w:r>
      <w:r w:rsidRPr="00F57D0E">
        <w:rPr>
          <w:rFonts w:cs="Segoe UI"/>
          <w:color w:val="77328A"/>
          <w:sz w:val="16"/>
          <w:szCs w:val="16"/>
        </w:rPr>
        <w:t>, Joined Cases C</w:t>
      </w:r>
      <w:r w:rsidRPr="00F57D0E">
        <w:rPr>
          <w:rFonts w:ascii="Cambria Math" w:hAnsi="Cambria Math" w:cs="Cambria Math"/>
          <w:color w:val="77328A"/>
          <w:sz w:val="16"/>
          <w:szCs w:val="16"/>
        </w:rPr>
        <w:t>‑</w:t>
      </w:r>
      <w:r w:rsidRPr="00F57D0E">
        <w:rPr>
          <w:rFonts w:cs="Segoe UI"/>
          <w:color w:val="77328A"/>
          <w:sz w:val="16"/>
          <w:szCs w:val="16"/>
        </w:rPr>
        <w:t>804/18 and C</w:t>
      </w:r>
      <w:r w:rsidRPr="00F57D0E">
        <w:rPr>
          <w:rFonts w:ascii="Cambria Math" w:hAnsi="Cambria Math" w:cs="Cambria Math"/>
          <w:color w:val="77328A"/>
          <w:sz w:val="16"/>
          <w:szCs w:val="16"/>
        </w:rPr>
        <w:t>‑</w:t>
      </w:r>
      <w:r w:rsidRPr="00F57D0E">
        <w:rPr>
          <w:rFonts w:cs="Segoe UI"/>
          <w:color w:val="77328A"/>
          <w:sz w:val="16"/>
          <w:szCs w:val="16"/>
        </w:rPr>
        <w:t xml:space="preserve">341/19, 15 July 2021, </w:t>
      </w:r>
      <w:r w:rsidRPr="00F57D0E">
        <w:rPr>
          <w:color w:val="77328A"/>
          <w:sz w:val="16"/>
          <w:szCs w:val="16"/>
        </w:rPr>
        <w:t xml:space="preserve">where the CJEU found that differentiating between religious symbols, amounts to direct discrimination under the EU Framework Equality Directive and cannot be justified, except by reference to a narrow list of occupational requirements, rather than by a commercial policy of neutrality. In </w:t>
      </w:r>
      <w:r w:rsidRPr="00F57D0E">
        <w:rPr>
          <w:rFonts w:cstheme="minorHAnsi"/>
          <w:i/>
          <w:iCs/>
          <w:color w:val="77328A"/>
          <w:sz w:val="16"/>
          <w:szCs w:val="16"/>
        </w:rPr>
        <w:t>EB v BVAEB</w:t>
      </w:r>
      <w:r w:rsidRPr="00F57D0E">
        <w:rPr>
          <w:rFonts w:cstheme="minorHAnsi"/>
          <w:color w:val="77328A"/>
          <w:sz w:val="16"/>
          <w:szCs w:val="16"/>
        </w:rPr>
        <w:t>, C-405/20, 5 May 2022, w</w:t>
      </w:r>
      <w:r w:rsidRPr="00F57D0E">
        <w:rPr>
          <w:color w:val="77328A"/>
          <w:sz w:val="16"/>
          <w:szCs w:val="16"/>
        </w:rPr>
        <w:t>hile the CJEU found that</w:t>
      </w:r>
      <w:r w:rsidRPr="00F57D0E">
        <w:rPr>
          <w:color w:val="77328A"/>
          <w:sz w:val="16"/>
          <w:szCs w:val="16"/>
          <w:shd w:val="clear" w:color="auto" w:fill="FFFFFF"/>
        </w:rPr>
        <w:t xml:space="preserve"> indirect </w:t>
      </w:r>
      <w:r w:rsidRPr="00F57D0E">
        <w:rPr>
          <w:rFonts w:eastAsia="Times New Roman"/>
          <w:color w:val="77328A"/>
          <w:sz w:val="16"/>
          <w:szCs w:val="16"/>
          <w:lang w:eastAsia="en-GB"/>
        </w:rPr>
        <w:t xml:space="preserve">discrimination in that case was justified and proportionate, it was </w:t>
      </w:r>
      <w:r w:rsidRPr="00F57D0E">
        <w:rPr>
          <w:color w:val="77328A"/>
          <w:sz w:val="16"/>
          <w:szCs w:val="16"/>
        </w:rPr>
        <w:t xml:space="preserve">willing to accept coherent ‘social justice’ justifications for the restriction of pension entitlements. </w:t>
      </w:r>
    </w:p>
  </w:footnote>
  <w:footnote w:id="27">
    <w:p w14:paraId="725FF847" w14:textId="0A62904A" w:rsidR="00783606" w:rsidRPr="00F57D0E" w:rsidRDefault="00783606" w:rsidP="00783606">
      <w:pPr>
        <w:pStyle w:val="NIHRCFootnotes"/>
      </w:pPr>
      <w:r w:rsidRPr="00F57D0E">
        <w:rPr>
          <w:rStyle w:val="FootnoteReference"/>
        </w:rPr>
        <w:footnoteRef/>
      </w:r>
      <w:r w:rsidRPr="00F57D0E">
        <w:t xml:space="preserve"> </w:t>
      </w:r>
      <w:r w:rsidR="0060062C" w:rsidRPr="00292B8C">
        <w:rPr>
          <w:rFonts w:cstheme="minorHAnsi"/>
          <w:i/>
          <w:iCs/>
        </w:rPr>
        <w:t xml:space="preserve">Martina Dillon and Others v Secretary of State for NI </w:t>
      </w:r>
      <w:r w:rsidR="00907F39" w:rsidRPr="00F57D0E">
        <w:t xml:space="preserve">[2024] NICA 59, at para 126; </w:t>
      </w:r>
      <w:r w:rsidR="00907F39" w:rsidRPr="00F57D0E">
        <w:rPr>
          <w:rFonts w:cstheme="minorHAnsi"/>
        </w:rPr>
        <w:t xml:space="preserve">See also </w:t>
      </w:r>
      <w:r w:rsidR="00907F39" w:rsidRPr="00F57D0E">
        <w:rPr>
          <w:i/>
          <w:iCs/>
        </w:rPr>
        <w:t>Secretary of State for Work and Pensions v AT</w:t>
      </w:r>
      <w:r w:rsidR="00907F39" w:rsidRPr="00F57D0E">
        <w:t xml:space="preserve"> [2023] EW CA </w:t>
      </w:r>
      <w:proofErr w:type="spellStart"/>
      <w:r w:rsidR="00907F39" w:rsidRPr="00F57D0E">
        <w:t>Civ</w:t>
      </w:r>
      <w:proofErr w:type="spellEnd"/>
      <w:r w:rsidR="00907F39" w:rsidRPr="00F57D0E">
        <w:t xml:space="preserve"> 1307, at para </w:t>
      </w:r>
      <w:proofErr w:type="gramStart"/>
      <w:r w:rsidR="00907F39" w:rsidRPr="00F57D0E">
        <w:t>92.</w:t>
      </w:r>
      <w:r w:rsidRPr="00F57D0E">
        <w:t>Tobias</w:t>
      </w:r>
      <w:proofErr w:type="gramEnd"/>
      <w:r w:rsidRPr="00F57D0E">
        <w:t xml:space="preserve"> Lock et al, ‘The Interaction Between the EU Charter of Fundamental Rights and General Principles with the Windsor Framework’ (NIHRC, 2024); </w:t>
      </w:r>
    </w:p>
  </w:footnote>
  <w:footnote w:id="28">
    <w:p w14:paraId="4ABF0023" w14:textId="571A8555" w:rsidR="009D19C3" w:rsidRPr="00F57D0E" w:rsidRDefault="009D19C3" w:rsidP="009D19C3">
      <w:pPr>
        <w:pStyle w:val="NIHRCFootnotes"/>
      </w:pPr>
      <w:r w:rsidRPr="00F57D0E">
        <w:rPr>
          <w:rStyle w:val="FootnoteReference"/>
        </w:rPr>
        <w:footnoteRef/>
      </w:r>
      <w:r w:rsidRPr="00F57D0E">
        <w:t xml:space="preserve"> Tobias Lock, Eleni </w:t>
      </w:r>
      <w:proofErr w:type="spellStart"/>
      <w:r w:rsidRPr="00F57D0E">
        <w:t>Frantziou</w:t>
      </w:r>
      <w:proofErr w:type="spellEnd"/>
      <w:r w:rsidRPr="00F57D0E">
        <w:t xml:space="preserve"> and Anurag Deb, ‘The Interaction between the EU Charter of Fundamental Rights and </w:t>
      </w:r>
      <w:r w:rsidR="0060062C" w:rsidRPr="00F57D0E">
        <w:t xml:space="preserve">General Principles </w:t>
      </w:r>
      <w:r w:rsidRPr="00F57D0E">
        <w:t xml:space="preserve">with the Windsor Framework’ (NIHRC, 2024), at 75. See also Anurag Deb, Eleni </w:t>
      </w:r>
      <w:proofErr w:type="spellStart"/>
      <w:r w:rsidRPr="00F57D0E">
        <w:t>Frantziou</w:t>
      </w:r>
      <w:proofErr w:type="spellEnd"/>
      <w:r w:rsidRPr="00F57D0E">
        <w:t xml:space="preserve">, Sylvia de Mars, Colin Murray and Aoife O’Donoghue, ‘Windsor Framework Article 2: Enforcement and Remedies’ (NIHRC, 2025), at 86. </w:t>
      </w:r>
    </w:p>
  </w:footnote>
  <w:footnote w:id="29">
    <w:p w14:paraId="00178FFC" w14:textId="00EC3B0A" w:rsidR="004268A6" w:rsidRPr="00F57D0E" w:rsidRDefault="004268A6" w:rsidP="00F57D0E">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Article 12, Windsor Framework.</w:t>
      </w:r>
    </w:p>
  </w:footnote>
  <w:footnote w:id="30">
    <w:p w14:paraId="093D7DD6" w14:textId="30CFD52E" w:rsidR="009D19C3" w:rsidRPr="00F57D0E" w:rsidRDefault="009D19C3" w:rsidP="009D19C3">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w:t>
      </w:r>
      <w:r w:rsidRPr="00F57D0E">
        <w:rPr>
          <w:rFonts w:cstheme="minorHAnsi"/>
          <w:i/>
          <w:iCs/>
          <w:color w:val="77328A"/>
          <w:sz w:val="16"/>
          <w:szCs w:val="16"/>
        </w:rPr>
        <w:t xml:space="preserve">Martina Dillon and Others v Secretary of State for NI </w:t>
      </w:r>
      <w:r w:rsidRPr="00F57D0E">
        <w:rPr>
          <w:rFonts w:cstheme="minorHAnsi"/>
          <w:color w:val="77328A"/>
          <w:sz w:val="16"/>
          <w:szCs w:val="16"/>
        </w:rPr>
        <w:t xml:space="preserve">[2024] NICA 59, at paras 83, 84-85.  </w:t>
      </w:r>
    </w:p>
  </w:footnote>
  <w:footnote w:id="31">
    <w:p w14:paraId="60A004D7" w14:textId="77777777" w:rsidR="005176C3" w:rsidRPr="00F57D0E" w:rsidRDefault="005176C3" w:rsidP="00F57D0E">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w:t>
      </w:r>
      <w:r w:rsidRPr="00F57D0E">
        <w:rPr>
          <w:i/>
          <w:iCs/>
          <w:color w:val="77328A"/>
          <w:sz w:val="16"/>
          <w:szCs w:val="16"/>
        </w:rPr>
        <w:t>Re Allister</w:t>
      </w:r>
      <w:r w:rsidRPr="00F57D0E">
        <w:rPr>
          <w:color w:val="77328A"/>
          <w:sz w:val="16"/>
          <w:szCs w:val="16"/>
        </w:rPr>
        <w:t xml:space="preserve"> [2023] UKSC 5, at para 74. </w:t>
      </w:r>
    </w:p>
  </w:footnote>
  <w:footnote w:id="32">
    <w:p w14:paraId="75E6A88F" w14:textId="77777777" w:rsidR="005176C3" w:rsidRPr="00F57D0E" w:rsidRDefault="005176C3" w:rsidP="00F57D0E">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w:t>
      </w:r>
      <w:r w:rsidRPr="00F57D0E">
        <w:rPr>
          <w:rFonts w:cstheme="minorHAnsi"/>
          <w:i/>
          <w:iCs/>
          <w:color w:val="77328A"/>
          <w:sz w:val="16"/>
          <w:szCs w:val="16"/>
        </w:rPr>
        <w:t xml:space="preserve">Martina Dillon and Others v Secretary of State for NI </w:t>
      </w:r>
      <w:r w:rsidRPr="00F57D0E">
        <w:rPr>
          <w:rFonts w:cstheme="minorHAnsi"/>
          <w:color w:val="77328A"/>
          <w:sz w:val="16"/>
          <w:szCs w:val="16"/>
        </w:rPr>
        <w:t xml:space="preserve">[2024] NICA 59, at paras 83, 84-85.  See also Humphrys J in </w:t>
      </w:r>
      <w:r w:rsidRPr="00F57D0E">
        <w:rPr>
          <w:rFonts w:cstheme="minorHAnsi"/>
          <w:i/>
          <w:iCs/>
          <w:color w:val="77328A"/>
          <w:sz w:val="16"/>
          <w:szCs w:val="16"/>
        </w:rPr>
        <w:t>Re NIHRC and JR295</w:t>
      </w:r>
      <w:r w:rsidRPr="00F57D0E">
        <w:rPr>
          <w:rFonts w:cstheme="minorHAnsi"/>
          <w:color w:val="77328A"/>
          <w:sz w:val="16"/>
          <w:szCs w:val="16"/>
        </w:rPr>
        <w:t xml:space="preserve"> [2024] NIKB 35, at para 57.</w:t>
      </w:r>
    </w:p>
  </w:footnote>
  <w:footnote w:id="33">
    <w:p w14:paraId="5E39E8E7" w14:textId="2F79FC8D" w:rsidR="00964D32" w:rsidRPr="00F57D0E" w:rsidRDefault="00964D32" w:rsidP="00F57D0E">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Article 4(1) and (2), </w:t>
      </w:r>
      <w:r w:rsidR="00C83E3A" w:rsidRPr="00F57D0E">
        <w:rPr>
          <w:color w:val="77328A"/>
          <w:sz w:val="16"/>
          <w:szCs w:val="16"/>
        </w:rPr>
        <w:t xml:space="preserve">UK-EU </w:t>
      </w:r>
      <w:r w:rsidRPr="00F57D0E">
        <w:rPr>
          <w:color w:val="77328A"/>
          <w:sz w:val="16"/>
          <w:szCs w:val="16"/>
        </w:rPr>
        <w:t>Withdrawal Agreement</w:t>
      </w:r>
      <w:r w:rsidR="00C83E3A" w:rsidRPr="00F57D0E">
        <w:rPr>
          <w:color w:val="77328A"/>
          <w:sz w:val="16"/>
          <w:szCs w:val="16"/>
        </w:rPr>
        <w:t>.</w:t>
      </w:r>
      <w:r w:rsidRPr="00F57D0E">
        <w:rPr>
          <w:color w:val="77328A"/>
          <w:sz w:val="16"/>
          <w:szCs w:val="16"/>
        </w:rPr>
        <w:t xml:space="preserve"> </w:t>
      </w:r>
      <w:r w:rsidR="000217AC" w:rsidRPr="00F57D0E">
        <w:rPr>
          <w:color w:val="77328A"/>
          <w:sz w:val="16"/>
          <w:szCs w:val="16"/>
        </w:rPr>
        <w:t>The Court of Appeal in England and Wales has that Article 4 of the UK-EU Withdrawal Agreement and section 7A of the EU (Withdrawal) Act 2018 confer “direct effect on litigants and a connected power and duty on the national courts to disapply inconsistent domestic law” (</w:t>
      </w:r>
      <w:r w:rsidR="000217AC" w:rsidRPr="00F57D0E">
        <w:rPr>
          <w:rFonts w:cstheme="minorHAnsi"/>
          <w:i/>
          <w:iCs/>
          <w:color w:val="77328A"/>
          <w:sz w:val="16"/>
          <w:szCs w:val="16"/>
        </w:rPr>
        <w:t>Secretary of State for Work and Pensions</w:t>
      </w:r>
      <w:r w:rsidR="000217AC" w:rsidRPr="00F57D0E">
        <w:rPr>
          <w:rFonts w:cstheme="minorHAnsi"/>
          <w:i/>
          <w:color w:val="77328A"/>
          <w:sz w:val="16"/>
          <w:szCs w:val="16"/>
        </w:rPr>
        <w:t xml:space="preserve"> </w:t>
      </w:r>
      <w:r w:rsidR="000217AC" w:rsidRPr="00F57D0E">
        <w:rPr>
          <w:rFonts w:cstheme="minorHAnsi"/>
          <w:i/>
          <w:iCs/>
          <w:color w:val="77328A"/>
          <w:sz w:val="16"/>
          <w:szCs w:val="16"/>
        </w:rPr>
        <w:t>v AT</w:t>
      </w:r>
      <w:r w:rsidR="000217AC" w:rsidRPr="00F57D0E">
        <w:rPr>
          <w:rFonts w:cstheme="minorHAnsi"/>
          <w:color w:val="77328A"/>
          <w:sz w:val="16"/>
          <w:szCs w:val="16"/>
        </w:rPr>
        <w:t xml:space="preserve"> [2023] ECWA </w:t>
      </w:r>
      <w:proofErr w:type="spellStart"/>
      <w:r w:rsidR="000217AC" w:rsidRPr="00F57D0E">
        <w:rPr>
          <w:rFonts w:cstheme="minorHAnsi"/>
          <w:color w:val="77328A"/>
          <w:sz w:val="16"/>
          <w:szCs w:val="16"/>
        </w:rPr>
        <w:t>Civ</w:t>
      </w:r>
      <w:proofErr w:type="spellEnd"/>
      <w:r w:rsidR="000217AC" w:rsidRPr="00F57D0E">
        <w:rPr>
          <w:rFonts w:cstheme="minorHAnsi"/>
          <w:color w:val="77328A"/>
          <w:sz w:val="16"/>
          <w:szCs w:val="16"/>
        </w:rPr>
        <w:t xml:space="preserve"> 1307, at para 106</w:t>
      </w:r>
      <w:r w:rsidR="0060062C">
        <w:rPr>
          <w:rFonts w:cstheme="minorHAnsi"/>
          <w:color w:val="77328A"/>
          <w:sz w:val="16"/>
          <w:szCs w:val="16"/>
        </w:rPr>
        <w:t>)</w:t>
      </w:r>
      <w:r w:rsidR="000217AC" w:rsidRPr="00F57D0E">
        <w:rPr>
          <w:rFonts w:cstheme="minorHAnsi"/>
          <w:color w:val="77328A"/>
          <w:sz w:val="16"/>
          <w:szCs w:val="16"/>
        </w:rPr>
        <w:t xml:space="preserve">. The NI Court of Appeal </w:t>
      </w:r>
      <w:r w:rsidR="00CE0CEC" w:rsidRPr="00F57D0E">
        <w:rPr>
          <w:rFonts w:cstheme="minorHAnsi"/>
          <w:color w:val="77328A"/>
          <w:sz w:val="16"/>
          <w:szCs w:val="16"/>
        </w:rPr>
        <w:t xml:space="preserve">has </w:t>
      </w:r>
      <w:r w:rsidR="000217AC" w:rsidRPr="00F57D0E">
        <w:rPr>
          <w:rFonts w:cstheme="minorHAnsi"/>
          <w:color w:val="77328A"/>
          <w:sz w:val="16"/>
          <w:szCs w:val="16"/>
        </w:rPr>
        <w:t xml:space="preserve">adopted a </w:t>
      </w:r>
      <w:r w:rsidR="00CE0CEC" w:rsidRPr="00F57D0E">
        <w:rPr>
          <w:rFonts w:cstheme="minorHAnsi"/>
          <w:color w:val="77328A"/>
          <w:sz w:val="16"/>
          <w:szCs w:val="16"/>
        </w:rPr>
        <w:t>consistent</w:t>
      </w:r>
      <w:r w:rsidR="000217AC" w:rsidRPr="00F57D0E">
        <w:rPr>
          <w:rFonts w:cstheme="minorHAnsi"/>
          <w:color w:val="77328A"/>
          <w:sz w:val="16"/>
          <w:szCs w:val="16"/>
        </w:rPr>
        <w:t xml:space="preserve"> approach </w:t>
      </w:r>
      <w:r w:rsidR="00CE0CEC" w:rsidRPr="00F57D0E">
        <w:rPr>
          <w:rFonts w:cstheme="minorHAnsi"/>
          <w:color w:val="77328A"/>
          <w:sz w:val="16"/>
          <w:szCs w:val="16"/>
        </w:rPr>
        <w:t xml:space="preserve">that </w:t>
      </w:r>
      <w:r w:rsidR="00CE0CEC" w:rsidRPr="00F57D0E">
        <w:rPr>
          <w:color w:val="77328A"/>
          <w:sz w:val="16"/>
          <w:szCs w:val="16"/>
        </w:rPr>
        <w:t>disapplication of the offending provisions was the “correct remedy” for a breach of Windsor Framework Article 2 (</w:t>
      </w:r>
      <w:r w:rsidR="00CE0CEC" w:rsidRPr="00F57D0E">
        <w:rPr>
          <w:rFonts w:cstheme="minorHAnsi"/>
          <w:i/>
          <w:iCs/>
          <w:color w:val="77328A"/>
          <w:sz w:val="16"/>
          <w:szCs w:val="16"/>
        </w:rPr>
        <w:t xml:space="preserve">Martina Dillon and Others v Secretary of State for NI </w:t>
      </w:r>
      <w:r w:rsidR="00CE0CEC" w:rsidRPr="00F57D0E">
        <w:rPr>
          <w:rFonts w:cstheme="minorHAnsi"/>
          <w:color w:val="77328A"/>
          <w:sz w:val="16"/>
          <w:szCs w:val="16"/>
        </w:rPr>
        <w:t>[2024] NICA 59, at paras 117, 120 and 126)</w:t>
      </w:r>
      <w:r w:rsidR="00CE0CEC" w:rsidRPr="00F57D0E">
        <w:rPr>
          <w:color w:val="77328A"/>
          <w:sz w:val="16"/>
          <w:szCs w:val="16"/>
        </w:rPr>
        <w:t>.</w:t>
      </w:r>
    </w:p>
  </w:footnote>
  <w:footnote w:id="34">
    <w:p w14:paraId="6B6A2CE4" w14:textId="77777777" w:rsidR="003643C2" w:rsidRPr="00F57D0E" w:rsidRDefault="003643C2" w:rsidP="00F57D0E">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Article 14, Windsor Framework, Article 165, UK-EU Withdrawal Agreement and section 78</w:t>
      </w:r>
      <w:proofErr w:type="gramStart"/>
      <w:r w:rsidRPr="00F57D0E">
        <w:rPr>
          <w:color w:val="77328A"/>
          <w:sz w:val="16"/>
          <w:szCs w:val="16"/>
        </w:rPr>
        <w:t>A(</w:t>
      </w:r>
      <w:proofErr w:type="gramEnd"/>
      <w:r w:rsidRPr="00F57D0E">
        <w:rPr>
          <w:color w:val="77328A"/>
          <w:sz w:val="16"/>
          <w:szCs w:val="16"/>
        </w:rPr>
        <w:t xml:space="preserve">9) NI Act 1998. </w:t>
      </w:r>
    </w:p>
  </w:footnote>
  <w:footnote w:id="35">
    <w:p w14:paraId="63492947" w14:textId="77777777" w:rsidR="003643C2" w:rsidRPr="00F57D0E" w:rsidRDefault="003643C2" w:rsidP="00F57D0E">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Articles 164 and 166, UK-EU Withdrawal Agreement.  </w:t>
      </w:r>
    </w:p>
  </w:footnote>
  <w:footnote w:id="36">
    <w:p w14:paraId="28331DD2" w14:textId="77777777" w:rsidR="005E6436" w:rsidRPr="00F57D0E" w:rsidRDefault="005E6436" w:rsidP="00F57D0E">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Article 174, UK-EU Withdrawal Agreement.</w:t>
      </w:r>
    </w:p>
  </w:footnote>
  <w:footnote w:id="37">
    <w:p w14:paraId="4C0BD4E9" w14:textId="78402DE0" w:rsidR="005E6436" w:rsidRPr="00F57D0E" w:rsidRDefault="005E6436" w:rsidP="00F57D0E">
      <w:pPr>
        <w:pStyle w:val="NIHRCFootnotes"/>
      </w:pPr>
      <w:r w:rsidRPr="00F57D0E">
        <w:rPr>
          <w:rStyle w:val="FootnoteReference"/>
        </w:rPr>
        <w:footnoteRef/>
      </w:r>
      <w:r w:rsidRPr="00F57D0E">
        <w:t xml:space="preserve"> Anurag Deb, Eleni </w:t>
      </w:r>
      <w:proofErr w:type="spellStart"/>
      <w:r w:rsidRPr="00F57D0E">
        <w:t>Frantziou</w:t>
      </w:r>
      <w:proofErr w:type="spellEnd"/>
      <w:r w:rsidRPr="00F57D0E">
        <w:t xml:space="preserve">, Sylvia de Mars, Colin Murray and Aoife O’Donoghue, ‘Windsor Framework Article 2: Enforcement and Remedies’ (NIHRC, 2025), </w:t>
      </w:r>
      <w:r w:rsidR="00764E59">
        <w:t>at</w:t>
      </w:r>
      <w:r w:rsidRPr="00F57D0E">
        <w:t xml:space="preserve"> Chapter 5. </w:t>
      </w:r>
    </w:p>
  </w:footnote>
  <w:footnote w:id="38">
    <w:p w14:paraId="38FCBB70" w14:textId="5314B318" w:rsidR="002B7756" w:rsidRPr="002B7756" w:rsidRDefault="002B7756" w:rsidP="002B7756">
      <w:pPr>
        <w:pStyle w:val="FootnoteText"/>
        <w:spacing w:line="240" w:lineRule="auto"/>
        <w:rPr>
          <w:sz w:val="16"/>
          <w:szCs w:val="16"/>
        </w:rPr>
      </w:pPr>
      <w:r w:rsidRPr="00D04378">
        <w:rPr>
          <w:rStyle w:val="FootnoteReference"/>
          <w:color w:val="77328A"/>
          <w:sz w:val="16"/>
          <w:szCs w:val="16"/>
        </w:rPr>
        <w:footnoteRef/>
      </w:r>
      <w:r w:rsidRPr="00D04378">
        <w:rPr>
          <w:color w:val="77328A"/>
          <w:sz w:val="16"/>
          <w:szCs w:val="16"/>
        </w:rPr>
        <w:t xml:space="preserve"> Section 26(2), NI Act 1998. </w:t>
      </w:r>
    </w:p>
  </w:footnote>
  <w:footnote w:id="39">
    <w:p w14:paraId="317C1A4E" w14:textId="6071E7B3" w:rsidR="00C333BC" w:rsidRPr="00F57D0E" w:rsidRDefault="00C333BC" w:rsidP="00C333BC">
      <w:pPr>
        <w:pStyle w:val="NIHRCFootnotes"/>
        <w:rPr>
          <w:rFonts w:cstheme="minorHAnsi"/>
        </w:rPr>
      </w:pPr>
      <w:r w:rsidRPr="00F57D0E">
        <w:rPr>
          <w:rStyle w:val="FootnoteReference"/>
          <w:rFonts w:cstheme="minorHAnsi"/>
        </w:rPr>
        <w:footnoteRef/>
      </w:r>
      <w:r w:rsidRPr="00F57D0E">
        <w:rPr>
          <w:rFonts w:cstheme="minorHAnsi"/>
        </w:rPr>
        <w:t xml:space="preserve"> </w:t>
      </w:r>
      <w:r>
        <w:rPr>
          <w:rFonts w:cstheme="minorHAnsi"/>
        </w:rPr>
        <w:t xml:space="preserve">See Article 3, </w:t>
      </w:r>
      <w:r w:rsidRPr="00F57D0E">
        <w:rPr>
          <w:rFonts w:cstheme="minorHAnsi"/>
        </w:rPr>
        <w:t>Directive 2023/970/EU, ‘EU Parliament and Council Directive to Strengthen the Application of the Principle of Equal Pay for Equal Work or Work of Equal Value between Men and Women through Pay Transparency and Enforcement Mechanisms’, 10 May 2023</w:t>
      </w:r>
      <w:r>
        <w:rPr>
          <w:rFonts w:cstheme="minorHAnsi"/>
        </w:rPr>
        <w:t xml:space="preserve">; </w:t>
      </w:r>
      <w:r w:rsidRPr="00F57D0E">
        <w:rPr>
          <w:rFonts w:cstheme="minorHAnsi"/>
        </w:rPr>
        <w:t xml:space="preserve">Equality Commission for NI and </w:t>
      </w:r>
      <w:r w:rsidR="0060062C">
        <w:rPr>
          <w:rFonts w:cstheme="minorHAnsi"/>
        </w:rPr>
        <w:t>Northe</w:t>
      </w:r>
      <w:r w:rsidR="004D2D02">
        <w:rPr>
          <w:rFonts w:cstheme="minorHAnsi"/>
        </w:rPr>
        <w:t>r</w:t>
      </w:r>
      <w:r w:rsidR="0060062C">
        <w:rPr>
          <w:rFonts w:cstheme="minorHAnsi"/>
        </w:rPr>
        <w:t xml:space="preserve">n Ireland </w:t>
      </w:r>
      <w:r w:rsidRPr="00F57D0E">
        <w:rPr>
          <w:rFonts w:cstheme="minorHAnsi"/>
        </w:rPr>
        <w:t>Human Rights Commission, ‘Briefing Paper: The EU Pay Transparency Directive: The UK Government’s Dynamic Alignment Obligations Relating to Windsor Framework Article 2’ (ECNI and NIHRC, 2024).</w:t>
      </w:r>
    </w:p>
  </w:footnote>
  <w:footnote w:id="40">
    <w:p w14:paraId="04507598" w14:textId="2ACB9186" w:rsidR="008057B0" w:rsidRPr="00F57D0E" w:rsidRDefault="008057B0" w:rsidP="00F57D0E">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See for example the discussion </w:t>
      </w:r>
      <w:r w:rsidR="009D2964" w:rsidRPr="00F57D0E">
        <w:rPr>
          <w:color w:val="77328A"/>
          <w:sz w:val="16"/>
          <w:szCs w:val="16"/>
        </w:rPr>
        <w:t xml:space="preserve">in </w:t>
      </w:r>
      <w:r w:rsidR="009D2964" w:rsidRPr="00F57D0E">
        <w:rPr>
          <w:i/>
          <w:iCs/>
          <w:color w:val="77328A"/>
          <w:sz w:val="16"/>
          <w:szCs w:val="16"/>
        </w:rPr>
        <w:t>Re Allister</w:t>
      </w:r>
      <w:r w:rsidR="009D2964" w:rsidRPr="00F57D0E">
        <w:rPr>
          <w:color w:val="77328A"/>
          <w:sz w:val="16"/>
          <w:szCs w:val="16"/>
        </w:rPr>
        <w:t xml:space="preserve"> [2023] UKSC 5, at paras 64-69. </w:t>
      </w:r>
    </w:p>
  </w:footnote>
  <w:footnote w:id="41">
    <w:p w14:paraId="6C896AD3" w14:textId="77777777" w:rsidR="00837CA3" w:rsidRPr="00F57D0E" w:rsidRDefault="00837CA3" w:rsidP="00F57D0E">
      <w:pPr>
        <w:pStyle w:val="NIHRCFootnotes"/>
        <w:rPr>
          <w:rFonts w:cstheme="minorHAnsi"/>
        </w:rPr>
      </w:pPr>
      <w:r w:rsidRPr="00F57D0E">
        <w:rPr>
          <w:rStyle w:val="FootnoteReference"/>
          <w:rFonts w:cstheme="minorHAnsi"/>
        </w:rPr>
        <w:footnoteRef/>
      </w:r>
      <w:r w:rsidRPr="00F57D0E">
        <w:rPr>
          <w:rFonts w:cstheme="minorHAnsi"/>
        </w:rPr>
        <w:t xml:space="preserve"> Directive 2023/970/EU, ‘EU Parliament and Council Directive to Strengthen the Application of the Principle of Equal Pay for Equal Work or Work of Equal Value between Men and Women through Pay Transparency and Enforcement Mechanisms’, 10 May 2023.</w:t>
      </w:r>
    </w:p>
  </w:footnote>
  <w:footnote w:id="42">
    <w:p w14:paraId="3BD24C0B" w14:textId="77777777" w:rsidR="008F1C5C" w:rsidRPr="00D216C9" w:rsidRDefault="008F1C5C" w:rsidP="008F1C5C">
      <w:pPr>
        <w:pStyle w:val="NIHRCFootnotes"/>
        <w:rPr>
          <w:rFonts w:cstheme="minorHAnsi"/>
        </w:rPr>
      </w:pPr>
      <w:r w:rsidRPr="00F57D0E">
        <w:rPr>
          <w:rStyle w:val="FootnoteReference"/>
          <w:rFonts w:cstheme="minorHAnsi"/>
        </w:rPr>
        <w:footnoteRef/>
      </w:r>
      <w:r w:rsidRPr="00F57D0E">
        <w:rPr>
          <w:rFonts w:cstheme="minorHAnsi"/>
        </w:rPr>
        <w:t xml:space="preserve"> </w:t>
      </w:r>
      <w:r w:rsidRPr="00F57D0E">
        <w:rPr>
          <w:rFonts w:cstheme="minorHAnsi"/>
          <w:shd w:val="clear" w:color="auto" w:fill="FFFFFF"/>
        </w:rPr>
        <w:t>Directive 2006/54/EC, ‘EU Parliament and Council Directive on the Implementation of the Principle of Equal Opportunities and Equal Treatment of Men and Women in Matters of Employment and Occupation (Recast)’, 5 </w:t>
      </w:r>
      <w:r w:rsidRPr="00D216C9">
        <w:rPr>
          <w:rFonts w:cstheme="minorHAnsi"/>
          <w:shd w:val="clear" w:color="auto" w:fill="FFFFFF"/>
        </w:rPr>
        <w:t>July 2006.</w:t>
      </w:r>
    </w:p>
  </w:footnote>
  <w:footnote w:id="43">
    <w:p w14:paraId="4C028BDE" w14:textId="642ACCE5" w:rsidR="00C333BC" w:rsidRPr="00F57D0E" w:rsidRDefault="00C333BC" w:rsidP="00C333BC">
      <w:pPr>
        <w:pStyle w:val="NIHRCFootnotes"/>
        <w:rPr>
          <w:rFonts w:cstheme="minorHAnsi"/>
        </w:rPr>
      </w:pPr>
      <w:r w:rsidRPr="00F57D0E">
        <w:rPr>
          <w:rStyle w:val="FootnoteReference"/>
          <w:rFonts w:cstheme="minorHAnsi"/>
        </w:rPr>
        <w:footnoteRef/>
      </w:r>
      <w:r w:rsidRPr="00F57D0E">
        <w:rPr>
          <w:rFonts w:cstheme="minorHAnsi"/>
        </w:rPr>
        <w:t xml:space="preserve"> </w:t>
      </w:r>
      <w:r w:rsidR="00D37B29">
        <w:rPr>
          <w:rFonts w:cstheme="minorHAnsi"/>
        </w:rPr>
        <w:t xml:space="preserve">Article 34, </w:t>
      </w:r>
      <w:r w:rsidRPr="00F57D0E">
        <w:rPr>
          <w:rFonts w:cstheme="minorHAnsi"/>
        </w:rPr>
        <w:t>Directive 2023/970/EU, ‘EU Parliament and Council Directive to Strengthen the Application of the Principle of Equal Pay for Equal Work or Work of Equal Value between Men and Women through Pay Transparency and Enforcement Mechanisms’, 10 May 2023.</w:t>
      </w:r>
    </w:p>
  </w:footnote>
  <w:footnote w:id="44">
    <w:p w14:paraId="5A09985E" w14:textId="0182BD63" w:rsidR="00D216C9" w:rsidRDefault="00D216C9" w:rsidP="00D216C9">
      <w:pPr>
        <w:pStyle w:val="FootnoteText"/>
        <w:spacing w:line="240" w:lineRule="auto"/>
      </w:pPr>
      <w:r w:rsidRPr="00D216C9">
        <w:rPr>
          <w:rStyle w:val="FootnoteReference"/>
          <w:color w:val="77328A"/>
          <w:sz w:val="16"/>
          <w:szCs w:val="16"/>
        </w:rPr>
        <w:footnoteRef/>
      </w:r>
      <w:r w:rsidRPr="00D216C9">
        <w:rPr>
          <w:color w:val="77328A"/>
          <w:sz w:val="16"/>
          <w:szCs w:val="16"/>
        </w:rPr>
        <w:t xml:space="preserve"> </w:t>
      </w:r>
      <w:r w:rsidRPr="00D216C9">
        <w:rPr>
          <w:rFonts w:cstheme="minorHAnsi"/>
          <w:color w:val="77328A"/>
          <w:sz w:val="16"/>
          <w:szCs w:val="16"/>
        </w:rPr>
        <w:t>Article 157(3), Treaty on the Functioning of the EU empowers the EU Parliament and Council to “adopt measures to ensure the application of the principle of equal opportunities and equal treatment of men and women in matters of employment and occupation, including the principle of equal pay for equal work or work of equal value”.</w:t>
      </w:r>
    </w:p>
  </w:footnote>
  <w:footnote w:id="45">
    <w:p w14:paraId="4D3E15CF" w14:textId="7CAE26EA" w:rsidR="00B47281" w:rsidRPr="00F57D0E" w:rsidRDefault="00B47281" w:rsidP="00F57D0E">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w:t>
      </w:r>
      <w:r w:rsidRPr="00F57D0E">
        <w:rPr>
          <w:rFonts w:cstheme="minorHAnsi"/>
          <w:color w:val="77328A"/>
          <w:sz w:val="16"/>
          <w:szCs w:val="16"/>
        </w:rPr>
        <w:t xml:space="preserve">Equality Commission for NI and </w:t>
      </w:r>
      <w:r w:rsidR="003A443D">
        <w:rPr>
          <w:rFonts w:cstheme="minorHAnsi"/>
          <w:color w:val="77328A"/>
          <w:sz w:val="16"/>
          <w:szCs w:val="16"/>
        </w:rPr>
        <w:t xml:space="preserve">Northern Ireland </w:t>
      </w:r>
      <w:r w:rsidRPr="00F57D0E">
        <w:rPr>
          <w:rFonts w:cstheme="minorHAnsi"/>
          <w:color w:val="77328A"/>
          <w:sz w:val="16"/>
          <w:szCs w:val="16"/>
        </w:rPr>
        <w:t>Human Rights Commission, ‘Briefing Paper: The EU Pay Transparency Directive: The UK Government’s Dynamic Alignment Obligations Relating to Windsor Framework Article 2’ (ECNI and NIHRC, 2024).</w:t>
      </w:r>
    </w:p>
  </w:footnote>
  <w:footnote w:id="46">
    <w:p w14:paraId="2014015E" w14:textId="77777777" w:rsidR="00B2423B" w:rsidRPr="00F57D0E" w:rsidRDefault="00B2423B" w:rsidP="00B2423B">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EU Commission, ‘Explanatory Memorandum to COM (2021)93 - Proposal for a Directive to strengthen the application of the principle of equal pay for equal work between men and women through pay transparency and enforcement mechanisms - EU monitor’ (EU Comm, 2021). </w:t>
      </w:r>
    </w:p>
  </w:footnote>
  <w:footnote w:id="47">
    <w:p w14:paraId="3A852739" w14:textId="77777777" w:rsidR="00B2423B" w:rsidRPr="00F57D0E" w:rsidRDefault="00B2423B" w:rsidP="00B2423B">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Article 7(5), </w:t>
      </w:r>
      <w:r w:rsidRPr="00F57D0E">
        <w:rPr>
          <w:rFonts w:cstheme="minorHAnsi"/>
          <w:color w:val="77328A"/>
          <w:sz w:val="16"/>
          <w:szCs w:val="16"/>
        </w:rPr>
        <w:t xml:space="preserve">Directive 2023/970/EU, ‘EU Parliament and Council Directive to Strengthen the Application of the Principle of Equal Pay for Equal Work or Work of Equal Value between Men and Women through Pay Transparency and Enforcement Mechanisms’, 10 May 2023.  </w:t>
      </w:r>
    </w:p>
  </w:footnote>
  <w:footnote w:id="48">
    <w:p w14:paraId="213E98C4" w14:textId="77777777" w:rsidR="00B2423B" w:rsidRPr="00F57D0E" w:rsidRDefault="00B2423B" w:rsidP="00B2423B">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Article 21 and Recital 53, </w:t>
      </w:r>
      <w:r w:rsidRPr="00F57D0E">
        <w:rPr>
          <w:rFonts w:cstheme="minorHAnsi"/>
          <w:color w:val="77328A"/>
          <w:sz w:val="16"/>
          <w:szCs w:val="16"/>
        </w:rPr>
        <w:t xml:space="preserve">Directive 2023/970/EU, ‘EU Parliament and Council Directive to Strengthen the Application of the Principle of Equal Pay for Equal Work or Work of Equal Value between Men and Women through Pay Transparency and Enforcement Mechanisms’, 10 May 2023.  </w:t>
      </w:r>
    </w:p>
  </w:footnote>
  <w:footnote w:id="49">
    <w:p w14:paraId="79774F9F" w14:textId="77777777" w:rsidR="00B2423B" w:rsidRPr="00F57D0E" w:rsidRDefault="00B2423B" w:rsidP="00B2423B">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w:t>
      </w:r>
      <w:r w:rsidRPr="00F57D0E">
        <w:rPr>
          <w:rFonts w:cs="MinionPro-Regular"/>
          <w:color w:val="77328A"/>
          <w:sz w:val="16"/>
          <w:szCs w:val="16"/>
        </w:rPr>
        <w:t>Article 16 and Recital 50</w:t>
      </w:r>
      <w:r w:rsidRPr="00F57D0E">
        <w:rPr>
          <w:color w:val="77328A"/>
          <w:sz w:val="16"/>
          <w:szCs w:val="16"/>
        </w:rPr>
        <w:t xml:space="preserve">, </w:t>
      </w:r>
      <w:r w:rsidRPr="00F57D0E">
        <w:rPr>
          <w:rFonts w:cstheme="minorHAnsi"/>
          <w:color w:val="77328A"/>
          <w:sz w:val="16"/>
          <w:szCs w:val="16"/>
        </w:rPr>
        <w:t xml:space="preserve">Directive 2023/970/EU, ‘EU Parliament and Council Directive to Strengthen the Application of the Principle of Equal Pay for Equal Work or Work of Equal Value between Men and Women through Pay Transparency and Enforcement Mechanisms’, 10 May 2023.  </w:t>
      </w:r>
    </w:p>
  </w:footnote>
  <w:footnote w:id="50">
    <w:p w14:paraId="71367E58" w14:textId="77777777" w:rsidR="00B2423B" w:rsidRPr="00F57D0E" w:rsidRDefault="00B2423B" w:rsidP="00B2423B">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w:t>
      </w:r>
      <w:r w:rsidRPr="00F57D0E">
        <w:rPr>
          <w:rFonts w:cs="MinionPro-Regular"/>
          <w:color w:val="77328A"/>
          <w:sz w:val="16"/>
          <w:szCs w:val="16"/>
        </w:rPr>
        <w:t>Article 19 and Recital 29</w:t>
      </w:r>
      <w:r w:rsidRPr="00F57D0E">
        <w:rPr>
          <w:color w:val="77328A"/>
          <w:sz w:val="16"/>
          <w:szCs w:val="16"/>
        </w:rPr>
        <w:t xml:space="preserve">, </w:t>
      </w:r>
      <w:r w:rsidRPr="00F57D0E">
        <w:rPr>
          <w:rFonts w:cstheme="minorHAnsi"/>
          <w:color w:val="77328A"/>
          <w:sz w:val="16"/>
          <w:szCs w:val="16"/>
        </w:rPr>
        <w:t xml:space="preserve">Directive 2023/970/EU, ‘EU Parliament and Council Directive to Strengthen the Application of the Principle of Equal Pay for Equal Work or Work of Equal Value between Men and Women through Pay Transparency and Enforcement Mechanisms’, 10 May 2023.  </w:t>
      </w:r>
    </w:p>
  </w:footnote>
  <w:footnote w:id="51">
    <w:p w14:paraId="3C15E1D6" w14:textId="58024972" w:rsidR="000B5162" w:rsidRPr="00F57D0E" w:rsidRDefault="000B5162" w:rsidP="000B5162">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w:t>
      </w:r>
      <w:r w:rsidRPr="00F57D0E">
        <w:rPr>
          <w:rFonts w:cstheme="minorHAnsi"/>
          <w:color w:val="77328A"/>
          <w:sz w:val="16"/>
          <w:szCs w:val="16"/>
        </w:rPr>
        <w:t xml:space="preserve">Equality Commission for NI and </w:t>
      </w:r>
      <w:r w:rsidR="003A443D">
        <w:rPr>
          <w:rFonts w:cstheme="minorHAnsi"/>
          <w:color w:val="77328A"/>
          <w:sz w:val="16"/>
          <w:szCs w:val="16"/>
        </w:rPr>
        <w:t xml:space="preserve">Northern Ireland </w:t>
      </w:r>
      <w:r w:rsidRPr="00F57D0E">
        <w:rPr>
          <w:rFonts w:cstheme="minorHAnsi"/>
          <w:color w:val="77328A"/>
          <w:sz w:val="16"/>
          <w:szCs w:val="16"/>
        </w:rPr>
        <w:t>Human Rights Commission, ‘Briefing Paper: The EU Pay Transparency Directive: The UK Government’s Dynamic Alignment Obligations Relating to Windsor Framework Article 2’ (ECNI and NIHRC, 2024).</w:t>
      </w:r>
    </w:p>
  </w:footnote>
  <w:footnote w:id="52">
    <w:p w14:paraId="1EB08226" w14:textId="1E776E9C" w:rsidR="00B2423B" w:rsidRPr="00F57D0E" w:rsidRDefault="00B2423B" w:rsidP="00B2423B">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w:t>
      </w:r>
      <w:r w:rsidRPr="00F57D0E">
        <w:rPr>
          <w:rFonts w:cstheme="minorHAnsi"/>
          <w:color w:val="77328A"/>
          <w:sz w:val="16"/>
          <w:szCs w:val="16"/>
        </w:rPr>
        <w:t xml:space="preserve">Equality Commission for NI and </w:t>
      </w:r>
      <w:r w:rsidR="003A443D">
        <w:rPr>
          <w:rFonts w:cstheme="minorHAnsi"/>
          <w:color w:val="77328A"/>
          <w:sz w:val="16"/>
          <w:szCs w:val="16"/>
        </w:rPr>
        <w:t>Northern Ireland</w:t>
      </w:r>
      <w:r w:rsidRPr="00F57D0E">
        <w:rPr>
          <w:rFonts w:cstheme="minorHAnsi"/>
          <w:color w:val="77328A"/>
          <w:sz w:val="16"/>
          <w:szCs w:val="16"/>
        </w:rPr>
        <w:t xml:space="preserve"> Human Rights Commission, ‘Briefing Paper: The EU Pay Transparency Directive: The UK Government’s Dynamic Alignment Obligations Relating to Windsor Framework Article 2’ (ECNI and NIHRC, 2024).</w:t>
      </w:r>
    </w:p>
  </w:footnote>
  <w:footnote w:id="53">
    <w:p w14:paraId="6E054E86" w14:textId="77777777" w:rsidR="002C1695" w:rsidRPr="00F57D0E" w:rsidRDefault="002C1695" w:rsidP="00F57D0E">
      <w:pPr>
        <w:pStyle w:val="NIHRCFootnotes"/>
      </w:pPr>
      <w:r w:rsidRPr="00F57D0E">
        <w:rPr>
          <w:rStyle w:val="FootnoteReference"/>
        </w:rPr>
        <w:footnoteRef/>
      </w:r>
      <w:r w:rsidRPr="00F57D0E">
        <w:t xml:space="preserve"> </w:t>
      </w:r>
      <w:r w:rsidRPr="00F57D0E">
        <w:rPr>
          <w:rFonts w:cstheme="minorHAnsi"/>
        </w:rPr>
        <w:t>Directive 2024/1499/EU, ‘EU Council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Directive (EU) 2024/1500, ‘EU Parliament and Council Directive on Standards for Equality Bodies in the Field of Equal Treatment and Equal Opportunities Between Women and Men in Matters of Employment and Occupation, and Amending Directives 2006/54/EC and 2010/41/EU’, 14 May 2024</w:t>
      </w:r>
      <w:r w:rsidRPr="00F57D0E">
        <w:t xml:space="preserve">. </w:t>
      </w:r>
    </w:p>
  </w:footnote>
  <w:footnote w:id="54">
    <w:p w14:paraId="2BC9BC8F" w14:textId="77777777" w:rsidR="00B47281" w:rsidRPr="00F57D0E" w:rsidRDefault="00B47281" w:rsidP="004F1284">
      <w:pPr>
        <w:pStyle w:val="NIHRCFootnotes"/>
      </w:pPr>
      <w:r w:rsidRPr="00F57D0E">
        <w:rPr>
          <w:rStyle w:val="FootnoteReference"/>
        </w:rPr>
        <w:footnoteRef/>
      </w:r>
      <w:r w:rsidRPr="00F57D0E">
        <w:t xml:space="preserve"> Letter from the Minister of State for NI, Steve Baker, to the Chair of the House of Lords Sub Committee on the Protocol on Ireland/NI, 18 September 2023.</w:t>
      </w:r>
    </w:p>
  </w:footnote>
  <w:footnote w:id="55">
    <w:p w14:paraId="0D00FCCE" w14:textId="4A512902" w:rsidR="00D37B29" w:rsidRPr="00F57D0E" w:rsidRDefault="00D37B29" w:rsidP="00D37B29">
      <w:pPr>
        <w:pStyle w:val="NIHRCFootnotes"/>
      </w:pPr>
      <w:r w:rsidRPr="00F57D0E">
        <w:rPr>
          <w:rStyle w:val="FootnoteReference"/>
        </w:rPr>
        <w:footnoteRef/>
      </w:r>
      <w:r w:rsidRPr="00F57D0E">
        <w:t xml:space="preserve"> </w:t>
      </w:r>
      <w:r w:rsidR="00A04152">
        <w:t xml:space="preserve">Article 24, </w:t>
      </w:r>
      <w:r w:rsidRPr="00F57D0E">
        <w:rPr>
          <w:rFonts w:cstheme="minorHAnsi"/>
        </w:rPr>
        <w:t xml:space="preserve">Directive 2024/1499/EU, ‘EU Council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w:t>
      </w:r>
      <w:r w:rsidR="00A04152">
        <w:rPr>
          <w:rFonts w:cstheme="minorHAnsi"/>
        </w:rPr>
        <w:t xml:space="preserve">Article 24, </w:t>
      </w:r>
      <w:r w:rsidRPr="00F57D0E">
        <w:rPr>
          <w:rFonts w:cstheme="minorHAnsi"/>
        </w:rPr>
        <w:t>Directive (EU) 2024/1500, ‘EU Parliament and Council Directive on Standards for Equality Bodies in the Field of Equal Treatment and Equal Opportunities Between Women and Men in Matters of Employment and Occupation, and Amending Directives 2006/54/EC and 2010/41/EU’, 14 May 2024</w:t>
      </w:r>
      <w:r w:rsidRPr="00F57D0E">
        <w:t xml:space="preserve">. </w:t>
      </w:r>
    </w:p>
  </w:footnote>
  <w:footnote w:id="56">
    <w:p w14:paraId="6E00C80C" w14:textId="358F9998" w:rsidR="0042251E" w:rsidRPr="00F57D0E" w:rsidRDefault="0042251E" w:rsidP="004F1284">
      <w:pPr>
        <w:pStyle w:val="FootnoteText"/>
        <w:spacing w:line="240" w:lineRule="auto"/>
        <w:rPr>
          <w:rFonts w:cstheme="minorHAnsi"/>
          <w:color w:val="77328A"/>
          <w:sz w:val="16"/>
          <w:szCs w:val="16"/>
        </w:rPr>
      </w:pPr>
      <w:r w:rsidRPr="00F57D0E">
        <w:rPr>
          <w:rStyle w:val="FootnoteReference"/>
          <w:rFonts w:cstheme="minorHAnsi"/>
          <w:color w:val="77328A"/>
          <w:sz w:val="16"/>
          <w:szCs w:val="16"/>
        </w:rPr>
        <w:footnoteRef/>
      </w:r>
      <w:r w:rsidRPr="00F57D0E">
        <w:rPr>
          <w:rFonts w:cstheme="minorHAnsi"/>
          <w:color w:val="77328A"/>
          <w:sz w:val="16"/>
          <w:szCs w:val="16"/>
        </w:rPr>
        <w:t xml:space="preserve"> </w:t>
      </w:r>
      <w:r>
        <w:rPr>
          <w:rFonts w:cstheme="minorHAnsi"/>
          <w:color w:val="77328A"/>
          <w:sz w:val="16"/>
          <w:szCs w:val="16"/>
        </w:rPr>
        <w:t xml:space="preserve">See </w:t>
      </w:r>
      <w:r w:rsidR="004F1284">
        <w:rPr>
          <w:rFonts w:cstheme="minorHAnsi"/>
          <w:color w:val="77328A"/>
          <w:sz w:val="16"/>
          <w:szCs w:val="16"/>
        </w:rPr>
        <w:t xml:space="preserve">Chapter 4 on Equality and Non-Discrimination - </w:t>
      </w:r>
      <w:r w:rsidR="004F1284" w:rsidRPr="004F1284">
        <w:rPr>
          <w:rFonts w:cstheme="minorHAnsi"/>
          <w:color w:val="77328A"/>
          <w:sz w:val="16"/>
          <w:szCs w:val="16"/>
        </w:rPr>
        <w:t>Consolidating, strengthening and clarifying equality protections</w:t>
      </w:r>
      <w:r w:rsidR="004F1284">
        <w:rPr>
          <w:rFonts w:cstheme="minorHAnsi"/>
          <w:color w:val="77328A"/>
          <w:sz w:val="16"/>
          <w:szCs w:val="16"/>
        </w:rPr>
        <w:t xml:space="preserve"> and Chapter 12 on </w:t>
      </w:r>
      <w:r w:rsidR="004F1284" w:rsidRPr="004F1284">
        <w:rPr>
          <w:rFonts w:cstheme="minorHAnsi"/>
          <w:color w:val="77328A"/>
          <w:sz w:val="16"/>
          <w:szCs w:val="16"/>
        </w:rPr>
        <w:t>Right to Work and to Just and Favourable Conditions of Work</w:t>
      </w:r>
      <w:r w:rsidR="004F1284">
        <w:rPr>
          <w:rFonts w:cstheme="minorHAnsi"/>
          <w:color w:val="77328A"/>
          <w:sz w:val="16"/>
          <w:szCs w:val="16"/>
        </w:rPr>
        <w:t xml:space="preserve"> – Gender Pay Gap in </w:t>
      </w:r>
      <w:r>
        <w:rPr>
          <w:rFonts w:cstheme="minorHAnsi"/>
          <w:color w:val="77328A"/>
          <w:sz w:val="16"/>
          <w:szCs w:val="16"/>
        </w:rPr>
        <w:t>Northern Ireland Human Rights Commission, ‘Annual Statement 2025: Human Rights in NI’ (NIHRC, 2025)</w:t>
      </w:r>
      <w:r w:rsidR="004F1284">
        <w:rPr>
          <w:rFonts w:cstheme="minorHAnsi"/>
          <w:color w:val="77328A"/>
          <w:sz w:val="16"/>
          <w:szCs w:val="16"/>
        </w:rPr>
        <w:t>.</w:t>
      </w:r>
    </w:p>
  </w:footnote>
  <w:footnote w:id="57">
    <w:p w14:paraId="4C7386C5" w14:textId="48F98F80" w:rsidR="0053266B" w:rsidRPr="00F57D0E" w:rsidRDefault="0053266B" w:rsidP="0053266B">
      <w:pPr>
        <w:pStyle w:val="FootnoteText"/>
        <w:spacing w:line="240" w:lineRule="auto"/>
        <w:rPr>
          <w:rFonts w:cstheme="minorHAnsi"/>
          <w:color w:val="77328A"/>
          <w:sz w:val="16"/>
          <w:szCs w:val="16"/>
        </w:rPr>
      </w:pPr>
      <w:r w:rsidRPr="00F57D0E">
        <w:rPr>
          <w:rStyle w:val="FootnoteReference"/>
          <w:rFonts w:cstheme="minorHAnsi"/>
          <w:color w:val="77328A"/>
          <w:sz w:val="16"/>
          <w:szCs w:val="16"/>
        </w:rPr>
        <w:footnoteRef/>
      </w:r>
      <w:r w:rsidRPr="00F57D0E">
        <w:rPr>
          <w:rFonts w:cstheme="minorHAnsi"/>
          <w:color w:val="77328A"/>
          <w:sz w:val="16"/>
          <w:szCs w:val="16"/>
        </w:rPr>
        <w:t xml:space="preserve"> </w:t>
      </w:r>
      <w:r>
        <w:rPr>
          <w:rFonts w:cstheme="minorHAnsi"/>
          <w:color w:val="77328A"/>
          <w:sz w:val="16"/>
          <w:szCs w:val="16"/>
        </w:rPr>
        <w:t>Article 15, Windsor Framework</w:t>
      </w:r>
      <w:r w:rsidRPr="00F57D0E">
        <w:rPr>
          <w:rFonts w:cstheme="minorHAnsi"/>
          <w:color w:val="77328A"/>
          <w:sz w:val="16"/>
          <w:szCs w:val="16"/>
        </w:rPr>
        <w:t>.</w:t>
      </w:r>
    </w:p>
  </w:footnote>
  <w:footnote w:id="58">
    <w:p w14:paraId="782CDD7A" w14:textId="77777777" w:rsidR="0017605C" w:rsidRPr="00F57D0E" w:rsidRDefault="0017605C" w:rsidP="0017605C">
      <w:pPr>
        <w:pStyle w:val="FootnoteText"/>
        <w:spacing w:line="240" w:lineRule="auto"/>
        <w:rPr>
          <w:rFonts w:cstheme="minorHAnsi"/>
          <w:color w:val="77328A"/>
          <w:sz w:val="16"/>
          <w:szCs w:val="16"/>
        </w:rPr>
      </w:pPr>
      <w:r w:rsidRPr="00F57D0E">
        <w:rPr>
          <w:rStyle w:val="FootnoteReference"/>
          <w:rFonts w:cstheme="minorHAnsi"/>
          <w:color w:val="77328A"/>
          <w:sz w:val="16"/>
          <w:szCs w:val="16"/>
        </w:rPr>
        <w:footnoteRef/>
      </w:r>
      <w:r w:rsidRPr="00F57D0E">
        <w:rPr>
          <w:rFonts w:cstheme="minorHAnsi"/>
          <w:color w:val="77328A"/>
          <w:sz w:val="16"/>
          <w:szCs w:val="16"/>
        </w:rPr>
        <w:t xml:space="preserve"> </w:t>
      </w:r>
      <w:r>
        <w:rPr>
          <w:rFonts w:cstheme="minorHAnsi"/>
          <w:color w:val="77328A"/>
          <w:sz w:val="16"/>
          <w:szCs w:val="16"/>
        </w:rPr>
        <w:t>Article 6(1), Treaty on European Union</w:t>
      </w:r>
      <w:r w:rsidRPr="00F57D0E">
        <w:rPr>
          <w:rFonts w:cstheme="minorHAnsi"/>
          <w:color w:val="77328A"/>
          <w:sz w:val="16"/>
          <w:szCs w:val="16"/>
        </w:rPr>
        <w:t>.</w:t>
      </w:r>
    </w:p>
  </w:footnote>
  <w:footnote w:id="59">
    <w:p w14:paraId="746FB8BE" w14:textId="77777777" w:rsidR="003623DE" w:rsidRPr="00F57D0E" w:rsidRDefault="003623DE" w:rsidP="00F57D0E">
      <w:pPr>
        <w:pStyle w:val="FootnoteText"/>
        <w:spacing w:line="240" w:lineRule="auto"/>
        <w:rPr>
          <w:rFonts w:cstheme="minorHAnsi"/>
          <w:color w:val="77328A"/>
          <w:sz w:val="16"/>
          <w:szCs w:val="16"/>
        </w:rPr>
      </w:pPr>
      <w:r w:rsidRPr="00F57D0E">
        <w:rPr>
          <w:rStyle w:val="FootnoteReference"/>
          <w:rFonts w:cstheme="minorHAnsi"/>
          <w:color w:val="77328A"/>
          <w:sz w:val="16"/>
          <w:szCs w:val="16"/>
        </w:rPr>
        <w:footnoteRef/>
      </w:r>
      <w:r w:rsidRPr="00F57D0E">
        <w:rPr>
          <w:rFonts w:cstheme="minorHAnsi"/>
          <w:color w:val="77328A"/>
          <w:sz w:val="16"/>
          <w:szCs w:val="16"/>
        </w:rPr>
        <w:t xml:space="preserve"> See table of EU law in Appendix to NI Human Rights Commission and Equality Commission for NI, ‘</w:t>
      </w:r>
      <w:hyperlink r:id="rId2" w:history="1">
        <w:r w:rsidRPr="00F57D0E">
          <w:rPr>
            <w:rFonts w:cstheme="minorHAnsi"/>
            <w:color w:val="77328A"/>
            <w:sz w:val="16"/>
            <w:szCs w:val="16"/>
          </w:rPr>
          <w:t>Working Paper: The Scope of Article 2(1) of the Ireland/ Northern Ireland Protocol</w:t>
        </w:r>
      </w:hyperlink>
      <w:r w:rsidRPr="00F57D0E">
        <w:rPr>
          <w:rFonts w:cstheme="minorHAnsi"/>
          <w:color w:val="77328A"/>
          <w:sz w:val="16"/>
          <w:szCs w:val="16"/>
        </w:rPr>
        <w:t>’ (NIHRC and ECNI, 2022).</w:t>
      </w:r>
    </w:p>
  </w:footnote>
  <w:footnote w:id="60">
    <w:p w14:paraId="4BEBDB03" w14:textId="77777777" w:rsidR="003623DE" w:rsidRPr="00F57D0E" w:rsidRDefault="003623DE" w:rsidP="00F57D0E">
      <w:pPr>
        <w:pStyle w:val="FootnoteText"/>
        <w:spacing w:line="240" w:lineRule="auto"/>
        <w:rPr>
          <w:rFonts w:cstheme="minorHAnsi"/>
          <w:color w:val="77328A"/>
          <w:sz w:val="16"/>
          <w:szCs w:val="16"/>
        </w:rPr>
      </w:pPr>
      <w:r w:rsidRPr="00F57D0E">
        <w:rPr>
          <w:rStyle w:val="FootnoteReference"/>
          <w:rFonts w:cstheme="minorHAnsi"/>
          <w:color w:val="77328A"/>
          <w:sz w:val="16"/>
          <w:szCs w:val="16"/>
        </w:rPr>
        <w:footnoteRef/>
      </w:r>
      <w:r w:rsidRPr="00F57D0E">
        <w:rPr>
          <w:rFonts w:cstheme="minorHAnsi"/>
          <w:color w:val="77328A"/>
          <w:sz w:val="16"/>
          <w:szCs w:val="16"/>
        </w:rPr>
        <w:t xml:space="preserve"> Directive 2006/42/EC, ‘EU Parliament and Council Directive on machinery, and amending Directive 95/16/EC (recast)’, 17 May 2006.</w:t>
      </w:r>
    </w:p>
  </w:footnote>
  <w:footnote w:id="61">
    <w:p w14:paraId="17795E24" w14:textId="0ED09A1B" w:rsidR="00C26FF6" w:rsidRPr="009B6DAB" w:rsidRDefault="00C26FF6" w:rsidP="009B6DAB">
      <w:pPr>
        <w:pStyle w:val="FootnoteText"/>
        <w:spacing w:line="240" w:lineRule="auto"/>
        <w:rPr>
          <w:rFonts w:cstheme="minorHAnsi"/>
          <w:color w:val="77328A"/>
          <w:sz w:val="16"/>
          <w:szCs w:val="16"/>
        </w:rPr>
      </w:pPr>
      <w:r w:rsidRPr="00F57D0E">
        <w:rPr>
          <w:rStyle w:val="FootnoteReference"/>
          <w:rFonts w:cstheme="minorHAnsi"/>
          <w:color w:val="77328A"/>
          <w:sz w:val="16"/>
          <w:szCs w:val="16"/>
        </w:rPr>
        <w:footnoteRef/>
      </w:r>
      <w:r w:rsidRPr="00F57D0E">
        <w:rPr>
          <w:rFonts w:cstheme="minorHAnsi"/>
          <w:color w:val="77328A"/>
          <w:sz w:val="16"/>
          <w:szCs w:val="16"/>
        </w:rPr>
        <w:t xml:space="preserve"> Equality Commission for NI and </w:t>
      </w:r>
      <w:r w:rsidR="00A4250C">
        <w:rPr>
          <w:rFonts w:cstheme="minorHAnsi"/>
          <w:color w:val="77328A"/>
          <w:sz w:val="16"/>
          <w:szCs w:val="16"/>
        </w:rPr>
        <w:t>Northern Ireland</w:t>
      </w:r>
      <w:r w:rsidRPr="00F57D0E">
        <w:rPr>
          <w:rFonts w:cstheme="minorHAnsi"/>
          <w:color w:val="77328A"/>
          <w:sz w:val="16"/>
          <w:szCs w:val="16"/>
        </w:rPr>
        <w:t xml:space="preserve"> Human Rights Commission, ‘Submission of the NIHRC and ECNI to the House of Lords Sub-Committee on the Protocol’s call for evidence for its inquiry on the Windsor Framework’ </w:t>
      </w:r>
      <w:r w:rsidRPr="009B6DAB">
        <w:rPr>
          <w:rFonts w:cstheme="minorHAnsi"/>
          <w:color w:val="77328A"/>
          <w:sz w:val="16"/>
          <w:szCs w:val="16"/>
        </w:rPr>
        <w:t xml:space="preserve">(ECNI and NIHRC, 2023). </w:t>
      </w:r>
    </w:p>
  </w:footnote>
  <w:footnote w:id="62">
    <w:p w14:paraId="7191AA20" w14:textId="44A552D5" w:rsidR="00654473" w:rsidRPr="009B6DAB" w:rsidRDefault="00654473" w:rsidP="009B6DAB">
      <w:pPr>
        <w:pStyle w:val="Footnote"/>
      </w:pPr>
      <w:r w:rsidRPr="009B6DAB">
        <w:rPr>
          <w:rStyle w:val="FootnoteReference"/>
        </w:rPr>
        <w:footnoteRef/>
      </w:r>
      <w:r w:rsidRPr="009B6DAB">
        <w:t xml:space="preserve"> This mechanism would be triggered by the UK Government under a process outlined in Windsor Framework Article 13(3)(a)</w:t>
      </w:r>
      <w:r w:rsidR="00E826C6" w:rsidRPr="009B6DAB">
        <w:t xml:space="preserve"> and pursuant to the Windsor Framework (Democratic Scrutiny) Regulations 2024.</w:t>
      </w:r>
    </w:p>
  </w:footnote>
  <w:footnote w:id="63">
    <w:p w14:paraId="198D1F0E" w14:textId="424E54C6" w:rsidR="009B6DAB" w:rsidRPr="009B6DAB" w:rsidRDefault="009B6DAB" w:rsidP="009B6DAB">
      <w:pPr>
        <w:pStyle w:val="FootnoteText"/>
        <w:spacing w:line="240" w:lineRule="auto"/>
        <w:rPr>
          <w:color w:val="77328A"/>
          <w:sz w:val="16"/>
          <w:szCs w:val="16"/>
        </w:rPr>
      </w:pPr>
      <w:r w:rsidRPr="009B6DAB">
        <w:rPr>
          <w:rStyle w:val="FootnoteReference"/>
          <w:color w:val="77328A"/>
          <w:sz w:val="16"/>
          <w:szCs w:val="16"/>
        </w:rPr>
        <w:footnoteRef/>
      </w:r>
      <w:r w:rsidRPr="009B6DAB">
        <w:rPr>
          <w:color w:val="77328A"/>
          <w:sz w:val="16"/>
          <w:szCs w:val="16"/>
        </w:rPr>
        <w:t xml:space="preserve"> See, for example, Letter from the Secretary of State for NI, Hilary Benn MP to the Speaker of the NI Assembly, Edwin Poots MLA, 20 January 2025.  </w:t>
      </w:r>
    </w:p>
  </w:footnote>
  <w:footnote w:id="64">
    <w:p w14:paraId="323DDDE1" w14:textId="1EFC68D2" w:rsidR="003623DE" w:rsidRPr="00F57D0E" w:rsidRDefault="003623DE" w:rsidP="00F57D0E">
      <w:pPr>
        <w:pStyle w:val="FootnoteText"/>
        <w:spacing w:line="240" w:lineRule="auto"/>
        <w:rPr>
          <w:rFonts w:cstheme="minorHAnsi"/>
          <w:color w:val="77328A"/>
          <w:sz w:val="16"/>
          <w:szCs w:val="16"/>
        </w:rPr>
      </w:pPr>
      <w:r w:rsidRPr="00F57D0E">
        <w:rPr>
          <w:rStyle w:val="FootnoteReference"/>
          <w:rFonts w:cstheme="minorHAnsi"/>
          <w:color w:val="77328A"/>
          <w:sz w:val="16"/>
          <w:szCs w:val="16"/>
        </w:rPr>
        <w:footnoteRef/>
      </w:r>
      <w:r w:rsidRPr="00F57D0E">
        <w:rPr>
          <w:rFonts w:cstheme="minorHAnsi"/>
          <w:color w:val="77328A"/>
          <w:sz w:val="16"/>
          <w:szCs w:val="16"/>
        </w:rPr>
        <w:t xml:space="preserve"> Equality Commission for NI and </w:t>
      </w:r>
      <w:r w:rsidR="00A4250C">
        <w:rPr>
          <w:rFonts w:cstheme="minorHAnsi"/>
          <w:color w:val="77328A"/>
          <w:sz w:val="16"/>
          <w:szCs w:val="16"/>
        </w:rPr>
        <w:t xml:space="preserve">Northern Ireland </w:t>
      </w:r>
      <w:r w:rsidRPr="00F57D0E">
        <w:rPr>
          <w:rFonts w:cstheme="minorHAnsi"/>
          <w:color w:val="77328A"/>
          <w:sz w:val="16"/>
          <w:szCs w:val="16"/>
        </w:rPr>
        <w:t xml:space="preserve">Human Rights Commission, ‘Submission of the NIHRC and ECNI to the House of Lords Sub-Committee on the Protocol’s call for evidence for its inquiry on the Windsor Framework’ (ECNI and NIHRC, 2023). </w:t>
      </w:r>
    </w:p>
  </w:footnote>
  <w:footnote w:id="65">
    <w:p w14:paraId="2F27128F" w14:textId="6F9C91ED" w:rsidR="007B3446" w:rsidRPr="00F57D0E" w:rsidRDefault="007B3446" w:rsidP="00F57D0E">
      <w:pPr>
        <w:pStyle w:val="FootnoteText"/>
        <w:spacing w:line="240" w:lineRule="auto"/>
        <w:rPr>
          <w:rFonts w:cs="Calibri"/>
          <w:color w:val="77328A"/>
          <w:sz w:val="16"/>
          <w:szCs w:val="16"/>
        </w:rPr>
      </w:pPr>
      <w:r w:rsidRPr="00F57D0E">
        <w:rPr>
          <w:rStyle w:val="FootnoteReference"/>
          <w:rFonts w:cs="Calibri"/>
          <w:color w:val="77328A"/>
          <w:sz w:val="16"/>
          <w:szCs w:val="16"/>
        </w:rPr>
        <w:footnoteRef/>
      </w:r>
      <w:r w:rsidRPr="00F57D0E">
        <w:rPr>
          <w:rFonts w:cs="Calibri"/>
          <w:color w:val="77328A"/>
          <w:sz w:val="16"/>
          <w:szCs w:val="16"/>
        </w:rPr>
        <w:t xml:space="preserve"> UK Government and EU Commission, ‘Windsor Political Declaration by the European Commission and the Government of the United Kingdom’, 27 February 2023. The UK Government also produced a Command paper setting out the UK Government’s understanding of what has been agreed. UK Government, ‘The Windsor Framework: a new way forward - CP806’ (UK Gov, 2023).</w:t>
      </w:r>
    </w:p>
  </w:footnote>
  <w:footnote w:id="66">
    <w:p w14:paraId="0F4E368B" w14:textId="10445763" w:rsidR="00AD77F8" w:rsidRPr="00F57D0E" w:rsidRDefault="00AD77F8" w:rsidP="00F57D0E">
      <w:pPr>
        <w:pStyle w:val="FootnoteText"/>
        <w:spacing w:line="240" w:lineRule="auto"/>
        <w:rPr>
          <w:rFonts w:cs="Calibri"/>
          <w:color w:val="77328A"/>
          <w:sz w:val="16"/>
          <w:szCs w:val="16"/>
        </w:rPr>
      </w:pPr>
      <w:r w:rsidRPr="00F57D0E">
        <w:rPr>
          <w:rStyle w:val="FootnoteReference"/>
          <w:rFonts w:cs="Calibri"/>
          <w:color w:val="77328A"/>
          <w:sz w:val="16"/>
          <w:szCs w:val="16"/>
        </w:rPr>
        <w:footnoteRef/>
      </w:r>
      <w:r w:rsidRPr="00F57D0E">
        <w:rPr>
          <w:rFonts w:cs="Calibri"/>
          <w:color w:val="77328A"/>
          <w:sz w:val="16"/>
          <w:szCs w:val="16"/>
        </w:rPr>
        <w:t xml:space="preserve"> Article 165, UK-EU</w:t>
      </w:r>
      <w:r w:rsidR="00C1672C" w:rsidRPr="00F57D0E">
        <w:rPr>
          <w:rFonts w:cs="Calibri"/>
          <w:color w:val="77328A"/>
          <w:sz w:val="16"/>
          <w:szCs w:val="16"/>
        </w:rPr>
        <w:t xml:space="preserve"> </w:t>
      </w:r>
      <w:r w:rsidRPr="00F57D0E">
        <w:rPr>
          <w:rFonts w:cs="Calibri"/>
          <w:color w:val="77328A"/>
          <w:sz w:val="16"/>
          <w:szCs w:val="16"/>
        </w:rPr>
        <w:t>Withdrawal Agreement.</w:t>
      </w:r>
    </w:p>
  </w:footnote>
  <w:footnote w:id="67">
    <w:p w14:paraId="468F18C9" w14:textId="77777777" w:rsidR="00AD77F8" w:rsidRPr="00F57D0E" w:rsidRDefault="00AD77F8" w:rsidP="00F57D0E">
      <w:pPr>
        <w:pStyle w:val="FootnoteText"/>
        <w:spacing w:line="240" w:lineRule="auto"/>
        <w:rPr>
          <w:rFonts w:cs="Calibri"/>
          <w:color w:val="77328A"/>
          <w:sz w:val="16"/>
          <w:szCs w:val="16"/>
        </w:rPr>
      </w:pPr>
      <w:r w:rsidRPr="00F57D0E">
        <w:rPr>
          <w:rStyle w:val="FootnoteReference"/>
          <w:rFonts w:cs="Calibri"/>
          <w:color w:val="77328A"/>
          <w:sz w:val="16"/>
          <w:szCs w:val="16"/>
        </w:rPr>
        <w:footnoteRef/>
      </w:r>
      <w:r w:rsidRPr="00F57D0E">
        <w:rPr>
          <w:rFonts w:cs="Calibri"/>
          <w:color w:val="77328A"/>
          <w:sz w:val="16"/>
          <w:szCs w:val="16"/>
        </w:rPr>
        <w:t xml:space="preserve"> Article 14, Windsor Framework.</w:t>
      </w:r>
    </w:p>
  </w:footnote>
  <w:footnote w:id="68">
    <w:p w14:paraId="7AB6A9E3" w14:textId="77777777" w:rsidR="00AD77F8" w:rsidRPr="00F57D0E" w:rsidRDefault="00AD77F8" w:rsidP="00F57D0E">
      <w:pPr>
        <w:pStyle w:val="FootnoteText"/>
        <w:spacing w:line="240" w:lineRule="auto"/>
        <w:rPr>
          <w:rFonts w:cs="Calibri"/>
          <w:color w:val="77328A"/>
          <w:sz w:val="16"/>
          <w:szCs w:val="16"/>
        </w:rPr>
      </w:pPr>
      <w:r w:rsidRPr="00F57D0E">
        <w:rPr>
          <w:rStyle w:val="FootnoteReference"/>
          <w:rFonts w:cs="Calibri"/>
          <w:color w:val="77328A"/>
          <w:sz w:val="16"/>
          <w:szCs w:val="16"/>
        </w:rPr>
        <w:footnoteRef/>
      </w:r>
      <w:r w:rsidRPr="00F57D0E">
        <w:rPr>
          <w:rFonts w:cs="Calibri"/>
          <w:color w:val="77328A"/>
          <w:sz w:val="16"/>
          <w:szCs w:val="16"/>
        </w:rPr>
        <w:t xml:space="preserve"> See Article 164, UK-EU Withdrawal Agreement; Article 13(4), Windsor Framework. </w:t>
      </w:r>
    </w:p>
  </w:footnote>
  <w:footnote w:id="69">
    <w:p w14:paraId="272AF482" w14:textId="77777777" w:rsidR="003B09C5" w:rsidRPr="00F57D0E" w:rsidRDefault="003B09C5" w:rsidP="00F57D0E">
      <w:pPr>
        <w:pStyle w:val="FootnoteText"/>
        <w:spacing w:line="240" w:lineRule="auto"/>
        <w:rPr>
          <w:rFonts w:cs="Calibri"/>
          <w:color w:val="77328A"/>
          <w:sz w:val="16"/>
          <w:szCs w:val="16"/>
        </w:rPr>
      </w:pPr>
      <w:r w:rsidRPr="00F57D0E">
        <w:rPr>
          <w:rStyle w:val="FootnoteReference"/>
          <w:rFonts w:cs="Calibri"/>
          <w:color w:val="77328A"/>
          <w:sz w:val="16"/>
          <w:szCs w:val="16"/>
        </w:rPr>
        <w:footnoteRef/>
      </w:r>
      <w:r w:rsidRPr="00F57D0E">
        <w:rPr>
          <w:rFonts w:cs="Calibri"/>
          <w:color w:val="77328A"/>
          <w:sz w:val="16"/>
          <w:szCs w:val="16"/>
        </w:rPr>
        <w:t xml:space="preserve"> Article 14, Windsor Framework.</w:t>
      </w:r>
    </w:p>
  </w:footnote>
  <w:footnote w:id="70">
    <w:p w14:paraId="7B54A150" w14:textId="1FD398AD" w:rsidR="006C4050" w:rsidRPr="00F57D0E" w:rsidRDefault="006C4050" w:rsidP="00F57D0E">
      <w:pPr>
        <w:pStyle w:val="FootnoteText"/>
        <w:spacing w:line="240" w:lineRule="auto"/>
        <w:rPr>
          <w:rFonts w:cs="Calibri"/>
          <w:color w:val="77328A"/>
          <w:sz w:val="16"/>
          <w:szCs w:val="16"/>
        </w:rPr>
      </w:pPr>
      <w:r w:rsidRPr="00F57D0E">
        <w:rPr>
          <w:rStyle w:val="FootnoteReference"/>
          <w:rFonts w:cs="Calibri"/>
          <w:color w:val="77328A"/>
          <w:sz w:val="16"/>
          <w:szCs w:val="16"/>
        </w:rPr>
        <w:footnoteRef/>
      </w:r>
      <w:r w:rsidRPr="00F57D0E">
        <w:rPr>
          <w:rFonts w:cs="Calibri"/>
          <w:color w:val="77328A"/>
          <w:sz w:val="16"/>
          <w:szCs w:val="16"/>
        </w:rPr>
        <w:t xml:space="preserve"> </w:t>
      </w:r>
      <w:r w:rsidR="00C1672C" w:rsidRPr="00F57D0E">
        <w:rPr>
          <w:rFonts w:cs="Calibri"/>
          <w:color w:val="77328A"/>
          <w:sz w:val="16"/>
          <w:szCs w:val="16"/>
        </w:rPr>
        <w:t>UK Government and EU Commission, ‘Press Release: Specialised Committee on the Implementation of the Windsor Framework - Joint Statement’, 3 December 2025</w:t>
      </w:r>
      <w:r w:rsidRPr="00F57D0E">
        <w:rPr>
          <w:rFonts w:cs="Calibri"/>
          <w:color w:val="77328A"/>
          <w:sz w:val="16"/>
          <w:szCs w:val="16"/>
        </w:rPr>
        <w:t xml:space="preserve">. </w:t>
      </w:r>
    </w:p>
  </w:footnote>
  <w:footnote w:id="71">
    <w:p w14:paraId="65C1D655" w14:textId="544E1076" w:rsidR="006C287D" w:rsidRPr="00F57D0E" w:rsidRDefault="006C287D" w:rsidP="00F57D0E">
      <w:pPr>
        <w:pStyle w:val="NIHRCFootnotes"/>
      </w:pPr>
      <w:r w:rsidRPr="00F57D0E">
        <w:rPr>
          <w:rStyle w:val="FootnoteReference"/>
        </w:rPr>
        <w:footnoteRef/>
      </w:r>
      <w:r w:rsidRPr="00F57D0E">
        <w:t xml:space="preserve"> See Katy Hayward, ‘Supplementary Written Evidence to the House of Lords NI Scrutiny Committee Inquiry on Strengthening NI’s Voice in the Context of the Windsor Framework’ (NISC, 2025)</w:t>
      </w:r>
      <w:r w:rsidR="00A4250C">
        <w:t>.</w:t>
      </w:r>
    </w:p>
  </w:footnote>
  <w:footnote w:id="72">
    <w:p w14:paraId="4BDCCC07" w14:textId="5B3D387C" w:rsidR="00C25857" w:rsidRDefault="00C25857" w:rsidP="00C25857">
      <w:pPr>
        <w:pStyle w:val="FootnoteText"/>
        <w:spacing w:line="240" w:lineRule="auto"/>
      </w:pPr>
      <w:r w:rsidRPr="00C25857">
        <w:rPr>
          <w:rStyle w:val="FootnoteReference"/>
          <w:color w:val="77328A"/>
          <w:sz w:val="16"/>
          <w:szCs w:val="16"/>
        </w:rPr>
        <w:footnoteRef/>
      </w:r>
      <w:r w:rsidRPr="00C25857">
        <w:rPr>
          <w:color w:val="77328A"/>
          <w:sz w:val="16"/>
          <w:szCs w:val="16"/>
        </w:rPr>
        <w:t xml:space="preserve"> Centre for Cross Border Cooperation, ‘Submission to the House of Lords NI Scrutiny Committee Inquiry into Strengthening NI’s Voice in the Context of the Windsor Framework’ (CCBC, 2025), at para 8.</w:t>
      </w:r>
    </w:p>
  </w:footnote>
  <w:footnote w:id="73">
    <w:p w14:paraId="584868DF" w14:textId="77777777" w:rsidR="006C287D" w:rsidRPr="00F57D0E" w:rsidRDefault="006C287D" w:rsidP="00F57D0E">
      <w:pPr>
        <w:pStyle w:val="NIHRCFootnotes"/>
      </w:pPr>
      <w:r w:rsidRPr="00F57D0E">
        <w:rPr>
          <w:rStyle w:val="FootnoteReference"/>
        </w:rPr>
        <w:footnoteRef/>
      </w:r>
      <w:r w:rsidRPr="00F57D0E">
        <w:t xml:space="preserve"> See Centre for Cross Border Cooperation, ‘Submission to the House of Lords NI Scrutiny Committee Inquiry into Strengthening NI’s Voice in the Context of the Windsor Framework’ (CCBC, 2025). </w:t>
      </w:r>
    </w:p>
  </w:footnote>
  <w:footnote w:id="74">
    <w:p w14:paraId="69912BE6" w14:textId="08B138E3" w:rsidR="00A9617A" w:rsidRPr="00F57D0E" w:rsidRDefault="00A9617A" w:rsidP="00F57D0E">
      <w:pPr>
        <w:pStyle w:val="FootnoteText"/>
        <w:spacing w:line="240" w:lineRule="auto"/>
        <w:rPr>
          <w:rFonts w:cs="Calibri"/>
          <w:color w:val="77328A"/>
          <w:sz w:val="16"/>
          <w:szCs w:val="16"/>
        </w:rPr>
      </w:pPr>
      <w:r w:rsidRPr="00F57D0E">
        <w:rPr>
          <w:rStyle w:val="FootnoteReference"/>
          <w:rFonts w:cs="Calibri"/>
          <w:color w:val="77328A"/>
          <w:sz w:val="16"/>
          <w:szCs w:val="16"/>
        </w:rPr>
        <w:footnoteRef/>
      </w:r>
      <w:r w:rsidRPr="00F57D0E">
        <w:rPr>
          <w:rFonts w:cs="Calibri"/>
          <w:color w:val="77328A"/>
          <w:sz w:val="16"/>
          <w:szCs w:val="16"/>
        </w:rPr>
        <w:t xml:space="preserve"> NI Scrutiny Committee, ‘Northern Ireland after Brexit: Strengthening Northern Ireland’s voice in the context of the Windsor Framework – 1</w:t>
      </w:r>
      <w:r w:rsidRPr="00F57D0E">
        <w:rPr>
          <w:rFonts w:cs="Calibri"/>
          <w:color w:val="77328A"/>
          <w:sz w:val="16"/>
          <w:szCs w:val="16"/>
          <w:vertAlign w:val="superscript"/>
        </w:rPr>
        <w:t>st</w:t>
      </w:r>
      <w:r w:rsidRPr="00F57D0E">
        <w:rPr>
          <w:rFonts w:cs="Calibri"/>
          <w:color w:val="77328A"/>
          <w:sz w:val="16"/>
          <w:szCs w:val="16"/>
        </w:rPr>
        <w:t xml:space="preserve"> report of Session 2024-26’ (HL, 2025), at para 193.</w:t>
      </w:r>
    </w:p>
  </w:footnote>
  <w:footnote w:id="75">
    <w:p w14:paraId="5448CD11" w14:textId="67DD6622" w:rsidR="00741A30" w:rsidRPr="00F57D0E" w:rsidRDefault="00741A30" w:rsidP="00F57D0E">
      <w:pPr>
        <w:pStyle w:val="FootnoteText"/>
        <w:spacing w:line="240" w:lineRule="auto"/>
        <w:rPr>
          <w:rFonts w:cs="Calibri"/>
          <w:color w:val="77328A"/>
          <w:sz w:val="16"/>
          <w:szCs w:val="16"/>
        </w:rPr>
      </w:pPr>
      <w:r w:rsidRPr="00F57D0E">
        <w:rPr>
          <w:rStyle w:val="FootnoteReference"/>
          <w:rFonts w:cs="Calibri"/>
          <w:color w:val="77328A"/>
          <w:sz w:val="16"/>
          <w:szCs w:val="16"/>
        </w:rPr>
        <w:footnoteRef/>
      </w:r>
      <w:r w:rsidRPr="00F57D0E">
        <w:rPr>
          <w:rFonts w:cs="Calibri"/>
          <w:color w:val="77328A"/>
          <w:sz w:val="16"/>
          <w:szCs w:val="16"/>
        </w:rPr>
        <w:t xml:space="preserve"> NI Scrutiny Committee, ‘Northern Ireland after Brexit: Strengthening Northern Ireland’s voice in the context of the Windsor Framework – 1</w:t>
      </w:r>
      <w:r w:rsidRPr="00F57D0E">
        <w:rPr>
          <w:rFonts w:cs="Calibri"/>
          <w:color w:val="77328A"/>
          <w:sz w:val="16"/>
          <w:szCs w:val="16"/>
          <w:vertAlign w:val="superscript"/>
        </w:rPr>
        <w:t>st</w:t>
      </w:r>
      <w:r w:rsidRPr="00F57D0E">
        <w:rPr>
          <w:rFonts w:cs="Calibri"/>
          <w:color w:val="77328A"/>
          <w:sz w:val="16"/>
          <w:szCs w:val="16"/>
        </w:rPr>
        <w:t xml:space="preserve"> report of Session 2024-26’ (HL, 2025), at paras 195 and 196.</w:t>
      </w:r>
    </w:p>
  </w:footnote>
  <w:footnote w:id="76">
    <w:p w14:paraId="716C72BD" w14:textId="24EA2FC9" w:rsidR="00FC2552" w:rsidRPr="00F57D0E" w:rsidRDefault="00FC2552" w:rsidP="00F57D0E">
      <w:pPr>
        <w:pStyle w:val="FootnoteText"/>
        <w:spacing w:line="240" w:lineRule="auto"/>
        <w:rPr>
          <w:rFonts w:cs="Calibri"/>
          <w:color w:val="77328A"/>
          <w:sz w:val="16"/>
          <w:szCs w:val="16"/>
        </w:rPr>
      </w:pPr>
      <w:r w:rsidRPr="00F57D0E">
        <w:rPr>
          <w:rStyle w:val="FootnoteReference"/>
          <w:rFonts w:cs="Calibri"/>
          <w:color w:val="77328A"/>
          <w:sz w:val="16"/>
          <w:szCs w:val="16"/>
        </w:rPr>
        <w:footnoteRef/>
      </w:r>
      <w:r w:rsidRPr="00F57D0E">
        <w:rPr>
          <w:rFonts w:cs="Calibri"/>
          <w:color w:val="77328A"/>
          <w:sz w:val="16"/>
          <w:szCs w:val="16"/>
        </w:rPr>
        <w:t xml:space="preserve"> UK Government and EU Commission, ‘Windsor Political Declaration by the European Commission and the Government of the United Kingdom’, 27 February 2023. </w:t>
      </w:r>
    </w:p>
  </w:footnote>
  <w:footnote w:id="77">
    <w:p w14:paraId="46E83F1E" w14:textId="74F6AB97" w:rsidR="00FC2552" w:rsidRPr="00F57D0E" w:rsidRDefault="00FC2552" w:rsidP="00F57D0E">
      <w:pPr>
        <w:pStyle w:val="FootnoteText"/>
        <w:spacing w:line="240" w:lineRule="auto"/>
        <w:rPr>
          <w:rFonts w:cs="Calibri"/>
          <w:color w:val="77328A"/>
          <w:sz w:val="16"/>
          <w:szCs w:val="16"/>
        </w:rPr>
      </w:pPr>
      <w:r w:rsidRPr="00F57D0E">
        <w:rPr>
          <w:rStyle w:val="FootnoteReference"/>
          <w:rFonts w:cs="Calibri"/>
          <w:color w:val="77328A"/>
          <w:sz w:val="16"/>
          <w:szCs w:val="16"/>
        </w:rPr>
        <w:footnoteRef/>
      </w:r>
      <w:r w:rsidRPr="00F57D0E">
        <w:rPr>
          <w:rFonts w:cs="Calibri"/>
          <w:color w:val="77328A"/>
          <w:sz w:val="16"/>
          <w:szCs w:val="16"/>
        </w:rPr>
        <w:t xml:space="preserve"> NI Scrutiny Committee, ‘Northern Ireland after Brexit: Strengthening Northern Ireland’s voice in the context of the Windsor Framework</w:t>
      </w:r>
      <w:r w:rsidR="00E71D7E" w:rsidRPr="00F57D0E">
        <w:rPr>
          <w:rFonts w:cs="Calibri"/>
          <w:color w:val="77328A"/>
          <w:sz w:val="16"/>
          <w:szCs w:val="16"/>
        </w:rPr>
        <w:t xml:space="preserve"> – 1</w:t>
      </w:r>
      <w:r w:rsidR="00E71D7E" w:rsidRPr="00F57D0E">
        <w:rPr>
          <w:rFonts w:cs="Calibri"/>
          <w:color w:val="77328A"/>
          <w:sz w:val="16"/>
          <w:szCs w:val="16"/>
          <w:vertAlign w:val="superscript"/>
        </w:rPr>
        <w:t>st</w:t>
      </w:r>
      <w:r w:rsidR="00E71D7E" w:rsidRPr="00F57D0E">
        <w:rPr>
          <w:rFonts w:cs="Calibri"/>
          <w:color w:val="77328A"/>
          <w:sz w:val="16"/>
          <w:szCs w:val="16"/>
        </w:rPr>
        <w:t xml:space="preserve"> report of Session 2024-26’ (HL, 2025),</w:t>
      </w:r>
      <w:r w:rsidRPr="00F57D0E">
        <w:rPr>
          <w:rFonts w:cs="Calibri"/>
          <w:color w:val="77328A"/>
          <w:sz w:val="16"/>
          <w:szCs w:val="16"/>
        </w:rPr>
        <w:t xml:space="preserve"> at para 148.</w:t>
      </w:r>
    </w:p>
  </w:footnote>
  <w:footnote w:id="78">
    <w:p w14:paraId="40C3D29A" w14:textId="35ECF91A" w:rsidR="0006563B" w:rsidRPr="00F57D0E" w:rsidRDefault="0006563B" w:rsidP="00F57D0E">
      <w:pPr>
        <w:pStyle w:val="NIHRCFootnotes"/>
      </w:pPr>
      <w:r w:rsidRPr="00F57D0E">
        <w:rPr>
          <w:rStyle w:val="FootnoteReference"/>
        </w:rPr>
        <w:footnoteRef/>
      </w:r>
      <w:r w:rsidRPr="00F57D0E">
        <w:t xml:space="preserve"> EU Commission Work Programme Seminar, 27 November 202</w:t>
      </w:r>
      <w:r w:rsidR="001D2344">
        <w:t>5</w:t>
      </w:r>
      <w:r w:rsidRPr="00F57D0E">
        <w:t xml:space="preserve">. </w:t>
      </w:r>
    </w:p>
  </w:footnote>
  <w:footnote w:id="79">
    <w:p w14:paraId="337322CE" w14:textId="6BEF4A8A" w:rsidR="0006563B" w:rsidRPr="00F57D0E" w:rsidRDefault="0006563B" w:rsidP="00F57D0E">
      <w:pPr>
        <w:pStyle w:val="NIHRCFootnotes"/>
      </w:pPr>
      <w:r w:rsidRPr="00F57D0E">
        <w:rPr>
          <w:rStyle w:val="FootnoteReference"/>
        </w:rPr>
        <w:footnoteRef/>
      </w:r>
      <w:r w:rsidRPr="00F57D0E">
        <w:t xml:space="preserve"> EU Commission, ‘Welcome to Have your Say - Public Consultations and Feedback’. Available at:</w:t>
      </w:r>
      <w:r w:rsidR="00A4250C" w:rsidRPr="00A4250C">
        <w:rPr>
          <w:rFonts w:ascii="Consolas" w:eastAsiaTheme="minorHAnsi" w:hAnsi="Consolas" w:cs="Consolas"/>
          <w:color w:val="000000"/>
          <w:sz w:val="22"/>
          <w:szCs w:val="22"/>
        </w:rPr>
        <w:t xml:space="preserve"> </w:t>
      </w:r>
      <w:hyperlink r:id="rId3" w:history="1">
        <w:r w:rsidR="00A4250C" w:rsidRPr="00C47F12">
          <w:rPr>
            <w:rStyle w:val="Hyperlink"/>
          </w:rPr>
          <w:t>https://ec.europa.eu/info/law/better-regulation/have-your-say_en</w:t>
        </w:r>
      </w:hyperlink>
      <w:r w:rsidR="00A4250C">
        <w:t xml:space="preserve"> </w:t>
      </w:r>
    </w:p>
  </w:footnote>
  <w:footnote w:id="80">
    <w:p w14:paraId="755F54C2" w14:textId="33A4DB8A" w:rsidR="00A747F8" w:rsidRPr="00F57D0E" w:rsidRDefault="00A747F8" w:rsidP="00F57D0E">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w:t>
      </w:r>
      <w:r w:rsidR="00640CF0" w:rsidRPr="00F57D0E">
        <w:rPr>
          <w:color w:val="77328A"/>
          <w:sz w:val="16"/>
          <w:szCs w:val="16"/>
        </w:rPr>
        <w:t xml:space="preserve">Letter from European Network of National Human Rights Institutions to the EU Commission, dated 30 June 2020. </w:t>
      </w:r>
    </w:p>
  </w:footnote>
  <w:footnote w:id="81">
    <w:p w14:paraId="39F09E46" w14:textId="431B5283" w:rsidR="00640CF0" w:rsidRPr="00F57D0E" w:rsidRDefault="00640CF0" w:rsidP="00F57D0E">
      <w:pPr>
        <w:pStyle w:val="FootnoteText"/>
        <w:spacing w:line="240" w:lineRule="auto"/>
        <w:rPr>
          <w:color w:val="77328A"/>
          <w:sz w:val="16"/>
          <w:szCs w:val="16"/>
        </w:rPr>
      </w:pPr>
      <w:r w:rsidRPr="00F57D0E">
        <w:rPr>
          <w:rStyle w:val="FootnoteReference"/>
          <w:color w:val="77328A"/>
          <w:sz w:val="16"/>
          <w:szCs w:val="16"/>
        </w:rPr>
        <w:footnoteRef/>
      </w:r>
      <w:r w:rsidRPr="00F57D0E">
        <w:rPr>
          <w:color w:val="77328A"/>
          <w:sz w:val="16"/>
          <w:szCs w:val="16"/>
        </w:rPr>
        <w:t xml:space="preserve"> European Network of National Human Rights Institutions, ‘ENNHRI common position on the EU Artificial Intelligence Act’ (ENNHRI, 2023).</w:t>
      </w:r>
    </w:p>
  </w:footnote>
  <w:footnote w:id="82">
    <w:p w14:paraId="0F12BC72" w14:textId="5BB013ED" w:rsidR="002F550C" w:rsidRPr="00F57D0E" w:rsidRDefault="002F550C" w:rsidP="00F57D0E">
      <w:pPr>
        <w:pStyle w:val="FootnoteText"/>
        <w:spacing w:line="240" w:lineRule="auto"/>
        <w:rPr>
          <w:rFonts w:cs="Calibri"/>
          <w:color w:val="77328A"/>
          <w:sz w:val="16"/>
          <w:szCs w:val="16"/>
        </w:rPr>
      </w:pPr>
      <w:r w:rsidRPr="00F57D0E">
        <w:rPr>
          <w:rStyle w:val="FootnoteReference"/>
          <w:rFonts w:cs="Calibri"/>
          <w:color w:val="77328A"/>
          <w:sz w:val="16"/>
          <w:szCs w:val="16"/>
        </w:rPr>
        <w:footnoteRef/>
      </w:r>
      <w:r w:rsidRPr="00F57D0E">
        <w:rPr>
          <w:rFonts w:cs="Calibri"/>
          <w:color w:val="77328A"/>
          <w:sz w:val="16"/>
          <w:szCs w:val="16"/>
        </w:rPr>
        <w:t xml:space="preserve"> UK Government and EU Commission, ‘Windsor Political Declaration by the European Commission and UK’ (UK Gov, 2023), at 3; EU Commission, ‘Commission statement on Enhanced engagement with NI stakeholders’</w:t>
      </w:r>
      <w:r w:rsidR="005534A1" w:rsidRPr="00F57D0E">
        <w:rPr>
          <w:rFonts w:cs="Calibri"/>
          <w:color w:val="77328A"/>
          <w:sz w:val="16"/>
          <w:szCs w:val="16"/>
        </w:rPr>
        <w:t>, 27 February 2023.</w:t>
      </w:r>
    </w:p>
  </w:footnote>
  <w:footnote w:id="83">
    <w:p w14:paraId="100DAB0C" w14:textId="77777777" w:rsidR="00CD601E" w:rsidRPr="00263106" w:rsidRDefault="00CD601E" w:rsidP="00CD601E">
      <w:pPr>
        <w:pStyle w:val="NIHRCFootnotes"/>
        <w:rPr>
          <w:rFonts w:cstheme="minorHAnsi"/>
        </w:rPr>
      </w:pPr>
      <w:r w:rsidRPr="00263106">
        <w:rPr>
          <w:rStyle w:val="FootnoteReference"/>
          <w:rFonts w:cstheme="minorHAnsi"/>
        </w:rPr>
        <w:footnoteRef/>
      </w:r>
      <w:r w:rsidRPr="00263106">
        <w:rPr>
          <w:rFonts w:cstheme="minorHAnsi"/>
        </w:rPr>
        <w:t xml:space="preserve"> House of Commons, ‘Press Release: European Scrutiny Committee discontinued’, 1 August 2024. Available:  </w:t>
      </w:r>
      <w:hyperlink r:id="rId4" w:history="1">
        <w:r w:rsidRPr="00263106">
          <w:rPr>
            <w:rStyle w:val="Hyperlink"/>
            <w:rFonts w:cstheme="minorHAnsi"/>
          </w:rPr>
          <w:t>European Scrutiny Committee discontinued - Committees - UK Parliament</w:t>
        </w:r>
      </w:hyperlink>
    </w:p>
  </w:footnote>
  <w:footnote w:id="84">
    <w:p w14:paraId="077C516A" w14:textId="77777777" w:rsidR="00DE6B40" w:rsidRPr="00F57D0E" w:rsidRDefault="00DE6B40" w:rsidP="00F57D0E">
      <w:pPr>
        <w:pStyle w:val="FootnoteText"/>
        <w:spacing w:line="240" w:lineRule="auto"/>
        <w:rPr>
          <w:rFonts w:cs="Calibri"/>
          <w:color w:val="77328A"/>
          <w:sz w:val="16"/>
          <w:szCs w:val="16"/>
        </w:rPr>
      </w:pPr>
      <w:r w:rsidRPr="00F57D0E">
        <w:rPr>
          <w:rStyle w:val="FootnoteReference"/>
          <w:rFonts w:cs="Calibri"/>
          <w:color w:val="77328A"/>
          <w:sz w:val="16"/>
          <w:szCs w:val="16"/>
        </w:rPr>
        <w:footnoteRef/>
      </w:r>
      <w:r w:rsidRPr="00F57D0E">
        <w:rPr>
          <w:rFonts w:cs="Calibri"/>
          <w:color w:val="77328A"/>
          <w:sz w:val="16"/>
          <w:szCs w:val="16"/>
        </w:rPr>
        <w:t xml:space="preserve"> UK Government, ‘Government response to the Sub-Committee on the Protocol on Ireland/Northern Ireland’s report Scrutiny of EU legislative proposals within the scope of the Protocol on Ireland/Northern Ireland’ (UK Gov, 2022), at para 15; House of Lords European Affairs Committee, ‘5</w:t>
      </w:r>
      <w:r w:rsidRPr="00F57D0E">
        <w:rPr>
          <w:rFonts w:cs="Calibri"/>
          <w:color w:val="77328A"/>
          <w:sz w:val="16"/>
          <w:szCs w:val="16"/>
          <w:vertAlign w:val="superscript"/>
        </w:rPr>
        <w:t>th</w:t>
      </w:r>
      <w:r w:rsidRPr="00F57D0E">
        <w:rPr>
          <w:rFonts w:cs="Calibri"/>
          <w:color w:val="77328A"/>
          <w:sz w:val="16"/>
          <w:szCs w:val="16"/>
        </w:rPr>
        <w:t xml:space="preserve"> Report of Session 2021-22 - Report from the Sub-Committee on the Protocol on Ireland/Northern Ireland: Scrutiny of EU legislative proposals within the scope of the Protocol on Ireland/Northern Ireland</w:t>
      </w:r>
      <w:r w:rsidRPr="00F57D0E">
        <w:rPr>
          <w:rStyle w:val="Hyperlink"/>
          <w:rFonts w:cs="Calibri"/>
          <w:color w:val="77328A"/>
          <w:sz w:val="16"/>
          <w:szCs w:val="16"/>
          <w:u w:val="none"/>
        </w:rPr>
        <w:t xml:space="preserve">’ </w:t>
      </w:r>
      <w:r w:rsidRPr="00F57D0E">
        <w:rPr>
          <w:rFonts w:cs="Calibri"/>
          <w:color w:val="77328A"/>
          <w:sz w:val="16"/>
          <w:szCs w:val="16"/>
        </w:rPr>
        <w:t>(HOL, 2022), at paras 54-60.</w:t>
      </w:r>
    </w:p>
  </w:footnote>
  <w:footnote w:id="85">
    <w:p w14:paraId="22276568" w14:textId="193DE897" w:rsidR="00DE6B40" w:rsidRPr="00A44E14" w:rsidRDefault="00DE6B40" w:rsidP="00A44E14">
      <w:pPr>
        <w:pStyle w:val="FootnoteText"/>
        <w:spacing w:line="240" w:lineRule="auto"/>
        <w:rPr>
          <w:rFonts w:cs="Calibri"/>
          <w:color w:val="77328A"/>
          <w:sz w:val="16"/>
          <w:szCs w:val="16"/>
        </w:rPr>
      </w:pPr>
      <w:r w:rsidRPr="00A44E14">
        <w:rPr>
          <w:rStyle w:val="FootnoteReference"/>
          <w:rFonts w:cs="Calibri"/>
          <w:color w:val="77328A"/>
          <w:sz w:val="16"/>
          <w:szCs w:val="16"/>
        </w:rPr>
        <w:footnoteRef/>
      </w:r>
      <w:r w:rsidRPr="00A44E14">
        <w:rPr>
          <w:rFonts w:cs="Calibri"/>
          <w:color w:val="77328A"/>
          <w:sz w:val="16"/>
          <w:szCs w:val="16"/>
        </w:rPr>
        <w:t xml:space="preserve"> </w:t>
      </w:r>
      <w:r w:rsidR="00A44E14" w:rsidRPr="00A44E14">
        <w:rPr>
          <w:rFonts w:cstheme="minorHAnsi"/>
          <w:color w:val="77328A"/>
          <w:sz w:val="16"/>
          <w:szCs w:val="16"/>
        </w:rPr>
        <w:t xml:space="preserve">House of Commons, ‘Press Release: European Scrutiny Committee discontinued’, 1 August 2024. Available:  </w:t>
      </w:r>
      <w:hyperlink r:id="rId5" w:history="1">
        <w:r w:rsidR="00A44E14" w:rsidRPr="00A44E14">
          <w:rPr>
            <w:rStyle w:val="Hyperlink"/>
            <w:rFonts w:cstheme="minorHAnsi"/>
            <w:sz w:val="16"/>
            <w:szCs w:val="16"/>
          </w:rPr>
          <w:t>European Scrutiny Committee discontinued - Committees - UK Parliament</w:t>
        </w:r>
      </w:hyperlink>
      <w:r w:rsidR="00A44E14" w:rsidRPr="00A44E14">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5F3"/>
    <w:multiLevelType w:val="multilevel"/>
    <w:tmpl w:val="AFFE1E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9A48F4"/>
    <w:multiLevelType w:val="hybridMultilevel"/>
    <w:tmpl w:val="E73C99EA"/>
    <w:lvl w:ilvl="0" w:tplc="80B2ABD2">
      <w:start w:val="1"/>
      <w:numFmt w:val="decimal"/>
      <w:lvlText w:val="%1.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472294"/>
    <w:multiLevelType w:val="hybridMultilevel"/>
    <w:tmpl w:val="E3D03D5E"/>
    <w:lvl w:ilvl="0" w:tplc="BC7C6458">
      <w:start w:val="1"/>
      <w:numFmt w:val="decimal"/>
      <w:lvlText w:val="1.%1"/>
      <w:lvlJc w:val="left"/>
      <w:pPr>
        <w:ind w:left="1440" w:hanging="360"/>
      </w:pPr>
      <w:rPr>
        <w:rFonts w:hint="default"/>
        <w:vanish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2793423"/>
    <w:multiLevelType w:val="multilevel"/>
    <w:tmpl w:val="97C4AB8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45874F0"/>
    <w:multiLevelType w:val="multilevel"/>
    <w:tmpl w:val="3D485C02"/>
    <w:lvl w:ilvl="0">
      <w:start w:val="3"/>
      <w:numFmt w:val="decimal"/>
      <w:lvlText w:val="%1.0"/>
      <w:lvlJc w:val="left"/>
      <w:pPr>
        <w:ind w:left="720" w:hanging="720"/>
      </w:pPr>
      <w:rPr>
        <w:rFonts w:hint="default"/>
        <w:color w:val="auto"/>
      </w:rPr>
    </w:lvl>
    <w:lvl w:ilvl="1">
      <w:start w:val="1"/>
      <w:numFmt w:val="decimal"/>
      <w:lvlText w:val="%1.%2"/>
      <w:lvlJc w:val="left"/>
      <w:pPr>
        <w:ind w:left="720" w:hanging="720"/>
      </w:pPr>
      <w:rPr>
        <w:rFonts w:ascii="Verdana" w:hAnsi="Verdana" w:hint="default"/>
        <w:b w:val="0"/>
        <w:color w:val="auto"/>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5" w15:restartNumberingAfterBreak="0">
    <w:nsid w:val="265D6531"/>
    <w:multiLevelType w:val="multilevel"/>
    <w:tmpl w:val="70E6B036"/>
    <w:lvl w:ilvl="0">
      <w:start w:val="1"/>
      <w:numFmt w:val="decimal"/>
      <w:lvlText w:val="1.%1"/>
      <w:lvlJc w:val="left"/>
      <w:pPr>
        <w:ind w:left="720" w:hanging="720"/>
      </w:pPr>
      <w:rPr>
        <w:rFonts w:hint="default"/>
        <w:b w:val="0"/>
        <w:bCs/>
      </w:rPr>
    </w:lvl>
    <w:lvl w:ilvl="1">
      <w:start w:val="1"/>
      <w:numFmt w:val="decimal"/>
      <w:lvlText w:val="%1.%2"/>
      <w:lvlJc w:val="left"/>
      <w:pPr>
        <w:ind w:left="1440" w:hanging="720"/>
      </w:pPr>
      <w:rPr>
        <w:rFonts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6" w15:restartNumberingAfterBreak="0">
    <w:nsid w:val="28E101D5"/>
    <w:multiLevelType w:val="hybridMultilevel"/>
    <w:tmpl w:val="CCCE9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261FD4"/>
    <w:multiLevelType w:val="multilevel"/>
    <w:tmpl w:val="3BF6C39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DFE30B1"/>
    <w:multiLevelType w:val="multilevel"/>
    <w:tmpl w:val="7214F3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4502D83"/>
    <w:multiLevelType w:val="hybridMultilevel"/>
    <w:tmpl w:val="EF88E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7F278FA"/>
    <w:multiLevelType w:val="multilevel"/>
    <w:tmpl w:val="41F487F2"/>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B612682"/>
    <w:multiLevelType w:val="hybridMultilevel"/>
    <w:tmpl w:val="F40025F0"/>
    <w:lvl w:ilvl="0" w:tplc="14102F5A">
      <w:start w:val="1"/>
      <w:numFmt w:val="decimal"/>
      <w:lvlText w:val="2.%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08B51D8"/>
    <w:multiLevelType w:val="multilevel"/>
    <w:tmpl w:val="FFFFFFFF"/>
    <w:lvl w:ilvl="0">
      <w:start w:val="3"/>
      <w:numFmt w:val="decimal"/>
      <w:lvlText w:val="%1"/>
      <w:lvlJc w:val="left"/>
      <w:pPr>
        <w:ind w:left="608" w:hanging="608"/>
      </w:pPr>
      <w:rPr>
        <w:rFonts w:cs="MinionPro-Regular" w:hint="default"/>
        <w:color w:val="000000"/>
      </w:rPr>
    </w:lvl>
    <w:lvl w:ilvl="1">
      <w:start w:val="1"/>
      <w:numFmt w:val="decimal"/>
      <w:lvlText w:val="%1.%2"/>
      <w:lvlJc w:val="left"/>
      <w:pPr>
        <w:ind w:left="720" w:hanging="720"/>
      </w:pPr>
      <w:rPr>
        <w:rFonts w:cs="MinionPro-Regular" w:hint="default"/>
        <w:b w:val="0"/>
        <w:color w:val="000000"/>
        <w:sz w:val="24"/>
        <w:szCs w:val="24"/>
      </w:rPr>
    </w:lvl>
    <w:lvl w:ilvl="2">
      <w:start w:val="1"/>
      <w:numFmt w:val="decimal"/>
      <w:lvlText w:val="%1.%2.%3"/>
      <w:lvlJc w:val="left"/>
      <w:pPr>
        <w:ind w:left="1080" w:hanging="1080"/>
      </w:pPr>
      <w:rPr>
        <w:rFonts w:cs="MinionPro-Regular" w:hint="default"/>
        <w:color w:val="000000"/>
      </w:rPr>
    </w:lvl>
    <w:lvl w:ilvl="3">
      <w:start w:val="1"/>
      <w:numFmt w:val="decimal"/>
      <w:lvlText w:val="%1.%2.%3.%4"/>
      <w:lvlJc w:val="left"/>
      <w:pPr>
        <w:ind w:left="1440" w:hanging="1440"/>
      </w:pPr>
      <w:rPr>
        <w:rFonts w:cs="MinionPro-Regular" w:hint="default"/>
        <w:color w:val="000000"/>
      </w:rPr>
    </w:lvl>
    <w:lvl w:ilvl="4">
      <w:start w:val="1"/>
      <w:numFmt w:val="decimal"/>
      <w:lvlText w:val="%1.%2.%3.%4.%5"/>
      <w:lvlJc w:val="left"/>
      <w:pPr>
        <w:ind w:left="1440" w:hanging="1440"/>
      </w:pPr>
      <w:rPr>
        <w:rFonts w:cs="MinionPro-Regular" w:hint="default"/>
        <w:color w:val="000000"/>
      </w:rPr>
    </w:lvl>
    <w:lvl w:ilvl="5">
      <w:start w:val="1"/>
      <w:numFmt w:val="decimal"/>
      <w:lvlText w:val="%1.%2.%3.%4.%5.%6"/>
      <w:lvlJc w:val="left"/>
      <w:pPr>
        <w:ind w:left="1800" w:hanging="1800"/>
      </w:pPr>
      <w:rPr>
        <w:rFonts w:cs="MinionPro-Regular" w:hint="default"/>
        <w:color w:val="000000"/>
      </w:rPr>
    </w:lvl>
    <w:lvl w:ilvl="6">
      <w:start w:val="1"/>
      <w:numFmt w:val="decimal"/>
      <w:lvlText w:val="%1.%2.%3.%4.%5.%6.%7"/>
      <w:lvlJc w:val="left"/>
      <w:pPr>
        <w:ind w:left="2160" w:hanging="2160"/>
      </w:pPr>
      <w:rPr>
        <w:rFonts w:cs="MinionPro-Regular" w:hint="default"/>
        <w:color w:val="000000"/>
      </w:rPr>
    </w:lvl>
    <w:lvl w:ilvl="7">
      <w:start w:val="1"/>
      <w:numFmt w:val="decimal"/>
      <w:lvlText w:val="%1.%2.%3.%4.%5.%6.%7.%8"/>
      <w:lvlJc w:val="left"/>
      <w:pPr>
        <w:ind w:left="2520" w:hanging="2520"/>
      </w:pPr>
      <w:rPr>
        <w:rFonts w:cs="MinionPro-Regular" w:hint="default"/>
        <w:color w:val="000000"/>
      </w:rPr>
    </w:lvl>
    <w:lvl w:ilvl="8">
      <w:start w:val="1"/>
      <w:numFmt w:val="decimal"/>
      <w:lvlText w:val="%1.%2.%3.%4.%5.%6.%7.%8.%9"/>
      <w:lvlJc w:val="left"/>
      <w:pPr>
        <w:ind w:left="2880" w:hanging="2880"/>
      </w:pPr>
      <w:rPr>
        <w:rFonts w:cs="MinionPro-Regular" w:hint="default"/>
        <w:color w:val="000000"/>
      </w:rPr>
    </w:lvl>
  </w:abstractNum>
  <w:abstractNum w:abstractNumId="13" w15:restartNumberingAfterBreak="0">
    <w:nsid w:val="4D6A2093"/>
    <w:multiLevelType w:val="multilevel"/>
    <w:tmpl w:val="C7E422DC"/>
    <w:lvl w:ilvl="0">
      <w:start w:val="5"/>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9FB3EE8"/>
    <w:multiLevelType w:val="hybridMultilevel"/>
    <w:tmpl w:val="3912E0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1F64100"/>
    <w:multiLevelType w:val="multilevel"/>
    <w:tmpl w:val="48DA3D9A"/>
    <w:lvl w:ilvl="0">
      <w:start w:val="1"/>
      <w:numFmt w:val="decimal"/>
      <w:pStyle w:val="Heading1"/>
      <w:lvlText w:val="%1.0"/>
      <w:lvlJc w:val="left"/>
      <w:pPr>
        <w:ind w:left="720" w:hanging="720"/>
      </w:pPr>
      <w:rPr>
        <w:rFonts w:hint="default"/>
      </w:rPr>
    </w:lvl>
    <w:lvl w:ilvl="1">
      <w:start w:val="1"/>
      <w:numFmt w:val="decimal"/>
      <w:pStyle w:val="ListParagraph"/>
      <w:lvlText w:val="%1.%2"/>
      <w:lvlJc w:val="left"/>
      <w:pPr>
        <w:ind w:left="1004" w:hanging="720"/>
      </w:pPr>
      <w:rPr>
        <w:rFonts w:hint="default"/>
        <w:b w:val="0"/>
        <w:bCs w:val="0"/>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7A597442"/>
    <w:multiLevelType w:val="hybridMultilevel"/>
    <w:tmpl w:val="CFE8B058"/>
    <w:lvl w:ilvl="0" w:tplc="5532E870">
      <w:start w:val="1"/>
      <w:numFmt w:val="lowerLetter"/>
      <w:lvlText w:val="%1)"/>
      <w:lvlJc w:val="left"/>
      <w:pPr>
        <w:ind w:left="1582" w:hanging="360"/>
      </w:pPr>
      <w:rPr>
        <w:rFonts w:hint="default"/>
      </w:r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num w:numId="1" w16cid:durableId="1363439006">
    <w:abstractNumId w:val="2"/>
  </w:num>
  <w:num w:numId="2" w16cid:durableId="2084377726">
    <w:abstractNumId w:val="3"/>
  </w:num>
  <w:num w:numId="3" w16cid:durableId="1718973592">
    <w:abstractNumId w:val="13"/>
  </w:num>
  <w:num w:numId="4" w16cid:durableId="53702865">
    <w:abstractNumId w:val="8"/>
  </w:num>
  <w:num w:numId="5" w16cid:durableId="650061469">
    <w:abstractNumId w:val="4"/>
  </w:num>
  <w:num w:numId="6" w16cid:durableId="830947591">
    <w:abstractNumId w:val="7"/>
  </w:num>
  <w:num w:numId="7" w16cid:durableId="1041634808">
    <w:abstractNumId w:val="1"/>
  </w:num>
  <w:num w:numId="8" w16cid:durableId="1067923461">
    <w:abstractNumId w:val="15"/>
  </w:num>
  <w:num w:numId="9" w16cid:durableId="11792747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854399">
    <w:abstractNumId w:val="12"/>
  </w:num>
  <w:num w:numId="11" w16cid:durableId="1261528903">
    <w:abstractNumId w:val="15"/>
    <w:lvlOverride w:ilvl="0">
      <w:startOverride w:val="2"/>
    </w:lvlOverride>
    <w:lvlOverride w:ilvl="1">
      <w:startOverride w:val="6"/>
    </w:lvlOverride>
  </w:num>
  <w:num w:numId="12" w16cid:durableId="1197432068">
    <w:abstractNumId w:val="15"/>
    <w:lvlOverride w:ilvl="0">
      <w:startOverride w:val="2"/>
    </w:lvlOverride>
    <w:lvlOverride w:ilvl="1">
      <w:startOverride w:val="4"/>
    </w:lvlOverride>
  </w:num>
  <w:num w:numId="13" w16cid:durableId="699161386">
    <w:abstractNumId w:val="15"/>
    <w:lvlOverride w:ilvl="0">
      <w:startOverride w:val="4"/>
    </w:lvlOverride>
    <w:lvlOverride w:ilvl="1">
      <w:startOverride w:val="4"/>
    </w:lvlOverride>
  </w:num>
  <w:num w:numId="14" w16cid:durableId="1135834195">
    <w:abstractNumId w:val="5"/>
  </w:num>
  <w:num w:numId="15" w16cid:durableId="718627844">
    <w:abstractNumId w:val="9"/>
  </w:num>
  <w:num w:numId="16" w16cid:durableId="20111303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2324710">
    <w:abstractNumId w:val="0"/>
  </w:num>
  <w:num w:numId="18" w16cid:durableId="2115706191">
    <w:abstractNumId w:val="6"/>
  </w:num>
  <w:num w:numId="19" w16cid:durableId="2098668793">
    <w:abstractNumId w:val="16"/>
  </w:num>
  <w:num w:numId="20" w16cid:durableId="1507748462">
    <w:abstractNumId w:val="11"/>
  </w:num>
  <w:num w:numId="21" w16cid:durableId="5981508">
    <w:abstractNumId w:val="10"/>
  </w:num>
  <w:num w:numId="22" w16cid:durableId="13446265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F5"/>
    <w:rsid w:val="00000569"/>
    <w:rsid w:val="00003299"/>
    <w:rsid w:val="000034F7"/>
    <w:rsid w:val="00003D2C"/>
    <w:rsid w:val="00003ED5"/>
    <w:rsid w:val="00004F5A"/>
    <w:rsid w:val="0000694B"/>
    <w:rsid w:val="00007001"/>
    <w:rsid w:val="00007BF2"/>
    <w:rsid w:val="00010CBA"/>
    <w:rsid w:val="00010F27"/>
    <w:rsid w:val="0001186B"/>
    <w:rsid w:val="00011A55"/>
    <w:rsid w:val="000135B9"/>
    <w:rsid w:val="000137A7"/>
    <w:rsid w:val="00014557"/>
    <w:rsid w:val="000150A2"/>
    <w:rsid w:val="0001513F"/>
    <w:rsid w:val="00015718"/>
    <w:rsid w:val="00015797"/>
    <w:rsid w:val="00015F3A"/>
    <w:rsid w:val="00016357"/>
    <w:rsid w:val="00016773"/>
    <w:rsid w:val="000178DE"/>
    <w:rsid w:val="00017BA0"/>
    <w:rsid w:val="00017BEB"/>
    <w:rsid w:val="00017E3F"/>
    <w:rsid w:val="000200D6"/>
    <w:rsid w:val="00020168"/>
    <w:rsid w:val="000217AC"/>
    <w:rsid w:val="0002347A"/>
    <w:rsid w:val="00023D04"/>
    <w:rsid w:val="00023FE1"/>
    <w:rsid w:val="000257B2"/>
    <w:rsid w:val="00026532"/>
    <w:rsid w:val="0002742A"/>
    <w:rsid w:val="00027ACC"/>
    <w:rsid w:val="00027FDD"/>
    <w:rsid w:val="00027FE7"/>
    <w:rsid w:val="000316ED"/>
    <w:rsid w:val="000350A4"/>
    <w:rsid w:val="00035F00"/>
    <w:rsid w:val="0003604E"/>
    <w:rsid w:val="00036482"/>
    <w:rsid w:val="000401CD"/>
    <w:rsid w:val="00040343"/>
    <w:rsid w:val="00040A16"/>
    <w:rsid w:val="00040BB9"/>
    <w:rsid w:val="000411D8"/>
    <w:rsid w:val="00041CBD"/>
    <w:rsid w:val="0004201B"/>
    <w:rsid w:val="0004292D"/>
    <w:rsid w:val="000431CA"/>
    <w:rsid w:val="0004362F"/>
    <w:rsid w:val="000441AD"/>
    <w:rsid w:val="00045039"/>
    <w:rsid w:val="00045C45"/>
    <w:rsid w:val="00046514"/>
    <w:rsid w:val="00046AF5"/>
    <w:rsid w:val="00047046"/>
    <w:rsid w:val="00047A85"/>
    <w:rsid w:val="00051289"/>
    <w:rsid w:val="0005316F"/>
    <w:rsid w:val="0005375F"/>
    <w:rsid w:val="00053C00"/>
    <w:rsid w:val="00053DD6"/>
    <w:rsid w:val="00053F32"/>
    <w:rsid w:val="000545E8"/>
    <w:rsid w:val="0005661E"/>
    <w:rsid w:val="00057ECE"/>
    <w:rsid w:val="00060A98"/>
    <w:rsid w:val="000622FE"/>
    <w:rsid w:val="000635D7"/>
    <w:rsid w:val="00064F3A"/>
    <w:rsid w:val="0006563B"/>
    <w:rsid w:val="0006643C"/>
    <w:rsid w:val="00066984"/>
    <w:rsid w:val="00070321"/>
    <w:rsid w:val="00070919"/>
    <w:rsid w:val="00070ADC"/>
    <w:rsid w:val="00071982"/>
    <w:rsid w:val="00072390"/>
    <w:rsid w:val="00072C14"/>
    <w:rsid w:val="00073C16"/>
    <w:rsid w:val="00073FEF"/>
    <w:rsid w:val="00074714"/>
    <w:rsid w:val="0007684B"/>
    <w:rsid w:val="00076E3E"/>
    <w:rsid w:val="0008215E"/>
    <w:rsid w:val="00082433"/>
    <w:rsid w:val="00082D38"/>
    <w:rsid w:val="0008320E"/>
    <w:rsid w:val="000833B1"/>
    <w:rsid w:val="00083CC5"/>
    <w:rsid w:val="0008427C"/>
    <w:rsid w:val="000850A7"/>
    <w:rsid w:val="000859AD"/>
    <w:rsid w:val="00086959"/>
    <w:rsid w:val="000869A3"/>
    <w:rsid w:val="00087A54"/>
    <w:rsid w:val="00090EFB"/>
    <w:rsid w:val="00091962"/>
    <w:rsid w:val="00091E52"/>
    <w:rsid w:val="000935A3"/>
    <w:rsid w:val="000940AE"/>
    <w:rsid w:val="0009424C"/>
    <w:rsid w:val="00095716"/>
    <w:rsid w:val="00095D20"/>
    <w:rsid w:val="00095EE7"/>
    <w:rsid w:val="000969DC"/>
    <w:rsid w:val="00096D4D"/>
    <w:rsid w:val="00097577"/>
    <w:rsid w:val="000A0038"/>
    <w:rsid w:val="000A1184"/>
    <w:rsid w:val="000A1246"/>
    <w:rsid w:val="000A2B67"/>
    <w:rsid w:val="000A4EA2"/>
    <w:rsid w:val="000A7756"/>
    <w:rsid w:val="000B5089"/>
    <w:rsid w:val="000B5162"/>
    <w:rsid w:val="000B6A9E"/>
    <w:rsid w:val="000B739B"/>
    <w:rsid w:val="000C0161"/>
    <w:rsid w:val="000C09D7"/>
    <w:rsid w:val="000C115C"/>
    <w:rsid w:val="000C2750"/>
    <w:rsid w:val="000C28F0"/>
    <w:rsid w:val="000C4538"/>
    <w:rsid w:val="000C4C0E"/>
    <w:rsid w:val="000C6C66"/>
    <w:rsid w:val="000C6D2F"/>
    <w:rsid w:val="000D141C"/>
    <w:rsid w:val="000D3354"/>
    <w:rsid w:val="000D4656"/>
    <w:rsid w:val="000D7649"/>
    <w:rsid w:val="000D77F8"/>
    <w:rsid w:val="000E0207"/>
    <w:rsid w:val="000E2933"/>
    <w:rsid w:val="000E3180"/>
    <w:rsid w:val="000E3215"/>
    <w:rsid w:val="000E3722"/>
    <w:rsid w:val="000E472A"/>
    <w:rsid w:val="000E5ECF"/>
    <w:rsid w:val="000E7E72"/>
    <w:rsid w:val="000F0C62"/>
    <w:rsid w:val="000F1566"/>
    <w:rsid w:val="000F2801"/>
    <w:rsid w:val="000F3258"/>
    <w:rsid w:val="000F3A33"/>
    <w:rsid w:val="000F5AAC"/>
    <w:rsid w:val="00103730"/>
    <w:rsid w:val="0010473E"/>
    <w:rsid w:val="001057CD"/>
    <w:rsid w:val="00106EA2"/>
    <w:rsid w:val="00107961"/>
    <w:rsid w:val="00107D3B"/>
    <w:rsid w:val="00111108"/>
    <w:rsid w:val="00112997"/>
    <w:rsid w:val="0011343D"/>
    <w:rsid w:val="00113453"/>
    <w:rsid w:val="00113890"/>
    <w:rsid w:val="001151A5"/>
    <w:rsid w:val="00117E0B"/>
    <w:rsid w:val="00120662"/>
    <w:rsid w:val="00120839"/>
    <w:rsid w:val="001211E9"/>
    <w:rsid w:val="001214D0"/>
    <w:rsid w:val="00122010"/>
    <w:rsid w:val="00122B2F"/>
    <w:rsid w:val="00123928"/>
    <w:rsid w:val="00123F15"/>
    <w:rsid w:val="00124184"/>
    <w:rsid w:val="00124447"/>
    <w:rsid w:val="001277B0"/>
    <w:rsid w:val="001308E9"/>
    <w:rsid w:val="0013314C"/>
    <w:rsid w:val="00134289"/>
    <w:rsid w:val="001357ED"/>
    <w:rsid w:val="00137531"/>
    <w:rsid w:val="001378B7"/>
    <w:rsid w:val="00142AF9"/>
    <w:rsid w:val="00144BF8"/>
    <w:rsid w:val="00145180"/>
    <w:rsid w:val="00145A2B"/>
    <w:rsid w:val="00145F1A"/>
    <w:rsid w:val="00146A95"/>
    <w:rsid w:val="001479C0"/>
    <w:rsid w:val="00147D78"/>
    <w:rsid w:val="00150F7E"/>
    <w:rsid w:val="00151114"/>
    <w:rsid w:val="00153E35"/>
    <w:rsid w:val="001560F2"/>
    <w:rsid w:val="00160375"/>
    <w:rsid w:val="00160BA8"/>
    <w:rsid w:val="00161850"/>
    <w:rsid w:val="00161E67"/>
    <w:rsid w:val="00162BF8"/>
    <w:rsid w:val="00162E1F"/>
    <w:rsid w:val="001637EF"/>
    <w:rsid w:val="001639FA"/>
    <w:rsid w:val="00165562"/>
    <w:rsid w:val="0016673D"/>
    <w:rsid w:val="001670CC"/>
    <w:rsid w:val="001674BB"/>
    <w:rsid w:val="00167BCF"/>
    <w:rsid w:val="00171BAA"/>
    <w:rsid w:val="00173D18"/>
    <w:rsid w:val="001741E2"/>
    <w:rsid w:val="001758D0"/>
    <w:rsid w:val="0017605C"/>
    <w:rsid w:val="001774BC"/>
    <w:rsid w:val="0017777B"/>
    <w:rsid w:val="0018071A"/>
    <w:rsid w:val="0018075D"/>
    <w:rsid w:val="0018187A"/>
    <w:rsid w:val="00181D87"/>
    <w:rsid w:val="001824B9"/>
    <w:rsid w:val="00182A7D"/>
    <w:rsid w:val="00182C3B"/>
    <w:rsid w:val="0018312B"/>
    <w:rsid w:val="00184321"/>
    <w:rsid w:val="00184717"/>
    <w:rsid w:val="001847E8"/>
    <w:rsid w:val="00185701"/>
    <w:rsid w:val="0018761A"/>
    <w:rsid w:val="001914EC"/>
    <w:rsid w:val="001919E0"/>
    <w:rsid w:val="00192F37"/>
    <w:rsid w:val="0019479C"/>
    <w:rsid w:val="00195597"/>
    <w:rsid w:val="001978F0"/>
    <w:rsid w:val="00197BD4"/>
    <w:rsid w:val="001A23CA"/>
    <w:rsid w:val="001A3E97"/>
    <w:rsid w:val="001A6C65"/>
    <w:rsid w:val="001A7ED6"/>
    <w:rsid w:val="001B0238"/>
    <w:rsid w:val="001B148A"/>
    <w:rsid w:val="001B1FD1"/>
    <w:rsid w:val="001B236D"/>
    <w:rsid w:val="001B2A0A"/>
    <w:rsid w:val="001B4B74"/>
    <w:rsid w:val="001B6359"/>
    <w:rsid w:val="001B79CB"/>
    <w:rsid w:val="001B7A5E"/>
    <w:rsid w:val="001B7E9F"/>
    <w:rsid w:val="001C0A4B"/>
    <w:rsid w:val="001C0BA4"/>
    <w:rsid w:val="001C0EA1"/>
    <w:rsid w:val="001C1286"/>
    <w:rsid w:val="001C2A56"/>
    <w:rsid w:val="001C2ECC"/>
    <w:rsid w:val="001C4D74"/>
    <w:rsid w:val="001C5A4B"/>
    <w:rsid w:val="001C6068"/>
    <w:rsid w:val="001C6E81"/>
    <w:rsid w:val="001D01A8"/>
    <w:rsid w:val="001D0887"/>
    <w:rsid w:val="001D2344"/>
    <w:rsid w:val="001D25FA"/>
    <w:rsid w:val="001D3A74"/>
    <w:rsid w:val="001D5254"/>
    <w:rsid w:val="001D6848"/>
    <w:rsid w:val="001E0791"/>
    <w:rsid w:val="001E0B28"/>
    <w:rsid w:val="001E1DC8"/>
    <w:rsid w:val="001E2D2A"/>
    <w:rsid w:val="001E3302"/>
    <w:rsid w:val="001E4D9F"/>
    <w:rsid w:val="001E54AF"/>
    <w:rsid w:val="001E6A34"/>
    <w:rsid w:val="001E7723"/>
    <w:rsid w:val="001F038B"/>
    <w:rsid w:val="001F20CD"/>
    <w:rsid w:val="001F2989"/>
    <w:rsid w:val="001F2C37"/>
    <w:rsid w:val="001F31A4"/>
    <w:rsid w:val="001F56F0"/>
    <w:rsid w:val="001F665C"/>
    <w:rsid w:val="001F7957"/>
    <w:rsid w:val="0020081D"/>
    <w:rsid w:val="00200BC5"/>
    <w:rsid w:val="00201025"/>
    <w:rsid w:val="00201AF4"/>
    <w:rsid w:val="00201C08"/>
    <w:rsid w:val="00202815"/>
    <w:rsid w:val="00202D9D"/>
    <w:rsid w:val="00202F03"/>
    <w:rsid w:val="00205D01"/>
    <w:rsid w:val="00211708"/>
    <w:rsid w:val="00211C65"/>
    <w:rsid w:val="002138A6"/>
    <w:rsid w:val="00213D40"/>
    <w:rsid w:val="00214AD5"/>
    <w:rsid w:val="00215878"/>
    <w:rsid w:val="00217D8A"/>
    <w:rsid w:val="0022008D"/>
    <w:rsid w:val="0022028C"/>
    <w:rsid w:val="00220839"/>
    <w:rsid w:val="00220B2A"/>
    <w:rsid w:val="00223A89"/>
    <w:rsid w:val="0022449D"/>
    <w:rsid w:val="002249DE"/>
    <w:rsid w:val="00225D12"/>
    <w:rsid w:val="00226697"/>
    <w:rsid w:val="002304D9"/>
    <w:rsid w:val="0023065B"/>
    <w:rsid w:val="00230D64"/>
    <w:rsid w:val="00231B24"/>
    <w:rsid w:val="002323FA"/>
    <w:rsid w:val="00233212"/>
    <w:rsid w:val="0023454D"/>
    <w:rsid w:val="00234668"/>
    <w:rsid w:val="00234888"/>
    <w:rsid w:val="00237D13"/>
    <w:rsid w:val="002401AA"/>
    <w:rsid w:val="00240637"/>
    <w:rsid w:val="00241402"/>
    <w:rsid w:val="00241FB2"/>
    <w:rsid w:val="0024221F"/>
    <w:rsid w:val="00242EE4"/>
    <w:rsid w:val="00243C8C"/>
    <w:rsid w:val="0024504E"/>
    <w:rsid w:val="00245784"/>
    <w:rsid w:val="00245CC6"/>
    <w:rsid w:val="00245D0D"/>
    <w:rsid w:val="00245D3C"/>
    <w:rsid w:val="0024632D"/>
    <w:rsid w:val="00246448"/>
    <w:rsid w:val="0025033C"/>
    <w:rsid w:val="00250E1B"/>
    <w:rsid w:val="0025120D"/>
    <w:rsid w:val="002521A7"/>
    <w:rsid w:val="002545E7"/>
    <w:rsid w:val="00255758"/>
    <w:rsid w:val="0025601F"/>
    <w:rsid w:val="00260A6E"/>
    <w:rsid w:val="00261203"/>
    <w:rsid w:val="0026482F"/>
    <w:rsid w:val="002652B9"/>
    <w:rsid w:val="00266703"/>
    <w:rsid w:val="00267541"/>
    <w:rsid w:val="0026762A"/>
    <w:rsid w:val="00267A88"/>
    <w:rsid w:val="00270F51"/>
    <w:rsid w:val="00272A52"/>
    <w:rsid w:val="0027680F"/>
    <w:rsid w:val="002768D7"/>
    <w:rsid w:val="0027799E"/>
    <w:rsid w:val="002779D1"/>
    <w:rsid w:val="00280B57"/>
    <w:rsid w:val="00281306"/>
    <w:rsid w:val="00281963"/>
    <w:rsid w:val="00281D39"/>
    <w:rsid w:val="00281D5E"/>
    <w:rsid w:val="00282225"/>
    <w:rsid w:val="0028243B"/>
    <w:rsid w:val="002829C0"/>
    <w:rsid w:val="00283F99"/>
    <w:rsid w:val="00284124"/>
    <w:rsid w:val="00284BC6"/>
    <w:rsid w:val="0028578A"/>
    <w:rsid w:val="002858A8"/>
    <w:rsid w:val="00286826"/>
    <w:rsid w:val="00287B82"/>
    <w:rsid w:val="002904B7"/>
    <w:rsid w:val="00292933"/>
    <w:rsid w:val="00292B8C"/>
    <w:rsid w:val="00293D6C"/>
    <w:rsid w:val="00295514"/>
    <w:rsid w:val="002968EF"/>
    <w:rsid w:val="00297197"/>
    <w:rsid w:val="00297985"/>
    <w:rsid w:val="002A0EAD"/>
    <w:rsid w:val="002A1A4C"/>
    <w:rsid w:val="002A3774"/>
    <w:rsid w:val="002A3C84"/>
    <w:rsid w:val="002A4EF1"/>
    <w:rsid w:val="002A6406"/>
    <w:rsid w:val="002A6B85"/>
    <w:rsid w:val="002B0B8E"/>
    <w:rsid w:val="002B0F56"/>
    <w:rsid w:val="002B1910"/>
    <w:rsid w:val="002B27A5"/>
    <w:rsid w:val="002B3744"/>
    <w:rsid w:val="002B427E"/>
    <w:rsid w:val="002B4367"/>
    <w:rsid w:val="002B5C41"/>
    <w:rsid w:val="002B72AD"/>
    <w:rsid w:val="002B7756"/>
    <w:rsid w:val="002B7B72"/>
    <w:rsid w:val="002B7C57"/>
    <w:rsid w:val="002C0236"/>
    <w:rsid w:val="002C1695"/>
    <w:rsid w:val="002C1EAD"/>
    <w:rsid w:val="002C5281"/>
    <w:rsid w:val="002C5BD8"/>
    <w:rsid w:val="002C6154"/>
    <w:rsid w:val="002C7707"/>
    <w:rsid w:val="002D0AD7"/>
    <w:rsid w:val="002D1B5E"/>
    <w:rsid w:val="002D21B5"/>
    <w:rsid w:val="002D2447"/>
    <w:rsid w:val="002D2B2C"/>
    <w:rsid w:val="002D429A"/>
    <w:rsid w:val="002D4854"/>
    <w:rsid w:val="002D63E1"/>
    <w:rsid w:val="002D71E4"/>
    <w:rsid w:val="002D7850"/>
    <w:rsid w:val="002E0931"/>
    <w:rsid w:val="002E0B93"/>
    <w:rsid w:val="002E0D5A"/>
    <w:rsid w:val="002E29A3"/>
    <w:rsid w:val="002E2B01"/>
    <w:rsid w:val="002E60E1"/>
    <w:rsid w:val="002E6698"/>
    <w:rsid w:val="002E6E46"/>
    <w:rsid w:val="002E72A3"/>
    <w:rsid w:val="002E7FF0"/>
    <w:rsid w:val="002F08A0"/>
    <w:rsid w:val="002F0F99"/>
    <w:rsid w:val="002F21E2"/>
    <w:rsid w:val="002F2DDD"/>
    <w:rsid w:val="002F33B0"/>
    <w:rsid w:val="002F384B"/>
    <w:rsid w:val="002F44D9"/>
    <w:rsid w:val="002F4E8E"/>
    <w:rsid w:val="002F5348"/>
    <w:rsid w:val="002F550C"/>
    <w:rsid w:val="002F62F5"/>
    <w:rsid w:val="002F7DC7"/>
    <w:rsid w:val="00300900"/>
    <w:rsid w:val="00301C3E"/>
    <w:rsid w:val="00302947"/>
    <w:rsid w:val="00302A26"/>
    <w:rsid w:val="00302EF4"/>
    <w:rsid w:val="00303722"/>
    <w:rsid w:val="0030395C"/>
    <w:rsid w:val="00303E8E"/>
    <w:rsid w:val="0030496B"/>
    <w:rsid w:val="0030537E"/>
    <w:rsid w:val="00306B9F"/>
    <w:rsid w:val="00306C1C"/>
    <w:rsid w:val="0030758A"/>
    <w:rsid w:val="003106DB"/>
    <w:rsid w:val="00310E91"/>
    <w:rsid w:val="00312E28"/>
    <w:rsid w:val="00313868"/>
    <w:rsid w:val="003145DE"/>
    <w:rsid w:val="00314965"/>
    <w:rsid w:val="00314BE5"/>
    <w:rsid w:val="00314D6A"/>
    <w:rsid w:val="0031554A"/>
    <w:rsid w:val="00315E6C"/>
    <w:rsid w:val="00315F49"/>
    <w:rsid w:val="00316585"/>
    <w:rsid w:val="003165A0"/>
    <w:rsid w:val="003168FE"/>
    <w:rsid w:val="0031747A"/>
    <w:rsid w:val="003175A6"/>
    <w:rsid w:val="00321847"/>
    <w:rsid w:val="00322282"/>
    <w:rsid w:val="00322C4F"/>
    <w:rsid w:val="00324B14"/>
    <w:rsid w:val="003259BE"/>
    <w:rsid w:val="00327D0E"/>
    <w:rsid w:val="0033065C"/>
    <w:rsid w:val="00331751"/>
    <w:rsid w:val="0033187D"/>
    <w:rsid w:val="0033217F"/>
    <w:rsid w:val="0033294E"/>
    <w:rsid w:val="00332B67"/>
    <w:rsid w:val="00332F2B"/>
    <w:rsid w:val="00333712"/>
    <w:rsid w:val="003341F0"/>
    <w:rsid w:val="003355DE"/>
    <w:rsid w:val="0033563B"/>
    <w:rsid w:val="00337090"/>
    <w:rsid w:val="0033756B"/>
    <w:rsid w:val="00337694"/>
    <w:rsid w:val="003406C1"/>
    <w:rsid w:val="00340D92"/>
    <w:rsid w:val="00340FD0"/>
    <w:rsid w:val="0034157C"/>
    <w:rsid w:val="003419DA"/>
    <w:rsid w:val="00342329"/>
    <w:rsid w:val="003456EF"/>
    <w:rsid w:val="003457BF"/>
    <w:rsid w:val="00345C2F"/>
    <w:rsid w:val="00346026"/>
    <w:rsid w:val="003470CA"/>
    <w:rsid w:val="00347277"/>
    <w:rsid w:val="00350102"/>
    <w:rsid w:val="0035164B"/>
    <w:rsid w:val="00352549"/>
    <w:rsid w:val="003541A0"/>
    <w:rsid w:val="00355773"/>
    <w:rsid w:val="0035578F"/>
    <w:rsid w:val="00356D1A"/>
    <w:rsid w:val="00356EAF"/>
    <w:rsid w:val="003577AA"/>
    <w:rsid w:val="0035796C"/>
    <w:rsid w:val="003600C5"/>
    <w:rsid w:val="00361406"/>
    <w:rsid w:val="003617B3"/>
    <w:rsid w:val="00361F78"/>
    <w:rsid w:val="003623DE"/>
    <w:rsid w:val="00363F9F"/>
    <w:rsid w:val="003643C2"/>
    <w:rsid w:val="0036466F"/>
    <w:rsid w:val="00365B5B"/>
    <w:rsid w:val="0036737C"/>
    <w:rsid w:val="00371B69"/>
    <w:rsid w:val="00371BC2"/>
    <w:rsid w:val="00371D5C"/>
    <w:rsid w:val="00371ECF"/>
    <w:rsid w:val="00372261"/>
    <w:rsid w:val="00372E2F"/>
    <w:rsid w:val="0037385F"/>
    <w:rsid w:val="0037523C"/>
    <w:rsid w:val="00375410"/>
    <w:rsid w:val="00375546"/>
    <w:rsid w:val="00377957"/>
    <w:rsid w:val="00377BA6"/>
    <w:rsid w:val="00380D55"/>
    <w:rsid w:val="003815E9"/>
    <w:rsid w:val="00382A4C"/>
    <w:rsid w:val="00383628"/>
    <w:rsid w:val="00384098"/>
    <w:rsid w:val="003858A9"/>
    <w:rsid w:val="003867A9"/>
    <w:rsid w:val="00387C3F"/>
    <w:rsid w:val="0039159B"/>
    <w:rsid w:val="003920A8"/>
    <w:rsid w:val="00394F3E"/>
    <w:rsid w:val="00395F0C"/>
    <w:rsid w:val="00396D57"/>
    <w:rsid w:val="00397327"/>
    <w:rsid w:val="003A0BFC"/>
    <w:rsid w:val="003A108D"/>
    <w:rsid w:val="003A1E3A"/>
    <w:rsid w:val="003A224D"/>
    <w:rsid w:val="003A3D5B"/>
    <w:rsid w:val="003A443D"/>
    <w:rsid w:val="003A4DF4"/>
    <w:rsid w:val="003A505A"/>
    <w:rsid w:val="003A5110"/>
    <w:rsid w:val="003A6A7F"/>
    <w:rsid w:val="003A6BB5"/>
    <w:rsid w:val="003A6EA4"/>
    <w:rsid w:val="003A7249"/>
    <w:rsid w:val="003A7841"/>
    <w:rsid w:val="003A78D8"/>
    <w:rsid w:val="003B0738"/>
    <w:rsid w:val="003B09C5"/>
    <w:rsid w:val="003B1845"/>
    <w:rsid w:val="003B231D"/>
    <w:rsid w:val="003B254A"/>
    <w:rsid w:val="003B31F5"/>
    <w:rsid w:val="003B56B8"/>
    <w:rsid w:val="003B6259"/>
    <w:rsid w:val="003B6A33"/>
    <w:rsid w:val="003C032A"/>
    <w:rsid w:val="003C0D1E"/>
    <w:rsid w:val="003C137B"/>
    <w:rsid w:val="003C189E"/>
    <w:rsid w:val="003C1DAE"/>
    <w:rsid w:val="003C3FAF"/>
    <w:rsid w:val="003C4BCE"/>
    <w:rsid w:val="003C4D16"/>
    <w:rsid w:val="003C4E82"/>
    <w:rsid w:val="003C5E2A"/>
    <w:rsid w:val="003C5FBD"/>
    <w:rsid w:val="003C7076"/>
    <w:rsid w:val="003C7883"/>
    <w:rsid w:val="003C7933"/>
    <w:rsid w:val="003D1068"/>
    <w:rsid w:val="003D2632"/>
    <w:rsid w:val="003D3C81"/>
    <w:rsid w:val="003D69D6"/>
    <w:rsid w:val="003D6A14"/>
    <w:rsid w:val="003D7119"/>
    <w:rsid w:val="003E02A3"/>
    <w:rsid w:val="003E0701"/>
    <w:rsid w:val="003E07EC"/>
    <w:rsid w:val="003E2224"/>
    <w:rsid w:val="003E4FC4"/>
    <w:rsid w:val="003E5275"/>
    <w:rsid w:val="003E57A9"/>
    <w:rsid w:val="003E5A73"/>
    <w:rsid w:val="003E5F1B"/>
    <w:rsid w:val="003E749E"/>
    <w:rsid w:val="003E75C4"/>
    <w:rsid w:val="003E7878"/>
    <w:rsid w:val="003F1103"/>
    <w:rsid w:val="003F4326"/>
    <w:rsid w:val="003F549D"/>
    <w:rsid w:val="003F60F5"/>
    <w:rsid w:val="003F6820"/>
    <w:rsid w:val="003F6AB9"/>
    <w:rsid w:val="004013E2"/>
    <w:rsid w:val="00401A7F"/>
    <w:rsid w:val="00402DDE"/>
    <w:rsid w:val="004030B5"/>
    <w:rsid w:val="00403F0F"/>
    <w:rsid w:val="00406466"/>
    <w:rsid w:val="00406ABD"/>
    <w:rsid w:val="00407A8F"/>
    <w:rsid w:val="00407E4B"/>
    <w:rsid w:val="004102B3"/>
    <w:rsid w:val="00410A9F"/>
    <w:rsid w:val="00413EE2"/>
    <w:rsid w:val="00414762"/>
    <w:rsid w:val="00414A15"/>
    <w:rsid w:val="00414A2F"/>
    <w:rsid w:val="0041580C"/>
    <w:rsid w:val="00416064"/>
    <w:rsid w:val="004161B7"/>
    <w:rsid w:val="00416602"/>
    <w:rsid w:val="004212DA"/>
    <w:rsid w:val="004220F8"/>
    <w:rsid w:val="004221C5"/>
    <w:rsid w:val="004224A1"/>
    <w:rsid w:val="004224B3"/>
    <w:rsid w:val="0042251E"/>
    <w:rsid w:val="0042337B"/>
    <w:rsid w:val="00423D3D"/>
    <w:rsid w:val="004246F7"/>
    <w:rsid w:val="00424850"/>
    <w:rsid w:val="00425570"/>
    <w:rsid w:val="004264C5"/>
    <w:rsid w:val="004268A6"/>
    <w:rsid w:val="004276A9"/>
    <w:rsid w:val="004277D9"/>
    <w:rsid w:val="00427DC4"/>
    <w:rsid w:val="004300FB"/>
    <w:rsid w:val="00430681"/>
    <w:rsid w:val="004308C2"/>
    <w:rsid w:val="00432799"/>
    <w:rsid w:val="0043440C"/>
    <w:rsid w:val="00434D3D"/>
    <w:rsid w:val="00434E27"/>
    <w:rsid w:val="00434EC1"/>
    <w:rsid w:val="00435781"/>
    <w:rsid w:val="00435858"/>
    <w:rsid w:val="00436D26"/>
    <w:rsid w:val="00437334"/>
    <w:rsid w:val="00437D33"/>
    <w:rsid w:val="00437DF9"/>
    <w:rsid w:val="0044047A"/>
    <w:rsid w:val="00440B37"/>
    <w:rsid w:val="00444C12"/>
    <w:rsid w:val="00445123"/>
    <w:rsid w:val="0044607B"/>
    <w:rsid w:val="00451A84"/>
    <w:rsid w:val="00452886"/>
    <w:rsid w:val="00454947"/>
    <w:rsid w:val="00456AB5"/>
    <w:rsid w:val="00456CA9"/>
    <w:rsid w:val="00461980"/>
    <w:rsid w:val="00464A02"/>
    <w:rsid w:val="00464A64"/>
    <w:rsid w:val="00464DE9"/>
    <w:rsid w:val="00464F48"/>
    <w:rsid w:val="00466E2F"/>
    <w:rsid w:val="00466FBF"/>
    <w:rsid w:val="00467018"/>
    <w:rsid w:val="00467F4A"/>
    <w:rsid w:val="00470E42"/>
    <w:rsid w:val="004716D0"/>
    <w:rsid w:val="004717DE"/>
    <w:rsid w:val="00471917"/>
    <w:rsid w:val="00472B29"/>
    <w:rsid w:val="00472BFD"/>
    <w:rsid w:val="0047488B"/>
    <w:rsid w:val="00474B8F"/>
    <w:rsid w:val="00476505"/>
    <w:rsid w:val="00476627"/>
    <w:rsid w:val="004776A7"/>
    <w:rsid w:val="00480BBF"/>
    <w:rsid w:val="00480BC0"/>
    <w:rsid w:val="00482915"/>
    <w:rsid w:val="0048308F"/>
    <w:rsid w:val="00483E12"/>
    <w:rsid w:val="00485898"/>
    <w:rsid w:val="00487FD9"/>
    <w:rsid w:val="004904DB"/>
    <w:rsid w:val="00490FF0"/>
    <w:rsid w:val="0049104D"/>
    <w:rsid w:val="00491774"/>
    <w:rsid w:val="00491923"/>
    <w:rsid w:val="00491A0A"/>
    <w:rsid w:val="00491C08"/>
    <w:rsid w:val="00491D60"/>
    <w:rsid w:val="00491FD9"/>
    <w:rsid w:val="00492A7A"/>
    <w:rsid w:val="00492B5B"/>
    <w:rsid w:val="0049335D"/>
    <w:rsid w:val="004A03C1"/>
    <w:rsid w:val="004A26BE"/>
    <w:rsid w:val="004A29FC"/>
    <w:rsid w:val="004A3820"/>
    <w:rsid w:val="004A3D0A"/>
    <w:rsid w:val="004A3F80"/>
    <w:rsid w:val="004A46FF"/>
    <w:rsid w:val="004A4955"/>
    <w:rsid w:val="004A4A7F"/>
    <w:rsid w:val="004A4DE7"/>
    <w:rsid w:val="004A5F80"/>
    <w:rsid w:val="004A6E80"/>
    <w:rsid w:val="004A6ED8"/>
    <w:rsid w:val="004B107C"/>
    <w:rsid w:val="004B126A"/>
    <w:rsid w:val="004B1577"/>
    <w:rsid w:val="004B2C29"/>
    <w:rsid w:val="004B563A"/>
    <w:rsid w:val="004B5693"/>
    <w:rsid w:val="004B60FC"/>
    <w:rsid w:val="004B629D"/>
    <w:rsid w:val="004B635F"/>
    <w:rsid w:val="004B6DE1"/>
    <w:rsid w:val="004B7209"/>
    <w:rsid w:val="004B7A04"/>
    <w:rsid w:val="004B7B02"/>
    <w:rsid w:val="004C16C4"/>
    <w:rsid w:val="004C2CDD"/>
    <w:rsid w:val="004C2F06"/>
    <w:rsid w:val="004C4003"/>
    <w:rsid w:val="004C4449"/>
    <w:rsid w:val="004C6E40"/>
    <w:rsid w:val="004C7DFB"/>
    <w:rsid w:val="004D07B6"/>
    <w:rsid w:val="004D086A"/>
    <w:rsid w:val="004D0FCE"/>
    <w:rsid w:val="004D1461"/>
    <w:rsid w:val="004D1E2B"/>
    <w:rsid w:val="004D2D02"/>
    <w:rsid w:val="004D333B"/>
    <w:rsid w:val="004D389D"/>
    <w:rsid w:val="004D3BC6"/>
    <w:rsid w:val="004D4A6C"/>
    <w:rsid w:val="004D6946"/>
    <w:rsid w:val="004D75A4"/>
    <w:rsid w:val="004E12F8"/>
    <w:rsid w:val="004E2026"/>
    <w:rsid w:val="004E4157"/>
    <w:rsid w:val="004E4A16"/>
    <w:rsid w:val="004E6564"/>
    <w:rsid w:val="004E7D95"/>
    <w:rsid w:val="004F0345"/>
    <w:rsid w:val="004F0B37"/>
    <w:rsid w:val="004F10A1"/>
    <w:rsid w:val="004F1284"/>
    <w:rsid w:val="004F176D"/>
    <w:rsid w:val="004F1C4B"/>
    <w:rsid w:val="004F21CB"/>
    <w:rsid w:val="004F24BC"/>
    <w:rsid w:val="004F319B"/>
    <w:rsid w:val="004F364E"/>
    <w:rsid w:val="004F368B"/>
    <w:rsid w:val="004F3904"/>
    <w:rsid w:val="004F458A"/>
    <w:rsid w:val="004F483C"/>
    <w:rsid w:val="004F5E2B"/>
    <w:rsid w:val="004F66CC"/>
    <w:rsid w:val="004F6841"/>
    <w:rsid w:val="004F7B8F"/>
    <w:rsid w:val="004F7EFF"/>
    <w:rsid w:val="00500A48"/>
    <w:rsid w:val="00501781"/>
    <w:rsid w:val="00502391"/>
    <w:rsid w:val="00502972"/>
    <w:rsid w:val="00502ED6"/>
    <w:rsid w:val="00503D42"/>
    <w:rsid w:val="00504235"/>
    <w:rsid w:val="00504872"/>
    <w:rsid w:val="0050581A"/>
    <w:rsid w:val="00505871"/>
    <w:rsid w:val="005061EA"/>
    <w:rsid w:val="0050684E"/>
    <w:rsid w:val="0050760D"/>
    <w:rsid w:val="00507E37"/>
    <w:rsid w:val="00507EC7"/>
    <w:rsid w:val="005105F9"/>
    <w:rsid w:val="00510AB8"/>
    <w:rsid w:val="00511508"/>
    <w:rsid w:val="00512A53"/>
    <w:rsid w:val="005144D5"/>
    <w:rsid w:val="0051474D"/>
    <w:rsid w:val="00516B49"/>
    <w:rsid w:val="005176C3"/>
    <w:rsid w:val="005204AE"/>
    <w:rsid w:val="00520A90"/>
    <w:rsid w:val="00523DA9"/>
    <w:rsid w:val="00524B8D"/>
    <w:rsid w:val="005254F4"/>
    <w:rsid w:val="00525B48"/>
    <w:rsid w:val="005265E5"/>
    <w:rsid w:val="005267B3"/>
    <w:rsid w:val="0053013D"/>
    <w:rsid w:val="0053033C"/>
    <w:rsid w:val="00530CDF"/>
    <w:rsid w:val="0053129A"/>
    <w:rsid w:val="00531683"/>
    <w:rsid w:val="00531A93"/>
    <w:rsid w:val="00531F45"/>
    <w:rsid w:val="0053266B"/>
    <w:rsid w:val="00533210"/>
    <w:rsid w:val="0053466E"/>
    <w:rsid w:val="005375D1"/>
    <w:rsid w:val="005402C2"/>
    <w:rsid w:val="0054051F"/>
    <w:rsid w:val="00540975"/>
    <w:rsid w:val="00540A10"/>
    <w:rsid w:val="00541E65"/>
    <w:rsid w:val="00543288"/>
    <w:rsid w:val="00543EAF"/>
    <w:rsid w:val="0054495B"/>
    <w:rsid w:val="00544C2C"/>
    <w:rsid w:val="00545334"/>
    <w:rsid w:val="00545A6E"/>
    <w:rsid w:val="00551143"/>
    <w:rsid w:val="005511BC"/>
    <w:rsid w:val="005522DB"/>
    <w:rsid w:val="0055337B"/>
    <w:rsid w:val="005534A1"/>
    <w:rsid w:val="00553A03"/>
    <w:rsid w:val="005559D3"/>
    <w:rsid w:val="005570D1"/>
    <w:rsid w:val="00557F2B"/>
    <w:rsid w:val="00560427"/>
    <w:rsid w:val="005609A1"/>
    <w:rsid w:val="005609F3"/>
    <w:rsid w:val="00560EE7"/>
    <w:rsid w:val="00561434"/>
    <w:rsid w:val="00562588"/>
    <w:rsid w:val="00562CA2"/>
    <w:rsid w:val="00566417"/>
    <w:rsid w:val="0056684E"/>
    <w:rsid w:val="005679EA"/>
    <w:rsid w:val="00570AE5"/>
    <w:rsid w:val="00571B2E"/>
    <w:rsid w:val="00573621"/>
    <w:rsid w:val="00575FD0"/>
    <w:rsid w:val="005761D8"/>
    <w:rsid w:val="005762D5"/>
    <w:rsid w:val="0057799E"/>
    <w:rsid w:val="00577E52"/>
    <w:rsid w:val="005802D9"/>
    <w:rsid w:val="005808BD"/>
    <w:rsid w:val="00581A5D"/>
    <w:rsid w:val="00581AD0"/>
    <w:rsid w:val="00582470"/>
    <w:rsid w:val="005824BF"/>
    <w:rsid w:val="00582574"/>
    <w:rsid w:val="00582813"/>
    <w:rsid w:val="005836C5"/>
    <w:rsid w:val="00583AB4"/>
    <w:rsid w:val="00583B0E"/>
    <w:rsid w:val="00583B3F"/>
    <w:rsid w:val="00583B83"/>
    <w:rsid w:val="00583E2F"/>
    <w:rsid w:val="00584775"/>
    <w:rsid w:val="005848A0"/>
    <w:rsid w:val="005856BB"/>
    <w:rsid w:val="00585CB3"/>
    <w:rsid w:val="00586350"/>
    <w:rsid w:val="005875C6"/>
    <w:rsid w:val="00587DB6"/>
    <w:rsid w:val="0059079E"/>
    <w:rsid w:val="00590AFE"/>
    <w:rsid w:val="00590BA1"/>
    <w:rsid w:val="00590CB9"/>
    <w:rsid w:val="005911EB"/>
    <w:rsid w:val="005918A0"/>
    <w:rsid w:val="00591E5E"/>
    <w:rsid w:val="005922B4"/>
    <w:rsid w:val="00594909"/>
    <w:rsid w:val="00595156"/>
    <w:rsid w:val="00596669"/>
    <w:rsid w:val="00597349"/>
    <w:rsid w:val="00597647"/>
    <w:rsid w:val="005A01DB"/>
    <w:rsid w:val="005A05A7"/>
    <w:rsid w:val="005A0F0A"/>
    <w:rsid w:val="005A148A"/>
    <w:rsid w:val="005A1C20"/>
    <w:rsid w:val="005A22FA"/>
    <w:rsid w:val="005A2560"/>
    <w:rsid w:val="005A3BEA"/>
    <w:rsid w:val="005A48E3"/>
    <w:rsid w:val="005A4A6C"/>
    <w:rsid w:val="005A5706"/>
    <w:rsid w:val="005A64A1"/>
    <w:rsid w:val="005A6B6D"/>
    <w:rsid w:val="005A7007"/>
    <w:rsid w:val="005A7E94"/>
    <w:rsid w:val="005B188B"/>
    <w:rsid w:val="005B6315"/>
    <w:rsid w:val="005B7B27"/>
    <w:rsid w:val="005B7CCE"/>
    <w:rsid w:val="005C00F4"/>
    <w:rsid w:val="005C1B32"/>
    <w:rsid w:val="005C4CC8"/>
    <w:rsid w:val="005C5135"/>
    <w:rsid w:val="005C5C8E"/>
    <w:rsid w:val="005C68B4"/>
    <w:rsid w:val="005C7899"/>
    <w:rsid w:val="005C7CA6"/>
    <w:rsid w:val="005D0135"/>
    <w:rsid w:val="005D0141"/>
    <w:rsid w:val="005D044A"/>
    <w:rsid w:val="005D0584"/>
    <w:rsid w:val="005D2474"/>
    <w:rsid w:val="005D255B"/>
    <w:rsid w:val="005D3202"/>
    <w:rsid w:val="005D3A45"/>
    <w:rsid w:val="005D458C"/>
    <w:rsid w:val="005D6B77"/>
    <w:rsid w:val="005D7CA4"/>
    <w:rsid w:val="005E0B0B"/>
    <w:rsid w:val="005E12D6"/>
    <w:rsid w:val="005E12D7"/>
    <w:rsid w:val="005E159D"/>
    <w:rsid w:val="005E160F"/>
    <w:rsid w:val="005E2398"/>
    <w:rsid w:val="005E2A7A"/>
    <w:rsid w:val="005E3429"/>
    <w:rsid w:val="005E385D"/>
    <w:rsid w:val="005E4317"/>
    <w:rsid w:val="005E5068"/>
    <w:rsid w:val="005E56EA"/>
    <w:rsid w:val="005E6436"/>
    <w:rsid w:val="005E6550"/>
    <w:rsid w:val="005E6BF7"/>
    <w:rsid w:val="005F15D6"/>
    <w:rsid w:val="005F1E61"/>
    <w:rsid w:val="005F2637"/>
    <w:rsid w:val="005F2EA1"/>
    <w:rsid w:val="005F36A2"/>
    <w:rsid w:val="005F40C3"/>
    <w:rsid w:val="0060062C"/>
    <w:rsid w:val="006011B1"/>
    <w:rsid w:val="0060319A"/>
    <w:rsid w:val="006033E1"/>
    <w:rsid w:val="00604F22"/>
    <w:rsid w:val="006056B9"/>
    <w:rsid w:val="0060679E"/>
    <w:rsid w:val="006105C8"/>
    <w:rsid w:val="00610C34"/>
    <w:rsid w:val="00612CFE"/>
    <w:rsid w:val="00612D1D"/>
    <w:rsid w:val="00613571"/>
    <w:rsid w:val="006139C6"/>
    <w:rsid w:val="0061479F"/>
    <w:rsid w:val="00617AD7"/>
    <w:rsid w:val="00621F94"/>
    <w:rsid w:val="00623671"/>
    <w:rsid w:val="00623C16"/>
    <w:rsid w:val="006258C1"/>
    <w:rsid w:val="00625964"/>
    <w:rsid w:val="00625B3B"/>
    <w:rsid w:val="00626AF2"/>
    <w:rsid w:val="006270F3"/>
    <w:rsid w:val="00627366"/>
    <w:rsid w:val="0062748F"/>
    <w:rsid w:val="00630044"/>
    <w:rsid w:val="0063168B"/>
    <w:rsid w:val="00631A0A"/>
    <w:rsid w:val="00632179"/>
    <w:rsid w:val="006326F1"/>
    <w:rsid w:val="006334CE"/>
    <w:rsid w:val="006336C2"/>
    <w:rsid w:val="00633F9F"/>
    <w:rsid w:val="00634824"/>
    <w:rsid w:val="006355A5"/>
    <w:rsid w:val="00635D61"/>
    <w:rsid w:val="006363DE"/>
    <w:rsid w:val="006365AC"/>
    <w:rsid w:val="00636B75"/>
    <w:rsid w:val="00636F3B"/>
    <w:rsid w:val="006371E3"/>
    <w:rsid w:val="0064067D"/>
    <w:rsid w:val="00640CF0"/>
    <w:rsid w:val="006418D2"/>
    <w:rsid w:val="00642F12"/>
    <w:rsid w:val="0064632D"/>
    <w:rsid w:val="0064660E"/>
    <w:rsid w:val="00650C2E"/>
    <w:rsid w:val="0065176E"/>
    <w:rsid w:val="006532B1"/>
    <w:rsid w:val="006543A7"/>
    <w:rsid w:val="00654473"/>
    <w:rsid w:val="006549A7"/>
    <w:rsid w:val="00656421"/>
    <w:rsid w:val="00656F19"/>
    <w:rsid w:val="0065786F"/>
    <w:rsid w:val="006578EB"/>
    <w:rsid w:val="006579BF"/>
    <w:rsid w:val="00657F86"/>
    <w:rsid w:val="0066028C"/>
    <w:rsid w:val="00661F34"/>
    <w:rsid w:val="00662E41"/>
    <w:rsid w:val="00663120"/>
    <w:rsid w:val="0066361F"/>
    <w:rsid w:val="00663F51"/>
    <w:rsid w:val="0067065A"/>
    <w:rsid w:val="00670770"/>
    <w:rsid w:val="00671C50"/>
    <w:rsid w:val="00673120"/>
    <w:rsid w:val="00673512"/>
    <w:rsid w:val="006743A4"/>
    <w:rsid w:val="006744EE"/>
    <w:rsid w:val="0067463E"/>
    <w:rsid w:val="0067537C"/>
    <w:rsid w:val="006759B5"/>
    <w:rsid w:val="00675A44"/>
    <w:rsid w:val="00675FD4"/>
    <w:rsid w:val="00677AD3"/>
    <w:rsid w:val="00680313"/>
    <w:rsid w:val="00680459"/>
    <w:rsid w:val="006804B0"/>
    <w:rsid w:val="0068092D"/>
    <w:rsid w:val="00682426"/>
    <w:rsid w:val="006842B0"/>
    <w:rsid w:val="00684399"/>
    <w:rsid w:val="0068458D"/>
    <w:rsid w:val="00684CAC"/>
    <w:rsid w:val="00687034"/>
    <w:rsid w:val="00687BC5"/>
    <w:rsid w:val="00692585"/>
    <w:rsid w:val="00694E65"/>
    <w:rsid w:val="00694FB0"/>
    <w:rsid w:val="00695144"/>
    <w:rsid w:val="00696BCA"/>
    <w:rsid w:val="00696F91"/>
    <w:rsid w:val="00697C17"/>
    <w:rsid w:val="006A0228"/>
    <w:rsid w:val="006A0ADE"/>
    <w:rsid w:val="006A12D6"/>
    <w:rsid w:val="006A1618"/>
    <w:rsid w:val="006A22D9"/>
    <w:rsid w:val="006A44C2"/>
    <w:rsid w:val="006A4733"/>
    <w:rsid w:val="006A4E03"/>
    <w:rsid w:val="006A7A66"/>
    <w:rsid w:val="006B0279"/>
    <w:rsid w:val="006B3227"/>
    <w:rsid w:val="006B4EAF"/>
    <w:rsid w:val="006B5172"/>
    <w:rsid w:val="006B6600"/>
    <w:rsid w:val="006B7F1D"/>
    <w:rsid w:val="006C1CE2"/>
    <w:rsid w:val="006C2642"/>
    <w:rsid w:val="006C287D"/>
    <w:rsid w:val="006C2B73"/>
    <w:rsid w:val="006C380F"/>
    <w:rsid w:val="006C3BF1"/>
    <w:rsid w:val="006C4050"/>
    <w:rsid w:val="006C414C"/>
    <w:rsid w:val="006C5378"/>
    <w:rsid w:val="006C5F78"/>
    <w:rsid w:val="006C6B4E"/>
    <w:rsid w:val="006C6CB8"/>
    <w:rsid w:val="006D0BBD"/>
    <w:rsid w:val="006D0D77"/>
    <w:rsid w:val="006D220A"/>
    <w:rsid w:val="006D3566"/>
    <w:rsid w:val="006D385B"/>
    <w:rsid w:val="006D4528"/>
    <w:rsid w:val="006D47E7"/>
    <w:rsid w:val="006D498A"/>
    <w:rsid w:val="006D5AD7"/>
    <w:rsid w:val="006D67B4"/>
    <w:rsid w:val="006D6ECF"/>
    <w:rsid w:val="006D72AD"/>
    <w:rsid w:val="006D7603"/>
    <w:rsid w:val="006E04E8"/>
    <w:rsid w:val="006E27B3"/>
    <w:rsid w:val="006E2B9E"/>
    <w:rsid w:val="006E34D8"/>
    <w:rsid w:val="006E4A3A"/>
    <w:rsid w:val="006E4C59"/>
    <w:rsid w:val="006E54BB"/>
    <w:rsid w:val="006E77D5"/>
    <w:rsid w:val="006E7FAE"/>
    <w:rsid w:val="006F01F3"/>
    <w:rsid w:val="006F0D81"/>
    <w:rsid w:val="006F298C"/>
    <w:rsid w:val="006F2E2D"/>
    <w:rsid w:val="006F2F55"/>
    <w:rsid w:val="006F3B17"/>
    <w:rsid w:val="006F3BFC"/>
    <w:rsid w:val="006F483B"/>
    <w:rsid w:val="006F4AE5"/>
    <w:rsid w:val="006F5161"/>
    <w:rsid w:val="006F58DC"/>
    <w:rsid w:val="006F5D2E"/>
    <w:rsid w:val="006F7AC2"/>
    <w:rsid w:val="0070046F"/>
    <w:rsid w:val="00700CFD"/>
    <w:rsid w:val="00701D59"/>
    <w:rsid w:val="00702CB6"/>
    <w:rsid w:val="0070389D"/>
    <w:rsid w:val="00703A42"/>
    <w:rsid w:val="00704090"/>
    <w:rsid w:val="00705034"/>
    <w:rsid w:val="00705583"/>
    <w:rsid w:val="007071B1"/>
    <w:rsid w:val="00710E20"/>
    <w:rsid w:val="007116F3"/>
    <w:rsid w:val="007117F3"/>
    <w:rsid w:val="00711AFA"/>
    <w:rsid w:val="00712C37"/>
    <w:rsid w:val="00712F07"/>
    <w:rsid w:val="00713F7A"/>
    <w:rsid w:val="00716219"/>
    <w:rsid w:val="00716249"/>
    <w:rsid w:val="00716AB9"/>
    <w:rsid w:val="00720EA9"/>
    <w:rsid w:val="00721984"/>
    <w:rsid w:val="00722140"/>
    <w:rsid w:val="00722A19"/>
    <w:rsid w:val="00722D79"/>
    <w:rsid w:val="00722DD4"/>
    <w:rsid w:val="00723037"/>
    <w:rsid w:val="00725E58"/>
    <w:rsid w:val="00727536"/>
    <w:rsid w:val="00727B3F"/>
    <w:rsid w:val="00727C0C"/>
    <w:rsid w:val="007305B7"/>
    <w:rsid w:val="00731D45"/>
    <w:rsid w:val="007325F3"/>
    <w:rsid w:val="00732782"/>
    <w:rsid w:val="007335E9"/>
    <w:rsid w:val="0073445F"/>
    <w:rsid w:val="007348B4"/>
    <w:rsid w:val="0073554B"/>
    <w:rsid w:val="00736711"/>
    <w:rsid w:val="00736A12"/>
    <w:rsid w:val="00736A7C"/>
    <w:rsid w:val="00741A30"/>
    <w:rsid w:val="00741E4B"/>
    <w:rsid w:val="007422B6"/>
    <w:rsid w:val="007434F4"/>
    <w:rsid w:val="0074383D"/>
    <w:rsid w:val="00744C04"/>
    <w:rsid w:val="00747388"/>
    <w:rsid w:val="00747A41"/>
    <w:rsid w:val="00747B3C"/>
    <w:rsid w:val="00747FD5"/>
    <w:rsid w:val="0075115F"/>
    <w:rsid w:val="007512F0"/>
    <w:rsid w:val="00752DEE"/>
    <w:rsid w:val="00753C04"/>
    <w:rsid w:val="007544A5"/>
    <w:rsid w:val="007555D4"/>
    <w:rsid w:val="007559F7"/>
    <w:rsid w:val="007565BB"/>
    <w:rsid w:val="00756984"/>
    <w:rsid w:val="007616FF"/>
    <w:rsid w:val="00762211"/>
    <w:rsid w:val="0076223F"/>
    <w:rsid w:val="00762486"/>
    <w:rsid w:val="00762620"/>
    <w:rsid w:val="00762E60"/>
    <w:rsid w:val="00763AE5"/>
    <w:rsid w:val="00764720"/>
    <w:rsid w:val="00764A9F"/>
    <w:rsid w:val="00764B37"/>
    <w:rsid w:val="00764DDA"/>
    <w:rsid w:val="00764E59"/>
    <w:rsid w:val="00765532"/>
    <w:rsid w:val="00767C8D"/>
    <w:rsid w:val="00767E1D"/>
    <w:rsid w:val="00767F71"/>
    <w:rsid w:val="0077024A"/>
    <w:rsid w:val="00770366"/>
    <w:rsid w:val="007706AE"/>
    <w:rsid w:val="007712A4"/>
    <w:rsid w:val="00771EB6"/>
    <w:rsid w:val="0077248A"/>
    <w:rsid w:val="00773E1C"/>
    <w:rsid w:val="0077531D"/>
    <w:rsid w:val="00775B9B"/>
    <w:rsid w:val="00776285"/>
    <w:rsid w:val="00776881"/>
    <w:rsid w:val="00780AE6"/>
    <w:rsid w:val="00781C50"/>
    <w:rsid w:val="007820D2"/>
    <w:rsid w:val="00782284"/>
    <w:rsid w:val="00783606"/>
    <w:rsid w:val="00783DF2"/>
    <w:rsid w:val="00785288"/>
    <w:rsid w:val="00785986"/>
    <w:rsid w:val="007863A8"/>
    <w:rsid w:val="007864B3"/>
    <w:rsid w:val="0078679C"/>
    <w:rsid w:val="00787116"/>
    <w:rsid w:val="007873B6"/>
    <w:rsid w:val="00791522"/>
    <w:rsid w:val="00791743"/>
    <w:rsid w:val="00791AF8"/>
    <w:rsid w:val="0079287F"/>
    <w:rsid w:val="007928FC"/>
    <w:rsid w:val="0079366E"/>
    <w:rsid w:val="00793F40"/>
    <w:rsid w:val="00794BFA"/>
    <w:rsid w:val="00794DF3"/>
    <w:rsid w:val="00796EA6"/>
    <w:rsid w:val="007973E3"/>
    <w:rsid w:val="00797A92"/>
    <w:rsid w:val="007A0AB9"/>
    <w:rsid w:val="007A1704"/>
    <w:rsid w:val="007A1A6F"/>
    <w:rsid w:val="007A1C8C"/>
    <w:rsid w:val="007A1D99"/>
    <w:rsid w:val="007A1E0A"/>
    <w:rsid w:val="007A268C"/>
    <w:rsid w:val="007A3238"/>
    <w:rsid w:val="007A5168"/>
    <w:rsid w:val="007A58F2"/>
    <w:rsid w:val="007B3446"/>
    <w:rsid w:val="007B3D72"/>
    <w:rsid w:val="007B3FD7"/>
    <w:rsid w:val="007B3FF2"/>
    <w:rsid w:val="007B404C"/>
    <w:rsid w:val="007B4BB5"/>
    <w:rsid w:val="007B65FA"/>
    <w:rsid w:val="007B6CD5"/>
    <w:rsid w:val="007B7F32"/>
    <w:rsid w:val="007C01CC"/>
    <w:rsid w:val="007C0783"/>
    <w:rsid w:val="007C0ACC"/>
    <w:rsid w:val="007C0F13"/>
    <w:rsid w:val="007C1566"/>
    <w:rsid w:val="007C1E27"/>
    <w:rsid w:val="007C216E"/>
    <w:rsid w:val="007C2A5D"/>
    <w:rsid w:val="007C3456"/>
    <w:rsid w:val="007C4FF5"/>
    <w:rsid w:val="007C52E2"/>
    <w:rsid w:val="007C53F7"/>
    <w:rsid w:val="007C55A5"/>
    <w:rsid w:val="007C5D01"/>
    <w:rsid w:val="007C7115"/>
    <w:rsid w:val="007C7CEF"/>
    <w:rsid w:val="007D0495"/>
    <w:rsid w:val="007D08FC"/>
    <w:rsid w:val="007D1719"/>
    <w:rsid w:val="007D17F2"/>
    <w:rsid w:val="007D17FB"/>
    <w:rsid w:val="007D2650"/>
    <w:rsid w:val="007D3606"/>
    <w:rsid w:val="007D3D31"/>
    <w:rsid w:val="007D3D80"/>
    <w:rsid w:val="007D430B"/>
    <w:rsid w:val="007D5D4F"/>
    <w:rsid w:val="007D6299"/>
    <w:rsid w:val="007D6C32"/>
    <w:rsid w:val="007D7074"/>
    <w:rsid w:val="007D74B2"/>
    <w:rsid w:val="007D7F5C"/>
    <w:rsid w:val="007E1640"/>
    <w:rsid w:val="007E20A3"/>
    <w:rsid w:val="007E28D2"/>
    <w:rsid w:val="007E3150"/>
    <w:rsid w:val="007E41D8"/>
    <w:rsid w:val="007E4CAA"/>
    <w:rsid w:val="007E6B3D"/>
    <w:rsid w:val="007E7261"/>
    <w:rsid w:val="007E74A8"/>
    <w:rsid w:val="007E78E6"/>
    <w:rsid w:val="007E7D42"/>
    <w:rsid w:val="007E7EA3"/>
    <w:rsid w:val="007F0186"/>
    <w:rsid w:val="007F022A"/>
    <w:rsid w:val="007F0E1F"/>
    <w:rsid w:val="007F331D"/>
    <w:rsid w:val="007F3C16"/>
    <w:rsid w:val="007F400A"/>
    <w:rsid w:val="007F4453"/>
    <w:rsid w:val="00800588"/>
    <w:rsid w:val="00800AF0"/>
    <w:rsid w:val="00802138"/>
    <w:rsid w:val="008031F8"/>
    <w:rsid w:val="00803459"/>
    <w:rsid w:val="00804204"/>
    <w:rsid w:val="008054D5"/>
    <w:rsid w:val="008057B0"/>
    <w:rsid w:val="008060CB"/>
    <w:rsid w:val="008068F0"/>
    <w:rsid w:val="00806DCF"/>
    <w:rsid w:val="00810206"/>
    <w:rsid w:val="008102D7"/>
    <w:rsid w:val="00810D96"/>
    <w:rsid w:val="00811D4B"/>
    <w:rsid w:val="00811DE2"/>
    <w:rsid w:val="008127D7"/>
    <w:rsid w:val="00812DD6"/>
    <w:rsid w:val="00814927"/>
    <w:rsid w:val="0081650B"/>
    <w:rsid w:val="008166DD"/>
    <w:rsid w:val="0081698B"/>
    <w:rsid w:val="00816998"/>
    <w:rsid w:val="00816AF7"/>
    <w:rsid w:val="00816B45"/>
    <w:rsid w:val="00816E0E"/>
    <w:rsid w:val="00821C3B"/>
    <w:rsid w:val="00822553"/>
    <w:rsid w:val="00824159"/>
    <w:rsid w:val="00824E64"/>
    <w:rsid w:val="00825147"/>
    <w:rsid w:val="008272CA"/>
    <w:rsid w:val="008303EF"/>
    <w:rsid w:val="00830513"/>
    <w:rsid w:val="0083124B"/>
    <w:rsid w:val="00831258"/>
    <w:rsid w:val="00831A1A"/>
    <w:rsid w:val="00833239"/>
    <w:rsid w:val="008334A0"/>
    <w:rsid w:val="00833822"/>
    <w:rsid w:val="00834CEF"/>
    <w:rsid w:val="00835100"/>
    <w:rsid w:val="00835229"/>
    <w:rsid w:val="00835856"/>
    <w:rsid w:val="008358F5"/>
    <w:rsid w:val="00837CA3"/>
    <w:rsid w:val="008404E5"/>
    <w:rsid w:val="00841EBF"/>
    <w:rsid w:val="00843CC8"/>
    <w:rsid w:val="008452BD"/>
    <w:rsid w:val="0084608F"/>
    <w:rsid w:val="00846657"/>
    <w:rsid w:val="008466B0"/>
    <w:rsid w:val="008466FE"/>
    <w:rsid w:val="00846859"/>
    <w:rsid w:val="00847BD7"/>
    <w:rsid w:val="00850EB5"/>
    <w:rsid w:val="00853650"/>
    <w:rsid w:val="0085452E"/>
    <w:rsid w:val="0085526A"/>
    <w:rsid w:val="008557FA"/>
    <w:rsid w:val="008559F3"/>
    <w:rsid w:val="0085604D"/>
    <w:rsid w:val="00856142"/>
    <w:rsid w:val="00856E39"/>
    <w:rsid w:val="0086306E"/>
    <w:rsid w:val="00863586"/>
    <w:rsid w:val="00863AC0"/>
    <w:rsid w:val="00863F96"/>
    <w:rsid w:val="00864294"/>
    <w:rsid w:val="00865459"/>
    <w:rsid w:val="0086572B"/>
    <w:rsid w:val="00865E4D"/>
    <w:rsid w:val="00865E82"/>
    <w:rsid w:val="00866131"/>
    <w:rsid w:val="008663BA"/>
    <w:rsid w:val="008667B2"/>
    <w:rsid w:val="00866B78"/>
    <w:rsid w:val="00867046"/>
    <w:rsid w:val="00867951"/>
    <w:rsid w:val="00870038"/>
    <w:rsid w:val="0087005F"/>
    <w:rsid w:val="00870B4E"/>
    <w:rsid w:val="0087130F"/>
    <w:rsid w:val="00871B21"/>
    <w:rsid w:val="0087223B"/>
    <w:rsid w:val="00873688"/>
    <w:rsid w:val="00873F36"/>
    <w:rsid w:val="008747B8"/>
    <w:rsid w:val="00874823"/>
    <w:rsid w:val="00875954"/>
    <w:rsid w:val="008761BD"/>
    <w:rsid w:val="00876E02"/>
    <w:rsid w:val="008826D5"/>
    <w:rsid w:val="008829A6"/>
    <w:rsid w:val="00883DC4"/>
    <w:rsid w:val="008849B1"/>
    <w:rsid w:val="00885CA1"/>
    <w:rsid w:val="008866A7"/>
    <w:rsid w:val="00886D48"/>
    <w:rsid w:val="0088748B"/>
    <w:rsid w:val="00890E3E"/>
    <w:rsid w:val="00891329"/>
    <w:rsid w:val="00891340"/>
    <w:rsid w:val="00892462"/>
    <w:rsid w:val="00892E9A"/>
    <w:rsid w:val="00892F85"/>
    <w:rsid w:val="008941EA"/>
    <w:rsid w:val="0089429B"/>
    <w:rsid w:val="00895E7A"/>
    <w:rsid w:val="00896B58"/>
    <w:rsid w:val="0089799F"/>
    <w:rsid w:val="00897CB3"/>
    <w:rsid w:val="00897F32"/>
    <w:rsid w:val="008A0AC8"/>
    <w:rsid w:val="008A1593"/>
    <w:rsid w:val="008A2796"/>
    <w:rsid w:val="008A2BB9"/>
    <w:rsid w:val="008A3F86"/>
    <w:rsid w:val="008A4645"/>
    <w:rsid w:val="008A5569"/>
    <w:rsid w:val="008A5A6F"/>
    <w:rsid w:val="008A6CAD"/>
    <w:rsid w:val="008A6E70"/>
    <w:rsid w:val="008A77D7"/>
    <w:rsid w:val="008A7FBB"/>
    <w:rsid w:val="008B0F60"/>
    <w:rsid w:val="008B1CEB"/>
    <w:rsid w:val="008B243B"/>
    <w:rsid w:val="008B2473"/>
    <w:rsid w:val="008B27B0"/>
    <w:rsid w:val="008B317C"/>
    <w:rsid w:val="008B3521"/>
    <w:rsid w:val="008B364E"/>
    <w:rsid w:val="008B436F"/>
    <w:rsid w:val="008B46BD"/>
    <w:rsid w:val="008B4B63"/>
    <w:rsid w:val="008B4BC7"/>
    <w:rsid w:val="008B4CCD"/>
    <w:rsid w:val="008B5FED"/>
    <w:rsid w:val="008B61D0"/>
    <w:rsid w:val="008B7E88"/>
    <w:rsid w:val="008B7F51"/>
    <w:rsid w:val="008C00D3"/>
    <w:rsid w:val="008C09A3"/>
    <w:rsid w:val="008C23B5"/>
    <w:rsid w:val="008C2AF8"/>
    <w:rsid w:val="008C325B"/>
    <w:rsid w:val="008C3545"/>
    <w:rsid w:val="008C505D"/>
    <w:rsid w:val="008C58C2"/>
    <w:rsid w:val="008C5A10"/>
    <w:rsid w:val="008C64DD"/>
    <w:rsid w:val="008C744E"/>
    <w:rsid w:val="008C7C9A"/>
    <w:rsid w:val="008D00D2"/>
    <w:rsid w:val="008D06FA"/>
    <w:rsid w:val="008D1CEA"/>
    <w:rsid w:val="008D2AA8"/>
    <w:rsid w:val="008D314E"/>
    <w:rsid w:val="008D3ADC"/>
    <w:rsid w:val="008D3F29"/>
    <w:rsid w:val="008D4088"/>
    <w:rsid w:val="008D444A"/>
    <w:rsid w:val="008D46AD"/>
    <w:rsid w:val="008D544F"/>
    <w:rsid w:val="008D67DE"/>
    <w:rsid w:val="008D730C"/>
    <w:rsid w:val="008D7A6F"/>
    <w:rsid w:val="008D7B70"/>
    <w:rsid w:val="008D7C70"/>
    <w:rsid w:val="008E1295"/>
    <w:rsid w:val="008E1841"/>
    <w:rsid w:val="008E1F21"/>
    <w:rsid w:val="008E2258"/>
    <w:rsid w:val="008E2881"/>
    <w:rsid w:val="008E3842"/>
    <w:rsid w:val="008E4045"/>
    <w:rsid w:val="008E4354"/>
    <w:rsid w:val="008E45DE"/>
    <w:rsid w:val="008E6443"/>
    <w:rsid w:val="008E780A"/>
    <w:rsid w:val="008E7A80"/>
    <w:rsid w:val="008F1B74"/>
    <w:rsid w:val="008F1C04"/>
    <w:rsid w:val="008F1C5C"/>
    <w:rsid w:val="008F2857"/>
    <w:rsid w:val="008F2DD0"/>
    <w:rsid w:val="008F30DE"/>
    <w:rsid w:val="008F33C6"/>
    <w:rsid w:val="008F3B39"/>
    <w:rsid w:val="008F41F5"/>
    <w:rsid w:val="008F440D"/>
    <w:rsid w:val="008F4E0F"/>
    <w:rsid w:val="008F519C"/>
    <w:rsid w:val="008F5AB5"/>
    <w:rsid w:val="008F5AD7"/>
    <w:rsid w:val="008F5E9F"/>
    <w:rsid w:val="008F635B"/>
    <w:rsid w:val="008F6903"/>
    <w:rsid w:val="008F7290"/>
    <w:rsid w:val="008F79AB"/>
    <w:rsid w:val="008F7D71"/>
    <w:rsid w:val="00900E22"/>
    <w:rsid w:val="009029C9"/>
    <w:rsid w:val="00903203"/>
    <w:rsid w:val="00906E52"/>
    <w:rsid w:val="00907D9B"/>
    <w:rsid w:val="00907F39"/>
    <w:rsid w:val="009103A3"/>
    <w:rsid w:val="009104D9"/>
    <w:rsid w:val="00910967"/>
    <w:rsid w:val="00910DC3"/>
    <w:rsid w:val="00911DED"/>
    <w:rsid w:val="00912D57"/>
    <w:rsid w:val="00912DBE"/>
    <w:rsid w:val="0091318D"/>
    <w:rsid w:val="00913738"/>
    <w:rsid w:val="00915084"/>
    <w:rsid w:val="009157C0"/>
    <w:rsid w:val="00915896"/>
    <w:rsid w:val="009166F4"/>
    <w:rsid w:val="00917626"/>
    <w:rsid w:val="009179E6"/>
    <w:rsid w:val="0092072F"/>
    <w:rsid w:val="00922FC1"/>
    <w:rsid w:val="0092324B"/>
    <w:rsid w:val="00924DA5"/>
    <w:rsid w:val="009255AA"/>
    <w:rsid w:val="009257D2"/>
    <w:rsid w:val="009270E9"/>
    <w:rsid w:val="009308E6"/>
    <w:rsid w:val="009310BF"/>
    <w:rsid w:val="0093374E"/>
    <w:rsid w:val="00933CB6"/>
    <w:rsid w:val="00933E1C"/>
    <w:rsid w:val="0093401B"/>
    <w:rsid w:val="0093406E"/>
    <w:rsid w:val="009344A9"/>
    <w:rsid w:val="00934A6E"/>
    <w:rsid w:val="00935304"/>
    <w:rsid w:val="00936A31"/>
    <w:rsid w:val="009404EF"/>
    <w:rsid w:val="0094054A"/>
    <w:rsid w:val="00940B6F"/>
    <w:rsid w:val="009415B7"/>
    <w:rsid w:val="00941769"/>
    <w:rsid w:val="00941B91"/>
    <w:rsid w:val="00941DAF"/>
    <w:rsid w:val="009438A2"/>
    <w:rsid w:val="0094486A"/>
    <w:rsid w:val="00944DF8"/>
    <w:rsid w:val="00945B83"/>
    <w:rsid w:val="00947237"/>
    <w:rsid w:val="009473B7"/>
    <w:rsid w:val="00947930"/>
    <w:rsid w:val="00950C70"/>
    <w:rsid w:val="00951785"/>
    <w:rsid w:val="009524BE"/>
    <w:rsid w:val="00953D5F"/>
    <w:rsid w:val="00954B81"/>
    <w:rsid w:val="00954DBB"/>
    <w:rsid w:val="009568C2"/>
    <w:rsid w:val="009569F0"/>
    <w:rsid w:val="00957671"/>
    <w:rsid w:val="00957F3D"/>
    <w:rsid w:val="00960A93"/>
    <w:rsid w:val="00960CE1"/>
    <w:rsid w:val="0096142E"/>
    <w:rsid w:val="00962443"/>
    <w:rsid w:val="00964325"/>
    <w:rsid w:val="0096452A"/>
    <w:rsid w:val="00964D32"/>
    <w:rsid w:val="00965106"/>
    <w:rsid w:val="009654F9"/>
    <w:rsid w:val="00965CAE"/>
    <w:rsid w:val="009661C1"/>
    <w:rsid w:val="00966765"/>
    <w:rsid w:val="0096696D"/>
    <w:rsid w:val="00966B6A"/>
    <w:rsid w:val="00967D15"/>
    <w:rsid w:val="009703D2"/>
    <w:rsid w:val="00970891"/>
    <w:rsid w:val="0097098E"/>
    <w:rsid w:val="00971F79"/>
    <w:rsid w:val="00972ABC"/>
    <w:rsid w:val="00973562"/>
    <w:rsid w:val="00975EDB"/>
    <w:rsid w:val="009778EE"/>
    <w:rsid w:val="00980068"/>
    <w:rsid w:val="00980B49"/>
    <w:rsid w:val="00981BF1"/>
    <w:rsid w:val="0098421A"/>
    <w:rsid w:val="00984375"/>
    <w:rsid w:val="00985932"/>
    <w:rsid w:val="00987984"/>
    <w:rsid w:val="009903C4"/>
    <w:rsid w:val="00991774"/>
    <w:rsid w:val="00994DE1"/>
    <w:rsid w:val="0099669F"/>
    <w:rsid w:val="00996804"/>
    <w:rsid w:val="009A1136"/>
    <w:rsid w:val="009A2F2F"/>
    <w:rsid w:val="009A3253"/>
    <w:rsid w:val="009A41BF"/>
    <w:rsid w:val="009A43AF"/>
    <w:rsid w:val="009A520B"/>
    <w:rsid w:val="009A5D45"/>
    <w:rsid w:val="009A5D63"/>
    <w:rsid w:val="009B0344"/>
    <w:rsid w:val="009B0721"/>
    <w:rsid w:val="009B1263"/>
    <w:rsid w:val="009B19B1"/>
    <w:rsid w:val="009B2BD1"/>
    <w:rsid w:val="009B2BDC"/>
    <w:rsid w:val="009B34FD"/>
    <w:rsid w:val="009B4C61"/>
    <w:rsid w:val="009B677E"/>
    <w:rsid w:val="009B6DAB"/>
    <w:rsid w:val="009B6F67"/>
    <w:rsid w:val="009C01B2"/>
    <w:rsid w:val="009C01CE"/>
    <w:rsid w:val="009C0AA0"/>
    <w:rsid w:val="009C0EE2"/>
    <w:rsid w:val="009C1FC7"/>
    <w:rsid w:val="009C2311"/>
    <w:rsid w:val="009C2CF1"/>
    <w:rsid w:val="009C30B0"/>
    <w:rsid w:val="009C65F6"/>
    <w:rsid w:val="009C76BA"/>
    <w:rsid w:val="009D0FF3"/>
    <w:rsid w:val="009D19C3"/>
    <w:rsid w:val="009D1F74"/>
    <w:rsid w:val="009D1FB6"/>
    <w:rsid w:val="009D2119"/>
    <w:rsid w:val="009D2964"/>
    <w:rsid w:val="009D4E7B"/>
    <w:rsid w:val="009D52F3"/>
    <w:rsid w:val="009D5E19"/>
    <w:rsid w:val="009D735A"/>
    <w:rsid w:val="009D757C"/>
    <w:rsid w:val="009D7894"/>
    <w:rsid w:val="009E1109"/>
    <w:rsid w:val="009E17C8"/>
    <w:rsid w:val="009E1AD6"/>
    <w:rsid w:val="009E409C"/>
    <w:rsid w:val="009E43A9"/>
    <w:rsid w:val="009E4F7C"/>
    <w:rsid w:val="009E584E"/>
    <w:rsid w:val="009E6D4F"/>
    <w:rsid w:val="009F16B4"/>
    <w:rsid w:val="009F17D7"/>
    <w:rsid w:val="009F2B25"/>
    <w:rsid w:val="009F5447"/>
    <w:rsid w:val="009F7B92"/>
    <w:rsid w:val="00A0076D"/>
    <w:rsid w:val="00A02117"/>
    <w:rsid w:val="00A025F4"/>
    <w:rsid w:val="00A04152"/>
    <w:rsid w:val="00A04819"/>
    <w:rsid w:val="00A0708D"/>
    <w:rsid w:val="00A0710C"/>
    <w:rsid w:val="00A07D90"/>
    <w:rsid w:val="00A11C2B"/>
    <w:rsid w:val="00A12C7C"/>
    <w:rsid w:val="00A1429E"/>
    <w:rsid w:val="00A15478"/>
    <w:rsid w:val="00A158DD"/>
    <w:rsid w:val="00A160A8"/>
    <w:rsid w:val="00A16242"/>
    <w:rsid w:val="00A16EDE"/>
    <w:rsid w:val="00A17156"/>
    <w:rsid w:val="00A21B43"/>
    <w:rsid w:val="00A22783"/>
    <w:rsid w:val="00A22FA6"/>
    <w:rsid w:val="00A250D0"/>
    <w:rsid w:val="00A25638"/>
    <w:rsid w:val="00A25D6E"/>
    <w:rsid w:val="00A26BB8"/>
    <w:rsid w:val="00A27233"/>
    <w:rsid w:val="00A3002B"/>
    <w:rsid w:val="00A307CD"/>
    <w:rsid w:val="00A345CA"/>
    <w:rsid w:val="00A34ADA"/>
    <w:rsid w:val="00A3540B"/>
    <w:rsid w:val="00A354DA"/>
    <w:rsid w:val="00A35981"/>
    <w:rsid w:val="00A35AA1"/>
    <w:rsid w:val="00A3600F"/>
    <w:rsid w:val="00A36B12"/>
    <w:rsid w:val="00A37504"/>
    <w:rsid w:val="00A37A7A"/>
    <w:rsid w:val="00A37DC2"/>
    <w:rsid w:val="00A37F1E"/>
    <w:rsid w:val="00A40695"/>
    <w:rsid w:val="00A40CF0"/>
    <w:rsid w:val="00A40E75"/>
    <w:rsid w:val="00A414F3"/>
    <w:rsid w:val="00A4250C"/>
    <w:rsid w:val="00A4284F"/>
    <w:rsid w:val="00A42BCD"/>
    <w:rsid w:val="00A42F48"/>
    <w:rsid w:val="00A430C3"/>
    <w:rsid w:val="00A435FD"/>
    <w:rsid w:val="00A43C92"/>
    <w:rsid w:val="00A44E14"/>
    <w:rsid w:val="00A44F90"/>
    <w:rsid w:val="00A454C6"/>
    <w:rsid w:val="00A45640"/>
    <w:rsid w:val="00A470E2"/>
    <w:rsid w:val="00A47B9E"/>
    <w:rsid w:val="00A47F9E"/>
    <w:rsid w:val="00A504A0"/>
    <w:rsid w:val="00A50895"/>
    <w:rsid w:val="00A51C46"/>
    <w:rsid w:val="00A5303C"/>
    <w:rsid w:val="00A53315"/>
    <w:rsid w:val="00A54C09"/>
    <w:rsid w:val="00A56099"/>
    <w:rsid w:val="00A56A8F"/>
    <w:rsid w:val="00A56F1D"/>
    <w:rsid w:val="00A56FD7"/>
    <w:rsid w:val="00A570F6"/>
    <w:rsid w:val="00A57D8C"/>
    <w:rsid w:val="00A60B48"/>
    <w:rsid w:val="00A616D8"/>
    <w:rsid w:val="00A62F52"/>
    <w:rsid w:val="00A63277"/>
    <w:rsid w:val="00A632BA"/>
    <w:rsid w:val="00A63B45"/>
    <w:rsid w:val="00A6578F"/>
    <w:rsid w:val="00A658EF"/>
    <w:rsid w:val="00A6596D"/>
    <w:rsid w:val="00A65A7A"/>
    <w:rsid w:val="00A67CB1"/>
    <w:rsid w:val="00A703AB"/>
    <w:rsid w:val="00A70DA5"/>
    <w:rsid w:val="00A7147F"/>
    <w:rsid w:val="00A724E5"/>
    <w:rsid w:val="00A72E82"/>
    <w:rsid w:val="00A74180"/>
    <w:rsid w:val="00A747F8"/>
    <w:rsid w:val="00A7593E"/>
    <w:rsid w:val="00A7785E"/>
    <w:rsid w:val="00A80427"/>
    <w:rsid w:val="00A8124C"/>
    <w:rsid w:val="00A81CFC"/>
    <w:rsid w:val="00A81D2E"/>
    <w:rsid w:val="00A8275F"/>
    <w:rsid w:val="00A84B15"/>
    <w:rsid w:val="00A84FBF"/>
    <w:rsid w:val="00A862C3"/>
    <w:rsid w:val="00A86610"/>
    <w:rsid w:val="00A8756C"/>
    <w:rsid w:val="00A87DA2"/>
    <w:rsid w:val="00A90100"/>
    <w:rsid w:val="00A9064F"/>
    <w:rsid w:val="00A90E57"/>
    <w:rsid w:val="00A9194D"/>
    <w:rsid w:val="00A9224F"/>
    <w:rsid w:val="00A925FD"/>
    <w:rsid w:val="00A9377B"/>
    <w:rsid w:val="00A93B18"/>
    <w:rsid w:val="00A93F37"/>
    <w:rsid w:val="00A94518"/>
    <w:rsid w:val="00A95376"/>
    <w:rsid w:val="00A95BB6"/>
    <w:rsid w:val="00A95BFA"/>
    <w:rsid w:val="00A9617A"/>
    <w:rsid w:val="00A975EC"/>
    <w:rsid w:val="00A97E60"/>
    <w:rsid w:val="00AA0760"/>
    <w:rsid w:val="00AA0E9E"/>
    <w:rsid w:val="00AA238C"/>
    <w:rsid w:val="00AA24FB"/>
    <w:rsid w:val="00AA3E4C"/>
    <w:rsid w:val="00AA6837"/>
    <w:rsid w:val="00AA777D"/>
    <w:rsid w:val="00AA79CF"/>
    <w:rsid w:val="00AB0FBD"/>
    <w:rsid w:val="00AB2834"/>
    <w:rsid w:val="00AB2C38"/>
    <w:rsid w:val="00AB2FDC"/>
    <w:rsid w:val="00AB40AE"/>
    <w:rsid w:val="00AB4409"/>
    <w:rsid w:val="00AB4CCA"/>
    <w:rsid w:val="00AB59BC"/>
    <w:rsid w:val="00AB6455"/>
    <w:rsid w:val="00AC095A"/>
    <w:rsid w:val="00AC0A61"/>
    <w:rsid w:val="00AC2C21"/>
    <w:rsid w:val="00AC328B"/>
    <w:rsid w:val="00AC4A7B"/>
    <w:rsid w:val="00AC5AE8"/>
    <w:rsid w:val="00AC68BE"/>
    <w:rsid w:val="00AC73DE"/>
    <w:rsid w:val="00AD026C"/>
    <w:rsid w:val="00AD5596"/>
    <w:rsid w:val="00AD65BF"/>
    <w:rsid w:val="00AD7148"/>
    <w:rsid w:val="00AD7524"/>
    <w:rsid w:val="00AD77F8"/>
    <w:rsid w:val="00AE04B5"/>
    <w:rsid w:val="00AE075E"/>
    <w:rsid w:val="00AE2049"/>
    <w:rsid w:val="00AE2618"/>
    <w:rsid w:val="00AE3CF2"/>
    <w:rsid w:val="00AE4057"/>
    <w:rsid w:val="00AE5AA6"/>
    <w:rsid w:val="00AE637B"/>
    <w:rsid w:val="00AE6566"/>
    <w:rsid w:val="00AE72B2"/>
    <w:rsid w:val="00AF0645"/>
    <w:rsid w:val="00AF14FA"/>
    <w:rsid w:val="00AF4682"/>
    <w:rsid w:val="00AF5B49"/>
    <w:rsid w:val="00B01019"/>
    <w:rsid w:val="00B01248"/>
    <w:rsid w:val="00B0125F"/>
    <w:rsid w:val="00B01A75"/>
    <w:rsid w:val="00B05876"/>
    <w:rsid w:val="00B075BD"/>
    <w:rsid w:val="00B07D97"/>
    <w:rsid w:val="00B10AF1"/>
    <w:rsid w:val="00B12EC1"/>
    <w:rsid w:val="00B134A9"/>
    <w:rsid w:val="00B1407F"/>
    <w:rsid w:val="00B16804"/>
    <w:rsid w:val="00B17950"/>
    <w:rsid w:val="00B17FBB"/>
    <w:rsid w:val="00B21055"/>
    <w:rsid w:val="00B21985"/>
    <w:rsid w:val="00B227F0"/>
    <w:rsid w:val="00B230FA"/>
    <w:rsid w:val="00B233B5"/>
    <w:rsid w:val="00B23C99"/>
    <w:rsid w:val="00B2423B"/>
    <w:rsid w:val="00B24547"/>
    <w:rsid w:val="00B249DA"/>
    <w:rsid w:val="00B255CE"/>
    <w:rsid w:val="00B2652F"/>
    <w:rsid w:val="00B26B86"/>
    <w:rsid w:val="00B26C13"/>
    <w:rsid w:val="00B27726"/>
    <w:rsid w:val="00B277E8"/>
    <w:rsid w:val="00B31051"/>
    <w:rsid w:val="00B31210"/>
    <w:rsid w:val="00B31E02"/>
    <w:rsid w:val="00B342D9"/>
    <w:rsid w:val="00B3546E"/>
    <w:rsid w:val="00B355DE"/>
    <w:rsid w:val="00B366F0"/>
    <w:rsid w:val="00B37FD3"/>
    <w:rsid w:val="00B41058"/>
    <w:rsid w:val="00B41258"/>
    <w:rsid w:val="00B41E2A"/>
    <w:rsid w:val="00B425C2"/>
    <w:rsid w:val="00B42A1C"/>
    <w:rsid w:val="00B43DCB"/>
    <w:rsid w:val="00B43EE6"/>
    <w:rsid w:val="00B444D1"/>
    <w:rsid w:val="00B44980"/>
    <w:rsid w:val="00B44BE1"/>
    <w:rsid w:val="00B44E40"/>
    <w:rsid w:val="00B46828"/>
    <w:rsid w:val="00B46ED6"/>
    <w:rsid w:val="00B47281"/>
    <w:rsid w:val="00B4770C"/>
    <w:rsid w:val="00B502AD"/>
    <w:rsid w:val="00B51067"/>
    <w:rsid w:val="00B519F1"/>
    <w:rsid w:val="00B51AEA"/>
    <w:rsid w:val="00B51B44"/>
    <w:rsid w:val="00B5200A"/>
    <w:rsid w:val="00B52ACB"/>
    <w:rsid w:val="00B52C13"/>
    <w:rsid w:val="00B532E7"/>
    <w:rsid w:val="00B53B5C"/>
    <w:rsid w:val="00B53E2B"/>
    <w:rsid w:val="00B54214"/>
    <w:rsid w:val="00B55B62"/>
    <w:rsid w:val="00B567B2"/>
    <w:rsid w:val="00B57537"/>
    <w:rsid w:val="00B60092"/>
    <w:rsid w:val="00B604F7"/>
    <w:rsid w:val="00B61029"/>
    <w:rsid w:val="00B615A9"/>
    <w:rsid w:val="00B618CF"/>
    <w:rsid w:val="00B6218C"/>
    <w:rsid w:val="00B622F4"/>
    <w:rsid w:val="00B63325"/>
    <w:rsid w:val="00B63E27"/>
    <w:rsid w:val="00B6481D"/>
    <w:rsid w:val="00B64B71"/>
    <w:rsid w:val="00B64C43"/>
    <w:rsid w:val="00B64F6F"/>
    <w:rsid w:val="00B664D1"/>
    <w:rsid w:val="00B701EA"/>
    <w:rsid w:val="00B708A6"/>
    <w:rsid w:val="00B75521"/>
    <w:rsid w:val="00B80729"/>
    <w:rsid w:val="00B810E1"/>
    <w:rsid w:val="00B8187F"/>
    <w:rsid w:val="00B819CD"/>
    <w:rsid w:val="00B81E69"/>
    <w:rsid w:val="00B81E8A"/>
    <w:rsid w:val="00B8284F"/>
    <w:rsid w:val="00B82E77"/>
    <w:rsid w:val="00B83EFF"/>
    <w:rsid w:val="00B8411E"/>
    <w:rsid w:val="00B84B7E"/>
    <w:rsid w:val="00B851B7"/>
    <w:rsid w:val="00B86463"/>
    <w:rsid w:val="00B8762B"/>
    <w:rsid w:val="00B87EFD"/>
    <w:rsid w:val="00B90DFE"/>
    <w:rsid w:val="00B91796"/>
    <w:rsid w:val="00B93A4C"/>
    <w:rsid w:val="00B93A65"/>
    <w:rsid w:val="00B96088"/>
    <w:rsid w:val="00B96D8C"/>
    <w:rsid w:val="00BA00BA"/>
    <w:rsid w:val="00BA10CF"/>
    <w:rsid w:val="00BA14E9"/>
    <w:rsid w:val="00BA1CD8"/>
    <w:rsid w:val="00BA2AB6"/>
    <w:rsid w:val="00BA3573"/>
    <w:rsid w:val="00BA4337"/>
    <w:rsid w:val="00BA6E19"/>
    <w:rsid w:val="00BB0714"/>
    <w:rsid w:val="00BB09E4"/>
    <w:rsid w:val="00BB0EE3"/>
    <w:rsid w:val="00BB0FA5"/>
    <w:rsid w:val="00BB108B"/>
    <w:rsid w:val="00BB16CA"/>
    <w:rsid w:val="00BB18DB"/>
    <w:rsid w:val="00BB2765"/>
    <w:rsid w:val="00BB3777"/>
    <w:rsid w:val="00BB49B5"/>
    <w:rsid w:val="00BB4A10"/>
    <w:rsid w:val="00BB4A8D"/>
    <w:rsid w:val="00BB4DFF"/>
    <w:rsid w:val="00BB6514"/>
    <w:rsid w:val="00BB678B"/>
    <w:rsid w:val="00BB698C"/>
    <w:rsid w:val="00BB703B"/>
    <w:rsid w:val="00BB7B07"/>
    <w:rsid w:val="00BB7CDB"/>
    <w:rsid w:val="00BC0F7F"/>
    <w:rsid w:val="00BC1361"/>
    <w:rsid w:val="00BC23A9"/>
    <w:rsid w:val="00BC266C"/>
    <w:rsid w:val="00BC4D57"/>
    <w:rsid w:val="00BC557D"/>
    <w:rsid w:val="00BD05B8"/>
    <w:rsid w:val="00BD0E95"/>
    <w:rsid w:val="00BD0FD5"/>
    <w:rsid w:val="00BD4A0B"/>
    <w:rsid w:val="00BD4DD1"/>
    <w:rsid w:val="00BD5A76"/>
    <w:rsid w:val="00BD71E1"/>
    <w:rsid w:val="00BE0575"/>
    <w:rsid w:val="00BE1239"/>
    <w:rsid w:val="00BE147C"/>
    <w:rsid w:val="00BE323A"/>
    <w:rsid w:val="00BE37F4"/>
    <w:rsid w:val="00BE47A6"/>
    <w:rsid w:val="00BE498B"/>
    <w:rsid w:val="00BE4BE9"/>
    <w:rsid w:val="00BE5240"/>
    <w:rsid w:val="00BE61C3"/>
    <w:rsid w:val="00BE7A2A"/>
    <w:rsid w:val="00BF03AE"/>
    <w:rsid w:val="00BF0619"/>
    <w:rsid w:val="00BF1522"/>
    <w:rsid w:val="00BF2C41"/>
    <w:rsid w:val="00BF355F"/>
    <w:rsid w:val="00BF4471"/>
    <w:rsid w:val="00BF4A4E"/>
    <w:rsid w:val="00BF79D8"/>
    <w:rsid w:val="00C0087F"/>
    <w:rsid w:val="00C00A1F"/>
    <w:rsid w:val="00C01C08"/>
    <w:rsid w:val="00C0241E"/>
    <w:rsid w:val="00C02749"/>
    <w:rsid w:val="00C02816"/>
    <w:rsid w:val="00C0291E"/>
    <w:rsid w:val="00C031A8"/>
    <w:rsid w:val="00C05F4E"/>
    <w:rsid w:val="00C069CB"/>
    <w:rsid w:val="00C07783"/>
    <w:rsid w:val="00C10B26"/>
    <w:rsid w:val="00C10DDE"/>
    <w:rsid w:val="00C11C01"/>
    <w:rsid w:val="00C12BB4"/>
    <w:rsid w:val="00C12EB9"/>
    <w:rsid w:val="00C13348"/>
    <w:rsid w:val="00C135A2"/>
    <w:rsid w:val="00C13AEE"/>
    <w:rsid w:val="00C13CCF"/>
    <w:rsid w:val="00C14947"/>
    <w:rsid w:val="00C1672C"/>
    <w:rsid w:val="00C17C01"/>
    <w:rsid w:val="00C200F2"/>
    <w:rsid w:val="00C20DDE"/>
    <w:rsid w:val="00C21004"/>
    <w:rsid w:val="00C21866"/>
    <w:rsid w:val="00C231F7"/>
    <w:rsid w:val="00C248D2"/>
    <w:rsid w:val="00C253F5"/>
    <w:rsid w:val="00C25857"/>
    <w:rsid w:val="00C25F86"/>
    <w:rsid w:val="00C26DD7"/>
    <w:rsid w:val="00C26FF6"/>
    <w:rsid w:val="00C2777B"/>
    <w:rsid w:val="00C309BF"/>
    <w:rsid w:val="00C31D7F"/>
    <w:rsid w:val="00C32338"/>
    <w:rsid w:val="00C3273B"/>
    <w:rsid w:val="00C32BA7"/>
    <w:rsid w:val="00C32E1C"/>
    <w:rsid w:val="00C333BC"/>
    <w:rsid w:val="00C336F3"/>
    <w:rsid w:val="00C3475C"/>
    <w:rsid w:val="00C353E3"/>
    <w:rsid w:val="00C36F02"/>
    <w:rsid w:val="00C41851"/>
    <w:rsid w:val="00C41936"/>
    <w:rsid w:val="00C42047"/>
    <w:rsid w:val="00C4216C"/>
    <w:rsid w:val="00C425C5"/>
    <w:rsid w:val="00C43882"/>
    <w:rsid w:val="00C43E68"/>
    <w:rsid w:val="00C44950"/>
    <w:rsid w:val="00C44A06"/>
    <w:rsid w:val="00C44F26"/>
    <w:rsid w:val="00C45513"/>
    <w:rsid w:val="00C457F5"/>
    <w:rsid w:val="00C46A34"/>
    <w:rsid w:val="00C47B09"/>
    <w:rsid w:val="00C47BFB"/>
    <w:rsid w:val="00C47C09"/>
    <w:rsid w:val="00C51932"/>
    <w:rsid w:val="00C54538"/>
    <w:rsid w:val="00C56AD6"/>
    <w:rsid w:val="00C56C4A"/>
    <w:rsid w:val="00C56EE0"/>
    <w:rsid w:val="00C607D4"/>
    <w:rsid w:val="00C614C5"/>
    <w:rsid w:val="00C635F7"/>
    <w:rsid w:val="00C63B16"/>
    <w:rsid w:val="00C64867"/>
    <w:rsid w:val="00C64903"/>
    <w:rsid w:val="00C6535F"/>
    <w:rsid w:val="00C65D69"/>
    <w:rsid w:val="00C66729"/>
    <w:rsid w:val="00C66897"/>
    <w:rsid w:val="00C67298"/>
    <w:rsid w:val="00C67896"/>
    <w:rsid w:val="00C67BD0"/>
    <w:rsid w:val="00C67E3F"/>
    <w:rsid w:val="00C719DC"/>
    <w:rsid w:val="00C71EC0"/>
    <w:rsid w:val="00C7289E"/>
    <w:rsid w:val="00C7354C"/>
    <w:rsid w:val="00C73F83"/>
    <w:rsid w:val="00C74DE4"/>
    <w:rsid w:val="00C75B0C"/>
    <w:rsid w:val="00C7662D"/>
    <w:rsid w:val="00C77928"/>
    <w:rsid w:val="00C80353"/>
    <w:rsid w:val="00C80F21"/>
    <w:rsid w:val="00C81879"/>
    <w:rsid w:val="00C8228C"/>
    <w:rsid w:val="00C835D8"/>
    <w:rsid w:val="00C83C04"/>
    <w:rsid w:val="00C83E3A"/>
    <w:rsid w:val="00C862A6"/>
    <w:rsid w:val="00C8634D"/>
    <w:rsid w:val="00C86C02"/>
    <w:rsid w:val="00C87270"/>
    <w:rsid w:val="00C8768D"/>
    <w:rsid w:val="00C901D3"/>
    <w:rsid w:val="00C91F74"/>
    <w:rsid w:val="00C92F56"/>
    <w:rsid w:val="00C93914"/>
    <w:rsid w:val="00C93B74"/>
    <w:rsid w:val="00C95443"/>
    <w:rsid w:val="00C972E0"/>
    <w:rsid w:val="00C97C6F"/>
    <w:rsid w:val="00C97F51"/>
    <w:rsid w:val="00CA09C8"/>
    <w:rsid w:val="00CA0A31"/>
    <w:rsid w:val="00CA0F2E"/>
    <w:rsid w:val="00CA0F87"/>
    <w:rsid w:val="00CA36F6"/>
    <w:rsid w:val="00CA3890"/>
    <w:rsid w:val="00CA45A6"/>
    <w:rsid w:val="00CA5CED"/>
    <w:rsid w:val="00CA78A5"/>
    <w:rsid w:val="00CA7FBD"/>
    <w:rsid w:val="00CB151D"/>
    <w:rsid w:val="00CB20F5"/>
    <w:rsid w:val="00CB4AD7"/>
    <w:rsid w:val="00CB4B29"/>
    <w:rsid w:val="00CB55B9"/>
    <w:rsid w:val="00CB58F6"/>
    <w:rsid w:val="00CB6522"/>
    <w:rsid w:val="00CB6D17"/>
    <w:rsid w:val="00CB707C"/>
    <w:rsid w:val="00CC069E"/>
    <w:rsid w:val="00CC13E7"/>
    <w:rsid w:val="00CC1444"/>
    <w:rsid w:val="00CC156D"/>
    <w:rsid w:val="00CC1B25"/>
    <w:rsid w:val="00CC1E2E"/>
    <w:rsid w:val="00CC353E"/>
    <w:rsid w:val="00CC451E"/>
    <w:rsid w:val="00CC4BD1"/>
    <w:rsid w:val="00CC4D17"/>
    <w:rsid w:val="00CC589B"/>
    <w:rsid w:val="00CC5D27"/>
    <w:rsid w:val="00CC65D6"/>
    <w:rsid w:val="00CC6D01"/>
    <w:rsid w:val="00CC7B6C"/>
    <w:rsid w:val="00CD0321"/>
    <w:rsid w:val="00CD21A0"/>
    <w:rsid w:val="00CD2A79"/>
    <w:rsid w:val="00CD2B0B"/>
    <w:rsid w:val="00CD2FA5"/>
    <w:rsid w:val="00CD3480"/>
    <w:rsid w:val="00CD4329"/>
    <w:rsid w:val="00CD445F"/>
    <w:rsid w:val="00CD5179"/>
    <w:rsid w:val="00CD601E"/>
    <w:rsid w:val="00CD7035"/>
    <w:rsid w:val="00CD75DD"/>
    <w:rsid w:val="00CE0CEC"/>
    <w:rsid w:val="00CE109E"/>
    <w:rsid w:val="00CE1733"/>
    <w:rsid w:val="00CE3B7E"/>
    <w:rsid w:val="00CE4725"/>
    <w:rsid w:val="00CE47BB"/>
    <w:rsid w:val="00CE4CD9"/>
    <w:rsid w:val="00CE4E20"/>
    <w:rsid w:val="00CE53B2"/>
    <w:rsid w:val="00CE60AD"/>
    <w:rsid w:val="00CE73B4"/>
    <w:rsid w:val="00CE782A"/>
    <w:rsid w:val="00CE79CF"/>
    <w:rsid w:val="00CF0779"/>
    <w:rsid w:val="00CF2704"/>
    <w:rsid w:val="00CF2B5F"/>
    <w:rsid w:val="00CF442F"/>
    <w:rsid w:val="00CF4771"/>
    <w:rsid w:val="00CF4E40"/>
    <w:rsid w:val="00CF53EB"/>
    <w:rsid w:val="00CF60AD"/>
    <w:rsid w:val="00CF62CF"/>
    <w:rsid w:val="00CF66CB"/>
    <w:rsid w:val="00CF6BE9"/>
    <w:rsid w:val="00CF7548"/>
    <w:rsid w:val="00D007A6"/>
    <w:rsid w:val="00D00DEF"/>
    <w:rsid w:val="00D00FD7"/>
    <w:rsid w:val="00D01EA1"/>
    <w:rsid w:val="00D04378"/>
    <w:rsid w:val="00D05E07"/>
    <w:rsid w:val="00D07509"/>
    <w:rsid w:val="00D0785F"/>
    <w:rsid w:val="00D1013B"/>
    <w:rsid w:val="00D10284"/>
    <w:rsid w:val="00D1072E"/>
    <w:rsid w:val="00D10D0D"/>
    <w:rsid w:val="00D113D0"/>
    <w:rsid w:val="00D11424"/>
    <w:rsid w:val="00D11BB2"/>
    <w:rsid w:val="00D1307C"/>
    <w:rsid w:val="00D15F79"/>
    <w:rsid w:val="00D16E17"/>
    <w:rsid w:val="00D17E6E"/>
    <w:rsid w:val="00D216C9"/>
    <w:rsid w:val="00D2214F"/>
    <w:rsid w:val="00D23AEB"/>
    <w:rsid w:val="00D23BE9"/>
    <w:rsid w:val="00D244E1"/>
    <w:rsid w:val="00D249F1"/>
    <w:rsid w:val="00D2601D"/>
    <w:rsid w:val="00D26EE2"/>
    <w:rsid w:val="00D27228"/>
    <w:rsid w:val="00D274B5"/>
    <w:rsid w:val="00D320C7"/>
    <w:rsid w:val="00D32B22"/>
    <w:rsid w:val="00D34160"/>
    <w:rsid w:val="00D34E3B"/>
    <w:rsid w:val="00D35B5E"/>
    <w:rsid w:val="00D36ABB"/>
    <w:rsid w:val="00D37B29"/>
    <w:rsid w:val="00D37DFD"/>
    <w:rsid w:val="00D41110"/>
    <w:rsid w:val="00D421BE"/>
    <w:rsid w:val="00D44629"/>
    <w:rsid w:val="00D4728E"/>
    <w:rsid w:val="00D4736A"/>
    <w:rsid w:val="00D50660"/>
    <w:rsid w:val="00D51CAF"/>
    <w:rsid w:val="00D52B94"/>
    <w:rsid w:val="00D54D56"/>
    <w:rsid w:val="00D57F4B"/>
    <w:rsid w:val="00D60172"/>
    <w:rsid w:val="00D60BF6"/>
    <w:rsid w:val="00D63E05"/>
    <w:rsid w:val="00D64C6E"/>
    <w:rsid w:val="00D64E2C"/>
    <w:rsid w:val="00D64F5D"/>
    <w:rsid w:val="00D6504A"/>
    <w:rsid w:val="00D653A5"/>
    <w:rsid w:val="00D67082"/>
    <w:rsid w:val="00D6771D"/>
    <w:rsid w:val="00D6792E"/>
    <w:rsid w:val="00D7069F"/>
    <w:rsid w:val="00D70949"/>
    <w:rsid w:val="00D70BAD"/>
    <w:rsid w:val="00D7194D"/>
    <w:rsid w:val="00D723BC"/>
    <w:rsid w:val="00D72882"/>
    <w:rsid w:val="00D72BF6"/>
    <w:rsid w:val="00D74187"/>
    <w:rsid w:val="00D742EF"/>
    <w:rsid w:val="00D75D97"/>
    <w:rsid w:val="00D8009F"/>
    <w:rsid w:val="00D8017D"/>
    <w:rsid w:val="00D80E3F"/>
    <w:rsid w:val="00D8102C"/>
    <w:rsid w:val="00D811C1"/>
    <w:rsid w:val="00D81BEF"/>
    <w:rsid w:val="00D83DAF"/>
    <w:rsid w:val="00D84207"/>
    <w:rsid w:val="00D85C3B"/>
    <w:rsid w:val="00D85CD6"/>
    <w:rsid w:val="00D868F1"/>
    <w:rsid w:val="00D90E42"/>
    <w:rsid w:val="00D90EA6"/>
    <w:rsid w:val="00D91385"/>
    <w:rsid w:val="00D91BE2"/>
    <w:rsid w:val="00D920A0"/>
    <w:rsid w:val="00D9298C"/>
    <w:rsid w:val="00D93109"/>
    <w:rsid w:val="00D93DC5"/>
    <w:rsid w:val="00D946FF"/>
    <w:rsid w:val="00D9527A"/>
    <w:rsid w:val="00D954F6"/>
    <w:rsid w:val="00D95C1D"/>
    <w:rsid w:val="00D9624D"/>
    <w:rsid w:val="00D96705"/>
    <w:rsid w:val="00D97659"/>
    <w:rsid w:val="00DA008B"/>
    <w:rsid w:val="00DA032A"/>
    <w:rsid w:val="00DA03C2"/>
    <w:rsid w:val="00DA165A"/>
    <w:rsid w:val="00DA235C"/>
    <w:rsid w:val="00DA50C7"/>
    <w:rsid w:val="00DA6D88"/>
    <w:rsid w:val="00DA7572"/>
    <w:rsid w:val="00DA778A"/>
    <w:rsid w:val="00DA7AA1"/>
    <w:rsid w:val="00DA7D76"/>
    <w:rsid w:val="00DA7FAA"/>
    <w:rsid w:val="00DA7FF0"/>
    <w:rsid w:val="00DB0615"/>
    <w:rsid w:val="00DB0828"/>
    <w:rsid w:val="00DB1186"/>
    <w:rsid w:val="00DB1B0B"/>
    <w:rsid w:val="00DB3720"/>
    <w:rsid w:val="00DB3DA7"/>
    <w:rsid w:val="00DB3FB7"/>
    <w:rsid w:val="00DB488A"/>
    <w:rsid w:val="00DB52CD"/>
    <w:rsid w:val="00DB5448"/>
    <w:rsid w:val="00DB665F"/>
    <w:rsid w:val="00DB6D28"/>
    <w:rsid w:val="00DB78BB"/>
    <w:rsid w:val="00DB7CA7"/>
    <w:rsid w:val="00DC0D2F"/>
    <w:rsid w:val="00DC1D7A"/>
    <w:rsid w:val="00DC32DC"/>
    <w:rsid w:val="00DC32E7"/>
    <w:rsid w:val="00DC39AE"/>
    <w:rsid w:val="00DC4A83"/>
    <w:rsid w:val="00DC515B"/>
    <w:rsid w:val="00DC7303"/>
    <w:rsid w:val="00DC7318"/>
    <w:rsid w:val="00DD0BE3"/>
    <w:rsid w:val="00DD1A2C"/>
    <w:rsid w:val="00DD1EBE"/>
    <w:rsid w:val="00DD2808"/>
    <w:rsid w:val="00DD33A3"/>
    <w:rsid w:val="00DD4526"/>
    <w:rsid w:val="00DD525F"/>
    <w:rsid w:val="00DD54BE"/>
    <w:rsid w:val="00DD560A"/>
    <w:rsid w:val="00DD7F92"/>
    <w:rsid w:val="00DE0419"/>
    <w:rsid w:val="00DE1257"/>
    <w:rsid w:val="00DE150C"/>
    <w:rsid w:val="00DE15AC"/>
    <w:rsid w:val="00DE273C"/>
    <w:rsid w:val="00DE40B7"/>
    <w:rsid w:val="00DE444F"/>
    <w:rsid w:val="00DE50B0"/>
    <w:rsid w:val="00DE51B7"/>
    <w:rsid w:val="00DE526A"/>
    <w:rsid w:val="00DE5326"/>
    <w:rsid w:val="00DE5A68"/>
    <w:rsid w:val="00DE5DC1"/>
    <w:rsid w:val="00DE65C1"/>
    <w:rsid w:val="00DE6B40"/>
    <w:rsid w:val="00DF0B22"/>
    <w:rsid w:val="00DF14F1"/>
    <w:rsid w:val="00DF15C9"/>
    <w:rsid w:val="00DF1DFA"/>
    <w:rsid w:val="00DF29E0"/>
    <w:rsid w:val="00DF2DBF"/>
    <w:rsid w:val="00DF31BA"/>
    <w:rsid w:val="00DF3284"/>
    <w:rsid w:val="00DF3294"/>
    <w:rsid w:val="00DF3F15"/>
    <w:rsid w:val="00DF4346"/>
    <w:rsid w:val="00DF48CA"/>
    <w:rsid w:val="00DF4ECB"/>
    <w:rsid w:val="00DF60A7"/>
    <w:rsid w:val="00DF6CA9"/>
    <w:rsid w:val="00E00306"/>
    <w:rsid w:val="00E01266"/>
    <w:rsid w:val="00E01BFE"/>
    <w:rsid w:val="00E02DF6"/>
    <w:rsid w:val="00E0488D"/>
    <w:rsid w:val="00E059B0"/>
    <w:rsid w:val="00E06E95"/>
    <w:rsid w:val="00E101BE"/>
    <w:rsid w:val="00E104FC"/>
    <w:rsid w:val="00E10E9B"/>
    <w:rsid w:val="00E111E6"/>
    <w:rsid w:val="00E12201"/>
    <w:rsid w:val="00E13267"/>
    <w:rsid w:val="00E139C7"/>
    <w:rsid w:val="00E14A0E"/>
    <w:rsid w:val="00E15654"/>
    <w:rsid w:val="00E15FF4"/>
    <w:rsid w:val="00E16B91"/>
    <w:rsid w:val="00E16E19"/>
    <w:rsid w:val="00E200DB"/>
    <w:rsid w:val="00E215E8"/>
    <w:rsid w:val="00E223B6"/>
    <w:rsid w:val="00E22440"/>
    <w:rsid w:val="00E224B1"/>
    <w:rsid w:val="00E2267B"/>
    <w:rsid w:val="00E22FC4"/>
    <w:rsid w:val="00E2395C"/>
    <w:rsid w:val="00E24E69"/>
    <w:rsid w:val="00E25402"/>
    <w:rsid w:val="00E25758"/>
    <w:rsid w:val="00E26207"/>
    <w:rsid w:val="00E273D2"/>
    <w:rsid w:val="00E277A0"/>
    <w:rsid w:val="00E32D88"/>
    <w:rsid w:val="00E33E36"/>
    <w:rsid w:val="00E341C3"/>
    <w:rsid w:val="00E34CF8"/>
    <w:rsid w:val="00E34EBD"/>
    <w:rsid w:val="00E353CB"/>
    <w:rsid w:val="00E354C5"/>
    <w:rsid w:val="00E3606F"/>
    <w:rsid w:val="00E37596"/>
    <w:rsid w:val="00E37A24"/>
    <w:rsid w:val="00E40723"/>
    <w:rsid w:val="00E40FA2"/>
    <w:rsid w:val="00E435CC"/>
    <w:rsid w:val="00E43DE3"/>
    <w:rsid w:val="00E442ED"/>
    <w:rsid w:val="00E445D8"/>
    <w:rsid w:val="00E44801"/>
    <w:rsid w:val="00E45349"/>
    <w:rsid w:val="00E471B4"/>
    <w:rsid w:val="00E52661"/>
    <w:rsid w:val="00E539C0"/>
    <w:rsid w:val="00E53B77"/>
    <w:rsid w:val="00E54FCC"/>
    <w:rsid w:val="00E54FD5"/>
    <w:rsid w:val="00E553FC"/>
    <w:rsid w:val="00E55934"/>
    <w:rsid w:val="00E55994"/>
    <w:rsid w:val="00E5619D"/>
    <w:rsid w:val="00E568E4"/>
    <w:rsid w:val="00E56CCD"/>
    <w:rsid w:val="00E57DB9"/>
    <w:rsid w:val="00E57E21"/>
    <w:rsid w:val="00E6183C"/>
    <w:rsid w:val="00E61BB9"/>
    <w:rsid w:val="00E6253B"/>
    <w:rsid w:val="00E6299F"/>
    <w:rsid w:val="00E63655"/>
    <w:rsid w:val="00E638AA"/>
    <w:rsid w:val="00E638F7"/>
    <w:rsid w:val="00E63F86"/>
    <w:rsid w:val="00E64E18"/>
    <w:rsid w:val="00E666B2"/>
    <w:rsid w:val="00E67547"/>
    <w:rsid w:val="00E70E96"/>
    <w:rsid w:val="00E7199C"/>
    <w:rsid w:val="00E71D7E"/>
    <w:rsid w:val="00E7201C"/>
    <w:rsid w:val="00E726D0"/>
    <w:rsid w:val="00E73819"/>
    <w:rsid w:val="00E73FC1"/>
    <w:rsid w:val="00E74311"/>
    <w:rsid w:val="00E74A30"/>
    <w:rsid w:val="00E74FD6"/>
    <w:rsid w:val="00E75B14"/>
    <w:rsid w:val="00E76DF1"/>
    <w:rsid w:val="00E773EC"/>
    <w:rsid w:val="00E80203"/>
    <w:rsid w:val="00E819D3"/>
    <w:rsid w:val="00E826C6"/>
    <w:rsid w:val="00E82CD6"/>
    <w:rsid w:val="00E83D34"/>
    <w:rsid w:val="00E83E31"/>
    <w:rsid w:val="00E85BF0"/>
    <w:rsid w:val="00E85C9F"/>
    <w:rsid w:val="00E86192"/>
    <w:rsid w:val="00E86876"/>
    <w:rsid w:val="00E87456"/>
    <w:rsid w:val="00E87F45"/>
    <w:rsid w:val="00E904FB"/>
    <w:rsid w:val="00E9203F"/>
    <w:rsid w:val="00E92C90"/>
    <w:rsid w:val="00E93369"/>
    <w:rsid w:val="00E93E7C"/>
    <w:rsid w:val="00E95DE1"/>
    <w:rsid w:val="00E96912"/>
    <w:rsid w:val="00E96F3F"/>
    <w:rsid w:val="00E9763A"/>
    <w:rsid w:val="00E977F1"/>
    <w:rsid w:val="00EA0438"/>
    <w:rsid w:val="00EA0BE9"/>
    <w:rsid w:val="00EA2725"/>
    <w:rsid w:val="00EA35C7"/>
    <w:rsid w:val="00EA36A0"/>
    <w:rsid w:val="00EA5463"/>
    <w:rsid w:val="00EA54C9"/>
    <w:rsid w:val="00EA6584"/>
    <w:rsid w:val="00EA7122"/>
    <w:rsid w:val="00EA71D5"/>
    <w:rsid w:val="00EA77B3"/>
    <w:rsid w:val="00EB0CB9"/>
    <w:rsid w:val="00EB3F83"/>
    <w:rsid w:val="00EB478B"/>
    <w:rsid w:val="00EB4C12"/>
    <w:rsid w:val="00EB4F2A"/>
    <w:rsid w:val="00EB5747"/>
    <w:rsid w:val="00EB6215"/>
    <w:rsid w:val="00EC13EB"/>
    <w:rsid w:val="00EC18E2"/>
    <w:rsid w:val="00EC1AD1"/>
    <w:rsid w:val="00EC1C9D"/>
    <w:rsid w:val="00EC31E0"/>
    <w:rsid w:val="00EC3275"/>
    <w:rsid w:val="00EC342A"/>
    <w:rsid w:val="00EC37F5"/>
    <w:rsid w:val="00EC44F3"/>
    <w:rsid w:val="00EC5C2C"/>
    <w:rsid w:val="00EC759F"/>
    <w:rsid w:val="00EC78E5"/>
    <w:rsid w:val="00ED2305"/>
    <w:rsid w:val="00ED3EC0"/>
    <w:rsid w:val="00ED48C1"/>
    <w:rsid w:val="00ED4F17"/>
    <w:rsid w:val="00ED5EAA"/>
    <w:rsid w:val="00ED63BE"/>
    <w:rsid w:val="00ED69DE"/>
    <w:rsid w:val="00ED7FE5"/>
    <w:rsid w:val="00EE58E4"/>
    <w:rsid w:val="00EE597B"/>
    <w:rsid w:val="00EE6F4B"/>
    <w:rsid w:val="00EE7B95"/>
    <w:rsid w:val="00EF0356"/>
    <w:rsid w:val="00EF0FDC"/>
    <w:rsid w:val="00EF19C3"/>
    <w:rsid w:val="00EF1ED4"/>
    <w:rsid w:val="00EF221D"/>
    <w:rsid w:val="00EF292A"/>
    <w:rsid w:val="00EF3078"/>
    <w:rsid w:val="00EF591B"/>
    <w:rsid w:val="00EF67ED"/>
    <w:rsid w:val="00EF71C8"/>
    <w:rsid w:val="00EF735C"/>
    <w:rsid w:val="00F00196"/>
    <w:rsid w:val="00F00B0B"/>
    <w:rsid w:val="00F01422"/>
    <w:rsid w:val="00F01A30"/>
    <w:rsid w:val="00F02325"/>
    <w:rsid w:val="00F02CB7"/>
    <w:rsid w:val="00F02D9F"/>
    <w:rsid w:val="00F04550"/>
    <w:rsid w:val="00F05183"/>
    <w:rsid w:val="00F055AB"/>
    <w:rsid w:val="00F05E1C"/>
    <w:rsid w:val="00F06764"/>
    <w:rsid w:val="00F103B9"/>
    <w:rsid w:val="00F10495"/>
    <w:rsid w:val="00F11EF7"/>
    <w:rsid w:val="00F11FE6"/>
    <w:rsid w:val="00F12338"/>
    <w:rsid w:val="00F150D1"/>
    <w:rsid w:val="00F1566C"/>
    <w:rsid w:val="00F159C0"/>
    <w:rsid w:val="00F15C6F"/>
    <w:rsid w:val="00F1618F"/>
    <w:rsid w:val="00F1634E"/>
    <w:rsid w:val="00F16571"/>
    <w:rsid w:val="00F21187"/>
    <w:rsid w:val="00F212E5"/>
    <w:rsid w:val="00F220C1"/>
    <w:rsid w:val="00F22B05"/>
    <w:rsid w:val="00F22E6D"/>
    <w:rsid w:val="00F23121"/>
    <w:rsid w:val="00F23167"/>
    <w:rsid w:val="00F23B2F"/>
    <w:rsid w:val="00F23C69"/>
    <w:rsid w:val="00F244DB"/>
    <w:rsid w:val="00F24E59"/>
    <w:rsid w:val="00F2681A"/>
    <w:rsid w:val="00F27282"/>
    <w:rsid w:val="00F27723"/>
    <w:rsid w:val="00F30367"/>
    <w:rsid w:val="00F304FE"/>
    <w:rsid w:val="00F30CAF"/>
    <w:rsid w:val="00F31612"/>
    <w:rsid w:val="00F31C9A"/>
    <w:rsid w:val="00F324DA"/>
    <w:rsid w:val="00F326A8"/>
    <w:rsid w:val="00F34418"/>
    <w:rsid w:val="00F34E08"/>
    <w:rsid w:val="00F34EA5"/>
    <w:rsid w:val="00F3573A"/>
    <w:rsid w:val="00F369A6"/>
    <w:rsid w:val="00F41573"/>
    <w:rsid w:val="00F41E5C"/>
    <w:rsid w:val="00F424BD"/>
    <w:rsid w:val="00F42C0B"/>
    <w:rsid w:val="00F42C88"/>
    <w:rsid w:val="00F43A57"/>
    <w:rsid w:val="00F44529"/>
    <w:rsid w:val="00F45704"/>
    <w:rsid w:val="00F457D2"/>
    <w:rsid w:val="00F46F83"/>
    <w:rsid w:val="00F47D53"/>
    <w:rsid w:val="00F5184E"/>
    <w:rsid w:val="00F5186E"/>
    <w:rsid w:val="00F52270"/>
    <w:rsid w:val="00F524EE"/>
    <w:rsid w:val="00F52FF8"/>
    <w:rsid w:val="00F532E5"/>
    <w:rsid w:val="00F5498A"/>
    <w:rsid w:val="00F54DDF"/>
    <w:rsid w:val="00F555F7"/>
    <w:rsid w:val="00F566B0"/>
    <w:rsid w:val="00F56972"/>
    <w:rsid w:val="00F573CB"/>
    <w:rsid w:val="00F575D3"/>
    <w:rsid w:val="00F57D0E"/>
    <w:rsid w:val="00F60548"/>
    <w:rsid w:val="00F61534"/>
    <w:rsid w:val="00F61D1E"/>
    <w:rsid w:val="00F61E97"/>
    <w:rsid w:val="00F632AF"/>
    <w:rsid w:val="00F6466E"/>
    <w:rsid w:val="00F65D6B"/>
    <w:rsid w:val="00F668F0"/>
    <w:rsid w:val="00F6760E"/>
    <w:rsid w:val="00F67DCD"/>
    <w:rsid w:val="00F7090D"/>
    <w:rsid w:val="00F716FA"/>
    <w:rsid w:val="00F71A34"/>
    <w:rsid w:val="00F71C3F"/>
    <w:rsid w:val="00F72266"/>
    <w:rsid w:val="00F73C13"/>
    <w:rsid w:val="00F7593E"/>
    <w:rsid w:val="00F7598B"/>
    <w:rsid w:val="00F75BC5"/>
    <w:rsid w:val="00F76823"/>
    <w:rsid w:val="00F76F47"/>
    <w:rsid w:val="00F7796E"/>
    <w:rsid w:val="00F8067A"/>
    <w:rsid w:val="00F80926"/>
    <w:rsid w:val="00F819B2"/>
    <w:rsid w:val="00F81BEF"/>
    <w:rsid w:val="00F81EF4"/>
    <w:rsid w:val="00F82433"/>
    <w:rsid w:val="00F825DD"/>
    <w:rsid w:val="00F82C77"/>
    <w:rsid w:val="00F835E3"/>
    <w:rsid w:val="00F83BA1"/>
    <w:rsid w:val="00F84611"/>
    <w:rsid w:val="00F84659"/>
    <w:rsid w:val="00F85BAA"/>
    <w:rsid w:val="00F87403"/>
    <w:rsid w:val="00F901CD"/>
    <w:rsid w:val="00F90A31"/>
    <w:rsid w:val="00F91C04"/>
    <w:rsid w:val="00F93964"/>
    <w:rsid w:val="00F93E9A"/>
    <w:rsid w:val="00F9426E"/>
    <w:rsid w:val="00F9457B"/>
    <w:rsid w:val="00F94C87"/>
    <w:rsid w:val="00F94DD6"/>
    <w:rsid w:val="00F9522A"/>
    <w:rsid w:val="00F95246"/>
    <w:rsid w:val="00F9661C"/>
    <w:rsid w:val="00F97716"/>
    <w:rsid w:val="00FA079E"/>
    <w:rsid w:val="00FA10D5"/>
    <w:rsid w:val="00FA1FB0"/>
    <w:rsid w:val="00FA6202"/>
    <w:rsid w:val="00FA62AA"/>
    <w:rsid w:val="00FA6FA2"/>
    <w:rsid w:val="00FB06DA"/>
    <w:rsid w:val="00FB14B5"/>
    <w:rsid w:val="00FB1F70"/>
    <w:rsid w:val="00FB3611"/>
    <w:rsid w:val="00FB3E61"/>
    <w:rsid w:val="00FB4F8B"/>
    <w:rsid w:val="00FB5D0E"/>
    <w:rsid w:val="00FB5D90"/>
    <w:rsid w:val="00FB6250"/>
    <w:rsid w:val="00FB76A8"/>
    <w:rsid w:val="00FB7CCD"/>
    <w:rsid w:val="00FB7F79"/>
    <w:rsid w:val="00FC026C"/>
    <w:rsid w:val="00FC2552"/>
    <w:rsid w:val="00FC304B"/>
    <w:rsid w:val="00FC3CEC"/>
    <w:rsid w:val="00FC4AAA"/>
    <w:rsid w:val="00FC5262"/>
    <w:rsid w:val="00FC5866"/>
    <w:rsid w:val="00FC5F67"/>
    <w:rsid w:val="00FC612B"/>
    <w:rsid w:val="00FC62AF"/>
    <w:rsid w:val="00FC6424"/>
    <w:rsid w:val="00FC6C27"/>
    <w:rsid w:val="00FD00B9"/>
    <w:rsid w:val="00FD0B76"/>
    <w:rsid w:val="00FD1D30"/>
    <w:rsid w:val="00FD2771"/>
    <w:rsid w:val="00FD278A"/>
    <w:rsid w:val="00FD2801"/>
    <w:rsid w:val="00FD3051"/>
    <w:rsid w:val="00FD54BB"/>
    <w:rsid w:val="00FD55F6"/>
    <w:rsid w:val="00FD6118"/>
    <w:rsid w:val="00FD7E71"/>
    <w:rsid w:val="00FE04F6"/>
    <w:rsid w:val="00FE0C8F"/>
    <w:rsid w:val="00FE169D"/>
    <w:rsid w:val="00FE173B"/>
    <w:rsid w:val="00FE2D6E"/>
    <w:rsid w:val="00FE2E66"/>
    <w:rsid w:val="00FE34EE"/>
    <w:rsid w:val="00FE3D75"/>
    <w:rsid w:val="00FE487B"/>
    <w:rsid w:val="00FE54D3"/>
    <w:rsid w:val="00FE5DD0"/>
    <w:rsid w:val="00FF06A6"/>
    <w:rsid w:val="00FF1940"/>
    <w:rsid w:val="00FF2084"/>
    <w:rsid w:val="00FF490E"/>
    <w:rsid w:val="00FF689F"/>
    <w:rsid w:val="00FF7405"/>
    <w:rsid w:val="00FF7EC4"/>
    <w:rsid w:val="010FC041"/>
    <w:rsid w:val="0AC63981"/>
    <w:rsid w:val="0B4ADD20"/>
    <w:rsid w:val="0DB7490D"/>
    <w:rsid w:val="15C31AE8"/>
    <w:rsid w:val="192EA7F6"/>
    <w:rsid w:val="1F85498A"/>
    <w:rsid w:val="216F7DCD"/>
    <w:rsid w:val="2D61BF51"/>
    <w:rsid w:val="2E6A47D9"/>
    <w:rsid w:val="2E77748F"/>
    <w:rsid w:val="2F52758C"/>
    <w:rsid w:val="2FDC5B02"/>
    <w:rsid w:val="31AA6C9E"/>
    <w:rsid w:val="34DBD73F"/>
    <w:rsid w:val="383ABD67"/>
    <w:rsid w:val="3C8685B4"/>
    <w:rsid w:val="4159B73D"/>
    <w:rsid w:val="436A7472"/>
    <w:rsid w:val="4E29F7D1"/>
    <w:rsid w:val="4FBD7605"/>
    <w:rsid w:val="4FC5C832"/>
    <w:rsid w:val="5A2DD922"/>
    <w:rsid w:val="5D84CC1A"/>
    <w:rsid w:val="64D58256"/>
    <w:rsid w:val="64DB520F"/>
    <w:rsid w:val="716C6292"/>
    <w:rsid w:val="725F3BF9"/>
    <w:rsid w:val="733EBA5C"/>
    <w:rsid w:val="77E7AE0F"/>
    <w:rsid w:val="78D2739E"/>
    <w:rsid w:val="7E325981"/>
    <w:rsid w:val="7F4EE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49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718"/>
    <w:pPr>
      <w:spacing w:line="288" w:lineRule="auto"/>
    </w:pPr>
    <w:rPr>
      <w:rFonts w:ascii="Verdana" w:eastAsiaTheme="minorEastAsia" w:hAnsi="Verdana" w:cstheme="minorBidi"/>
      <w:sz w:val="24"/>
      <w:szCs w:val="24"/>
    </w:rPr>
  </w:style>
  <w:style w:type="paragraph" w:styleId="Heading1">
    <w:name w:val="heading 1"/>
    <w:basedOn w:val="Normal"/>
    <w:next w:val="Normal"/>
    <w:link w:val="Heading1Char"/>
    <w:uiPriority w:val="9"/>
    <w:qFormat/>
    <w:rsid w:val="00086959"/>
    <w:pPr>
      <w:keepNext/>
      <w:keepLines/>
      <w:numPr>
        <w:numId w:val="8"/>
      </w:numPr>
      <w:spacing w:before="240" w:after="240"/>
      <w:outlineLvl w:val="0"/>
    </w:pPr>
    <w:rPr>
      <w:rFonts w:eastAsiaTheme="majorEastAsia" w:cstheme="majorBidi"/>
      <w:b/>
      <w:color w:val="77328A"/>
      <w:sz w:val="32"/>
      <w:szCs w:val="32"/>
    </w:rPr>
  </w:style>
  <w:style w:type="paragraph" w:styleId="Heading2">
    <w:name w:val="heading 2"/>
    <w:basedOn w:val="Normal"/>
    <w:next w:val="Normal"/>
    <w:link w:val="Heading2Char"/>
    <w:uiPriority w:val="9"/>
    <w:unhideWhenUsed/>
    <w:qFormat/>
    <w:rsid w:val="00866131"/>
    <w:pPr>
      <w:keepNext/>
      <w:keepLines/>
      <w:spacing w:before="40" w:line="36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32D88"/>
    <w:pPr>
      <w:spacing w:after="240"/>
      <w:ind w:left="-11"/>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6131"/>
    <w:rPr>
      <w:rFonts w:ascii="Verdana" w:eastAsiaTheme="majorEastAsia" w:hAnsi="Verdana" w:cstheme="majorBidi"/>
      <w:b/>
      <w:sz w:val="24"/>
      <w:szCs w:val="26"/>
    </w:rPr>
  </w:style>
  <w:style w:type="paragraph" w:customStyle="1" w:styleId="NIHRCFootnotes">
    <w:name w:val="NIHRC Footnotes"/>
    <w:basedOn w:val="Normal"/>
    <w:qFormat/>
    <w:rsid w:val="00AF4682"/>
    <w:pPr>
      <w:tabs>
        <w:tab w:val="left" w:pos="284"/>
      </w:tabs>
      <w:spacing w:line="240" w:lineRule="auto"/>
    </w:pPr>
    <w:rPr>
      <w:rFonts w:cs="Arial"/>
      <w:color w:val="77328A"/>
      <w:sz w:val="16"/>
      <w:szCs w:val="16"/>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BasicParagraph"/>
    <w:link w:val="ListParagraphChar"/>
    <w:uiPriority w:val="34"/>
    <w:qFormat/>
    <w:rsid w:val="00E32D88"/>
    <w:pPr>
      <w:numPr>
        <w:ilvl w:val="1"/>
        <w:numId w:val="8"/>
      </w:numPr>
      <w:suppressAutoHyphens/>
      <w:ind w:left="720"/>
      <w:jc w:val="left"/>
    </w:pPr>
    <w:rPr>
      <w:rFonts w:ascii="Verdana" w:hAnsi="Verdana"/>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E32D88"/>
    <w:rPr>
      <w:rFonts w:ascii="Verdana" w:eastAsiaTheme="minorEastAsia" w:hAnsi="Verdana" w:cs="MinionPro-Regular"/>
      <w:color w:val="000000"/>
      <w:sz w:val="24"/>
      <w:szCs w:val="24"/>
    </w:rPr>
  </w:style>
  <w:style w:type="character" w:customStyle="1" w:styleId="normaltextrun">
    <w:name w:val="normaltextrun"/>
    <w:basedOn w:val="DefaultParagraphFont"/>
    <w:rsid w:val="003F60F5"/>
  </w:style>
  <w:style w:type="paragraph" w:customStyle="1" w:styleId="paragraph">
    <w:name w:val="paragraph"/>
    <w:basedOn w:val="Normal"/>
    <w:rsid w:val="003F60F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3F60F5"/>
    <w:rPr>
      <w:color w:val="0563C1" w:themeColor="hyperlink"/>
      <w:u w:val="single"/>
    </w:rPr>
  </w:style>
  <w:style w:type="paragraph" w:styleId="EndnoteText">
    <w:name w:val="endnote text"/>
    <w:basedOn w:val="Normal"/>
    <w:link w:val="EndnoteTextChar"/>
    <w:uiPriority w:val="99"/>
    <w:semiHidden/>
    <w:unhideWhenUsed/>
    <w:rsid w:val="003F60F5"/>
    <w:rPr>
      <w:sz w:val="20"/>
      <w:szCs w:val="20"/>
    </w:rPr>
  </w:style>
  <w:style w:type="character" w:customStyle="1" w:styleId="EndnoteTextChar">
    <w:name w:val="Endnote Text Char"/>
    <w:basedOn w:val="DefaultParagraphFont"/>
    <w:link w:val="EndnoteText"/>
    <w:uiPriority w:val="99"/>
    <w:semiHidden/>
    <w:rsid w:val="003F60F5"/>
    <w:rPr>
      <w:rFonts w:ascii="Verdana" w:eastAsiaTheme="minorEastAsia" w:hAnsi="Verdana" w:cstheme="minorBidi"/>
    </w:rPr>
  </w:style>
  <w:style w:type="character" w:styleId="EndnoteReference">
    <w:name w:val="endnote reference"/>
    <w:basedOn w:val="DefaultParagraphFont"/>
    <w:uiPriority w:val="99"/>
    <w:semiHidden/>
    <w:unhideWhenUsed/>
    <w:rsid w:val="003F60F5"/>
    <w:rPr>
      <w:vertAlign w:val="superscript"/>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f"/>
    <w:basedOn w:val="Normal"/>
    <w:link w:val="FootnoteTextChar"/>
    <w:uiPriority w:val="99"/>
    <w:unhideWhenUsed/>
    <w:qFormat/>
    <w:rsid w:val="002779D1"/>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2779D1"/>
    <w:rPr>
      <w:rFonts w:ascii="Verdana" w:eastAsiaTheme="minorEastAsia" w:hAnsi="Verdana" w:cstheme="minorBidi"/>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
    <w:basedOn w:val="DefaultParagraphFont"/>
    <w:link w:val="4GChar"/>
    <w:uiPriority w:val="99"/>
    <w:unhideWhenUsed/>
    <w:qFormat/>
    <w:rsid w:val="002779D1"/>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link w:val="FootnoteReference"/>
    <w:uiPriority w:val="99"/>
    <w:qFormat/>
    <w:rsid w:val="00E3606F"/>
    <w:pPr>
      <w:spacing w:line="240" w:lineRule="exact"/>
      <w:jc w:val="both"/>
    </w:pPr>
    <w:rPr>
      <w:rFonts w:ascii="Times New Roman" w:eastAsiaTheme="minorHAnsi" w:hAnsi="Times New Roman" w:cs="Times New Roman"/>
      <w:sz w:val="20"/>
      <w:szCs w:val="20"/>
      <w:vertAlign w:val="superscript"/>
    </w:rPr>
  </w:style>
  <w:style w:type="character" w:styleId="CommentReference">
    <w:name w:val="annotation reference"/>
    <w:basedOn w:val="DefaultParagraphFont"/>
    <w:uiPriority w:val="99"/>
    <w:semiHidden/>
    <w:unhideWhenUsed/>
    <w:rsid w:val="007A268C"/>
    <w:rPr>
      <w:sz w:val="16"/>
      <w:szCs w:val="16"/>
    </w:rPr>
  </w:style>
  <w:style w:type="paragraph" w:styleId="CommentText">
    <w:name w:val="annotation text"/>
    <w:basedOn w:val="Normal"/>
    <w:link w:val="CommentTextChar"/>
    <w:uiPriority w:val="99"/>
    <w:unhideWhenUsed/>
    <w:rsid w:val="007A268C"/>
    <w:rPr>
      <w:sz w:val="20"/>
      <w:szCs w:val="20"/>
    </w:rPr>
  </w:style>
  <w:style w:type="character" w:customStyle="1" w:styleId="CommentTextChar">
    <w:name w:val="Comment Text Char"/>
    <w:basedOn w:val="DefaultParagraphFont"/>
    <w:link w:val="CommentText"/>
    <w:uiPriority w:val="99"/>
    <w:rsid w:val="007A268C"/>
    <w:rPr>
      <w:rFonts w:ascii="Verdana" w:eastAsiaTheme="minorEastAsia" w:hAnsi="Verdana" w:cstheme="minorBidi"/>
    </w:rPr>
  </w:style>
  <w:style w:type="paragraph" w:styleId="CommentSubject">
    <w:name w:val="annotation subject"/>
    <w:basedOn w:val="CommentText"/>
    <w:next w:val="CommentText"/>
    <w:link w:val="CommentSubjectChar"/>
    <w:uiPriority w:val="99"/>
    <w:semiHidden/>
    <w:unhideWhenUsed/>
    <w:rsid w:val="007A268C"/>
    <w:rPr>
      <w:b/>
      <w:bCs/>
    </w:rPr>
  </w:style>
  <w:style w:type="character" w:customStyle="1" w:styleId="CommentSubjectChar">
    <w:name w:val="Comment Subject Char"/>
    <w:basedOn w:val="CommentTextChar"/>
    <w:link w:val="CommentSubject"/>
    <w:uiPriority w:val="99"/>
    <w:semiHidden/>
    <w:rsid w:val="007A268C"/>
    <w:rPr>
      <w:rFonts w:ascii="Verdana" w:eastAsiaTheme="minorEastAsia" w:hAnsi="Verdana" w:cstheme="minorBidi"/>
      <w:b/>
      <w:bCs/>
    </w:rPr>
  </w:style>
  <w:style w:type="paragraph" w:customStyle="1" w:styleId="BasicParagraph">
    <w:name w:val="[Basic Paragraph]"/>
    <w:basedOn w:val="Normal"/>
    <w:link w:val="BasicParagraphChar"/>
    <w:uiPriority w:val="99"/>
    <w:rsid w:val="00015718"/>
    <w:pPr>
      <w:widowControl w:val="0"/>
      <w:autoSpaceDE w:val="0"/>
      <w:autoSpaceDN w:val="0"/>
      <w:adjustRightInd w:val="0"/>
      <w:jc w:val="both"/>
      <w:textAlignment w:val="center"/>
    </w:pPr>
    <w:rPr>
      <w:rFonts w:ascii="MinionPro-Regular" w:hAnsi="MinionPro-Regular" w:cs="MinionPro-Regular"/>
      <w:color w:val="000000"/>
    </w:rPr>
  </w:style>
  <w:style w:type="paragraph" w:customStyle="1" w:styleId="Default">
    <w:name w:val="Default"/>
    <w:rsid w:val="00015718"/>
    <w:pPr>
      <w:widowControl w:val="0"/>
      <w:autoSpaceDE w:val="0"/>
      <w:autoSpaceDN w:val="0"/>
      <w:adjustRightInd w:val="0"/>
      <w:spacing w:line="360" w:lineRule="auto"/>
      <w:jc w:val="both"/>
    </w:pPr>
    <w:rPr>
      <w:rFonts w:ascii="Verdana" w:eastAsiaTheme="minorEastAsia" w:hAnsi="Verdana" w:cs="Verdana"/>
      <w:color w:val="000000"/>
      <w:sz w:val="24"/>
      <w:szCs w:val="24"/>
      <w:lang w:val="en-US"/>
    </w:rPr>
  </w:style>
  <w:style w:type="character" w:customStyle="1" w:styleId="Heading1Char">
    <w:name w:val="Heading 1 Char"/>
    <w:basedOn w:val="DefaultParagraphFont"/>
    <w:link w:val="Heading1"/>
    <w:uiPriority w:val="9"/>
    <w:rsid w:val="00086959"/>
    <w:rPr>
      <w:rFonts w:ascii="Verdana" w:eastAsiaTheme="majorEastAsia" w:hAnsi="Verdana" w:cstheme="majorBidi"/>
      <w:b/>
      <w:color w:val="77328A"/>
      <w:sz w:val="32"/>
      <w:szCs w:val="32"/>
    </w:rPr>
  </w:style>
  <w:style w:type="character" w:styleId="UnresolvedMention">
    <w:name w:val="Unresolved Mention"/>
    <w:basedOn w:val="DefaultParagraphFont"/>
    <w:uiPriority w:val="99"/>
    <w:semiHidden/>
    <w:unhideWhenUsed/>
    <w:rsid w:val="0062748F"/>
    <w:rPr>
      <w:color w:val="605E5C"/>
      <w:shd w:val="clear" w:color="auto" w:fill="E1DFDD"/>
    </w:rPr>
  </w:style>
  <w:style w:type="character" w:styleId="Emphasis">
    <w:name w:val="Emphasis"/>
    <w:basedOn w:val="DefaultParagraphFont"/>
    <w:uiPriority w:val="20"/>
    <w:qFormat/>
    <w:rsid w:val="005E0B0B"/>
    <w:rPr>
      <w:i/>
      <w:iCs/>
    </w:rPr>
  </w:style>
  <w:style w:type="paragraph" w:styleId="TOCHeading">
    <w:name w:val="TOC Heading"/>
    <w:basedOn w:val="Heading1"/>
    <w:next w:val="Normal"/>
    <w:uiPriority w:val="39"/>
    <w:unhideWhenUsed/>
    <w:qFormat/>
    <w:rsid w:val="00A250D0"/>
    <w:pPr>
      <w:spacing w:line="259" w:lineRule="auto"/>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F716FA"/>
    <w:pPr>
      <w:tabs>
        <w:tab w:val="left" w:pos="660"/>
        <w:tab w:val="right" w:leader="dot" w:pos="9016"/>
      </w:tabs>
      <w:spacing w:after="100"/>
    </w:pPr>
    <w:rPr>
      <w:b/>
      <w:bCs/>
      <w:noProof/>
    </w:rPr>
  </w:style>
  <w:style w:type="paragraph" w:styleId="TOC2">
    <w:name w:val="toc 2"/>
    <w:basedOn w:val="Normal"/>
    <w:next w:val="Normal"/>
    <w:autoRedefine/>
    <w:uiPriority w:val="39"/>
    <w:unhideWhenUsed/>
    <w:rsid w:val="00A250D0"/>
    <w:pPr>
      <w:spacing w:after="100"/>
      <w:ind w:left="240"/>
    </w:pPr>
  </w:style>
  <w:style w:type="paragraph" w:styleId="Header">
    <w:name w:val="header"/>
    <w:basedOn w:val="Normal"/>
    <w:link w:val="HeaderChar"/>
    <w:uiPriority w:val="99"/>
    <w:unhideWhenUsed/>
    <w:rsid w:val="007D17F2"/>
    <w:pPr>
      <w:tabs>
        <w:tab w:val="center" w:pos="4513"/>
        <w:tab w:val="right" w:pos="9026"/>
      </w:tabs>
      <w:spacing w:line="240" w:lineRule="auto"/>
    </w:pPr>
  </w:style>
  <w:style w:type="character" w:customStyle="1" w:styleId="HeaderChar">
    <w:name w:val="Header Char"/>
    <w:basedOn w:val="DefaultParagraphFont"/>
    <w:link w:val="Header"/>
    <w:uiPriority w:val="99"/>
    <w:rsid w:val="007D17F2"/>
    <w:rPr>
      <w:rFonts w:ascii="Verdana" w:eastAsiaTheme="minorEastAsia" w:hAnsi="Verdana" w:cstheme="minorBidi"/>
      <w:sz w:val="24"/>
      <w:szCs w:val="24"/>
    </w:rPr>
  </w:style>
  <w:style w:type="paragraph" w:styleId="Footer">
    <w:name w:val="footer"/>
    <w:basedOn w:val="Normal"/>
    <w:link w:val="FooterChar"/>
    <w:uiPriority w:val="99"/>
    <w:unhideWhenUsed/>
    <w:rsid w:val="007D17F2"/>
    <w:pPr>
      <w:tabs>
        <w:tab w:val="center" w:pos="4513"/>
        <w:tab w:val="right" w:pos="9026"/>
      </w:tabs>
      <w:spacing w:line="240" w:lineRule="auto"/>
    </w:pPr>
  </w:style>
  <w:style w:type="character" w:customStyle="1" w:styleId="FooterChar">
    <w:name w:val="Footer Char"/>
    <w:basedOn w:val="DefaultParagraphFont"/>
    <w:link w:val="Footer"/>
    <w:uiPriority w:val="99"/>
    <w:rsid w:val="007D17F2"/>
    <w:rPr>
      <w:rFonts w:ascii="Verdana" w:eastAsiaTheme="minorEastAsia" w:hAnsi="Verdana" w:cstheme="minorBidi"/>
      <w:sz w:val="24"/>
      <w:szCs w:val="24"/>
    </w:rPr>
  </w:style>
  <w:style w:type="paragraph" w:styleId="Revision">
    <w:name w:val="Revision"/>
    <w:hidden/>
    <w:uiPriority w:val="99"/>
    <w:semiHidden/>
    <w:rsid w:val="00171BAA"/>
    <w:rPr>
      <w:rFonts w:ascii="Verdana" w:eastAsiaTheme="minorEastAsia" w:hAnsi="Verdana" w:cstheme="minorBidi"/>
      <w:sz w:val="24"/>
      <w:szCs w:val="24"/>
    </w:rPr>
  </w:style>
  <w:style w:type="character" w:customStyle="1" w:styleId="BasicParagraphChar">
    <w:name w:val="[Basic Paragraph] Char"/>
    <w:basedOn w:val="DefaultParagraphFont"/>
    <w:link w:val="BasicParagraph"/>
    <w:uiPriority w:val="99"/>
    <w:rsid w:val="002F62F5"/>
    <w:rPr>
      <w:rFonts w:ascii="MinionPro-Regular" w:eastAsiaTheme="minorEastAsia" w:hAnsi="MinionPro-Regular" w:cs="MinionPro-Regular"/>
      <w:color w:val="000000"/>
      <w:sz w:val="24"/>
      <w:szCs w:val="24"/>
    </w:rPr>
  </w:style>
  <w:style w:type="paragraph" w:styleId="Quote">
    <w:name w:val="Quote"/>
    <w:basedOn w:val="Normal"/>
    <w:next w:val="Normal"/>
    <w:link w:val="QuoteChar"/>
    <w:uiPriority w:val="29"/>
    <w:qFormat/>
    <w:rsid w:val="002F62F5"/>
    <w:pPr>
      <w:ind w:left="862" w:right="862"/>
    </w:pPr>
    <w:rPr>
      <w:iCs/>
    </w:rPr>
  </w:style>
  <w:style w:type="character" w:customStyle="1" w:styleId="QuoteChar">
    <w:name w:val="Quote Char"/>
    <w:basedOn w:val="DefaultParagraphFont"/>
    <w:link w:val="Quote"/>
    <w:uiPriority w:val="29"/>
    <w:rsid w:val="002F62F5"/>
    <w:rPr>
      <w:rFonts w:ascii="Verdana" w:eastAsiaTheme="minorEastAsia" w:hAnsi="Verdana" w:cstheme="minorBidi"/>
      <w:iCs/>
      <w:sz w:val="24"/>
      <w:szCs w:val="24"/>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rsid w:val="00C77928"/>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0F3258"/>
    <w:rPr>
      <w:rFonts w:ascii="Verdana" w:eastAsiaTheme="minorEastAsia" w:hAnsi="Verdana" w:cstheme="minorBidi"/>
      <w:sz w:val="24"/>
      <w:szCs w:val="24"/>
    </w:rPr>
  </w:style>
  <w:style w:type="paragraph" w:customStyle="1" w:styleId="Pa2">
    <w:name w:val="Pa2"/>
    <w:basedOn w:val="Default"/>
    <w:next w:val="Default"/>
    <w:uiPriority w:val="99"/>
    <w:rsid w:val="008559F3"/>
    <w:pPr>
      <w:widowControl/>
      <w:spacing w:line="241" w:lineRule="atLeast"/>
      <w:jc w:val="left"/>
    </w:pPr>
    <w:rPr>
      <w:rFonts w:ascii="Gotham" w:eastAsiaTheme="minorHAnsi" w:hAnsi="Gotham" w:cs="Times New Roman"/>
      <w:color w:val="auto"/>
      <w:lang w:val="en-GB"/>
    </w:rPr>
  </w:style>
  <w:style w:type="character" w:customStyle="1" w:styleId="cf01">
    <w:name w:val="cf01"/>
    <w:basedOn w:val="DefaultParagraphFont"/>
    <w:rsid w:val="0030395C"/>
    <w:rPr>
      <w:rFonts w:ascii="Segoe UI" w:hAnsi="Segoe UI" w:cs="Segoe UI" w:hint="default"/>
      <w:sz w:val="18"/>
      <w:szCs w:val="18"/>
    </w:rPr>
  </w:style>
  <w:style w:type="paragraph" w:styleId="Title">
    <w:name w:val="Title"/>
    <w:basedOn w:val="BasicParagraph"/>
    <w:next w:val="Normal"/>
    <w:link w:val="TitleChar"/>
    <w:uiPriority w:val="10"/>
    <w:qFormat/>
    <w:rsid w:val="00E32D88"/>
    <w:pPr>
      <w:suppressAutoHyphens/>
      <w:jc w:val="center"/>
    </w:pPr>
    <w:rPr>
      <w:rFonts w:ascii="Verdana" w:hAnsi="Verdana" w:cs="Arial"/>
      <w:b/>
      <w:bCs/>
      <w:color w:val="77328A"/>
      <w:sz w:val="36"/>
      <w:szCs w:val="36"/>
    </w:rPr>
  </w:style>
  <w:style w:type="character" w:customStyle="1" w:styleId="TitleChar">
    <w:name w:val="Title Char"/>
    <w:basedOn w:val="DefaultParagraphFont"/>
    <w:link w:val="Title"/>
    <w:uiPriority w:val="10"/>
    <w:rsid w:val="00E32D88"/>
    <w:rPr>
      <w:rFonts w:ascii="Verdana" w:eastAsiaTheme="minorEastAsia" w:hAnsi="Verdana" w:cs="Arial"/>
      <w:b/>
      <w:bCs/>
      <w:color w:val="77328A"/>
      <w:sz w:val="36"/>
      <w:szCs w:val="36"/>
    </w:rPr>
  </w:style>
  <w:style w:type="character" w:customStyle="1" w:styleId="Heading3Char">
    <w:name w:val="Heading 3 Char"/>
    <w:basedOn w:val="DefaultParagraphFont"/>
    <w:link w:val="Heading3"/>
    <w:uiPriority w:val="9"/>
    <w:rsid w:val="00E32D88"/>
    <w:rPr>
      <w:rFonts w:ascii="Verdana" w:eastAsiaTheme="minorEastAsia" w:hAnsi="Verdana" w:cstheme="minorBidi"/>
      <w:i/>
      <w:iCs/>
      <w:sz w:val="24"/>
      <w:szCs w:val="24"/>
    </w:rPr>
  </w:style>
  <w:style w:type="paragraph" w:styleId="TOC3">
    <w:name w:val="toc 3"/>
    <w:basedOn w:val="Normal"/>
    <w:next w:val="Normal"/>
    <w:autoRedefine/>
    <w:uiPriority w:val="39"/>
    <w:unhideWhenUsed/>
    <w:rsid w:val="00E32D88"/>
    <w:pPr>
      <w:spacing w:after="100"/>
      <w:ind w:left="480"/>
    </w:pPr>
  </w:style>
  <w:style w:type="paragraph" w:customStyle="1" w:styleId="Footnote">
    <w:name w:val="Footnote"/>
    <w:basedOn w:val="FootnoteText"/>
    <w:link w:val="FootnoteChar"/>
    <w:qFormat/>
    <w:rsid w:val="00C05F4E"/>
    <w:pPr>
      <w:spacing w:line="240" w:lineRule="auto"/>
    </w:pPr>
    <w:rPr>
      <w:rFonts w:eastAsia="Verdana" w:cs="Verdana"/>
      <w:color w:val="77328A"/>
      <w:sz w:val="16"/>
      <w:szCs w:val="16"/>
      <w:lang w:eastAsia="en-GB"/>
    </w:rPr>
  </w:style>
  <w:style w:type="character" w:customStyle="1" w:styleId="FootnoteChar">
    <w:name w:val="Footnote Char"/>
    <w:basedOn w:val="DefaultParagraphFont"/>
    <w:link w:val="Footnote"/>
    <w:rsid w:val="00C05F4E"/>
    <w:rPr>
      <w:rFonts w:ascii="Verdana" w:eastAsia="Verdana" w:hAnsi="Verdana" w:cs="Verdana"/>
      <w:color w:val="77328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209">
      <w:bodyDiv w:val="1"/>
      <w:marLeft w:val="0"/>
      <w:marRight w:val="0"/>
      <w:marTop w:val="0"/>
      <w:marBottom w:val="0"/>
      <w:divBdr>
        <w:top w:val="none" w:sz="0" w:space="0" w:color="auto"/>
        <w:left w:val="none" w:sz="0" w:space="0" w:color="auto"/>
        <w:bottom w:val="none" w:sz="0" w:space="0" w:color="auto"/>
        <w:right w:val="none" w:sz="0" w:space="0" w:color="auto"/>
      </w:divBdr>
    </w:div>
    <w:div w:id="153494347">
      <w:bodyDiv w:val="1"/>
      <w:marLeft w:val="0"/>
      <w:marRight w:val="0"/>
      <w:marTop w:val="0"/>
      <w:marBottom w:val="0"/>
      <w:divBdr>
        <w:top w:val="none" w:sz="0" w:space="0" w:color="auto"/>
        <w:left w:val="none" w:sz="0" w:space="0" w:color="auto"/>
        <w:bottom w:val="none" w:sz="0" w:space="0" w:color="auto"/>
        <w:right w:val="none" w:sz="0" w:space="0" w:color="auto"/>
      </w:divBdr>
    </w:div>
    <w:div w:id="388656216">
      <w:bodyDiv w:val="1"/>
      <w:marLeft w:val="0"/>
      <w:marRight w:val="0"/>
      <w:marTop w:val="0"/>
      <w:marBottom w:val="0"/>
      <w:divBdr>
        <w:top w:val="none" w:sz="0" w:space="0" w:color="auto"/>
        <w:left w:val="none" w:sz="0" w:space="0" w:color="auto"/>
        <w:bottom w:val="none" w:sz="0" w:space="0" w:color="auto"/>
        <w:right w:val="none" w:sz="0" w:space="0" w:color="auto"/>
      </w:divBdr>
    </w:div>
    <w:div w:id="544685571">
      <w:bodyDiv w:val="1"/>
      <w:marLeft w:val="0"/>
      <w:marRight w:val="0"/>
      <w:marTop w:val="0"/>
      <w:marBottom w:val="0"/>
      <w:divBdr>
        <w:top w:val="none" w:sz="0" w:space="0" w:color="auto"/>
        <w:left w:val="none" w:sz="0" w:space="0" w:color="auto"/>
        <w:bottom w:val="none" w:sz="0" w:space="0" w:color="auto"/>
        <w:right w:val="none" w:sz="0" w:space="0" w:color="auto"/>
      </w:divBdr>
    </w:div>
    <w:div w:id="680163017">
      <w:bodyDiv w:val="1"/>
      <w:marLeft w:val="0"/>
      <w:marRight w:val="0"/>
      <w:marTop w:val="0"/>
      <w:marBottom w:val="0"/>
      <w:divBdr>
        <w:top w:val="none" w:sz="0" w:space="0" w:color="auto"/>
        <w:left w:val="none" w:sz="0" w:space="0" w:color="auto"/>
        <w:bottom w:val="none" w:sz="0" w:space="0" w:color="auto"/>
        <w:right w:val="none" w:sz="0" w:space="0" w:color="auto"/>
      </w:divBdr>
    </w:div>
    <w:div w:id="721104085">
      <w:bodyDiv w:val="1"/>
      <w:marLeft w:val="0"/>
      <w:marRight w:val="0"/>
      <w:marTop w:val="0"/>
      <w:marBottom w:val="0"/>
      <w:divBdr>
        <w:top w:val="none" w:sz="0" w:space="0" w:color="auto"/>
        <w:left w:val="none" w:sz="0" w:space="0" w:color="auto"/>
        <w:bottom w:val="none" w:sz="0" w:space="0" w:color="auto"/>
        <w:right w:val="none" w:sz="0" w:space="0" w:color="auto"/>
      </w:divBdr>
    </w:div>
    <w:div w:id="809830417">
      <w:bodyDiv w:val="1"/>
      <w:marLeft w:val="0"/>
      <w:marRight w:val="0"/>
      <w:marTop w:val="0"/>
      <w:marBottom w:val="0"/>
      <w:divBdr>
        <w:top w:val="none" w:sz="0" w:space="0" w:color="auto"/>
        <w:left w:val="none" w:sz="0" w:space="0" w:color="auto"/>
        <w:bottom w:val="none" w:sz="0" w:space="0" w:color="auto"/>
        <w:right w:val="none" w:sz="0" w:space="0" w:color="auto"/>
      </w:divBdr>
    </w:div>
    <w:div w:id="1059598244">
      <w:bodyDiv w:val="1"/>
      <w:marLeft w:val="0"/>
      <w:marRight w:val="0"/>
      <w:marTop w:val="0"/>
      <w:marBottom w:val="0"/>
      <w:divBdr>
        <w:top w:val="none" w:sz="0" w:space="0" w:color="auto"/>
        <w:left w:val="none" w:sz="0" w:space="0" w:color="auto"/>
        <w:bottom w:val="none" w:sz="0" w:space="0" w:color="auto"/>
        <w:right w:val="none" w:sz="0" w:space="0" w:color="auto"/>
      </w:divBdr>
    </w:div>
    <w:div w:id="1321271613">
      <w:bodyDiv w:val="1"/>
      <w:marLeft w:val="0"/>
      <w:marRight w:val="0"/>
      <w:marTop w:val="0"/>
      <w:marBottom w:val="0"/>
      <w:divBdr>
        <w:top w:val="none" w:sz="0" w:space="0" w:color="auto"/>
        <w:left w:val="none" w:sz="0" w:space="0" w:color="auto"/>
        <w:bottom w:val="none" w:sz="0" w:space="0" w:color="auto"/>
        <w:right w:val="none" w:sz="0" w:space="0" w:color="auto"/>
      </w:divBdr>
    </w:div>
    <w:div w:id="137503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ilis.Haughey@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_en" TargetMode="External"/><Relationship Id="rId2" Type="http://schemas.openxmlformats.org/officeDocument/2006/relationships/hyperlink" Target="https://www.equalityni.org/ECNI/media/ECNI/Publications/Delivering%20Equality/DMU/NIHRC-ECNI-Scope-of-Protocol-Working-Paper-December-2022.pdf" TargetMode="External"/><Relationship Id="rId1" Type="http://schemas.openxmlformats.org/officeDocument/2006/relationships/hyperlink" Target="https://supremecourt.uk/cases/uksc-2025-0013" TargetMode="External"/><Relationship Id="rId5" Type="http://schemas.openxmlformats.org/officeDocument/2006/relationships/hyperlink" Target="https://committees.parliament.uk/committee/69/european-scrutiny-committee/news/202417/european-scrutiny-committee-discontinued/" TargetMode="External"/><Relationship Id="rId4" Type="http://schemas.openxmlformats.org/officeDocument/2006/relationships/hyperlink" Target="https://committees.parliament.uk/committee/69/european-scrutiny-committee/news/202417/european-scrutiny-committee-discontinu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6d6863-a85d-4a14-ba5d-ada9e5b222dd">
      <UserInfo>
        <DisplayName/>
        <AccountId xsi:nil="true"/>
        <AccountType/>
      </UserInfo>
    </SharedWithUsers>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3de475bbc9da9acda9ac55a07c915356">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a362a11f490bf88d5bbd359e1c8a158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6A441-518D-4E97-BFB3-6B847AD6E03D}">
  <ds:schemaRefs>
    <ds:schemaRef ds:uri="http://schemas.microsoft.com/sharepoint/v3/contenttype/forms"/>
  </ds:schemaRefs>
</ds:datastoreItem>
</file>

<file path=customXml/itemProps2.xml><?xml version="1.0" encoding="utf-8"?>
<ds:datastoreItem xmlns:ds="http://schemas.openxmlformats.org/officeDocument/2006/customXml" ds:itemID="{2CD5CBD8-A219-4A75-A908-42B5E9722DCA}">
  <ds:schemaRefs>
    <ds:schemaRef ds:uri="http://schemas.microsoft.com/office/2006/metadata/properties"/>
    <ds:schemaRef ds:uri="http://schemas.microsoft.com/office/infopath/2007/PartnerControls"/>
    <ds:schemaRef ds:uri="806d6863-a85d-4a14-ba5d-ada9e5b222dd"/>
    <ds:schemaRef ds:uri="12479bdc-b58c-44ab-9f0f-fa5baefb3da2"/>
  </ds:schemaRefs>
</ds:datastoreItem>
</file>

<file path=customXml/itemProps3.xml><?xml version="1.0" encoding="utf-8"?>
<ds:datastoreItem xmlns:ds="http://schemas.openxmlformats.org/officeDocument/2006/customXml" ds:itemID="{C9E0F9C0-7429-4633-BB4D-D668288A7DA6}">
  <ds:schemaRefs>
    <ds:schemaRef ds:uri="http://schemas.openxmlformats.org/officeDocument/2006/bibliography"/>
  </ds:schemaRefs>
</ds:datastoreItem>
</file>

<file path=customXml/itemProps4.xml><?xml version="1.0" encoding="utf-8"?>
<ds:datastoreItem xmlns:ds="http://schemas.openxmlformats.org/officeDocument/2006/customXml" ds:itemID="{674DA6BD-692E-4F30-9B9F-7F032B160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5791</Words>
  <Characters>31393</Characters>
  <Application>Microsoft Office Word</Application>
  <DocSecurity>0</DocSecurity>
  <Lines>848</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36855</CharactersWithSpaces>
  <SharedDoc>false</SharedDoc>
  <HLinks>
    <vt:vector size="174" baseType="variant">
      <vt:variant>
        <vt:i4>6946881</vt:i4>
      </vt:variant>
      <vt:variant>
        <vt:i4>108</vt:i4>
      </vt:variant>
      <vt:variant>
        <vt:i4>0</vt:i4>
      </vt:variant>
      <vt:variant>
        <vt:i4>5</vt:i4>
      </vt:variant>
      <vt:variant>
        <vt:lpwstr>mailto:info@nihrc.org</vt:lpwstr>
      </vt:variant>
      <vt:variant>
        <vt:lpwstr/>
      </vt:variant>
      <vt:variant>
        <vt:i4>4587543</vt:i4>
      </vt:variant>
      <vt:variant>
        <vt:i4>105</vt:i4>
      </vt:variant>
      <vt:variant>
        <vt:i4>0</vt:i4>
      </vt:variant>
      <vt:variant>
        <vt:i4>5</vt:i4>
      </vt:variant>
      <vt:variant>
        <vt:lpwstr>http://www.nihrc.org/</vt:lpwstr>
      </vt:variant>
      <vt:variant>
        <vt:lpwstr/>
      </vt:variant>
      <vt:variant>
        <vt:i4>6881286</vt:i4>
      </vt:variant>
      <vt:variant>
        <vt:i4>102</vt:i4>
      </vt:variant>
      <vt:variant>
        <vt:i4>0</vt:i4>
      </vt:variant>
      <vt:variant>
        <vt:i4>5</vt:i4>
      </vt:variant>
      <vt:variant>
        <vt:lpwstr>mailto:Colin.Caughey@nihrc.org</vt:lpwstr>
      </vt:variant>
      <vt:variant>
        <vt:lpwstr/>
      </vt:variant>
      <vt:variant>
        <vt:i4>7929856</vt:i4>
      </vt:variant>
      <vt:variant>
        <vt:i4>99</vt:i4>
      </vt:variant>
      <vt:variant>
        <vt:i4>0</vt:i4>
      </vt:variant>
      <vt:variant>
        <vt:i4>5</vt:i4>
      </vt:variant>
      <vt:variant>
        <vt:lpwstr>mailto:Eilis.Haughey@nihrc.org</vt:lpwstr>
      </vt:variant>
      <vt:variant>
        <vt:lpwstr/>
      </vt:variant>
      <vt:variant>
        <vt:i4>1900599</vt:i4>
      </vt:variant>
      <vt:variant>
        <vt:i4>92</vt:i4>
      </vt:variant>
      <vt:variant>
        <vt:i4>0</vt:i4>
      </vt:variant>
      <vt:variant>
        <vt:i4>5</vt:i4>
      </vt:variant>
      <vt:variant>
        <vt:lpwstr/>
      </vt:variant>
      <vt:variant>
        <vt:lpwstr>_Toc131676096</vt:lpwstr>
      </vt:variant>
      <vt:variant>
        <vt:i4>1900599</vt:i4>
      </vt:variant>
      <vt:variant>
        <vt:i4>86</vt:i4>
      </vt:variant>
      <vt:variant>
        <vt:i4>0</vt:i4>
      </vt:variant>
      <vt:variant>
        <vt:i4>5</vt:i4>
      </vt:variant>
      <vt:variant>
        <vt:lpwstr/>
      </vt:variant>
      <vt:variant>
        <vt:lpwstr>_Toc131676095</vt:lpwstr>
      </vt:variant>
      <vt:variant>
        <vt:i4>1900599</vt:i4>
      </vt:variant>
      <vt:variant>
        <vt:i4>80</vt:i4>
      </vt:variant>
      <vt:variant>
        <vt:i4>0</vt:i4>
      </vt:variant>
      <vt:variant>
        <vt:i4>5</vt:i4>
      </vt:variant>
      <vt:variant>
        <vt:lpwstr/>
      </vt:variant>
      <vt:variant>
        <vt:lpwstr>_Toc131676094</vt:lpwstr>
      </vt:variant>
      <vt:variant>
        <vt:i4>1900599</vt:i4>
      </vt:variant>
      <vt:variant>
        <vt:i4>74</vt:i4>
      </vt:variant>
      <vt:variant>
        <vt:i4>0</vt:i4>
      </vt:variant>
      <vt:variant>
        <vt:i4>5</vt:i4>
      </vt:variant>
      <vt:variant>
        <vt:lpwstr/>
      </vt:variant>
      <vt:variant>
        <vt:lpwstr>_Toc131676093</vt:lpwstr>
      </vt:variant>
      <vt:variant>
        <vt:i4>1900599</vt:i4>
      </vt:variant>
      <vt:variant>
        <vt:i4>68</vt:i4>
      </vt:variant>
      <vt:variant>
        <vt:i4>0</vt:i4>
      </vt:variant>
      <vt:variant>
        <vt:i4>5</vt:i4>
      </vt:variant>
      <vt:variant>
        <vt:lpwstr/>
      </vt:variant>
      <vt:variant>
        <vt:lpwstr>_Toc131676092</vt:lpwstr>
      </vt:variant>
      <vt:variant>
        <vt:i4>1900599</vt:i4>
      </vt:variant>
      <vt:variant>
        <vt:i4>62</vt:i4>
      </vt:variant>
      <vt:variant>
        <vt:i4>0</vt:i4>
      </vt:variant>
      <vt:variant>
        <vt:i4>5</vt:i4>
      </vt:variant>
      <vt:variant>
        <vt:lpwstr/>
      </vt:variant>
      <vt:variant>
        <vt:lpwstr>_Toc131676091</vt:lpwstr>
      </vt:variant>
      <vt:variant>
        <vt:i4>1900599</vt:i4>
      </vt:variant>
      <vt:variant>
        <vt:i4>56</vt:i4>
      </vt:variant>
      <vt:variant>
        <vt:i4>0</vt:i4>
      </vt:variant>
      <vt:variant>
        <vt:i4>5</vt:i4>
      </vt:variant>
      <vt:variant>
        <vt:lpwstr/>
      </vt:variant>
      <vt:variant>
        <vt:lpwstr>_Toc131676090</vt:lpwstr>
      </vt:variant>
      <vt:variant>
        <vt:i4>1835063</vt:i4>
      </vt:variant>
      <vt:variant>
        <vt:i4>50</vt:i4>
      </vt:variant>
      <vt:variant>
        <vt:i4>0</vt:i4>
      </vt:variant>
      <vt:variant>
        <vt:i4>5</vt:i4>
      </vt:variant>
      <vt:variant>
        <vt:lpwstr/>
      </vt:variant>
      <vt:variant>
        <vt:lpwstr>_Toc131676089</vt:lpwstr>
      </vt:variant>
      <vt:variant>
        <vt:i4>1835063</vt:i4>
      </vt:variant>
      <vt:variant>
        <vt:i4>44</vt:i4>
      </vt:variant>
      <vt:variant>
        <vt:i4>0</vt:i4>
      </vt:variant>
      <vt:variant>
        <vt:i4>5</vt:i4>
      </vt:variant>
      <vt:variant>
        <vt:lpwstr/>
      </vt:variant>
      <vt:variant>
        <vt:lpwstr>_Toc131676088</vt:lpwstr>
      </vt:variant>
      <vt:variant>
        <vt:i4>1835063</vt:i4>
      </vt:variant>
      <vt:variant>
        <vt:i4>38</vt:i4>
      </vt:variant>
      <vt:variant>
        <vt:i4>0</vt:i4>
      </vt:variant>
      <vt:variant>
        <vt:i4>5</vt:i4>
      </vt:variant>
      <vt:variant>
        <vt:lpwstr/>
      </vt:variant>
      <vt:variant>
        <vt:lpwstr>_Toc131676087</vt:lpwstr>
      </vt:variant>
      <vt:variant>
        <vt:i4>1835063</vt:i4>
      </vt:variant>
      <vt:variant>
        <vt:i4>32</vt:i4>
      </vt:variant>
      <vt:variant>
        <vt:i4>0</vt:i4>
      </vt:variant>
      <vt:variant>
        <vt:i4>5</vt:i4>
      </vt:variant>
      <vt:variant>
        <vt:lpwstr/>
      </vt:variant>
      <vt:variant>
        <vt:lpwstr>_Toc131676086</vt:lpwstr>
      </vt:variant>
      <vt:variant>
        <vt:i4>1835063</vt:i4>
      </vt:variant>
      <vt:variant>
        <vt:i4>26</vt:i4>
      </vt:variant>
      <vt:variant>
        <vt:i4>0</vt:i4>
      </vt:variant>
      <vt:variant>
        <vt:i4>5</vt:i4>
      </vt:variant>
      <vt:variant>
        <vt:lpwstr/>
      </vt:variant>
      <vt:variant>
        <vt:lpwstr>_Toc131676085</vt:lpwstr>
      </vt:variant>
      <vt:variant>
        <vt:i4>1835063</vt:i4>
      </vt:variant>
      <vt:variant>
        <vt:i4>20</vt:i4>
      </vt:variant>
      <vt:variant>
        <vt:i4>0</vt:i4>
      </vt:variant>
      <vt:variant>
        <vt:i4>5</vt:i4>
      </vt:variant>
      <vt:variant>
        <vt:lpwstr/>
      </vt:variant>
      <vt:variant>
        <vt:lpwstr>_Toc131676084</vt:lpwstr>
      </vt:variant>
      <vt:variant>
        <vt:i4>1835063</vt:i4>
      </vt:variant>
      <vt:variant>
        <vt:i4>14</vt:i4>
      </vt:variant>
      <vt:variant>
        <vt:i4>0</vt:i4>
      </vt:variant>
      <vt:variant>
        <vt:i4>5</vt:i4>
      </vt:variant>
      <vt:variant>
        <vt:lpwstr/>
      </vt:variant>
      <vt:variant>
        <vt:lpwstr>_Toc131676083</vt:lpwstr>
      </vt:variant>
      <vt:variant>
        <vt:i4>1835063</vt:i4>
      </vt:variant>
      <vt:variant>
        <vt:i4>8</vt:i4>
      </vt:variant>
      <vt:variant>
        <vt:i4>0</vt:i4>
      </vt:variant>
      <vt:variant>
        <vt:i4>5</vt:i4>
      </vt:variant>
      <vt:variant>
        <vt:lpwstr/>
      </vt:variant>
      <vt:variant>
        <vt:lpwstr>_Toc131676082</vt:lpwstr>
      </vt:variant>
      <vt:variant>
        <vt:i4>1835063</vt:i4>
      </vt:variant>
      <vt:variant>
        <vt:i4>2</vt:i4>
      </vt:variant>
      <vt:variant>
        <vt:i4>0</vt:i4>
      </vt:variant>
      <vt:variant>
        <vt:i4>5</vt:i4>
      </vt:variant>
      <vt:variant>
        <vt:lpwstr/>
      </vt:variant>
      <vt:variant>
        <vt:lpwstr>_Toc131676081</vt:lpwstr>
      </vt:variant>
      <vt:variant>
        <vt:i4>7536752</vt:i4>
      </vt:variant>
      <vt:variant>
        <vt:i4>24</vt:i4>
      </vt:variant>
      <vt:variant>
        <vt:i4>0</vt:i4>
      </vt:variant>
      <vt:variant>
        <vt:i4>5</vt:i4>
      </vt:variant>
      <vt:variant>
        <vt:lpwstr>https://eur-lex.europa.eu/legal-content/en/TXT/?uri=CELEX%3A32011L0036</vt:lpwstr>
      </vt:variant>
      <vt:variant>
        <vt:lpwstr/>
      </vt:variant>
      <vt:variant>
        <vt:i4>8126578</vt:i4>
      </vt:variant>
      <vt:variant>
        <vt:i4>21</vt:i4>
      </vt:variant>
      <vt:variant>
        <vt:i4>0</vt:i4>
      </vt:variant>
      <vt:variant>
        <vt:i4>5</vt:i4>
      </vt:variant>
      <vt:variant>
        <vt:lpwstr>https://eur-lex.europa.eu/legal-content/EN/TXT/?uri=celex%3A32012L0029</vt:lpwstr>
      </vt:variant>
      <vt:variant>
        <vt:lpwstr/>
      </vt:variant>
      <vt:variant>
        <vt:i4>7733355</vt:i4>
      </vt:variant>
      <vt:variant>
        <vt:i4>18</vt:i4>
      </vt:variant>
      <vt:variant>
        <vt:i4>0</vt:i4>
      </vt:variant>
      <vt:variant>
        <vt:i4>5</vt:i4>
      </vt:variant>
      <vt:variant>
        <vt:lpwstr>https://nihrc.org/publication/detail/table-of-eu-directives-which-underpin-the-rights-safeguards-and-equality-of-opportunity-provisions-included-in-the-chapter-of-the-belfast-good-friday-agreement-of-the-same-name-and-implementing-domestic-legislation</vt:lpwstr>
      </vt:variant>
      <vt:variant>
        <vt:lpwstr/>
      </vt:variant>
      <vt:variant>
        <vt:i4>5374043</vt:i4>
      </vt:variant>
      <vt:variant>
        <vt:i4>15</vt:i4>
      </vt:variant>
      <vt:variant>
        <vt:i4>0</vt:i4>
      </vt:variant>
      <vt:variant>
        <vt:i4>5</vt:i4>
      </vt:variant>
      <vt:variant>
        <vt:lpwstr>https://www.gov.uk/government/publications/protocol-on-irelandnorthern-ireland-article-2</vt:lpwstr>
      </vt:variant>
      <vt:variant>
        <vt:lpwstr/>
      </vt:variant>
      <vt:variant>
        <vt:i4>7864447</vt:i4>
      </vt:variant>
      <vt:variant>
        <vt:i4>12</vt:i4>
      </vt:variant>
      <vt:variant>
        <vt:i4>0</vt:i4>
      </vt:variant>
      <vt:variant>
        <vt:i4>5</vt:i4>
      </vt:variant>
      <vt:variant>
        <vt:lpwstr>https://btcwarwick.files.wordpress.com/2018/03/draft-withdrawal-agreement-commentary-final.pdf</vt:lpwstr>
      </vt:variant>
      <vt:variant>
        <vt:lpwstr/>
      </vt:variant>
      <vt:variant>
        <vt:i4>7798842</vt:i4>
      </vt:variant>
      <vt:variant>
        <vt:i4>9</vt:i4>
      </vt:variant>
      <vt:variant>
        <vt:i4>0</vt:i4>
      </vt:variant>
      <vt:variant>
        <vt:i4>5</vt:i4>
      </vt:variant>
      <vt:variant>
        <vt:lpwstr>https://committees.parliament.uk/writtenevidence/10145/default/</vt:lpwstr>
      </vt:variant>
      <vt:variant>
        <vt:lpwstr/>
      </vt:variant>
      <vt:variant>
        <vt:i4>4784205</vt:i4>
      </vt:variant>
      <vt:variant>
        <vt:i4>6</vt:i4>
      </vt:variant>
      <vt:variant>
        <vt:i4>0</vt:i4>
      </vt:variant>
      <vt:variant>
        <vt:i4>5</vt:i4>
      </vt:variant>
      <vt:variant>
        <vt:lpwstr>https://www.socialchangeinitiative.com/human-rights-and-equality-in-northern-ireland-under-the-protocol-a-practical-guide</vt:lpwstr>
      </vt:variant>
      <vt:variant>
        <vt:lpwstr/>
      </vt:variant>
      <vt:variant>
        <vt:i4>5374043</vt:i4>
      </vt:variant>
      <vt:variant>
        <vt:i4>3</vt:i4>
      </vt:variant>
      <vt:variant>
        <vt:i4>0</vt:i4>
      </vt:variant>
      <vt:variant>
        <vt:i4>5</vt:i4>
      </vt:variant>
      <vt:variant>
        <vt:lpwstr>https://www.gov.uk/government/publications/protocol-on-irelandnorthern-ireland-article-2</vt:lpwstr>
      </vt:variant>
      <vt:variant>
        <vt:lpwstr/>
      </vt:variant>
      <vt:variant>
        <vt:i4>5374043</vt:i4>
      </vt:variant>
      <vt:variant>
        <vt:i4>0</vt:i4>
      </vt:variant>
      <vt:variant>
        <vt:i4>0</vt:i4>
      </vt:variant>
      <vt:variant>
        <vt:i4>5</vt:i4>
      </vt:variant>
      <vt:variant>
        <vt:lpwstr>https://www.gov.uk/government/publications/protocol-on-irelandnorthern-ireland-article-2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2026-05-05T11:11:00Z</dcterms:created>
  <dcterms:modified xsi:type="dcterms:W3CDTF">2026-05-22T10:02:00Z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0x010100F41320E77E35C644A511CBC5C12B0A0B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