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61562" w14:textId="108E97D4" w:rsidR="00015718" w:rsidRPr="00387C3F" w:rsidRDefault="00503DDE" w:rsidP="009E1287">
      <w:pPr>
        <w:pStyle w:val="BasicParagraph"/>
        <w:widowControl/>
        <w:suppressAutoHyphens/>
        <w:jc w:val="center"/>
        <w:rPr>
          <w:rFonts w:ascii="Verdana" w:hAnsi="Verdana" w:cs="Arial"/>
          <w:b/>
          <w:bCs/>
          <w:color w:val="734791"/>
          <w:sz w:val="36"/>
          <w:szCs w:val="36"/>
        </w:rPr>
      </w:pPr>
      <w:bookmarkStart w:id="0" w:name="_Toc118292599"/>
      <w:r w:rsidRPr="009E7AFC">
        <w:rPr>
          <w:rFonts w:ascii="Verdana" w:hAnsi="Verdana" w:cs="Arial"/>
          <w:b/>
          <w:noProof/>
          <w:color w:val="734791"/>
          <w:sz w:val="36"/>
          <w:szCs w:val="36"/>
        </w:rPr>
        <w:drawing>
          <wp:inline distT="0" distB="0" distL="0" distR="0" wp14:anchorId="51D683F7" wp14:editId="1A88E38F">
            <wp:extent cx="2909570" cy="3883025"/>
            <wp:effectExtent l="0" t="0" r="0" b="0"/>
            <wp:docPr id="1" name="Picture 7" descr="Studio Volume:Corey Watson:Corey Watson CURRENT WORK:27689 - HUMAN RIGHTS Brand Guidelines:PDF:NIHRC LOGOs-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udio Volume:Corey Watson:Corey Watson CURRENT WORK:27689 - HUMAN RIGHTS Brand Guidelines:PDF:NIHRC LOGOs-0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9570" cy="3883025"/>
                    </a:xfrm>
                    <a:prstGeom prst="rect">
                      <a:avLst/>
                    </a:prstGeom>
                    <a:noFill/>
                    <a:ln>
                      <a:noFill/>
                    </a:ln>
                  </pic:spPr>
                </pic:pic>
              </a:graphicData>
            </a:graphic>
          </wp:inline>
        </w:drawing>
      </w:r>
    </w:p>
    <w:p w14:paraId="1C3F3A8D" w14:textId="77777777" w:rsidR="00015718" w:rsidRPr="00387C3F" w:rsidRDefault="00015718" w:rsidP="009E1287">
      <w:pPr>
        <w:pStyle w:val="BasicParagraph"/>
        <w:widowControl/>
        <w:suppressAutoHyphens/>
        <w:jc w:val="center"/>
        <w:rPr>
          <w:rFonts w:ascii="Verdana" w:hAnsi="Verdana" w:cs="Arial"/>
          <w:b/>
          <w:bCs/>
          <w:color w:val="734791"/>
          <w:sz w:val="36"/>
          <w:szCs w:val="36"/>
        </w:rPr>
      </w:pPr>
    </w:p>
    <w:p w14:paraId="40B606EB" w14:textId="2B8D36BA" w:rsidR="00015718" w:rsidRPr="00387C3F" w:rsidRDefault="00375410" w:rsidP="009E1287">
      <w:pPr>
        <w:pStyle w:val="Title"/>
        <w:widowControl/>
      </w:pPr>
      <w:r w:rsidRPr="00E32D88">
        <w:t>Submission</w:t>
      </w:r>
      <w:r w:rsidR="00015718" w:rsidRPr="00387C3F">
        <w:t xml:space="preserve"> </w:t>
      </w:r>
      <w:r w:rsidR="00082545">
        <w:t xml:space="preserve">the Northern Ireland Scrutiny Committee Inquiry on </w:t>
      </w:r>
      <w:r w:rsidR="00425509">
        <w:t xml:space="preserve">Article 2 of the Protocol/Windsor Framework </w:t>
      </w:r>
    </w:p>
    <w:p w14:paraId="22343B17" w14:textId="77777777" w:rsidR="00015718" w:rsidRPr="00387C3F" w:rsidRDefault="00015718" w:rsidP="009E1287">
      <w:pPr>
        <w:pStyle w:val="Default"/>
        <w:widowControl/>
        <w:spacing w:line="288" w:lineRule="auto"/>
        <w:jc w:val="center"/>
        <w:rPr>
          <w:rFonts w:cs="Arial"/>
          <w:color w:val="232120"/>
          <w:sz w:val="36"/>
          <w:szCs w:val="36"/>
        </w:rPr>
      </w:pPr>
    </w:p>
    <w:p w14:paraId="48CBB367" w14:textId="77777777" w:rsidR="00015718" w:rsidRPr="00387C3F" w:rsidRDefault="00015718" w:rsidP="009E1287">
      <w:pPr>
        <w:pStyle w:val="Default"/>
        <w:widowControl/>
        <w:spacing w:line="288" w:lineRule="auto"/>
        <w:jc w:val="center"/>
        <w:rPr>
          <w:rFonts w:cs="Arial"/>
          <w:color w:val="232120"/>
          <w:sz w:val="36"/>
          <w:szCs w:val="36"/>
        </w:rPr>
      </w:pPr>
    </w:p>
    <w:p w14:paraId="49AE4C49" w14:textId="77777777" w:rsidR="00015718" w:rsidRPr="00387C3F" w:rsidRDefault="00015718" w:rsidP="009E1287">
      <w:pPr>
        <w:pStyle w:val="Default"/>
        <w:widowControl/>
        <w:spacing w:line="288" w:lineRule="auto"/>
        <w:jc w:val="center"/>
        <w:rPr>
          <w:rFonts w:cs="Arial"/>
          <w:color w:val="232120"/>
          <w:sz w:val="36"/>
          <w:szCs w:val="36"/>
        </w:rPr>
      </w:pPr>
    </w:p>
    <w:p w14:paraId="3EB16C81" w14:textId="77777777" w:rsidR="00015718" w:rsidRPr="00387C3F" w:rsidRDefault="00015718" w:rsidP="009E1287">
      <w:pPr>
        <w:pStyle w:val="Default"/>
        <w:widowControl/>
        <w:spacing w:line="288" w:lineRule="auto"/>
        <w:jc w:val="center"/>
        <w:rPr>
          <w:rFonts w:cs="Arial"/>
          <w:color w:val="232120"/>
          <w:sz w:val="36"/>
          <w:szCs w:val="36"/>
        </w:rPr>
      </w:pPr>
    </w:p>
    <w:p w14:paraId="379C5E7D" w14:textId="77777777" w:rsidR="00015718" w:rsidRPr="00387C3F" w:rsidRDefault="00015718" w:rsidP="009E1287">
      <w:pPr>
        <w:pStyle w:val="Default"/>
        <w:widowControl/>
        <w:spacing w:line="288" w:lineRule="auto"/>
        <w:jc w:val="center"/>
        <w:rPr>
          <w:rFonts w:cs="Arial"/>
          <w:color w:val="232120"/>
          <w:sz w:val="36"/>
          <w:szCs w:val="36"/>
        </w:rPr>
      </w:pPr>
    </w:p>
    <w:p w14:paraId="04E1C226" w14:textId="77777777" w:rsidR="00015718" w:rsidRPr="00387C3F" w:rsidRDefault="00015718" w:rsidP="009E1287">
      <w:pPr>
        <w:pStyle w:val="Default"/>
        <w:widowControl/>
        <w:spacing w:line="288" w:lineRule="auto"/>
        <w:jc w:val="center"/>
        <w:rPr>
          <w:rFonts w:cs="Arial"/>
          <w:color w:val="232120"/>
          <w:sz w:val="36"/>
          <w:szCs w:val="36"/>
        </w:rPr>
      </w:pPr>
    </w:p>
    <w:p w14:paraId="63E1CC06" w14:textId="0CA8D2DA" w:rsidR="00015718" w:rsidRPr="00387C3F" w:rsidRDefault="00082545" w:rsidP="009E1287">
      <w:pPr>
        <w:jc w:val="center"/>
        <w:rPr>
          <w:rFonts w:cs="Arial"/>
          <w:b/>
          <w:color w:val="232120"/>
          <w:sz w:val="30"/>
          <w:szCs w:val="30"/>
        </w:rPr>
      </w:pPr>
      <w:r>
        <w:rPr>
          <w:rFonts w:cs="Arial"/>
          <w:b/>
          <w:color w:val="232120"/>
          <w:sz w:val="30"/>
          <w:szCs w:val="30"/>
        </w:rPr>
        <w:t>July</w:t>
      </w:r>
      <w:r w:rsidR="000C115C">
        <w:rPr>
          <w:rFonts w:cs="Arial"/>
          <w:b/>
          <w:color w:val="232120"/>
          <w:sz w:val="30"/>
          <w:szCs w:val="30"/>
        </w:rPr>
        <w:t xml:space="preserve"> </w:t>
      </w:r>
      <w:r w:rsidR="00912D57">
        <w:rPr>
          <w:rFonts w:cs="Arial"/>
          <w:b/>
          <w:color w:val="232120"/>
          <w:sz w:val="30"/>
          <w:szCs w:val="30"/>
        </w:rPr>
        <w:t>202</w:t>
      </w:r>
      <w:r>
        <w:rPr>
          <w:rFonts w:cs="Arial"/>
          <w:b/>
          <w:color w:val="232120"/>
          <w:sz w:val="30"/>
          <w:szCs w:val="30"/>
        </w:rPr>
        <w:t>6</w:t>
      </w:r>
    </w:p>
    <w:p w14:paraId="685CE010" w14:textId="77777777" w:rsidR="00015718" w:rsidRPr="00387C3F" w:rsidRDefault="00015718" w:rsidP="009E1287"/>
    <w:p w14:paraId="4E0CB681" w14:textId="77777777" w:rsidR="003F60F5" w:rsidRPr="00387C3F" w:rsidRDefault="003F60F5" w:rsidP="009E1287"/>
    <w:p w14:paraId="58C253E5" w14:textId="77777777" w:rsidR="00015718" w:rsidRPr="009E7AFC" w:rsidRDefault="00015718" w:rsidP="009E1287">
      <w:pPr>
        <w:rPr>
          <w:rFonts w:eastAsia="Times New Roman" w:cs="Times New Roman"/>
          <w:b/>
          <w:szCs w:val="26"/>
        </w:rPr>
      </w:pPr>
      <w:bookmarkStart w:id="1" w:name="_Toc121392669"/>
      <w:r w:rsidRPr="00387C3F">
        <w:br w:type="page"/>
      </w:r>
    </w:p>
    <w:p w14:paraId="32195AA6" w14:textId="77777777" w:rsidR="00A250D0" w:rsidRPr="00387C3F" w:rsidRDefault="00A250D0" w:rsidP="00780895">
      <w:pPr>
        <w:pStyle w:val="Heading1"/>
        <w:keepLines w:val="0"/>
        <w:numPr>
          <w:ilvl w:val="0"/>
          <w:numId w:val="0"/>
        </w:numPr>
        <w:ind w:left="720" w:hanging="720"/>
      </w:pPr>
      <w:bookmarkStart w:id="2" w:name="_Toc235087530"/>
      <w:r w:rsidRPr="00387C3F">
        <w:lastRenderedPageBreak/>
        <w:t>Table of Contents</w:t>
      </w:r>
      <w:bookmarkEnd w:id="2"/>
    </w:p>
    <w:p w14:paraId="11B75FB5" w14:textId="77777777" w:rsidR="00A250D0" w:rsidRPr="00387C3F" w:rsidRDefault="00A250D0" w:rsidP="009E1287">
      <w:pPr>
        <w:rPr>
          <w:lang w:val="en-US"/>
        </w:rPr>
      </w:pPr>
    </w:p>
    <w:p w14:paraId="59593046" w14:textId="53BF3EE7" w:rsidR="00EF14AB" w:rsidRDefault="00A250D0">
      <w:pPr>
        <w:pStyle w:val="TOC1"/>
        <w:rPr>
          <w:rFonts w:asciiTheme="minorHAnsi" w:eastAsiaTheme="minorEastAsia" w:hAnsiTheme="minorHAnsi" w:cstheme="minorBidi"/>
          <w:b w:val="0"/>
          <w:bCs w:val="0"/>
          <w:color w:val="auto"/>
          <w:kern w:val="2"/>
          <w14:ligatures w14:val="standardContextual"/>
        </w:rPr>
      </w:pPr>
      <w:r w:rsidRPr="00387C3F">
        <w:fldChar w:fldCharType="begin"/>
      </w:r>
      <w:r w:rsidRPr="00387C3F">
        <w:instrText xml:space="preserve"> TOC \o "1-3" \h \z \u </w:instrText>
      </w:r>
      <w:r w:rsidRPr="00387C3F">
        <w:fldChar w:fldCharType="separate"/>
      </w:r>
      <w:hyperlink w:anchor="_Toc235087530" w:history="1">
        <w:r w:rsidR="00EF14AB" w:rsidRPr="006608F2">
          <w:rPr>
            <w:rStyle w:val="Hyperlink"/>
          </w:rPr>
          <w:t>Table of Contents</w:t>
        </w:r>
        <w:r w:rsidR="00EF14AB">
          <w:rPr>
            <w:webHidden/>
          </w:rPr>
          <w:tab/>
        </w:r>
        <w:r w:rsidR="00EF14AB">
          <w:rPr>
            <w:webHidden/>
          </w:rPr>
          <w:fldChar w:fldCharType="begin"/>
        </w:r>
        <w:r w:rsidR="00EF14AB">
          <w:rPr>
            <w:webHidden/>
          </w:rPr>
          <w:instrText xml:space="preserve"> PAGEREF _Toc235087530 \h </w:instrText>
        </w:r>
        <w:r w:rsidR="00EF14AB">
          <w:rPr>
            <w:webHidden/>
          </w:rPr>
        </w:r>
        <w:r w:rsidR="00EF14AB">
          <w:rPr>
            <w:webHidden/>
          </w:rPr>
          <w:fldChar w:fldCharType="separate"/>
        </w:r>
        <w:r w:rsidR="00C50334">
          <w:rPr>
            <w:webHidden/>
          </w:rPr>
          <w:t>2</w:t>
        </w:r>
        <w:r w:rsidR="00EF14AB">
          <w:rPr>
            <w:webHidden/>
          </w:rPr>
          <w:fldChar w:fldCharType="end"/>
        </w:r>
      </w:hyperlink>
    </w:p>
    <w:p w14:paraId="4D9DD129" w14:textId="3B3F0A4E"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31" w:history="1">
        <w:r w:rsidRPr="006608F2">
          <w:rPr>
            <w:rStyle w:val="Hyperlink"/>
          </w:rPr>
          <w:t>Summary of Advice and Recommendations</w:t>
        </w:r>
        <w:r>
          <w:rPr>
            <w:webHidden/>
          </w:rPr>
          <w:tab/>
        </w:r>
        <w:r>
          <w:rPr>
            <w:webHidden/>
          </w:rPr>
          <w:fldChar w:fldCharType="begin"/>
        </w:r>
        <w:r>
          <w:rPr>
            <w:webHidden/>
          </w:rPr>
          <w:instrText xml:space="preserve"> PAGEREF _Toc235087531 \h </w:instrText>
        </w:r>
        <w:r>
          <w:rPr>
            <w:webHidden/>
          </w:rPr>
        </w:r>
        <w:r>
          <w:rPr>
            <w:webHidden/>
          </w:rPr>
          <w:fldChar w:fldCharType="separate"/>
        </w:r>
        <w:r w:rsidR="00C50334">
          <w:rPr>
            <w:webHidden/>
          </w:rPr>
          <w:t>4</w:t>
        </w:r>
        <w:r>
          <w:rPr>
            <w:webHidden/>
          </w:rPr>
          <w:fldChar w:fldCharType="end"/>
        </w:r>
      </w:hyperlink>
    </w:p>
    <w:p w14:paraId="3A6DE2AB" w14:textId="1A32A4DA"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32" w:history="1">
        <w:r w:rsidRPr="006608F2">
          <w:rPr>
            <w:rStyle w:val="Hyperlink"/>
          </w:rPr>
          <w:t>1.0</w:t>
        </w:r>
        <w:r>
          <w:rPr>
            <w:rFonts w:asciiTheme="minorHAnsi" w:eastAsiaTheme="minorEastAsia" w:hAnsiTheme="minorHAnsi" w:cstheme="minorBidi"/>
            <w:b w:val="0"/>
            <w:bCs w:val="0"/>
            <w:color w:val="auto"/>
            <w:kern w:val="2"/>
            <w14:ligatures w14:val="standardContextual"/>
          </w:rPr>
          <w:tab/>
        </w:r>
        <w:r w:rsidRPr="006608F2">
          <w:rPr>
            <w:rStyle w:val="Hyperlink"/>
          </w:rPr>
          <w:t>Introduction</w:t>
        </w:r>
        <w:r>
          <w:rPr>
            <w:webHidden/>
          </w:rPr>
          <w:tab/>
        </w:r>
        <w:r>
          <w:rPr>
            <w:webHidden/>
          </w:rPr>
          <w:fldChar w:fldCharType="begin"/>
        </w:r>
        <w:r>
          <w:rPr>
            <w:webHidden/>
          </w:rPr>
          <w:instrText xml:space="preserve"> PAGEREF _Toc235087532 \h </w:instrText>
        </w:r>
        <w:r>
          <w:rPr>
            <w:webHidden/>
          </w:rPr>
        </w:r>
        <w:r>
          <w:rPr>
            <w:webHidden/>
          </w:rPr>
          <w:fldChar w:fldCharType="separate"/>
        </w:r>
        <w:r w:rsidR="00C50334">
          <w:rPr>
            <w:webHidden/>
          </w:rPr>
          <w:t>8</w:t>
        </w:r>
        <w:r>
          <w:rPr>
            <w:webHidden/>
          </w:rPr>
          <w:fldChar w:fldCharType="end"/>
        </w:r>
      </w:hyperlink>
    </w:p>
    <w:p w14:paraId="249D8C9F" w14:textId="0AF8D94B"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33" w:history="1">
        <w:r w:rsidRPr="006608F2">
          <w:rPr>
            <w:rStyle w:val="Hyperlink"/>
          </w:rPr>
          <w:t>2.0</w:t>
        </w:r>
        <w:r>
          <w:rPr>
            <w:rFonts w:asciiTheme="minorHAnsi" w:eastAsiaTheme="minorEastAsia" w:hAnsiTheme="minorHAnsi" w:cstheme="minorBidi"/>
            <w:b w:val="0"/>
            <w:bCs w:val="0"/>
            <w:color w:val="auto"/>
            <w:kern w:val="2"/>
            <w14:ligatures w14:val="standardContextual"/>
          </w:rPr>
          <w:tab/>
        </w:r>
        <w:r w:rsidRPr="006608F2">
          <w:rPr>
            <w:rStyle w:val="Hyperlink"/>
          </w:rPr>
          <w:t>Preliminary Observations</w:t>
        </w:r>
        <w:r>
          <w:rPr>
            <w:webHidden/>
          </w:rPr>
          <w:tab/>
        </w:r>
        <w:r>
          <w:rPr>
            <w:webHidden/>
          </w:rPr>
          <w:fldChar w:fldCharType="begin"/>
        </w:r>
        <w:r>
          <w:rPr>
            <w:webHidden/>
          </w:rPr>
          <w:instrText xml:space="preserve"> PAGEREF _Toc235087533 \h </w:instrText>
        </w:r>
        <w:r>
          <w:rPr>
            <w:webHidden/>
          </w:rPr>
        </w:r>
        <w:r>
          <w:rPr>
            <w:webHidden/>
          </w:rPr>
          <w:fldChar w:fldCharType="separate"/>
        </w:r>
        <w:r w:rsidR="00C50334">
          <w:rPr>
            <w:webHidden/>
          </w:rPr>
          <w:t>9</w:t>
        </w:r>
        <w:r>
          <w:rPr>
            <w:webHidden/>
          </w:rPr>
          <w:fldChar w:fldCharType="end"/>
        </w:r>
      </w:hyperlink>
    </w:p>
    <w:p w14:paraId="4B2862B6" w14:textId="3D515909"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34" w:history="1">
        <w:r w:rsidRPr="006608F2">
          <w:rPr>
            <w:rStyle w:val="Hyperlink"/>
          </w:rPr>
          <w:t>3.0</w:t>
        </w:r>
        <w:r>
          <w:rPr>
            <w:rFonts w:asciiTheme="minorHAnsi" w:eastAsiaTheme="minorEastAsia" w:hAnsiTheme="minorHAnsi" w:cstheme="minorBidi"/>
            <w:b w:val="0"/>
            <w:bCs w:val="0"/>
            <w:color w:val="auto"/>
            <w:kern w:val="2"/>
            <w14:ligatures w14:val="standardContextual"/>
          </w:rPr>
          <w:tab/>
        </w:r>
        <w:r w:rsidRPr="006608F2">
          <w:rPr>
            <w:rStyle w:val="Hyperlink"/>
          </w:rPr>
          <w:t>Origins and Obligations of Windsor Framework Article 2</w:t>
        </w:r>
        <w:r>
          <w:rPr>
            <w:webHidden/>
          </w:rPr>
          <w:tab/>
        </w:r>
        <w:r>
          <w:rPr>
            <w:webHidden/>
          </w:rPr>
          <w:fldChar w:fldCharType="begin"/>
        </w:r>
        <w:r>
          <w:rPr>
            <w:webHidden/>
          </w:rPr>
          <w:instrText xml:space="preserve"> PAGEREF _Toc235087534 \h </w:instrText>
        </w:r>
        <w:r>
          <w:rPr>
            <w:webHidden/>
          </w:rPr>
        </w:r>
        <w:r>
          <w:rPr>
            <w:webHidden/>
          </w:rPr>
          <w:fldChar w:fldCharType="separate"/>
        </w:r>
        <w:r w:rsidR="00C50334">
          <w:rPr>
            <w:webHidden/>
          </w:rPr>
          <w:t>11</w:t>
        </w:r>
        <w:r>
          <w:rPr>
            <w:webHidden/>
          </w:rPr>
          <w:fldChar w:fldCharType="end"/>
        </w:r>
      </w:hyperlink>
    </w:p>
    <w:p w14:paraId="675FCDBC" w14:textId="233784AD"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35" w:history="1">
        <w:r w:rsidRPr="006608F2">
          <w:rPr>
            <w:rStyle w:val="Hyperlink"/>
            <w:noProof/>
          </w:rPr>
          <w:t>Question 1: Why did the UK and EU negotiate and include Article 2 WF in the Protocol/ Windsor Framework? How does Article 2 WF relate to the Belfast/ Good Friday Agreement?</w:t>
        </w:r>
        <w:r>
          <w:rPr>
            <w:noProof/>
            <w:webHidden/>
          </w:rPr>
          <w:tab/>
        </w:r>
        <w:r>
          <w:rPr>
            <w:noProof/>
            <w:webHidden/>
          </w:rPr>
          <w:fldChar w:fldCharType="begin"/>
        </w:r>
        <w:r>
          <w:rPr>
            <w:noProof/>
            <w:webHidden/>
          </w:rPr>
          <w:instrText xml:space="preserve"> PAGEREF _Toc235087535 \h </w:instrText>
        </w:r>
        <w:r>
          <w:rPr>
            <w:noProof/>
            <w:webHidden/>
          </w:rPr>
        </w:r>
        <w:r>
          <w:rPr>
            <w:noProof/>
            <w:webHidden/>
          </w:rPr>
          <w:fldChar w:fldCharType="separate"/>
        </w:r>
        <w:r w:rsidR="00C50334">
          <w:rPr>
            <w:noProof/>
            <w:webHidden/>
          </w:rPr>
          <w:t>11</w:t>
        </w:r>
        <w:r>
          <w:rPr>
            <w:noProof/>
            <w:webHidden/>
          </w:rPr>
          <w:fldChar w:fldCharType="end"/>
        </w:r>
      </w:hyperlink>
    </w:p>
    <w:p w14:paraId="61649B88" w14:textId="56785CF5"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36" w:history="1">
        <w:r w:rsidRPr="006608F2">
          <w:rPr>
            <w:rStyle w:val="Hyperlink"/>
            <w:noProof/>
          </w:rPr>
          <w:t>Question 2: Prior to Brexit, how were the rights, safeguards, and equality of opportunity (RSEO) provisions of the Belfast/ Good Friday Agreement protected?</w:t>
        </w:r>
        <w:r>
          <w:rPr>
            <w:noProof/>
            <w:webHidden/>
          </w:rPr>
          <w:tab/>
        </w:r>
        <w:r>
          <w:rPr>
            <w:noProof/>
            <w:webHidden/>
          </w:rPr>
          <w:fldChar w:fldCharType="begin"/>
        </w:r>
        <w:r>
          <w:rPr>
            <w:noProof/>
            <w:webHidden/>
          </w:rPr>
          <w:instrText xml:space="preserve"> PAGEREF _Toc235087536 \h </w:instrText>
        </w:r>
        <w:r>
          <w:rPr>
            <w:noProof/>
            <w:webHidden/>
          </w:rPr>
        </w:r>
        <w:r>
          <w:rPr>
            <w:noProof/>
            <w:webHidden/>
          </w:rPr>
          <w:fldChar w:fldCharType="separate"/>
        </w:r>
        <w:r w:rsidR="00C50334">
          <w:rPr>
            <w:noProof/>
            <w:webHidden/>
          </w:rPr>
          <w:t>13</w:t>
        </w:r>
        <w:r>
          <w:rPr>
            <w:noProof/>
            <w:webHidden/>
          </w:rPr>
          <w:fldChar w:fldCharType="end"/>
        </w:r>
      </w:hyperlink>
    </w:p>
    <w:p w14:paraId="6BAFA25F" w14:textId="3C39F94C"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37" w:history="1">
        <w:r w:rsidRPr="006608F2">
          <w:rPr>
            <w:rStyle w:val="Hyperlink"/>
            <w:noProof/>
          </w:rPr>
          <w:t>Question 3: What is your view as to the inclusion of Article 2 in the Protocol/ Windsor Framework?</w:t>
        </w:r>
        <w:r>
          <w:rPr>
            <w:noProof/>
            <w:webHidden/>
          </w:rPr>
          <w:tab/>
        </w:r>
        <w:r>
          <w:rPr>
            <w:noProof/>
            <w:webHidden/>
          </w:rPr>
          <w:fldChar w:fldCharType="begin"/>
        </w:r>
        <w:r>
          <w:rPr>
            <w:noProof/>
            <w:webHidden/>
          </w:rPr>
          <w:instrText xml:space="preserve"> PAGEREF _Toc235087537 \h </w:instrText>
        </w:r>
        <w:r>
          <w:rPr>
            <w:noProof/>
            <w:webHidden/>
          </w:rPr>
        </w:r>
        <w:r>
          <w:rPr>
            <w:noProof/>
            <w:webHidden/>
          </w:rPr>
          <w:fldChar w:fldCharType="separate"/>
        </w:r>
        <w:r w:rsidR="00C50334">
          <w:rPr>
            <w:noProof/>
            <w:webHidden/>
          </w:rPr>
          <w:t>14</w:t>
        </w:r>
        <w:r>
          <w:rPr>
            <w:noProof/>
            <w:webHidden/>
          </w:rPr>
          <w:fldChar w:fldCharType="end"/>
        </w:r>
      </w:hyperlink>
    </w:p>
    <w:p w14:paraId="4BF4FAEA" w14:textId="672BD047"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38" w:history="1">
        <w:r w:rsidRPr="006608F2">
          <w:rPr>
            <w:rStyle w:val="Hyperlink"/>
            <w:noProof/>
          </w:rPr>
          <w:t>Question 4: What obligation is imposed on the UK Government by Windsor Framework Article 2? What is the significance of this obligation for NI, and for the UK Government?</w:t>
        </w:r>
        <w:r>
          <w:rPr>
            <w:noProof/>
            <w:webHidden/>
          </w:rPr>
          <w:tab/>
        </w:r>
        <w:r>
          <w:rPr>
            <w:noProof/>
            <w:webHidden/>
          </w:rPr>
          <w:fldChar w:fldCharType="begin"/>
        </w:r>
        <w:r>
          <w:rPr>
            <w:noProof/>
            <w:webHidden/>
          </w:rPr>
          <w:instrText xml:space="preserve"> PAGEREF _Toc235087538 \h </w:instrText>
        </w:r>
        <w:r>
          <w:rPr>
            <w:noProof/>
            <w:webHidden/>
          </w:rPr>
        </w:r>
        <w:r>
          <w:rPr>
            <w:noProof/>
            <w:webHidden/>
          </w:rPr>
          <w:fldChar w:fldCharType="separate"/>
        </w:r>
        <w:r w:rsidR="00C50334">
          <w:rPr>
            <w:noProof/>
            <w:webHidden/>
          </w:rPr>
          <w:t>15</w:t>
        </w:r>
        <w:r>
          <w:rPr>
            <w:noProof/>
            <w:webHidden/>
          </w:rPr>
          <w:fldChar w:fldCharType="end"/>
        </w:r>
      </w:hyperlink>
    </w:p>
    <w:p w14:paraId="104ACC23" w14:textId="7CB868E9"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39" w:history="1">
        <w:r w:rsidRPr="006608F2">
          <w:rPr>
            <w:rStyle w:val="Hyperlink"/>
          </w:rPr>
          <w:t>4.0</w:t>
        </w:r>
        <w:r>
          <w:rPr>
            <w:rFonts w:asciiTheme="minorHAnsi" w:eastAsiaTheme="minorEastAsia" w:hAnsiTheme="minorHAnsi" w:cstheme="minorBidi"/>
            <w:b w:val="0"/>
            <w:bCs w:val="0"/>
            <w:color w:val="auto"/>
            <w:kern w:val="2"/>
            <w14:ligatures w14:val="standardContextual"/>
          </w:rPr>
          <w:tab/>
        </w:r>
        <w:r w:rsidRPr="006608F2">
          <w:rPr>
            <w:rStyle w:val="Hyperlink"/>
          </w:rPr>
          <w:t>Protection of Rights</w:t>
        </w:r>
        <w:r>
          <w:rPr>
            <w:webHidden/>
          </w:rPr>
          <w:tab/>
        </w:r>
        <w:r>
          <w:rPr>
            <w:webHidden/>
          </w:rPr>
          <w:fldChar w:fldCharType="begin"/>
        </w:r>
        <w:r>
          <w:rPr>
            <w:webHidden/>
          </w:rPr>
          <w:instrText xml:space="preserve"> PAGEREF _Toc235087539 \h </w:instrText>
        </w:r>
        <w:r>
          <w:rPr>
            <w:webHidden/>
          </w:rPr>
        </w:r>
        <w:r>
          <w:rPr>
            <w:webHidden/>
          </w:rPr>
          <w:fldChar w:fldCharType="separate"/>
        </w:r>
        <w:r w:rsidR="00C50334">
          <w:rPr>
            <w:webHidden/>
          </w:rPr>
          <w:t>17</w:t>
        </w:r>
        <w:r>
          <w:rPr>
            <w:webHidden/>
          </w:rPr>
          <w:fldChar w:fldCharType="end"/>
        </w:r>
      </w:hyperlink>
    </w:p>
    <w:p w14:paraId="20860820" w14:textId="435E6F82"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40" w:history="1">
        <w:r w:rsidRPr="006608F2">
          <w:rPr>
            <w:rStyle w:val="Hyperlink"/>
            <w:noProof/>
          </w:rPr>
          <w:t>Question 5: The UK Supreme Court said in </w:t>
        </w:r>
        <w:r w:rsidRPr="006608F2">
          <w:rPr>
            <w:rStyle w:val="Hyperlink"/>
            <w:i/>
            <w:iCs/>
            <w:noProof/>
          </w:rPr>
          <w:t>Dillon</w:t>
        </w:r>
        <w:r w:rsidRPr="006608F2">
          <w:rPr>
            <w:rStyle w:val="Hyperlink"/>
            <w:noProof/>
          </w:rPr>
          <w:t xml:space="preserve"> that Article 2(1) WF was directly effective in certain circumstances. </w:t>
        </w:r>
        <w:r w:rsidRPr="006608F2">
          <w:rPr>
            <w:rStyle w:val="Hyperlink"/>
            <w:bCs/>
            <w:noProof/>
          </w:rPr>
          <w:t>What are those circumstances? And what rights are covered in these circumstances?</w:t>
        </w:r>
        <w:r>
          <w:rPr>
            <w:noProof/>
            <w:webHidden/>
          </w:rPr>
          <w:tab/>
        </w:r>
        <w:r>
          <w:rPr>
            <w:noProof/>
            <w:webHidden/>
          </w:rPr>
          <w:fldChar w:fldCharType="begin"/>
        </w:r>
        <w:r>
          <w:rPr>
            <w:noProof/>
            <w:webHidden/>
          </w:rPr>
          <w:instrText xml:space="preserve"> PAGEREF _Toc235087540 \h </w:instrText>
        </w:r>
        <w:r>
          <w:rPr>
            <w:noProof/>
            <w:webHidden/>
          </w:rPr>
        </w:r>
        <w:r>
          <w:rPr>
            <w:noProof/>
            <w:webHidden/>
          </w:rPr>
          <w:fldChar w:fldCharType="separate"/>
        </w:r>
        <w:r w:rsidR="00C50334">
          <w:rPr>
            <w:noProof/>
            <w:webHidden/>
          </w:rPr>
          <w:t>17</w:t>
        </w:r>
        <w:r>
          <w:rPr>
            <w:noProof/>
            <w:webHidden/>
          </w:rPr>
          <w:fldChar w:fldCharType="end"/>
        </w:r>
      </w:hyperlink>
    </w:p>
    <w:p w14:paraId="50F269F3" w14:textId="3076067F"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41" w:history="1">
        <w:r w:rsidRPr="006608F2">
          <w:rPr>
            <w:rStyle w:val="Hyperlink"/>
            <w:noProof/>
          </w:rPr>
          <w:t>Question 6: Who can rely on Article 2 WF and when?</w:t>
        </w:r>
        <w:r>
          <w:rPr>
            <w:noProof/>
            <w:webHidden/>
          </w:rPr>
          <w:tab/>
        </w:r>
        <w:r>
          <w:rPr>
            <w:noProof/>
            <w:webHidden/>
          </w:rPr>
          <w:fldChar w:fldCharType="begin"/>
        </w:r>
        <w:r>
          <w:rPr>
            <w:noProof/>
            <w:webHidden/>
          </w:rPr>
          <w:instrText xml:space="preserve"> PAGEREF _Toc235087541 \h </w:instrText>
        </w:r>
        <w:r>
          <w:rPr>
            <w:noProof/>
            <w:webHidden/>
          </w:rPr>
        </w:r>
        <w:r>
          <w:rPr>
            <w:noProof/>
            <w:webHidden/>
          </w:rPr>
          <w:fldChar w:fldCharType="separate"/>
        </w:r>
        <w:r w:rsidR="00C50334">
          <w:rPr>
            <w:noProof/>
            <w:webHidden/>
          </w:rPr>
          <w:t>21</w:t>
        </w:r>
        <w:r>
          <w:rPr>
            <w:noProof/>
            <w:webHidden/>
          </w:rPr>
          <w:fldChar w:fldCharType="end"/>
        </w:r>
      </w:hyperlink>
    </w:p>
    <w:p w14:paraId="7ED75D33" w14:textId="578B3AEB"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42" w:history="1">
        <w:r w:rsidRPr="006608F2">
          <w:rPr>
            <w:rStyle w:val="Hyperlink"/>
            <w:noProof/>
          </w:rPr>
          <w:t>Cohort of persons protected</w:t>
        </w:r>
        <w:r>
          <w:rPr>
            <w:noProof/>
            <w:webHidden/>
          </w:rPr>
          <w:tab/>
        </w:r>
        <w:r>
          <w:rPr>
            <w:noProof/>
            <w:webHidden/>
          </w:rPr>
          <w:fldChar w:fldCharType="begin"/>
        </w:r>
        <w:r>
          <w:rPr>
            <w:noProof/>
            <w:webHidden/>
          </w:rPr>
          <w:instrText xml:space="preserve"> PAGEREF _Toc235087542 \h </w:instrText>
        </w:r>
        <w:r>
          <w:rPr>
            <w:noProof/>
            <w:webHidden/>
          </w:rPr>
        </w:r>
        <w:r>
          <w:rPr>
            <w:noProof/>
            <w:webHidden/>
          </w:rPr>
          <w:fldChar w:fldCharType="separate"/>
        </w:r>
        <w:r w:rsidR="00C50334">
          <w:rPr>
            <w:noProof/>
            <w:webHidden/>
          </w:rPr>
          <w:t>21</w:t>
        </w:r>
        <w:r>
          <w:rPr>
            <w:noProof/>
            <w:webHidden/>
          </w:rPr>
          <w:fldChar w:fldCharType="end"/>
        </w:r>
      </w:hyperlink>
    </w:p>
    <w:p w14:paraId="271F6A23" w14:textId="6ABABA35"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43" w:history="1">
        <w:r w:rsidRPr="006608F2">
          <w:rPr>
            <w:rStyle w:val="Hyperlink"/>
            <w:noProof/>
          </w:rPr>
          <w:t>Backdrop of sectarian conflict</w:t>
        </w:r>
        <w:r>
          <w:rPr>
            <w:noProof/>
            <w:webHidden/>
          </w:rPr>
          <w:tab/>
        </w:r>
        <w:r>
          <w:rPr>
            <w:noProof/>
            <w:webHidden/>
          </w:rPr>
          <w:fldChar w:fldCharType="begin"/>
        </w:r>
        <w:r>
          <w:rPr>
            <w:noProof/>
            <w:webHidden/>
          </w:rPr>
          <w:instrText xml:space="preserve"> PAGEREF _Toc235087543 \h </w:instrText>
        </w:r>
        <w:r>
          <w:rPr>
            <w:noProof/>
            <w:webHidden/>
          </w:rPr>
        </w:r>
        <w:r>
          <w:rPr>
            <w:noProof/>
            <w:webHidden/>
          </w:rPr>
          <w:fldChar w:fldCharType="separate"/>
        </w:r>
        <w:r w:rsidR="00C50334">
          <w:rPr>
            <w:noProof/>
            <w:webHidden/>
          </w:rPr>
          <w:t>22</w:t>
        </w:r>
        <w:r>
          <w:rPr>
            <w:noProof/>
            <w:webHidden/>
          </w:rPr>
          <w:fldChar w:fldCharType="end"/>
        </w:r>
      </w:hyperlink>
    </w:p>
    <w:p w14:paraId="7B3776E2" w14:textId="7B14D52E"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44" w:history="1">
        <w:r w:rsidRPr="006608F2">
          <w:rPr>
            <w:rStyle w:val="Hyperlink"/>
            <w:noProof/>
          </w:rPr>
          <w:t>When Windsor Framework Article 2 can be relied upon – the ‘ambit’ of the Rights, Safeguards and Equality of Opportunity chapter of the Belfast (Good Friday) Agreement</w:t>
        </w:r>
        <w:r>
          <w:rPr>
            <w:noProof/>
            <w:webHidden/>
          </w:rPr>
          <w:tab/>
        </w:r>
        <w:r>
          <w:rPr>
            <w:noProof/>
            <w:webHidden/>
          </w:rPr>
          <w:fldChar w:fldCharType="begin"/>
        </w:r>
        <w:r>
          <w:rPr>
            <w:noProof/>
            <w:webHidden/>
          </w:rPr>
          <w:instrText xml:space="preserve"> PAGEREF _Toc235087544 \h </w:instrText>
        </w:r>
        <w:r>
          <w:rPr>
            <w:noProof/>
            <w:webHidden/>
          </w:rPr>
        </w:r>
        <w:r>
          <w:rPr>
            <w:noProof/>
            <w:webHidden/>
          </w:rPr>
          <w:fldChar w:fldCharType="separate"/>
        </w:r>
        <w:r w:rsidR="00C50334">
          <w:rPr>
            <w:noProof/>
            <w:webHidden/>
          </w:rPr>
          <w:t>24</w:t>
        </w:r>
        <w:r>
          <w:rPr>
            <w:noProof/>
            <w:webHidden/>
          </w:rPr>
          <w:fldChar w:fldCharType="end"/>
        </w:r>
      </w:hyperlink>
    </w:p>
    <w:p w14:paraId="19D8C8D2" w14:textId="56B27EC0"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45" w:history="1">
        <w:r w:rsidRPr="006608F2">
          <w:rPr>
            <w:rStyle w:val="Hyperlink"/>
            <w:noProof/>
          </w:rPr>
          <w:t>Approaches to interpreting the Rights, Safeguards and Equality of Opportunity chapter of the Belfast (Good Friday) Agreement</w:t>
        </w:r>
        <w:r>
          <w:rPr>
            <w:noProof/>
            <w:webHidden/>
          </w:rPr>
          <w:tab/>
        </w:r>
        <w:r>
          <w:rPr>
            <w:noProof/>
            <w:webHidden/>
          </w:rPr>
          <w:fldChar w:fldCharType="begin"/>
        </w:r>
        <w:r>
          <w:rPr>
            <w:noProof/>
            <w:webHidden/>
          </w:rPr>
          <w:instrText xml:space="preserve"> PAGEREF _Toc235087545 \h </w:instrText>
        </w:r>
        <w:r>
          <w:rPr>
            <w:noProof/>
            <w:webHidden/>
          </w:rPr>
        </w:r>
        <w:r>
          <w:rPr>
            <w:noProof/>
            <w:webHidden/>
          </w:rPr>
          <w:fldChar w:fldCharType="separate"/>
        </w:r>
        <w:r w:rsidR="00C50334">
          <w:rPr>
            <w:noProof/>
            <w:webHidden/>
          </w:rPr>
          <w:t>27</w:t>
        </w:r>
        <w:r>
          <w:rPr>
            <w:noProof/>
            <w:webHidden/>
          </w:rPr>
          <w:fldChar w:fldCharType="end"/>
        </w:r>
      </w:hyperlink>
    </w:p>
    <w:p w14:paraId="2C9CD890" w14:textId="011E4E02"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46" w:history="1">
        <w:r w:rsidRPr="006608F2">
          <w:rPr>
            <w:rStyle w:val="Hyperlink"/>
            <w:noProof/>
          </w:rPr>
          <w:t>Accuracy and ambiguity</w:t>
        </w:r>
        <w:r>
          <w:rPr>
            <w:noProof/>
            <w:webHidden/>
          </w:rPr>
          <w:tab/>
        </w:r>
        <w:r>
          <w:rPr>
            <w:noProof/>
            <w:webHidden/>
          </w:rPr>
          <w:fldChar w:fldCharType="begin"/>
        </w:r>
        <w:r>
          <w:rPr>
            <w:noProof/>
            <w:webHidden/>
          </w:rPr>
          <w:instrText xml:space="preserve"> PAGEREF _Toc235087546 \h </w:instrText>
        </w:r>
        <w:r>
          <w:rPr>
            <w:noProof/>
            <w:webHidden/>
          </w:rPr>
        </w:r>
        <w:r>
          <w:rPr>
            <w:noProof/>
            <w:webHidden/>
          </w:rPr>
          <w:fldChar w:fldCharType="separate"/>
        </w:r>
        <w:r w:rsidR="00C50334">
          <w:rPr>
            <w:noProof/>
            <w:webHidden/>
          </w:rPr>
          <w:t>28</w:t>
        </w:r>
        <w:r>
          <w:rPr>
            <w:noProof/>
            <w:webHidden/>
          </w:rPr>
          <w:fldChar w:fldCharType="end"/>
        </w:r>
      </w:hyperlink>
    </w:p>
    <w:p w14:paraId="182CCF9A" w14:textId="4D65CF20"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47" w:history="1">
        <w:r w:rsidRPr="006608F2">
          <w:rPr>
            <w:rStyle w:val="Hyperlink"/>
            <w:noProof/>
          </w:rPr>
          <w:t>Question 7: What is classified as a ‘diminution’ of rights under Article 2 WF and how is a breach determined?</w:t>
        </w:r>
        <w:r>
          <w:rPr>
            <w:noProof/>
            <w:webHidden/>
          </w:rPr>
          <w:tab/>
        </w:r>
        <w:r>
          <w:rPr>
            <w:noProof/>
            <w:webHidden/>
          </w:rPr>
          <w:fldChar w:fldCharType="begin"/>
        </w:r>
        <w:r>
          <w:rPr>
            <w:noProof/>
            <w:webHidden/>
          </w:rPr>
          <w:instrText xml:space="preserve"> PAGEREF _Toc235087547 \h </w:instrText>
        </w:r>
        <w:r>
          <w:rPr>
            <w:noProof/>
            <w:webHidden/>
          </w:rPr>
        </w:r>
        <w:r>
          <w:rPr>
            <w:noProof/>
            <w:webHidden/>
          </w:rPr>
          <w:fldChar w:fldCharType="separate"/>
        </w:r>
        <w:r w:rsidR="00C50334">
          <w:rPr>
            <w:noProof/>
            <w:webHidden/>
          </w:rPr>
          <w:t>31</w:t>
        </w:r>
        <w:r>
          <w:rPr>
            <w:noProof/>
            <w:webHidden/>
          </w:rPr>
          <w:fldChar w:fldCharType="end"/>
        </w:r>
      </w:hyperlink>
    </w:p>
    <w:p w14:paraId="0A24FEC5" w14:textId="70E5DF8E"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48" w:history="1">
        <w:r w:rsidRPr="006608F2">
          <w:rPr>
            <w:rStyle w:val="Hyperlink"/>
            <w:noProof/>
          </w:rPr>
          <w:t xml:space="preserve">Question 8: How should a breach of Article 2 WF </w:t>
        </w:r>
        <w:r w:rsidRPr="006608F2">
          <w:rPr>
            <w:rStyle w:val="Hyperlink"/>
            <w:bCs/>
            <w:noProof/>
          </w:rPr>
          <w:t>be remedied</w:t>
        </w:r>
        <w:r w:rsidRPr="006608F2">
          <w:rPr>
            <w:rStyle w:val="Hyperlink"/>
            <w:noProof/>
          </w:rPr>
          <w:t>. What, if any, are the constitutional implications of disapplying primary legislation for a breach of Article 2 WF?</w:t>
        </w:r>
        <w:r>
          <w:rPr>
            <w:noProof/>
            <w:webHidden/>
          </w:rPr>
          <w:tab/>
        </w:r>
        <w:r>
          <w:rPr>
            <w:noProof/>
            <w:webHidden/>
          </w:rPr>
          <w:fldChar w:fldCharType="begin"/>
        </w:r>
        <w:r>
          <w:rPr>
            <w:noProof/>
            <w:webHidden/>
          </w:rPr>
          <w:instrText xml:space="preserve"> PAGEREF _Toc235087548 \h </w:instrText>
        </w:r>
        <w:r>
          <w:rPr>
            <w:noProof/>
            <w:webHidden/>
          </w:rPr>
        </w:r>
        <w:r>
          <w:rPr>
            <w:noProof/>
            <w:webHidden/>
          </w:rPr>
          <w:fldChar w:fldCharType="separate"/>
        </w:r>
        <w:r w:rsidR="00C50334">
          <w:rPr>
            <w:noProof/>
            <w:webHidden/>
          </w:rPr>
          <w:t>32</w:t>
        </w:r>
        <w:r>
          <w:rPr>
            <w:noProof/>
            <w:webHidden/>
          </w:rPr>
          <w:fldChar w:fldCharType="end"/>
        </w:r>
      </w:hyperlink>
    </w:p>
    <w:p w14:paraId="484E8B68" w14:textId="48A9B4BB"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49" w:history="1">
        <w:r w:rsidRPr="006608F2">
          <w:rPr>
            <w:rStyle w:val="Hyperlink"/>
            <w:noProof/>
          </w:rPr>
          <w:t xml:space="preserve">Question 9: What is your overall assessment as to </w:t>
        </w:r>
        <w:r w:rsidRPr="006608F2">
          <w:rPr>
            <w:rStyle w:val="Hyperlink"/>
            <w:bCs/>
            <w:noProof/>
          </w:rPr>
          <w:t>the success of Article 2 WF in</w:t>
        </w:r>
        <w:r w:rsidRPr="006608F2">
          <w:rPr>
            <w:rStyle w:val="Hyperlink"/>
            <w:noProof/>
          </w:rPr>
          <w:t xml:space="preserve"> ensuring the protection of rights following the UK’s exit from the European Union?</w:t>
        </w:r>
        <w:r>
          <w:rPr>
            <w:noProof/>
            <w:webHidden/>
          </w:rPr>
          <w:tab/>
        </w:r>
        <w:r>
          <w:rPr>
            <w:noProof/>
            <w:webHidden/>
          </w:rPr>
          <w:fldChar w:fldCharType="begin"/>
        </w:r>
        <w:r>
          <w:rPr>
            <w:noProof/>
            <w:webHidden/>
          </w:rPr>
          <w:instrText xml:space="preserve"> PAGEREF _Toc235087549 \h </w:instrText>
        </w:r>
        <w:r>
          <w:rPr>
            <w:noProof/>
            <w:webHidden/>
          </w:rPr>
        </w:r>
        <w:r>
          <w:rPr>
            <w:noProof/>
            <w:webHidden/>
          </w:rPr>
          <w:fldChar w:fldCharType="separate"/>
        </w:r>
        <w:r w:rsidR="00C50334">
          <w:rPr>
            <w:noProof/>
            <w:webHidden/>
          </w:rPr>
          <w:t>34</w:t>
        </w:r>
        <w:r>
          <w:rPr>
            <w:noProof/>
            <w:webHidden/>
          </w:rPr>
          <w:fldChar w:fldCharType="end"/>
        </w:r>
      </w:hyperlink>
    </w:p>
    <w:p w14:paraId="0846E555" w14:textId="30399255"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50" w:history="1">
        <w:r w:rsidRPr="006608F2">
          <w:rPr>
            <w:rStyle w:val="Hyperlink"/>
          </w:rPr>
          <w:t>5.0</w:t>
        </w:r>
        <w:r>
          <w:rPr>
            <w:rFonts w:asciiTheme="minorHAnsi" w:eastAsiaTheme="minorEastAsia" w:hAnsiTheme="minorHAnsi" w:cstheme="minorBidi"/>
            <w:b w:val="0"/>
            <w:bCs w:val="0"/>
            <w:color w:val="auto"/>
            <w:kern w:val="2"/>
            <w14:ligatures w14:val="standardContextual"/>
          </w:rPr>
          <w:tab/>
        </w:r>
        <w:r w:rsidRPr="006608F2">
          <w:rPr>
            <w:rStyle w:val="Hyperlink"/>
          </w:rPr>
          <w:t>The Commissions</w:t>
        </w:r>
        <w:r>
          <w:rPr>
            <w:webHidden/>
          </w:rPr>
          <w:tab/>
        </w:r>
        <w:r>
          <w:rPr>
            <w:webHidden/>
          </w:rPr>
          <w:fldChar w:fldCharType="begin"/>
        </w:r>
        <w:r>
          <w:rPr>
            <w:webHidden/>
          </w:rPr>
          <w:instrText xml:space="preserve"> PAGEREF _Toc235087550 \h </w:instrText>
        </w:r>
        <w:r>
          <w:rPr>
            <w:webHidden/>
          </w:rPr>
        </w:r>
        <w:r>
          <w:rPr>
            <w:webHidden/>
          </w:rPr>
          <w:fldChar w:fldCharType="separate"/>
        </w:r>
        <w:r w:rsidR="00C50334">
          <w:rPr>
            <w:webHidden/>
          </w:rPr>
          <w:t>37</w:t>
        </w:r>
        <w:r>
          <w:rPr>
            <w:webHidden/>
          </w:rPr>
          <w:fldChar w:fldCharType="end"/>
        </w:r>
      </w:hyperlink>
    </w:p>
    <w:p w14:paraId="22D8AB79" w14:textId="08F54434"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1" w:history="1">
        <w:r w:rsidRPr="006608F2">
          <w:rPr>
            <w:rStyle w:val="Hyperlink"/>
            <w:noProof/>
          </w:rPr>
          <w:t>Question 10: What is the role of the Dedicated Mechanism framework in Article 2 WF?</w:t>
        </w:r>
        <w:r>
          <w:rPr>
            <w:noProof/>
            <w:webHidden/>
          </w:rPr>
          <w:tab/>
        </w:r>
        <w:r>
          <w:rPr>
            <w:noProof/>
            <w:webHidden/>
          </w:rPr>
          <w:fldChar w:fldCharType="begin"/>
        </w:r>
        <w:r>
          <w:rPr>
            <w:noProof/>
            <w:webHidden/>
          </w:rPr>
          <w:instrText xml:space="preserve"> PAGEREF _Toc235087551 \h </w:instrText>
        </w:r>
        <w:r>
          <w:rPr>
            <w:noProof/>
            <w:webHidden/>
          </w:rPr>
        </w:r>
        <w:r>
          <w:rPr>
            <w:noProof/>
            <w:webHidden/>
          </w:rPr>
          <w:fldChar w:fldCharType="separate"/>
        </w:r>
        <w:r w:rsidR="00C50334">
          <w:rPr>
            <w:noProof/>
            <w:webHidden/>
          </w:rPr>
          <w:t>37</w:t>
        </w:r>
        <w:r>
          <w:rPr>
            <w:noProof/>
            <w:webHidden/>
          </w:rPr>
          <w:fldChar w:fldCharType="end"/>
        </w:r>
      </w:hyperlink>
    </w:p>
    <w:p w14:paraId="6D370045" w14:textId="55CA5D84"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2" w:history="1">
        <w:r w:rsidRPr="006608F2">
          <w:rPr>
            <w:rStyle w:val="Hyperlink"/>
            <w:noProof/>
          </w:rPr>
          <w:t>Question 11: How are the Commissions resourced? Could this be improved?</w:t>
        </w:r>
        <w:r>
          <w:rPr>
            <w:noProof/>
            <w:webHidden/>
          </w:rPr>
          <w:tab/>
        </w:r>
        <w:r>
          <w:rPr>
            <w:noProof/>
            <w:webHidden/>
          </w:rPr>
          <w:fldChar w:fldCharType="begin"/>
        </w:r>
        <w:r>
          <w:rPr>
            <w:noProof/>
            <w:webHidden/>
          </w:rPr>
          <w:instrText xml:space="preserve"> PAGEREF _Toc235087552 \h </w:instrText>
        </w:r>
        <w:r>
          <w:rPr>
            <w:noProof/>
            <w:webHidden/>
          </w:rPr>
        </w:r>
        <w:r>
          <w:rPr>
            <w:noProof/>
            <w:webHidden/>
          </w:rPr>
          <w:fldChar w:fldCharType="separate"/>
        </w:r>
        <w:r w:rsidR="00C50334">
          <w:rPr>
            <w:noProof/>
            <w:webHidden/>
          </w:rPr>
          <w:t>39</w:t>
        </w:r>
        <w:r>
          <w:rPr>
            <w:noProof/>
            <w:webHidden/>
          </w:rPr>
          <w:fldChar w:fldCharType="end"/>
        </w:r>
      </w:hyperlink>
    </w:p>
    <w:p w14:paraId="7212438F" w14:textId="742CD744"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3" w:history="1">
        <w:r w:rsidRPr="006608F2">
          <w:rPr>
            <w:rStyle w:val="Hyperlink"/>
            <w:noProof/>
          </w:rPr>
          <w:t>Question 12: How would you assess the effectiveness of the existing Windsor Framework structures for formalised engagement between the Northern Ireland Executive and the Commissions? Could they be improved in future? If so, how?</w:t>
        </w:r>
        <w:r>
          <w:rPr>
            <w:noProof/>
            <w:webHidden/>
          </w:rPr>
          <w:tab/>
        </w:r>
        <w:r>
          <w:rPr>
            <w:noProof/>
            <w:webHidden/>
          </w:rPr>
          <w:fldChar w:fldCharType="begin"/>
        </w:r>
        <w:r>
          <w:rPr>
            <w:noProof/>
            <w:webHidden/>
          </w:rPr>
          <w:instrText xml:space="preserve"> PAGEREF _Toc235087553 \h </w:instrText>
        </w:r>
        <w:r>
          <w:rPr>
            <w:noProof/>
            <w:webHidden/>
          </w:rPr>
        </w:r>
        <w:r>
          <w:rPr>
            <w:noProof/>
            <w:webHidden/>
          </w:rPr>
          <w:fldChar w:fldCharType="separate"/>
        </w:r>
        <w:r w:rsidR="00C50334">
          <w:rPr>
            <w:noProof/>
            <w:webHidden/>
          </w:rPr>
          <w:t>41</w:t>
        </w:r>
        <w:r>
          <w:rPr>
            <w:noProof/>
            <w:webHidden/>
          </w:rPr>
          <w:fldChar w:fldCharType="end"/>
        </w:r>
      </w:hyperlink>
    </w:p>
    <w:p w14:paraId="41B6C5C0" w14:textId="1FF0A657" w:rsidR="00EF14AB" w:rsidRDefault="00EF14AB">
      <w:pPr>
        <w:pStyle w:val="TOC1"/>
        <w:rPr>
          <w:rFonts w:asciiTheme="minorHAnsi" w:eastAsiaTheme="minorEastAsia" w:hAnsiTheme="minorHAnsi" w:cstheme="minorBidi"/>
          <w:b w:val="0"/>
          <w:bCs w:val="0"/>
          <w:color w:val="auto"/>
          <w:kern w:val="2"/>
          <w14:ligatures w14:val="standardContextual"/>
        </w:rPr>
      </w:pPr>
      <w:hyperlink w:anchor="_Toc235087554" w:history="1">
        <w:r w:rsidRPr="006608F2">
          <w:rPr>
            <w:rStyle w:val="Hyperlink"/>
          </w:rPr>
          <w:t>6.0</w:t>
        </w:r>
        <w:r>
          <w:rPr>
            <w:rFonts w:asciiTheme="minorHAnsi" w:eastAsiaTheme="minorEastAsia" w:hAnsiTheme="minorHAnsi" w:cstheme="minorBidi"/>
            <w:b w:val="0"/>
            <w:bCs w:val="0"/>
            <w:color w:val="auto"/>
            <w:kern w:val="2"/>
            <w14:ligatures w14:val="standardContextual"/>
          </w:rPr>
          <w:tab/>
        </w:r>
        <w:r w:rsidRPr="006608F2">
          <w:rPr>
            <w:rStyle w:val="Hyperlink"/>
          </w:rPr>
          <w:t>Looking Forward</w:t>
        </w:r>
        <w:r>
          <w:rPr>
            <w:webHidden/>
          </w:rPr>
          <w:tab/>
        </w:r>
        <w:r>
          <w:rPr>
            <w:webHidden/>
          </w:rPr>
          <w:fldChar w:fldCharType="begin"/>
        </w:r>
        <w:r>
          <w:rPr>
            <w:webHidden/>
          </w:rPr>
          <w:instrText xml:space="preserve"> PAGEREF _Toc235087554 \h </w:instrText>
        </w:r>
        <w:r>
          <w:rPr>
            <w:webHidden/>
          </w:rPr>
        </w:r>
        <w:r>
          <w:rPr>
            <w:webHidden/>
          </w:rPr>
          <w:fldChar w:fldCharType="separate"/>
        </w:r>
        <w:r w:rsidR="00C50334">
          <w:rPr>
            <w:webHidden/>
          </w:rPr>
          <w:t>43</w:t>
        </w:r>
        <w:r>
          <w:rPr>
            <w:webHidden/>
          </w:rPr>
          <w:fldChar w:fldCharType="end"/>
        </w:r>
      </w:hyperlink>
    </w:p>
    <w:p w14:paraId="1BCD39E2" w14:textId="62DD3DEA"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5" w:history="1">
        <w:r w:rsidRPr="006608F2">
          <w:rPr>
            <w:rStyle w:val="Hyperlink"/>
            <w:noProof/>
          </w:rPr>
          <w:t>Question 13: How does the UK Government meet its commitments under Article 2 WF when it is making new legislation? And the Northern Ireland Executive?</w:t>
        </w:r>
        <w:r>
          <w:rPr>
            <w:noProof/>
            <w:webHidden/>
          </w:rPr>
          <w:tab/>
        </w:r>
        <w:r>
          <w:rPr>
            <w:noProof/>
            <w:webHidden/>
          </w:rPr>
          <w:fldChar w:fldCharType="begin"/>
        </w:r>
        <w:r>
          <w:rPr>
            <w:noProof/>
            <w:webHidden/>
          </w:rPr>
          <w:instrText xml:space="preserve"> PAGEREF _Toc235087555 \h </w:instrText>
        </w:r>
        <w:r>
          <w:rPr>
            <w:noProof/>
            <w:webHidden/>
          </w:rPr>
        </w:r>
        <w:r>
          <w:rPr>
            <w:noProof/>
            <w:webHidden/>
          </w:rPr>
          <w:fldChar w:fldCharType="separate"/>
        </w:r>
        <w:r w:rsidR="00C50334">
          <w:rPr>
            <w:noProof/>
            <w:webHidden/>
          </w:rPr>
          <w:t>43</w:t>
        </w:r>
        <w:r>
          <w:rPr>
            <w:noProof/>
            <w:webHidden/>
          </w:rPr>
          <w:fldChar w:fldCharType="end"/>
        </w:r>
      </w:hyperlink>
    </w:p>
    <w:p w14:paraId="2B32527E" w14:textId="11F53329"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6" w:history="1">
        <w:r w:rsidRPr="006608F2">
          <w:rPr>
            <w:rStyle w:val="Hyperlink"/>
            <w:noProof/>
          </w:rPr>
          <w:t>Question 13a: How might this be improved?</w:t>
        </w:r>
        <w:r>
          <w:rPr>
            <w:noProof/>
            <w:webHidden/>
          </w:rPr>
          <w:tab/>
        </w:r>
        <w:r>
          <w:rPr>
            <w:noProof/>
            <w:webHidden/>
          </w:rPr>
          <w:fldChar w:fldCharType="begin"/>
        </w:r>
        <w:r>
          <w:rPr>
            <w:noProof/>
            <w:webHidden/>
          </w:rPr>
          <w:instrText xml:space="preserve"> PAGEREF _Toc235087556 \h </w:instrText>
        </w:r>
        <w:r>
          <w:rPr>
            <w:noProof/>
            <w:webHidden/>
          </w:rPr>
        </w:r>
        <w:r>
          <w:rPr>
            <w:noProof/>
            <w:webHidden/>
          </w:rPr>
          <w:fldChar w:fldCharType="separate"/>
        </w:r>
        <w:r w:rsidR="00C50334">
          <w:rPr>
            <w:noProof/>
            <w:webHidden/>
          </w:rPr>
          <w:t>43</w:t>
        </w:r>
        <w:r>
          <w:rPr>
            <w:noProof/>
            <w:webHidden/>
          </w:rPr>
          <w:fldChar w:fldCharType="end"/>
        </w:r>
      </w:hyperlink>
    </w:p>
    <w:p w14:paraId="449378E0" w14:textId="6C74370F"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57" w:history="1">
        <w:r w:rsidRPr="006608F2">
          <w:rPr>
            <w:rStyle w:val="Hyperlink"/>
            <w:noProof/>
          </w:rPr>
          <w:t>UK Government and Parliament</w:t>
        </w:r>
        <w:r>
          <w:rPr>
            <w:noProof/>
            <w:webHidden/>
          </w:rPr>
          <w:tab/>
        </w:r>
        <w:r>
          <w:rPr>
            <w:noProof/>
            <w:webHidden/>
          </w:rPr>
          <w:fldChar w:fldCharType="begin"/>
        </w:r>
        <w:r>
          <w:rPr>
            <w:noProof/>
            <w:webHidden/>
          </w:rPr>
          <w:instrText xml:space="preserve"> PAGEREF _Toc235087557 \h </w:instrText>
        </w:r>
        <w:r>
          <w:rPr>
            <w:noProof/>
            <w:webHidden/>
          </w:rPr>
        </w:r>
        <w:r>
          <w:rPr>
            <w:noProof/>
            <w:webHidden/>
          </w:rPr>
          <w:fldChar w:fldCharType="separate"/>
        </w:r>
        <w:r w:rsidR="00C50334">
          <w:rPr>
            <w:noProof/>
            <w:webHidden/>
          </w:rPr>
          <w:t>43</w:t>
        </w:r>
        <w:r>
          <w:rPr>
            <w:noProof/>
            <w:webHidden/>
          </w:rPr>
          <w:fldChar w:fldCharType="end"/>
        </w:r>
      </w:hyperlink>
    </w:p>
    <w:p w14:paraId="6890FFB1" w14:textId="2BCD997E" w:rsidR="00EF14AB" w:rsidRDefault="00EF14AB">
      <w:pPr>
        <w:pStyle w:val="TOC3"/>
        <w:tabs>
          <w:tab w:val="right" w:leader="dot" w:pos="9016"/>
        </w:tabs>
        <w:rPr>
          <w:rFonts w:asciiTheme="minorHAnsi" w:eastAsiaTheme="minorEastAsia" w:hAnsiTheme="minorHAnsi" w:cstheme="minorBidi"/>
          <w:noProof/>
          <w:color w:val="auto"/>
          <w:kern w:val="2"/>
          <w14:ligatures w14:val="standardContextual"/>
        </w:rPr>
      </w:pPr>
      <w:hyperlink w:anchor="_Toc235087558" w:history="1">
        <w:r w:rsidRPr="006608F2">
          <w:rPr>
            <w:rStyle w:val="Hyperlink"/>
            <w:noProof/>
          </w:rPr>
          <w:t>Northern Ireland</w:t>
        </w:r>
        <w:r>
          <w:rPr>
            <w:noProof/>
            <w:webHidden/>
          </w:rPr>
          <w:tab/>
        </w:r>
        <w:r>
          <w:rPr>
            <w:noProof/>
            <w:webHidden/>
          </w:rPr>
          <w:fldChar w:fldCharType="begin"/>
        </w:r>
        <w:r>
          <w:rPr>
            <w:noProof/>
            <w:webHidden/>
          </w:rPr>
          <w:instrText xml:space="preserve"> PAGEREF _Toc235087558 \h </w:instrText>
        </w:r>
        <w:r>
          <w:rPr>
            <w:noProof/>
            <w:webHidden/>
          </w:rPr>
        </w:r>
        <w:r>
          <w:rPr>
            <w:noProof/>
            <w:webHidden/>
          </w:rPr>
          <w:fldChar w:fldCharType="separate"/>
        </w:r>
        <w:r w:rsidR="00C50334">
          <w:rPr>
            <w:noProof/>
            <w:webHidden/>
          </w:rPr>
          <w:t>46</w:t>
        </w:r>
        <w:r>
          <w:rPr>
            <w:noProof/>
            <w:webHidden/>
          </w:rPr>
          <w:fldChar w:fldCharType="end"/>
        </w:r>
      </w:hyperlink>
    </w:p>
    <w:p w14:paraId="1DAE0CBC" w14:textId="7C9F38F1" w:rsidR="00EF14AB" w:rsidRDefault="00EF14AB">
      <w:pPr>
        <w:pStyle w:val="TOC2"/>
        <w:tabs>
          <w:tab w:val="right" w:leader="dot" w:pos="9016"/>
        </w:tabs>
        <w:rPr>
          <w:rFonts w:asciiTheme="minorHAnsi" w:eastAsiaTheme="minorEastAsia" w:hAnsiTheme="minorHAnsi" w:cstheme="minorBidi"/>
          <w:noProof/>
          <w:color w:val="auto"/>
          <w:kern w:val="2"/>
          <w14:ligatures w14:val="standardContextual"/>
        </w:rPr>
      </w:pPr>
      <w:hyperlink w:anchor="_Toc235087559" w:history="1">
        <w:r w:rsidRPr="006608F2">
          <w:rPr>
            <w:rStyle w:val="Hyperlink"/>
            <w:noProof/>
          </w:rPr>
          <w:t>Question 14: In light of the devolution settlement for Northern Ireland, what impact does Article 2 WF have on the UK Government’s power to legislate on ‘excepted’ and ‘reserved’ matters as set out in the Northern Ireland Act 1998?</w:t>
        </w:r>
        <w:r>
          <w:rPr>
            <w:noProof/>
            <w:webHidden/>
          </w:rPr>
          <w:tab/>
        </w:r>
        <w:r>
          <w:rPr>
            <w:noProof/>
            <w:webHidden/>
          </w:rPr>
          <w:fldChar w:fldCharType="begin"/>
        </w:r>
        <w:r>
          <w:rPr>
            <w:noProof/>
            <w:webHidden/>
          </w:rPr>
          <w:instrText xml:space="preserve"> PAGEREF _Toc235087559 \h </w:instrText>
        </w:r>
        <w:r>
          <w:rPr>
            <w:noProof/>
            <w:webHidden/>
          </w:rPr>
        </w:r>
        <w:r>
          <w:rPr>
            <w:noProof/>
            <w:webHidden/>
          </w:rPr>
          <w:fldChar w:fldCharType="separate"/>
        </w:r>
        <w:r w:rsidR="00C50334">
          <w:rPr>
            <w:noProof/>
            <w:webHidden/>
          </w:rPr>
          <w:t>47</w:t>
        </w:r>
        <w:r>
          <w:rPr>
            <w:noProof/>
            <w:webHidden/>
          </w:rPr>
          <w:fldChar w:fldCharType="end"/>
        </w:r>
      </w:hyperlink>
    </w:p>
    <w:p w14:paraId="7D7E5E31" w14:textId="392B3D32" w:rsidR="00A250D0" w:rsidRPr="00387C3F" w:rsidRDefault="00A250D0" w:rsidP="009E1287">
      <w:r w:rsidRPr="00387C3F">
        <w:rPr>
          <w:b/>
          <w:bCs/>
          <w:noProof/>
        </w:rPr>
        <w:fldChar w:fldCharType="end"/>
      </w:r>
    </w:p>
    <w:p w14:paraId="657E47F8" w14:textId="77777777" w:rsidR="00042474" w:rsidRDefault="00A250D0" w:rsidP="009E1287">
      <w:pPr>
        <w:spacing w:line="240" w:lineRule="auto"/>
        <w:sectPr w:rsidR="00042474" w:rsidSect="00A63277">
          <w:footerReference w:type="default" r:id="rId12"/>
          <w:pgSz w:w="11906" w:h="16838"/>
          <w:pgMar w:top="1440" w:right="1440" w:bottom="1440" w:left="1440" w:header="708" w:footer="708" w:gutter="0"/>
          <w:cols w:space="708"/>
          <w:titlePg/>
          <w:docGrid w:linePitch="360"/>
        </w:sectPr>
      </w:pPr>
      <w:r w:rsidRPr="00387C3F">
        <w:br w:type="page"/>
      </w:r>
    </w:p>
    <w:p w14:paraId="6C7AB9F8" w14:textId="77777777" w:rsidR="00E32D88" w:rsidRDefault="00E32D88" w:rsidP="00780895">
      <w:pPr>
        <w:pStyle w:val="Heading1"/>
        <w:keepLines w:val="0"/>
        <w:numPr>
          <w:ilvl w:val="0"/>
          <w:numId w:val="0"/>
        </w:numPr>
        <w:ind w:left="720" w:hanging="720"/>
      </w:pPr>
      <w:bookmarkStart w:id="3" w:name="_Toc235087531"/>
      <w:r>
        <w:lastRenderedPageBreak/>
        <w:t>Summary of Advice and Recommendations</w:t>
      </w:r>
      <w:bookmarkEnd w:id="3"/>
      <w:r>
        <w:t xml:space="preserve"> </w:t>
      </w:r>
    </w:p>
    <w:p w14:paraId="3B3D551B" w14:textId="6A4D202F" w:rsidR="00E32D88" w:rsidRPr="00C7000D" w:rsidRDefault="00E32D88" w:rsidP="00BE5D0B">
      <w:pPr>
        <w:rPr>
          <w:b/>
          <w:bCs/>
        </w:rPr>
      </w:pPr>
      <w:r w:rsidRPr="00C7000D">
        <w:rPr>
          <w:b/>
          <w:bCs/>
        </w:rPr>
        <w:t xml:space="preserve">The </w:t>
      </w:r>
      <w:r w:rsidR="006C60EE" w:rsidRPr="00C7000D">
        <w:rPr>
          <w:b/>
          <w:bCs/>
        </w:rPr>
        <w:t>Northern Ireland</w:t>
      </w:r>
      <w:r w:rsidRPr="00C7000D">
        <w:rPr>
          <w:b/>
          <w:bCs/>
        </w:rPr>
        <w:t xml:space="preserve"> Human Rights Commission</w:t>
      </w:r>
      <w:r w:rsidR="00387AEA" w:rsidRPr="00C7000D">
        <w:rPr>
          <w:b/>
          <w:bCs/>
        </w:rPr>
        <w:t xml:space="preserve"> recommends that</w:t>
      </w:r>
      <w:r w:rsidRPr="00C7000D">
        <w:rPr>
          <w:b/>
          <w:bCs/>
        </w:rPr>
        <w:t xml:space="preserve">: </w:t>
      </w:r>
    </w:p>
    <w:p w14:paraId="5436C80F" w14:textId="77777777" w:rsidR="00387AEA" w:rsidRPr="00C7000D" w:rsidRDefault="00387AEA" w:rsidP="00BE5D0B">
      <w:pPr>
        <w:rPr>
          <w:b/>
          <w:bCs/>
        </w:rPr>
      </w:pPr>
    </w:p>
    <w:p w14:paraId="54A5C8EE" w14:textId="17A2ED93" w:rsidR="00387AEA" w:rsidRPr="00C7000D" w:rsidRDefault="00387AEA" w:rsidP="00BE5D0B">
      <w:pPr>
        <w:ind w:left="720" w:hanging="720"/>
        <w:rPr>
          <w:b/>
          <w:bCs/>
        </w:rPr>
      </w:pPr>
      <w:r w:rsidRPr="003717A3">
        <w:rPr>
          <w:b/>
          <w:bCs/>
        </w:rPr>
        <w:t>3.7</w:t>
      </w:r>
      <w:r w:rsidRPr="003717A3">
        <w:rPr>
          <w:b/>
          <w:bCs/>
        </w:rPr>
        <w:tab/>
        <w:t xml:space="preserve">the Committee affirm that human rights and equality were central to the Belfast (Good Friday) Agreement; that human rights and equality standards in NI lagged behind </w:t>
      </w:r>
      <w:r w:rsidR="00EF14AB">
        <w:rPr>
          <w:b/>
          <w:bCs/>
        </w:rPr>
        <w:t>Great Britain</w:t>
      </w:r>
      <w:r w:rsidRPr="003717A3">
        <w:rPr>
          <w:b/>
          <w:bCs/>
        </w:rPr>
        <w:t xml:space="preserve"> and Ireland before Brexit and continue to do so; that EU law underpinned most of what limited progress was made on human rights and equality in NI since 1998; that this is the context that resulted in the negotiation of Windsor Framework Article 2; and that it was designed to protect the Belfast (Good Friday) Agreement by preventing a reduction in EU-derived human rights and equality standards in NI.</w:t>
      </w:r>
      <w:r w:rsidRPr="00C7000D">
        <w:rPr>
          <w:b/>
          <w:bCs/>
        </w:rPr>
        <w:t xml:space="preserve"> </w:t>
      </w:r>
    </w:p>
    <w:p w14:paraId="771A385C" w14:textId="77777777" w:rsidR="00387AEA" w:rsidRPr="00C7000D" w:rsidRDefault="00387AEA" w:rsidP="00BE5D0B">
      <w:pPr>
        <w:ind w:left="720" w:hanging="720"/>
        <w:rPr>
          <w:b/>
          <w:bCs/>
        </w:rPr>
      </w:pPr>
    </w:p>
    <w:p w14:paraId="14D1C6CE" w14:textId="224E0F1B" w:rsidR="00387AEA" w:rsidRPr="00C7000D" w:rsidRDefault="00387AEA" w:rsidP="00BE5D0B">
      <w:pPr>
        <w:ind w:left="720" w:hanging="720"/>
        <w:rPr>
          <w:b/>
          <w:bCs/>
        </w:rPr>
      </w:pPr>
      <w:r w:rsidRPr="00C7000D">
        <w:rPr>
          <w:b/>
          <w:bCs/>
        </w:rPr>
        <w:t>4.</w:t>
      </w:r>
      <w:r w:rsidR="00624326">
        <w:rPr>
          <w:b/>
          <w:bCs/>
        </w:rPr>
        <w:t>39</w:t>
      </w:r>
      <w:r w:rsidRPr="00C7000D">
        <w:rPr>
          <w:b/>
          <w:bCs/>
        </w:rPr>
        <w:tab/>
        <w:t>the Committee explore the ambit of the Rights, Safeguards and Equality of Opportunity chapter of the Belfast (Good Friday) Agreement and how it is understood by the two Governments.</w:t>
      </w:r>
    </w:p>
    <w:p w14:paraId="4EC4919F" w14:textId="77777777" w:rsidR="00387AEA" w:rsidRPr="00C7000D" w:rsidRDefault="00387AEA" w:rsidP="00BE5D0B">
      <w:pPr>
        <w:ind w:left="720" w:hanging="720"/>
        <w:rPr>
          <w:b/>
          <w:bCs/>
        </w:rPr>
      </w:pPr>
      <w:r w:rsidRPr="00C7000D">
        <w:rPr>
          <w:b/>
          <w:bCs/>
        </w:rPr>
        <w:t xml:space="preserve"> </w:t>
      </w:r>
    </w:p>
    <w:p w14:paraId="661350DC" w14:textId="3233BA88" w:rsidR="00387AEA" w:rsidRPr="00C7000D" w:rsidRDefault="00387AEA" w:rsidP="00BE5D0B">
      <w:pPr>
        <w:ind w:left="720" w:hanging="720"/>
        <w:rPr>
          <w:b/>
          <w:bCs/>
        </w:rPr>
      </w:pPr>
      <w:r w:rsidRPr="00C7000D">
        <w:rPr>
          <w:b/>
          <w:bCs/>
        </w:rPr>
        <w:t>4.4</w:t>
      </w:r>
      <w:r w:rsidR="00624326">
        <w:rPr>
          <w:b/>
          <w:bCs/>
        </w:rPr>
        <w:t>0</w:t>
      </w:r>
      <w:r w:rsidRPr="00C7000D">
        <w:rPr>
          <w:b/>
          <w:bCs/>
        </w:rPr>
        <w:tab/>
        <w:t>the Committee explore the risk of inferring from ambiguous references in the Dillon judgment that the Rights, Safeguards and Equality of Opportunity chapter of the Belfast (Good Friday) Agreement should be interpreted in a manner that confines the rights and safeguards to those concerned with ending the communal/ sectarian conflict.</w:t>
      </w:r>
    </w:p>
    <w:p w14:paraId="0E11E86F" w14:textId="77777777" w:rsidR="00387AEA" w:rsidRPr="00C7000D" w:rsidRDefault="00387AEA" w:rsidP="00BE5D0B">
      <w:pPr>
        <w:ind w:left="720" w:hanging="720"/>
        <w:rPr>
          <w:b/>
          <w:bCs/>
        </w:rPr>
      </w:pPr>
    </w:p>
    <w:p w14:paraId="600E9C00" w14:textId="44588CE3" w:rsidR="00387AEA" w:rsidRDefault="00387AEA" w:rsidP="00BE5D0B">
      <w:pPr>
        <w:ind w:left="720" w:hanging="720"/>
        <w:rPr>
          <w:b/>
          <w:bCs/>
        </w:rPr>
      </w:pPr>
      <w:r w:rsidRPr="00C7000D">
        <w:rPr>
          <w:b/>
          <w:bCs/>
        </w:rPr>
        <w:t>4.4</w:t>
      </w:r>
      <w:r w:rsidR="00624326">
        <w:rPr>
          <w:b/>
          <w:bCs/>
        </w:rPr>
        <w:t>1</w:t>
      </w:r>
      <w:r w:rsidRPr="00C7000D">
        <w:rPr>
          <w:b/>
          <w:bCs/>
        </w:rPr>
        <w:tab/>
        <w:t xml:space="preserve">the Committee ask the Secretary of State for NI on what basis, and at what point, the UK Government decided to interpret the rights protected by Windsor Framework Article 2 as confined to those concerned with ending the sectarian conflict. This should include consideration of how this interpretation can be reconciled with, for example: </w:t>
      </w:r>
    </w:p>
    <w:p w14:paraId="77FBA423" w14:textId="77777777" w:rsidR="00A02694" w:rsidRPr="00C7000D" w:rsidRDefault="00A02694" w:rsidP="00BE5D0B">
      <w:pPr>
        <w:ind w:left="720" w:hanging="720"/>
        <w:rPr>
          <w:b/>
          <w:bCs/>
        </w:rPr>
      </w:pPr>
    </w:p>
    <w:p w14:paraId="2B839640" w14:textId="69AACA87" w:rsidR="00387AEA" w:rsidRPr="00A02694" w:rsidRDefault="00A02694" w:rsidP="00BE5D0B">
      <w:pPr>
        <w:rPr>
          <w:b/>
          <w:bCs/>
        </w:rPr>
      </w:pPr>
      <w:r>
        <w:rPr>
          <w:b/>
          <w:bCs/>
        </w:rPr>
        <w:tab/>
        <w:t xml:space="preserve">  • </w:t>
      </w:r>
      <w:r>
        <w:rPr>
          <w:b/>
          <w:bCs/>
        </w:rPr>
        <w:tab/>
      </w:r>
      <w:r w:rsidR="00387AEA" w:rsidRPr="00A02694">
        <w:rPr>
          <w:b/>
          <w:bCs/>
        </w:rPr>
        <w:t xml:space="preserve">the commitment to a “new beginning” the Declaration </w:t>
      </w:r>
      <w:r>
        <w:rPr>
          <w:b/>
          <w:bCs/>
        </w:rPr>
        <w:tab/>
      </w:r>
      <w:r>
        <w:rPr>
          <w:b/>
          <w:bCs/>
        </w:rPr>
        <w:tab/>
      </w:r>
      <w:r w:rsidR="00387AEA" w:rsidRPr="00A02694">
        <w:rPr>
          <w:b/>
          <w:bCs/>
        </w:rPr>
        <w:t>of Support to the Belfast (Good Friday) Agreement;</w:t>
      </w:r>
    </w:p>
    <w:p w14:paraId="7227DE74" w14:textId="5EA1363E" w:rsidR="00387AEA" w:rsidRPr="00A02694" w:rsidRDefault="00A02694" w:rsidP="00BE5D0B">
      <w:pPr>
        <w:rPr>
          <w:b/>
          <w:bCs/>
        </w:rPr>
      </w:pPr>
      <w:r>
        <w:rPr>
          <w:b/>
          <w:bCs/>
        </w:rPr>
        <w:lastRenderedPageBreak/>
        <w:tab/>
        <w:t xml:space="preserve">  • </w:t>
      </w:r>
      <w:r>
        <w:rPr>
          <w:b/>
          <w:bCs/>
        </w:rPr>
        <w:tab/>
      </w:r>
      <w:r w:rsidR="00387AEA" w:rsidRPr="00A02694">
        <w:rPr>
          <w:b/>
          <w:bCs/>
        </w:rPr>
        <w:t xml:space="preserve">the commitment to the rights of “everyone in the </w:t>
      </w:r>
      <w:r>
        <w:rPr>
          <w:b/>
          <w:bCs/>
        </w:rPr>
        <w:tab/>
      </w:r>
      <w:r>
        <w:rPr>
          <w:b/>
          <w:bCs/>
        </w:rPr>
        <w:tab/>
      </w:r>
      <w:r>
        <w:rPr>
          <w:b/>
          <w:bCs/>
        </w:rPr>
        <w:tab/>
      </w:r>
      <w:r w:rsidR="00387AEA" w:rsidRPr="00A02694">
        <w:rPr>
          <w:b/>
          <w:bCs/>
        </w:rPr>
        <w:t xml:space="preserve">community” in the Rights, Safeguards and Equality of </w:t>
      </w:r>
      <w:r>
        <w:rPr>
          <w:b/>
          <w:bCs/>
        </w:rPr>
        <w:tab/>
      </w:r>
      <w:r>
        <w:rPr>
          <w:b/>
          <w:bCs/>
        </w:rPr>
        <w:tab/>
      </w:r>
      <w:r w:rsidR="00387AEA" w:rsidRPr="00A02694">
        <w:rPr>
          <w:b/>
          <w:bCs/>
        </w:rPr>
        <w:t>Opportunity chapter of that Agreement;</w:t>
      </w:r>
    </w:p>
    <w:p w14:paraId="7E8DF3BC" w14:textId="22B3967E" w:rsidR="00387AEA" w:rsidRPr="00A02694" w:rsidRDefault="00A02694" w:rsidP="00BE5D0B">
      <w:pPr>
        <w:rPr>
          <w:b/>
          <w:bCs/>
        </w:rPr>
      </w:pPr>
      <w:r>
        <w:rPr>
          <w:b/>
          <w:bCs/>
        </w:rPr>
        <w:tab/>
        <w:t xml:space="preserve">  • </w:t>
      </w:r>
      <w:r>
        <w:rPr>
          <w:b/>
          <w:bCs/>
        </w:rPr>
        <w:tab/>
      </w:r>
      <w:r w:rsidR="00387AEA" w:rsidRPr="00A02694">
        <w:rPr>
          <w:b/>
          <w:bCs/>
        </w:rPr>
        <w:t xml:space="preserve">the rights ‘affirmed in particular’ in that chapter, such </w:t>
      </w:r>
      <w:r>
        <w:rPr>
          <w:b/>
          <w:bCs/>
        </w:rPr>
        <w:tab/>
      </w:r>
      <w:r>
        <w:rPr>
          <w:b/>
          <w:bCs/>
        </w:rPr>
        <w:tab/>
      </w:r>
      <w:r w:rsidR="00387AEA" w:rsidRPr="00A02694">
        <w:rPr>
          <w:b/>
          <w:bCs/>
        </w:rPr>
        <w:t xml:space="preserve">as the right to equal opportunity regardless of </w:t>
      </w:r>
      <w:r>
        <w:rPr>
          <w:b/>
          <w:bCs/>
        </w:rPr>
        <w:tab/>
      </w:r>
      <w:r>
        <w:rPr>
          <w:b/>
          <w:bCs/>
        </w:rPr>
        <w:tab/>
      </w:r>
      <w:r>
        <w:rPr>
          <w:b/>
          <w:bCs/>
        </w:rPr>
        <w:tab/>
      </w:r>
      <w:r>
        <w:rPr>
          <w:b/>
          <w:bCs/>
        </w:rPr>
        <w:tab/>
      </w:r>
      <w:r w:rsidR="00387AEA" w:rsidRPr="00A02694">
        <w:rPr>
          <w:b/>
          <w:bCs/>
        </w:rPr>
        <w:t xml:space="preserve">disability; </w:t>
      </w:r>
    </w:p>
    <w:p w14:paraId="26CC6D35" w14:textId="01B1F293" w:rsidR="00387AEA" w:rsidRPr="00A02694" w:rsidRDefault="00A02694" w:rsidP="00BE5D0B">
      <w:pPr>
        <w:rPr>
          <w:b/>
          <w:bCs/>
        </w:rPr>
      </w:pPr>
      <w:r>
        <w:rPr>
          <w:b/>
          <w:bCs/>
        </w:rPr>
        <w:tab/>
        <w:t xml:space="preserve">  • </w:t>
      </w:r>
      <w:r>
        <w:rPr>
          <w:b/>
          <w:bCs/>
        </w:rPr>
        <w:tab/>
      </w:r>
      <w:r w:rsidR="00387AEA" w:rsidRPr="00A02694">
        <w:rPr>
          <w:b/>
          <w:bCs/>
        </w:rPr>
        <w:t xml:space="preserve">universality of rights and the living instrument </w:t>
      </w:r>
      <w:r>
        <w:rPr>
          <w:b/>
          <w:bCs/>
        </w:rPr>
        <w:tab/>
      </w:r>
      <w:r>
        <w:rPr>
          <w:b/>
          <w:bCs/>
        </w:rPr>
        <w:tab/>
      </w:r>
      <w:r>
        <w:rPr>
          <w:b/>
          <w:bCs/>
        </w:rPr>
        <w:tab/>
      </w:r>
      <w:r>
        <w:rPr>
          <w:b/>
          <w:bCs/>
        </w:rPr>
        <w:tab/>
      </w:r>
      <w:r w:rsidR="00387AEA" w:rsidRPr="00A02694">
        <w:rPr>
          <w:b/>
          <w:bCs/>
        </w:rPr>
        <w:t>doctrine; and</w:t>
      </w:r>
    </w:p>
    <w:p w14:paraId="0B86521D" w14:textId="6FB72206" w:rsidR="00387AEA" w:rsidRPr="00A02694" w:rsidRDefault="00A02694" w:rsidP="00BE5D0B">
      <w:pPr>
        <w:rPr>
          <w:b/>
          <w:bCs/>
        </w:rPr>
      </w:pPr>
      <w:r>
        <w:rPr>
          <w:b/>
          <w:bCs/>
        </w:rPr>
        <w:tab/>
        <w:t xml:space="preserve">  • </w:t>
      </w:r>
      <w:r>
        <w:rPr>
          <w:b/>
          <w:bCs/>
        </w:rPr>
        <w:tab/>
      </w:r>
      <w:r w:rsidR="00387AEA" w:rsidRPr="00A02694">
        <w:rPr>
          <w:b/>
          <w:bCs/>
        </w:rPr>
        <w:t xml:space="preserve">the EU interpretive obligations arising in relation to </w:t>
      </w:r>
      <w:r>
        <w:rPr>
          <w:b/>
          <w:bCs/>
        </w:rPr>
        <w:tab/>
      </w:r>
      <w:r>
        <w:rPr>
          <w:b/>
          <w:bCs/>
        </w:rPr>
        <w:tab/>
      </w:r>
      <w:r>
        <w:rPr>
          <w:b/>
          <w:bCs/>
        </w:rPr>
        <w:tab/>
      </w:r>
      <w:r w:rsidR="00387AEA" w:rsidRPr="00A02694">
        <w:rPr>
          <w:b/>
          <w:bCs/>
        </w:rPr>
        <w:t xml:space="preserve">Windsor Framework Article 2 and the EU equality </w:t>
      </w:r>
      <w:r>
        <w:rPr>
          <w:b/>
          <w:bCs/>
        </w:rPr>
        <w:tab/>
      </w:r>
      <w:r>
        <w:rPr>
          <w:b/>
          <w:bCs/>
        </w:rPr>
        <w:tab/>
      </w:r>
      <w:r>
        <w:rPr>
          <w:b/>
          <w:bCs/>
        </w:rPr>
        <w:tab/>
      </w:r>
      <w:r w:rsidR="00387AEA" w:rsidRPr="00A02694">
        <w:rPr>
          <w:b/>
          <w:bCs/>
        </w:rPr>
        <w:t>directives in Annex 1.</w:t>
      </w:r>
    </w:p>
    <w:p w14:paraId="3B08DD6E" w14:textId="77777777" w:rsidR="00387AEA" w:rsidRPr="00C7000D" w:rsidRDefault="00387AEA" w:rsidP="00BE5D0B">
      <w:pPr>
        <w:ind w:left="720" w:hanging="720"/>
        <w:rPr>
          <w:b/>
          <w:bCs/>
        </w:rPr>
      </w:pPr>
    </w:p>
    <w:p w14:paraId="5E2395F5" w14:textId="6F287AA8" w:rsidR="00387AEA" w:rsidRPr="00C7000D" w:rsidRDefault="00387AEA" w:rsidP="00BE5D0B">
      <w:pPr>
        <w:ind w:left="720" w:hanging="720"/>
        <w:rPr>
          <w:b/>
          <w:bCs/>
        </w:rPr>
      </w:pPr>
      <w:r w:rsidRPr="00C7000D">
        <w:rPr>
          <w:b/>
          <w:bCs/>
        </w:rPr>
        <w:t>4.4</w:t>
      </w:r>
      <w:r w:rsidR="00624326">
        <w:rPr>
          <w:b/>
          <w:bCs/>
        </w:rPr>
        <w:t>2</w:t>
      </w:r>
      <w:r w:rsidRPr="00C7000D">
        <w:rPr>
          <w:b/>
          <w:bCs/>
        </w:rPr>
        <w:tab/>
        <w:t xml:space="preserve">the Committee ask the Secretary of State for NI when the UK Government discussed, and what it agreed, with its co-guarantor of the Belfast (Good Friday) Agreement, the Government of Ireland, on the scope and interpretation the Rights, Safeguards and Equality of Opportunity chapter. </w:t>
      </w:r>
    </w:p>
    <w:p w14:paraId="163CBF68" w14:textId="77777777" w:rsidR="00387AEA" w:rsidRPr="00C7000D" w:rsidRDefault="00387AEA" w:rsidP="00BE5D0B">
      <w:pPr>
        <w:ind w:left="720" w:hanging="720"/>
        <w:rPr>
          <w:b/>
          <w:bCs/>
        </w:rPr>
      </w:pPr>
    </w:p>
    <w:p w14:paraId="3387C5BC" w14:textId="511A36F1" w:rsidR="00387AEA" w:rsidRPr="00C7000D" w:rsidRDefault="00387AEA" w:rsidP="00BE5D0B">
      <w:pPr>
        <w:ind w:left="720" w:hanging="720"/>
        <w:rPr>
          <w:b/>
          <w:bCs/>
        </w:rPr>
      </w:pPr>
      <w:r w:rsidRPr="00C7000D">
        <w:rPr>
          <w:b/>
          <w:bCs/>
        </w:rPr>
        <w:t>4.4</w:t>
      </w:r>
      <w:r w:rsidR="00624326">
        <w:rPr>
          <w:b/>
          <w:bCs/>
        </w:rPr>
        <w:t>3</w:t>
      </w:r>
      <w:r w:rsidRPr="00C7000D">
        <w:rPr>
          <w:b/>
          <w:bCs/>
        </w:rPr>
        <w:tab/>
        <w:t xml:space="preserve">the Committee ask the Secretary of State for NI when the UK Government discussed, and what it agreed, with its EU treaty partner on the scope and interpretation of Windsor Framework Article 2, including the UK Government view that the rights protected by Article 2 are confined to those concerned with ending the sectarian conflict in NI. </w:t>
      </w:r>
    </w:p>
    <w:p w14:paraId="7AB985AD" w14:textId="77777777" w:rsidR="00387AEA" w:rsidRPr="00C7000D" w:rsidRDefault="00387AEA" w:rsidP="00BE5D0B">
      <w:pPr>
        <w:ind w:left="720" w:hanging="720"/>
        <w:rPr>
          <w:b/>
          <w:bCs/>
        </w:rPr>
      </w:pPr>
    </w:p>
    <w:p w14:paraId="3A4A2985" w14:textId="10FF3AA4" w:rsidR="00387AEA" w:rsidRPr="00C7000D" w:rsidRDefault="00387AEA" w:rsidP="00BE5D0B">
      <w:pPr>
        <w:ind w:left="720" w:hanging="720"/>
        <w:rPr>
          <w:b/>
          <w:bCs/>
        </w:rPr>
      </w:pPr>
      <w:r w:rsidRPr="00C7000D">
        <w:rPr>
          <w:b/>
          <w:bCs/>
        </w:rPr>
        <w:t>4.4</w:t>
      </w:r>
      <w:r w:rsidR="00624326">
        <w:rPr>
          <w:b/>
          <w:bCs/>
        </w:rPr>
        <w:t>4</w:t>
      </w:r>
      <w:r w:rsidRPr="00C7000D">
        <w:rPr>
          <w:b/>
          <w:bCs/>
        </w:rPr>
        <w:tab/>
        <w:t>the Committee note that even if the Rights Safeguards and Equality of Opportunity chapter of the Belfast (Good Friday) Agreement is understood as a broad-based endorsement of the full range of UK human rights and equality commitments, Windsor Framework Article 2 is necessarily constrained by the limited range of EU law which affects human rights and equality and applies only to those measures which were binding on the UK before Brexit.</w:t>
      </w:r>
    </w:p>
    <w:p w14:paraId="4A27ADE8" w14:textId="77777777" w:rsidR="00387AEA" w:rsidRPr="00C7000D" w:rsidRDefault="00387AEA" w:rsidP="00BE5D0B">
      <w:pPr>
        <w:ind w:left="720" w:hanging="720"/>
        <w:rPr>
          <w:b/>
          <w:bCs/>
        </w:rPr>
      </w:pPr>
    </w:p>
    <w:p w14:paraId="6F4767E8" w14:textId="1020144F" w:rsidR="00387AEA" w:rsidRPr="00C7000D" w:rsidRDefault="00387AEA" w:rsidP="00BE5D0B">
      <w:pPr>
        <w:ind w:left="720" w:hanging="720"/>
        <w:rPr>
          <w:b/>
          <w:bCs/>
        </w:rPr>
      </w:pPr>
      <w:r w:rsidRPr="00C7000D">
        <w:rPr>
          <w:b/>
          <w:bCs/>
        </w:rPr>
        <w:t>4.4</w:t>
      </w:r>
      <w:r w:rsidR="00624326">
        <w:rPr>
          <w:b/>
          <w:bCs/>
        </w:rPr>
        <w:t>5</w:t>
      </w:r>
      <w:r w:rsidRPr="00C7000D">
        <w:rPr>
          <w:b/>
          <w:bCs/>
        </w:rPr>
        <w:tab/>
        <w:t xml:space="preserve">the Committee explore the origin, development and status of the Explainer document on Windsor Framework Article 2, published by the UK Government in 2020; enquire what engagement the UK Government undertook in developing the document, particularly with the EU and the Government of </w:t>
      </w:r>
      <w:r w:rsidRPr="00C7000D">
        <w:rPr>
          <w:b/>
          <w:bCs/>
        </w:rPr>
        <w:lastRenderedPageBreak/>
        <w:t>Ireland; and explain its rationale for withdrawing it and what, if any, engagement it undertook prior to doing so.</w:t>
      </w:r>
    </w:p>
    <w:p w14:paraId="216A2C30" w14:textId="77777777" w:rsidR="00387AEA" w:rsidRPr="00C7000D" w:rsidRDefault="00387AEA" w:rsidP="00BE5D0B">
      <w:pPr>
        <w:ind w:left="720" w:hanging="720"/>
        <w:rPr>
          <w:b/>
          <w:bCs/>
        </w:rPr>
      </w:pPr>
    </w:p>
    <w:p w14:paraId="012DFF7D" w14:textId="6379407B" w:rsidR="00387AEA" w:rsidRPr="00C7000D" w:rsidRDefault="00387AEA" w:rsidP="00BE5D0B">
      <w:pPr>
        <w:ind w:left="720" w:hanging="720"/>
        <w:rPr>
          <w:b/>
          <w:bCs/>
        </w:rPr>
      </w:pPr>
      <w:r w:rsidRPr="00C7000D">
        <w:rPr>
          <w:b/>
          <w:bCs/>
        </w:rPr>
        <w:t>4.6</w:t>
      </w:r>
      <w:r w:rsidR="00624326">
        <w:rPr>
          <w:b/>
          <w:bCs/>
        </w:rPr>
        <w:t>4</w:t>
      </w:r>
      <w:r w:rsidRPr="00C7000D">
        <w:rPr>
          <w:b/>
          <w:bCs/>
        </w:rPr>
        <w:tab/>
      </w:r>
      <w:r w:rsidRPr="003717A3">
        <w:rPr>
          <w:b/>
          <w:bCs/>
        </w:rPr>
        <w:t>the Committee consider and affirm the importance and value to the public of human rights and equality protections provided in Windsor Framework Article 2.</w:t>
      </w:r>
    </w:p>
    <w:p w14:paraId="5CAF0DEA" w14:textId="77777777" w:rsidR="00387AEA" w:rsidRPr="00C7000D" w:rsidRDefault="00387AEA" w:rsidP="00BE5D0B">
      <w:pPr>
        <w:ind w:left="720" w:hanging="720"/>
        <w:rPr>
          <w:b/>
          <w:bCs/>
        </w:rPr>
      </w:pPr>
    </w:p>
    <w:p w14:paraId="42B5A9FE" w14:textId="68D57F87" w:rsidR="00387AEA" w:rsidRPr="00C7000D" w:rsidRDefault="00387AEA" w:rsidP="00BE5D0B">
      <w:pPr>
        <w:ind w:left="720" w:hanging="720"/>
        <w:rPr>
          <w:b/>
          <w:bCs/>
        </w:rPr>
      </w:pPr>
      <w:r w:rsidRPr="00C7000D">
        <w:rPr>
          <w:b/>
          <w:bCs/>
        </w:rPr>
        <w:t>4.6</w:t>
      </w:r>
      <w:r w:rsidR="00624326">
        <w:rPr>
          <w:b/>
          <w:bCs/>
        </w:rPr>
        <w:t>5</w:t>
      </w:r>
      <w:r w:rsidRPr="00C7000D">
        <w:rPr>
          <w:b/>
          <w:bCs/>
        </w:rPr>
        <w:tab/>
        <w:t>the Committee explore with the UK Government the methods by which ambiguities and gaps in the Dillon judgment may be addressed to put Windsor Framework Article 2 on a clear and firm footing, consistent with the expectations of its treaty partner and stakeholders and thereby reduce the risk of litigation and international dispute. Diplomatic options include seeking agreement with the EU on a Decision by the UK-EU Joint Committee on the scope and direct effect of Windsor Framework Article 2 or a joint version of the Explainer document, either of which would automatically be incorporated into UK domestic law by virtue of section 7A, EU (Withdrawal) Act 2018.</w:t>
      </w:r>
    </w:p>
    <w:p w14:paraId="20961E81" w14:textId="77777777" w:rsidR="00387AEA" w:rsidRPr="00C7000D" w:rsidRDefault="00387AEA" w:rsidP="00BE5D0B">
      <w:pPr>
        <w:ind w:left="720" w:hanging="720"/>
        <w:rPr>
          <w:b/>
          <w:bCs/>
        </w:rPr>
      </w:pPr>
    </w:p>
    <w:p w14:paraId="3A1CF0BD" w14:textId="44D58040" w:rsidR="00387AEA" w:rsidRPr="00C7000D" w:rsidRDefault="00387AEA" w:rsidP="00BE5D0B">
      <w:pPr>
        <w:ind w:left="720" w:hanging="720"/>
        <w:rPr>
          <w:b/>
          <w:bCs/>
        </w:rPr>
      </w:pPr>
      <w:r w:rsidRPr="00C7000D">
        <w:rPr>
          <w:b/>
          <w:bCs/>
        </w:rPr>
        <w:t>5.</w:t>
      </w:r>
      <w:r w:rsidR="00624326">
        <w:rPr>
          <w:b/>
          <w:bCs/>
        </w:rPr>
        <w:t>19</w:t>
      </w:r>
      <w:r w:rsidRPr="00C7000D">
        <w:rPr>
          <w:b/>
          <w:bCs/>
        </w:rPr>
        <w:tab/>
        <w:t>the NI Executive roll out effective training on Windsor Framework Article 2 to all relevant officials and act promptly to ensure guidance on policy and legislative development is updated to include advice on detailed consideration of Windsor Framework Article 2.</w:t>
      </w:r>
    </w:p>
    <w:p w14:paraId="034C4D25" w14:textId="77777777" w:rsidR="00387AEA" w:rsidRPr="00C7000D" w:rsidRDefault="00387AEA" w:rsidP="00BE5D0B">
      <w:pPr>
        <w:ind w:left="720" w:hanging="720"/>
        <w:rPr>
          <w:b/>
          <w:bCs/>
        </w:rPr>
      </w:pPr>
    </w:p>
    <w:p w14:paraId="213826B0" w14:textId="31037FCC" w:rsidR="00387AEA" w:rsidRPr="00C7000D" w:rsidRDefault="00387AEA" w:rsidP="00BE5D0B">
      <w:pPr>
        <w:ind w:left="720" w:hanging="720"/>
        <w:rPr>
          <w:b/>
          <w:bCs/>
        </w:rPr>
      </w:pPr>
      <w:r w:rsidRPr="00C7000D">
        <w:rPr>
          <w:b/>
          <w:bCs/>
        </w:rPr>
        <w:t>5.2</w:t>
      </w:r>
      <w:r w:rsidR="00624326">
        <w:rPr>
          <w:b/>
          <w:bCs/>
        </w:rPr>
        <w:t>0</w:t>
      </w:r>
      <w:r w:rsidRPr="00C7000D">
        <w:rPr>
          <w:b/>
          <w:bCs/>
        </w:rPr>
        <w:tab/>
        <w:t>the NI Executive ensure that Explanatory Memoranda and impact assessments set out detailed consideration of compliance with Windsor Framework Article 2. This should include reviewing all provisions of EU law engaged under Windsor Framework Article 2 relevant to the legislation or policy being assessed, including EU law which underpins relevant ECHR rights.</w:t>
      </w:r>
    </w:p>
    <w:p w14:paraId="0230E1CB" w14:textId="77777777" w:rsidR="00387AEA" w:rsidRPr="00C7000D" w:rsidRDefault="00387AEA" w:rsidP="00BE5D0B">
      <w:pPr>
        <w:ind w:left="720" w:hanging="720"/>
        <w:rPr>
          <w:b/>
          <w:bCs/>
        </w:rPr>
      </w:pPr>
    </w:p>
    <w:p w14:paraId="2852E78A" w14:textId="3D916F7E" w:rsidR="00387AEA" w:rsidRPr="00C7000D" w:rsidRDefault="00387AEA" w:rsidP="00BE5D0B">
      <w:pPr>
        <w:ind w:left="720" w:hanging="720"/>
        <w:rPr>
          <w:b/>
          <w:bCs/>
        </w:rPr>
      </w:pPr>
      <w:r w:rsidRPr="00C7000D">
        <w:rPr>
          <w:b/>
          <w:bCs/>
        </w:rPr>
        <w:t>5.2</w:t>
      </w:r>
      <w:r w:rsidR="00624326">
        <w:rPr>
          <w:b/>
          <w:bCs/>
        </w:rPr>
        <w:t>1</w:t>
      </w:r>
      <w:r w:rsidRPr="00C7000D">
        <w:rPr>
          <w:b/>
          <w:bCs/>
        </w:rPr>
        <w:tab/>
        <w:t xml:space="preserve">to facilitate compliance with the dynamic alignment obligation pursuant to Articles 2 and 13 of the Windsor Framework, the Executive Office, the Department for Communities and other relevant departments, publish an annual report monitoring any proposed changes by the EU to </w:t>
      </w:r>
      <w:r w:rsidRPr="00C7000D">
        <w:rPr>
          <w:b/>
          <w:bCs/>
        </w:rPr>
        <w:lastRenderedPageBreak/>
        <w:t>the EU equality directives listed in Annex 1 and relevant CJEU case law.</w:t>
      </w:r>
    </w:p>
    <w:p w14:paraId="2289171F" w14:textId="77777777" w:rsidR="00387AEA" w:rsidRPr="00C7000D" w:rsidRDefault="00387AEA" w:rsidP="00BE5D0B">
      <w:pPr>
        <w:ind w:left="720" w:hanging="720"/>
        <w:rPr>
          <w:b/>
          <w:bCs/>
        </w:rPr>
      </w:pPr>
    </w:p>
    <w:p w14:paraId="0048D7A2" w14:textId="36CD2DFD" w:rsidR="00387AEA" w:rsidRPr="00C7000D" w:rsidRDefault="00387AEA" w:rsidP="00BE5D0B">
      <w:pPr>
        <w:ind w:left="720" w:hanging="720"/>
        <w:rPr>
          <w:b/>
          <w:bCs/>
        </w:rPr>
      </w:pPr>
      <w:r w:rsidRPr="00C7000D">
        <w:rPr>
          <w:b/>
          <w:bCs/>
        </w:rPr>
        <w:t>6.</w:t>
      </w:r>
      <w:r w:rsidR="00624326">
        <w:rPr>
          <w:b/>
          <w:bCs/>
        </w:rPr>
        <w:t>8</w:t>
      </w:r>
      <w:r w:rsidRPr="00C7000D">
        <w:rPr>
          <w:b/>
          <w:bCs/>
        </w:rPr>
        <w:tab/>
        <w:t>the Explanatory Notes to legislation applying to NI address Windsor Framework Article 2, in line with Cabinet Office guidance.</w:t>
      </w:r>
    </w:p>
    <w:p w14:paraId="05850D64" w14:textId="77777777" w:rsidR="00387AEA" w:rsidRPr="00C7000D" w:rsidRDefault="00387AEA" w:rsidP="00BE5D0B">
      <w:pPr>
        <w:ind w:left="720" w:hanging="720"/>
        <w:rPr>
          <w:b/>
          <w:bCs/>
        </w:rPr>
      </w:pPr>
    </w:p>
    <w:p w14:paraId="5C5F56E5" w14:textId="6367F1C4" w:rsidR="00387AEA" w:rsidRPr="00C7000D" w:rsidRDefault="00387AEA" w:rsidP="00BE5D0B">
      <w:pPr>
        <w:ind w:left="720" w:hanging="720"/>
        <w:rPr>
          <w:b/>
          <w:bCs/>
        </w:rPr>
      </w:pPr>
      <w:r w:rsidRPr="00C7000D">
        <w:rPr>
          <w:b/>
          <w:bCs/>
        </w:rPr>
        <w:t>6.</w:t>
      </w:r>
      <w:r w:rsidR="00624326">
        <w:rPr>
          <w:b/>
          <w:bCs/>
        </w:rPr>
        <w:t>9</w:t>
      </w:r>
      <w:r w:rsidRPr="00C7000D">
        <w:rPr>
          <w:b/>
          <w:bCs/>
        </w:rPr>
        <w:tab/>
        <w:t>the Human Rights Memorand</w:t>
      </w:r>
      <w:r w:rsidR="000548B9">
        <w:rPr>
          <w:b/>
          <w:bCs/>
        </w:rPr>
        <w:t>a</w:t>
      </w:r>
      <w:r w:rsidRPr="00C7000D">
        <w:rPr>
          <w:b/>
          <w:bCs/>
        </w:rPr>
        <w:t xml:space="preserve"> to Bills which apply to NI be expanded to include detailed consideration of compliance of the Bill with Windsor Framework Article 2, including relevant EU minimum standards.  This should include reviewing all provisions of relevant EU law engaged under Windsor Framework Article 2, including EU law which underpins relevant ECHR rights.</w:t>
      </w:r>
    </w:p>
    <w:p w14:paraId="133A6DFA" w14:textId="77777777" w:rsidR="00387AEA" w:rsidRPr="00C7000D" w:rsidRDefault="00387AEA" w:rsidP="00BE5D0B">
      <w:pPr>
        <w:ind w:left="720" w:hanging="720"/>
        <w:rPr>
          <w:b/>
          <w:bCs/>
        </w:rPr>
      </w:pPr>
    </w:p>
    <w:p w14:paraId="4399D042" w14:textId="1D03616F" w:rsidR="00387AEA" w:rsidRPr="00C7000D" w:rsidRDefault="00387AEA" w:rsidP="00BE5D0B">
      <w:pPr>
        <w:ind w:left="720" w:hanging="720"/>
        <w:rPr>
          <w:b/>
          <w:bCs/>
        </w:rPr>
      </w:pPr>
      <w:r w:rsidRPr="00C7000D">
        <w:rPr>
          <w:b/>
          <w:bCs/>
        </w:rPr>
        <w:t>6.1</w:t>
      </w:r>
      <w:r w:rsidR="00624326">
        <w:rPr>
          <w:b/>
          <w:bCs/>
        </w:rPr>
        <w:t>1</w:t>
      </w:r>
      <w:r w:rsidRPr="00C7000D">
        <w:rPr>
          <w:b/>
          <w:bCs/>
        </w:rPr>
        <w:tab/>
        <w:t>the Committee urges the UK Government to undertake and publish early and detailed technical analysis of proposed EU law developments, including those of relevance to Windsor Framework Article 2, to facilitate effective parliamentary scrutiny of those developments.</w:t>
      </w:r>
    </w:p>
    <w:p w14:paraId="7ED755E8" w14:textId="77777777" w:rsidR="00387AEA" w:rsidRPr="00C7000D" w:rsidRDefault="00387AEA" w:rsidP="00BE5D0B">
      <w:pPr>
        <w:ind w:left="720" w:hanging="720"/>
        <w:rPr>
          <w:b/>
          <w:bCs/>
        </w:rPr>
      </w:pPr>
    </w:p>
    <w:p w14:paraId="26078EA2" w14:textId="78A9669E" w:rsidR="00387AEA" w:rsidRPr="00C7000D" w:rsidRDefault="00387AEA" w:rsidP="00BE5D0B">
      <w:pPr>
        <w:ind w:left="720" w:hanging="720"/>
        <w:rPr>
          <w:b/>
          <w:bCs/>
        </w:rPr>
      </w:pPr>
      <w:r w:rsidRPr="00C7000D">
        <w:rPr>
          <w:b/>
          <w:bCs/>
        </w:rPr>
        <w:t>6.1</w:t>
      </w:r>
      <w:r w:rsidR="00624326">
        <w:rPr>
          <w:b/>
          <w:bCs/>
        </w:rPr>
        <w:t>2</w:t>
      </w:r>
      <w:r w:rsidRPr="00C7000D">
        <w:rPr>
          <w:b/>
          <w:bCs/>
        </w:rPr>
        <w:tab/>
        <w:t>the Committee consider whether there is early, detailed and effective scrutiny of proposed EU law developments relevant to the dynamic alignment obligations, including under Windsor Framework Article 2, within the UK parliamentary committee structure.</w:t>
      </w:r>
    </w:p>
    <w:p w14:paraId="58A79E52" w14:textId="77777777" w:rsidR="00387AEA" w:rsidRPr="00C7000D" w:rsidRDefault="00387AEA" w:rsidP="00BE5D0B">
      <w:pPr>
        <w:ind w:left="720" w:hanging="720"/>
        <w:rPr>
          <w:b/>
          <w:bCs/>
        </w:rPr>
      </w:pPr>
    </w:p>
    <w:p w14:paraId="31719CF6" w14:textId="1177F8F6" w:rsidR="00387AEA" w:rsidRPr="00C7000D" w:rsidRDefault="00387AEA" w:rsidP="00BE5D0B">
      <w:pPr>
        <w:ind w:left="720" w:hanging="720"/>
        <w:rPr>
          <w:b/>
          <w:bCs/>
        </w:rPr>
      </w:pPr>
      <w:r w:rsidRPr="00C7000D">
        <w:rPr>
          <w:b/>
          <w:bCs/>
        </w:rPr>
        <w:t>6.1</w:t>
      </w:r>
      <w:r w:rsidR="00624326">
        <w:rPr>
          <w:b/>
          <w:bCs/>
        </w:rPr>
        <w:t>6</w:t>
      </w:r>
      <w:r w:rsidRPr="00C7000D">
        <w:rPr>
          <w:b/>
          <w:bCs/>
        </w:rPr>
        <w:tab/>
      </w:r>
      <w:r w:rsidR="00C7000D" w:rsidRPr="00C7000D">
        <w:rPr>
          <w:b/>
          <w:bCs/>
        </w:rPr>
        <w:t>t</w:t>
      </w:r>
      <w:r w:rsidRPr="00C7000D">
        <w:rPr>
          <w:b/>
          <w:bCs/>
        </w:rPr>
        <w:t>o ensure effective embedding of Windsor Framework Article 2 in policy and processes</w:t>
      </w:r>
      <w:r w:rsidR="00C7000D" w:rsidRPr="00C7000D">
        <w:rPr>
          <w:b/>
          <w:bCs/>
        </w:rPr>
        <w:t>,</w:t>
      </w:r>
      <w:r w:rsidRPr="00C7000D">
        <w:rPr>
          <w:b/>
          <w:bCs/>
        </w:rPr>
        <w:t xml:space="preserve"> UK </w:t>
      </w:r>
      <w:r w:rsidR="00BE5D0B" w:rsidRPr="00C7000D">
        <w:rPr>
          <w:b/>
          <w:bCs/>
        </w:rPr>
        <w:t xml:space="preserve">Government </w:t>
      </w:r>
      <w:r w:rsidR="009763D1">
        <w:rPr>
          <w:b/>
          <w:bCs/>
        </w:rPr>
        <w:t>departments</w:t>
      </w:r>
      <w:r w:rsidRPr="00C7000D">
        <w:rPr>
          <w:b/>
          <w:bCs/>
        </w:rPr>
        <w:t xml:space="preserve"> roll out effective training on Article 2 to all relevant officials. </w:t>
      </w:r>
    </w:p>
    <w:p w14:paraId="7267090E" w14:textId="77777777" w:rsidR="00387AEA" w:rsidRDefault="00387AEA" w:rsidP="00387AEA">
      <w:pPr>
        <w:spacing w:line="240" w:lineRule="auto"/>
        <w:ind w:left="720" w:hanging="720"/>
      </w:pPr>
    </w:p>
    <w:p w14:paraId="4144BF49" w14:textId="77777777" w:rsidR="00042474" w:rsidRDefault="00042474" w:rsidP="009E1287">
      <w:pPr>
        <w:spacing w:line="240" w:lineRule="auto"/>
        <w:sectPr w:rsidR="00042474" w:rsidSect="00042474">
          <w:pgSz w:w="11906" w:h="16838"/>
          <w:pgMar w:top="1440" w:right="1440" w:bottom="1440" w:left="1440" w:header="708" w:footer="708" w:gutter="0"/>
          <w:pgBorders>
            <w:top w:val="single" w:sz="8" w:space="4" w:color="auto"/>
            <w:left w:val="single" w:sz="8" w:space="4" w:color="auto"/>
            <w:bottom w:val="single" w:sz="8" w:space="4" w:color="auto"/>
            <w:right w:val="single" w:sz="8" w:space="4" w:color="auto"/>
          </w:pgBorders>
          <w:cols w:space="708"/>
          <w:titlePg/>
          <w:docGrid w:linePitch="360"/>
        </w:sectPr>
      </w:pPr>
    </w:p>
    <w:p w14:paraId="3A334666" w14:textId="77777777" w:rsidR="00FE169D" w:rsidRDefault="00015718" w:rsidP="00780895">
      <w:pPr>
        <w:pStyle w:val="Heading1"/>
        <w:keepLines w:val="0"/>
        <w:numPr>
          <w:ilvl w:val="0"/>
          <w:numId w:val="9"/>
        </w:numPr>
      </w:pPr>
      <w:bookmarkStart w:id="4" w:name="_Toc235087532"/>
      <w:r w:rsidRPr="00387C3F">
        <w:lastRenderedPageBreak/>
        <w:t>Introduction</w:t>
      </w:r>
      <w:bookmarkEnd w:id="4"/>
    </w:p>
    <w:p w14:paraId="5C2095C3" w14:textId="32649EB1" w:rsidR="001560F2" w:rsidRDefault="001560F2" w:rsidP="009E1287">
      <w:pPr>
        <w:pStyle w:val="ListParagraph"/>
        <w:widowControl/>
        <w:numPr>
          <w:ilvl w:val="1"/>
          <w:numId w:val="9"/>
        </w:numPr>
        <w:ind w:left="720"/>
      </w:pPr>
      <w:r w:rsidRPr="001560F2">
        <w:t xml:space="preserve">The Northern Ireland Human Rights Commission (NIHRC), pursuant </w:t>
      </w:r>
      <w:r w:rsidRPr="00425509">
        <w:t xml:space="preserve">to section 69(1) of the Northern Ireland Act 1998, reviews the adequacy and effectiveness of law and practice relating to the protection of human rights in </w:t>
      </w:r>
      <w:r w:rsidR="00425509">
        <w:t>Northern Ireland (NI)</w:t>
      </w:r>
      <w:r w:rsidRPr="00425509">
        <w:t>. The NIHRC is also mandated, under section 78</w:t>
      </w:r>
      <w:proofErr w:type="gramStart"/>
      <w:r w:rsidRPr="00425509">
        <w:t>A(</w:t>
      </w:r>
      <w:proofErr w:type="gramEnd"/>
      <w:r w:rsidRPr="00425509">
        <w:t xml:space="preserve">1) to monitor the implementation of Article 2(1) of the </w:t>
      </w:r>
      <w:r w:rsidR="00073FEF" w:rsidRPr="00425509">
        <w:t>Windsor Framework</w:t>
      </w:r>
      <w:r w:rsidRPr="00425509">
        <w:t>.</w:t>
      </w:r>
      <w:r w:rsidR="003419DA" w:rsidRPr="00425509">
        <w:rPr>
          <w:rStyle w:val="FootnoteReference"/>
        </w:rPr>
        <w:footnoteReference w:id="2"/>
      </w:r>
      <w:r w:rsidRPr="001560F2">
        <w:t xml:space="preserve"> In accordance with these functions</w:t>
      </w:r>
      <w:r w:rsidR="00425509">
        <w:t xml:space="preserve">, this advice is submitted to the House of Lords NI Scrutiny Committee Inquiry on </w:t>
      </w:r>
      <w:r w:rsidR="007009A5">
        <w:t xml:space="preserve">Article 2 of the Protocol/Windsor Framework. </w:t>
      </w:r>
    </w:p>
    <w:p w14:paraId="691E4A74" w14:textId="77777777" w:rsidR="00E32D88" w:rsidRDefault="00E32D88" w:rsidP="009E1287">
      <w:pPr>
        <w:ind w:left="709"/>
      </w:pPr>
    </w:p>
    <w:p w14:paraId="272D6BA4" w14:textId="760C1FC8" w:rsidR="00E32D88" w:rsidRDefault="00E32D88" w:rsidP="006960DB">
      <w:pPr>
        <w:pStyle w:val="ListParagraph"/>
        <w:widowControl/>
        <w:ind w:left="720"/>
      </w:pPr>
      <w:r w:rsidRPr="006553FF">
        <w:t xml:space="preserve">The </w:t>
      </w:r>
      <w:r w:rsidRPr="00E32D88">
        <w:t>NIHRC</w:t>
      </w:r>
      <w:r w:rsidRPr="006553FF">
        <w:t xml:space="preserve"> bases its advice on the full range of internationally accepted human rights standards, including the European Convention on Human Rights (ECHR), as incorporated by the Human Rights Act 1998, and the treaty obligations of the Council of Europe (</w:t>
      </w:r>
      <w:proofErr w:type="spellStart"/>
      <w:r w:rsidRPr="006553FF">
        <w:t>CoE</w:t>
      </w:r>
      <w:proofErr w:type="spellEnd"/>
      <w:r w:rsidRPr="006553FF">
        <w:t xml:space="preserve">) and </w:t>
      </w:r>
      <w:r>
        <w:t xml:space="preserve">the </w:t>
      </w:r>
      <w:r w:rsidRPr="006553FF">
        <w:t xml:space="preserve">United Nations (UN).  </w:t>
      </w:r>
    </w:p>
    <w:p w14:paraId="1BB6D30E" w14:textId="77777777" w:rsidR="007009A5" w:rsidRDefault="007009A5" w:rsidP="006960DB">
      <w:pPr>
        <w:pStyle w:val="ListParagraph"/>
        <w:widowControl/>
        <w:numPr>
          <w:ilvl w:val="0"/>
          <w:numId w:val="0"/>
        </w:numPr>
        <w:ind w:left="720" w:hanging="720"/>
      </w:pPr>
    </w:p>
    <w:p w14:paraId="23CDA332" w14:textId="4AFC0CEA" w:rsidR="001560F2" w:rsidRDefault="00E32D88" w:rsidP="006960DB">
      <w:pPr>
        <w:pStyle w:val="ListParagraph"/>
        <w:widowControl/>
        <w:ind w:left="720"/>
      </w:pPr>
      <w:r w:rsidRPr="004D47D9">
        <w:t xml:space="preserve">The NIHRC further advises on the UK Government’s commitment in </w:t>
      </w:r>
      <w:r w:rsidR="007009A5" w:rsidRPr="004D47D9">
        <w:t xml:space="preserve">Windsor Framework </w:t>
      </w:r>
      <w:r w:rsidRPr="004D47D9">
        <w:t>Article 2</w:t>
      </w:r>
      <w:r>
        <w:t xml:space="preserve"> </w:t>
      </w:r>
      <w:r w:rsidRPr="004D47D9">
        <w:t xml:space="preserve">to ensure there is no diminution of rights, safeguards and equality of opportunity in the relevant section of the Belfast (Good Friday) Agreement </w:t>
      </w:r>
      <w:proofErr w:type="gramStart"/>
      <w:r w:rsidRPr="004D47D9">
        <w:t>as a result of</w:t>
      </w:r>
      <w:proofErr w:type="gramEnd"/>
      <w:r w:rsidRPr="004D47D9">
        <w:t xml:space="preserve"> the UK’s withdrawal from the EU. This is given effect in UK law by section 7A of the EU (Withdrawal) Act 2018. Section 6 of the </w:t>
      </w:r>
      <w:r w:rsidR="00BF3D92">
        <w:t>Northen Ireland</w:t>
      </w:r>
      <w:r w:rsidRPr="004D47D9">
        <w:t xml:space="preserve"> Act 1998 prohibits the NI Assembly from making any law which is incompatible </w:t>
      </w:r>
      <w:r w:rsidRPr="006553FF">
        <w:t xml:space="preserve">with Windsor Framework Article 2. Section 24 of the 1998 Act also requires all acts of NI Ministers and NI Departments to be compatible with </w:t>
      </w:r>
      <w:r w:rsidRPr="00C327EE">
        <w:t>Windsor Framework Article 2</w:t>
      </w:r>
      <w:r w:rsidRPr="006553FF">
        <w:t xml:space="preserve">. </w:t>
      </w:r>
    </w:p>
    <w:p w14:paraId="3AA77ED0" w14:textId="77777777" w:rsidR="007009A5" w:rsidRDefault="007009A5" w:rsidP="006960DB">
      <w:pPr>
        <w:pStyle w:val="ListParagraph"/>
        <w:widowControl/>
        <w:numPr>
          <w:ilvl w:val="0"/>
          <w:numId w:val="0"/>
        </w:numPr>
        <w:ind w:left="720" w:hanging="720"/>
      </w:pPr>
    </w:p>
    <w:p w14:paraId="22FA754E" w14:textId="3BC60E2B" w:rsidR="00FE169D" w:rsidRPr="00387C3F" w:rsidRDefault="00A414F3" w:rsidP="006960DB">
      <w:pPr>
        <w:pStyle w:val="ListParagraph"/>
        <w:widowControl/>
        <w:ind w:left="720"/>
      </w:pPr>
      <w:r>
        <w:t>This</w:t>
      </w:r>
      <w:r w:rsidR="00723037">
        <w:t xml:space="preserve"> </w:t>
      </w:r>
      <w:r w:rsidR="00FE169D">
        <w:t>NIHRC welcomes the opportunity to respon</w:t>
      </w:r>
      <w:r w:rsidR="007009A5">
        <w:t xml:space="preserve">d </w:t>
      </w:r>
      <w:r w:rsidR="000A1358">
        <w:t xml:space="preserve">to the </w:t>
      </w:r>
      <w:r w:rsidR="007009A5">
        <w:t>NI Scrutiny Committee Inquiry on Article 2 of the Protocol/Windsor Framework</w:t>
      </w:r>
      <w:r w:rsidR="00AF48AA">
        <w:t xml:space="preserve"> and </w:t>
      </w:r>
      <w:r w:rsidR="00ED76FF">
        <w:t>acknowledges</w:t>
      </w:r>
      <w:r w:rsidR="00AF48AA">
        <w:t xml:space="preserve"> the </w:t>
      </w:r>
      <w:r w:rsidR="00ED76FF">
        <w:t xml:space="preserve">important </w:t>
      </w:r>
      <w:r w:rsidR="00AB655B">
        <w:t xml:space="preserve">and effective </w:t>
      </w:r>
      <w:r w:rsidR="002F3252">
        <w:t xml:space="preserve">role </w:t>
      </w:r>
      <w:r w:rsidR="00ED76FF">
        <w:t>the Committee</w:t>
      </w:r>
      <w:r w:rsidR="002F3252">
        <w:t xml:space="preserve"> has played in scrutinising </w:t>
      </w:r>
      <w:r w:rsidR="00425469">
        <w:t>the implement</w:t>
      </w:r>
      <w:r w:rsidR="00AB655B">
        <w:t xml:space="preserve">ation of </w:t>
      </w:r>
      <w:r w:rsidR="00EA04F9">
        <w:t>Article 2</w:t>
      </w:r>
      <w:r w:rsidR="00630541">
        <w:t xml:space="preserve"> to date</w:t>
      </w:r>
      <w:r w:rsidR="007009A5">
        <w:t xml:space="preserve">. The NIHRC would be happy to provide further evidence to the Committee, should this prove useful. </w:t>
      </w:r>
      <w:r w:rsidR="00E074BA" w:rsidRPr="00F334E8">
        <w:t xml:space="preserve">This response includes a </w:t>
      </w:r>
      <w:r w:rsidR="00E074BA" w:rsidRPr="00F334E8">
        <w:lastRenderedPageBreak/>
        <w:t xml:space="preserve">degree of repetition </w:t>
      </w:r>
      <w:proofErr w:type="gramStart"/>
      <w:r w:rsidR="00257939" w:rsidRPr="00F334E8">
        <w:t>in an effort to</w:t>
      </w:r>
      <w:proofErr w:type="gramEnd"/>
      <w:r w:rsidR="00257939" w:rsidRPr="00F334E8">
        <w:t xml:space="preserve"> ensure that answers to questions are </w:t>
      </w:r>
      <w:r w:rsidR="00DF6ECA" w:rsidRPr="00F334E8">
        <w:t xml:space="preserve">as </w:t>
      </w:r>
      <w:r w:rsidR="00257939" w:rsidRPr="00F334E8">
        <w:t>complete as possible</w:t>
      </w:r>
      <w:r w:rsidR="00ED1CCD" w:rsidRPr="00F334E8">
        <w:t>.</w:t>
      </w:r>
    </w:p>
    <w:p w14:paraId="7D72F764" w14:textId="6C07B0B2" w:rsidR="000C115C" w:rsidRPr="000C115C" w:rsidRDefault="007009A5" w:rsidP="00780895">
      <w:pPr>
        <w:pStyle w:val="Heading1"/>
        <w:keepLines w:val="0"/>
      </w:pPr>
      <w:bookmarkStart w:id="6" w:name="_Toc235087533"/>
      <w:r>
        <w:t>Preliminary Observations</w:t>
      </w:r>
      <w:bookmarkEnd w:id="6"/>
      <w:r>
        <w:t xml:space="preserve"> </w:t>
      </w:r>
    </w:p>
    <w:p w14:paraId="62B4709D" w14:textId="2E53A16F" w:rsidR="001A6849" w:rsidRDefault="00C44E26" w:rsidP="006960DB">
      <w:pPr>
        <w:pStyle w:val="ListParagraph"/>
        <w:widowControl/>
        <w:numPr>
          <w:ilvl w:val="1"/>
          <w:numId w:val="40"/>
        </w:numPr>
        <w:ind w:left="720"/>
      </w:pPr>
      <w:r w:rsidRPr="00F334E8">
        <w:t xml:space="preserve">The NIHRC is concerned that the </w:t>
      </w:r>
      <w:r w:rsidR="007A4379" w:rsidRPr="00F334E8">
        <w:t xml:space="preserve">UK Supreme Court judgment in </w:t>
      </w:r>
      <w:r w:rsidR="007A4379" w:rsidRPr="006960DB">
        <w:rPr>
          <w:i/>
        </w:rPr>
        <w:t>Dillon</w:t>
      </w:r>
      <w:r w:rsidR="00196427">
        <w:rPr>
          <w:rStyle w:val="FootnoteReference"/>
        </w:rPr>
        <w:footnoteReference w:id="3"/>
      </w:r>
      <w:r w:rsidR="00196427" w:rsidRPr="006960DB">
        <w:rPr>
          <w:i/>
        </w:rPr>
        <w:t xml:space="preserve"> </w:t>
      </w:r>
      <w:r w:rsidR="00897531" w:rsidRPr="00F334E8">
        <w:t>along with</w:t>
      </w:r>
      <w:r w:rsidRPr="00F334E8">
        <w:t xml:space="preserve"> </w:t>
      </w:r>
      <w:r w:rsidR="00AF02E9">
        <w:t xml:space="preserve">UK </w:t>
      </w:r>
      <w:r w:rsidRPr="00F334E8">
        <w:t>Government statements and action</w:t>
      </w:r>
      <w:r w:rsidR="00FF4A96" w:rsidRPr="00F334E8">
        <w:t>s</w:t>
      </w:r>
      <w:r w:rsidR="00897531" w:rsidRPr="00F334E8">
        <w:t>, ha</w:t>
      </w:r>
      <w:r w:rsidR="00E36975" w:rsidRPr="00F334E8">
        <w:t>ve</w:t>
      </w:r>
      <w:r w:rsidR="00897531" w:rsidRPr="00F334E8">
        <w:t xml:space="preserve"> resulted in</w:t>
      </w:r>
      <w:r w:rsidRPr="00F334E8">
        <w:t xml:space="preserve"> a significant departure from what was negotiated and publicly expressed by Government and understood by stakeholders in relation to </w:t>
      </w:r>
      <w:r w:rsidR="00094333" w:rsidRPr="00F334E8">
        <w:t xml:space="preserve">Windsor Framework </w:t>
      </w:r>
      <w:r w:rsidRPr="00F334E8">
        <w:t>Article 2.</w:t>
      </w:r>
      <w:r w:rsidR="007C49D9">
        <w:t xml:space="preserve"> </w:t>
      </w:r>
    </w:p>
    <w:p w14:paraId="5A63E75C" w14:textId="77777777" w:rsidR="001A6849" w:rsidRDefault="001A6849" w:rsidP="006960DB">
      <w:pPr>
        <w:pStyle w:val="ListParagraph"/>
        <w:widowControl/>
        <w:numPr>
          <w:ilvl w:val="0"/>
          <w:numId w:val="0"/>
        </w:numPr>
        <w:ind w:left="720" w:hanging="720"/>
      </w:pPr>
    </w:p>
    <w:p w14:paraId="718DC9E6" w14:textId="39CD6A35" w:rsidR="001A6849" w:rsidRDefault="00447A3F" w:rsidP="006960DB">
      <w:pPr>
        <w:pStyle w:val="ListParagraph"/>
        <w:ind w:left="720"/>
      </w:pPr>
      <w:r>
        <w:t>It</w:t>
      </w:r>
      <w:r w:rsidR="001A6849">
        <w:t xml:space="preserve"> is </w:t>
      </w:r>
      <w:r>
        <w:t>of particular</w:t>
      </w:r>
      <w:r w:rsidR="001617C7">
        <w:t xml:space="preserve"> </w:t>
      </w:r>
      <w:r w:rsidR="001A6849">
        <w:t xml:space="preserve">concern that the UK Government has </w:t>
      </w:r>
      <w:r w:rsidR="00B82DAA">
        <w:t>repudiated</w:t>
      </w:r>
      <w:r w:rsidR="001A6849">
        <w:t xml:space="preserve"> its Explainer</w:t>
      </w:r>
      <w:r w:rsidR="00B85D73">
        <w:t xml:space="preserve"> document</w:t>
      </w:r>
      <w:r w:rsidR="006C208B">
        <w:rPr>
          <w:rStyle w:val="FootnoteReference"/>
        </w:rPr>
        <w:footnoteReference w:id="4"/>
      </w:r>
      <w:r w:rsidR="001A6849">
        <w:t xml:space="preserve"> </w:t>
      </w:r>
      <w:r w:rsidR="00A53277">
        <w:t xml:space="preserve">which set out the </w:t>
      </w:r>
      <w:r w:rsidR="00094333">
        <w:t xml:space="preserve">Government’s </w:t>
      </w:r>
      <w:r w:rsidR="001A6849">
        <w:t xml:space="preserve">understanding </w:t>
      </w:r>
      <w:r w:rsidR="00A53277">
        <w:t>of</w:t>
      </w:r>
      <w:r w:rsidR="001A6849">
        <w:t xml:space="preserve"> Windsor Framework Article 2</w:t>
      </w:r>
      <w:r w:rsidR="0081619F">
        <w:t xml:space="preserve"> and </w:t>
      </w:r>
      <w:r w:rsidR="001A6849">
        <w:t xml:space="preserve">was published contemporaneously with UK withdrawal from the EU. The NIHRC was consulted by the UK Government in the development of the Explainer and is disappointed that the UK Government argued against its own </w:t>
      </w:r>
      <w:r w:rsidR="005F1245">
        <w:t>g</w:t>
      </w:r>
      <w:r w:rsidR="001A6849">
        <w:t>uidance before the UK Supreme Court.</w:t>
      </w:r>
      <w:r w:rsidR="00FC1F9B">
        <w:rPr>
          <w:rStyle w:val="FootnoteReference"/>
        </w:rPr>
        <w:footnoteReference w:id="5"/>
      </w:r>
      <w:r w:rsidR="00EC4A2E">
        <w:t xml:space="preserve"> This action may have implications for </w:t>
      </w:r>
      <w:r w:rsidR="00BC56F0">
        <w:t>trust and confidence</w:t>
      </w:r>
      <w:r w:rsidR="00B4308E">
        <w:t xml:space="preserve"> in the UK Government’s commitment to </w:t>
      </w:r>
      <w:r w:rsidR="00C60FED">
        <w:t>human rights in NI.</w:t>
      </w:r>
    </w:p>
    <w:p w14:paraId="67877C75" w14:textId="77777777" w:rsidR="001A6849" w:rsidRDefault="001A6849" w:rsidP="006960DB">
      <w:pPr>
        <w:pStyle w:val="ListParagraph"/>
        <w:numPr>
          <w:ilvl w:val="0"/>
          <w:numId w:val="0"/>
        </w:numPr>
        <w:ind w:left="720" w:hanging="720"/>
      </w:pPr>
    </w:p>
    <w:p w14:paraId="5AF77384" w14:textId="2DB3668A" w:rsidR="00720D1F" w:rsidRDefault="007A4379" w:rsidP="006960DB">
      <w:pPr>
        <w:pStyle w:val="ListParagraph"/>
        <w:ind w:left="720"/>
      </w:pPr>
      <w:r w:rsidRPr="00F334E8">
        <w:t xml:space="preserve">The NIHRC </w:t>
      </w:r>
      <w:r w:rsidR="00720D1F" w:rsidRPr="00F334E8">
        <w:t xml:space="preserve">has a duty under the </w:t>
      </w:r>
      <w:r w:rsidR="00BF3D92" w:rsidRPr="00F334E8">
        <w:t>Northern Ireland</w:t>
      </w:r>
      <w:r w:rsidR="00720D1F" w:rsidRPr="00F334E8">
        <w:t xml:space="preserve"> Act 1998 to monitor the implementation of Windsor Framework Article 2 and i</w:t>
      </w:r>
      <w:r w:rsidRPr="00F334E8">
        <w:t>ntervened in this case in line with our statutory functions.</w:t>
      </w:r>
      <w:r w:rsidR="00720D1F" w:rsidRPr="00F334E8">
        <w:rPr>
          <w:rStyle w:val="FootnoteReference"/>
        </w:rPr>
        <w:footnoteReference w:id="6"/>
      </w:r>
      <w:r w:rsidRPr="00F334E8">
        <w:t xml:space="preserve">  The case was brought by the families of victims, who raised </w:t>
      </w:r>
      <w:r w:rsidR="00720D1F" w:rsidRPr="00F334E8">
        <w:t>human rights concerns both in relation to the ECHR and Windsor Framework Article 2</w:t>
      </w:r>
      <w:r w:rsidRPr="00F334E8">
        <w:t xml:space="preserve">. The </w:t>
      </w:r>
      <w:r w:rsidR="00720D1F" w:rsidRPr="00F334E8">
        <w:t xml:space="preserve">NIHRC had </w:t>
      </w:r>
      <w:r w:rsidR="007F142F" w:rsidRPr="00F334E8">
        <w:t xml:space="preserve">serious human rights </w:t>
      </w:r>
      <w:r w:rsidR="00720D1F" w:rsidRPr="00F334E8">
        <w:t xml:space="preserve">concerns about the </w:t>
      </w:r>
      <w:r w:rsidR="007F142F" w:rsidRPr="00F334E8">
        <w:t>NI Troubles (</w:t>
      </w:r>
      <w:r w:rsidR="00720D1F" w:rsidRPr="00F334E8">
        <w:t xml:space="preserve">Legacy </w:t>
      </w:r>
      <w:r w:rsidR="007F142F" w:rsidRPr="00F334E8">
        <w:t xml:space="preserve">and Reconciliation) </w:t>
      </w:r>
      <w:r w:rsidR="00720D1F" w:rsidRPr="00F334E8">
        <w:t xml:space="preserve">Act 2023 </w:t>
      </w:r>
      <w:r w:rsidR="008A2D30" w:rsidRPr="00F334E8">
        <w:t xml:space="preserve">and </w:t>
      </w:r>
      <w:r w:rsidR="00A17632">
        <w:t>published advice on the Bill during its passage</w:t>
      </w:r>
      <w:r w:rsidRPr="00233BCB">
        <w:t>.</w:t>
      </w:r>
      <w:r w:rsidR="00C4518F" w:rsidRPr="00F334E8">
        <w:rPr>
          <w:rStyle w:val="FootnoteReference"/>
        </w:rPr>
        <w:footnoteReference w:id="7"/>
      </w:r>
      <w:r w:rsidRPr="00233BCB">
        <w:t xml:space="preserve"> </w:t>
      </w:r>
    </w:p>
    <w:p w14:paraId="62176E69" w14:textId="77777777" w:rsidR="00720D1F" w:rsidRPr="00F334E8" w:rsidRDefault="00720D1F" w:rsidP="006960DB">
      <w:pPr>
        <w:pStyle w:val="ListParagraph"/>
        <w:numPr>
          <w:ilvl w:val="0"/>
          <w:numId w:val="0"/>
        </w:numPr>
        <w:ind w:left="720" w:hanging="720"/>
      </w:pPr>
    </w:p>
    <w:p w14:paraId="252FA86E" w14:textId="20596D58" w:rsidR="00A23B03" w:rsidRDefault="00930BBC" w:rsidP="006960DB">
      <w:pPr>
        <w:pStyle w:val="ListParagraph"/>
        <w:keepLines/>
        <w:widowControl/>
        <w:ind w:left="720"/>
      </w:pPr>
      <w:r>
        <w:lastRenderedPageBreak/>
        <w:t xml:space="preserve">The interpretation of the Belfast (Good Friday) Agreement 1998 and the Rights, Safeguards and Equality of Opportunity </w:t>
      </w:r>
      <w:r w:rsidR="002A5091">
        <w:t>c</w:t>
      </w:r>
      <w:r>
        <w:t xml:space="preserve">hapter </w:t>
      </w:r>
      <w:r w:rsidR="00192518">
        <w:t xml:space="preserve">by the UK Supreme Court is troubling. </w:t>
      </w:r>
      <w:r w:rsidR="00094117">
        <w:t>The Supreme Court use</w:t>
      </w:r>
      <w:r w:rsidR="00155A35">
        <w:t>d</w:t>
      </w:r>
      <w:r w:rsidR="00094117">
        <w:t xml:space="preserve"> an EU law test to interpret the 1998 Agreement.</w:t>
      </w:r>
      <w:r w:rsidR="00094117">
        <w:rPr>
          <w:rStyle w:val="FootnoteReference"/>
        </w:rPr>
        <w:footnoteReference w:id="8"/>
      </w:r>
      <w:r w:rsidR="0043587E">
        <w:t xml:space="preserve"> </w:t>
      </w:r>
      <w:r w:rsidR="00A23B03">
        <w:t xml:space="preserve">The </w:t>
      </w:r>
      <w:r w:rsidR="00094333">
        <w:t xml:space="preserve">Court </w:t>
      </w:r>
      <w:r w:rsidR="00A23B03">
        <w:t xml:space="preserve">also made reference to the background to that Agreement in terms of sectarian conflict which, despite some ambiguity, has prompted suggestions that </w:t>
      </w:r>
      <w:r w:rsidR="00C25B25">
        <w:t>the Rights, Safeguards and Equality of Opportunity chapter</w:t>
      </w:r>
      <w:r w:rsidR="00A23B03">
        <w:t xml:space="preserve"> </w:t>
      </w:r>
      <w:r w:rsidR="00542830">
        <w:t xml:space="preserve">may have </w:t>
      </w:r>
      <w:r w:rsidR="00A23B03">
        <w:t xml:space="preserve">been </w:t>
      </w:r>
      <w:r w:rsidR="00722602">
        <w:t xml:space="preserve">confined by the </w:t>
      </w:r>
      <w:r w:rsidR="00F73577">
        <w:t>Court</w:t>
      </w:r>
      <w:r w:rsidR="00A23B03">
        <w:t xml:space="preserve"> to rights concerned with ending the conflict.</w:t>
      </w:r>
      <w:r w:rsidR="0056278E">
        <w:rPr>
          <w:rStyle w:val="FootnoteReference"/>
        </w:rPr>
        <w:footnoteReference w:id="9"/>
      </w:r>
      <w:r w:rsidR="006A753C">
        <w:t xml:space="preserve"> </w:t>
      </w:r>
    </w:p>
    <w:p w14:paraId="305D55A2" w14:textId="77777777" w:rsidR="00A23B03" w:rsidRDefault="00A23B03" w:rsidP="006960DB">
      <w:pPr>
        <w:pStyle w:val="ListParagraph"/>
        <w:numPr>
          <w:ilvl w:val="0"/>
          <w:numId w:val="0"/>
        </w:numPr>
        <w:ind w:left="720" w:hanging="720"/>
      </w:pPr>
    </w:p>
    <w:p w14:paraId="43ECEA49" w14:textId="0CA38B80" w:rsidR="00B64A3C" w:rsidRPr="00F334E8" w:rsidRDefault="00C9250B" w:rsidP="006960DB">
      <w:pPr>
        <w:pStyle w:val="ListParagraph"/>
        <w:ind w:left="720"/>
      </w:pPr>
      <w:r w:rsidRPr="00F334E8">
        <w:t xml:space="preserve">The </w:t>
      </w:r>
      <w:r w:rsidR="00B64A3C" w:rsidRPr="00F334E8">
        <w:t>Supreme Court overturned the NI Court of Appeal decision in certain areas, notably in finding that there was no diminution of rights in relation to the immunity provisions in the 2023 Act.</w:t>
      </w:r>
      <w:r w:rsidR="00B64A3C" w:rsidRPr="00F334E8">
        <w:rPr>
          <w:rStyle w:val="FootnoteReference"/>
        </w:rPr>
        <w:footnoteReference w:id="10"/>
      </w:r>
      <w:r w:rsidR="00B64A3C" w:rsidRPr="00F334E8">
        <w:t xml:space="preserve">  However, in other regards it has affirmed the </w:t>
      </w:r>
      <w:r w:rsidRPr="00F334E8">
        <w:t xml:space="preserve">NIHRC </w:t>
      </w:r>
      <w:r w:rsidR="00B64A3C" w:rsidRPr="00F334E8">
        <w:t xml:space="preserve">advice. For example, the Court confirmed that Windsor Framework Article 2 can be relied before the court and the test it used for consideration of Article 2 is not dissimilar to that proposed by the </w:t>
      </w:r>
      <w:r w:rsidR="00390DBF" w:rsidRPr="00F334E8">
        <w:t>NIHRC</w:t>
      </w:r>
      <w:r w:rsidR="00B64A3C" w:rsidRPr="00F334E8">
        <w:t>.</w:t>
      </w:r>
      <w:r w:rsidR="00B64A3C" w:rsidRPr="00F334E8">
        <w:rPr>
          <w:rStyle w:val="FootnoteReference"/>
        </w:rPr>
        <w:footnoteReference w:id="11"/>
      </w:r>
      <w:r w:rsidR="00B64A3C" w:rsidRPr="00F334E8">
        <w:t xml:space="preserve"> </w:t>
      </w:r>
    </w:p>
    <w:p w14:paraId="72E4CD8E" w14:textId="77777777" w:rsidR="00B64A3C" w:rsidRPr="00F334E8" w:rsidRDefault="00B64A3C" w:rsidP="006960DB">
      <w:pPr>
        <w:ind w:left="720" w:hanging="720"/>
      </w:pPr>
    </w:p>
    <w:p w14:paraId="404ECF90" w14:textId="07ECAA02" w:rsidR="004F4555" w:rsidRDefault="00C9250B" w:rsidP="006960DB">
      <w:pPr>
        <w:pStyle w:val="ListParagraph"/>
        <w:widowControl/>
        <w:ind w:left="720"/>
      </w:pPr>
      <w:r w:rsidRPr="00C9250B">
        <w:t xml:space="preserve">The NIHRC </w:t>
      </w:r>
      <w:r w:rsidR="00DA0A9C">
        <w:t xml:space="preserve">has </w:t>
      </w:r>
      <w:r w:rsidR="009955AE">
        <w:t>noted</w:t>
      </w:r>
      <w:r w:rsidR="00DA0A9C">
        <w:t xml:space="preserve"> the </w:t>
      </w:r>
      <w:r w:rsidRPr="00C9250B">
        <w:t xml:space="preserve">contrasting </w:t>
      </w:r>
      <w:r w:rsidR="00DA0A9C">
        <w:t xml:space="preserve">and sometimes </w:t>
      </w:r>
      <w:r w:rsidRPr="00C9250B">
        <w:t>inaccurate</w:t>
      </w:r>
      <w:r w:rsidR="00DA0A9C">
        <w:t xml:space="preserve"> ways in which this complex judgment has been described</w:t>
      </w:r>
      <w:r w:rsidRPr="00C9250B">
        <w:t xml:space="preserve"> in Parliament, </w:t>
      </w:r>
      <w:r w:rsidR="00442634">
        <w:t xml:space="preserve">in </w:t>
      </w:r>
      <w:r w:rsidRPr="00C9250B">
        <w:t>the NI Assembly and online</w:t>
      </w:r>
      <w:r w:rsidR="008F7B54">
        <w:t xml:space="preserve">. The </w:t>
      </w:r>
      <w:r w:rsidRPr="00C9250B">
        <w:t xml:space="preserve">Committee inquiry </w:t>
      </w:r>
      <w:r w:rsidR="008F7B54">
        <w:t xml:space="preserve">is a welcome </w:t>
      </w:r>
      <w:r w:rsidRPr="00C9250B">
        <w:t>opportunity to consider its implications and encourage accuracy and completeness in discussion</w:t>
      </w:r>
      <w:r w:rsidR="00565E45">
        <w:t xml:space="preserve">. </w:t>
      </w:r>
      <w:r w:rsidR="004F4555">
        <w:t>Vigilance is required to ensure that the judgment is not used to justify an unduly narrow interpretation of Windsor Framework Article 2 that goes beyond the decision of the UK Supreme Court</w:t>
      </w:r>
      <w:r w:rsidR="00F85476">
        <w:t xml:space="preserve"> and weakens human rights protection</w:t>
      </w:r>
      <w:r w:rsidR="00FE18D9">
        <w:t>s</w:t>
      </w:r>
      <w:r w:rsidR="00F85476">
        <w:t xml:space="preserve"> in NI</w:t>
      </w:r>
      <w:r w:rsidR="004F4555">
        <w:t>.</w:t>
      </w:r>
    </w:p>
    <w:p w14:paraId="363B8F33" w14:textId="508DD101" w:rsidR="009A31A7" w:rsidRDefault="009A31A7" w:rsidP="004F4555"/>
    <w:p w14:paraId="435E5939" w14:textId="5FFE351B" w:rsidR="000C115C" w:rsidRPr="00F334E8" w:rsidRDefault="009A31A7" w:rsidP="007222F8">
      <w:pPr>
        <w:pStyle w:val="ListParagraph"/>
        <w:widowControl/>
        <w:ind w:left="709"/>
      </w:pPr>
      <w:r w:rsidRPr="00F334E8">
        <w:t xml:space="preserve">The </w:t>
      </w:r>
      <w:r w:rsidR="005868EC" w:rsidRPr="00F334E8">
        <w:t xml:space="preserve">judgment </w:t>
      </w:r>
      <w:r w:rsidR="00CC5EA3" w:rsidRPr="00F334E8">
        <w:t xml:space="preserve">in </w:t>
      </w:r>
      <w:r w:rsidR="00CC5EA3" w:rsidRPr="00F334E8">
        <w:rPr>
          <w:i/>
        </w:rPr>
        <w:t>Dillon</w:t>
      </w:r>
      <w:r w:rsidRPr="00F334E8">
        <w:rPr>
          <w:i/>
        </w:rPr>
        <w:t xml:space="preserve"> </w:t>
      </w:r>
      <w:r w:rsidRPr="00F334E8">
        <w:t xml:space="preserve">is </w:t>
      </w:r>
      <w:r w:rsidR="0036252A" w:rsidRPr="00F334E8">
        <w:t>complex and nuanced. It</w:t>
      </w:r>
      <w:r w:rsidR="00586511" w:rsidRPr="00F334E8">
        <w:t xml:space="preserve"> </w:t>
      </w:r>
      <w:r w:rsidR="005868EC" w:rsidRPr="00F334E8">
        <w:t>focused on the issues put to the court by the applicants</w:t>
      </w:r>
      <w:r w:rsidR="00D1683A" w:rsidRPr="00F334E8">
        <w:t xml:space="preserve"> resulting in some ambiguity in relation to the scope and </w:t>
      </w:r>
      <w:r w:rsidR="000C2ED8" w:rsidRPr="00F334E8">
        <w:t xml:space="preserve">application </w:t>
      </w:r>
      <w:r w:rsidR="00D1683A" w:rsidRPr="00F334E8">
        <w:t>of Windsor Framework Article 2</w:t>
      </w:r>
      <w:r w:rsidR="00772FEA" w:rsidRPr="00F334E8">
        <w:t xml:space="preserve"> and gaps in respect of issues not arising</w:t>
      </w:r>
      <w:r w:rsidRPr="00F334E8">
        <w:t xml:space="preserve">. </w:t>
      </w:r>
      <w:r w:rsidR="007002F4" w:rsidRPr="00F334E8">
        <w:t>Diplomatic, legal or legislative steps</w:t>
      </w:r>
      <w:r w:rsidRPr="00F334E8">
        <w:t xml:space="preserve"> will be required to </w:t>
      </w:r>
      <w:r w:rsidR="002A5562" w:rsidRPr="00F334E8">
        <w:t>clarify and</w:t>
      </w:r>
      <w:r w:rsidRPr="00F334E8">
        <w:t xml:space="preserve"> </w:t>
      </w:r>
      <w:r w:rsidR="00B87507" w:rsidRPr="00F334E8">
        <w:t>ensure compliance with</w:t>
      </w:r>
      <w:r w:rsidR="00F05CE7" w:rsidRPr="00F334E8">
        <w:t xml:space="preserve"> Article 2 </w:t>
      </w:r>
      <w:r w:rsidR="000A59CC" w:rsidRPr="00F334E8">
        <w:t>under international and domestic law</w:t>
      </w:r>
      <w:r w:rsidRPr="00F334E8">
        <w:t>.</w:t>
      </w:r>
      <w:r w:rsidR="00856D18" w:rsidRPr="00F334E8">
        <w:t xml:space="preserve"> </w:t>
      </w:r>
    </w:p>
    <w:p w14:paraId="1AF8EF15" w14:textId="671B5F70" w:rsidR="000C115C" w:rsidRPr="000C115C" w:rsidRDefault="00867BC6" w:rsidP="00780895">
      <w:pPr>
        <w:pStyle w:val="Heading1"/>
        <w:keepLines w:val="0"/>
      </w:pPr>
      <w:bookmarkStart w:id="7" w:name="_Toc235087534"/>
      <w:r>
        <w:lastRenderedPageBreak/>
        <w:t>Origins and Obligations of Windsor Framework Article 2</w:t>
      </w:r>
      <w:bookmarkEnd w:id="7"/>
    </w:p>
    <w:p w14:paraId="039CA8E9" w14:textId="662F9035" w:rsidR="00867BC6" w:rsidRDefault="00867BC6" w:rsidP="00EF773A">
      <w:pPr>
        <w:pStyle w:val="Heading2"/>
      </w:pPr>
      <w:bookmarkStart w:id="8" w:name="_Toc235087535"/>
      <w:r>
        <w:t xml:space="preserve">Question 1: </w:t>
      </w:r>
      <w:r w:rsidRPr="0017175B">
        <w:t>Why did the UK and EU negotiate and include Article 2 WF in the Protocol/ Windsor Framework? How does Article 2 WF relate to the</w:t>
      </w:r>
      <w:r>
        <w:t xml:space="preserve"> </w:t>
      </w:r>
      <w:r w:rsidRPr="0017175B">
        <w:t>Belfast/ Good Friday Agreement?</w:t>
      </w:r>
      <w:bookmarkEnd w:id="8"/>
    </w:p>
    <w:p w14:paraId="544EBA13" w14:textId="73D48B10" w:rsidR="000577E1" w:rsidRDefault="000577E1" w:rsidP="006B5059">
      <w:pPr>
        <w:pStyle w:val="ListParagraph"/>
        <w:numPr>
          <w:ilvl w:val="1"/>
          <w:numId w:val="37"/>
        </w:numPr>
        <w:ind w:left="720"/>
      </w:pPr>
      <w:r w:rsidRPr="006F01F3">
        <w:t xml:space="preserve">Human rights and equality protections are at the heart of the Belfast (Good Friday) Agreement 1998 and are central to the peace process in NI. The Declaration of Support to </w:t>
      </w:r>
      <w:r>
        <w:t xml:space="preserve">the </w:t>
      </w:r>
      <w:r w:rsidRPr="006F01F3">
        <w:t xml:space="preserve">1998 Agreement includes a dedication to the “protection and vindication of the human rights of all”. Human rights and equality protections continue to be contested in NI. While the ECHR was incorporated into UK law via the Human Rights Act, a Bill of Rights for NI to reflect the </w:t>
      </w:r>
      <w:proofErr w:type="gramStart"/>
      <w:r w:rsidRPr="006F01F3">
        <w:t>particular circumstances</w:t>
      </w:r>
      <w:proofErr w:type="gramEnd"/>
      <w:r w:rsidRPr="006F01F3">
        <w:t xml:space="preserve"> </w:t>
      </w:r>
      <w:r w:rsidR="001A4A6E">
        <w:t>of</w:t>
      </w:r>
      <w:r w:rsidRPr="006F01F3">
        <w:t xml:space="preserve"> NI and drawing on international instruments and experience remains outstanding.</w:t>
      </w:r>
      <w:r w:rsidRPr="006F01F3">
        <w:rPr>
          <w:rStyle w:val="FootnoteReference"/>
        </w:rPr>
        <w:footnoteReference w:id="12"/>
      </w:r>
      <w:r w:rsidRPr="006F01F3">
        <w:t xml:space="preserve">  </w:t>
      </w:r>
      <w:r w:rsidR="00D27B67">
        <w:t xml:space="preserve">Prior to and since Brexit, human rights and equality standards in NI have </w:t>
      </w:r>
      <w:proofErr w:type="gramStart"/>
      <w:r w:rsidR="00D27B67">
        <w:t>lagged behind</w:t>
      </w:r>
      <w:proofErr w:type="gramEnd"/>
      <w:r w:rsidR="00D27B67">
        <w:t xml:space="preserve"> those in Britain and Ireland in several regards</w:t>
      </w:r>
      <w:r w:rsidRPr="006F01F3">
        <w:t>.</w:t>
      </w:r>
      <w:r w:rsidRPr="006F01F3">
        <w:rPr>
          <w:rStyle w:val="FootnoteReference"/>
        </w:rPr>
        <w:footnoteReference w:id="13"/>
      </w:r>
      <w:r w:rsidR="00D60607">
        <w:t xml:space="preserve"> </w:t>
      </w:r>
    </w:p>
    <w:p w14:paraId="41A876BF" w14:textId="77777777" w:rsidR="00CD39BA" w:rsidRDefault="00CD39BA" w:rsidP="00147885">
      <w:pPr>
        <w:pStyle w:val="ListParagraph"/>
        <w:numPr>
          <w:ilvl w:val="0"/>
          <w:numId w:val="0"/>
        </w:numPr>
        <w:ind w:left="720"/>
      </w:pPr>
    </w:p>
    <w:p w14:paraId="035BDAAD" w14:textId="207BEE01" w:rsidR="00CD39BA" w:rsidRPr="001B6C91" w:rsidRDefault="00CD39BA" w:rsidP="006960DB">
      <w:pPr>
        <w:pStyle w:val="ListParagraph"/>
        <w:keepNext/>
        <w:widowControl/>
        <w:ind w:left="720"/>
      </w:pPr>
      <w:r w:rsidRPr="00F56AF6">
        <w:t xml:space="preserve">As noted in the preamble to the Windsor Framework, EU law “provided a supporting framework for the provisions on Rights, Safeguards and Equality of Opportunity of the 1998 Agreement”. Prior to withdrawal from the EU, many of the significant developments in </w:t>
      </w:r>
      <w:r w:rsidR="00BC6009">
        <w:t xml:space="preserve">human rights </w:t>
      </w:r>
      <w:r w:rsidRPr="00F56AF6">
        <w:t>in NI were the result of EU law obligations</w:t>
      </w:r>
      <w:r>
        <w:t>.</w:t>
      </w:r>
      <w:r w:rsidR="004B717F">
        <w:t xml:space="preserve"> Examples include NI legislation on equality,</w:t>
      </w:r>
      <w:r w:rsidR="00091B81" w:rsidRPr="00C23081">
        <w:rPr>
          <w:rFonts w:cs="Arial"/>
          <w:color w:val="232120"/>
          <w:vertAlign w:val="superscript"/>
        </w:rPr>
        <w:footnoteReference w:id="14"/>
      </w:r>
      <w:r w:rsidR="004B717F">
        <w:t xml:space="preserve"> the rights of victims of crime and the protection of personal data.</w:t>
      </w:r>
      <w:r w:rsidR="004B717F">
        <w:rPr>
          <w:rStyle w:val="FootnoteReference"/>
        </w:rPr>
        <w:footnoteReference w:id="15"/>
      </w:r>
    </w:p>
    <w:p w14:paraId="75E0D1DF" w14:textId="77777777" w:rsidR="00CD39BA" w:rsidRPr="001B6C91" w:rsidRDefault="00CD39BA" w:rsidP="006960DB">
      <w:pPr>
        <w:pStyle w:val="ListParagraph"/>
        <w:keepNext/>
        <w:widowControl/>
        <w:numPr>
          <w:ilvl w:val="0"/>
          <w:numId w:val="0"/>
        </w:numPr>
        <w:ind w:left="720" w:hanging="720"/>
      </w:pPr>
    </w:p>
    <w:p w14:paraId="135546EA" w14:textId="55E3560F" w:rsidR="00AD17B6" w:rsidRPr="00E92D4E" w:rsidRDefault="007467A9" w:rsidP="006960DB">
      <w:pPr>
        <w:pStyle w:val="ListParagraph"/>
        <w:keepNext/>
        <w:widowControl/>
        <w:ind w:left="720"/>
      </w:pPr>
      <w:r w:rsidRPr="007467A9">
        <w:t xml:space="preserve">The importance of protecting the </w:t>
      </w:r>
      <w:r w:rsidR="00E8771F">
        <w:t xml:space="preserve">Belfast (Good Friday) </w:t>
      </w:r>
      <w:r w:rsidRPr="007467A9">
        <w:t xml:space="preserve">Agreement </w:t>
      </w:r>
      <w:r w:rsidR="00BB2CF2">
        <w:t>including</w:t>
      </w:r>
      <w:r w:rsidRPr="007467A9">
        <w:t xml:space="preserve"> its human rights and equality commitments was accepted </w:t>
      </w:r>
      <w:r w:rsidRPr="007467A9">
        <w:lastRenderedPageBreak/>
        <w:t>as a key issue for resolution in negotiations leading to the UK’s withdrawal from the EU.</w:t>
      </w:r>
      <w:r w:rsidR="00AD17B6" w:rsidRPr="00C23081">
        <w:rPr>
          <w:rFonts w:cs="Arial"/>
          <w:color w:val="232120"/>
          <w:vertAlign w:val="superscript"/>
        </w:rPr>
        <w:footnoteReference w:id="16"/>
      </w:r>
      <w:r w:rsidR="006542C5">
        <w:t xml:space="preserve"> </w:t>
      </w:r>
      <w:r w:rsidR="003C1D56">
        <w:t xml:space="preserve">As noted above, the </w:t>
      </w:r>
      <w:r w:rsidR="003C1D56" w:rsidRPr="00E92D4E">
        <w:t>1998 Agreement affirmed the commitment of all parties to human rights</w:t>
      </w:r>
      <w:r w:rsidR="00E92D4E">
        <w:t xml:space="preserve">. </w:t>
      </w:r>
    </w:p>
    <w:p w14:paraId="498E2F30" w14:textId="77777777" w:rsidR="00AD17B6" w:rsidRDefault="00AD17B6" w:rsidP="006960DB">
      <w:pPr>
        <w:pStyle w:val="ListParagraph"/>
        <w:numPr>
          <w:ilvl w:val="0"/>
          <w:numId w:val="0"/>
        </w:numPr>
        <w:ind w:left="720" w:hanging="720"/>
      </w:pPr>
    </w:p>
    <w:p w14:paraId="5C44980B" w14:textId="12B8C411" w:rsidR="007467A9" w:rsidRDefault="00360FDD" w:rsidP="006960DB">
      <w:pPr>
        <w:pStyle w:val="ListParagraph"/>
        <w:keepNext/>
        <w:widowControl/>
        <w:ind w:left="720"/>
      </w:pPr>
      <w:r w:rsidRPr="00360FDD">
        <w:t>In December 2017, the UK and EU affirmed “that the achievements, benefits and commitments of the peace process will remain of paramount importance to peace, stability and reconciliation” and that the Belfast (Good Friday) Agreement must be protected in all its parts, including in its practical application and the totality of the relationships set out in the Agreement.</w:t>
      </w:r>
      <w:r w:rsidR="003B1B30" w:rsidRPr="002A04D2">
        <w:rPr>
          <w:rFonts w:cs="Arial"/>
          <w:color w:val="232120"/>
          <w:vertAlign w:val="superscript"/>
        </w:rPr>
        <w:footnoteReference w:id="17"/>
      </w:r>
      <w:r w:rsidRPr="00360FDD">
        <w:t xml:space="preserve"> In this joint statement, the UK Government also made a commitment </w:t>
      </w:r>
      <w:r w:rsidR="00FA7BCA">
        <w:t xml:space="preserve">for the first time </w:t>
      </w:r>
      <w:r w:rsidRPr="00360FDD">
        <w:t>to ensuring “no diminution of rights” would be “caused by its departure from the EU, including in the area of protection against forms of discrimination enshrined in EU law”.</w:t>
      </w:r>
      <w:r w:rsidR="00BE0D97" w:rsidRPr="002A04D2">
        <w:rPr>
          <w:rFonts w:cs="Arial"/>
          <w:color w:val="232120"/>
          <w:vertAlign w:val="superscript"/>
        </w:rPr>
        <w:footnoteReference w:id="18"/>
      </w:r>
      <w:r w:rsidRPr="00360FDD">
        <w:t xml:space="preserve">   </w:t>
      </w:r>
      <w:r w:rsidR="007467A9" w:rsidRPr="007467A9">
        <w:t xml:space="preserve">   </w:t>
      </w:r>
    </w:p>
    <w:p w14:paraId="5CC4CC72" w14:textId="77777777" w:rsidR="00D96C46" w:rsidRDefault="00D96C46" w:rsidP="006960DB">
      <w:pPr>
        <w:pStyle w:val="ListParagraph"/>
        <w:numPr>
          <w:ilvl w:val="0"/>
          <w:numId w:val="0"/>
        </w:numPr>
        <w:ind w:left="720" w:hanging="720"/>
      </w:pPr>
    </w:p>
    <w:p w14:paraId="36795D80" w14:textId="440DC487" w:rsidR="00F34D30" w:rsidRDefault="00D96C46" w:rsidP="006960DB">
      <w:pPr>
        <w:pStyle w:val="ListParagraph"/>
        <w:ind w:left="720"/>
      </w:pPr>
      <w:r>
        <w:t xml:space="preserve">That </w:t>
      </w:r>
      <w:r w:rsidR="00F34D30">
        <w:t>commitment to safeguarding human rights and equality protections is reflected in Windsor Framework Article 2. It states:</w:t>
      </w:r>
    </w:p>
    <w:p w14:paraId="6904B786" w14:textId="77777777" w:rsidR="00F34D30" w:rsidRDefault="00F34D30" w:rsidP="00F34D30">
      <w:pPr>
        <w:pStyle w:val="ListParagraph"/>
        <w:numPr>
          <w:ilvl w:val="0"/>
          <w:numId w:val="0"/>
        </w:numPr>
        <w:ind w:left="720"/>
      </w:pPr>
    </w:p>
    <w:p w14:paraId="16FB246F" w14:textId="77777777" w:rsidR="00F34D30" w:rsidRDefault="00F34D30" w:rsidP="00F34D30">
      <w:pPr>
        <w:pStyle w:val="ListParagraph"/>
        <w:numPr>
          <w:ilvl w:val="0"/>
          <w:numId w:val="30"/>
        </w:numPr>
      </w:pPr>
      <w:r>
        <w:t>The United Kingdom shall ensure that no diminution of rights, safeguards or equality of opportunity, as set out in that part of the 1998 Agreement entitled Rights, Safeguards and Equality of Opportunity results from its withdrawal from the Union, including in the area of protection against discrimination, as enshrined in the provisions of Union law listed in Annex 1 to this Protocol, and shall implement this paragraph through dedicated mechanisms.</w:t>
      </w:r>
    </w:p>
    <w:p w14:paraId="22D27104" w14:textId="77777777" w:rsidR="00F34D30" w:rsidRDefault="00F34D30" w:rsidP="00F34D30">
      <w:pPr>
        <w:pStyle w:val="ListParagraph"/>
        <w:numPr>
          <w:ilvl w:val="0"/>
          <w:numId w:val="0"/>
        </w:numPr>
        <w:ind w:left="1080"/>
      </w:pPr>
    </w:p>
    <w:p w14:paraId="6C7A4CF3" w14:textId="4F309CC6" w:rsidR="00F34D30" w:rsidRDefault="00F34D30" w:rsidP="00F34D30">
      <w:pPr>
        <w:pStyle w:val="ListParagraph"/>
        <w:numPr>
          <w:ilvl w:val="0"/>
          <w:numId w:val="30"/>
        </w:numPr>
      </w:pPr>
      <w:r>
        <w:t>The United Kingdom shall continue to facilitate the related work of the institutions and bodies set up pursuant to the 1998 Agreement, including the Northern Ireland Human Rights Commission, the Equality Commission for Northern Ireland and the Joint Committee of representatives of the Human Rights Commissions of Northern Ireland and Ireland, in upholding human rights and equality standards.</w:t>
      </w:r>
    </w:p>
    <w:p w14:paraId="68192A30" w14:textId="77777777" w:rsidR="00F56AF6" w:rsidRDefault="00F56AF6" w:rsidP="00F56AF6">
      <w:pPr>
        <w:pStyle w:val="ListParagraph"/>
        <w:numPr>
          <w:ilvl w:val="0"/>
          <w:numId w:val="0"/>
        </w:numPr>
        <w:ind w:left="720"/>
      </w:pPr>
    </w:p>
    <w:p w14:paraId="710E31EC" w14:textId="0ED71245" w:rsidR="0007671E" w:rsidRDefault="00462400" w:rsidP="006960DB">
      <w:pPr>
        <w:pStyle w:val="ListParagraph"/>
        <w:keepNext/>
        <w:widowControl/>
        <w:ind w:left="720"/>
      </w:pPr>
      <w:r>
        <w:lastRenderedPageBreak/>
        <w:t>The objectives of the Windsor Framework include the protection of the 1998 Agreement in all its parts.</w:t>
      </w:r>
      <w:r>
        <w:rPr>
          <w:rStyle w:val="FootnoteReference"/>
        </w:rPr>
        <w:footnoteReference w:id="19"/>
      </w:r>
      <w:r>
        <w:t xml:space="preserve"> </w:t>
      </w:r>
      <w:r w:rsidR="00E96BB9">
        <w:t>Article 2</w:t>
      </w:r>
      <w:r w:rsidR="006D04E4">
        <w:t xml:space="preserve"> is</w:t>
      </w:r>
      <w:r w:rsidR="00E96BB9">
        <w:t xml:space="preserve"> </w:t>
      </w:r>
      <w:r w:rsidR="006D04E4">
        <w:t xml:space="preserve">designed to protect the human rights and equality aspects of the </w:t>
      </w:r>
      <w:r w:rsidR="00EE627C">
        <w:t xml:space="preserve">1998 </w:t>
      </w:r>
      <w:r w:rsidR="006D04E4">
        <w:t>Agreement</w:t>
      </w:r>
      <w:r w:rsidR="009B02E0">
        <w:t xml:space="preserve"> in line with </w:t>
      </w:r>
      <w:r w:rsidR="006D04E4">
        <w:t>that objective</w:t>
      </w:r>
      <w:r w:rsidR="00E96BB9">
        <w:t xml:space="preserve">. </w:t>
      </w:r>
      <w:r w:rsidR="00605AE8">
        <w:t>The ‘ambit’ of</w:t>
      </w:r>
      <w:r w:rsidR="00684675">
        <w:t xml:space="preserve"> t</w:t>
      </w:r>
      <w:r w:rsidR="003E7F8F">
        <w:t>he</w:t>
      </w:r>
      <w:r w:rsidR="00830238">
        <w:t xml:space="preserve"> </w:t>
      </w:r>
      <w:r w:rsidR="003E7F8F">
        <w:t xml:space="preserve">Rights, Safeguards and Equality of Opportunity chapter </w:t>
      </w:r>
      <w:r w:rsidR="0065393D">
        <w:t xml:space="preserve">determines the range of EU-derived </w:t>
      </w:r>
      <w:r w:rsidR="002333DB">
        <w:t xml:space="preserve">measures that continue to set minimum </w:t>
      </w:r>
      <w:r w:rsidR="0065393D">
        <w:t xml:space="preserve">standards </w:t>
      </w:r>
      <w:r w:rsidR="002333DB">
        <w:t>in NI.</w:t>
      </w:r>
      <w:r w:rsidR="00E274F9">
        <w:t xml:space="preserve"> </w:t>
      </w:r>
      <w:r w:rsidR="00316AAA">
        <w:t xml:space="preserve">How </w:t>
      </w:r>
      <w:r w:rsidR="00BF5551">
        <w:t>this connection operates to determine the scope of Article 2 is dealt with below</w:t>
      </w:r>
      <w:r w:rsidR="00CB4E7E">
        <w:t xml:space="preserve"> in response to questions 5 and 6.</w:t>
      </w:r>
    </w:p>
    <w:p w14:paraId="0A8A30C3" w14:textId="29823C5E" w:rsidR="00090EB6" w:rsidRPr="00C23723" w:rsidRDefault="00090EB6" w:rsidP="006960DB">
      <w:pPr>
        <w:pStyle w:val="ListParagraph"/>
        <w:numPr>
          <w:ilvl w:val="0"/>
          <w:numId w:val="0"/>
        </w:numPr>
        <w:ind w:left="720" w:hanging="720"/>
      </w:pPr>
    </w:p>
    <w:p w14:paraId="1A123990" w14:textId="574CAAEE" w:rsidR="00313F77" w:rsidRPr="003717A3" w:rsidRDefault="00313F77" w:rsidP="006960DB">
      <w:pPr>
        <w:pStyle w:val="ListParagraph"/>
        <w:ind w:left="720"/>
        <w:rPr>
          <w:b/>
          <w:bCs/>
        </w:rPr>
      </w:pPr>
      <w:r w:rsidRPr="003717A3">
        <w:rPr>
          <w:b/>
          <w:bCs/>
        </w:rPr>
        <w:t>The NIHRC recommends that the Committee affirm that human rights and equality were central to the Belfast (Good Friday) Agreement; that human rights and equality standards in NI lagged behind G</w:t>
      </w:r>
      <w:r w:rsidR="000548B9">
        <w:rPr>
          <w:b/>
          <w:bCs/>
        </w:rPr>
        <w:t xml:space="preserve">reat </w:t>
      </w:r>
      <w:r w:rsidRPr="003717A3">
        <w:rPr>
          <w:b/>
          <w:bCs/>
        </w:rPr>
        <w:t>B</w:t>
      </w:r>
      <w:r w:rsidR="000548B9">
        <w:rPr>
          <w:b/>
          <w:bCs/>
        </w:rPr>
        <w:t>ritain</w:t>
      </w:r>
      <w:r w:rsidRPr="003717A3">
        <w:rPr>
          <w:b/>
          <w:bCs/>
        </w:rPr>
        <w:t xml:space="preserve"> and Ireland before Brexit and continue to do so; that EU law underpinned most of what limited progress was made on human rights and equality in NI since 1998; that this is the context that resulted in the negotiation of </w:t>
      </w:r>
      <w:r w:rsidR="00D220E3" w:rsidRPr="003717A3">
        <w:rPr>
          <w:b/>
          <w:bCs/>
        </w:rPr>
        <w:t xml:space="preserve">Windsor Framework </w:t>
      </w:r>
      <w:r w:rsidRPr="003717A3">
        <w:rPr>
          <w:b/>
          <w:bCs/>
        </w:rPr>
        <w:t xml:space="preserve">Article 2; and that it was designed to protect the Belfast (Good Friday) Agreement by preventing a reduction in </w:t>
      </w:r>
      <w:r w:rsidR="00AF0218" w:rsidRPr="003717A3">
        <w:rPr>
          <w:b/>
          <w:bCs/>
        </w:rPr>
        <w:t>EU-derived</w:t>
      </w:r>
      <w:r w:rsidRPr="003717A3">
        <w:rPr>
          <w:b/>
          <w:bCs/>
        </w:rPr>
        <w:t xml:space="preserve"> human rights and equality standards in NI. </w:t>
      </w:r>
    </w:p>
    <w:p w14:paraId="55D827AB" w14:textId="77777777" w:rsidR="00A25A81" w:rsidRPr="00A25A81" w:rsidRDefault="00A25A81" w:rsidP="00A25A81">
      <w:pPr>
        <w:pStyle w:val="ListParagraph"/>
        <w:numPr>
          <w:ilvl w:val="0"/>
          <w:numId w:val="0"/>
        </w:numPr>
        <w:ind w:left="720"/>
        <w:rPr>
          <w:b/>
          <w:bCs/>
        </w:rPr>
      </w:pPr>
    </w:p>
    <w:p w14:paraId="31D61FE1" w14:textId="77777777" w:rsidR="002A7601" w:rsidRDefault="002A7601" w:rsidP="002A7601">
      <w:pPr>
        <w:pStyle w:val="Heading2"/>
      </w:pPr>
      <w:bookmarkStart w:id="9" w:name="_Toc235087536"/>
      <w:r>
        <w:t xml:space="preserve">Question 2: </w:t>
      </w:r>
      <w:r w:rsidRPr="0017175B">
        <w:t>Prior to Brexit, how were the rights, safeguards, and equality of opportunity (RSEO) provisions of the Belfast/ Good Friday Agreement protected?</w:t>
      </w:r>
      <w:bookmarkEnd w:id="9"/>
    </w:p>
    <w:p w14:paraId="633A2FD8" w14:textId="790DEF31" w:rsidR="002A7601" w:rsidRDefault="002A7601" w:rsidP="006960DB">
      <w:pPr>
        <w:pStyle w:val="ListParagraph"/>
        <w:keepNext/>
        <w:widowControl/>
        <w:ind w:left="720"/>
      </w:pPr>
      <w:r w:rsidRPr="004A100E">
        <w:t xml:space="preserve">The </w:t>
      </w:r>
      <w:r>
        <w:t>Rights, Safeguards and Equality of Opportunity</w:t>
      </w:r>
      <w:r w:rsidRPr="004A100E">
        <w:t xml:space="preserve"> chapter of the </w:t>
      </w:r>
      <w:r>
        <w:t>Belfast (Good Friday) Agreement</w:t>
      </w:r>
      <w:r w:rsidRPr="004A100E">
        <w:t xml:space="preserve"> was not drafted as a comprehensive statement of rights</w:t>
      </w:r>
      <w:r>
        <w:t xml:space="preserve"> and was forward</w:t>
      </w:r>
      <w:r w:rsidR="00167364">
        <w:t>-</w:t>
      </w:r>
      <w:r>
        <w:t>looking</w:t>
      </w:r>
      <w:r w:rsidR="00E37DEA">
        <w:t>: i</w:t>
      </w:r>
      <w:r>
        <w:t xml:space="preserve">t </w:t>
      </w:r>
      <w:r w:rsidRPr="004A100E">
        <w:t>anticipat</w:t>
      </w:r>
      <w:r>
        <w:t>ed</w:t>
      </w:r>
      <w:r w:rsidRPr="004A100E">
        <w:t xml:space="preserve"> further work to guarantee the enjoyment of rights</w:t>
      </w:r>
      <w:r>
        <w:t xml:space="preserve"> and was not as a whole incorporated directly into domestic law</w:t>
      </w:r>
      <w:r w:rsidRPr="004A100E">
        <w:t xml:space="preserve">. </w:t>
      </w:r>
      <w:r w:rsidRPr="009C330D">
        <w:t xml:space="preserve">While the ECHR was incorporated into UK law via the Human Rights Act, </w:t>
      </w:r>
      <w:r>
        <w:t xml:space="preserve">the 1998 Agreement also envisaged </w:t>
      </w:r>
      <w:r w:rsidRPr="009C330D">
        <w:t xml:space="preserve">a Bill of Rights for NI to </w:t>
      </w:r>
      <w:r>
        <w:t xml:space="preserve">supplement ECHR rights and to </w:t>
      </w:r>
      <w:r w:rsidRPr="009C330D">
        <w:t>reflect the particular circumstances in NI</w:t>
      </w:r>
      <w:r>
        <w:t>,</w:t>
      </w:r>
      <w:r w:rsidRPr="009C330D">
        <w:t xml:space="preserve"> drawing on international instruments and experience</w:t>
      </w:r>
      <w:r>
        <w:t>.</w:t>
      </w:r>
      <w:r w:rsidRPr="00C23081">
        <w:rPr>
          <w:rFonts w:cs="Arial"/>
          <w:color w:val="232120"/>
          <w:vertAlign w:val="superscript"/>
        </w:rPr>
        <w:footnoteReference w:id="20"/>
      </w:r>
      <w:r>
        <w:t xml:space="preserve"> That </w:t>
      </w:r>
      <w:r>
        <w:lastRenderedPageBreak/>
        <w:t>envisaged framework for rights and equality in NI has not been achieved: a Bill of Rights remain</w:t>
      </w:r>
      <w:r w:rsidRPr="009C330D">
        <w:t xml:space="preserve"> outstanding</w:t>
      </w:r>
      <w:r>
        <w:t xml:space="preserve">. </w:t>
      </w:r>
    </w:p>
    <w:p w14:paraId="4A4A6203" w14:textId="77777777" w:rsidR="002A7601" w:rsidRDefault="002A7601" w:rsidP="006960DB">
      <w:pPr>
        <w:pStyle w:val="ListParagraph"/>
        <w:numPr>
          <w:ilvl w:val="0"/>
          <w:numId w:val="0"/>
        </w:numPr>
        <w:ind w:left="720" w:hanging="720"/>
      </w:pPr>
    </w:p>
    <w:p w14:paraId="229EE030" w14:textId="4A09741E" w:rsidR="002A7601" w:rsidRDefault="002A7601" w:rsidP="006960DB">
      <w:pPr>
        <w:pStyle w:val="ListParagraph"/>
        <w:keepNext/>
        <w:widowControl/>
        <w:ind w:left="720"/>
      </w:pPr>
      <w:r>
        <w:t>The establishment of the NIHRC and Equality Commission for NI are also provided for in the Rights, Safeguards and Equality of Opportunity</w:t>
      </w:r>
      <w:r w:rsidRPr="004A100E">
        <w:t xml:space="preserve"> chapter</w:t>
      </w:r>
      <w:r>
        <w:t xml:space="preserve"> and were established under the </w:t>
      </w:r>
      <w:r w:rsidR="00BF3D92">
        <w:t>Northern Ireland</w:t>
      </w:r>
      <w:r>
        <w:t xml:space="preserve"> Act 1998, which also provides for a statutory equality duty. </w:t>
      </w:r>
      <w:r w:rsidRPr="007473C2">
        <w:t xml:space="preserve">This is supplemented by a patchwork of individual pieces of equality legislation, some of which </w:t>
      </w:r>
      <w:r w:rsidR="006C018B">
        <w:t>are</w:t>
      </w:r>
      <w:r w:rsidR="006C018B" w:rsidRPr="007473C2">
        <w:t xml:space="preserve"> </w:t>
      </w:r>
      <w:r w:rsidRPr="007473C2">
        <w:t>decades old</w:t>
      </w:r>
      <w:r>
        <w:t xml:space="preserve"> and were often a result of EU obligations.</w:t>
      </w:r>
      <w:r w:rsidRPr="00C23081">
        <w:rPr>
          <w:rFonts w:cs="Arial"/>
          <w:color w:val="232120"/>
          <w:vertAlign w:val="superscript"/>
        </w:rPr>
        <w:footnoteReference w:id="21"/>
      </w:r>
    </w:p>
    <w:p w14:paraId="440B55C6" w14:textId="77777777" w:rsidR="002A7601" w:rsidRDefault="002A7601" w:rsidP="006960DB">
      <w:pPr>
        <w:pStyle w:val="ListParagraph"/>
        <w:numPr>
          <w:ilvl w:val="0"/>
          <w:numId w:val="0"/>
        </w:numPr>
        <w:ind w:left="720" w:hanging="720"/>
      </w:pPr>
    </w:p>
    <w:p w14:paraId="01E65996" w14:textId="77777777" w:rsidR="002A7601" w:rsidRDefault="002A7601" w:rsidP="006960DB">
      <w:pPr>
        <w:pStyle w:val="ListParagraph"/>
        <w:keepNext/>
        <w:widowControl/>
        <w:ind w:left="720"/>
      </w:pPr>
      <w:r>
        <w:t xml:space="preserve">While the current rights and equality framework falls short of what was intended under the 1998 Agreement, much of the progress since 1998 resulted from EU obligations. Despite this, prior to and since Brexit, human rights and equality standards in NI have </w:t>
      </w:r>
      <w:proofErr w:type="gramStart"/>
      <w:r>
        <w:t>lagged behind</w:t>
      </w:r>
      <w:proofErr w:type="gramEnd"/>
      <w:r>
        <w:t xml:space="preserve"> those in Britain and Ireland in several regards, as referenced below.</w:t>
      </w:r>
    </w:p>
    <w:p w14:paraId="65F0B875" w14:textId="77777777" w:rsidR="00867BC6" w:rsidRDefault="00867BC6" w:rsidP="00D220E3">
      <w:pPr>
        <w:ind w:left="720" w:hanging="720"/>
      </w:pPr>
    </w:p>
    <w:p w14:paraId="5AF8BEFC" w14:textId="7B3398CA" w:rsidR="000C115C" w:rsidRDefault="00867BC6" w:rsidP="00EF773A">
      <w:pPr>
        <w:pStyle w:val="Heading2"/>
      </w:pPr>
      <w:bookmarkStart w:id="10" w:name="_Toc235087537"/>
      <w:r>
        <w:t xml:space="preserve">Question 3: </w:t>
      </w:r>
      <w:r w:rsidRPr="0017175B">
        <w:t>What is your view as to the inclusion of Article 2 in the Protocol/ Windsor Framework?</w:t>
      </w:r>
      <w:bookmarkEnd w:id="10"/>
    </w:p>
    <w:p w14:paraId="5C62ABEA" w14:textId="5E58FED4" w:rsidR="00B16FDB" w:rsidRDefault="00362126" w:rsidP="006960DB">
      <w:pPr>
        <w:pStyle w:val="ListParagraph"/>
        <w:keepNext/>
        <w:widowControl/>
        <w:ind w:left="720"/>
      </w:pPr>
      <w:r w:rsidRPr="00362126">
        <w:t xml:space="preserve">The inclusion of Article 2 within the Windsor Framework is a necessary </w:t>
      </w:r>
      <w:r w:rsidR="00B16FDB" w:rsidRPr="00B16FDB">
        <w:t>commitment to rights and equality protection in a society where</w:t>
      </w:r>
      <w:r w:rsidR="00A317EB">
        <w:t>,</w:t>
      </w:r>
      <w:r w:rsidR="00B16FDB" w:rsidRPr="00B16FDB">
        <w:t xml:space="preserve"> </w:t>
      </w:r>
      <w:r w:rsidR="00A317EB" w:rsidRPr="00B16FDB">
        <w:t>in many instances</w:t>
      </w:r>
      <w:r w:rsidR="00A317EB">
        <w:t>,</w:t>
      </w:r>
      <w:r w:rsidR="00A317EB" w:rsidRPr="00B16FDB">
        <w:t xml:space="preserve"> </w:t>
      </w:r>
      <w:r w:rsidR="00B16FDB" w:rsidRPr="00B16FDB">
        <w:t>such protections still</w:t>
      </w:r>
      <w:r w:rsidR="00A317EB">
        <w:t xml:space="preserve"> </w:t>
      </w:r>
      <w:r w:rsidR="00B16FDB" w:rsidRPr="00B16FDB">
        <w:t>fall short of those enjoyed in the rest of the UK and Ireland, and where the fulfilment of rights promised in the</w:t>
      </w:r>
      <w:r w:rsidR="00135F8B">
        <w:t xml:space="preserve"> Belfast</w:t>
      </w:r>
      <w:r w:rsidR="00B16FDB" w:rsidRPr="00B16FDB">
        <w:t xml:space="preserve"> </w:t>
      </w:r>
      <w:r w:rsidR="00135F8B">
        <w:t>(</w:t>
      </w:r>
      <w:r w:rsidR="00B16FDB" w:rsidRPr="00B16FDB">
        <w:t>Good Friday</w:t>
      </w:r>
      <w:r w:rsidR="00135F8B">
        <w:t>)</w:t>
      </w:r>
      <w:r w:rsidR="00B16FDB" w:rsidRPr="00B16FDB">
        <w:t xml:space="preserve"> Agreement are often the subject of political contestation.</w:t>
      </w:r>
      <w:r w:rsidR="0046608F">
        <w:t xml:space="preserve"> </w:t>
      </w:r>
      <w:r w:rsidR="001E66DF" w:rsidRPr="001E66DF">
        <w:t xml:space="preserve">Windsor Framework Article 1 stipulates the objective of the entire </w:t>
      </w:r>
      <w:r w:rsidR="00D220E3" w:rsidRPr="001E66DF">
        <w:t xml:space="preserve">Windsor </w:t>
      </w:r>
      <w:r w:rsidR="001E66DF" w:rsidRPr="001E66DF">
        <w:t xml:space="preserve">Framework is to </w:t>
      </w:r>
      <w:r w:rsidR="001E66DF">
        <w:t>“</w:t>
      </w:r>
      <w:r w:rsidR="001E66DF" w:rsidRPr="001E66DF">
        <w:t>address the unique circumstances on the island of Ireland, to maintain the necessary conditions for continued North-South cooperation, to avoid a hard border and to protect the 1998 Agreement in all its dimensions</w:t>
      </w:r>
      <w:r w:rsidR="001E66DF">
        <w:t>”</w:t>
      </w:r>
      <w:r w:rsidR="00045BB4">
        <w:t>.</w:t>
      </w:r>
      <w:r w:rsidR="003B6226">
        <w:t xml:space="preserve"> Article 2 is </w:t>
      </w:r>
      <w:r w:rsidR="00423CB8">
        <w:t xml:space="preserve">central to achieving this. </w:t>
      </w:r>
    </w:p>
    <w:p w14:paraId="7C1AF5C8" w14:textId="77777777" w:rsidR="00135F8B" w:rsidRDefault="00135F8B" w:rsidP="006960DB">
      <w:pPr>
        <w:pStyle w:val="ListParagraph"/>
        <w:keepNext/>
        <w:widowControl/>
        <w:numPr>
          <w:ilvl w:val="0"/>
          <w:numId w:val="0"/>
        </w:numPr>
        <w:ind w:left="720" w:hanging="720"/>
      </w:pPr>
    </w:p>
    <w:p w14:paraId="682915CA" w14:textId="365A46F5" w:rsidR="00867BC6" w:rsidRDefault="00BF15C2" w:rsidP="006960DB">
      <w:pPr>
        <w:pStyle w:val="ListParagraph"/>
        <w:keepNext/>
        <w:widowControl/>
        <w:ind w:left="720"/>
      </w:pPr>
      <w:r w:rsidRPr="00BF15C2">
        <w:t xml:space="preserve">The </w:t>
      </w:r>
      <w:r w:rsidR="00362126" w:rsidRPr="00362126">
        <w:t>accept</w:t>
      </w:r>
      <w:r w:rsidR="00DC78E9">
        <w:t xml:space="preserve">ed </w:t>
      </w:r>
      <w:r w:rsidR="00362126" w:rsidRPr="00362126">
        <w:t xml:space="preserve">importance </w:t>
      </w:r>
      <w:r w:rsidRPr="00BF15C2">
        <w:t xml:space="preserve">of </w:t>
      </w:r>
      <w:r w:rsidR="00045BB4">
        <w:t xml:space="preserve">Windsor Framework </w:t>
      </w:r>
      <w:r w:rsidR="00DC78E9">
        <w:t>Article 2</w:t>
      </w:r>
      <w:r w:rsidR="00362126" w:rsidRPr="00362126">
        <w:t xml:space="preserve"> is evident in the fact that the core commitment </w:t>
      </w:r>
      <w:r w:rsidR="00FB630A">
        <w:rPr>
          <w:rFonts w:cs="Arial"/>
          <w:color w:val="232120"/>
        </w:rPr>
        <w:t>not to backtrack on existing</w:t>
      </w:r>
      <w:r w:rsidR="00362126">
        <w:rPr>
          <w:rFonts w:cs="Arial"/>
          <w:color w:val="232120"/>
        </w:rPr>
        <w:t xml:space="preserve"> rights </w:t>
      </w:r>
      <w:r w:rsidR="00362126" w:rsidRPr="00362126">
        <w:t xml:space="preserve">remained an undisputed element of the UK-EU negotiations </w:t>
      </w:r>
      <w:r w:rsidR="00362126" w:rsidRPr="00362126">
        <w:lastRenderedPageBreak/>
        <w:t xml:space="preserve">leading up to the </w:t>
      </w:r>
      <w:r w:rsidR="003F2DA6">
        <w:t>signature and ratification of the UK-EU Withdrawal Agreement</w:t>
      </w:r>
      <w:r w:rsidR="00411009">
        <w:rPr>
          <w:rStyle w:val="FootnoteReference"/>
        </w:rPr>
        <w:footnoteReference w:id="22"/>
      </w:r>
      <w:r w:rsidR="00362126" w:rsidRPr="00362126">
        <w:t xml:space="preserve"> and was reaffirmed by the UK Government in its 2020 Explainer Document.</w:t>
      </w:r>
      <w:r w:rsidR="00760667">
        <w:rPr>
          <w:rStyle w:val="FootnoteReference"/>
        </w:rPr>
        <w:footnoteReference w:id="23"/>
      </w:r>
      <w:r w:rsidR="00362126" w:rsidRPr="00362126">
        <w:t xml:space="preserve"> Indeed, the </w:t>
      </w:r>
      <w:r w:rsidR="00A51ABA">
        <w:t>previous</w:t>
      </w:r>
      <w:r w:rsidR="00362126" w:rsidRPr="00362126">
        <w:t xml:space="preserve"> UK Government not</w:t>
      </w:r>
      <w:r w:rsidR="009A14F5">
        <w:t>ed</w:t>
      </w:r>
      <w:r w:rsidR="0082289F">
        <w:t xml:space="preserve"> in 2021</w:t>
      </w:r>
      <w:r w:rsidR="00362126" w:rsidRPr="00362126">
        <w:t xml:space="preserve"> that “the provisions that ensure there is no diminution of human rights in NI as a result of the UK’s withdrawal from the EU are not controversial”.</w:t>
      </w:r>
      <w:r w:rsidR="0065711C" w:rsidRPr="00591762">
        <w:rPr>
          <w:rFonts w:cs="Arial"/>
          <w:color w:val="232120"/>
          <w:vertAlign w:val="superscript"/>
        </w:rPr>
        <w:footnoteReference w:id="24"/>
      </w:r>
    </w:p>
    <w:p w14:paraId="21441718" w14:textId="77777777" w:rsidR="00867BC6" w:rsidRDefault="00867BC6" w:rsidP="009E1287">
      <w:pPr>
        <w:pStyle w:val="ListParagraph"/>
        <w:widowControl/>
        <w:numPr>
          <w:ilvl w:val="0"/>
          <w:numId w:val="0"/>
        </w:numPr>
        <w:ind w:left="720"/>
      </w:pPr>
    </w:p>
    <w:p w14:paraId="7AD659BA" w14:textId="7CB1365F" w:rsidR="00867BC6" w:rsidRPr="00867BC6" w:rsidRDefault="00867BC6" w:rsidP="00EF773A">
      <w:pPr>
        <w:pStyle w:val="Heading2"/>
      </w:pPr>
      <w:bookmarkStart w:id="11" w:name="_Toc235087538"/>
      <w:r>
        <w:t xml:space="preserve">Question 4: </w:t>
      </w:r>
      <w:r w:rsidRPr="00294D72">
        <w:t xml:space="preserve">What obligation is imposed on the UK Government by </w:t>
      </w:r>
      <w:r w:rsidR="00964404">
        <w:t xml:space="preserve">Windsor Framework </w:t>
      </w:r>
      <w:r w:rsidRPr="00294D72">
        <w:t xml:space="preserve">Article 2? What is the significance of this obligation for </w:t>
      </w:r>
      <w:r w:rsidR="00964404">
        <w:t>NI</w:t>
      </w:r>
      <w:r w:rsidRPr="00294D72">
        <w:t>, and for the UK Government?</w:t>
      </w:r>
      <w:bookmarkEnd w:id="11"/>
    </w:p>
    <w:p w14:paraId="76C9AEDF" w14:textId="1D5CA0F2" w:rsidR="007D05BA" w:rsidRDefault="00964404" w:rsidP="006960DB">
      <w:pPr>
        <w:pStyle w:val="ListParagraph"/>
        <w:widowControl/>
        <w:ind w:left="720"/>
      </w:pPr>
      <w:r>
        <w:t>Windsor Framework Article 2 is a unilateral commitment of the UK Government</w:t>
      </w:r>
      <w:r w:rsidR="00D51708">
        <w:t xml:space="preserve"> to the EU in the UK-EU Withdrawal Agreement. </w:t>
      </w:r>
      <w:r w:rsidR="00847961">
        <w:t xml:space="preserve">As a matter of international law, this is a binding commitment </w:t>
      </w:r>
      <w:r w:rsidR="00DA7F68">
        <w:t xml:space="preserve">by </w:t>
      </w:r>
      <w:r w:rsidR="00847961">
        <w:t xml:space="preserve">the UK </w:t>
      </w:r>
      <w:r w:rsidR="00D47635">
        <w:t>to its treaty partner</w:t>
      </w:r>
      <w:r w:rsidR="00437B05">
        <w:t xml:space="preserve"> and </w:t>
      </w:r>
      <w:r w:rsidR="00437B05" w:rsidRPr="00437B05">
        <w:t>subject to the dispute resolution mechanisms set out in Articles 167 to 181 of the treaty</w:t>
      </w:r>
      <w:r w:rsidR="00D47635">
        <w:t xml:space="preserve">. It </w:t>
      </w:r>
      <w:r w:rsidR="00847961">
        <w:t xml:space="preserve">is the </w:t>
      </w:r>
      <w:r w:rsidR="00DA7F68">
        <w:t xml:space="preserve">UK Government’s responsibility to ensure compliance with its international commitments.  </w:t>
      </w:r>
    </w:p>
    <w:p w14:paraId="0752A5BC" w14:textId="77777777" w:rsidR="00847961" w:rsidRDefault="00847961" w:rsidP="006960DB">
      <w:pPr>
        <w:pStyle w:val="ListParagraph"/>
        <w:keepNext/>
        <w:widowControl/>
        <w:numPr>
          <w:ilvl w:val="0"/>
          <w:numId w:val="0"/>
        </w:numPr>
        <w:ind w:left="720" w:hanging="720"/>
      </w:pPr>
    </w:p>
    <w:p w14:paraId="78893550" w14:textId="3AD8D1BC" w:rsidR="00F43A41" w:rsidRDefault="00674522" w:rsidP="006960DB">
      <w:pPr>
        <w:pStyle w:val="ListParagraph"/>
        <w:widowControl/>
        <w:ind w:left="720"/>
      </w:pPr>
      <w:r>
        <w:t xml:space="preserve">Article 4 of the </w:t>
      </w:r>
      <w:r w:rsidR="006F2AE9">
        <w:t xml:space="preserve">UK-EU </w:t>
      </w:r>
      <w:r>
        <w:t xml:space="preserve">Withdrawal Agreement provides for the </w:t>
      </w:r>
      <w:r w:rsidRPr="00674522">
        <w:t xml:space="preserve">methods and principles </w:t>
      </w:r>
      <w:r w:rsidR="00A73156">
        <w:t>relating to</w:t>
      </w:r>
      <w:r>
        <w:t xml:space="preserve"> the </w:t>
      </w:r>
      <w:r w:rsidRPr="00674522">
        <w:t xml:space="preserve">effect, implementation and application </w:t>
      </w:r>
      <w:r>
        <w:t xml:space="preserve">of the Agreement. </w:t>
      </w:r>
      <w:r w:rsidR="00584D91">
        <w:t xml:space="preserve">It </w:t>
      </w:r>
      <w:r w:rsidR="00DA7F68">
        <w:t xml:space="preserve">requires that </w:t>
      </w:r>
      <w:r w:rsidR="00584D91">
        <w:t>p</w:t>
      </w:r>
      <w:r w:rsidR="00657E4C" w:rsidRPr="00674522">
        <w:t xml:space="preserve">rovisions </w:t>
      </w:r>
      <w:r w:rsidRPr="00674522">
        <w:t xml:space="preserve">of </w:t>
      </w:r>
      <w:r>
        <w:t>the</w:t>
      </w:r>
      <w:r w:rsidR="009D317E">
        <w:t xml:space="preserve"> </w:t>
      </w:r>
      <w:r>
        <w:t>Withdrawal Agreemen</w:t>
      </w:r>
      <w:r w:rsidR="00657E4C">
        <w:t xml:space="preserve">t, </w:t>
      </w:r>
      <w:r>
        <w:t xml:space="preserve">and the </w:t>
      </w:r>
      <w:r w:rsidRPr="00674522">
        <w:t xml:space="preserve">provisions of </w:t>
      </w:r>
      <w:r>
        <w:t xml:space="preserve">EU </w:t>
      </w:r>
      <w:r w:rsidRPr="00674522">
        <w:t xml:space="preserve">law made applicable by </w:t>
      </w:r>
      <w:r>
        <w:t>it</w:t>
      </w:r>
      <w:r w:rsidR="00657E4C">
        <w:t>,</w:t>
      </w:r>
      <w:r>
        <w:t xml:space="preserve"> </w:t>
      </w:r>
      <w:r w:rsidRPr="00674522">
        <w:t xml:space="preserve">produce the same legal effects </w:t>
      </w:r>
      <w:r>
        <w:t xml:space="preserve">within the UK as within the EU and its </w:t>
      </w:r>
      <w:r w:rsidRPr="00674522">
        <w:t xml:space="preserve">Member States. </w:t>
      </w:r>
      <w:r w:rsidR="009D317E">
        <w:t xml:space="preserve">It further </w:t>
      </w:r>
      <w:r w:rsidR="00A73156">
        <w:t>specifies</w:t>
      </w:r>
      <w:r w:rsidR="00DA7F68">
        <w:t xml:space="preserve"> </w:t>
      </w:r>
      <w:r w:rsidR="009D317E">
        <w:t>that n</w:t>
      </w:r>
      <w:r w:rsidR="009D317E" w:rsidRPr="00674522">
        <w:t xml:space="preserve">atural </w:t>
      </w:r>
      <w:r w:rsidR="00584D91">
        <w:t xml:space="preserve">or legal </w:t>
      </w:r>
      <w:r w:rsidRPr="00674522">
        <w:t xml:space="preserve">persons </w:t>
      </w:r>
      <w:r w:rsidR="00A73156">
        <w:t>can</w:t>
      </w:r>
      <w:r w:rsidR="00584D91">
        <w:t xml:space="preserve"> </w:t>
      </w:r>
      <w:r w:rsidRPr="00674522">
        <w:t xml:space="preserve">rely directly on the provisions </w:t>
      </w:r>
      <w:r w:rsidR="009D317E">
        <w:t>“</w:t>
      </w:r>
      <w:r w:rsidRPr="00674522">
        <w:t>contained or referred to</w:t>
      </w:r>
      <w:r w:rsidR="009D317E">
        <w:t>”</w:t>
      </w:r>
      <w:r w:rsidRPr="00674522">
        <w:t xml:space="preserve"> in </w:t>
      </w:r>
      <w:r w:rsidR="009D317E">
        <w:t xml:space="preserve">the Withdrawal </w:t>
      </w:r>
      <w:r w:rsidRPr="00674522">
        <w:t xml:space="preserve">Agreement which meet the conditions for direct effect under </w:t>
      </w:r>
      <w:r w:rsidR="009D317E">
        <w:t xml:space="preserve">EU law. </w:t>
      </w:r>
      <w:r w:rsidR="00F41EB1">
        <w:t xml:space="preserve">As noted by the UK Supreme Court in </w:t>
      </w:r>
      <w:r w:rsidR="00F41EB1" w:rsidRPr="00E2206C">
        <w:rPr>
          <w:i/>
          <w:iCs/>
        </w:rPr>
        <w:t>Allister</w:t>
      </w:r>
      <w:r w:rsidR="00F41EB1">
        <w:t>:</w:t>
      </w:r>
    </w:p>
    <w:p w14:paraId="6BA42BBE" w14:textId="1D1638AE" w:rsidR="00F41EB1" w:rsidRDefault="00F41EB1" w:rsidP="00F43A41">
      <w:pPr>
        <w:pStyle w:val="ListParagraph"/>
        <w:numPr>
          <w:ilvl w:val="0"/>
          <w:numId w:val="0"/>
        </w:numPr>
        <w:ind w:left="720"/>
      </w:pPr>
      <w:r>
        <w:t xml:space="preserve"> </w:t>
      </w:r>
    </w:p>
    <w:p w14:paraId="4B6BB868" w14:textId="71BD72E4" w:rsidR="00674522" w:rsidRDefault="00F41EB1" w:rsidP="00F41EB1">
      <w:pPr>
        <w:pStyle w:val="Quote"/>
      </w:pPr>
      <w:r>
        <w:t xml:space="preserve">In this way the Withdrawal Agreement makes provision for its direct application in Union law and in UK domestic law. It also makes provision for legal or natural persons being able </w:t>
      </w:r>
      <w:r>
        <w:lastRenderedPageBreak/>
        <w:t>to rely directly on the provisions of the Withdrawal Agreement in certain circumstances.</w:t>
      </w:r>
      <w:r>
        <w:rPr>
          <w:rStyle w:val="FootnoteReference"/>
        </w:rPr>
        <w:footnoteReference w:id="25"/>
      </w:r>
    </w:p>
    <w:p w14:paraId="418C9758" w14:textId="77777777" w:rsidR="009D317E" w:rsidRPr="00674522" w:rsidRDefault="009D317E" w:rsidP="00580734">
      <w:pPr>
        <w:pStyle w:val="ListParagraph"/>
        <w:keepNext/>
        <w:widowControl/>
        <w:numPr>
          <w:ilvl w:val="0"/>
          <w:numId w:val="0"/>
        </w:numPr>
        <w:ind w:left="720"/>
      </w:pPr>
    </w:p>
    <w:p w14:paraId="2A46438E" w14:textId="44534765" w:rsidR="00AF4BE5" w:rsidRDefault="009D317E" w:rsidP="006960DB">
      <w:pPr>
        <w:pStyle w:val="ListParagraph"/>
        <w:keepNext/>
        <w:widowControl/>
        <w:ind w:left="720"/>
      </w:pPr>
      <w:r w:rsidRPr="009D317E">
        <w:t>Section 7A of the EU (Withdrawal) Act 2018</w:t>
      </w:r>
      <w:r w:rsidR="00DA7F68">
        <w:t xml:space="preserve"> provides</w:t>
      </w:r>
      <w:r w:rsidR="00A73156">
        <w:t xml:space="preserve"> that</w:t>
      </w:r>
      <w:r w:rsidR="00DA7F68">
        <w:t xml:space="preserve"> </w:t>
      </w:r>
      <w:r w:rsidRPr="009D317E">
        <w:t xml:space="preserve">the rights, obligations and remedies arising under the </w:t>
      </w:r>
      <w:r w:rsidR="006F2AE9">
        <w:t>UK-EU</w:t>
      </w:r>
      <w:r w:rsidRPr="009D317E">
        <w:t xml:space="preserve"> Withdrawal Agreement </w:t>
      </w:r>
      <w:r>
        <w:t xml:space="preserve">are given legal effect </w:t>
      </w:r>
      <w:r w:rsidRPr="009D317E">
        <w:t>in UK law without the need for further enactment.</w:t>
      </w:r>
      <w:r w:rsidR="00DA7F68">
        <w:rPr>
          <w:rStyle w:val="FootnoteReference"/>
        </w:rPr>
        <w:footnoteReference w:id="26"/>
      </w:r>
      <w:r>
        <w:t xml:space="preserve"> </w:t>
      </w:r>
      <w:r w:rsidR="00A73156">
        <w:t xml:space="preserve">This incorporates the treaty, including </w:t>
      </w:r>
      <w:r w:rsidR="00F56E11">
        <w:t xml:space="preserve">Windsor Framework </w:t>
      </w:r>
      <w:r w:rsidR="00A73156">
        <w:t xml:space="preserve">Article 2, into domestic law. </w:t>
      </w:r>
      <w:r w:rsidR="008C1EA4">
        <w:t xml:space="preserve">The NI </w:t>
      </w:r>
      <w:r w:rsidR="008C1EA4" w:rsidRPr="008C1EA4">
        <w:t>Assembly is prohibited from making any law which is incompatible with Windsor Framework Article 2</w:t>
      </w:r>
      <w:r w:rsidR="008C1EA4">
        <w:rPr>
          <w:rStyle w:val="FootnoteReference"/>
        </w:rPr>
        <w:footnoteReference w:id="27"/>
      </w:r>
      <w:r w:rsidR="008C1EA4" w:rsidRPr="008C1EA4">
        <w:t xml:space="preserve"> </w:t>
      </w:r>
      <w:r w:rsidR="008C1EA4">
        <w:t xml:space="preserve">and a similar </w:t>
      </w:r>
      <w:r w:rsidR="008C1EA4" w:rsidRPr="008C1EA4">
        <w:t xml:space="preserve">restriction </w:t>
      </w:r>
      <w:r w:rsidR="008C1EA4">
        <w:t xml:space="preserve">applies </w:t>
      </w:r>
      <w:r w:rsidR="008C1EA4" w:rsidRPr="008C1EA4">
        <w:t>regarding all acts of NI departments</w:t>
      </w:r>
      <w:r w:rsidR="008C1EA4">
        <w:t>.</w:t>
      </w:r>
      <w:r w:rsidR="008C1EA4">
        <w:rPr>
          <w:rStyle w:val="FootnoteReference"/>
        </w:rPr>
        <w:footnoteReference w:id="28"/>
      </w:r>
      <w:r w:rsidR="008C1EA4" w:rsidRPr="008C1EA4">
        <w:t xml:space="preserve"> </w:t>
      </w:r>
      <w:r w:rsidR="00A73156">
        <w:t xml:space="preserve">Westminster legislation affecting </w:t>
      </w:r>
      <w:r w:rsidR="00F56E11">
        <w:t>NI</w:t>
      </w:r>
      <w:r w:rsidR="00A73156">
        <w:t xml:space="preserve"> is also subject to Windsor Framework Article 2.</w:t>
      </w:r>
    </w:p>
    <w:p w14:paraId="11FA0294" w14:textId="77777777" w:rsidR="00AF4BE5" w:rsidRDefault="00AF4BE5" w:rsidP="006960DB">
      <w:pPr>
        <w:pStyle w:val="ListParagraph"/>
        <w:keepNext/>
        <w:widowControl/>
        <w:numPr>
          <w:ilvl w:val="0"/>
          <w:numId w:val="0"/>
        </w:numPr>
        <w:ind w:left="720" w:hanging="720"/>
      </w:pPr>
    </w:p>
    <w:p w14:paraId="6486583E" w14:textId="2F5397BA" w:rsidR="00AF4BE5" w:rsidRPr="00AF4BE5" w:rsidRDefault="00AF4BE5" w:rsidP="006960DB">
      <w:pPr>
        <w:pStyle w:val="ListParagraph"/>
        <w:keepNext/>
        <w:widowControl/>
        <w:ind w:left="720"/>
      </w:pPr>
      <w:r w:rsidRPr="006F01F3">
        <w:t>Windsor Framework Article 2 requires the UK Government to ensure that there is no diminution of rights, safeguards and equality of opportunit</w:t>
      </w:r>
      <w:r w:rsidR="00E64B61">
        <w:t>y</w:t>
      </w:r>
      <w:r w:rsidRPr="006F01F3">
        <w:t xml:space="preserve"> contained in the relevant part of the Belfast (Good Friday) Agreement 1998</w:t>
      </w:r>
      <w:r w:rsidR="00A73156">
        <w:t>,</w:t>
      </w:r>
      <w:r w:rsidRPr="006F01F3">
        <w:t xml:space="preserve"> </w:t>
      </w:r>
      <w:proofErr w:type="gramStart"/>
      <w:r w:rsidRPr="006F01F3">
        <w:t>as a result of</w:t>
      </w:r>
      <w:proofErr w:type="gramEnd"/>
      <w:r w:rsidRPr="006F01F3">
        <w:t xml:space="preserve"> the UK’s withdrawal from the EU. This means that a range of EU measures that bound the UK before its withdrawal continue to set minimum standards in </w:t>
      </w:r>
      <w:r>
        <w:t>NI</w:t>
      </w:r>
      <w:r w:rsidRPr="006F01F3">
        <w:t xml:space="preserve">. </w:t>
      </w:r>
      <w:proofErr w:type="gramStart"/>
      <w:r w:rsidRPr="006F01F3">
        <w:t>The majority of</w:t>
      </w:r>
      <w:proofErr w:type="gramEnd"/>
      <w:r w:rsidRPr="006F01F3">
        <w:t xml:space="preserve"> EU obligations against which </w:t>
      </w:r>
      <w:r w:rsidRPr="00AF4BE5">
        <w:rPr>
          <w:rFonts w:cs="Arial"/>
          <w:color w:val="000000" w:themeColor="text1"/>
        </w:rPr>
        <w:t xml:space="preserve">the UK Government commitment is measured relate to the relevant EU standards as they were on 31 December 2020. </w:t>
      </w:r>
    </w:p>
    <w:p w14:paraId="54BC365F" w14:textId="77777777" w:rsidR="00AF4BE5" w:rsidRDefault="00AF4BE5" w:rsidP="006960DB">
      <w:pPr>
        <w:pStyle w:val="ListParagraph"/>
        <w:widowControl/>
        <w:numPr>
          <w:ilvl w:val="0"/>
          <w:numId w:val="0"/>
        </w:numPr>
        <w:ind w:left="720" w:hanging="720"/>
      </w:pPr>
    </w:p>
    <w:p w14:paraId="4B7F0F9A" w14:textId="50CE1637" w:rsidR="00AF4BE5" w:rsidRDefault="00AF4BE5" w:rsidP="006960DB">
      <w:pPr>
        <w:pStyle w:val="ListParagraph"/>
        <w:keepNext/>
        <w:widowControl/>
        <w:ind w:left="720"/>
      </w:pPr>
      <w:r>
        <w:t xml:space="preserve">Windsor Framework Article 2 is an obligation of result and </w:t>
      </w:r>
      <w:r w:rsidR="006E7EE2">
        <w:t>is largely a ‘standstill provision’</w:t>
      </w:r>
      <w:r>
        <w:t xml:space="preserve"> protect</w:t>
      </w:r>
      <w:r w:rsidR="006E7EE2">
        <w:t>ing</w:t>
      </w:r>
      <w:r>
        <w:t xml:space="preserve"> rights in NI post</w:t>
      </w:r>
      <w:r w:rsidR="006E7EE2">
        <w:t>-</w:t>
      </w:r>
      <w:r>
        <w:t xml:space="preserve">Brexit. In addition, there is a narrow dynamic alignment obligation </w:t>
      </w:r>
      <w:r w:rsidR="0058658E">
        <w:t xml:space="preserve">in respect of the </w:t>
      </w:r>
      <w:r w:rsidR="0058658E" w:rsidRPr="0058658E">
        <w:rPr>
          <w:rFonts w:cs="Arial"/>
          <w:color w:val="000000" w:themeColor="text1"/>
        </w:rPr>
        <w:t xml:space="preserve">six EU equality directives listed in Annex 1 of the Windsor Framework. </w:t>
      </w:r>
      <w:r w:rsidRPr="006F01F3">
        <w:t xml:space="preserve">Article 13(3) of the Windsor Framework provides that where the Windsor Framework refers to an EU law measure, which includes the six equality directives in Annex 1, “that reference shall be read as referring to a Union act as amended or replaced”.  It is the NIHRC’s view that Article 13(3) must </w:t>
      </w:r>
      <w:r>
        <w:t xml:space="preserve">be </w:t>
      </w:r>
      <w:r w:rsidRPr="006F01F3">
        <w:t>read with Article 2 and therefore the dynamic alignment obligation has effect subject to the requirement that there is no diminution of rights and safeguards.</w:t>
      </w:r>
    </w:p>
    <w:p w14:paraId="4AC97D98" w14:textId="77777777" w:rsidR="0058658E" w:rsidRDefault="0058658E" w:rsidP="006960DB">
      <w:pPr>
        <w:pStyle w:val="ListParagraph"/>
        <w:widowControl/>
        <w:numPr>
          <w:ilvl w:val="0"/>
          <w:numId w:val="0"/>
        </w:numPr>
        <w:ind w:left="720" w:hanging="720"/>
      </w:pPr>
    </w:p>
    <w:p w14:paraId="7A272529" w14:textId="2CAFF1C1" w:rsidR="0058658E" w:rsidRPr="006E7EE2" w:rsidRDefault="0058658E" w:rsidP="006960DB">
      <w:pPr>
        <w:pStyle w:val="ListParagraph"/>
        <w:keepNext/>
        <w:widowControl/>
        <w:ind w:left="720"/>
      </w:pPr>
      <w:r w:rsidRPr="006F01F3">
        <w:rPr>
          <w:rFonts w:cs="Arial"/>
          <w:color w:val="000000" w:themeColor="text1"/>
        </w:rPr>
        <w:lastRenderedPageBreak/>
        <w:t xml:space="preserve">The dynamic alignment obligation also requires ongoing adherence to relevant </w:t>
      </w:r>
      <w:r w:rsidR="003738A8">
        <w:rPr>
          <w:rFonts w:cs="Arial"/>
          <w:color w:val="000000" w:themeColor="text1"/>
        </w:rPr>
        <w:t>Court of Justice of the EU (</w:t>
      </w:r>
      <w:r w:rsidRPr="006F01F3">
        <w:rPr>
          <w:rFonts w:cs="Arial"/>
          <w:color w:val="000000" w:themeColor="text1"/>
        </w:rPr>
        <w:t>CJEU</w:t>
      </w:r>
      <w:r w:rsidR="003738A8">
        <w:rPr>
          <w:rFonts w:cs="Arial"/>
          <w:color w:val="000000" w:themeColor="text1"/>
        </w:rPr>
        <w:t>)</w:t>
      </w:r>
      <w:r w:rsidRPr="006F01F3">
        <w:rPr>
          <w:rFonts w:cs="Arial"/>
          <w:color w:val="000000" w:themeColor="text1"/>
        </w:rPr>
        <w:t xml:space="preserve"> case law.</w:t>
      </w:r>
      <w:r w:rsidRPr="006F01F3">
        <w:rPr>
          <w:rStyle w:val="FootnoteReference"/>
          <w:rFonts w:cs="Arial"/>
          <w:color w:val="000000" w:themeColor="text1"/>
        </w:rPr>
        <w:footnoteReference w:id="29"/>
      </w:r>
      <w:r w:rsidRPr="006F01F3">
        <w:rPr>
          <w:rFonts w:cs="Arial"/>
          <w:color w:val="000000" w:themeColor="text1"/>
        </w:rPr>
        <w:t xml:space="preserve"> </w:t>
      </w:r>
      <w:r w:rsidRPr="006F01F3">
        <w:t>Article 13(2) states that provisions of the Windsor Framework referring to EU law or to concepts or provisions thereof should be interpreted in conformity with the relevant case law of the CJEU.</w:t>
      </w:r>
      <w:r w:rsidR="00197A74">
        <w:rPr>
          <w:rStyle w:val="FootnoteReference"/>
        </w:rPr>
        <w:footnoteReference w:id="30"/>
      </w:r>
      <w:r w:rsidRPr="006F01F3">
        <w:t xml:space="preserve"> UK Government and NI departments should therefore consider relevant EU case law in the development of laws and policies in areas covered by the six Annex 1 </w:t>
      </w:r>
      <w:r>
        <w:t>e</w:t>
      </w:r>
      <w:r w:rsidRPr="006F01F3">
        <w:t xml:space="preserve">quality </w:t>
      </w:r>
      <w:r>
        <w:t>d</w:t>
      </w:r>
      <w:r w:rsidRPr="006F01F3">
        <w:t>irectives. Similarly, NI courts should ensure that consideration of a</w:t>
      </w:r>
      <w:r w:rsidR="006E7EE2">
        <w:t>ny</w:t>
      </w:r>
      <w:r w:rsidRPr="006F01F3">
        <w:t xml:space="preserve"> provision of the six Annex 1 </w:t>
      </w:r>
      <w:r>
        <w:t>e</w:t>
      </w:r>
      <w:r w:rsidRPr="006F01F3">
        <w:t xml:space="preserve">quality </w:t>
      </w:r>
      <w:r>
        <w:t>d</w:t>
      </w:r>
      <w:r w:rsidRPr="006F01F3">
        <w:t xml:space="preserve">irectives is in line with relevant CJEU jurisprudence. It is therefore necessary to monitor relevant CJEU case law developments to ensure that NI law is compliant with </w:t>
      </w:r>
      <w:r w:rsidRPr="006E7EE2">
        <w:t>Articles 2 and 13 of the Windsor Framework.</w:t>
      </w:r>
    </w:p>
    <w:p w14:paraId="4FD287A2" w14:textId="77777777" w:rsidR="00A66013" w:rsidRPr="006E7EE2" w:rsidRDefault="00A66013" w:rsidP="006960DB">
      <w:pPr>
        <w:pStyle w:val="ListParagraph"/>
        <w:widowControl/>
        <w:numPr>
          <w:ilvl w:val="0"/>
          <w:numId w:val="0"/>
        </w:numPr>
        <w:ind w:left="720" w:hanging="720"/>
      </w:pPr>
    </w:p>
    <w:p w14:paraId="0737F0DC" w14:textId="5DC24074" w:rsidR="0058658E" w:rsidRPr="00214F7F" w:rsidRDefault="00A66013" w:rsidP="006960DB">
      <w:pPr>
        <w:pStyle w:val="ListParagraph"/>
        <w:widowControl/>
        <w:ind w:left="720"/>
        <w:rPr>
          <w:i/>
          <w:iCs/>
        </w:rPr>
      </w:pPr>
      <w:r w:rsidRPr="006E7EE2">
        <w:t>Windsor Framework Article 2 is an important but limited commitment</w:t>
      </w:r>
      <w:r w:rsidR="00437B05">
        <w:t xml:space="preserve"> which </w:t>
      </w:r>
      <w:r w:rsidR="006E7EE2" w:rsidRPr="006E7EE2">
        <w:t xml:space="preserve">means that certain EU measures </w:t>
      </w:r>
      <w:r w:rsidR="00437B05" w:rsidRPr="006E7EE2">
        <w:t>continue</w:t>
      </w:r>
      <w:r w:rsidR="00437B05" w:rsidRPr="006173BF">
        <w:t xml:space="preserve"> to set minimum standards in NI</w:t>
      </w:r>
      <w:r w:rsidR="00437B05">
        <w:t xml:space="preserve">. It only applies to measures that </w:t>
      </w:r>
      <w:r w:rsidR="006E7EE2" w:rsidRPr="006E7EE2">
        <w:t>bound the UK before Brexit</w:t>
      </w:r>
      <w:r w:rsidR="00437B05">
        <w:t xml:space="preserve"> and only </w:t>
      </w:r>
      <w:r w:rsidR="006E7EE2">
        <w:t xml:space="preserve">to the extent that they fall within the ‘ambit’ of the Rights, Safeguards and Equality of Opportunity chapter of Belfast (Good Friday) Agreement. It is largely a non-diminution or standstill provision. </w:t>
      </w:r>
      <w:r w:rsidR="00B06E33">
        <w:t>The dynamic alignment obligation only applies to the six EU equality directives specified in Annex 1.</w:t>
      </w:r>
      <w:r w:rsidR="00A54CC2" w:rsidRPr="00F334E8">
        <w:t xml:space="preserve"> </w:t>
      </w:r>
      <w:r w:rsidR="00214F7F" w:rsidRPr="00214F7F">
        <w:t xml:space="preserve">As discussed below, </w:t>
      </w:r>
      <w:r w:rsidR="00D36B0A">
        <w:t>the</w:t>
      </w:r>
      <w:r w:rsidR="00214F7F" w:rsidRPr="00214F7F">
        <w:t xml:space="preserve"> precise scope</w:t>
      </w:r>
      <w:r w:rsidR="00214F7F">
        <w:t xml:space="preserve"> and application</w:t>
      </w:r>
      <w:r w:rsidR="00214F7F" w:rsidRPr="00214F7F">
        <w:t xml:space="preserve"> of the obligation</w:t>
      </w:r>
      <w:r w:rsidR="008F475A">
        <w:t xml:space="preserve"> remain to be clarified</w:t>
      </w:r>
      <w:r w:rsidR="00214F7F" w:rsidRPr="00214F7F">
        <w:rPr>
          <w:i/>
          <w:iCs/>
        </w:rPr>
        <w:t>.</w:t>
      </w:r>
    </w:p>
    <w:p w14:paraId="58997077" w14:textId="77777777" w:rsidR="00580734" w:rsidRDefault="00580734" w:rsidP="00580734"/>
    <w:p w14:paraId="40DDA33A" w14:textId="1CD1C3A4" w:rsidR="000C115C" w:rsidRPr="000C115C" w:rsidRDefault="00867BC6" w:rsidP="00780895">
      <w:pPr>
        <w:pStyle w:val="Heading1"/>
        <w:keepLines w:val="0"/>
      </w:pPr>
      <w:bookmarkStart w:id="12" w:name="_Toc235087539"/>
      <w:r>
        <w:t>Protection of Rights</w:t>
      </w:r>
      <w:bookmarkEnd w:id="12"/>
      <w:r>
        <w:t xml:space="preserve"> </w:t>
      </w:r>
    </w:p>
    <w:p w14:paraId="230FC736" w14:textId="5FCDF700" w:rsidR="00867BC6" w:rsidRPr="00867BC6" w:rsidRDefault="001F47FF" w:rsidP="00EF773A">
      <w:pPr>
        <w:pStyle w:val="Heading2"/>
      </w:pPr>
      <w:bookmarkStart w:id="13" w:name="_Toc235087540"/>
      <w:bookmarkEnd w:id="0"/>
      <w:bookmarkEnd w:id="1"/>
      <w:r>
        <w:t xml:space="preserve">Question 5: </w:t>
      </w:r>
      <w:r w:rsidR="00867BC6" w:rsidRPr="0017175B">
        <w:t>The UK Supreme Court said in </w:t>
      </w:r>
      <w:r w:rsidR="00867BC6" w:rsidRPr="0017175B">
        <w:rPr>
          <w:i/>
          <w:iCs/>
        </w:rPr>
        <w:t>Dillon</w:t>
      </w:r>
      <w:r w:rsidR="00867BC6" w:rsidRPr="0017175B">
        <w:t xml:space="preserve"> that Article 2(1) WF was directly effective in certain circumstances. </w:t>
      </w:r>
      <w:r w:rsidR="00867BC6" w:rsidRPr="00294D72">
        <w:rPr>
          <w:bCs/>
        </w:rPr>
        <w:t>What are those circumstances? And what rights are covered in these circumstances?</w:t>
      </w:r>
      <w:bookmarkEnd w:id="13"/>
    </w:p>
    <w:p w14:paraId="511346AF" w14:textId="734EA903" w:rsidR="00C75CCC" w:rsidRDefault="00C75CCC" w:rsidP="00235523">
      <w:pPr>
        <w:pStyle w:val="ListParagraph"/>
        <w:keepNext/>
        <w:widowControl/>
        <w:ind w:left="720"/>
      </w:pPr>
      <w:r>
        <w:t xml:space="preserve">The UK Supreme Court in </w:t>
      </w:r>
      <w:r>
        <w:rPr>
          <w:i/>
          <w:iCs/>
        </w:rPr>
        <w:t>Dillon</w:t>
      </w:r>
      <w:r>
        <w:t xml:space="preserve"> applied an EU law test set out by the CJEU in </w:t>
      </w:r>
      <w:r w:rsidRPr="00F37BE2">
        <w:rPr>
          <w:i/>
          <w:iCs/>
        </w:rPr>
        <w:t>Demirel</w:t>
      </w:r>
      <w:r>
        <w:t xml:space="preserve">, to indicate when a provision of an international </w:t>
      </w:r>
      <w:r>
        <w:lastRenderedPageBreak/>
        <w:t>agreement, in this case Windsor Framework Article 2, meets the test for direct effect:</w:t>
      </w:r>
    </w:p>
    <w:p w14:paraId="6B8B7DF7" w14:textId="77777777" w:rsidR="00C75CCC" w:rsidRDefault="00C75CCC" w:rsidP="00C75CCC">
      <w:pPr>
        <w:pStyle w:val="ListParagraph"/>
        <w:keepNext/>
        <w:widowControl/>
        <w:numPr>
          <w:ilvl w:val="0"/>
          <w:numId w:val="0"/>
        </w:numPr>
        <w:ind w:left="720"/>
      </w:pPr>
    </w:p>
    <w:p w14:paraId="616C5720" w14:textId="77777777" w:rsidR="00C75CCC" w:rsidRDefault="00C75CCC" w:rsidP="00C75CCC">
      <w:pPr>
        <w:pStyle w:val="Quote"/>
      </w:pPr>
      <w:r>
        <w:t>regard being had to its wording and to the purpose and nature of the agreement, the provision contains a clear and precise obligation which is not subject, in its implementation or effects, to the adoption of any subsequent measure.</w:t>
      </w:r>
      <w:r>
        <w:rPr>
          <w:rStyle w:val="FootnoteReference"/>
        </w:rPr>
        <w:footnoteReference w:id="31"/>
      </w:r>
    </w:p>
    <w:p w14:paraId="54438EEF" w14:textId="77777777" w:rsidR="00C75CCC" w:rsidRDefault="00C75CCC" w:rsidP="00C75CCC">
      <w:pPr>
        <w:pStyle w:val="ListParagraph"/>
        <w:keepNext/>
        <w:widowControl/>
        <w:numPr>
          <w:ilvl w:val="0"/>
          <w:numId w:val="0"/>
        </w:numPr>
        <w:ind w:left="720"/>
      </w:pPr>
    </w:p>
    <w:p w14:paraId="11B0D366" w14:textId="4770896E" w:rsidR="00867BC6" w:rsidRPr="00867BC6" w:rsidRDefault="00B777B8" w:rsidP="00235523">
      <w:pPr>
        <w:pStyle w:val="ListParagraph"/>
        <w:keepNext/>
        <w:widowControl/>
        <w:ind w:left="720"/>
      </w:pPr>
      <w:r>
        <w:t xml:space="preserve">The Court </w:t>
      </w:r>
      <w:r w:rsidR="00CD19A3">
        <w:t xml:space="preserve">found that </w:t>
      </w:r>
      <w:r w:rsidR="00C75CCC">
        <w:t xml:space="preserve">Windsor Framework </w:t>
      </w:r>
      <w:r w:rsidR="00CD19A3" w:rsidRPr="00D103A5">
        <w:t>Article 2 is capable of direct effect in certain circumstances, in other words, that individuals may assert their rights under Article 2 before the courts</w:t>
      </w:r>
      <w:r w:rsidR="00CD19A3">
        <w:t>.</w:t>
      </w:r>
      <w:r w:rsidR="00CD19A3">
        <w:rPr>
          <w:rStyle w:val="FootnoteReference"/>
        </w:rPr>
        <w:footnoteReference w:id="32"/>
      </w:r>
      <w:r w:rsidR="00CD19A3" w:rsidDel="00900DCF">
        <w:t xml:space="preserve"> </w:t>
      </w:r>
      <w:r w:rsidR="00CD19A3">
        <w:t xml:space="preserve">This requires </w:t>
      </w:r>
      <w:r w:rsidR="00CD19A3" w:rsidRPr="00593351">
        <w:t xml:space="preserve">the identification of a clear, precise and unconditional obligation by reading Windsor Framework Article 2 </w:t>
      </w:r>
      <w:r w:rsidR="00CD19A3" w:rsidRPr="00593351">
        <w:rPr>
          <w:i/>
          <w:iCs/>
        </w:rPr>
        <w:t>along with</w:t>
      </w:r>
      <w:r w:rsidR="00CD19A3" w:rsidRPr="00593351">
        <w:t xml:space="preserve"> the Rights, Safeguards and Equality of Opportunity chapter of the Belfast (Good Friday) Agreement 1998 </w:t>
      </w:r>
      <w:r w:rsidR="00CD19A3" w:rsidRPr="00593351">
        <w:rPr>
          <w:i/>
          <w:iCs/>
        </w:rPr>
        <w:t>and</w:t>
      </w:r>
      <w:r w:rsidR="00CD19A3" w:rsidRPr="00593351">
        <w:t xml:space="preserve"> the relevant EU measure</w:t>
      </w:r>
      <w:r w:rsidR="00CD19A3">
        <w:t xml:space="preserve">: </w:t>
      </w:r>
    </w:p>
    <w:p w14:paraId="69D07740" w14:textId="77777777" w:rsidR="00F37BE2" w:rsidRDefault="00F37BE2" w:rsidP="00F37BE2">
      <w:pPr>
        <w:pStyle w:val="ListParagraph"/>
        <w:keepNext/>
        <w:widowControl/>
        <w:numPr>
          <w:ilvl w:val="0"/>
          <w:numId w:val="0"/>
        </w:numPr>
        <w:ind w:left="720"/>
      </w:pPr>
    </w:p>
    <w:p w14:paraId="0D46575E" w14:textId="70D8F611" w:rsidR="00F37BE2" w:rsidRDefault="00CD19A3" w:rsidP="00F37BE2">
      <w:pPr>
        <w:pStyle w:val="Quote"/>
      </w:pPr>
      <w:r w:rsidRPr="004A1F20">
        <w:t xml:space="preserve">In considering whether article 2(1) </w:t>
      </w:r>
      <w:proofErr w:type="gramStart"/>
      <w:r w:rsidRPr="004A1F20">
        <w:t>is capable of having</w:t>
      </w:r>
      <w:proofErr w:type="gramEnd"/>
      <w:r w:rsidRPr="004A1F20">
        <w:t xml:space="preserve"> direct effect it is necessary to focus on “rights, safeguards or equality of opportunity, as set out in [the </w:t>
      </w:r>
      <w:r w:rsidR="00BB71C5">
        <w:t>RSEO</w:t>
      </w:r>
      <w:r w:rsidR="00F01D3A" w:rsidRPr="00593351">
        <w:t xml:space="preserve"> </w:t>
      </w:r>
      <w:r w:rsidRPr="004A1F20">
        <w:t>chapter]”. It is necessary to identify a clear and precise obligation in EU law by reference to the RSEO chapter.</w:t>
      </w:r>
      <w:r>
        <w:rPr>
          <w:rStyle w:val="FootnoteReference"/>
        </w:rPr>
        <w:footnoteReference w:id="33"/>
      </w:r>
    </w:p>
    <w:p w14:paraId="6F90E3A5" w14:textId="77777777" w:rsidR="00A42528" w:rsidRPr="00A42528" w:rsidRDefault="00A42528" w:rsidP="00A42528"/>
    <w:p w14:paraId="08FCDC31" w14:textId="776EFDF4" w:rsidR="00AE1C46" w:rsidRPr="00867BC6" w:rsidRDefault="00AE1C46" w:rsidP="00235523">
      <w:pPr>
        <w:pStyle w:val="ListParagraph"/>
        <w:widowControl/>
        <w:ind w:left="720"/>
      </w:pPr>
      <w:r>
        <w:t xml:space="preserve">The Court confirmed that Windsor Framework Article 2, when read together with a provision of one of the six </w:t>
      </w:r>
      <w:r w:rsidR="00D344EE" w:rsidRPr="00F334E8">
        <w:t>equality directives</w:t>
      </w:r>
      <w:r>
        <w:t xml:space="preserve"> specified in Annex 1, can give rise to a directly effective right against which there should be no diminution.</w:t>
      </w:r>
      <w:r>
        <w:rPr>
          <w:rStyle w:val="FootnoteReference"/>
        </w:rPr>
        <w:footnoteReference w:id="34"/>
      </w:r>
      <w:r>
        <w:t xml:space="preserve"> The Court also found that </w:t>
      </w:r>
      <w:r>
        <w:rPr>
          <w:rFonts w:eastAsia="Aptos" w:cs="Aptos"/>
        </w:rPr>
        <w:t>Article 2 is capable of direct effect in conjunction</w:t>
      </w:r>
      <w:r w:rsidR="00010869">
        <w:rPr>
          <w:rFonts w:eastAsia="Aptos" w:cs="Aptos"/>
        </w:rPr>
        <w:t xml:space="preserve"> with</w:t>
      </w:r>
      <w:r>
        <w:rPr>
          <w:rFonts w:eastAsia="Aptos" w:cs="Aptos"/>
        </w:rPr>
        <w:t xml:space="preserve"> other EU law instruments</w:t>
      </w:r>
      <w:r w:rsidR="009C1751">
        <w:rPr>
          <w:rFonts w:eastAsia="Aptos" w:cs="Aptos"/>
        </w:rPr>
        <w:t>,</w:t>
      </w:r>
      <w:r>
        <w:rPr>
          <w:rFonts w:eastAsia="Aptos" w:cs="Aptos"/>
        </w:rPr>
        <w:t xml:space="preserve"> subject to</w:t>
      </w:r>
      <w:r w:rsidR="009C1751">
        <w:rPr>
          <w:rFonts w:eastAsia="Aptos" w:cs="Aptos"/>
        </w:rPr>
        <w:t xml:space="preserve"> the</w:t>
      </w:r>
      <w:r>
        <w:rPr>
          <w:rFonts w:eastAsia="Aptos" w:cs="Aptos"/>
        </w:rPr>
        <w:t xml:space="preserve"> </w:t>
      </w:r>
      <w:r w:rsidRPr="00443564">
        <w:rPr>
          <w:rFonts w:eastAsia="Aptos" w:cs="Aptos"/>
          <w:i/>
          <w:iCs/>
        </w:rPr>
        <w:t>Demirel</w:t>
      </w:r>
      <w:r>
        <w:t xml:space="preserve"> criteria that they be sufficiently clear, precise and unconditional</w:t>
      </w:r>
      <w:r w:rsidR="009C1751">
        <w:t>,</w:t>
      </w:r>
      <w:r>
        <w:rPr>
          <w:rFonts w:eastAsia="Aptos" w:cs="Aptos"/>
        </w:rPr>
        <w:t xml:space="preserve"> and within the ambit of </w:t>
      </w:r>
      <w:r w:rsidRPr="00593351">
        <w:t xml:space="preserve">Rights, Safeguards and Equality of Opportunity </w:t>
      </w:r>
      <w:r>
        <w:t>chapter.</w:t>
      </w:r>
      <w:r>
        <w:rPr>
          <w:rStyle w:val="FootnoteReference"/>
        </w:rPr>
        <w:footnoteReference w:id="35"/>
      </w:r>
      <w:r>
        <w:t xml:space="preserve"> The Court based its analysis on the issues raised by the applicants noting that they rely on </w:t>
      </w:r>
      <w:r>
        <w:rPr>
          <w:rFonts w:eastAsia="Aptos" w:cs="Aptos"/>
        </w:rPr>
        <w:t xml:space="preserve">paragraphs 1, 11 and 12 of the </w:t>
      </w:r>
      <w:r w:rsidRPr="00593351">
        <w:t xml:space="preserve">Rights, Safeguards and </w:t>
      </w:r>
      <w:r w:rsidRPr="00593351">
        <w:lastRenderedPageBreak/>
        <w:t xml:space="preserve">Equality of Opportunity </w:t>
      </w:r>
      <w:r>
        <w:t>chapter.</w:t>
      </w:r>
      <w:r>
        <w:rPr>
          <w:rStyle w:val="FootnoteReference"/>
        </w:rPr>
        <w:footnoteReference w:id="36"/>
      </w:r>
      <w:r>
        <w:t xml:space="preserve"> The court extends its approach to include the rights particularised in the bullet points in paragraph 1 of that Chapter, noting that the applicants did not raise th</w:t>
      </w:r>
      <w:r w:rsidR="00FE0847">
        <w:t>i</w:t>
      </w:r>
      <w:r>
        <w:t>s in pleadings. However, the court</w:t>
      </w:r>
      <w:r w:rsidDel="008F39A4">
        <w:t xml:space="preserve"> </w:t>
      </w:r>
      <w:r w:rsidR="008F39A4">
        <w:t xml:space="preserve">found </w:t>
      </w:r>
      <w:r>
        <w:t xml:space="preserve">that Article 2 </w:t>
      </w:r>
      <w:r w:rsidR="008F39A4">
        <w:t xml:space="preserve">may be capable of </w:t>
      </w:r>
      <w:r>
        <w:t xml:space="preserve">direct effect in future cases where other EU instruments are within the ambit of other parts of the </w:t>
      </w:r>
      <w:r w:rsidRPr="00593351">
        <w:t>Rights, Safeguards and Equality of Opportunity</w:t>
      </w:r>
      <w:r>
        <w:t xml:space="preserve"> chapter.</w:t>
      </w:r>
      <w:r>
        <w:rPr>
          <w:rStyle w:val="FootnoteReference"/>
        </w:rPr>
        <w:footnoteReference w:id="37"/>
      </w:r>
      <w:r>
        <w:t xml:space="preserve">  </w:t>
      </w:r>
    </w:p>
    <w:p w14:paraId="6797F028" w14:textId="77777777" w:rsidR="00AE1C46" w:rsidRDefault="00AE1C46" w:rsidP="00235523">
      <w:pPr>
        <w:pStyle w:val="ListParagraph"/>
        <w:widowControl/>
        <w:numPr>
          <w:ilvl w:val="0"/>
          <w:numId w:val="0"/>
        </w:numPr>
        <w:ind w:left="720" w:hanging="720"/>
      </w:pPr>
    </w:p>
    <w:p w14:paraId="4AE51CC0" w14:textId="77777777" w:rsidR="00AE1C46" w:rsidRPr="00867BC6" w:rsidRDefault="00AE1C46" w:rsidP="00235523">
      <w:pPr>
        <w:pStyle w:val="ListParagraph"/>
        <w:widowControl/>
        <w:ind w:left="720"/>
      </w:pPr>
      <w:r w:rsidRPr="00233BCB">
        <w:t xml:space="preserve">The court </w:t>
      </w:r>
      <w:r>
        <w:t>explicitly left open the question of whether</w:t>
      </w:r>
      <w:r w:rsidRPr="00233BCB">
        <w:t xml:space="preserve"> the rights in the EU Victims’ Directive relied on in this case, fell within </w:t>
      </w:r>
      <w:r>
        <w:t xml:space="preserve">the ambit of paragraph 11 of the </w:t>
      </w:r>
      <w:r w:rsidRPr="00593351">
        <w:t>Rights, Safeguards and Equality of Opportunity</w:t>
      </w:r>
      <w:r>
        <w:t xml:space="preserve"> chapter</w:t>
      </w:r>
      <w:r w:rsidRPr="00233BCB">
        <w:t>.</w:t>
      </w:r>
      <w:r>
        <w:rPr>
          <w:rStyle w:val="FootnoteReference"/>
        </w:rPr>
        <w:footnoteReference w:id="38"/>
      </w:r>
      <w:r w:rsidRPr="00233BCB">
        <w:t xml:space="preserve"> The court found that rights in Articles 11 and 16 of the EU Victims’ Directive did not regulate questions of policy as to when prosecutions should be pursued.</w:t>
      </w:r>
      <w:r>
        <w:rPr>
          <w:rStyle w:val="FootnoteReference"/>
        </w:rPr>
        <w:footnoteReference w:id="39"/>
      </w:r>
      <w:r w:rsidRPr="00233BCB">
        <w:t xml:space="preserve"> However, it </w:t>
      </w:r>
      <w:r>
        <w:t>did not rule out the possibility of those provisions</w:t>
      </w:r>
      <w:r w:rsidRPr="00233BCB">
        <w:t xml:space="preserve"> of the EU Victims’ Directive having direct effect in the context of an actual or potential individual prosecution</w:t>
      </w:r>
      <w:r>
        <w:t>.</w:t>
      </w:r>
      <w:r>
        <w:rPr>
          <w:rStyle w:val="FootnoteReference"/>
        </w:rPr>
        <w:footnoteReference w:id="40"/>
      </w:r>
    </w:p>
    <w:p w14:paraId="528CD302" w14:textId="77777777" w:rsidR="00AE1C46" w:rsidRDefault="00AE1C46" w:rsidP="00235523">
      <w:pPr>
        <w:pStyle w:val="ListParagraph"/>
        <w:widowControl/>
        <w:numPr>
          <w:ilvl w:val="0"/>
          <w:numId w:val="0"/>
        </w:numPr>
        <w:ind w:left="720" w:hanging="720"/>
      </w:pPr>
    </w:p>
    <w:p w14:paraId="7F87C4B8" w14:textId="6AEDBAB9" w:rsidR="00AE1C46" w:rsidRPr="009C1751" w:rsidRDefault="00AE1C46" w:rsidP="00235523">
      <w:pPr>
        <w:pStyle w:val="ListParagraph"/>
        <w:widowControl/>
        <w:ind w:left="720"/>
      </w:pPr>
      <w:r w:rsidRPr="009C1751">
        <w:t>While in principle the UK Supreme Court has accepted that Article 2 is capable of direct effect, in practice, by seeking direct effect across</w:t>
      </w:r>
      <w:r w:rsidR="0025444F">
        <w:t xml:space="preserve"> </w:t>
      </w:r>
      <w:r w:rsidRPr="009C1751">
        <w:t xml:space="preserve">Windsor Framework Article 2, the Rights, Safeguards and Equality of Opportunity chapter and the relevant measure, it will make it difficult to rely on this protection. </w:t>
      </w:r>
    </w:p>
    <w:p w14:paraId="1692D49C" w14:textId="77777777" w:rsidR="00AE1C46" w:rsidRDefault="00AE1C46" w:rsidP="00235523">
      <w:pPr>
        <w:pStyle w:val="ListParagraph"/>
        <w:widowControl/>
        <w:numPr>
          <w:ilvl w:val="0"/>
          <w:numId w:val="0"/>
        </w:numPr>
        <w:ind w:left="720" w:hanging="720"/>
      </w:pPr>
    </w:p>
    <w:p w14:paraId="4060B482" w14:textId="7B35B662" w:rsidR="00FD5661" w:rsidRDefault="00FE0847" w:rsidP="00235523">
      <w:pPr>
        <w:pStyle w:val="ListParagraph"/>
        <w:widowControl/>
        <w:ind w:left="720"/>
      </w:pPr>
      <w:r w:rsidRPr="00F334E8">
        <w:t xml:space="preserve">The NIHRC is concerned that the approach </w:t>
      </w:r>
      <w:r w:rsidR="00416CED" w:rsidRPr="00F334E8">
        <w:t xml:space="preserve">to direct effect </w:t>
      </w:r>
      <w:r w:rsidRPr="00F334E8">
        <w:t>taken by the Court creates some confusion about the level of specificity required to find a right within the ambit of the Rights, Safeguards and Equality of Opportunity chapter.</w:t>
      </w:r>
      <w:r>
        <w:t xml:space="preserve"> </w:t>
      </w:r>
      <w:r w:rsidR="00A7641D">
        <w:t xml:space="preserve">In the early part of the judgment </w:t>
      </w:r>
      <w:r w:rsidR="00A42528">
        <w:t xml:space="preserve">the </w:t>
      </w:r>
      <w:r w:rsidR="00F43A41">
        <w:t xml:space="preserve">Court </w:t>
      </w:r>
      <w:r w:rsidR="00A42528">
        <w:t xml:space="preserve">considered </w:t>
      </w:r>
      <w:r w:rsidR="00A42528" w:rsidRPr="00233BCB">
        <w:t xml:space="preserve">whether the </w:t>
      </w:r>
      <w:r w:rsidR="00A42528" w:rsidRPr="00593351">
        <w:t>Rights, Safeguards and Equality of Opportunity</w:t>
      </w:r>
      <w:r w:rsidR="00A42528" w:rsidRPr="00233BCB">
        <w:t xml:space="preserve"> chapter creates enforceable rights if read with </w:t>
      </w:r>
      <w:r w:rsidR="00A42528">
        <w:t xml:space="preserve">Windsor Framework </w:t>
      </w:r>
      <w:r w:rsidR="00A42528" w:rsidRPr="00233BCB">
        <w:t xml:space="preserve">Article 2 but </w:t>
      </w:r>
      <w:r w:rsidR="00A42528" w:rsidRPr="00512DE4">
        <w:rPr>
          <w:i/>
          <w:iCs/>
        </w:rPr>
        <w:t>without</w:t>
      </w:r>
      <w:r w:rsidR="00A42528" w:rsidRPr="00233BCB">
        <w:t xml:space="preserve"> any specific EU law.</w:t>
      </w:r>
      <w:r w:rsidR="00A42528">
        <w:rPr>
          <w:rStyle w:val="FootnoteReference"/>
        </w:rPr>
        <w:footnoteReference w:id="41"/>
      </w:r>
      <w:r w:rsidR="00A42528" w:rsidRPr="00233BCB">
        <w:t xml:space="preserve">  </w:t>
      </w:r>
      <w:r w:rsidR="00EF4334" w:rsidRPr="006F1686">
        <w:t xml:space="preserve">For example, </w:t>
      </w:r>
      <w:r w:rsidR="00F43A41" w:rsidRPr="006F1686">
        <w:t xml:space="preserve">the </w:t>
      </w:r>
      <w:r w:rsidR="00EF4334" w:rsidRPr="006F1686">
        <w:t xml:space="preserve">Court </w:t>
      </w:r>
      <w:r w:rsidR="008D7419" w:rsidRPr="006F1686">
        <w:t>references</w:t>
      </w:r>
      <w:r w:rsidR="00F43A41" w:rsidRPr="006F1686">
        <w:t xml:space="preserve"> the ‘high level of generality’ in respect of civil rights and paragraphs 11 and 12 of the Rights, Safeguards, and Equality of Opportunity Chapter and do</w:t>
      </w:r>
      <w:r w:rsidR="008D7419" w:rsidRPr="006F1686">
        <w:t>es</w:t>
      </w:r>
      <w:r w:rsidR="00F43A41" w:rsidRPr="006F1686">
        <w:t xml:space="preserve"> not </w:t>
      </w:r>
      <w:r w:rsidR="00F43A41" w:rsidRPr="006F1686">
        <w:lastRenderedPageBreak/>
        <w:t>consider them capable of direct effect on their own terms</w:t>
      </w:r>
      <w:r w:rsidR="008D7419" w:rsidRPr="006F1686">
        <w:t>.</w:t>
      </w:r>
      <w:r w:rsidR="00C25E17" w:rsidRPr="006F1686">
        <w:rPr>
          <w:rStyle w:val="FootnoteReference"/>
        </w:rPr>
        <w:footnoteReference w:id="42"/>
      </w:r>
      <w:r w:rsidR="00EF4334" w:rsidRPr="006F1686">
        <w:t xml:space="preserve"> </w:t>
      </w:r>
      <w:r w:rsidR="008D7419" w:rsidRPr="006F1686">
        <w:t>However, the Court returns to consider these paragraphs of the R</w:t>
      </w:r>
      <w:r w:rsidR="00390DBF">
        <w:t xml:space="preserve">ights, </w:t>
      </w:r>
      <w:r w:rsidR="008D7419" w:rsidRPr="006F1686">
        <w:t>S</w:t>
      </w:r>
      <w:r w:rsidR="00390DBF">
        <w:t xml:space="preserve">afeguards and </w:t>
      </w:r>
      <w:r w:rsidR="00390DBF" w:rsidRPr="006F1686">
        <w:t>E</w:t>
      </w:r>
      <w:r w:rsidR="00390DBF">
        <w:t xml:space="preserve">quality of </w:t>
      </w:r>
      <w:r w:rsidR="00390DBF" w:rsidRPr="006F1686">
        <w:t>O</w:t>
      </w:r>
      <w:r w:rsidR="00390DBF">
        <w:t>pportunity</w:t>
      </w:r>
      <w:r w:rsidR="008D7419" w:rsidRPr="006F1686">
        <w:t xml:space="preserve"> chapter </w:t>
      </w:r>
      <w:r w:rsidR="008D7419" w:rsidRPr="006F1686">
        <w:rPr>
          <w:i/>
        </w:rPr>
        <w:t>together with</w:t>
      </w:r>
      <w:r w:rsidR="008D7419" w:rsidRPr="006F1686">
        <w:t xml:space="preserve"> the EU Victims</w:t>
      </w:r>
      <w:r w:rsidR="002A5091">
        <w:t>’</w:t>
      </w:r>
      <w:r w:rsidR="008D7419" w:rsidRPr="006F1686">
        <w:t xml:space="preserve"> Directive and adopts a </w:t>
      </w:r>
      <w:r w:rsidR="00416CED" w:rsidRPr="006F1686">
        <w:t xml:space="preserve">slightly </w:t>
      </w:r>
      <w:r w:rsidR="008D7419" w:rsidRPr="006F1686">
        <w:t>different tone</w:t>
      </w:r>
      <w:r w:rsidR="00AE1C46" w:rsidRPr="006F1686">
        <w:t xml:space="preserve"> in this context</w:t>
      </w:r>
      <w:r w:rsidR="00F43A41" w:rsidRPr="006F1686">
        <w:t>.</w:t>
      </w:r>
      <w:r w:rsidR="00C25E17" w:rsidRPr="006F1686">
        <w:rPr>
          <w:rStyle w:val="FootnoteReference"/>
        </w:rPr>
        <w:footnoteReference w:id="43"/>
      </w:r>
      <w:r w:rsidR="00DF725E" w:rsidRPr="006F1686">
        <w:t xml:space="preserve">  </w:t>
      </w:r>
      <w:r w:rsidR="00AE1C46" w:rsidRPr="006F1686">
        <w:t>W</w:t>
      </w:r>
      <w:r w:rsidR="00DF725E" w:rsidRPr="006F1686">
        <w:t>hen considering</w:t>
      </w:r>
      <w:r w:rsidR="00FD5661" w:rsidRPr="006F1686">
        <w:t xml:space="preserve"> paragraph 11 of the Rights, Safeguards and Equality of Opportunity chapter</w:t>
      </w:r>
      <w:r w:rsidR="00DF725E" w:rsidRPr="006F1686">
        <w:t>, the Court finds that</w:t>
      </w:r>
      <w:r w:rsidR="00FD5661" w:rsidRPr="006F1686">
        <w:t xml:space="preserve"> </w:t>
      </w:r>
      <w:r w:rsidR="00AE1C46" w:rsidRPr="006F1686">
        <w:t xml:space="preserve">it </w:t>
      </w:r>
      <w:r w:rsidR="00FD5661" w:rsidRPr="006F1686">
        <w:t xml:space="preserve">is: </w:t>
      </w:r>
    </w:p>
    <w:p w14:paraId="7A531DAB" w14:textId="77777777" w:rsidR="009E732B" w:rsidRPr="009532E9" w:rsidRDefault="009E732B" w:rsidP="009E732B">
      <w:pPr>
        <w:pStyle w:val="ListParagraph"/>
        <w:numPr>
          <w:ilvl w:val="0"/>
          <w:numId w:val="0"/>
        </w:numPr>
        <w:ind w:left="720"/>
      </w:pPr>
    </w:p>
    <w:p w14:paraId="604E924F" w14:textId="7A8B4B53" w:rsidR="00F37BE2" w:rsidRDefault="00FD5661" w:rsidP="00FD5661">
      <w:pPr>
        <w:pStyle w:val="Quote"/>
      </w:pPr>
      <w:r w:rsidRPr="006F1686">
        <w:t xml:space="preserve">expressed in such broad language... that it might be argued that it </w:t>
      </w:r>
      <w:proofErr w:type="gramStart"/>
      <w:r w:rsidRPr="006F1686">
        <w:t>is capable of embracing</w:t>
      </w:r>
      <w:proofErr w:type="gramEnd"/>
      <w:r w:rsidRPr="006F1686">
        <w:t xml:space="preserve"> the prosecution of offenders and the award of compensation, on the basis that these may be ways of addressing the suffering of victims of violence.</w:t>
      </w:r>
      <w:r w:rsidRPr="006F1686">
        <w:rPr>
          <w:rStyle w:val="FootnoteReference"/>
        </w:rPr>
        <w:footnoteReference w:id="44"/>
      </w:r>
    </w:p>
    <w:p w14:paraId="0F0603EE" w14:textId="77777777" w:rsidR="00416CED" w:rsidRPr="00F334E8" w:rsidRDefault="00416CED" w:rsidP="00214F7F"/>
    <w:p w14:paraId="385BF176" w14:textId="6BA34DF3" w:rsidR="00AE1C46" w:rsidRPr="00F334E8" w:rsidRDefault="00F82F2F" w:rsidP="00235523">
      <w:pPr>
        <w:pStyle w:val="ListParagraph"/>
        <w:widowControl/>
        <w:ind w:left="720"/>
      </w:pPr>
      <w:r w:rsidRPr="00F334E8">
        <w:t>T</w:t>
      </w:r>
      <w:r w:rsidR="006A073A" w:rsidRPr="00F334E8">
        <w:t xml:space="preserve">he </w:t>
      </w:r>
      <w:r w:rsidR="008933E9" w:rsidRPr="00F334E8">
        <w:t xml:space="preserve">Court </w:t>
      </w:r>
      <w:r w:rsidR="009C1751" w:rsidRPr="00F334E8">
        <w:t xml:space="preserve">found </w:t>
      </w:r>
      <w:r w:rsidR="006A073A" w:rsidRPr="00F334E8">
        <w:t xml:space="preserve">that the rights asserted </w:t>
      </w:r>
      <w:r w:rsidR="005E1474" w:rsidRPr="00F334E8">
        <w:t>under</w:t>
      </w:r>
      <w:r w:rsidR="006A073A" w:rsidRPr="00F334E8">
        <w:t xml:space="preserve"> the </w:t>
      </w:r>
      <w:r w:rsidR="009C1751" w:rsidRPr="00F334E8">
        <w:t xml:space="preserve">EU </w:t>
      </w:r>
      <w:r w:rsidR="006A073A" w:rsidRPr="00F334E8">
        <w:t>Victims</w:t>
      </w:r>
      <w:r w:rsidR="001B1FE2" w:rsidRPr="00F334E8">
        <w:t>’</w:t>
      </w:r>
      <w:r w:rsidR="006A073A" w:rsidRPr="00F334E8">
        <w:t xml:space="preserve"> Directive </w:t>
      </w:r>
      <w:r w:rsidR="00C17451" w:rsidRPr="00F334E8">
        <w:t>in this case</w:t>
      </w:r>
      <w:r w:rsidR="006A073A" w:rsidRPr="00F334E8">
        <w:t xml:space="preserve"> - </w:t>
      </w:r>
      <w:r w:rsidR="00AE1C46" w:rsidRPr="00F334E8">
        <w:t xml:space="preserve">rights relating to the prosecution of offenders and award of compensation </w:t>
      </w:r>
      <w:r w:rsidR="006A073A" w:rsidRPr="00F334E8">
        <w:t xml:space="preserve">- </w:t>
      </w:r>
      <w:r w:rsidR="00214F7F" w:rsidRPr="00F334E8">
        <w:t>could not be considered directly effective when read</w:t>
      </w:r>
      <w:r w:rsidR="00AE1C46" w:rsidRPr="00F334E8">
        <w:t xml:space="preserve"> </w:t>
      </w:r>
      <w:r w:rsidR="006A073A" w:rsidRPr="00F334E8">
        <w:t xml:space="preserve">with </w:t>
      </w:r>
      <w:r w:rsidR="00214F7F" w:rsidRPr="00F334E8">
        <w:t xml:space="preserve">the </w:t>
      </w:r>
      <w:r w:rsidR="00AE1C46" w:rsidRPr="00F334E8">
        <w:t xml:space="preserve">‘civil rights’ </w:t>
      </w:r>
      <w:r w:rsidR="00214F7F" w:rsidRPr="00F334E8">
        <w:t xml:space="preserve">commitment in </w:t>
      </w:r>
      <w:r w:rsidR="006A073A" w:rsidRPr="00F334E8">
        <w:t>the Rights, Safeguards and Equality of Opportunity chapter</w:t>
      </w:r>
      <w:r w:rsidR="00214F7F" w:rsidRPr="00F334E8">
        <w:t>,</w:t>
      </w:r>
      <w:r w:rsidR="006A073A" w:rsidRPr="00F334E8">
        <w:t xml:space="preserve"> </w:t>
      </w:r>
      <w:r w:rsidR="005E1474" w:rsidRPr="00F334E8">
        <w:t>since</w:t>
      </w:r>
      <w:r w:rsidR="006A073A" w:rsidRPr="00F334E8">
        <w:t xml:space="preserve"> the court </w:t>
      </w:r>
      <w:r w:rsidR="005E1474" w:rsidRPr="00F334E8">
        <w:t xml:space="preserve">considered </w:t>
      </w:r>
      <w:r w:rsidR="006A073A" w:rsidRPr="00F334E8">
        <w:t xml:space="preserve">that this </w:t>
      </w:r>
      <w:r w:rsidR="00AE1C46" w:rsidRPr="00F334E8">
        <w:t>“appears to refer at a general level to civil and political rights”.</w:t>
      </w:r>
      <w:r w:rsidR="00AE1C46" w:rsidRPr="00F334E8">
        <w:rPr>
          <w:rStyle w:val="FootnoteReference"/>
        </w:rPr>
        <w:footnoteReference w:id="45"/>
      </w:r>
      <w:r w:rsidR="00AE1C46" w:rsidRPr="00F334E8">
        <w:t xml:space="preserve"> </w:t>
      </w:r>
      <w:r w:rsidR="00416CED" w:rsidRPr="00F334E8">
        <w:t>The court did not consider the possibility of other EU measures falling within the ambit of the civil rights commitment</w:t>
      </w:r>
      <w:r w:rsidR="00416CED">
        <w:t xml:space="preserve"> </w:t>
      </w:r>
      <w:r w:rsidR="00416CED" w:rsidRPr="00F334E8">
        <w:t>in such a way as to create justiciable rights under Windsor Framework Article 2.</w:t>
      </w:r>
    </w:p>
    <w:p w14:paraId="6DB51AAF" w14:textId="77777777" w:rsidR="005E1474" w:rsidRDefault="005E1474" w:rsidP="00235523">
      <w:pPr>
        <w:pStyle w:val="ListParagraph"/>
        <w:widowControl/>
        <w:numPr>
          <w:ilvl w:val="0"/>
          <w:numId w:val="0"/>
        </w:numPr>
        <w:ind w:left="720" w:hanging="720"/>
      </w:pPr>
    </w:p>
    <w:p w14:paraId="11EA46C4" w14:textId="574AD015" w:rsidR="00F11093" w:rsidRPr="00F334E8" w:rsidRDefault="00F11093" w:rsidP="00235523">
      <w:pPr>
        <w:pStyle w:val="ListParagraph"/>
        <w:widowControl/>
        <w:ind w:left="720"/>
      </w:pPr>
      <w:r w:rsidRPr="00F334E8">
        <w:t xml:space="preserve">Article 4 of the </w:t>
      </w:r>
      <w:r w:rsidR="006F2AE9" w:rsidRPr="00F334E8">
        <w:t xml:space="preserve">UK-EU </w:t>
      </w:r>
      <w:r w:rsidRPr="00F334E8">
        <w:t xml:space="preserve">Withdrawal Agreement sets out interpretive obligations in relation to the Withdrawal Agreement to ensure consistent interpretation. The application of the EU law </w:t>
      </w:r>
      <w:r w:rsidRPr="00F334E8">
        <w:rPr>
          <w:i/>
        </w:rPr>
        <w:t>Demirel</w:t>
      </w:r>
      <w:r w:rsidRPr="00F334E8">
        <w:t xml:space="preserve"> test for direct effect to Windsor Framework Article 2 is a matter of EU law and may, ultimately, be subject to consideration by the CJEU, should this matter be referred to arbitration under the terms of the Withdrawal Agreement.</w:t>
      </w:r>
      <w:r w:rsidRPr="00F334E8">
        <w:rPr>
          <w:rStyle w:val="FootnoteReference"/>
        </w:rPr>
        <w:footnoteReference w:id="46"/>
      </w:r>
      <w:r w:rsidRPr="00F334E8">
        <w:t xml:space="preserve">  </w:t>
      </w:r>
    </w:p>
    <w:p w14:paraId="0791151A" w14:textId="77777777" w:rsidR="008E5C6B" w:rsidRPr="00F334E8" w:rsidRDefault="008E5C6B" w:rsidP="00235523">
      <w:pPr>
        <w:pStyle w:val="ListParagraph"/>
        <w:numPr>
          <w:ilvl w:val="0"/>
          <w:numId w:val="0"/>
        </w:numPr>
        <w:ind w:left="720" w:hanging="720"/>
      </w:pPr>
    </w:p>
    <w:p w14:paraId="21727DB4" w14:textId="747685CA" w:rsidR="005E1474" w:rsidRPr="00F334E8" w:rsidRDefault="005E1474" w:rsidP="00235523">
      <w:pPr>
        <w:pStyle w:val="ListParagraph"/>
        <w:widowControl/>
        <w:ind w:left="720"/>
      </w:pPr>
      <w:r w:rsidRPr="00F334E8">
        <w:t xml:space="preserve">The NIHRC is concerned that the UK Supreme Court has applied an EU law test to the interpretation of the Belfast (Good Friday) </w:t>
      </w:r>
      <w:r w:rsidRPr="00F334E8">
        <w:lastRenderedPageBreak/>
        <w:t>Agreement.</w:t>
      </w:r>
      <w:r w:rsidR="00F11093" w:rsidRPr="00F334E8">
        <w:t xml:space="preserve"> The NIHRC is unaware of CJEU caselaw applying the EU </w:t>
      </w:r>
      <w:r w:rsidR="00F11093" w:rsidRPr="00F334E8">
        <w:rPr>
          <w:i/>
        </w:rPr>
        <w:t>Demirel</w:t>
      </w:r>
      <w:r w:rsidR="00F11093" w:rsidRPr="00F334E8">
        <w:t xml:space="preserve"> test to a treaty to which the EU was not signatory.</w:t>
      </w:r>
      <w:r w:rsidRPr="00F334E8">
        <w:t xml:space="preserve"> </w:t>
      </w:r>
    </w:p>
    <w:p w14:paraId="404D31E4" w14:textId="77777777" w:rsidR="005E1474" w:rsidRPr="00F334E8" w:rsidRDefault="005E1474" w:rsidP="005E1474">
      <w:pPr>
        <w:pStyle w:val="ListParagraph"/>
        <w:numPr>
          <w:ilvl w:val="0"/>
          <w:numId w:val="0"/>
        </w:numPr>
        <w:ind w:left="720"/>
      </w:pPr>
    </w:p>
    <w:p w14:paraId="053B1BD8" w14:textId="3958A53D" w:rsidR="00867BC6" w:rsidRPr="00EF773A" w:rsidRDefault="001F47FF" w:rsidP="00EF773A">
      <w:pPr>
        <w:pStyle w:val="Heading2"/>
      </w:pPr>
      <w:bookmarkStart w:id="14" w:name="_Toc235087541"/>
      <w:r w:rsidRPr="00EF773A">
        <w:t xml:space="preserve">Question 6: </w:t>
      </w:r>
      <w:r w:rsidR="00867BC6" w:rsidRPr="00EF773A">
        <w:t>Who can rely on Article 2 WF and when?</w:t>
      </w:r>
      <w:bookmarkEnd w:id="14"/>
    </w:p>
    <w:p w14:paraId="0FF2BC1B" w14:textId="0CB1A2EF" w:rsidR="005E67EF" w:rsidRPr="001B401B" w:rsidRDefault="003120AC" w:rsidP="00235523">
      <w:pPr>
        <w:pStyle w:val="ListParagraph"/>
        <w:widowControl/>
        <w:ind w:left="720"/>
        <w:rPr>
          <w:color w:val="000000" w:themeColor="text1"/>
        </w:rPr>
      </w:pPr>
      <w:r w:rsidRPr="00F334E8">
        <w:rPr>
          <w:color w:val="000000" w:themeColor="text1"/>
        </w:rPr>
        <w:t xml:space="preserve">The </w:t>
      </w:r>
      <w:r w:rsidR="00390DBF" w:rsidRPr="00F334E8">
        <w:rPr>
          <w:color w:val="000000" w:themeColor="text1"/>
        </w:rPr>
        <w:t>NIHRC</w:t>
      </w:r>
      <w:r w:rsidRPr="00F334E8">
        <w:rPr>
          <w:color w:val="000000" w:themeColor="text1"/>
        </w:rPr>
        <w:t xml:space="preserve"> is concerned a</w:t>
      </w:r>
      <w:r w:rsidR="000D2BDE" w:rsidRPr="00F334E8">
        <w:rPr>
          <w:color w:val="000000" w:themeColor="text1"/>
        </w:rPr>
        <w:t xml:space="preserve">bout the </w:t>
      </w:r>
      <w:r w:rsidR="00137090" w:rsidRPr="00F334E8">
        <w:rPr>
          <w:color w:val="000000" w:themeColor="text1"/>
        </w:rPr>
        <w:t xml:space="preserve">current </w:t>
      </w:r>
      <w:r w:rsidR="000D2BDE" w:rsidRPr="00F334E8">
        <w:rPr>
          <w:color w:val="000000" w:themeColor="text1"/>
        </w:rPr>
        <w:t>lack of clarity on the scope and application of Windsor Framework Article 2</w:t>
      </w:r>
      <w:r w:rsidR="00C57301" w:rsidRPr="00F334E8">
        <w:rPr>
          <w:color w:val="000000" w:themeColor="text1"/>
        </w:rPr>
        <w:t>,</w:t>
      </w:r>
      <w:r w:rsidR="00F17D3F" w:rsidRPr="00F334E8">
        <w:rPr>
          <w:color w:val="000000" w:themeColor="text1"/>
        </w:rPr>
        <w:t xml:space="preserve"> and </w:t>
      </w:r>
      <w:r w:rsidR="001719D1" w:rsidRPr="00F334E8">
        <w:rPr>
          <w:color w:val="000000" w:themeColor="text1"/>
        </w:rPr>
        <w:t>the</w:t>
      </w:r>
      <w:r w:rsidR="00880867" w:rsidRPr="00F334E8">
        <w:rPr>
          <w:color w:val="000000" w:themeColor="text1"/>
        </w:rPr>
        <w:t xml:space="preserve"> departure from what was </w:t>
      </w:r>
      <w:r w:rsidR="0013575F" w:rsidRPr="00F334E8">
        <w:rPr>
          <w:color w:val="000000" w:themeColor="text1"/>
        </w:rPr>
        <w:t>negotiated</w:t>
      </w:r>
      <w:r w:rsidR="00806615" w:rsidRPr="00F334E8">
        <w:rPr>
          <w:color w:val="000000" w:themeColor="text1"/>
        </w:rPr>
        <w:t xml:space="preserve">, understood and </w:t>
      </w:r>
      <w:r w:rsidR="0013575F" w:rsidRPr="00F334E8">
        <w:rPr>
          <w:color w:val="000000" w:themeColor="text1"/>
        </w:rPr>
        <w:t>publicly expressed by the UK</w:t>
      </w:r>
      <w:r w:rsidR="00806615" w:rsidRPr="00F334E8">
        <w:rPr>
          <w:color w:val="000000" w:themeColor="text1"/>
        </w:rPr>
        <w:t xml:space="preserve"> Government</w:t>
      </w:r>
      <w:r w:rsidR="000D2BDE" w:rsidRPr="00F334E8">
        <w:rPr>
          <w:color w:val="000000" w:themeColor="text1"/>
        </w:rPr>
        <w:t>.</w:t>
      </w:r>
      <w:r w:rsidR="00C053EE" w:rsidRPr="00F334E8">
        <w:rPr>
          <w:color w:val="000000" w:themeColor="text1"/>
        </w:rPr>
        <w:t xml:space="preserve"> </w:t>
      </w:r>
      <w:r w:rsidR="00C053EE" w:rsidRPr="00F7058B">
        <w:rPr>
          <w:color w:val="000000" w:themeColor="text1"/>
        </w:rPr>
        <w:t xml:space="preserve">This section </w:t>
      </w:r>
      <w:r w:rsidR="00831E02" w:rsidRPr="00F7058B">
        <w:rPr>
          <w:color w:val="000000" w:themeColor="text1"/>
        </w:rPr>
        <w:t xml:space="preserve">sets out the </w:t>
      </w:r>
      <w:r w:rsidR="00390DBF">
        <w:rPr>
          <w:color w:val="000000" w:themeColor="text1"/>
        </w:rPr>
        <w:t>NIHRC</w:t>
      </w:r>
      <w:r w:rsidR="00831E02" w:rsidRPr="00F7058B">
        <w:rPr>
          <w:color w:val="000000" w:themeColor="text1"/>
        </w:rPr>
        <w:t xml:space="preserve">’s </w:t>
      </w:r>
      <w:r w:rsidR="00A2534D" w:rsidRPr="00F7058B">
        <w:rPr>
          <w:color w:val="000000" w:themeColor="text1"/>
        </w:rPr>
        <w:t xml:space="preserve">current </w:t>
      </w:r>
      <w:r w:rsidR="00831E02" w:rsidRPr="00F7058B">
        <w:rPr>
          <w:color w:val="000000" w:themeColor="text1"/>
        </w:rPr>
        <w:t>understanding</w:t>
      </w:r>
      <w:r w:rsidR="001719D1" w:rsidRPr="00F7058B">
        <w:rPr>
          <w:color w:val="000000" w:themeColor="text1"/>
        </w:rPr>
        <w:t xml:space="preserve"> of </w:t>
      </w:r>
      <w:r w:rsidR="00A2534D" w:rsidRPr="00F7058B">
        <w:rPr>
          <w:color w:val="000000" w:themeColor="text1"/>
        </w:rPr>
        <w:t xml:space="preserve">Windsor Framework Article 2, </w:t>
      </w:r>
      <w:proofErr w:type="gramStart"/>
      <w:r w:rsidR="00A2534D" w:rsidRPr="00F7058B">
        <w:rPr>
          <w:color w:val="000000" w:themeColor="text1"/>
        </w:rPr>
        <w:t>in light of</w:t>
      </w:r>
      <w:proofErr w:type="gramEnd"/>
      <w:r w:rsidR="00A2534D" w:rsidRPr="00F7058B">
        <w:rPr>
          <w:color w:val="000000" w:themeColor="text1"/>
        </w:rPr>
        <w:t xml:space="preserve"> the </w:t>
      </w:r>
      <w:r w:rsidR="00A2534D" w:rsidRPr="00F7058B">
        <w:rPr>
          <w:i/>
          <w:iCs/>
          <w:color w:val="000000" w:themeColor="text1"/>
        </w:rPr>
        <w:t>Dillon</w:t>
      </w:r>
      <w:r w:rsidR="00A2534D" w:rsidRPr="00F7058B">
        <w:rPr>
          <w:color w:val="000000" w:themeColor="text1"/>
        </w:rPr>
        <w:t xml:space="preserve"> judgment</w:t>
      </w:r>
      <w:r w:rsidR="0035712F" w:rsidRPr="00F7058B">
        <w:rPr>
          <w:color w:val="000000" w:themeColor="text1"/>
        </w:rPr>
        <w:t>,</w:t>
      </w:r>
      <w:r w:rsidR="0045152B" w:rsidRPr="00F7058B">
        <w:rPr>
          <w:color w:val="000000" w:themeColor="text1"/>
        </w:rPr>
        <w:t xml:space="preserve"> </w:t>
      </w:r>
      <w:r w:rsidR="002308FC" w:rsidRPr="00F7058B">
        <w:rPr>
          <w:color w:val="000000" w:themeColor="text1"/>
        </w:rPr>
        <w:t xml:space="preserve">looking at </w:t>
      </w:r>
      <w:r w:rsidR="00943AA4" w:rsidRPr="00F7058B">
        <w:rPr>
          <w:color w:val="000000" w:themeColor="text1"/>
        </w:rPr>
        <w:t>the cohort of persons protected and what can be said about the range of rights protected by Article 2.</w:t>
      </w:r>
      <w:r w:rsidR="002308FC" w:rsidRPr="00F7058B">
        <w:rPr>
          <w:color w:val="000000" w:themeColor="text1"/>
        </w:rPr>
        <w:t xml:space="preserve"> </w:t>
      </w:r>
      <w:r w:rsidR="00010AA9" w:rsidRPr="00F7058B">
        <w:rPr>
          <w:color w:val="000000" w:themeColor="text1"/>
        </w:rPr>
        <w:t>The response to question 9 sets out possible steps to put Article 2 on a clear and firm footing.</w:t>
      </w:r>
      <w:r w:rsidR="001B401B" w:rsidRPr="00F7058B">
        <w:rPr>
          <w:color w:val="000000" w:themeColor="text1"/>
        </w:rPr>
        <w:t xml:space="preserve"> T</w:t>
      </w:r>
      <w:r w:rsidR="005E67EF" w:rsidRPr="00F7058B">
        <w:rPr>
          <w:color w:val="000000" w:themeColor="text1"/>
        </w:rPr>
        <w:t xml:space="preserve">he response to question 5 dealt with </w:t>
      </w:r>
      <w:r w:rsidR="00F6317B" w:rsidRPr="00F7058B">
        <w:rPr>
          <w:color w:val="000000" w:themeColor="text1"/>
        </w:rPr>
        <w:t xml:space="preserve">individual redress in terms of </w:t>
      </w:r>
      <w:r w:rsidR="005E67EF" w:rsidRPr="00F7058B">
        <w:rPr>
          <w:color w:val="000000" w:themeColor="text1"/>
        </w:rPr>
        <w:t>direct effect.</w:t>
      </w:r>
    </w:p>
    <w:p w14:paraId="62C74D53" w14:textId="77777777" w:rsidR="003C4249" w:rsidRPr="003C4249" w:rsidRDefault="003C4249" w:rsidP="003C4249">
      <w:pPr>
        <w:pStyle w:val="ListParagraph"/>
        <w:widowControl/>
        <w:numPr>
          <w:ilvl w:val="0"/>
          <w:numId w:val="0"/>
        </w:numPr>
        <w:ind w:left="720"/>
        <w:rPr>
          <w:color w:val="000000" w:themeColor="text1"/>
        </w:rPr>
      </w:pPr>
    </w:p>
    <w:p w14:paraId="1F9129F2" w14:textId="231B7E22" w:rsidR="00116930" w:rsidRPr="00DA33C3" w:rsidRDefault="00116930" w:rsidP="00DA33C3">
      <w:pPr>
        <w:pStyle w:val="Heading3"/>
      </w:pPr>
      <w:bookmarkStart w:id="15" w:name="_Toc235087542"/>
      <w:r w:rsidRPr="00DA33C3">
        <w:t>Cohort of persons protected</w:t>
      </w:r>
      <w:bookmarkEnd w:id="15"/>
    </w:p>
    <w:p w14:paraId="6B241C02" w14:textId="1567D2D6" w:rsidR="00C10553" w:rsidRDefault="4D1A906F" w:rsidP="00235523">
      <w:pPr>
        <w:pStyle w:val="ListParagraph"/>
        <w:ind w:left="720"/>
      </w:pPr>
      <w:r w:rsidRPr="0612E043">
        <w:t xml:space="preserve">In the rights, safeguards and equality of opportunity section of the Belfast (Good Friday) Agreement, the </w:t>
      </w:r>
      <w:r w:rsidRPr="00A24D09">
        <w:t>parties</w:t>
      </w:r>
      <w:r w:rsidR="009D4064">
        <w:t xml:space="preserve"> </w:t>
      </w:r>
      <w:r w:rsidRPr="0612E043">
        <w:t xml:space="preserve">affirmed their “commitment to the civil rights </w:t>
      </w:r>
      <w:r w:rsidR="004F4902">
        <w:t>and religious liberties</w:t>
      </w:r>
      <w:r w:rsidRPr="0612E043">
        <w:t xml:space="preserve"> of </w:t>
      </w:r>
      <w:r w:rsidRPr="002760C5">
        <w:rPr>
          <w:b/>
        </w:rPr>
        <w:t>everyone in the community</w:t>
      </w:r>
      <w:r w:rsidRPr="0612E043">
        <w:t>”</w:t>
      </w:r>
      <w:r w:rsidR="00141D4C">
        <w:t xml:space="preserve"> (emphasis added)</w:t>
      </w:r>
      <w:r w:rsidRPr="0612E043">
        <w:t>.</w:t>
      </w:r>
      <w:r w:rsidR="00047AEB" w:rsidRPr="00C347EA">
        <w:rPr>
          <w:vertAlign w:val="superscript"/>
        </w:rPr>
        <w:footnoteReference w:id="47"/>
      </w:r>
      <w:r w:rsidR="00A04DB6">
        <w:t xml:space="preserve"> </w:t>
      </w:r>
      <w:r w:rsidR="00B829E2">
        <w:t xml:space="preserve">In the </w:t>
      </w:r>
      <w:r w:rsidR="009C7499" w:rsidRPr="00B95417">
        <w:t>Declaration of Support</w:t>
      </w:r>
      <w:r w:rsidR="00B829E2">
        <w:t xml:space="preserve"> the parties </w:t>
      </w:r>
      <w:r w:rsidR="00B24E2D">
        <w:t>dedicate themselves to “</w:t>
      </w:r>
      <w:r w:rsidR="0001152C" w:rsidRPr="00737F39">
        <w:t>a fresh start</w:t>
      </w:r>
      <w:r w:rsidR="0001152C">
        <w:t xml:space="preserve">, in which we firmly dedicate ourselves to the achievement of reconciliation, tolerance, and mutual trust, and to the protection and vindication of </w:t>
      </w:r>
      <w:r w:rsidR="0001152C" w:rsidRPr="00A141CD">
        <w:rPr>
          <w:b/>
          <w:bCs/>
        </w:rPr>
        <w:t>the human rights of all</w:t>
      </w:r>
      <w:r w:rsidR="000A6F92" w:rsidRPr="00BF3D92">
        <w:rPr>
          <w:color w:val="000000" w:themeColor="text1"/>
        </w:rPr>
        <w:t>”</w:t>
      </w:r>
      <w:r w:rsidR="00141D4C">
        <w:rPr>
          <w:color w:val="000000" w:themeColor="text1"/>
        </w:rPr>
        <w:t xml:space="preserve"> </w:t>
      </w:r>
      <w:r w:rsidR="00141D4C">
        <w:t>(emphasis added)</w:t>
      </w:r>
      <w:r w:rsidR="00BF3D92" w:rsidRPr="00BF3D92">
        <w:rPr>
          <w:color w:val="000000" w:themeColor="text1"/>
        </w:rPr>
        <w:t>.</w:t>
      </w:r>
      <w:r w:rsidR="000A6F92" w:rsidRPr="0001152C">
        <w:rPr>
          <w:color w:val="000000" w:themeColor="text1"/>
        </w:rPr>
        <w:t xml:space="preserve"> </w:t>
      </w:r>
    </w:p>
    <w:p w14:paraId="295564C9" w14:textId="77777777" w:rsidR="00C10553" w:rsidRDefault="00C10553" w:rsidP="00235523">
      <w:pPr>
        <w:pStyle w:val="ListParagraph"/>
        <w:widowControl/>
        <w:numPr>
          <w:ilvl w:val="0"/>
          <w:numId w:val="0"/>
        </w:numPr>
        <w:ind w:left="720" w:hanging="720"/>
        <w:rPr>
          <w:color w:val="000000" w:themeColor="text1"/>
        </w:rPr>
      </w:pPr>
    </w:p>
    <w:p w14:paraId="6DC2E102" w14:textId="193420F6" w:rsidR="007D181D" w:rsidRPr="00007EA8" w:rsidRDefault="00B31926" w:rsidP="00235523">
      <w:pPr>
        <w:pStyle w:val="ListParagraph"/>
        <w:widowControl/>
        <w:ind w:left="720"/>
        <w:rPr>
          <w:color w:val="000000" w:themeColor="text1"/>
        </w:rPr>
      </w:pPr>
      <w:r>
        <w:t>Human rights are indivisible, interdependent and interrelated</w:t>
      </w:r>
      <w:r w:rsidRPr="00B822DA">
        <w:rPr>
          <w:rFonts w:cs="Arial"/>
          <w:color w:val="232120"/>
          <w:vertAlign w:val="superscript"/>
        </w:rPr>
        <w:footnoteReference w:id="48"/>
      </w:r>
      <w:r w:rsidR="00B5080E">
        <w:t xml:space="preserve"> and univer</w:t>
      </w:r>
      <w:r w:rsidR="00776678">
        <w:t>sality is a cornerstone of human rights</w:t>
      </w:r>
      <w:r w:rsidR="00007EA8">
        <w:t xml:space="preserve">. </w:t>
      </w:r>
      <w:r w:rsidR="0071278A" w:rsidRPr="00007EA8">
        <w:rPr>
          <w:color w:val="000000" w:themeColor="text1"/>
        </w:rPr>
        <w:t xml:space="preserve">In its Explainer, the UK Government </w:t>
      </w:r>
      <w:r w:rsidR="00093146">
        <w:rPr>
          <w:color w:val="000000" w:themeColor="text1"/>
        </w:rPr>
        <w:t>stated</w:t>
      </w:r>
      <w:r w:rsidR="0071278A" w:rsidRPr="00007EA8">
        <w:rPr>
          <w:color w:val="000000" w:themeColor="text1"/>
        </w:rPr>
        <w:t xml:space="preserve"> that </w:t>
      </w:r>
      <w:r w:rsidR="001CD8B9" w:rsidRPr="00007EA8">
        <w:rPr>
          <w:color w:val="000000" w:themeColor="text1"/>
        </w:rPr>
        <w:t xml:space="preserve">Article 2 </w:t>
      </w:r>
      <w:r w:rsidR="0071278A" w:rsidRPr="00007EA8">
        <w:rPr>
          <w:color w:val="000000" w:themeColor="text1"/>
        </w:rPr>
        <w:t xml:space="preserve">was </w:t>
      </w:r>
      <w:r w:rsidR="001CD8B9" w:rsidRPr="00007EA8">
        <w:rPr>
          <w:color w:val="000000" w:themeColor="text1"/>
        </w:rPr>
        <w:t xml:space="preserve">intended to protect the rights of </w:t>
      </w:r>
      <w:r w:rsidR="008E508C">
        <w:rPr>
          <w:color w:val="000000" w:themeColor="text1"/>
        </w:rPr>
        <w:t>“</w:t>
      </w:r>
      <w:r w:rsidR="001CD8B9" w:rsidRPr="00007EA8">
        <w:rPr>
          <w:color w:val="000000" w:themeColor="text1"/>
        </w:rPr>
        <w:t xml:space="preserve">everyone </w:t>
      </w:r>
      <w:r w:rsidR="00BC14AA">
        <w:rPr>
          <w:color w:val="000000" w:themeColor="text1"/>
        </w:rPr>
        <w:t xml:space="preserve">who is </w:t>
      </w:r>
      <w:r w:rsidR="001CD8B9" w:rsidRPr="00007EA8">
        <w:rPr>
          <w:color w:val="000000" w:themeColor="text1"/>
        </w:rPr>
        <w:t xml:space="preserve">subject to </w:t>
      </w:r>
      <w:r w:rsidR="00BA6D0F">
        <w:rPr>
          <w:color w:val="000000" w:themeColor="text1"/>
        </w:rPr>
        <w:t>Northern Ireland</w:t>
      </w:r>
      <w:r w:rsidR="0071278A" w:rsidRPr="00007EA8">
        <w:rPr>
          <w:color w:val="000000" w:themeColor="text1"/>
        </w:rPr>
        <w:t xml:space="preserve"> </w:t>
      </w:r>
      <w:r w:rsidR="001CD8B9" w:rsidRPr="00007EA8">
        <w:rPr>
          <w:color w:val="000000" w:themeColor="text1"/>
        </w:rPr>
        <w:t>law</w:t>
      </w:r>
      <w:r w:rsidR="005C5699">
        <w:rPr>
          <w:color w:val="000000" w:themeColor="text1"/>
        </w:rPr>
        <w:t xml:space="preserve"> – irrespective of whether such law has been passed by the Northern Ireland legislature or Westminster</w:t>
      </w:r>
      <w:r w:rsidR="008E508C">
        <w:rPr>
          <w:color w:val="000000" w:themeColor="text1"/>
        </w:rPr>
        <w:t>”</w:t>
      </w:r>
      <w:r w:rsidR="00187024">
        <w:rPr>
          <w:color w:val="000000" w:themeColor="text1"/>
        </w:rPr>
        <w:t>.</w:t>
      </w:r>
      <w:r w:rsidR="005A4B95">
        <w:rPr>
          <w:rStyle w:val="FootnoteReference"/>
          <w:color w:val="000000" w:themeColor="text1"/>
        </w:rPr>
        <w:footnoteReference w:id="49"/>
      </w:r>
    </w:p>
    <w:p w14:paraId="739D84EB" w14:textId="0778CE7F" w:rsidR="00B40417" w:rsidRDefault="00B40417" w:rsidP="00235523">
      <w:pPr>
        <w:pStyle w:val="ListParagraph"/>
        <w:widowControl/>
        <w:numPr>
          <w:ilvl w:val="0"/>
          <w:numId w:val="0"/>
        </w:numPr>
        <w:ind w:left="720" w:hanging="720"/>
        <w:rPr>
          <w:color w:val="000000" w:themeColor="text1"/>
        </w:rPr>
      </w:pPr>
    </w:p>
    <w:p w14:paraId="5C2A7D93" w14:textId="14DC131C" w:rsidR="00332112" w:rsidRPr="003470D3" w:rsidRDefault="003F2914" w:rsidP="00235523">
      <w:pPr>
        <w:pStyle w:val="ListParagraph"/>
        <w:widowControl/>
        <w:ind w:left="720"/>
        <w:rPr>
          <w:strike/>
          <w:color w:val="000000" w:themeColor="text1"/>
        </w:rPr>
      </w:pPr>
      <w:r>
        <w:rPr>
          <w:color w:val="000000" w:themeColor="text1"/>
        </w:rPr>
        <w:lastRenderedPageBreak/>
        <w:t>The UK</w:t>
      </w:r>
      <w:r w:rsidR="0071278A">
        <w:rPr>
          <w:color w:val="000000" w:themeColor="text1"/>
        </w:rPr>
        <w:t xml:space="preserve"> Supreme Court</w:t>
      </w:r>
      <w:r>
        <w:rPr>
          <w:color w:val="000000" w:themeColor="text1"/>
        </w:rPr>
        <w:t xml:space="preserve"> in </w:t>
      </w:r>
      <w:r>
        <w:rPr>
          <w:i/>
          <w:iCs/>
          <w:color w:val="000000" w:themeColor="text1"/>
        </w:rPr>
        <w:t xml:space="preserve">Dillon </w:t>
      </w:r>
      <w:r>
        <w:rPr>
          <w:color w:val="000000" w:themeColor="text1"/>
        </w:rPr>
        <w:t>did not specify in the judgment who is protected under Windsor Framework Article 2.</w:t>
      </w:r>
      <w:r>
        <w:rPr>
          <w:rStyle w:val="FootnoteReference"/>
          <w:color w:val="000000" w:themeColor="text1"/>
        </w:rPr>
        <w:footnoteReference w:id="50"/>
      </w:r>
      <w:r>
        <w:rPr>
          <w:color w:val="000000" w:themeColor="text1"/>
        </w:rPr>
        <w:t xml:space="preserve"> However, t</w:t>
      </w:r>
      <w:r w:rsidR="00600668">
        <w:rPr>
          <w:color w:val="000000" w:themeColor="text1"/>
        </w:rPr>
        <w:t xml:space="preserve">he NI High Court </w:t>
      </w:r>
      <w:r w:rsidR="00114F57">
        <w:rPr>
          <w:color w:val="000000" w:themeColor="text1"/>
        </w:rPr>
        <w:t>found</w:t>
      </w:r>
      <w:r w:rsidR="00332112">
        <w:rPr>
          <w:color w:val="000000" w:themeColor="text1"/>
        </w:rPr>
        <w:t xml:space="preserve"> that Article 2 protections </w:t>
      </w:r>
      <w:r w:rsidR="0005345F">
        <w:rPr>
          <w:color w:val="000000" w:themeColor="text1"/>
        </w:rPr>
        <w:t>can extend</w:t>
      </w:r>
      <w:r w:rsidR="00332112">
        <w:rPr>
          <w:color w:val="000000" w:themeColor="text1"/>
        </w:rPr>
        <w:t xml:space="preserve"> to vulnerable </w:t>
      </w:r>
      <w:r w:rsidR="00114F57">
        <w:rPr>
          <w:color w:val="000000" w:themeColor="text1"/>
        </w:rPr>
        <w:t xml:space="preserve">people </w:t>
      </w:r>
      <w:r w:rsidR="00332112">
        <w:rPr>
          <w:color w:val="000000" w:themeColor="text1"/>
        </w:rPr>
        <w:t>where the relevant legal requirements are met</w:t>
      </w:r>
      <w:r w:rsidR="00640C81">
        <w:rPr>
          <w:color w:val="000000" w:themeColor="text1"/>
        </w:rPr>
        <w:t xml:space="preserve">, including </w:t>
      </w:r>
      <w:r w:rsidR="00660FA8">
        <w:rPr>
          <w:color w:val="000000" w:themeColor="text1"/>
        </w:rPr>
        <w:t>within the context of asylum and human trafficking.</w:t>
      </w:r>
      <w:r w:rsidR="00332112">
        <w:rPr>
          <w:rStyle w:val="FootnoteReference"/>
          <w:color w:val="000000" w:themeColor="text1"/>
        </w:rPr>
        <w:footnoteReference w:id="51"/>
      </w:r>
      <w:r w:rsidR="00332112">
        <w:rPr>
          <w:color w:val="000000" w:themeColor="text1"/>
        </w:rPr>
        <w:t xml:space="preserve"> </w:t>
      </w:r>
      <w:r w:rsidR="003A5D37" w:rsidRPr="003470D3">
        <w:rPr>
          <w:color w:val="000000" w:themeColor="text1"/>
        </w:rPr>
        <w:t xml:space="preserve">The UK Government did not challenge the application of </w:t>
      </w:r>
      <w:r w:rsidR="0054686A" w:rsidRPr="003470D3">
        <w:rPr>
          <w:color w:val="000000" w:themeColor="text1"/>
        </w:rPr>
        <w:t xml:space="preserve">Windsor Framework Article 2 to </w:t>
      </w:r>
      <w:r w:rsidR="0022353F" w:rsidRPr="003470D3">
        <w:rPr>
          <w:color w:val="000000" w:themeColor="text1"/>
        </w:rPr>
        <w:t xml:space="preserve">asylum-seekers or victims of human trafficking, </w:t>
      </w:r>
      <w:r w:rsidR="0022353F" w:rsidRPr="003470D3">
        <w:rPr>
          <w:i/>
          <w:color w:val="000000" w:themeColor="text1"/>
        </w:rPr>
        <w:t>as individuals</w:t>
      </w:r>
      <w:r w:rsidR="004400F4" w:rsidRPr="003470D3">
        <w:rPr>
          <w:color w:val="000000" w:themeColor="text1"/>
        </w:rPr>
        <w:t xml:space="preserve">, </w:t>
      </w:r>
      <w:r w:rsidR="00EF0DF5" w:rsidRPr="003470D3">
        <w:rPr>
          <w:color w:val="000000" w:themeColor="text1"/>
        </w:rPr>
        <w:t xml:space="preserve">and </w:t>
      </w:r>
      <w:r w:rsidR="004400F4" w:rsidRPr="003470D3">
        <w:rPr>
          <w:color w:val="000000" w:themeColor="text1"/>
        </w:rPr>
        <w:t>challeng</w:t>
      </w:r>
      <w:r w:rsidR="00EF0DF5" w:rsidRPr="003470D3">
        <w:rPr>
          <w:color w:val="000000" w:themeColor="text1"/>
        </w:rPr>
        <w:t>ed</w:t>
      </w:r>
      <w:r w:rsidR="004400F4" w:rsidRPr="003470D3">
        <w:rPr>
          <w:color w:val="000000" w:themeColor="text1"/>
        </w:rPr>
        <w:t xml:space="preserve"> only the range of EU law invoked in the case.</w:t>
      </w:r>
      <w:r w:rsidR="191329B2" w:rsidRPr="003470D3">
        <w:rPr>
          <w:color w:val="000000" w:themeColor="text1"/>
        </w:rPr>
        <w:t xml:space="preserve"> </w:t>
      </w:r>
    </w:p>
    <w:p w14:paraId="578522B9" w14:textId="77777777" w:rsidR="00280559" w:rsidRPr="008A3C7C" w:rsidRDefault="00280559" w:rsidP="00235523">
      <w:pPr>
        <w:pStyle w:val="ListParagraph"/>
        <w:numPr>
          <w:ilvl w:val="0"/>
          <w:numId w:val="0"/>
        </w:numPr>
        <w:ind w:left="720" w:hanging="720"/>
        <w:rPr>
          <w:color w:val="000000" w:themeColor="text1"/>
        </w:rPr>
      </w:pPr>
    </w:p>
    <w:p w14:paraId="3A7C8EF5" w14:textId="69A7E163" w:rsidR="00280559" w:rsidRPr="003470D3" w:rsidRDefault="00280559" w:rsidP="00235523">
      <w:pPr>
        <w:pStyle w:val="ListParagraph"/>
        <w:widowControl/>
        <w:ind w:left="720"/>
        <w:rPr>
          <w:strike/>
          <w:color w:val="000000" w:themeColor="text1"/>
        </w:rPr>
      </w:pPr>
      <w:r w:rsidRPr="003470D3">
        <w:rPr>
          <w:color w:val="000000" w:themeColor="text1"/>
        </w:rPr>
        <w:t>Subject to ambiguous references</w:t>
      </w:r>
      <w:r w:rsidR="00615C39" w:rsidRPr="003470D3">
        <w:rPr>
          <w:color w:val="000000" w:themeColor="text1"/>
        </w:rPr>
        <w:t xml:space="preserve"> in the </w:t>
      </w:r>
      <w:r w:rsidR="00615C39" w:rsidRPr="003470D3">
        <w:rPr>
          <w:i/>
          <w:color w:val="000000" w:themeColor="text1"/>
        </w:rPr>
        <w:t xml:space="preserve">Dillon </w:t>
      </w:r>
      <w:r w:rsidR="00615C39" w:rsidRPr="003470D3">
        <w:rPr>
          <w:color w:val="000000" w:themeColor="text1"/>
        </w:rPr>
        <w:t xml:space="preserve">judgment </w:t>
      </w:r>
      <w:r w:rsidRPr="003470D3">
        <w:rPr>
          <w:color w:val="000000" w:themeColor="text1"/>
        </w:rPr>
        <w:t xml:space="preserve">to the </w:t>
      </w:r>
      <w:r w:rsidR="00392188" w:rsidRPr="003470D3">
        <w:rPr>
          <w:color w:val="000000" w:themeColor="text1"/>
        </w:rPr>
        <w:t xml:space="preserve">sectarian conflict in NI, </w:t>
      </w:r>
      <w:r w:rsidR="005C3398" w:rsidRPr="003470D3">
        <w:rPr>
          <w:color w:val="000000" w:themeColor="text1"/>
        </w:rPr>
        <w:t xml:space="preserve">which are </w:t>
      </w:r>
      <w:r w:rsidR="00615C39" w:rsidRPr="003470D3">
        <w:rPr>
          <w:color w:val="000000" w:themeColor="text1"/>
        </w:rPr>
        <w:t xml:space="preserve">dealt with below, </w:t>
      </w:r>
      <w:r w:rsidRPr="003470D3">
        <w:rPr>
          <w:color w:val="000000" w:themeColor="text1"/>
        </w:rPr>
        <w:t xml:space="preserve">Windsor Framework Article 2 </w:t>
      </w:r>
      <w:r w:rsidR="00982BBD" w:rsidRPr="003470D3">
        <w:rPr>
          <w:color w:val="000000" w:themeColor="text1"/>
        </w:rPr>
        <w:t>has been understood to date as protecting</w:t>
      </w:r>
      <w:r w:rsidRPr="003470D3">
        <w:rPr>
          <w:color w:val="000000" w:themeColor="text1"/>
        </w:rPr>
        <w:t xml:space="preserve"> “everyone in the community</w:t>
      </w:r>
      <w:r w:rsidR="001E2CE6" w:rsidRPr="003470D3">
        <w:rPr>
          <w:color w:val="000000" w:themeColor="text1"/>
        </w:rPr>
        <w:t>”</w:t>
      </w:r>
      <w:r w:rsidR="00D90A21" w:rsidRPr="003470D3">
        <w:rPr>
          <w:color w:val="000000" w:themeColor="text1"/>
        </w:rPr>
        <w:t xml:space="preserve">, </w:t>
      </w:r>
      <w:r w:rsidR="005641C4" w:rsidRPr="003470D3">
        <w:rPr>
          <w:color w:val="000000" w:themeColor="text1"/>
        </w:rPr>
        <w:t>where</w:t>
      </w:r>
      <w:r w:rsidR="001D2041" w:rsidRPr="003470D3">
        <w:rPr>
          <w:color w:val="000000" w:themeColor="text1"/>
        </w:rPr>
        <w:t xml:space="preserve"> </w:t>
      </w:r>
      <w:r w:rsidR="00325FF2" w:rsidRPr="003470D3">
        <w:rPr>
          <w:color w:val="000000" w:themeColor="text1"/>
        </w:rPr>
        <w:t xml:space="preserve">a </w:t>
      </w:r>
      <w:r w:rsidR="001D2041" w:rsidRPr="003470D3">
        <w:rPr>
          <w:color w:val="000000" w:themeColor="text1"/>
        </w:rPr>
        <w:t>relevant EU standard underpin</w:t>
      </w:r>
      <w:r w:rsidR="00325FF2" w:rsidRPr="003470D3">
        <w:rPr>
          <w:color w:val="000000" w:themeColor="text1"/>
        </w:rPr>
        <w:t>s</w:t>
      </w:r>
      <w:r w:rsidR="002A517F" w:rsidRPr="003470D3">
        <w:rPr>
          <w:color w:val="000000" w:themeColor="text1"/>
        </w:rPr>
        <w:t xml:space="preserve"> a right within the ambit of the Rights, Safeguards and Equality of Opportunity chapter</w:t>
      </w:r>
      <w:r w:rsidR="008A3C7C" w:rsidRPr="003470D3">
        <w:rPr>
          <w:color w:val="000000" w:themeColor="text1"/>
        </w:rPr>
        <w:t>.</w:t>
      </w:r>
      <w:r w:rsidRPr="003470D3">
        <w:rPr>
          <w:strike/>
          <w:color w:val="000000" w:themeColor="text1"/>
        </w:rPr>
        <w:t xml:space="preserve"> </w:t>
      </w:r>
    </w:p>
    <w:p w14:paraId="3BD45CF4" w14:textId="6F587DFD" w:rsidR="5D049508" w:rsidRDefault="5D049508" w:rsidP="5D049508">
      <w:pPr>
        <w:pStyle w:val="ListParagraph"/>
        <w:widowControl/>
        <w:numPr>
          <w:ilvl w:val="0"/>
          <w:numId w:val="0"/>
        </w:numPr>
        <w:ind w:left="720"/>
        <w:rPr>
          <w:color w:val="000000" w:themeColor="text1"/>
        </w:rPr>
      </w:pPr>
    </w:p>
    <w:p w14:paraId="20A7283D" w14:textId="1D7750D7" w:rsidR="009D3D16" w:rsidRDefault="009D3D16" w:rsidP="009D3D16">
      <w:pPr>
        <w:pStyle w:val="Heading3"/>
      </w:pPr>
      <w:bookmarkStart w:id="16" w:name="_Toc235087543"/>
      <w:r>
        <w:t>Backdrop of sectarian conflict</w:t>
      </w:r>
      <w:bookmarkEnd w:id="16"/>
    </w:p>
    <w:p w14:paraId="141F2417" w14:textId="25E6E4E9" w:rsidR="00EE4A4F" w:rsidRDefault="00184DF9" w:rsidP="00235523">
      <w:pPr>
        <w:pStyle w:val="ListParagraph"/>
        <w:widowControl/>
        <w:ind w:left="720"/>
      </w:pPr>
      <w:r>
        <w:t>As noted</w:t>
      </w:r>
      <w:r w:rsidR="00227B52">
        <w:t xml:space="preserve"> above</w:t>
      </w:r>
      <w:r>
        <w:t>, p</w:t>
      </w:r>
      <w:r w:rsidR="000571EB" w:rsidRPr="000571EB">
        <w:t xml:space="preserve">aragraph 1 </w:t>
      </w:r>
      <w:r w:rsidR="000571EB">
        <w:t>of the Rights, Safeguards and Equality of Opportunity chapter</w:t>
      </w:r>
      <w:r w:rsidR="000571EB" w:rsidRPr="000571EB">
        <w:t xml:space="preserve"> commits </w:t>
      </w:r>
      <w:r w:rsidR="00C006BF">
        <w:t>parties</w:t>
      </w:r>
      <w:r w:rsidR="000571EB" w:rsidRPr="000571EB">
        <w:t xml:space="preserve"> to the “civil rights and religious liberties of everyone in the community”</w:t>
      </w:r>
      <w:r w:rsidR="00227B52">
        <w:t>.</w:t>
      </w:r>
      <w:r w:rsidR="000571EB" w:rsidRPr="000571EB">
        <w:t xml:space="preserve"> The second sentence continues “Against the background of the recent history of communal conflict, the parties affirm in particular” </w:t>
      </w:r>
      <w:proofErr w:type="gramStart"/>
      <w:r w:rsidR="000571EB" w:rsidRPr="000571EB">
        <w:t>a number of</w:t>
      </w:r>
      <w:proofErr w:type="gramEnd"/>
      <w:r w:rsidR="000571EB" w:rsidRPr="000571EB">
        <w:t xml:space="preserve"> rights.</w:t>
      </w:r>
      <w:r w:rsidR="00EE4A4F">
        <w:t xml:space="preserve"> </w:t>
      </w:r>
    </w:p>
    <w:p w14:paraId="577D4C91" w14:textId="77777777" w:rsidR="00A013AC" w:rsidRDefault="00A013AC" w:rsidP="00235523">
      <w:pPr>
        <w:pStyle w:val="ListParagraph"/>
        <w:widowControl/>
        <w:numPr>
          <w:ilvl w:val="0"/>
          <w:numId w:val="0"/>
        </w:numPr>
        <w:ind w:left="720" w:hanging="720"/>
      </w:pPr>
    </w:p>
    <w:p w14:paraId="323B34E7" w14:textId="602812D7" w:rsidR="00447F10" w:rsidRDefault="00B76D58" w:rsidP="00235523">
      <w:pPr>
        <w:pStyle w:val="ListParagraph"/>
        <w:widowControl/>
        <w:ind w:left="720"/>
      </w:pPr>
      <w:r>
        <w:t>The</w:t>
      </w:r>
      <w:r w:rsidRPr="00B76D58">
        <w:t xml:space="preserve"> judgment </w:t>
      </w:r>
      <w:r w:rsidR="00BC5DBB">
        <w:t xml:space="preserve">in </w:t>
      </w:r>
      <w:r w:rsidR="00BC5DBB" w:rsidRPr="00BC5DBB">
        <w:rPr>
          <w:i/>
          <w:iCs/>
        </w:rPr>
        <w:t>Dillon</w:t>
      </w:r>
      <w:r w:rsidR="00BC5DBB">
        <w:t xml:space="preserve"> </w:t>
      </w:r>
      <w:r w:rsidR="00184DF9">
        <w:t>states</w:t>
      </w:r>
      <w:r w:rsidR="00227B52">
        <w:t>, in relation to paragraph 1,</w:t>
      </w:r>
      <w:r w:rsidRPr="00B76D58">
        <w:t xml:space="preserve"> “</w:t>
      </w:r>
      <w:r w:rsidR="00141D4C">
        <w:t>t</w:t>
      </w:r>
      <w:r w:rsidRPr="00B76D58">
        <w:t xml:space="preserve">he rights listed </w:t>
      </w:r>
      <w:r w:rsidR="00227B52">
        <w:t xml:space="preserve">with bullet points </w:t>
      </w:r>
      <w:r w:rsidRPr="00B76D58">
        <w:t>are all concerned with ending sectarian conflict”</w:t>
      </w:r>
      <w:r w:rsidR="00227B52">
        <w:t>.</w:t>
      </w:r>
      <w:r w:rsidR="00BC5DBB">
        <w:rPr>
          <w:rStyle w:val="FootnoteReference"/>
        </w:rPr>
        <w:footnoteReference w:id="52"/>
      </w:r>
      <w:r w:rsidR="00BC5DBB">
        <w:t xml:space="preserve"> </w:t>
      </w:r>
      <w:r w:rsidR="004036BA" w:rsidRPr="004036BA">
        <w:t xml:space="preserve">In the context of a case centring on the legacy of the conflict, </w:t>
      </w:r>
      <w:r w:rsidR="004036BA">
        <w:t>this</w:t>
      </w:r>
      <w:r w:rsidR="004036BA" w:rsidRPr="004036BA">
        <w:t xml:space="preserve"> could be read as </w:t>
      </w:r>
      <w:r w:rsidR="00B72693">
        <w:t xml:space="preserve">an </w:t>
      </w:r>
      <w:r w:rsidR="004036BA" w:rsidRPr="004036BA">
        <w:t xml:space="preserve">acknowledgement that the commitments to human rights </w:t>
      </w:r>
      <w:r w:rsidR="00DA596F">
        <w:t xml:space="preserve">in the relevant chapter </w:t>
      </w:r>
      <w:r w:rsidR="004036BA" w:rsidRPr="004036BA">
        <w:t>were part of the response to sectarian conflict, before the judgment goes on to consider whether the legacy-related issues at stake in this case are covered and /or diminished</w:t>
      </w:r>
      <w:r w:rsidR="001B2F0B">
        <w:t xml:space="preserve">.  </w:t>
      </w:r>
      <w:r w:rsidR="005E1474">
        <w:t>The NIHRC is concerned</w:t>
      </w:r>
      <w:r w:rsidR="001B2F0B">
        <w:t>, however,</w:t>
      </w:r>
      <w:r w:rsidR="005E1474">
        <w:t xml:space="preserve"> that </w:t>
      </w:r>
      <w:r w:rsidR="001B2F0B">
        <w:t xml:space="preserve">another </w:t>
      </w:r>
      <w:r w:rsidR="0068454F">
        <w:t xml:space="preserve">reading of this </w:t>
      </w:r>
      <w:r w:rsidR="00C4781D">
        <w:t xml:space="preserve">sentence is </w:t>
      </w:r>
      <w:r w:rsidR="005E1474">
        <w:t xml:space="preserve">that a link to the sectarian </w:t>
      </w:r>
      <w:r w:rsidR="005E1474">
        <w:lastRenderedPageBreak/>
        <w:t xml:space="preserve">conflict must be demonstrated to </w:t>
      </w:r>
      <w:r w:rsidR="002578D5">
        <w:t xml:space="preserve">invoke Windsor Framework Article 2 on the basis </w:t>
      </w:r>
      <w:r w:rsidR="005E1474">
        <w:t>the rights particularised in the bullet points</w:t>
      </w:r>
      <w:r w:rsidR="00EA2006">
        <w:t xml:space="preserve"> (read with a relevant EU measure)</w:t>
      </w:r>
      <w:r w:rsidR="005E1474">
        <w:t xml:space="preserve">. </w:t>
      </w:r>
      <w:r w:rsidR="0088054F" w:rsidRPr="00F334E8">
        <w:t>The</w:t>
      </w:r>
      <w:r w:rsidR="001F0EDD" w:rsidRPr="00F334E8">
        <w:t xml:space="preserve"> NIHRC</w:t>
      </w:r>
      <w:r w:rsidR="005E1474" w:rsidRPr="00F334E8">
        <w:t xml:space="preserve"> </w:t>
      </w:r>
      <w:r w:rsidR="003B7C5C" w:rsidRPr="00F334E8">
        <w:t xml:space="preserve">considers that such a reading would be </w:t>
      </w:r>
      <w:r w:rsidR="005E1474" w:rsidRPr="00F334E8">
        <w:t>contrary to the ordinary meaning of the Rights, Safeguards and Equality of Opportunity chapter</w:t>
      </w:r>
      <w:r w:rsidR="00EA2006" w:rsidRPr="00F334E8">
        <w:t>,</w:t>
      </w:r>
      <w:r w:rsidR="005E1474" w:rsidRPr="00F334E8">
        <w:t xml:space="preserve"> the object and purpose of the Belfast (Good Friday) Agreement and Windsor Framework</w:t>
      </w:r>
      <w:r w:rsidR="00474688" w:rsidRPr="00F334E8">
        <w:t xml:space="preserve"> </w:t>
      </w:r>
      <w:r w:rsidR="00CD0AEE" w:rsidRPr="00F334E8">
        <w:t xml:space="preserve">Article 2 </w:t>
      </w:r>
      <w:r w:rsidR="00474688" w:rsidRPr="00F334E8">
        <w:t xml:space="preserve">as interpreted in line with Article 4 of the </w:t>
      </w:r>
      <w:r w:rsidR="006F2AE9" w:rsidRPr="00F334E8">
        <w:t xml:space="preserve">UK-EU </w:t>
      </w:r>
      <w:r w:rsidR="00474688" w:rsidRPr="00F334E8">
        <w:t>Withdrawal Agreement</w:t>
      </w:r>
      <w:r w:rsidR="005E1474" w:rsidRPr="00F334E8">
        <w:t>.</w:t>
      </w:r>
      <w:r w:rsidR="005E1474">
        <w:t xml:space="preserve"> </w:t>
      </w:r>
    </w:p>
    <w:p w14:paraId="24695072" w14:textId="77777777" w:rsidR="00447F10" w:rsidRDefault="00447F10" w:rsidP="00235523">
      <w:pPr>
        <w:pStyle w:val="ListParagraph"/>
        <w:widowControl/>
        <w:numPr>
          <w:ilvl w:val="0"/>
          <w:numId w:val="0"/>
        </w:numPr>
        <w:ind w:left="720" w:hanging="720"/>
      </w:pPr>
    </w:p>
    <w:p w14:paraId="4B223220" w14:textId="77777777" w:rsidR="00AE2333" w:rsidRPr="00F334E8" w:rsidRDefault="00CD0AEE" w:rsidP="00235523">
      <w:pPr>
        <w:pStyle w:val="ListParagraph"/>
        <w:widowControl/>
        <w:ind w:left="720"/>
      </w:pPr>
      <w:r w:rsidRPr="00F334E8">
        <w:t>Firs</w:t>
      </w:r>
      <w:r w:rsidR="002E2F07" w:rsidRPr="00F334E8">
        <w:t>t</w:t>
      </w:r>
      <w:r w:rsidRPr="00F334E8">
        <w:t>,</w:t>
      </w:r>
      <w:r w:rsidR="00BF50FE" w:rsidRPr="00F334E8">
        <w:t xml:space="preserve"> it would be difficult to reconcile with the clear language of the Declaration of Support in relation to a “new beginning” based on “the achievement of reconciliation, tolerance, and mutual trust and the protection and vindication of the human rights of all”; and the commitment to the civil rights and religious liberties of “everyone in the community”. </w:t>
      </w:r>
      <w:r w:rsidR="00B265AD" w:rsidRPr="00F334E8">
        <w:t>Secondly,</w:t>
      </w:r>
      <w:r w:rsidRPr="00F334E8">
        <w:t xml:space="preserve"> i</w:t>
      </w:r>
      <w:r w:rsidR="0095350F" w:rsidRPr="00F334E8">
        <w:t xml:space="preserve">t </w:t>
      </w:r>
      <w:r w:rsidR="005C4A4C" w:rsidRPr="00F334E8">
        <w:t>is</w:t>
      </w:r>
      <w:r w:rsidR="00B51484" w:rsidRPr="00F334E8">
        <w:t xml:space="preserve"> </w:t>
      </w:r>
      <w:r w:rsidR="005C4A4C" w:rsidRPr="00F334E8">
        <w:t xml:space="preserve">difficult to see how </w:t>
      </w:r>
      <w:r w:rsidR="0095350F" w:rsidRPr="00F334E8">
        <w:t>parties to the</w:t>
      </w:r>
      <w:r w:rsidRPr="00F334E8">
        <w:t xml:space="preserve"> Belfast (Good Friday) Agreement</w:t>
      </w:r>
      <w:r w:rsidR="0095350F" w:rsidRPr="00F334E8">
        <w:t xml:space="preserve"> </w:t>
      </w:r>
      <w:r w:rsidR="005C4A4C" w:rsidRPr="00F334E8">
        <w:t>could have intended equality on grounds of</w:t>
      </w:r>
      <w:r w:rsidR="002E2F07" w:rsidRPr="00F334E8">
        <w:t xml:space="preserve"> </w:t>
      </w:r>
      <w:r w:rsidR="005C4A4C" w:rsidRPr="00F334E8">
        <w:t>gender or disability to be restricted to a troubles-related context. Moreover, reading the listed rights as being aimed</w:t>
      </w:r>
      <w:r w:rsidR="00CD4077" w:rsidRPr="00F334E8">
        <w:t xml:space="preserve"> </w:t>
      </w:r>
      <w:r w:rsidR="005C4A4C" w:rsidRPr="00F334E8">
        <w:t>primarily at</w:t>
      </w:r>
      <w:r w:rsidR="00CD4077" w:rsidRPr="00F334E8">
        <w:t xml:space="preserve"> </w:t>
      </w:r>
      <w:r w:rsidR="005C4A4C" w:rsidRPr="00F334E8">
        <w:t>certain members of the</w:t>
      </w:r>
      <w:r w:rsidR="002E2F07" w:rsidRPr="00F334E8">
        <w:t xml:space="preserve"> </w:t>
      </w:r>
      <w:r w:rsidR="005C4A4C" w:rsidRPr="00F334E8">
        <w:t>community,</w:t>
      </w:r>
      <w:r w:rsidR="00CD4077" w:rsidRPr="00F334E8">
        <w:t xml:space="preserve"> </w:t>
      </w:r>
      <w:r w:rsidR="005C4A4C" w:rsidRPr="00F334E8">
        <w:t>or</w:t>
      </w:r>
      <w:r w:rsidR="00CD4077" w:rsidRPr="00F334E8">
        <w:t xml:space="preserve"> </w:t>
      </w:r>
      <w:r w:rsidR="005C4A4C" w:rsidRPr="00F334E8">
        <w:t>addressing</w:t>
      </w:r>
      <w:r w:rsidR="00CD4077" w:rsidRPr="00F334E8">
        <w:t xml:space="preserve"> </w:t>
      </w:r>
      <w:r w:rsidR="005C4A4C" w:rsidRPr="00F334E8">
        <w:t>violations only for a particular motive,</w:t>
      </w:r>
      <w:r w:rsidR="002E2F07" w:rsidRPr="00F334E8">
        <w:t xml:space="preserve"> </w:t>
      </w:r>
      <w:r w:rsidR="005C4A4C" w:rsidRPr="00F334E8">
        <w:t>also jars with the principle of universality, a cornerstone of human rights and the rule of</w:t>
      </w:r>
      <w:r w:rsidR="00193D8F" w:rsidRPr="00F334E8">
        <w:t xml:space="preserve"> </w:t>
      </w:r>
      <w:r w:rsidR="00447F10" w:rsidRPr="00F334E8">
        <w:t>l</w:t>
      </w:r>
      <w:r w:rsidR="005C4A4C" w:rsidRPr="00F334E8">
        <w:t>aw</w:t>
      </w:r>
      <w:r w:rsidR="00B51484" w:rsidRPr="00F334E8">
        <w:t xml:space="preserve"> </w:t>
      </w:r>
      <w:r w:rsidR="005C4A4C" w:rsidRPr="00F334E8">
        <w:t>principle</w:t>
      </w:r>
      <w:r w:rsidR="00B51484" w:rsidRPr="00F334E8">
        <w:t xml:space="preserve"> </w:t>
      </w:r>
      <w:r w:rsidR="005C4A4C" w:rsidRPr="00F334E8">
        <w:t>that</w:t>
      </w:r>
      <w:r w:rsidR="00B51484" w:rsidRPr="00F334E8">
        <w:t xml:space="preserve"> </w:t>
      </w:r>
      <w:r w:rsidR="005C4A4C" w:rsidRPr="00F334E8">
        <w:t>everyone is equal before the law.</w:t>
      </w:r>
      <w:r w:rsidR="00B51484" w:rsidRPr="00F334E8">
        <w:t xml:space="preserve"> </w:t>
      </w:r>
    </w:p>
    <w:p w14:paraId="79E9DA53" w14:textId="77777777" w:rsidR="00AE2333" w:rsidRPr="00F334E8" w:rsidRDefault="00AE2333" w:rsidP="00235523">
      <w:pPr>
        <w:pStyle w:val="ListParagraph"/>
        <w:numPr>
          <w:ilvl w:val="0"/>
          <w:numId w:val="0"/>
        </w:numPr>
        <w:ind w:left="720" w:hanging="720"/>
      </w:pPr>
    </w:p>
    <w:p w14:paraId="282A2773" w14:textId="3563B525" w:rsidR="005C4A4C" w:rsidRPr="00F334E8" w:rsidRDefault="00564F33" w:rsidP="00235523">
      <w:pPr>
        <w:pStyle w:val="ListParagraph"/>
        <w:widowControl/>
        <w:ind w:left="720"/>
      </w:pPr>
      <w:r w:rsidRPr="00F334E8">
        <w:t xml:space="preserve">A further issue is that under Article 4 of the </w:t>
      </w:r>
      <w:r w:rsidR="00227B52" w:rsidRPr="00F334E8">
        <w:t xml:space="preserve">UK-EU </w:t>
      </w:r>
      <w:r w:rsidRPr="00F334E8">
        <w:t>Withdrawal Agreement, t</w:t>
      </w:r>
      <w:r w:rsidR="005C4A4C" w:rsidRPr="00F334E8">
        <w:t xml:space="preserve">he EU </w:t>
      </w:r>
      <w:r w:rsidR="00D344EE" w:rsidRPr="00F334E8">
        <w:t>equality directives</w:t>
      </w:r>
      <w:r w:rsidR="005C4A4C" w:rsidRPr="00F334E8">
        <w:t>,</w:t>
      </w:r>
      <w:r w:rsidR="00B51484" w:rsidRPr="00F334E8">
        <w:t xml:space="preserve"> </w:t>
      </w:r>
      <w:r w:rsidR="005C4A4C" w:rsidRPr="00F334E8">
        <w:t>referenced</w:t>
      </w:r>
      <w:r w:rsidR="00B51484" w:rsidRPr="00F334E8">
        <w:t xml:space="preserve"> </w:t>
      </w:r>
      <w:r w:rsidR="005C4A4C" w:rsidRPr="00F334E8">
        <w:t xml:space="preserve">in </w:t>
      </w:r>
      <w:r w:rsidR="00B76A6A" w:rsidRPr="00F334E8">
        <w:t xml:space="preserve">Windsor Framework </w:t>
      </w:r>
      <w:r w:rsidR="005C4A4C" w:rsidRPr="00F334E8">
        <w:t>Article 2, must</w:t>
      </w:r>
      <w:r w:rsidR="00B51484" w:rsidRPr="00F334E8">
        <w:t xml:space="preserve"> </w:t>
      </w:r>
      <w:r w:rsidR="005C4A4C" w:rsidRPr="00F334E8">
        <w:t>be interpreted in line with EU norms. A conflict-related </w:t>
      </w:r>
      <w:r w:rsidR="003853AD" w:rsidRPr="00F334E8">
        <w:t>restriction on their application</w:t>
      </w:r>
      <w:r w:rsidR="005C4A4C" w:rsidRPr="00F334E8">
        <w:t> would be contrary to the requirements of the Withdrawal Agreement. </w:t>
      </w:r>
      <w:r w:rsidR="00153FF5" w:rsidRPr="00F334E8">
        <w:t>A conflict-related read would also be difficult to reconcile with the fact that t</w:t>
      </w:r>
      <w:r w:rsidR="005C4A4C" w:rsidRPr="00F334E8">
        <w:t>he Windsor Framework was signed decades after the Belfast (Good Friday) Agreement and acknowledges that “Union law has provided a supporting framework for the provisions on Rights, Safeguards and Equality of Opportunity of the 1998 Agreement”.</w:t>
      </w:r>
      <w:r w:rsidR="00C53B1E" w:rsidRPr="00F334E8">
        <w:rPr>
          <w:rStyle w:val="FootnoteReference"/>
        </w:rPr>
        <w:footnoteReference w:id="53"/>
      </w:r>
      <w:r w:rsidR="005C4A4C" w:rsidRPr="00F334E8">
        <w:t xml:space="preserve"> </w:t>
      </w:r>
    </w:p>
    <w:p w14:paraId="56E64765" w14:textId="77777777" w:rsidR="00352817" w:rsidRPr="00B54E26" w:rsidRDefault="00352817" w:rsidP="00235523">
      <w:pPr>
        <w:pStyle w:val="ListParagraph"/>
        <w:numPr>
          <w:ilvl w:val="0"/>
          <w:numId w:val="0"/>
        </w:numPr>
        <w:ind w:left="720" w:hanging="720"/>
        <w:rPr>
          <w:color w:val="000000" w:themeColor="text1"/>
        </w:rPr>
      </w:pPr>
    </w:p>
    <w:p w14:paraId="091B5AB0" w14:textId="37F76F17" w:rsidR="00F54FBA" w:rsidRDefault="00F54FBA" w:rsidP="00235523">
      <w:pPr>
        <w:pStyle w:val="ListParagraph"/>
        <w:ind w:left="720"/>
        <w:rPr>
          <w:color w:val="000000" w:themeColor="text1"/>
        </w:rPr>
      </w:pPr>
      <w:r w:rsidRPr="00F334E8">
        <w:rPr>
          <w:color w:val="000000" w:themeColor="text1"/>
        </w:rPr>
        <w:t xml:space="preserve">There is no evidence that the </w:t>
      </w:r>
      <w:r w:rsidR="00C53B1E" w:rsidRPr="00F334E8">
        <w:rPr>
          <w:color w:val="000000" w:themeColor="text1"/>
        </w:rPr>
        <w:t xml:space="preserve">NIHRC </w:t>
      </w:r>
      <w:r w:rsidRPr="00F334E8">
        <w:rPr>
          <w:color w:val="000000" w:themeColor="text1"/>
        </w:rPr>
        <w:t xml:space="preserve">is aware of that Article 2 was negotiated or agreed on the basis of a restrictive interpretation connected to the conflict, nor evidence that the </w:t>
      </w:r>
      <w:r w:rsidR="00A14658" w:rsidRPr="00F334E8">
        <w:rPr>
          <w:color w:val="000000" w:themeColor="text1"/>
        </w:rPr>
        <w:t xml:space="preserve">parties </w:t>
      </w:r>
      <w:r w:rsidRPr="00F334E8">
        <w:rPr>
          <w:color w:val="000000" w:themeColor="text1"/>
        </w:rPr>
        <w:t xml:space="preserve">to the Belfast (Good Friday) Agreement, including the Government of </w:t>
      </w:r>
      <w:r w:rsidRPr="00F334E8">
        <w:rPr>
          <w:color w:val="000000" w:themeColor="text1"/>
        </w:rPr>
        <w:lastRenderedPageBreak/>
        <w:t xml:space="preserve">Ireland and, until recently the UK Government, ever intended or interpreted the human rights commitments in the </w:t>
      </w:r>
      <w:r w:rsidR="00B41060" w:rsidRPr="00F334E8">
        <w:rPr>
          <w:color w:val="000000" w:themeColor="text1"/>
        </w:rPr>
        <w:t xml:space="preserve">relevant </w:t>
      </w:r>
      <w:r w:rsidR="00C26658" w:rsidRPr="00F334E8">
        <w:rPr>
          <w:color w:val="000000" w:themeColor="text1"/>
        </w:rPr>
        <w:t>chapter</w:t>
      </w:r>
      <w:r w:rsidRPr="00F334E8">
        <w:rPr>
          <w:color w:val="000000" w:themeColor="text1"/>
        </w:rPr>
        <w:t xml:space="preserve"> as limited to the conflict.</w:t>
      </w:r>
      <w:r w:rsidRPr="00F54FBA">
        <w:rPr>
          <w:color w:val="000000" w:themeColor="text1"/>
        </w:rPr>
        <w:t xml:space="preserve"> </w:t>
      </w:r>
      <w:r w:rsidR="001111F1">
        <w:rPr>
          <w:color w:val="000000" w:themeColor="text1"/>
        </w:rPr>
        <w:t xml:space="preserve">There is no </w:t>
      </w:r>
      <w:r w:rsidR="001006DC">
        <w:rPr>
          <w:color w:val="000000" w:themeColor="text1"/>
        </w:rPr>
        <w:t>reference to such a restriction in the UK Government’s Explainer document.</w:t>
      </w:r>
    </w:p>
    <w:p w14:paraId="0749461A" w14:textId="77777777" w:rsidR="00F54FBA" w:rsidRPr="00F54FBA" w:rsidRDefault="00F54FBA" w:rsidP="00235523">
      <w:pPr>
        <w:pStyle w:val="ListParagraph"/>
        <w:numPr>
          <w:ilvl w:val="0"/>
          <w:numId w:val="0"/>
        </w:numPr>
        <w:ind w:left="720" w:hanging="720"/>
        <w:rPr>
          <w:color w:val="000000" w:themeColor="text1"/>
        </w:rPr>
      </w:pPr>
    </w:p>
    <w:p w14:paraId="45CDBB4C" w14:textId="59FA3AB4" w:rsidR="00E86408" w:rsidRPr="00F334E8" w:rsidRDefault="00B41060" w:rsidP="00235523">
      <w:pPr>
        <w:pStyle w:val="ListParagraph"/>
        <w:ind w:left="720"/>
        <w:rPr>
          <w:color w:val="000000" w:themeColor="text1"/>
        </w:rPr>
      </w:pPr>
      <w:r w:rsidRPr="00F334E8">
        <w:rPr>
          <w:color w:val="000000" w:themeColor="text1"/>
        </w:rPr>
        <w:t xml:space="preserve">The </w:t>
      </w:r>
      <w:r w:rsidR="00F54FBA" w:rsidRPr="00F334E8">
        <w:rPr>
          <w:color w:val="000000" w:themeColor="text1"/>
        </w:rPr>
        <w:t xml:space="preserve">NIHRC was involved – as were civil society organisations </w:t>
      </w:r>
      <w:r w:rsidR="00952A0A" w:rsidRPr="00F334E8">
        <w:rPr>
          <w:color w:val="000000" w:themeColor="text1"/>
        </w:rPr>
        <w:t>–</w:t>
      </w:r>
      <w:r w:rsidR="00F54FBA" w:rsidRPr="00F334E8">
        <w:rPr>
          <w:color w:val="000000" w:themeColor="text1"/>
        </w:rPr>
        <w:t xml:space="preserve"> in</w:t>
      </w:r>
      <w:r w:rsidR="00952A0A" w:rsidRPr="00F334E8">
        <w:rPr>
          <w:color w:val="000000" w:themeColor="text1"/>
        </w:rPr>
        <w:t xml:space="preserve"> </w:t>
      </w:r>
      <w:r w:rsidR="00F54FBA" w:rsidRPr="00F334E8">
        <w:rPr>
          <w:color w:val="000000" w:themeColor="text1"/>
        </w:rPr>
        <w:t xml:space="preserve">discussions with the two Governments and the EU, leading to the drafting of Article 2, advocating for the protection of human rights in the Windsor Framework. If there had been a proposal to narrow the benefits of Article 2 to </w:t>
      </w:r>
      <w:proofErr w:type="gramStart"/>
      <w:r w:rsidR="00F54FBA" w:rsidRPr="00F334E8">
        <w:rPr>
          <w:color w:val="000000" w:themeColor="text1"/>
        </w:rPr>
        <w:t>particular groups</w:t>
      </w:r>
      <w:proofErr w:type="gramEnd"/>
      <w:r w:rsidR="00F54FBA" w:rsidRPr="00F334E8">
        <w:rPr>
          <w:color w:val="000000" w:themeColor="text1"/>
        </w:rPr>
        <w:t xml:space="preserve"> in society, the NIHRC</w:t>
      </w:r>
      <w:r w:rsidR="00BC7152" w:rsidRPr="00F334E8">
        <w:rPr>
          <w:color w:val="000000" w:themeColor="text1"/>
        </w:rPr>
        <w:t xml:space="preserve"> </w:t>
      </w:r>
      <w:r w:rsidR="00F54FBA" w:rsidRPr="00F334E8">
        <w:rPr>
          <w:color w:val="000000" w:themeColor="text1"/>
        </w:rPr>
        <w:t>could not have welcomed the commitment</w:t>
      </w:r>
      <w:r w:rsidR="00DF1F39" w:rsidRPr="00F334E8">
        <w:rPr>
          <w:color w:val="000000" w:themeColor="text1"/>
        </w:rPr>
        <w:t xml:space="preserve">, </w:t>
      </w:r>
      <w:r w:rsidR="00BE251F" w:rsidRPr="00F334E8">
        <w:rPr>
          <w:color w:val="000000" w:themeColor="text1"/>
        </w:rPr>
        <w:t xml:space="preserve">given that the </w:t>
      </w:r>
      <w:r w:rsidR="00C53B1E" w:rsidRPr="00F334E8">
        <w:rPr>
          <w:color w:val="000000" w:themeColor="text1"/>
        </w:rPr>
        <w:t>NIHRC</w:t>
      </w:r>
      <w:r w:rsidR="00BE251F" w:rsidRPr="00F334E8">
        <w:rPr>
          <w:color w:val="000000" w:themeColor="text1"/>
        </w:rPr>
        <w:t xml:space="preserve"> is </w:t>
      </w:r>
      <w:r w:rsidR="00DF1F39" w:rsidRPr="00F334E8">
        <w:rPr>
          <w:color w:val="000000" w:themeColor="text1"/>
        </w:rPr>
        <w:t>national human rights institution</w:t>
      </w:r>
      <w:r w:rsidR="009C0DCE" w:rsidRPr="00F334E8">
        <w:rPr>
          <w:color w:val="000000" w:themeColor="text1"/>
        </w:rPr>
        <w:t xml:space="preserve">, mandated </w:t>
      </w:r>
      <w:r w:rsidR="00F62D7D" w:rsidRPr="00F334E8">
        <w:rPr>
          <w:color w:val="000000" w:themeColor="text1"/>
        </w:rPr>
        <w:t xml:space="preserve">to uphold </w:t>
      </w:r>
      <w:r w:rsidR="009C0DCE" w:rsidRPr="00F334E8">
        <w:rPr>
          <w:color w:val="000000" w:themeColor="text1"/>
        </w:rPr>
        <w:t xml:space="preserve">human rights </w:t>
      </w:r>
      <w:proofErr w:type="gramStart"/>
      <w:r w:rsidR="00876E0A" w:rsidRPr="00F334E8">
        <w:rPr>
          <w:color w:val="000000" w:themeColor="text1"/>
        </w:rPr>
        <w:t>on the basis of</w:t>
      </w:r>
      <w:proofErr w:type="gramEnd"/>
      <w:r w:rsidR="00876E0A" w:rsidRPr="00F334E8">
        <w:rPr>
          <w:color w:val="000000" w:themeColor="text1"/>
        </w:rPr>
        <w:t xml:space="preserve"> </w:t>
      </w:r>
      <w:r w:rsidR="008B1E06" w:rsidRPr="00F334E8">
        <w:rPr>
          <w:color w:val="000000" w:themeColor="text1"/>
        </w:rPr>
        <w:t>universality and the</w:t>
      </w:r>
      <w:r w:rsidR="00857753" w:rsidRPr="00F334E8">
        <w:rPr>
          <w:color w:val="000000" w:themeColor="text1"/>
        </w:rPr>
        <w:t xml:space="preserve"> </w:t>
      </w:r>
      <w:r w:rsidR="009C0DCE" w:rsidRPr="00F334E8">
        <w:rPr>
          <w:color w:val="000000" w:themeColor="text1"/>
        </w:rPr>
        <w:t>living instrument</w:t>
      </w:r>
      <w:r w:rsidR="00857753" w:rsidRPr="00F334E8">
        <w:rPr>
          <w:color w:val="000000" w:themeColor="text1"/>
        </w:rPr>
        <w:t xml:space="preserve"> doctrine</w:t>
      </w:r>
      <w:r w:rsidR="00F54FBA" w:rsidRPr="00F334E8">
        <w:rPr>
          <w:color w:val="000000" w:themeColor="text1"/>
        </w:rPr>
        <w:t>.</w:t>
      </w:r>
      <w:r w:rsidR="00C53B1E" w:rsidRPr="00F334E8">
        <w:rPr>
          <w:rStyle w:val="FootnoteReference"/>
          <w:color w:val="000000" w:themeColor="text1"/>
        </w:rPr>
        <w:footnoteReference w:id="54"/>
      </w:r>
    </w:p>
    <w:p w14:paraId="7F00696F" w14:textId="77777777" w:rsidR="00116930" w:rsidRPr="00DA33C3" w:rsidRDefault="00116930" w:rsidP="00116930">
      <w:pPr>
        <w:pStyle w:val="ListParagraph"/>
        <w:widowControl/>
        <w:numPr>
          <w:ilvl w:val="0"/>
          <w:numId w:val="0"/>
        </w:numPr>
        <w:ind w:left="720"/>
      </w:pPr>
    </w:p>
    <w:p w14:paraId="4DD9BC96" w14:textId="7ED332EB" w:rsidR="00116930" w:rsidRPr="00DA33C3" w:rsidRDefault="00116930" w:rsidP="00DA33C3">
      <w:pPr>
        <w:pStyle w:val="Heading3"/>
      </w:pPr>
      <w:bookmarkStart w:id="17" w:name="_Toc235087544"/>
      <w:r w:rsidRPr="00DA33C3">
        <w:t xml:space="preserve">When </w:t>
      </w:r>
      <w:r w:rsidR="00916C0A">
        <w:t xml:space="preserve">Windsor Framework </w:t>
      </w:r>
      <w:r w:rsidRPr="00DA33C3">
        <w:t xml:space="preserve">Article 2 </w:t>
      </w:r>
      <w:r w:rsidR="009811EC" w:rsidRPr="00DA33C3">
        <w:t xml:space="preserve">can </w:t>
      </w:r>
      <w:r w:rsidRPr="00DA33C3">
        <w:t xml:space="preserve">be relied upon – the </w:t>
      </w:r>
      <w:r w:rsidR="00DA33C3" w:rsidRPr="00DA33C3">
        <w:t>‘ambit’ of the Rights, Safeguards and Equality of Opportunity chapter of the Belfast (Good Friday) Agreement</w:t>
      </w:r>
      <w:bookmarkEnd w:id="17"/>
    </w:p>
    <w:p w14:paraId="4712675E" w14:textId="58037388" w:rsidR="00870A02" w:rsidRPr="00870A02" w:rsidRDefault="00870A02" w:rsidP="00235523">
      <w:pPr>
        <w:pStyle w:val="ListParagraph"/>
        <w:keepNext/>
        <w:widowControl/>
        <w:ind w:left="720"/>
      </w:pPr>
      <w:r>
        <w:rPr>
          <w:color w:val="000000" w:themeColor="text1"/>
        </w:rPr>
        <w:t xml:space="preserve">What is beyond dispute is </w:t>
      </w:r>
      <w:r w:rsidR="005C4912">
        <w:rPr>
          <w:color w:val="000000" w:themeColor="text1"/>
        </w:rPr>
        <w:t xml:space="preserve">that </w:t>
      </w:r>
      <w:r>
        <w:rPr>
          <w:color w:val="000000" w:themeColor="text1"/>
        </w:rPr>
        <w:t xml:space="preserve">the interpretation of what the </w:t>
      </w:r>
      <w:r w:rsidR="006F2AE9">
        <w:rPr>
          <w:color w:val="000000" w:themeColor="text1"/>
        </w:rPr>
        <w:t xml:space="preserve">UK </w:t>
      </w:r>
      <w:r>
        <w:rPr>
          <w:color w:val="000000" w:themeColor="text1"/>
        </w:rPr>
        <w:t>Supreme Court called the ‘ambit’ of the Rights, Safeguards and Equality of Opportunity chapter of the Belfast (Good Friday) Agreement is central to identifying the rights protected and therefore the range of EU law that continues to set minimum standards in NI.</w:t>
      </w:r>
      <w:r w:rsidR="009A4EF6">
        <w:rPr>
          <w:color w:val="000000" w:themeColor="text1"/>
        </w:rPr>
        <w:t xml:space="preserve"> </w:t>
      </w:r>
      <w:r w:rsidR="00A00441">
        <w:rPr>
          <w:color w:val="000000" w:themeColor="text1"/>
        </w:rPr>
        <w:t>T</w:t>
      </w:r>
      <w:r w:rsidR="0097320A">
        <w:rPr>
          <w:color w:val="000000" w:themeColor="text1"/>
        </w:rPr>
        <w:t xml:space="preserve">he following paragraphs address </w:t>
      </w:r>
      <w:r w:rsidR="004F7396">
        <w:rPr>
          <w:color w:val="000000" w:themeColor="text1"/>
        </w:rPr>
        <w:t xml:space="preserve">the </w:t>
      </w:r>
      <w:r w:rsidR="0097320A">
        <w:rPr>
          <w:color w:val="000000" w:themeColor="text1"/>
        </w:rPr>
        <w:t xml:space="preserve">content </w:t>
      </w:r>
      <w:r w:rsidR="004F7396">
        <w:rPr>
          <w:color w:val="000000" w:themeColor="text1"/>
        </w:rPr>
        <w:t xml:space="preserve">of the chapter as well as </w:t>
      </w:r>
      <w:r w:rsidR="0097320A">
        <w:rPr>
          <w:color w:val="000000" w:themeColor="text1"/>
        </w:rPr>
        <w:t>its interpretation</w:t>
      </w:r>
      <w:r w:rsidR="004F7396">
        <w:rPr>
          <w:color w:val="000000" w:themeColor="text1"/>
        </w:rPr>
        <w:t xml:space="preserve"> in the context of the Belfast (Good Friday) Agreement.</w:t>
      </w:r>
      <w:r w:rsidR="0097320A">
        <w:rPr>
          <w:color w:val="000000" w:themeColor="text1"/>
        </w:rPr>
        <w:t xml:space="preserve"> </w:t>
      </w:r>
    </w:p>
    <w:p w14:paraId="12BE31FD" w14:textId="0B1BDDA3" w:rsidR="00870A02" w:rsidRPr="00870A02" w:rsidRDefault="00870A02" w:rsidP="00235523">
      <w:pPr>
        <w:pStyle w:val="ListParagraph"/>
        <w:keepNext/>
        <w:widowControl/>
        <w:numPr>
          <w:ilvl w:val="0"/>
          <w:numId w:val="0"/>
        </w:numPr>
        <w:ind w:left="720" w:hanging="720"/>
      </w:pPr>
      <w:r>
        <w:rPr>
          <w:color w:val="000000" w:themeColor="text1"/>
        </w:rPr>
        <w:t xml:space="preserve"> </w:t>
      </w:r>
    </w:p>
    <w:p w14:paraId="7B61DDED" w14:textId="282FBFCD" w:rsidR="003761D2" w:rsidRDefault="00095730" w:rsidP="00235523">
      <w:pPr>
        <w:pStyle w:val="ListParagraph"/>
        <w:keepNext/>
        <w:widowControl/>
        <w:ind w:left="720"/>
      </w:pPr>
      <w:r>
        <w:t>T</w:t>
      </w:r>
      <w:r w:rsidR="00087D6A">
        <w:t xml:space="preserve">he </w:t>
      </w:r>
      <w:r w:rsidR="006F2AE9">
        <w:t>UK</w:t>
      </w:r>
      <w:r w:rsidR="00087D6A">
        <w:t xml:space="preserve"> Supreme </w:t>
      </w:r>
      <w:r w:rsidR="00916C0A">
        <w:t xml:space="preserve">Court </w:t>
      </w:r>
      <w:r w:rsidR="005471AC">
        <w:t xml:space="preserve">indicated </w:t>
      </w:r>
      <w:r>
        <w:t xml:space="preserve">that Windsor Framework Article 2 </w:t>
      </w:r>
      <w:r w:rsidR="00786924">
        <w:t xml:space="preserve">may </w:t>
      </w:r>
      <w:r w:rsidR="003B5B4F">
        <w:t xml:space="preserve">create justiciable rights </w:t>
      </w:r>
      <w:r w:rsidR="00FD23E0">
        <w:t xml:space="preserve">in conjunction with </w:t>
      </w:r>
      <w:r w:rsidR="00087D6A">
        <w:t>“</w:t>
      </w:r>
      <w:r w:rsidR="00087D6A" w:rsidRPr="00087D6A">
        <w:t xml:space="preserve">EU instruments falling within the </w:t>
      </w:r>
      <w:r w:rsidR="00087D6A" w:rsidRPr="005E01C1">
        <w:rPr>
          <w:b/>
          <w:bCs/>
        </w:rPr>
        <w:t>ambit of the RSEO chapter</w:t>
      </w:r>
      <w:r w:rsidR="00087D6A" w:rsidRPr="00087D6A">
        <w:t xml:space="preserve"> if the </w:t>
      </w:r>
      <w:r w:rsidR="00087D6A" w:rsidRPr="00B52EA6">
        <w:rPr>
          <w:i/>
          <w:iCs/>
        </w:rPr>
        <w:t xml:space="preserve">Demirel </w:t>
      </w:r>
      <w:r w:rsidR="00087D6A" w:rsidRPr="00087D6A">
        <w:t>requirements are satisfied in respect of the obligation imposed</w:t>
      </w:r>
      <w:r w:rsidR="006B70F4">
        <w:t>”</w:t>
      </w:r>
      <w:r w:rsidR="005E01C1">
        <w:t xml:space="preserve"> (emphasis added).</w:t>
      </w:r>
      <w:r w:rsidR="00B52EA6">
        <w:rPr>
          <w:rStyle w:val="FootnoteReference"/>
          <w:color w:val="000000" w:themeColor="text1"/>
        </w:rPr>
        <w:footnoteReference w:id="55"/>
      </w:r>
      <w:r w:rsidR="006500DF">
        <w:t xml:space="preserve"> </w:t>
      </w:r>
      <w:r w:rsidR="006B70F4">
        <w:t>However, t</w:t>
      </w:r>
      <w:r w:rsidR="00E90569" w:rsidRPr="007F4540">
        <w:t xml:space="preserve">he </w:t>
      </w:r>
      <w:r w:rsidR="00E90569">
        <w:t xml:space="preserve">UK </w:t>
      </w:r>
      <w:r w:rsidR="00E90569" w:rsidRPr="007F4540">
        <w:t xml:space="preserve">Supreme Court in </w:t>
      </w:r>
      <w:r w:rsidR="00E90569" w:rsidRPr="00A30583">
        <w:rPr>
          <w:i/>
          <w:iCs/>
        </w:rPr>
        <w:t>Dillon</w:t>
      </w:r>
      <w:r w:rsidR="00E90569">
        <w:t xml:space="preserve"> </w:t>
      </w:r>
      <w:r w:rsidR="008763E0">
        <w:t>did not define the ambit of the chapter</w:t>
      </w:r>
      <w:r w:rsidR="0043104D">
        <w:t xml:space="preserve"> nor </w:t>
      </w:r>
      <w:r w:rsidR="00627D76">
        <w:t>identify the range of EU law</w:t>
      </w:r>
      <w:r w:rsidR="00007709">
        <w:t xml:space="preserve"> relevant to it</w:t>
      </w:r>
      <w:r w:rsidR="003E5DB0">
        <w:t>,</w:t>
      </w:r>
      <w:r w:rsidR="003B2F8E">
        <w:t xml:space="preserve"> beyond its consideration of the </w:t>
      </w:r>
      <w:r w:rsidR="00A30583">
        <w:t xml:space="preserve">relevant provisions of </w:t>
      </w:r>
      <w:r w:rsidR="00A30583">
        <w:lastRenderedPageBreak/>
        <w:t>the EU Victims</w:t>
      </w:r>
      <w:r w:rsidR="00141D4C">
        <w:t>’</w:t>
      </w:r>
      <w:r w:rsidR="00A30583">
        <w:t xml:space="preserve"> Directive and acknowledgement of the EU </w:t>
      </w:r>
      <w:r w:rsidR="00D344EE" w:rsidRPr="00F334E8">
        <w:t>equality directives</w:t>
      </w:r>
      <w:r w:rsidR="00A30583">
        <w:t xml:space="preserve"> in Annex 1.</w:t>
      </w:r>
      <w:r w:rsidR="00A30583">
        <w:rPr>
          <w:rStyle w:val="FootnoteReference"/>
        </w:rPr>
        <w:footnoteReference w:id="56"/>
      </w:r>
      <w:r w:rsidR="00E0053C">
        <w:t xml:space="preserve"> </w:t>
      </w:r>
    </w:p>
    <w:p w14:paraId="748BCA86" w14:textId="77777777" w:rsidR="003761D2" w:rsidRDefault="003761D2" w:rsidP="00235523">
      <w:pPr>
        <w:pStyle w:val="ListParagraph"/>
        <w:numPr>
          <w:ilvl w:val="0"/>
          <w:numId w:val="0"/>
        </w:numPr>
        <w:ind w:left="720" w:hanging="720"/>
      </w:pPr>
    </w:p>
    <w:p w14:paraId="4CE7BD36" w14:textId="3C637E12" w:rsidR="00E90569" w:rsidRDefault="00E56339" w:rsidP="00235523">
      <w:pPr>
        <w:pStyle w:val="ListParagraph"/>
        <w:keepNext/>
        <w:widowControl/>
        <w:ind w:left="720"/>
      </w:pPr>
      <w:r>
        <w:t xml:space="preserve">Based on the facts of the case, the </w:t>
      </w:r>
      <w:r w:rsidR="00B52EA6">
        <w:t xml:space="preserve">Court </w:t>
      </w:r>
      <w:r w:rsidR="00E90569">
        <w:t xml:space="preserve">only considered </w:t>
      </w:r>
      <w:r w:rsidR="007C2E71">
        <w:t>three paragraphs</w:t>
      </w:r>
      <w:r w:rsidR="00E90569">
        <w:t xml:space="preserve"> of the Rights, Safeguards and Equality of Opportunity</w:t>
      </w:r>
      <w:r w:rsidR="00E90569" w:rsidRPr="007F4540">
        <w:t xml:space="preserve"> chapter </w:t>
      </w:r>
      <w:r w:rsidR="00E90569">
        <w:t xml:space="preserve">relied </w:t>
      </w:r>
      <w:r w:rsidR="00EB28CF">
        <w:t>up</w:t>
      </w:r>
      <w:r w:rsidR="00E90569">
        <w:t>on by the applicants</w:t>
      </w:r>
      <w:r w:rsidR="005F0DE2">
        <w:t xml:space="preserve"> </w:t>
      </w:r>
      <w:r w:rsidR="008E4EEE">
        <w:t>(</w:t>
      </w:r>
      <w:r w:rsidR="005F0DE2">
        <w:t>paragraphs 1, 11 and 12</w:t>
      </w:r>
      <w:r w:rsidR="006C62CA">
        <w:t>) and only considered those paragraphs in relation to the rights asserted under Articles 11 and 16 of the EU Victims</w:t>
      </w:r>
      <w:r w:rsidR="00B52EA6">
        <w:t>’</w:t>
      </w:r>
      <w:r w:rsidR="006C62CA">
        <w:t xml:space="preserve"> Directive</w:t>
      </w:r>
      <w:r w:rsidR="00E90569">
        <w:t>.</w:t>
      </w:r>
      <w:r w:rsidR="007C2E71">
        <w:rPr>
          <w:rStyle w:val="FootnoteReference"/>
          <w:rFonts w:cs="Arial"/>
          <w:color w:val="232120"/>
        </w:rPr>
        <w:footnoteReference w:id="57"/>
      </w:r>
      <w:r w:rsidR="00E90569">
        <w:t xml:space="preserve"> The Court did not con</w:t>
      </w:r>
      <w:r w:rsidR="00E90569" w:rsidRPr="007F4540">
        <w:t>sider</w:t>
      </w:r>
      <w:r w:rsidR="00E90569">
        <w:t xml:space="preserve"> the purpose of the Rights, Safeguards and Equality of Opportunity chapter </w:t>
      </w:r>
      <w:r w:rsidR="00E90569" w:rsidRPr="007F4540">
        <w:t xml:space="preserve">as a whole in the context of the </w:t>
      </w:r>
      <w:r w:rsidR="00E90569">
        <w:t xml:space="preserve">Belfast (Good Friday) Agreement, nor did it consider any provisions of EU law falling within the scope of the bullet-pointed rights </w:t>
      </w:r>
      <w:r w:rsidR="004F7792">
        <w:t xml:space="preserve">affirmed </w:t>
      </w:r>
      <w:r w:rsidR="00E90569">
        <w:t>“in particular” in paragraph 1.</w:t>
      </w:r>
      <w:r w:rsidR="00E90569">
        <w:rPr>
          <w:rStyle w:val="FootnoteReference"/>
        </w:rPr>
        <w:footnoteReference w:id="58"/>
      </w:r>
      <w:r w:rsidR="00E90569">
        <w:t xml:space="preserve"> </w:t>
      </w:r>
    </w:p>
    <w:p w14:paraId="7152A8C4" w14:textId="77777777" w:rsidR="00E90569" w:rsidRDefault="00E90569" w:rsidP="00235523">
      <w:pPr>
        <w:pStyle w:val="ListParagraph"/>
        <w:keepNext/>
        <w:widowControl/>
        <w:numPr>
          <w:ilvl w:val="0"/>
          <w:numId w:val="0"/>
        </w:numPr>
        <w:ind w:left="720" w:hanging="720"/>
      </w:pPr>
    </w:p>
    <w:p w14:paraId="4C70B486" w14:textId="54CB902A" w:rsidR="00E83D50" w:rsidRDefault="00E83D50" w:rsidP="00235523">
      <w:pPr>
        <w:pStyle w:val="ListParagraph"/>
        <w:ind w:left="720"/>
      </w:pPr>
      <w:r>
        <w:t xml:space="preserve">The </w:t>
      </w:r>
      <w:r w:rsidR="003502F7">
        <w:t>Court</w:t>
      </w:r>
      <w:r>
        <w:t xml:space="preserve"> ruled that the commitment to </w:t>
      </w:r>
      <w:r w:rsidR="00802111">
        <w:t>‘</w:t>
      </w:r>
      <w:r>
        <w:t>civil rights</w:t>
      </w:r>
      <w:r w:rsidR="00802111">
        <w:t>’</w:t>
      </w:r>
      <w:r>
        <w:t xml:space="preserve"> in paragraph 1 </w:t>
      </w:r>
      <w:r w:rsidR="00802111">
        <w:t>of the</w:t>
      </w:r>
      <w:r w:rsidR="00CE1F03">
        <w:t xml:space="preserve"> </w:t>
      </w:r>
      <w:r w:rsidR="003D29D1">
        <w:t>Rights, Safeguards and Equality of Opportunity</w:t>
      </w:r>
      <w:r w:rsidR="00CE1F03">
        <w:t xml:space="preserve"> chapter </w:t>
      </w:r>
      <w:r>
        <w:t>“refer[s] at a general level to civil and political rights” and did not cover the rights in Article 11 or 16 of the EU Victims</w:t>
      </w:r>
      <w:r w:rsidR="00EE588B">
        <w:t>’</w:t>
      </w:r>
      <w:r>
        <w:t xml:space="preserve"> Directive.</w:t>
      </w:r>
      <w:r w:rsidR="003D29D1">
        <w:rPr>
          <w:rStyle w:val="FootnoteReference"/>
        </w:rPr>
        <w:footnoteReference w:id="59"/>
      </w:r>
      <w:r>
        <w:t xml:space="preserve"> </w:t>
      </w:r>
    </w:p>
    <w:p w14:paraId="75D4E314" w14:textId="77777777" w:rsidR="00802111" w:rsidRDefault="00802111" w:rsidP="00235523">
      <w:pPr>
        <w:pStyle w:val="ListParagraph"/>
        <w:numPr>
          <w:ilvl w:val="0"/>
          <w:numId w:val="0"/>
        </w:numPr>
        <w:ind w:left="720" w:hanging="720"/>
      </w:pPr>
    </w:p>
    <w:p w14:paraId="1ACA5BE3" w14:textId="2989568B" w:rsidR="00E83D50" w:rsidRDefault="00E83D50" w:rsidP="00235523">
      <w:pPr>
        <w:pStyle w:val="ListParagraph"/>
        <w:ind w:left="720"/>
      </w:pPr>
      <w:r>
        <w:t xml:space="preserve">The </w:t>
      </w:r>
      <w:r w:rsidR="003502F7">
        <w:t>Court</w:t>
      </w:r>
      <w:r>
        <w:t xml:space="preserve"> further ruled that paragraph 12 </w:t>
      </w:r>
      <w:r w:rsidR="003D29D1">
        <w:t xml:space="preserve">of the Rights, Safeguards and Equality of Opportunity </w:t>
      </w:r>
      <w:r w:rsidR="002A5091">
        <w:t>chapter</w:t>
      </w:r>
      <w:r w:rsidR="003D29D1">
        <w:t xml:space="preserve"> </w:t>
      </w:r>
      <w:r>
        <w:t>(the right of victims to remember as well as to contribute to a changed society) did not cover rights under Articles 11 or 16 of the EU Victims</w:t>
      </w:r>
      <w:r w:rsidR="00EE588B">
        <w:t>’</w:t>
      </w:r>
      <w:r>
        <w:t xml:space="preserve"> Directive.</w:t>
      </w:r>
      <w:r w:rsidR="003D29D1">
        <w:rPr>
          <w:rStyle w:val="FootnoteReference"/>
        </w:rPr>
        <w:footnoteReference w:id="60"/>
      </w:r>
      <w:r>
        <w:t xml:space="preserve"> </w:t>
      </w:r>
    </w:p>
    <w:p w14:paraId="7C84E3A2" w14:textId="77777777" w:rsidR="00C92E76" w:rsidRDefault="00C92E76" w:rsidP="00235523">
      <w:pPr>
        <w:pStyle w:val="ListParagraph"/>
        <w:numPr>
          <w:ilvl w:val="0"/>
          <w:numId w:val="0"/>
        </w:numPr>
        <w:ind w:left="720" w:hanging="720"/>
      </w:pPr>
    </w:p>
    <w:p w14:paraId="6033D9D2" w14:textId="717B87F0" w:rsidR="00E83D50" w:rsidRDefault="00E83D50" w:rsidP="00235523">
      <w:pPr>
        <w:pStyle w:val="ListParagraph"/>
        <w:ind w:left="720"/>
      </w:pPr>
      <w:r>
        <w:t xml:space="preserve">Importantly, however, the court said it could be argued that paragraph 11 </w:t>
      </w:r>
      <w:r w:rsidR="003D29D1">
        <w:t xml:space="preserve">of the Rights, Safeguards and Equality of Opportunity </w:t>
      </w:r>
      <w:r w:rsidR="002A5091">
        <w:t>chapter</w:t>
      </w:r>
      <w:r w:rsidR="003D29D1">
        <w:t xml:space="preserve"> might be broad enough to </w:t>
      </w:r>
      <w:r>
        <w:t>cover the relevant rights in the Victims</w:t>
      </w:r>
      <w:r w:rsidR="00EE588B">
        <w:t>’</w:t>
      </w:r>
      <w:r>
        <w:t xml:space="preserve"> Directive, but that it </w:t>
      </w:r>
      <w:r w:rsidR="009B772B">
        <w:t xml:space="preserve">did not </w:t>
      </w:r>
      <w:r>
        <w:t>need to decide on this since there was no diminution of rights in this instance.</w:t>
      </w:r>
      <w:r w:rsidR="003D29D1">
        <w:rPr>
          <w:rStyle w:val="FootnoteReference"/>
        </w:rPr>
        <w:footnoteReference w:id="61"/>
      </w:r>
      <w:r w:rsidR="003D29D1">
        <w:t xml:space="preserve"> </w:t>
      </w:r>
      <w:r>
        <w:t xml:space="preserve"> </w:t>
      </w:r>
    </w:p>
    <w:p w14:paraId="7C533966" w14:textId="77777777" w:rsidR="00C92E76" w:rsidRDefault="00C92E76" w:rsidP="00235523">
      <w:pPr>
        <w:pStyle w:val="ListParagraph"/>
        <w:numPr>
          <w:ilvl w:val="0"/>
          <w:numId w:val="0"/>
        </w:numPr>
        <w:ind w:left="720" w:hanging="720"/>
      </w:pPr>
    </w:p>
    <w:p w14:paraId="40383CA2" w14:textId="5A99A4C5" w:rsidR="00E83D50" w:rsidRDefault="00E83D50" w:rsidP="00235523">
      <w:pPr>
        <w:pStyle w:val="ListParagraph"/>
        <w:ind w:left="720"/>
      </w:pPr>
      <w:r>
        <w:t>Later, the court state</w:t>
      </w:r>
      <w:r w:rsidR="00680725">
        <w:t>d</w:t>
      </w:r>
      <w:r>
        <w:t xml:space="preserve"> that it </w:t>
      </w:r>
      <w:r w:rsidR="00F2341E">
        <w:t>was</w:t>
      </w:r>
      <w:r>
        <w:t xml:space="preserve"> not necessary </w:t>
      </w:r>
      <w:r w:rsidR="00367A2F">
        <w:t>in the circumstances</w:t>
      </w:r>
      <w:r>
        <w:t xml:space="preserve"> to rule on whether Articles 11 and 16 of the Victims</w:t>
      </w:r>
      <w:r w:rsidR="00EE588B">
        <w:t>’</w:t>
      </w:r>
      <w:r>
        <w:t xml:space="preserve"> </w:t>
      </w:r>
      <w:r>
        <w:lastRenderedPageBreak/>
        <w:t>Directive</w:t>
      </w:r>
      <w:r w:rsidR="004147CE">
        <w:rPr>
          <w:rStyle w:val="FootnoteReference"/>
        </w:rPr>
        <w:footnoteReference w:id="62"/>
      </w:r>
      <w:r w:rsidR="004147CE">
        <w:t xml:space="preserve"> </w:t>
      </w:r>
      <w:r>
        <w:t>may provide enforceable rights as regards individual prosecutions (as opposed to prosecution policy which it has ruled out).</w:t>
      </w:r>
      <w:r w:rsidR="004147CE">
        <w:rPr>
          <w:rStyle w:val="FootnoteReference"/>
        </w:rPr>
        <w:footnoteReference w:id="63"/>
      </w:r>
      <w:r w:rsidR="004147CE">
        <w:t xml:space="preserve"> </w:t>
      </w:r>
    </w:p>
    <w:p w14:paraId="2D83418A" w14:textId="77777777" w:rsidR="00C92E76" w:rsidRDefault="00C92E76" w:rsidP="00235523">
      <w:pPr>
        <w:pStyle w:val="ListParagraph"/>
        <w:numPr>
          <w:ilvl w:val="0"/>
          <w:numId w:val="0"/>
        </w:numPr>
        <w:ind w:left="720" w:hanging="720"/>
      </w:pPr>
    </w:p>
    <w:p w14:paraId="18FBC8E4" w14:textId="3715D3A4" w:rsidR="00306A00" w:rsidRDefault="00E83D50" w:rsidP="00235523">
      <w:pPr>
        <w:pStyle w:val="ListParagraph"/>
        <w:ind w:left="720"/>
      </w:pPr>
      <w:r>
        <w:t xml:space="preserve">In leaving these questions open, the </w:t>
      </w:r>
      <w:r w:rsidR="006F2AE9">
        <w:t xml:space="preserve">UK </w:t>
      </w:r>
      <w:r>
        <w:t xml:space="preserve">Supreme Court has not entirely reversed the </w:t>
      </w:r>
      <w:r w:rsidR="004147CE">
        <w:t>NI Court of Appeal</w:t>
      </w:r>
      <w:r>
        <w:t xml:space="preserve"> approach: the</w:t>
      </w:r>
      <w:r w:rsidR="002A3F05">
        <w:t xml:space="preserve"> relevant provisions of the</w:t>
      </w:r>
      <w:r>
        <w:t xml:space="preserve"> EU Victims</w:t>
      </w:r>
      <w:r w:rsidR="002A3F05">
        <w:t>’</w:t>
      </w:r>
      <w:r>
        <w:t xml:space="preserve"> Directive</w:t>
      </w:r>
      <w:r w:rsidR="004147CE">
        <w:rPr>
          <w:rStyle w:val="FootnoteReference"/>
        </w:rPr>
        <w:footnoteReference w:id="64"/>
      </w:r>
      <w:r w:rsidR="004147CE">
        <w:t xml:space="preserve"> </w:t>
      </w:r>
      <w:r>
        <w:t>ha</w:t>
      </w:r>
      <w:r w:rsidR="006E5C92">
        <w:t>ve</w:t>
      </w:r>
      <w:r>
        <w:t xml:space="preserve"> not been ruled out of scope of the </w:t>
      </w:r>
      <w:r w:rsidR="004147CE">
        <w:t xml:space="preserve">Rights, Safeguards and Equality of Opportunity </w:t>
      </w:r>
      <w:r w:rsidR="001B1FE2">
        <w:t>chapter</w:t>
      </w:r>
      <w:r>
        <w:t>,</w:t>
      </w:r>
      <w:r w:rsidR="004147CE">
        <w:rPr>
          <w:rStyle w:val="FootnoteReference"/>
        </w:rPr>
        <w:footnoteReference w:id="65"/>
      </w:r>
      <w:r>
        <w:t xml:space="preserve"> nor </w:t>
      </w:r>
      <w:r w:rsidR="002A3F05">
        <w:t xml:space="preserve">has the EU Victims’ Directive more generally been dismissed </w:t>
      </w:r>
      <w:r>
        <w:t>in relation to legislation on legacy</w:t>
      </w:r>
      <w:r w:rsidR="004147CE">
        <w:t>.</w:t>
      </w:r>
      <w:r w:rsidR="004147CE">
        <w:rPr>
          <w:rStyle w:val="FootnoteReference"/>
        </w:rPr>
        <w:footnoteReference w:id="66"/>
      </w:r>
      <w:r>
        <w:t xml:space="preserve"> </w:t>
      </w:r>
    </w:p>
    <w:p w14:paraId="0E56894E" w14:textId="77777777" w:rsidR="00306A00" w:rsidRDefault="00306A00" w:rsidP="00235523">
      <w:pPr>
        <w:pStyle w:val="ListParagraph"/>
        <w:numPr>
          <w:ilvl w:val="0"/>
          <w:numId w:val="0"/>
        </w:numPr>
        <w:ind w:left="720" w:hanging="720"/>
      </w:pPr>
    </w:p>
    <w:p w14:paraId="48BD17F4" w14:textId="3DF5F205" w:rsidR="002A3951" w:rsidRDefault="00461464" w:rsidP="00235523">
      <w:pPr>
        <w:pStyle w:val="ListParagraph"/>
        <w:keepNext/>
        <w:widowControl/>
        <w:ind w:left="720"/>
      </w:pPr>
      <w:r>
        <w:t xml:space="preserve">In addition to the rights </w:t>
      </w:r>
      <w:r w:rsidR="0029566F">
        <w:t>addressed in paragraphs 1, 11 and 12, t</w:t>
      </w:r>
      <w:r w:rsidR="00E90569">
        <w:t>he Rights, Safeguards and Equality of Opportunity</w:t>
      </w:r>
      <w:r w:rsidR="00E90569" w:rsidRPr="007F4540">
        <w:t xml:space="preserve"> </w:t>
      </w:r>
      <w:r w:rsidR="001B1FE2">
        <w:t>c</w:t>
      </w:r>
      <w:r w:rsidR="001B1FE2" w:rsidRPr="007F4540">
        <w:t>hapter</w:t>
      </w:r>
      <w:r w:rsidR="00A524A4" w:rsidRPr="007F4540">
        <w:t xml:space="preserve"> </w:t>
      </w:r>
      <w:r w:rsidR="00E90569" w:rsidRPr="007F4540">
        <w:t>deals with many other issues including</w:t>
      </w:r>
      <w:r w:rsidR="006D35C6">
        <w:t xml:space="preserve">, </w:t>
      </w:r>
      <w:r w:rsidR="006D35C6" w:rsidRPr="007F4540">
        <w:t>for example</w:t>
      </w:r>
      <w:r w:rsidR="006D35C6">
        <w:t>,</w:t>
      </w:r>
      <w:r w:rsidR="00E90569" w:rsidRPr="007F4540">
        <w:t xml:space="preserve"> </w:t>
      </w:r>
      <w:r w:rsidR="00E90569">
        <w:t xml:space="preserve">the incorporation of the </w:t>
      </w:r>
      <w:r w:rsidR="00E90569" w:rsidRPr="007F4540">
        <w:t xml:space="preserve">ECHR </w:t>
      </w:r>
      <w:r w:rsidR="0095528D">
        <w:t xml:space="preserve">into domestic law </w:t>
      </w:r>
      <w:r w:rsidR="00E90569">
        <w:t>and an envisaged Bill of Rights for NI drawing on international instruments and experience</w:t>
      </w:r>
      <w:r w:rsidR="00E90569" w:rsidRPr="007F4540">
        <w:t>.</w:t>
      </w:r>
      <w:r w:rsidR="00A524A4">
        <w:rPr>
          <w:rStyle w:val="FootnoteReference"/>
        </w:rPr>
        <w:footnoteReference w:id="67"/>
      </w:r>
      <w:r w:rsidR="00E90569" w:rsidRPr="007F4540">
        <w:t xml:space="preserve"> </w:t>
      </w:r>
    </w:p>
    <w:p w14:paraId="194CCA47" w14:textId="77777777" w:rsidR="002A3951" w:rsidRDefault="002A3951" w:rsidP="00235523">
      <w:pPr>
        <w:pStyle w:val="ListParagraph"/>
        <w:numPr>
          <w:ilvl w:val="0"/>
          <w:numId w:val="0"/>
        </w:numPr>
        <w:ind w:left="720" w:hanging="720"/>
      </w:pPr>
    </w:p>
    <w:p w14:paraId="6AAC1BB4" w14:textId="1005C91C" w:rsidR="000E37A4" w:rsidRPr="00D71C9A" w:rsidRDefault="000E37A4" w:rsidP="00235523">
      <w:pPr>
        <w:pStyle w:val="ListParagraph"/>
        <w:keepNext/>
        <w:widowControl/>
        <w:ind w:left="720"/>
      </w:pPr>
      <w:r w:rsidRPr="00D71C9A">
        <w:t xml:space="preserve">Caselaw to date has accepted that ECHR rights fall within the ambit of the </w:t>
      </w:r>
      <w:r w:rsidR="00A524A4">
        <w:t>Rights, Safeguards and Equality of Opportunity</w:t>
      </w:r>
      <w:r w:rsidR="00C25F8A">
        <w:t xml:space="preserve"> </w:t>
      </w:r>
      <w:r w:rsidRPr="00D71C9A">
        <w:t>chapter,</w:t>
      </w:r>
      <w:r w:rsidRPr="003502F7">
        <w:rPr>
          <w:rStyle w:val="FootnoteReference"/>
        </w:rPr>
        <w:footnoteReference w:id="68"/>
      </w:r>
      <w:r w:rsidRPr="00D71C9A">
        <w:t xml:space="preserve"> but this was not considered by the </w:t>
      </w:r>
      <w:r w:rsidR="006F2AE9">
        <w:t xml:space="preserve">UK </w:t>
      </w:r>
      <w:r w:rsidRPr="00D71C9A">
        <w:t>Supreme Court.</w:t>
      </w:r>
      <w:r w:rsidRPr="00D71C9A">
        <w:rPr>
          <w:rStyle w:val="FootnoteReference"/>
        </w:rPr>
        <w:footnoteReference w:id="69"/>
      </w:r>
      <w:r w:rsidRPr="00D71C9A">
        <w:t xml:space="preserve"> </w:t>
      </w:r>
    </w:p>
    <w:p w14:paraId="67AFBB54" w14:textId="77777777" w:rsidR="000E37A4" w:rsidRPr="00F334E8" w:rsidRDefault="000E37A4" w:rsidP="00235523">
      <w:pPr>
        <w:pStyle w:val="ListParagraph"/>
        <w:numPr>
          <w:ilvl w:val="0"/>
          <w:numId w:val="0"/>
        </w:numPr>
        <w:ind w:left="720" w:hanging="720"/>
      </w:pPr>
    </w:p>
    <w:p w14:paraId="294556D1" w14:textId="37278A71" w:rsidR="00AC63A7" w:rsidRPr="002376B5" w:rsidRDefault="002A202D" w:rsidP="00235523">
      <w:pPr>
        <w:pStyle w:val="ListParagraph"/>
        <w:keepNext/>
        <w:widowControl/>
        <w:ind w:left="720"/>
      </w:pPr>
      <w:r w:rsidRPr="002376B5">
        <w:t xml:space="preserve">It is worth emphasising that the </w:t>
      </w:r>
      <w:r w:rsidR="009003ED" w:rsidRPr="002376B5">
        <w:t xml:space="preserve">question </w:t>
      </w:r>
      <w:r w:rsidR="00F23945" w:rsidRPr="002376B5">
        <w:t xml:space="preserve">here is </w:t>
      </w:r>
      <w:r w:rsidR="00E42123" w:rsidRPr="002376B5">
        <w:t xml:space="preserve">whether </w:t>
      </w:r>
      <w:r w:rsidR="00F5718A" w:rsidRPr="002376B5">
        <w:t xml:space="preserve">the </w:t>
      </w:r>
      <w:r w:rsidR="00620354" w:rsidRPr="002376B5">
        <w:t xml:space="preserve">commitment to </w:t>
      </w:r>
      <w:r w:rsidR="009003ED" w:rsidRPr="002376B5">
        <w:t>ECHR right</w:t>
      </w:r>
      <w:r w:rsidR="00F23945" w:rsidRPr="002376B5">
        <w:t>s</w:t>
      </w:r>
      <w:r w:rsidR="009003ED" w:rsidRPr="002376B5">
        <w:t xml:space="preserve"> </w:t>
      </w:r>
      <w:r w:rsidR="00620354" w:rsidRPr="002376B5">
        <w:t xml:space="preserve">in the </w:t>
      </w:r>
      <w:r w:rsidR="00040CC7" w:rsidRPr="002376B5">
        <w:t>Rights, Safeguards and Equality of Opportunity</w:t>
      </w:r>
      <w:r w:rsidR="00620354" w:rsidRPr="002376B5">
        <w:t xml:space="preserve"> chapter </w:t>
      </w:r>
      <w:r w:rsidR="00F75E4D" w:rsidRPr="002376B5">
        <w:t>help</w:t>
      </w:r>
      <w:r w:rsidR="00620354" w:rsidRPr="002376B5">
        <w:t>s</w:t>
      </w:r>
      <w:r w:rsidR="00F75E4D" w:rsidRPr="002376B5">
        <w:t xml:space="preserve"> </w:t>
      </w:r>
      <w:r w:rsidR="00BB6D71" w:rsidRPr="002376B5">
        <w:t xml:space="preserve">to define </w:t>
      </w:r>
      <w:r w:rsidR="00F75E4D" w:rsidRPr="002376B5">
        <w:t xml:space="preserve">the </w:t>
      </w:r>
      <w:r w:rsidR="009003ED" w:rsidRPr="002376B5">
        <w:t>ambit</w:t>
      </w:r>
      <w:r w:rsidR="00E42123" w:rsidRPr="002376B5">
        <w:t xml:space="preserve"> of </w:t>
      </w:r>
      <w:r w:rsidR="00040CC7" w:rsidRPr="002376B5">
        <w:t>that</w:t>
      </w:r>
      <w:r w:rsidR="00E42123" w:rsidRPr="002376B5">
        <w:t xml:space="preserve"> chapter </w:t>
      </w:r>
      <w:r w:rsidR="00386DD9" w:rsidRPr="002376B5">
        <w:t>and in so doing help</w:t>
      </w:r>
      <w:r w:rsidR="00620354" w:rsidRPr="002376B5">
        <w:t>s</w:t>
      </w:r>
      <w:r w:rsidR="00386DD9" w:rsidRPr="002376B5">
        <w:t xml:space="preserve"> </w:t>
      </w:r>
      <w:r w:rsidR="008F3B3B" w:rsidRPr="002376B5">
        <w:t xml:space="preserve">to </w:t>
      </w:r>
      <w:r w:rsidR="00386DD9" w:rsidRPr="002376B5">
        <w:t>identify EU law falling within the protection of Windsor Framework Article 2</w:t>
      </w:r>
      <w:r w:rsidR="004F4497" w:rsidRPr="002376B5">
        <w:t>.</w:t>
      </w:r>
      <w:r w:rsidR="00386DD9" w:rsidRPr="002376B5">
        <w:t xml:space="preserve"> </w:t>
      </w:r>
      <w:r w:rsidR="004F4497" w:rsidRPr="002376B5">
        <w:t>T</w:t>
      </w:r>
      <w:r w:rsidR="00F75E4D" w:rsidRPr="002376B5">
        <w:t xml:space="preserve">here is no suggestion that </w:t>
      </w:r>
      <w:r w:rsidR="00027437" w:rsidRPr="002376B5">
        <w:t xml:space="preserve">ECHR rights, in themselves, </w:t>
      </w:r>
      <w:r w:rsidR="002218D1" w:rsidRPr="002376B5">
        <w:t>are</w:t>
      </w:r>
      <w:r w:rsidR="00027437" w:rsidRPr="002376B5">
        <w:t xml:space="preserve"> protected by </w:t>
      </w:r>
      <w:r w:rsidR="002A68CF" w:rsidRPr="002376B5">
        <w:t xml:space="preserve">Windsor Framework </w:t>
      </w:r>
      <w:r w:rsidR="00027437" w:rsidRPr="002376B5">
        <w:t>Articl</w:t>
      </w:r>
      <w:r w:rsidR="00B61FDF" w:rsidRPr="002376B5">
        <w:t xml:space="preserve">e </w:t>
      </w:r>
      <w:r w:rsidR="00B61FDF" w:rsidRPr="002376B5">
        <w:lastRenderedPageBreak/>
        <w:t>2</w:t>
      </w:r>
      <w:r w:rsidR="002A68CF" w:rsidRPr="002376B5">
        <w:t>,</w:t>
      </w:r>
      <w:r w:rsidR="00B61FDF" w:rsidRPr="002376B5">
        <w:t xml:space="preserve"> since </w:t>
      </w:r>
      <w:r w:rsidR="002218D1" w:rsidRPr="002376B5">
        <w:t xml:space="preserve">Windsor Framework Article 2 </w:t>
      </w:r>
      <w:r w:rsidR="00B61FDF" w:rsidRPr="002376B5">
        <w:t xml:space="preserve">is exclusively concerned with </w:t>
      </w:r>
      <w:r w:rsidR="00380851" w:rsidRPr="002376B5">
        <w:t xml:space="preserve">EU </w:t>
      </w:r>
      <w:r w:rsidR="00285FDD" w:rsidRPr="002376B5">
        <w:t>minimum standards</w:t>
      </w:r>
      <w:r w:rsidR="00806FFB" w:rsidRPr="002376B5">
        <w:t>.</w:t>
      </w:r>
      <w:r w:rsidR="00B9723D" w:rsidRPr="002376B5">
        <w:t xml:space="preserve"> </w:t>
      </w:r>
    </w:p>
    <w:p w14:paraId="642061AC" w14:textId="77777777" w:rsidR="00AC63A7" w:rsidRPr="00F334E8" w:rsidRDefault="00AC63A7" w:rsidP="00235523">
      <w:pPr>
        <w:pStyle w:val="ListParagraph"/>
        <w:numPr>
          <w:ilvl w:val="0"/>
          <w:numId w:val="0"/>
        </w:numPr>
        <w:ind w:left="720" w:hanging="720"/>
      </w:pPr>
    </w:p>
    <w:p w14:paraId="20DFE6CD" w14:textId="0D627CBE" w:rsidR="00D62252" w:rsidRPr="00D62252" w:rsidRDefault="00E90569" w:rsidP="00235523">
      <w:pPr>
        <w:pStyle w:val="ListParagraph"/>
        <w:keepNext/>
        <w:widowControl/>
        <w:ind w:left="720"/>
      </w:pPr>
      <w:r w:rsidRPr="00962B72">
        <w:t>In its 2020 Explainer document the UK Government confirmed that the “key rights and equality provisions in the [Belfast (Good Friday)] Agreement are supported by the ECHR”.</w:t>
      </w:r>
      <w:r w:rsidRPr="00962B72">
        <w:rPr>
          <w:vertAlign w:val="superscript"/>
        </w:rPr>
        <w:footnoteReference w:id="70"/>
      </w:r>
      <w:r w:rsidRPr="00962B72">
        <w:t xml:space="preserve"> </w:t>
      </w:r>
    </w:p>
    <w:p w14:paraId="48A60B2F" w14:textId="77777777" w:rsidR="00D62252" w:rsidRPr="00962B72" w:rsidRDefault="00D62252" w:rsidP="00235523">
      <w:pPr>
        <w:pStyle w:val="ListParagraph"/>
        <w:numPr>
          <w:ilvl w:val="0"/>
          <w:numId w:val="0"/>
        </w:numPr>
        <w:ind w:left="720" w:hanging="720"/>
      </w:pPr>
    </w:p>
    <w:p w14:paraId="0B21537A" w14:textId="2BF471C6" w:rsidR="00E90569" w:rsidRPr="00E05157" w:rsidRDefault="001D3779" w:rsidP="00235523">
      <w:pPr>
        <w:pStyle w:val="ListParagraph"/>
        <w:keepNext/>
        <w:widowControl/>
        <w:ind w:left="720"/>
      </w:pPr>
      <w:r w:rsidRPr="00F334E8">
        <w:t xml:space="preserve">The NIHRC and </w:t>
      </w:r>
      <w:r w:rsidR="004F4497" w:rsidRPr="00F334E8">
        <w:t xml:space="preserve">the Equality Commission for </w:t>
      </w:r>
      <w:r w:rsidRPr="00F334E8">
        <w:t>NI</w:t>
      </w:r>
      <w:r w:rsidR="00071F5B" w:rsidRPr="00F334E8">
        <w:t xml:space="preserve"> have taken the view, subject to </w:t>
      </w:r>
      <w:r w:rsidR="008656E4" w:rsidRPr="00F334E8">
        <w:t>any future consideration by the courts, that</w:t>
      </w:r>
      <w:r w:rsidR="00E90569" w:rsidRPr="00F334E8">
        <w:t xml:space="preserve"> the non-diminution commitment in Windsor Framework Article 2 encompasses the full range of rights set out in the ECHR, </w:t>
      </w:r>
      <w:r w:rsidR="00E90569" w:rsidRPr="00F334E8">
        <w:rPr>
          <w:i/>
        </w:rPr>
        <w:t>to the extent that they are underpinned by EU legal obligations</w:t>
      </w:r>
      <w:r w:rsidR="00E90569" w:rsidRPr="00F334E8">
        <w:t xml:space="preserve"> in force on or before 31 December 2020.</w:t>
      </w:r>
      <w:r w:rsidR="004F4497" w:rsidRPr="00F334E8">
        <w:rPr>
          <w:vertAlign w:val="superscript"/>
        </w:rPr>
        <w:footnoteReference w:id="71"/>
      </w:r>
    </w:p>
    <w:p w14:paraId="188C34EE" w14:textId="77777777" w:rsidR="00E90569" w:rsidRDefault="00E90569" w:rsidP="00E90569">
      <w:pPr>
        <w:pStyle w:val="ListParagraph"/>
        <w:numPr>
          <w:ilvl w:val="0"/>
          <w:numId w:val="0"/>
        </w:numPr>
        <w:ind w:left="720"/>
      </w:pPr>
    </w:p>
    <w:p w14:paraId="3205E82A" w14:textId="35783E4B" w:rsidR="00666F72" w:rsidRPr="0053066C" w:rsidRDefault="00707F19" w:rsidP="00666F72">
      <w:pPr>
        <w:pStyle w:val="Heading3"/>
      </w:pPr>
      <w:bookmarkStart w:id="18" w:name="_Toc235087545"/>
      <w:r w:rsidRPr="0053066C">
        <w:t>Approaches to i</w:t>
      </w:r>
      <w:r w:rsidR="00666F72" w:rsidRPr="0053066C">
        <w:t xml:space="preserve">nterpreting the Rights, </w:t>
      </w:r>
      <w:r w:rsidR="00181B84" w:rsidRPr="0053066C">
        <w:t xml:space="preserve">Safeguards </w:t>
      </w:r>
      <w:r w:rsidR="00666F72" w:rsidRPr="0053066C">
        <w:t>and Equality of Opportunity chapter of the B</w:t>
      </w:r>
      <w:r w:rsidR="00050013" w:rsidRPr="0053066C">
        <w:t>elfast (Good Friday) Agreement</w:t>
      </w:r>
      <w:bookmarkEnd w:id="18"/>
    </w:p>
    <w:p w14:paraId="55D75E7C" w14:textId="2C50FAF6" w:rsidR="00E90569" w:rsidRPr="00F334E8" w:rsidRDefault="00E90569" w:rsidP="00235523">
      <w:pPr>
        <w:pStyle w:val="ListParagraph"/>
        <w:keepNext/>
        <w:ind w:left="720"/>
      </w:pPr>
      <w:r w:rsidRPr="00F334E8">
        <w:t xml:space="preserve">In </w:t>
      </w:r>
      <w:r w:rsidRPr="00F334E8">
        <w:rPr>
          <w:i/>
        </w:rPr>
        <w:t>Dillon</w:t>
      </w:r>
      <w:r w:rsidR="00DC33EC" w:rsidRPr="00F334E8">
        <w:rPr>
          <w:i/>
        </w:rPr>
        <w:t>,</w:t>
      </w:r>
      <w:r w:rsidRPr="00F334E8">
        <w:t xml:space="preserve"> the </w:t>
      </w:r>
      <w:r w:rsidR="006F2AE9" w:rsidRPr="00F334E8">
        <w:t>UK</w:t>
      </w:r>
      <w:r w:rsidRPr="00F334E8">
        <w:t xml:space="preserve"> Supreme Court recognised </w:t>
      </w:r>
      <w:r w:rsidR="00720B15" w:rsidRPr="00F334E8">
        <w:t xml:space="preserve">that </w:t>
      </w:r>
      <w:r w:rsidRPr="00F334E8">
        <w:t>the 1998 Agreement is made up of two interrelated documents, each annexed to the other: the multi-party agreement; and the agreement between the UK and Ireland, an “international treaty between two sovereign Governments”.</w:t>
      </w:r>
      <w:r w:rsidRPr="00F334E8">
        <w:rPr>
          <w:vertAlign w:val="superscript"/>
        </w:rPr>
        <w:footnoteReference w:id="72"/>
      </w:r>
      <w:r w:rsidRPr="00F334E8">
        <w:t xml:space="preserve"> The Court considered the Vienna Convention on the Law of Treaties</w:t>
      </w:r>
      <w:r w:rsidRPr="00F334E8">
        <w:rPr>
          <w:rStyle w:val="FootnoteReference"/>
        </w:rPr>
        <w:footnoteReference w:id="73"/>
      </w:r>
      <w:r w:rsidRPr="00F334E8">
        <w:t xml:space="preserve"> and recognised that its provisions reflect the relevant international customary law on the interpretation of treaties, although only considered it in the context of the UK-EU Withdrawal Agreement and the Windsor Framework.</w:t>
      </w:r>
      <w:r w:rsidRPr="00F334E8">
        <w:rPr>
          <w:vertAlign w:val="superscript"/>
        </w:rPr>
        <w:footnoteReference w:id="74"/>
      </w:r>
      <w:r w:rsidRPr="00F334E8">
        <w:t xml:space="preserve"> </w:t>
      </w:r>
    </w:p>
    <w:p w14:paraId="42509496" w14:textId="77777777" w:rsidR="00E90569" w:rsidRPr="00F334E8" w:rsidRDefault="00E90569" w:rsidP="00235523">
      <w:pPr>
        <w:pStyle w:val="ListParagraph"/>
        <w:numPr>
          <w:ilvl w:val="0"/>
          <w:numId w:val="0"/>
        </w:numPr>
        <w:ind w:left="720" w:hanging="720"/>
      </w:pPr>
    </w:p>
    <w:p w14:paraId="458AA414" w14:textId="3F75AEF2" w:rsidR="00145FD8" w:rsidRPr="00F334E8" w:rsidRDefault="00E90569" w:rsidP="00235523">
      <w:pPr>
        <w:pStyle w:val="ListParagraph"/>
        <w:keepNext/>
        <w:ind w:left="720"/>
      </w:pPr>
      <w:r w:rsidRPr="003147C7">
        <w:t>The Vienna Convention provides that an international treaty should be interpreted in “good faith” and “in accordance with the ordinary meaning to be given to the terms of the treaty in their context and in the light of its object and purpose”.</w:t>
      </w:r>
      <w:r w:rsidRPr="003147C7">
        <w:rPr>
          <w:vertAlign w:val="superscript"/>
        </w:rPr>
        <w:footnoteReference w:id="75"/>
      </w:r>
      <w:r w:rsidRPr="003147C7">
        <w:t xml:space="preserve">  The Vienna Convention further provides supplementary means of interpretation including the “preparatory work of the treaty and the circumstances of its conclusion”.</w:t>
      </w:r>
      <w:r w:rsidRPr="003147C7">
        <w:rPr>
          <w:vertAlign w:val="superscript"/>
        </w:rPr>
        <w:footnoteReference w:id="76"/>
      </w:r>
      <w:r w:rsidRPr="003147C7">
        <w:t xml:space="preserve"> </w:t>
      </w:r>
      <w:r w:rsidR="00990E57" w:rsidRPr="00F334E8">
        <w:t>Having acknowledged th</w:t>
      </w:r>
      <w:r w:rsidR="00B72169" w:rsidRPr="00F334E8">
        <w:t>e</w:t>
      </w:r>
      <w:r w:rsidR="00E35DEA" w:rsidRPr="00F334E8">
        <w:t>se interpretive rules, t</w:t>
      </w:r>
      <w:r w:rsidRPr="00F334E8">
        <w:t xml:space="preserve">he </w:t>
      </w:r>
      <w:r w:rsidRPr="00F334E8">
        <w:lastRenderedPageBreak/>
        <w:t xml:space="preserve">Court did not consider the Belfast (Good Friday) Agreement in the context of the Vienna Convention. </w:t>
      </w:r>
      <w:r w:rsidR="0095637D" w:rsidRPr="00F334E8">
        <w:t>Instead</w:t>
      </w:r>
      <w:r w:rsidR="002839CB" w:rsidRPr="00F334E8">
        <w:t>,</w:t>
      </w:r>
      <w:r w:rsidR="0095637D" w:rsidRPr="00F334E8">
        <w:t xml:space="preserve"> the </w:t>
      </w:r>
      <w:r w:rsidR="000046BA" w:rsidRPr="00F334E8">
        <w:t>C</w:t>
      </w:r>
      <w:r w:rsidR="0095637D" w:rsidRPr="00F334E8">
        <w:t>ourt</w:t>
      </w:r>
      <w:r w:rsidR="001F6FD5" w:rsidRPr="00F334E8">
        <w:t xml:space="preserve"> </w:t>
      </w:r>
      <w:r w:rsidR="0095637D" w:rsidRPr="00F334E8">
        <w:t xml:space="preserve">moved </w:t>
      </w:r>
      <w:r w:rsidR="00D77816" w:rsidRPr="00F334E8">
        <w:t xml:space="preserve">to start its analysis by looking at </w:t>
      </w:r>
      <w:r w:rsidR="0097056F" w:rsidRPr="00F334E8">
        <w:t>direct effect</w:t>
      </w:r>
      <w:r w:rsidR="00C12237" w:rsidRPr="00F334E8">
        <w:t>, based on an approach</w:t>
      </w:r>
      <w:r w:rsidRPr="00F334E8">
        <w:t xml:space="preserve"> that </w:t>
      </w:r>
      <w:r w:rsidR="00C12237" w:rsidRPr="00F334E8">
        <w:t xml:space="preserve">involved </w:t>
      </w:r>
      <w:r w:rsidR="002246BB" w:rsidRPr="00F334E8">
        <w:t xml:space="preserve">examining the </w:t>
      </w:r>
      <w:r w:rsidR="005610F1" w:rsidRPr="00F334E8">
        <w:t>Rights, Safeguards and Equality of Opportunity</w:t>
      </w:r>
      <w:r w:rsidR="002246BB" w:rsidRPr="00F334E8">
        <w:t xml:space="preserve"> chapter for specificity</w:t>
      </w:r>
      <w:r w:rsidR="00DC6D42" w:rsidRPr="00F334E8">
        <w:t>,</w:t>
      </w:r>
      <w:r w:rsidR="002246BB" w:rsidRPr="00F334E8">
        <w:t xml:space="preserve"> rather</w:t>
      </w:r>
      <w:r w:rsidR="005B68ED" w:rsidRPr="00F334E8">
        <w:t xml:space="preserve"> than starting with </w:t>
      </w:r>
      <w:r w:rsidRPr="00F334E8">
        <w:t>the context, object and purpose of the</w:t>
      </w:r>
      <w:r w:rsidR="005610F1" w:rsidRPr="00F334E8">
        <w:t xml:space="preserve"> 1998</w:t>
      </w:r>
      <w:r w:rsidRPr="00F334E8">
        <w:t xml:space="preserve"> Agreement</w:t>
      </w:r>
      <w:r w:rsidR="00F315CA" w:rsidRPr="00F334E8">
        <w:t xml:space="preserve">. </w:t>
      </w:r>
      <w:r w:rsidR="00100251" w:rsidRPr="00F334E8">
        <w:t xml:space="preserve">Moreover, this led to an examination focused on the rights in question without </w:t>
      </w:r>
      <w:r w:rsidR="00C70836" w:rsidRPr="00F334E8">
        <w:t xml:space="preserve">wider consideration of object and purpose of the provisions. </w:t>
      </w:r>
      <w:r w:rsidR="00F315CA" w:rsidRPr="00F334E8">
        <w:t xml:space="preserve">The </w:t>
      </w:r>
      <w:r w:rsidR="005610F1" w:rsidRPr="00F334E8">
        <w:t>NIHRC</w:t>
      </w:r>
      <w:r w:rsidR="00F315CA" w:rsidRPr="00F334E8">
        <w:t xml:space="preserve"> considers </w:t>
      </w:r>
      <w:r w:rsidR="00415D8F" w:rsidRPr="00F334E8">
        <w:t>that</w:t>
      </w:r>
      <w:r w:rsidR="00055F32" w:rsidRPr="00F334E8">
        <w:t xml:space="preserve"> </w:t>
      </w:r>
      <w:r w:rsidR="00450309" w:rsidRPr="00F334E8">
        <w:t>the</w:t>
      </w:r>
      <w:r w:rsidR="00055F32" w:rsidRPr="00F334E8">
        <w:t xml:space="preserve"> contextual consideration</w:t>
      </w:r>
      <w:r w:rsidRPr="00F334E8">
        <w:t xml:space="preserve"> </w:t>
      </w:r>
      <w:r w:rsidR="00100251" w:rsidRPr="00F334E8">
        <w:t>required for the interpretation of an international treaty</w:t>
      </w:r>
      <w:r w:rsidRPr="00F334E8">
        <w:t xml:space="preserve"> is vitally important to understanding the extent of the commitment to upholding the rights contained within it in conjunction with Windsor Framework Article 2. </w:t>
      </w:r>
    </w:p>
    <w:p w14:paraId="5013AE67" w14:textId="36B23C9F" w:rsidR="006563B5" w:rsidRDefault="006563B5" w:rsidP="00235523">
      <w:pPr>
        <w:ind w:left="720" w:hanging="720"/>
      </w:pPr>
    </w:p>
    <w:p w14:paraId="628EEDED" w14:textId="4EBA4D86" w:rsidR="0009260E" w:rsidRPr="00D667C2" w:rsidRDefault="005C5BAF" w:rsidP="00235523">
      <w:pPr>
        <w:pStyle w:val="ListParagraph"/>
        <w:widowControl/>
        <w:ind w:left="720"/>
      </w:pPr>
      <w:r w:rsidRPr="00D667C2">
        <w:t xml:space="preserve">Important </w:t>
      </w:r>
      <w:r w:rsidR="003F2354" w:rsidRPr="00D667C2">
        <w:t xml:space="preserve">context </w:t>
      </w:r>
      <w:r w:rsidRPr="00D667C2">
        <w:t xml:space="preserve">to </w:t>
      </w:r>
      <w:r w:rsidR="00E574FB" w:rsidRPr="00D667C2">
        <w:t xml:space="preserve">the Rights, Safeguards and Equality </w:t>
      </w:r>
      <w:r w:rsidR="00561974" w:rsidRPr="00D667C2">
        <w:t xml:space="preserve">of Opportunity chapter </w:t>
      </w:r>
      <w:r w:rsidRPr="00D667C2">
        <w:t xml:space="preserve">is provided by the Declaration of Support </w:t>
      </w:r>
      <w:r w:rsidR="005E5A91" w:rsidRPr="00D667C2">
        <w:t>as referenced above.</w:t>
      </w:r>
      <w:r w:rsidR="004F6073" w:rsidRPr="00D667C2">
        <w:t xml:space="preserve"> </w:t>
      </w:r>
      <w:r w:rsidR="00733B38" w:rsidRPr="00D667C2">
        <w:t>Further, i</w:t>
      </w:r>
      <w:r w:rsidR="00B16EEC" w:rsidRPr="00D667C2">
        <w:t>n t</w:t>
      </w:r>
      <w:r w:rsidR="0009260E" w:rsidRPr="00D667C2">
        <w:t xml:space="preserve">he </w:t>
      </w:r>
      <w:r w:rsidR="0009260E" w:rsidRPr="003147C7">
        <w:t xml:space="preserve">preamble to the </w:t>
      </w:r>
      <w:proofErr w:type="gramStart"/>
      <w:r w:rsidR="0009260E" w:rsidRPr="003147C7">
        <w:t>British-Irish</w:t>
      </w:r>
      <w:proofErr w:type="gramEnd"/>
      <w:r w:rsidR="0009260E" w:rsidRPr="003147C7">
        <w:t xml:space="preserve"> Agreement </w:t>
      </w:r>
      <w:r w:rsidR="00905268">
        <w:t>1998,</w:t>
      </w:r>
      <w:r w:rsidR="00B16EEC" w:rsidRPr="00D667C2">
        <w:t xml:space="preserve"> the</w:t>
      </w:r>
      <w:r w:rsidR="00B16EEC">
        <w:t xml:space="preserve"> </w:t>
      </w:r>
      <w:r w:rsidR="00B16EEC" w:rsidRPr="00D667C2">
        <w:t xml:space="preserve">UK Government and the Government of Ireland </w:t>
      </w:r>
      <w:r w:rsidR="00FB46AA" w:rsidRPr="00D667C2">
        <w:t>reaffirm</w:t>
      </w:r>
      <w:r w:rsidR="00B16EEC" w:rsidRPr="00D667C2">
        <w:t xml:space="preserve"> their</w:t>
      </w:r>
      <w:r w:rsidR="00FB46AA" w:rsidRPr="00D667C2">
        <w:t xml:space="preserve"> </w:t>
      </w:r>
      <w:r w:rsidR="00B16EEC" w:rsidRPr="00D667C2">
        <w:t>“</w:t>
      </w:r>
      <w:r w:rsidR="0009260E" w:rsidRPr="00D667C2">
        <w:t>commitment to the principles of equality and mutual respect and to the protection of civil, political, social, economic and cultural rights</w:t>
      </w:r>
      <w:r w:rsidR="001E54A8" w:rsidRPr="00D667C2">
        <w:t>”</w:t>
      </w:r>
      <w:r w:rsidR="005610F1" w:rsidRPr="00D667C2">
        <w:t>.</w:t>
      </w:r>
      <w:r w:rsidR="0009260E" w:rsidRPr="00D667C2">
        <w:rPr>
          <w:rStyle w:val="FootnoteReference"/>
        </w:rPr>
        <w:footnoteReference w:id="77"/>
      </w:r>
    </w:p>
    <w:p w14:paraId="204A84BA" w14:textId="77777777" w:rsidR="0009260E" w:rsidRDefault="0009260E" w:rsidP="00B9788C">
      <w:pPr>
        <w:pStyle w:val="ListParagraph"/>
        <w:numPr>
          <w:ilvl w:val="0"/>
          <w:numId w:val="0"/>
        </w:numPr>
        <w:ind w:left="720"/>
      </w:pPr>
    </w:p>
    <w:p w14:paraId="7ADE1650" w14:textId="77A78379" w:rsidR="008C7659" w:rsidRPr="00924973" w:rsidRDefault="0087610F" w:rsidP="00152F07">
      <w:pPr>
        <w:pStyle w:val="Heading3"/>
        <w:keepNext/>
      </w:pPr>
      <w:bookmarkStart w:id="19" w:name="_Toc235087546"/>
      <w:r>
        <w:t xml:space="preserve">Accuracy and </w:t>
      </w:r>
      <w:r w:rsidR="00B65859">
        <w:t>ambiguity</w:t>
      </w:r>
      <w:bookmarkEnd w:id="19"/>
      <w:r w:rsidR="00B263EC" w:rsidRPr="00924973">
        <w:t xml:space="preserve"> </w:t>
      </w:r>
    </w:p>
    <w:p w14:paraId="7E6FA5E0" w14:textId="2D5C9573" w:rsidR="00E972A5" w:rsidRPr="00F334E8" w:rsidRDefault="005E1474" w:rsidP="00235523">
      <w:pPr>
        <w:pStyle w:val="ListParagraph"/>
        <w:keepNext/>
        <w:widowControl/>
        <w:ind w:left="720"/>
      </w:pPr>
      <w:r w:rsidRPr="00F334E8">
        <w:t xml:space="preserve">The NIHRC urges caution to avoid </w:t>
      </w:r>
      <w:r w:rsidR="00AA5323" w:rsidRPr="00F334E8">
        <w:t>over-stating</w:t>
      </w:r>
      <w:r w:rsidRPr="00F334E8">
        <w:t xml:space="preserve"> the</w:t>
      </w:r>
      <w:r w:rsidR="00361E81" w:rsidRPr="00F334E8">
        <w:t xml:space="preserve"> </w:t>
      </w:r>
      <w:r w:rsidR="00361E81" w:rsidRPr="00F334E8">
        <w:rPr>
          <w:i/>
        </w:rPr>
        <w:t>Dillon</w:t>
      </w:r>
      <w:r w:rsidRPr="00F334E8">
        <w:t xml:space="preserve"> judgment in a way that would undermine the object and purpose of the Belfast (Good Friday) Agreement</w:t>
      </w:r>
      <w:r w:rsidR="00447DA0" w:rsidRPr="00F334E8">
        <w:t xml:space="preserve"> or narrow Windsor Framework Article 2 beyond </w:t>
      </w:r>
      <w:r w:rsidR="00626E7A" w:rsidRPr="00F334E8">
        <w:t xml:space="preserve">the </w:t>
      </w:r>
      <w:r w:rsidR="00317DB1" w:rsidRPr="00F334E8">
        <w:t>C</w:t>
      </w:r>
      <w:r w:rsidR="00626E7A" w:rsidRPr="00F334E8">
        <w:t>ourt’s decision</w:t>
      </w:r>
      <w:r w:rsidRPr="00F334E8">
        <w:t xml:space="preserve">. </w:t>
      </w:r>
      <w:r w:rsidR="00EA7943" w:rsidRPr="00F334E8">
        <w:t xml:space="preserve">For example, </w:t>
      </w:r>
      <w:r w:rsidR="005B69EC" w:rsidRPr="00F334E8">
        <w:t xml:space="preserve">the Secretary of State for </w:t>
      </w:r>
      <w:r w:rsidR="00873C86" w:rsidRPr="00F334E8">
        <w:t>NI</w:t>
      </w:r>
      <w:r w:rsidR="005B69EC" w:rsidRPr="00F334E8">
        <w:t xml:space="preserve"> </w:t>
      </w:r>
      <w:r w:rsidR="008C39B4" w:rsidRPr="00F334E8">
        <w:t xml:space="preserve">stated in Parliament </w:t>
      </w:r>
      <w:r w:rsidR="00E972A5" w:rsidRPr="00F334E8">
        <w:t xml:space="preserve">that </w:t>
      </w:r>
      <w:r w:rsidR="00753C56" w:rsidRPr="00F334E8">
        <w:t xml:space="preserve">“The Supreme Court’s judgment has </w:t>
      </w:r>
      <w:r w:rsidR="00882E1D" w:rsidRPr="00F334E8">
        <w:t>…</w:t>
      </w:r>
      <w:r w:rsidR="00753C56" w:rsidRPr="00F334E8">
        <w:t xml:space="preserve">confirmed the Government’s long-standing position that the rights protected by </w:t>
      </w:r>
      <w:r w:rsidR="003502F7" w:rsidRPr="00F334E8">
        <w:t>A</w:t>
      </w:r>
      <w:r w:rsidR="00753C56" w:rsidRPr="00F334E8">
        <w:t xml:space="preserve">rticle 2 of the Windsor </w:t>
      </w:r>
      <w:r w:rsidR="00873C86" w:rsidRPr="00F334E8">
        <w:t xml:space="preserve">Framework </w:t>
      </w:r>
      <w:r w:rsidR="00753C56" w:rsidRPr="00F334E8">
        <w:t>are those concerned with ending the sectarian conflict in Northern Ireland”</w:t>
      </w:r>
      <w:r w:rsidR="00873C86" w:rsidRPr="00F334E8">
        <w:t>.</w:t>
      </w:r>
      <w:r w:rsidR="00DC05D2" w:rsidRPr="00F334E8">
        <w:rPr>
          <w:rStyle w:val="FootnoteReference"/>
        </w:rPr>
        <w:footnoteReference w:id="78"/>
      </w:r>
      <w:r w:rsidR="0053172E" w:rsidRPr="00F334E8">
        <w:t xml:space="preserve"> The NIHRC is concerned that this </w:t>
      </w:r>
      <w:r w:rsidR="005B40AA" w:rsidRPr="00F334E8">
        <w:t>does not accurately reflect</w:t>
      </w:r>
      <w:r w:rsidR="0053172E" w:rsidRPr="00F334E8">
        <w:t xml:space="preserve"> the </w:t>
      </w:r>
      <w:r w:rsidR="0085603D" w:rsidRPr="00F334E8">
        <w:t>C</w:t>
      </w:r>
      <w:r w:rsidR="0053172E" w:rsidRPr="00F334E8">
        <w:t>ourt’s findings</w:t>
      </w:r>
      <w:r w:rsidR="008B1903" w:rsidRPr="00F334E8">
        <w:t xml:space="preserve"> </w:t>
      </w:r>
      <w:r w:rsidR="00594A4C" w:rsidRPr="00F334E8">
        <w:t xml:space="preserve">which </w:t>
      </w:r>
      <w:r w:rsidR="00275046" w:rsidRPr="00F334E8">
        <w:t xml:space="preserve">referred to </w:t>
      </w:r>
      <w:r w:rsidR="00220AC2" w:rsidRPr="00F334E8">
        <w:t xml:space="preserve">paragraph 1 of </w:t>
      </w:r>
      <w:r w:rsidR="00275046" w:rsidRPr="00F334E8">
        <w:t xml:space="preserve">the </w:t>
      </w:r>
      <w:r w:rsidR="00873C86" w:rsidRPr="00F334E8">
        <w:t>Rights, Safeguards and Equality of Opportunity</w:t>
      </w:r>
      <w:r w:rsidR="00275046" w:rsidRPr="00F334E8">
        <w:t xml:space="preserve"> chapter of the </w:t>
      </w:r>
      <w:r w:rsidR="00275046" w:rsidRPr="00F334E8">
        <w:lastRenderedPageBreak/>
        <w:t>Belfast (Good Friday) Agreement</w:t>
      </w:r>
      <w:r w:rsidR="00D252D3" w:rsidRPr="00F334E8">
        <w:t xml:space="preserve"> and</w:t>
      </w:r>
      <w:r w:rsidR="00CF55CF" w:rsidRPr="00F334E8">
        <w:t xml:space="preserve"> stat</w:t>
      </w:r>
      <w:r w:rsidR="00D252D3" w:rsidRPr="00F334E8">
        <w:t>ed</w:t>
      </w:r>
      <w:r w:rsidR="00594A4C" w:rsidRPr="00F334E8">
        <w:t>: “</w:t>
      </w:r>
      <w:r w:rsidR="00592474" w:rsidRPr="00F334E8">
        <w:t>The rights listed with bullet points are all concerned with ending sectarian conflict</w:t>
      </w:r>
      <w:r w:rsidR="000D0C3B" w:rsidRPr="00F334E8">
        <w:t>”</w:t>
      </w:r>
      <w:r w:rsidR="00873C86" w:rsidRPr="00F334E8">
        <w:t>.</w:t>
      </w:r>
      <w:r w:rsidR="000D0C3B" w:rsidRPr="00F334E8">
        <w:rPr>
          <w:rStyle w:val="FootnoteReference"/>
        </w:rPr>
        <w:footnoteReference w:id="79"/>
      </w:r>
    </w:p>
    <w:p w14:paraId="7DBA3245" w14:textId="77777777" w:rsidR="00E972A5" w:rsidRDefault="00E972A5" w:rsidP="00235523">
      <w:pPr>
        <w:pStyle w:val="ListParagraph"/>
        <w:widowControl/>
        <w:numPr>
          <w:ilvl w:val="0"/>
          <w:numId w:val="0"/>
        </w:numPr>
        <w:ind w:left="720" w:hanging="720"/>
      </w:pPr>
    </w:p>
    <w:p w14:paraId="261BA034" w14:textId="7A1F76F0" w:rsidR="002D5000" w:rsidRPr="00F334E8" w:rsidRDefault="00EB2804" w:rsidP="00235523">
      <w:pPr>
        <w:pStyle w:val="ListParagraph"/>
        <w:widowControl/>
        <w:ind w:left="720"/>
      </w:pPr>
      <w:r w:rsidRPr="00F334E8">
        <w:t xml:space="preserve">The NIHRC notes that the </w:t>
      </w:r>
      <w:r w:rsidRPr="00F334E8">
        <w:rPr>
          <w:i/>
        </w:rPr>
        <w:t>Dillon</w:t>
      </w:r>
      <w:r w:rsidRPr="00F334E8">
        <w:t xml:space="preserve"> judgment is complex and nuanced and that it has been described in contrasting ways and sometimes inaccurately </w:t>
      </w:r>
      <w:r w:rsidR="002D5000" w:rsidRPr="00F334E8">
        <w:t xml:space="preserve">in </w:t>
      </w:r>
      <w:r w:rsidR="004202DB" w:rsidRPr="00F334E8">
        <w:t xml:space="preserve">Parliament, the NI Assembly </w:t>
      </w:r>
      <w:r w:rsidR="002D5000" w:rsidRPr="00F334E8">
        <w:t>and online; welcomes the Committee inquiry in creating an opportunity to consider its implications and encourage accuracy and completeness in discussion.</w:t>
      </w:r>
    </w:p>
    <w:p w14:paraId="1F07033C" w14:textId="77777777" w:rsidR="00292E49" w:rsidRDefault="00292E49" w:rsidP="00235523">
      <w:pPr>
        <w:pStyle w:val="ListParagraph"/>
        <w:numPr>
          <w:ilvl w:val="0"/>
          <w:numId w:val="0"/>
        </w:numPr>
        <w:ind w:left="720" w:hanging="720"/>
      </w:pPr>
    </w:p>
    <w:p w14:paraId="6D04B1C0" w14:textId="193B4E70" w:rsidR="00300587" w:rsidRPr="00300587" w:rsidRDefault="00292E49" w:rsidP="00235523">
      <w:pPr>
        <w:pStyle w:val="ListParagraph"/>
        <w:ind w:left="720"/>
        <w:rPr>
          <w:b/>
          <w:bCs/>
        </w:rPr>
      </w:pPr>
      <w:r w:rsidRPr="00300587">
        <w:rPr>
          <w:b/>
          <w:bCs/>
        </w:rPr>
        <w:t>The NIHRC recommends that the Committee explore the</w:t>
      </w:r>
      <w:r w:rsidR="00532C87">
        <w:rPr>
          <w:b/>
          <w:bCs/>
        </w:rPr>
        <w:t xml:space="preserve"> ambit of the</w:t>
      </w:r>
      <w:r w:rsidRPr="00300587">
        <w:rPr>
          <w:b/>
          <w:bCs/>
        </w:rPr>
        <w:t xml:space="preserve"> Rights, Safeguards and Equality of Opportunity chapter of the Belfast (Good Friday) Agreement </w:t>
      </w:r>
      <w:r w:rsidR="00532C87">
        <w:rPr>
          <w:b/>
          <w:bCs/>
        </w:rPr>
        <w:t xml:space="preserve">and how it </w:t>
      </w:r>
      <w:r w:rsidRPr="00300587">
        <w:rPr>
          <w:b/>
          <w:bCs/>
        </w:rPr>
        <w:t>is understood by the two Governments.</w:t>
      </w:r>
    </w:p>
    <w:p w14:paraId="26BAF2E3" w14:textId="793DCC5E" w:rsidR="00300587" w:rsidRPr="00300587" w:rsidRDefault="00E63734" w:rsidP="00235523">
      <w:pPr>
        <w:pStyle w:val="ListParagraph"/>
        <w:numPr>
          <w:ilvl w:val="0"/>
          <w:numId w:val="0"/>
        </w:numPr>
        <w:ind w:left="720" w:hanging="720"/>
        <w:rPr>
          <w:b/>
          <w:bCs/>
        </w:rPr>
      </w:pPr>
      <w:r>
        <w:rPr>
          <w:b/>
          <w:bCs/>
        </w:rPr>
        <w:t xml:space="preserve"> </w:t>
      </w:r>
    </w:p>
    <w:p w14:paraId="1BE0ED94" w14:textId="2A829EA3" w:rsidR="00292E49" w:rsidRDefault="00300587" w:rsidP="00235523">
      <w:pPr>
        <w:pStyle w:val="ListParagraph"/>
        <w:widowControl/>
        <w:ind w:left="720"/>
        <w:rPr>
          <w:b/>
          <w:bCs/>
        </w:rPr>
      </w:pPr>
      <w:r w:rsidRPr="00300587">
        <w:rPr>
          <w:b/>
          <w:bCs/>
        </w:rPr>
        <w:t xml:space="preserve">The NIHRC recommends that the Committee explore the risk of inferring from ambiguous references in the </w:t>
      </w:r>
      <w:r w:rsidRPr="00AF5E81">
        <w:rPr>
          <w:b/>
          <w:i/>
        </w:rPr>
        <w:t>Dillon</w:t>
      </w:r>
      <w:r w:rsidRPr="00300587">
        <w:rPr>
          <w:b/>
          <w:bCs/>
        </w:rPr>
        <w:t xml:space="preserve"> judgment that the Rights, Safeguards and Equality of Opportunity chapter of the Belfast (Good Friday) Agreement should be interpreted in a manner that confines the rights and safeguards to those concerned with ending the </w:t>
      </w:r>
      <w:r w:rsidRPr="00C22CD7">
        <w:rPr>
          <w:b/>
          <w:bCs/>
        </w:rPr>
        <w:t>communal</w:t>
      </w:r>
      <w:r w:rsidR="00C22CD7">
        <w:rPr>
          <w:b/>
          <w:bCs/>
        </w:rPr>
        <w:t>/</w:t>
      </w:r>
      <w:r w:rsidRPr="00C22CD7">
        <w:rPr>
          <w:b/>
          <w:bCs/>
        </w:rPr>
        <w:t xml:space="preserve"> sectarian</w:t>
      </w:r>
      <w:r w:rsidRPr="00300587">
        <w:rPr>
          <w:b/>
          <w:bCs/>
        </w:rPr>
        <w:t xml:space="preserve"> conflict</w:t>
      </w:r>
      <w:r w:rsidR="003D7F40">
        <w:rPr>
          <w:b/>
          <w:bCs/>
        </w:rPr>
        <w:t>.</w:t>
      </w:r>
    </w:p>
    <w:p w14:paraId="360C9373" w14:textId="77777777" w:rsidR="00EE4D21" w:rsidRPr="00EE4D21" w:rsidRDefault="00EE4D21" w:rsidP="00235523">
      <w:pPr>
        <w:pStyle w:val="ListParagraph"/>
        <w:numPr>
          <w:ilvl w:val="0"/>
          <w:numId w:val="0"/>
        </w:numPr>
        <w:ind w:left="720" w:hanging="720"/>
        <w:rPr>
          <w:b/>
          <w:bCs/>
        </w:rPr>
      </w:pPr>
    </w:p>
    <w:p w14:paraId="45D92B72" w14:textId="5933E3FD" w:rsidR="006C7E10" w:rsidRDefault="00EE4D21" w:rsidP="00235523">
      <w:pPr>
        <w:pStyle w:val="ListParagraph"/>
        <w:ind w:left="720"/>
        <w:rPr>
          <w:b/>
          <w:bCs/>
        </w:rPr>
      </w:pPr>
      <w:r w:rsidRPr="00EE4D21">
        <w:rPr>
          <w:b/>
          <w:bCs/>
        </w:rPr>
        <w:t xml:space="preserve">The NIHRC recommends that the Committee ask the Secretary of State for NI </w:t>
      </w:r>
      <w:r w:rsidR="00A753BE">
        <w:rPr>
          <w:b/>
          <w:bCs/>
        </w:rPr>
        <w:t>on what basis</w:t>
      </w:r>
      <w:r w:rsidR="00F77205">
        <w:rPr>
          <w:b/>
          <w:bCs/>
        </w:rPr>
        <w:t>,</w:t>
      </w:r>
      <w:r w:rsidR="00A753BE">
        <w:rPr>
          <w:b/>
          <w:bCs/>
        </w:rPr>
        <w:t xml:space="preserve"> and </w:t>
      </w:r>
      <w:r w:rsidRPr="00EE4D21">
        <w:rPr>
          <w:b/>
          <w:bCs/>
        </w:rPr>
        <w:t>at what point</w:t>
      </w:r>
      <w:r w:rsidR="00F77205">
        <w:rPr>
          <w:b/>
          <w:bCs/>
        </w:rPr>
        <w:t>,</w:t>
      </w:r>
      <w:r w:rsidRPr="00EE4D21">
        <w:rPr>
          <w:b/>
          <w:bCs/>
        </w:rPr>
        <w:t xml:space="preserve"> the </w:t>
      </w:r>
      <w:r w:rsidR="00917435">
        <w:rPr>
          <w:b/>
          <w:bCs/>
        </w:rPr>
        <w:t xml:space="preserve">UK </w:t>
      </w:r>
      <w:r w:rsidRPr="00EE4D21">
        <w:rPr>
          <w:b/>
          <w:bCs/>
        </w:rPr>
        <w:t xml:space="preserve">Government decided to interpret the </w:t>
      </w:r>
      <w:r w:rsidR="007F030F" w:rsidRPr="007F030F">
        <w:rPr>
          <w:b/>
          <w:bCs/>
        </w:rPr>
        <w:t xml:space="preserve">rights protected by </w:t>
      </w:r>
      <w:r w:rsidR="00917435">
        <w:rPr>
          <w:b/>
          <w:bCs/>
        </w:rPr>
        <w:t xml:space="preserve">Windsor Framework </w:t>
      </w:r>
      <w:r w:rsidR="00917435" w:rsidRPr="007F030F">
        <w:rPr>
          <w:b/>
          <w:bCs/>
        </w:rPr>
        <w:t>A</w:t>
      </w:r>
      <w:r w:rsidR="007F030F" w:rsidRPr="007F030F">
        <w:rPr>
          <w:b/>
          <w:bCs/>
        </w:rPr>
        <w:t xml:space="preserve">rticle 2 </w:t>
      </w:r>
      <w:r w:rsidR="00F275FD">
        <w:rPr>
          <w:b/>
          <w:bCs/>
        </w:rPr>
        <w:t>as</w:t>
      </w:r>
      <w:r w:rsidR="007F030F" w:rsidRPr="007F030F">
        <w:rPr>
          <w:b/>
          <w:bCs/>
        </w:rPr>
        <w:t xml:space="preserve"> </w:t>
      </w:r>
      <w:r w:rsidR="00D908CA">
        <w:rPr>
          <w:b/>
          <w:bCs/>
        </w:rPr>
        <w:t xml:space="preserve">confined to </w:t>
      </w:r>
      <w:r w:rsidR="007F030F" w:rsidRPr="007F030F">
        <w:rPr>
          <w:b/>
          <w:bCs/>
        </w:rPr>
        <w:t>those concerned with ending the sectarian conflict</w:t>
      </w:r>
      <w:r w:rsidR="00395CE6">
        <w:rPr>
          <w:b/>
          <w:bCs/>
        </w:rPr>
        <w:t xml:space="preserve">. This should include consideration of </w:t>
      </w:r>
      <w:r w:rsidRPr="00197A95">
        <w:rPr>
          <w:b/>
          <w:bCs/>
        </w:rPr>
        <w:t xml:space="preserve">how this </w:t>
      </w:r>
      <w:r w:rsidR="006C7E10">
        <w:rPr>
          <w:b/>
          <w:bCs/>
        </w:rPr>
        <w:t>interpretation can be reconciled with</w:t>
      </w:r>
      <w:r w:rsidR="001F0D51">
        <w:rPr>
          <w:b/>
          <w:bCs/>
        </w:rPr>
        <w:t>,</w:t>
      </w:r>
      <w:r w:rsidR="0088587F">
        <w:rPr>
          <w:b/>
          <w:bCs/>
        </w:rPr>
        <w:t xml:space="preserve"> </w:t>
      </w:r>
      <w:r w:rsidR="001F0D51">
        <w:rPr>
          <w:b/>
          <w:bCs/>
        </w:rPr>
        <w:t>for example</w:t>
      </w:r>
      <w:r w:rsidR="006C7E10">
        <w:rPr>
          <w:b/>
          <w:bCs/>
        </w:rPr>
        <w:t xml:space="preserve">: </w:t>
      </w:r>
    </w:p>
    <w:p w14:paraId="2FA5AEFA" w14:textId="6AFF068B" w:rsidR="00D910C5" w:rsidRDefault="00EE4D21" w:rsidP="00F60311">
      <w:pPr>
        <w:pStyle w:val="ListParagraph"/>
        <w:numPr>
          <w:ilvl w:val="1"/>
          <w:numId w:val="36"/>
        </w:numPr>
        <w:ind w:left="1276"/>
        <w:rPr>
          <w:b/>
          <w:bCs/>
        </w:rPr>
      </w:pPr>
      <w:r w:rsidRPr="00197A95">
        <w:rPr>
          <w:b/>
          <w:bCs/>
        </w:rPr>
        <w:t xml:space="preserve">the </w:t>
      </w:r>
      <w:r w:rsidR="00363192">
        <w:rPr>
          <w:b/>
          <w:bCs/>
        </w:rPr>
        <w:t xml:space="preserve">commitment to a </w:t>
      </w:r>
      <w:r w:rsidR="00024C86">
        <w:rPr>
          <w:b/>
          <w:bCs/>
        </w:rPr>
        <w:t>“</w:t>
      </w:r>
      <w:r w:rsidR="00363192">
        <w:rPr>
          <w:b/>
          <w:bCs/>
        </w:rPr>
        <w:t>new beginning</w:t>
      </w:r>
      <w:r w:rsidR="00024C86">
        <w:rPr>
          <w:b/>
          <w:bCs/>
        </w:rPr>
        <w:t>”</w:t>
      </w:r>
      <w:r w:rsidRPr="00197A95">
        <w:rPr>
          <w:b/>
          <w:bCs/>
        </w:rPr>
        <w:t xml:space="preserve"> the Declaration of Support </w:t>
      </w:r>
      <w:r w:rsidR="008D1B2F">
        <w:rPr>
          <w:b/>
          <w:bCs/>
        </w:rPr>
        <w:t>to the Belfast (Good Friday) Agreement</w:t>
      </w:r>
      <w:r w:rsidR="00184E22">
        <w:rPr>
          <w:b/>
          <w:bCs/>
        </w:rPr>
        <w:t>;</w:t>
      </w:r>
    </w:p>
    <w:p w14:paraId="6C4EDDDF" w14:textId="5CBDBBB3" w:rsidR="006A4647" w:rsidRDefault="006A4647" w:rsidP="00F60311">
      <w:pPr>
        <w:pStyle w:val="ListParagraph"/>
        <w:numPr>
          <w:ilvl w:val="1"/>
          <w:numId w:val="36"/>
        </w:numPr>
        <w:ind w:left="1276"/>
        <w:rPr>
          <w:b/>
          <w:bCs/>
        </w:rPr>
      </w:pPr>
      <w:r>
        <w:rPr>
          <w:b/>
          <w:bCs/>
        </w:rPr>
        <w:t xml:space="preserve">the commitment to the rights of “everyone </w:t>
      </w:r>
      <w:r w:rsidR="0034141B">
        <w:rPr>
          <w:b/>
          <w:bCs/>
        </w:rPr>
        <w:t>in</w:t>
      </w:r>
      <w:r>
        <w:rPr>
          <w:b/>
          <w:bCs/>
        </w:rPr>
        <w:t xml:space="preserve"> the community”</w:t>
      </w:r>
      <w:r w:rsidR="006F0816">
        <w:rPr>
          <w:b/>
          <w:bCs/>
        </w:rPr>
        <w:t xml:space="preserve"> in the Rights, Safeguards and Equality of Opportunity chapter</w:t>
      </w:r>
      <w:r w:rsidR="008C373B">
        <w:rPr>
          <w:b/>
          <w:bCs/>
        </w:rPr>
        <w:t xml:space="preserve"> of </w:t>
      </w:r>
      <w:r w:rsidR="00A71126">
        <w:rPr>
          <w:b/>
          <w:bCs/>
        </w:rPr>
        <w:t>th</w:t>
      </w:r>
      <w:r w:rsidR="00330BC1">
        <w:rPr>
          <w:b/>
          <w:bCs/>
        </w:rPr>
        <w:t>at Agreement</w:t>
      </w:r>
      <w:r w:rsidR="00184E22">
        <w:rPr>
          <w:b/>
          <w:bCs/>
        </w:rPr>
        <w:t>;</w:t>
      </w:r>
    </w:p>
    <w:p w14:paraId="44BCDE06" w14:textId="2363D708" w:rsidR="00C671F9" w:rsidRDefault="00EE4D21" w:rsidP="00F60311">
      <w:pPr>
        <w:pStyle w:val="ListParagraph"/>
        <w:numPr>
          <w:ilvl w:val="1"/>
          <w:numId w:val="36"/>
        </w:numPr>
        <w:ind w:left="1276"/>
        <w:rPr>
          <w:b/>
          <w:bCs/>
        </w:rPr>
      </w:pPr>
      <w:r w:rsidRPr="00197A95">
        <w:rPr>
          <w:b/>
          <w:bCs/>
        </w:rPr>
        <w:t>the right</w:t>
      </w:r>
      <w:r w:rsidR="00F820AD">
        <w:rPr>
          <w:b/>
          <w:bCs/>
        </w:rPr>
        <w:t>s</w:t>
      </w:r>
      <w:r w:rsidRPr="00197A95">
        <w:rPr>
          <w:b/>
          <w:bCs/>
        </w:rPr>
        <w:t xml:space="preserve"> </w:t>
      </w:r>
      <w:r w:rsidR="00F820AD">
        <w:rPr>
          <w:b/>
          <w:bCs/>
        </w:rPr>
        <w:t>‘</w:t>
      </w:r>
      <w:r w:rsidR="00CB3508">
        <w:rPr>
          <w:b/>
          <w:bCs/>
        </w:rPr>
        <w:t>affirmed in particular</w:t>
      </w:r>
      <w:r w:rsidR="00F820AD">
        <w:rPr>
          <w:b/>
          <w:bCs/>
        </w:rPr>
        <w:t>’</w:t>
      </w:r>
      <w:r w:rsidR="00CB3508">
        <w:rPr>
          <w:b/>
          <w:bCs/>
        </w:rPr>
        <w:t xml:space="preserve"> in </w:t>
      </w:r>
      <w:r w:rsidR="00585FF7">
        <w:rPr>
          <w:b/>
          <w:bCs/>
        </w:rPr>
        <w:t>that</w:t>
      </w:r>
      <w:r w:rsidR="00CB3508">
        <w:rPr>
          <w:b/>
          <w:bCs/>
        </w:rPr>
        <w:t xml:space="preserve"> chapter</w:t>
      </w:r>
      <w:r w:rsidR="005748B6">
        <w:rPr>
          <w:b/>
          <w:bCs/>
        </w:rPr>
        <w:t>, such as the right to equal opportunity regardless of disability</w:t>
      </w:r>
      <w:r w:rsidR="00184E22">
        <w:rPr>
          <w:b/>
          <w:bCs/>
        </w:rPr>
        <w:t>;</w:t>
      </w:r>
      <w:r w:rsidR="00F820AD">
        <w:rPr>
          <w:b/>
          <w:bCs/>
        </w:rPr>
        <w:t xml:space="preserve"> </w:t>
      </w:r>
    </w:p>
    <w:p w14:paraId="7AE4C782" w14:textId="3136997B" w:rsidR="00330BC1" w:rsidRDefault="00330BC1" w:rsidP="0059255B">
      <w:pPr>
        <w:pStyle w:val="ListParagraph"/>
        <w:widowControl/>
        <w:numPr>
          <w:ilvl w:val="1"/>
          <w:numId w:val="36"/>
        </w:numPr>
        <w:ind w:left="1276" w:hanging="357"/>
        <w:rPr>
          <w:b/>
          <w:bCs/>
        </w:rPr>
      </w:pPr>
      <w:r w:rsidRPr="00197A95">
        <w:rPr>
          <w:b/>
          <w:bCs/>
        </w:rPr>
        <w:lastRenderedPageBreak/>
        <w:t xml:space="preserve">universality </w:t>
      </w:r>
      <w:r>
        <w:rPr>
          <w:b/>
          <w:bCs/>
        </w:rPr>
        <w:t>of rights and the living instrument doctrine</w:t>
      </w:r>
      <w:r w:rsidR="00184E22">
        <w:rPr>
          <w:b/>
          <w:bCs/>
        </w:rPr>
        <w:t>; and</w:t>
      </w:r>
    </w:p>
    <w:p w14:paraId="1A02BFE9" w14:textId="6F3F4BC3" w:rsidR="006678AF" w:rsidRDefault="00184E22" w:rsidP="00F60311">
      <w:pPr>
        <w:pStyle w:val="ListParagraph"/>
        <w:numPr>
          <w:ilvl w:val="1"/>
          <w:numId w:val="36"/>
        </w:numPr>
        <w:ind w:left="1276"/>
        <w:rPr>
          <w:b/>
          <w:bCs/>
        </w:rPr>
      </w:pPr>
      <w:r>
        <w:rPr>
          <w:b/>
          <w:bCs/>
        </w:rPr>
        <w:t xml:space="preserve">the </w:t>
      </w:r>
      <w:r w:rsidR="007C0C4F">
        <w:rPr>
          <w:b/>
          <w:bCs/>
        </w:rPr>
        <w:t xml:space="preserve">EU interpretive obligations </w:t>
      </w:r>
      <w:r w:rsidR="009A7A84">
        <w:rPr>
          <w:b/>
          <w:bCs/>
        </w:rPr>
        <w:t xml:space="preserve">arising in relation to Windsor Framework Article 2 and the EU </w:t>
      </w:r>
      <w:r w:rsidR="00D344EE" w:rsidRPr="00F334E8">
        <w:rPr>
          <w:b/>
          <w:bCs/>
        </w:rPr>
        <w:t>equality directives</w:t>
      </w:r>
      <w:r w:rsidR="009A7A84">
        <w:rPr>
          <w:b/>
          <w:bCs/>
        </w:rPr>
        <w:t xml:space="preserve"> in Annex 1</w:t>
      </w:r>
      <w:r w:rsidR="0041651E">
        <w:rPr>
          <w:b/>
          <w:bCs/>
        </w:rPr>
        <w:t>.</w:t>
      </w:r>
    </w:p>
    <w:p w14:paraId="65A1ACAC" w14:textId="77777777" w:rsidR="0041651E" w:rsidRPr="0041651E" w:rsidRDefault="0041651E" w:rsidP="0041651E">
      <w:pPr>
        <w:rPr>
          <w:b/>
          <w:bCs/>
        </w:rPr>
      </w:pPr>
    </w:p>
    <w:p w14:paraId="2D5E7C0E" w14:textId="2257CE24" w:rsidR="00677D8B" w:rsidRPr="00F334E8" w:rsidRDefault="00677D8B" w:rsidP="00235523">
      <w:pPr>
        <w:pStyle w:val="ListParagraph"/>
        <w:ind w:left="720"/>
        <w:rPr>
          <w:b/>
        </w:rPr>
      </w:pPr>
      <w:r w:rsidRPr="00F334E8">
        <w:rPr>
          <w:b/>
        </w:rPr>
        <w:t>The NIHRC recommends that the Committee as</w:t>
      </w:r>
      <w:r w:rsidR="007C7325" w:rsidRPr="00F334E8">
        <w:rPr>
          <w:b/>
        </w:rPr>
        <w:t>k</w:t>
      </w:r>
      <w:r w:rsidRPr="00F334E8">
        <w:rPr>
          <w:b/>
        </w:rPr>
        <w:t xml:space="preserve"> the Secretary of State for NI </w:t>
      </w:r>
      <w:r w:rsidR="007C7325" w:rsidRPr="00F334E8">
        <w:rPr>
          <w:b/>
        </w:rPr>
        <w:t xml:space="preserve">when the UK Government discussed, and what it agreed, with its co-guarantor of the Belfast (Good Friday) Agreement, the Government of Ireland, on the </w:t>
      </w:r>
      <w:r w:rsidRPr="00F334E8">
        <w:rPr>
          <w:b/>
        </w:rPr>
        <w:t xml:space="preserve">scope and interpretation </w:t>
      </w:r>
      <w:r w:rsidR="007C7325" w:rsidRPr="00F334E8">
        <w:rPr>
          <w:b/>
        </w:rPr>
        <w:t xml:space="preserve">the Rights, Safeguards and Equality of Opportunity </w:t>
      </w:r>
      <w:r w:rsidR="002A5091" w:rsidRPr="00F334E8">
        <w:rPr>
          <w:b/>
        </w:rPr>
        <w:t>c</w:t>
      </w:r>
      <w:r w:rsidR="007C7325" w:rsidRPr="00F334E8">
        <w:rPr>
          <w:b/>
        </w:rPr>
        <w:t>hapter</w:t>
      </w:r>
      <w:r w:rsidRPr="00F334E8">
        <w:rPr>
          <w:b/>
        </w:rPr>
        <w:t xml:space="preserve">. </w:t>
      </w:r>
    </w:p>
    <w:p w14:paraId="30DBC498" w14:textId="77777777" w:rsidR="00677D8B" w:rsidRDefault="00677D8B" w:rsidP="00235523">
      <w:pPr>
        <w:pStyle w:val="ListParagraph"/>
        <w:numPr>
          <w:ilvl w:val="0"/>
          <w:numId w:val="0"/>
        </w:numPr>
        <w:ind w:left="720" w:hanging="720"/>
        <w:rPr>
          <w:b/>
          <w:bCs/>
        </w:rPr>
      </w:pPr>
    </w:p>
    <w:p w14:paraId="10A1828D" w14:textId="0D2D403E" w:rsidR="0041651E" w:rsidRPr="00F334E8" w:rsidRDefault="0041651E" w:rsidP="00235523">
      <w:pPr>
        <w:pStyle w:val="ListParagraph"/>
        <w:ind w:left="720"/>
        <w:rPr>
          <w:b/>
        </w:rPr>
      </w:pPr>
      <w:r w:rsidRPr="00F334E8">
        <w:rPr>
          <w:b/>
        </w:rPr>
        <w:t>The NIHRC recommends that the Committee as</w:t>
      </w:r>
      <w:r w:rsidR="007C7325" w:rsidRPr="00F334E8">
        <w:rPr>
          <w:b/>
        </w:rPr>
        <w:t>k</w:t>
      </w:r>
      <w:r w:rsidRPr="00F334E8">
        <w:rPr>
          <w:b/>
        </w:rPr>
        <w:t xml:space="preserve"> the Secretary of State for NI </w:t>
      </w:r>
      <w:r w:rsidR="00677D8B" w:rsidRPr="00F334E8">
        <w:rPr>
          <w:b/>
        </w:rPr>
        <w:t>when the UK Government discussed</w:t>
      </w:r>
      <w:r w:rsidR="007C7325" w:rsidRPr="00F334E8">
        <w:rPr>
          <w:b/>
        </w:rPr>
        <w:t>,</w:t>
      </w:r>
      <w:r w:rsidR="00677D8B" w:rsidRPr="00F334E8">
        <w:rPr>
          <w:b/>
        </w:rPr>
        <w:t xml:space="preserve"> </w:t>
      </w:r>
      <w:r w:rsidR="007C7325" w:rsidRPr="00F334E8">
        <w:rPr>
          <w:b/>
        </w:rPr>
        <w:t xml:space="preserve">and what it agreed, </w:t>
      </w:r>
      <w:r w:rsidRPr="00F334E8">
        <w:rPr>
          <w:b/>
        </w:rPr>
        <w:t xml:space="preserve">with its EU treaty partner </w:t>
      </w:r>
      <w:r w:rsidR="00093FB0" w:rsidRPr="00F334E8">
        <w:rPr>
          <w:b/>
        </w:rPr>
        <w:t xml:space="preserve">on </w:t>
      </w:r>
      <w:r w:rsidRPr="00F334E8">
        <w:rPr>
          <w:b/>
        </w:rPr>
        <w:t xml:space="preserve">the scope and interpretation of Windsor Framework Article 2, including the UK Government view that </w:t>
      </w:r>
      <w:r w:rsidR="00677D8B" w:rsidRPr="00F334E8">
        <w:rPr>
          <w:b/>
        </w:rPr>
        <w:t xml:space="preserve">the rights protected by Article 2 are confined to those concerned with ending the sectarian conflict in NI. </w:t>
      </w:r>
    </w:p>
    <w:p w14:paraId="47EEC0F7" w14:textId="77777777" w:rsidR="0041651E" w:rsidRDefault="0041651E" w:rsidP="00235523">
      <w:pPr>
        <w:pStyle w:val="ListParagraph"/>
        <w:numPr>
          <w:ilvl w:val="0"/>
          <w:numId w:val="0"/>
        </w:numPr>
        <w:ind w:left="720" w:hanging="720"/>
        <w:rPr>
          <w:b/>
          <w:bCs/>
        </w:rPr>
      </w:pPr>
    </w:p>
    <w:p w14:paraId="723641AA" w14:textId="7332A3D8" w:rsidR="00EE4D21" w:rsidRPr="00EE4D21" w:rsidRDefault="00EE4D21" w:rsidP="00235523">
      <w:pPr>
        <w:pStyle w:val="ListParagraph"/>
        <w:ind w:left="720"/>
        <w:rPr>
          <w:b/>
          <w:bCs/>
        </w:rPr>
      </w:pPr>
      <w:r w:rsidRPr="00EE4D21">
        <w:rPr>
          <w:b/>
          <w:bCs/>
        </w:rPr>
        <w:t xml:space="preserve">The NIHRC recommends that the Committee note that even if the Rights Safeguards and Equality of Opportunity chapter of the Belfast (Good Friday) Agreement is understood as a broad-based endorsement of the full range of UK human rights and equality commitments, </w:t>
      </w:r>
      <w:r w:rsidR="00A63D57">
        <w:rPr>
          <w:b/>
          <w:bCs/>
        </w:rPr>
        <w:t xml:space="preserve">Windsor Framework </w:t>
      </w:r>
      <w:r w:rsidR="00A63D57" w:rsidRPr="007F030F">
        <w:rPr>
          <w:b/>
          <w:bCs/>
        </w:rPr>
        <w:t>Article 2</w:t>
      </w:r>
      <w:r w:rsidRPr="00EE4D21">
        <w:rPr>
          <w:b/>
          <w:bCs/>
        </w:rPr>
        <w:t xml:space="preserve"> is necessarily constrained by the limited range of EU law which affects human rights and equality and applies only to those measures which were binding on the UK before Brexit.</w:t>
      </w:r>
    </w:p>
    <w:p w14:paraId="11F375A4" w14:textId="77777777" w:rsidR="00177D25" w:rsidRDefault="00177D25" w:rsidP="00235523">
      <w:pPr>
        <w:pStyle w:val="ListParagraph"/>
        <w:numPr>
          <w:ilvl w:val="0"/>
          <w:numId w:val="0"/>
        </w:numPr>
        <w:ind w:left="720" w:hanging="720"/>
        <w:rPr>
          <w:b/>
          <w:bCs/>
        </w:rPr>
      </w:pPr>
    </w:p>
    <w:p w14:paraId="17F1E5E0" w14:textId="2CD65B2F" w:rsidR="00EE4D21" w:rsidRPr="007D7661" w:rsidRDefault="00EE4D21" w:rsidP="00235523">
      <w:pPr>
        <w:pStyle w:val="ListParagraph"/>
        <w:ind w:left="720"/>
        <w:rPr>
          <w:b/>
          <w:bCs/>
        </w:rPr>
      </w:pPr>
      <w:r w:rsidRPr="00EE4D21">
        <w:rPr>
          <w:b/>
          <w:bCs/>
        </w:rPr>
        <w:t xml:space="preserve">The NIHRC recommends that the Committee explore the origin, development and status of the Explainer document on Windsor Framework Article 2, published by the UK Government in 2020; enquire what engagement the UK Government undertook in developing the document, particularly with the EU and the Government of Ireland; </w:t>
      </w:r>
      <w:r w:rsidR="00DC2A57">
        <w:rPr>
          <w:b/>
          <w:bCs/>
        </w:rPr>
        <w:t xml:space="preserve">and explain </w:t>
      </w:r>
      <w:r w:rsidRPr="00EE4D21">
        <w:rPr>
          <w:b/>
          <w:bCs/>
        </w:rPr>
        <w:t>its rationale for withdrawing it and what</w:t>
      </w:r>
      <w:r w:rsidR="001F0263">
        <w:rPr>
          <w:b/>
          <w:bCs/>
        </w:rPr>
        <w:t>,</w:t>
      </w:r>
      <w:r w:rsidRPr="00EE4D21">
        <w:rPr>
          <w:b/>
          <w:bCs/>
        </w:rPr>
        <w:t xml:space="preserve"> if any</w:t>
      </w:r>
      <w:r w:rsidR="001F0263">
        <w:rPr>
          <w:b/>
          <w:bCs/>
        </w:rPr>
        <w:t>,</w:t>
      </w:r>
      <w:r w:rsidRPr="00EE4D21">
        <w:rPr>
          <w:b/>
          <w:bCs/>
        </w:rPr>
        <w:t xml:space="preserve"> engagement it undertook prior to doing so.</w:t>
      </w:r>
    </w:p>
    <w:p w14:paraId="540A0857" w14:textId="77777777" w:rsidR="005E1474" w:rsidRPr="00F334E8" w:rsidRDefault="005E1474" w:rsidP="00116930">
      <w:pPr>
        <w:pStyle w:val="ListParagraph"/>
        <w:widowControl/>
        <w:numPr>
          <w:ilvl w:val="0"/>
          <w:numId w:val="0"/>
        </w:numPr>
        <w:ind w:left="720"/>
        <w:rPr>
          <w:color w:val="000000" w:themeColor="text1"/>
        </w:rPr>
      </w:pPr>
    </w:p>
    <w:p w14:paraId="3BCE7D7E" w14:textId="501DA1A6" w:rsidR="00867BC6" w:rsidRDefault="001F47FF" w:rsidP="00EF773A">
      <w:pPr>
        <w:pStyle w:val="Heading2"/>
      </w:pPr>
      <w:bookmarkStart w:id="20" w:name="_Toc235087547"/>
      <w:r>
        <w:lastRenderedPageBreak/>
        <w:t>Question 7:</w:t>
      </w:r>
      <w:r w:rsidR="000C115C">
        <w:t xml:space="preserve"> </w:t>
      </w:r>
      <w:r w:rsidR="00867BC6" w:rsidRPr="0017175B">
        <w:t>What is classified as a ‘diminution’ of rights under Article 2 WF and how is a breach determined?</w:t>
      </w:r>
      <w:bookmarkEnd w:id="20"/>
    </w:p>
    <w:p w14:paraId="0FA9BFFC" w14:textId="04BA1640" w:rsidR="00C45D80" w:rsidRDefault="00C45D80" w:rsidP="00235523">
      <w:pPr>
        <w:pStyle w:val="ListParagraph"/>
        <w:keepNext/>
        <w:widowControl/>
        <w:ind w:left="720"/>
      </w:pPr>
      <w:r>
        <w:t xml:space="preserve">Windsor Framework Article 2 is an obligation of result.  </w:t>
      </w:r>
      <w:r w:rsidRPr="006F6E42">
        <w:t xml:space="preserve">It requires that </w:t>
      </w:r>
      <w:r>
        <w:t xml:space="preserve">EU minimum standards within the ambit of the </w:t>
      </w:r>
      <w:r w:rsidRPr="5D049508">
        <w:rPr>
          <w:rFonts w:eastAsia="Verdana" w:cs="Verdana"/>
          <w:color w:val="000000" w:themeColor="text1"/>
        </w:rPr>
        <w:t>Right</w:t>
      </w:r>
      <w:r>
        <w:rPr>
          <w:rFonts w:eastAsia="Verdana" w:cs="Verdana"/>
          <w:color w:val="000000" w:themeColor="text1"/>
        </w:rPr>
        <w:t>s</w:t>
      </w:r>
      <w:r w:rsidRPr="5D049508">
        <w:rPr>
          <w:rFonts w:eastAsia="Verdana" w:cs="Verdana"/>
          <w:color w:val="000000" w:themeColor="text1"/>
        </w:rPr>
        <w:t>, Safeguard</w:t>
      </w:r>
      <w:r>
        <w:rPr>
          <w:rFonts w:eastAsia="Verdana" w:cs="Verdana"/>
          <w:color w:val="000000" w:themeColor="text1"/>
        </w:rPr>
        <w:t xml:space="preserve">s and </w:t>
      </w:r>
      <w:r w:rsidRPr="5D049508">
        <w:rPr>
          <w:rFonts w:eastAsia="Verdana" w:cs="Verdana"/>
          <w:color w:val="000000" w:themeColor="text1"/>
        </w:rPr>
        <w:t>Equality of Opportunity chapter of the Belfast (Good Friday) Agreement</w:t>
      </w:r>
      <w:r>
        <w:rPr>
          <w:rFonts w:eastAsia="Verdana" w:cs="Verdana"/>
          <w:color w:val="000000" w:themeColor="text1"/>
        </w:rPr>
        <w:t xml:space="preserve"> are not diminished </w:t>
      </w:r>
      <w:proofErr w:type="gramStart"/>
      <w:r>
        <w:rPr>
          <w:rFonts w:eastAsia="Verdana" w:cs="Verdana"/>
          <w:color w:val="000000" w:themeColor="text1"/>
        </w:rPr>
        <w:t>as a result of</w:t>
      </w:r>
      <w:proofErr w:type="gramEnd"/>
      <w:r>
        <w:rPr>
          <w:rFonts w:eastAsia="Verdana" w:cs="Verdana"/>
          <w:color w:val="000000" w:themeColor="text1"/>
        </w:rPr>
        <w:t xml:space="preserve"> EU withdrawal.  It does not prevent </w:t>
      </w:r>
      <w:r w:rsidRPr="006F6E42">
        <w:t xml:space="preserve">amendment of </w:t>
      </w:r>
      <w:r>
        <w:t>UK law and policy</w:t>
      </w:r>
      <w:r w:rsidR="00405805">
        <w:t>;</w:t>
      </w:r>
      <w:r>
        <w:t xml:space="preserve"> h</w:t>
      </w:r>
      <w:r w:rsidRPr="006F6E42">
        <w:t xml:space="preserve">owever, any such change should not result in </w:t>
      </w:r>
      <w:r w:rsidRPr="00C652D0">
        <w:t xml:space="preserve">a reduction </w:t>
      </w:r>
      <w:r>
        <w:t xml:space="preserve">in the </w:t>
      </w:r>
      <w:r w:rsidRPr="00C652D0">
        <w:t>effectiveness of the existing protections, including how that right is claimed or enforced</w:t>
      </w:r>
      <w:r>
        <w:t>.</w:t>
      </w:r>
    </w:p>
    <w:p w14:paraId="1C7605E7" w14:textId="77777777" w:rsidR="00C45D80" w:rsidRPr="00C45D80" w:rsidRDefault="00C45D80" w:rsidP="00235523">
      <w:pPr>
        <w:pStyle w:val="ListParagraph"/>
        <w:keepNext/>
        <w:widowControl/>
        <w:numPr>
          <w:ilvl w:val="0"/>
          <w:numId w:val="0"/>
        </w:numPr>
        <w:ind w:left="720" w:hanging="720"/>
      </w:pPr>
    </w:p>
    <w:p w14:paraId="5178E413" w14:textId="1ADA66C1" w:rsidR="00C45D80" w:rsidRDefault="00C45D80" w:rsidP="00235523">
      <w:pPr>
        <w:pStyle w:val="ListParagraph"/>
        <w:ind w:left="720"/>
        <w:rPr>
          <w:rFonts w:eastAsia="Verdana" w:cs="Verdana"/>
          <w:color w:val="000000" w:themeColor="text1"/>
        </w:rPr>
      </w:pPr>
      <w:r w:rsidRPr="5D049508">
        <w:rPr>
          <w:rFonts w:eastAsia="Verdana" w:cs="Verdana"/>
          <w:color w:val="000000" w:themeColor="text1"/>
        </w:rPr>
        <w:t xml:space="preserve">In </w:t>
      </w:r>
      <w:r w:rsidRPr="5D049508">
        <w:rPr>
          <w:rFonts w:eastAsia="Verdana" w:cs="Verdana"/>
          <w:i/>
          <w:iCs/>
          <w:color w:val="000000" w:themeColor="text1"/>
        </w:rPr>
        <w:t>Dillon</w:t>
      </w:r>
      <w:r w:rsidRPr="5D049508">
        <w:rPr>
          <w:rFonts w:eastAsia="Verdana" w:cs="Verdana"/>
          <w:color w:val="000000" w:themeColor="text1"/>
        </w:rPr>
        <w:t xml:space="preserve">, the UKSC </w:t>
      </w:r>
      <w:r>
        <w:rPr>
          <w:rFonts w:eastAsia="Verdana" w:cs="Verdana"/>
          <w:color w:val="000000" w:themeColor="text1"/>
        </w:rPr>
        <w:t>used a three</w:t>
      </w:r>
      <w:r w:rsidR="006B482F">
        <w:rPr>
          <w:rFonts w:eastAsia="Verdana" w:cs="Verdana"/>
          <w:color w:val="000000" w:themeColor="text1"/>
        </w:rPr>
        <w:t>-</w:t>
      </w:r>
      <w:r>
        <w:rPr>
          <w:rFonts w:eastAsia="Verdana" w:cs="Verdana"/>
          <w:color w:val="000000" w:themeColor="text1"/>
        </w:rPr>
        <w:t xml:space="preserve">stage test, which is </w:t>
      </w:r>
      <w:proofErr w:type="gramStart"/>
      <w:r w:rsidR="00F07A39">
        <w:rPr>
          <w:rFonts w:eastAsia="Verdana" w:cs="Verdana"/>
          <w:color w:val="000000" w:themeColor="text1"/>
        </w:rPr>
        <w:t>similar to</w:t>
      </w:r>
      <w:proofErr w:type="gramEnd"/>
      <w:r w:rsidR="00F07A39">
        <w:rPr>
          <w:rFonts w:eastAsia="Verdana" w:cs="Verdana"/>
          <w:color w:val="000000" w:themeColor="text1"/>
        </w:rPr>
        <w:t xml:space="preserve"> that proposed by the NIHRC, </w:t>
      </w:r>
      <w:r>
        <w:rPr>
          <w:rFonts w:eastAsia="Verdana" w:cs="Verdana"/>
          <w:color w:val="000000" w:themeColor="text1"/>
        </w:rPr>
        <w:t xml:space="preserve">to </w:t>
      </w:r>
      <w:r w:rsidRPr="5D049508">
        <w:rPr>
          <w:rFonts w:eastAsia="Verdana" w:cs="Verdana"/>
          <w:color w:val="000000" w:themeColor="text1"/>
        </w:rPr>
        <w:t>asses</w:t>
      </w:r>
      <w:r>
        <w:rPr>
          <w:rFonts w:eastAsia="Verdana" w:cs="Verdana"/>
          <w:color w:val="000000" w:themeColor="text1"/>
        </w:rPr>
        <w:t xml:space="preserve">s </w:t>
      </w:r>
      <w:r w:rsidRPr="5D049508">
        <w:rPr>
          <w:rFonts w:eastAsia="Verdana" w:cs="Verdana"/>
          <w:color w:val="000000" w:themeColor="text1"/>
        </w:rPr>
        <w:t>whether a diminution has occurred:</w:t>
      </w:r>
    </w:p>
    <w:p w14:paraId="25D2853F" w14:textId="66FB5FD9" w:rsidR="00C45D80" w:rsidRDefault="00C45D80" w:rsidP="00C45D80">
      <w:pPr>
        <w:pStyle w:val="ListParagraph"/>
        <w:numPr>
          <w:ilvl w:val="2"/>
          <w:numId w:val="8"/>
        </w:numPr>
        <w:rPr>
          <w:rFonts w:eastAsia="Verdana" w:cs="Verdana"/>
          <w:color w:val="000000" w:themeColor="text1"/>
        </w:rPr>
      </w:pPr>
      <w:r w:rsidRPr="5D049508">
        <w:rPr>
          <w:rFonts w:eastAsia="Verdana" w:cs="Verdana"/>
          <w:color w:val="000000" w:themeColor="text1"/>
        </w:rPr>
        <w:t xml:space="preserve">Is a right, safeguard or equality of opportunity </w:t>
      </w:r>
      <w:r>
        <w:rPr>
          <w:rFonts w:eastAsia="Verdana" w:cs="Verdana"/>
          <w:color w:val="000000" w:themeColor="text1"/>
        </w:rPr>
        <w:t xml:space="preserve">that falls </w:t>
      </w:r>
      <w:r w:rsidRPr="5D049508">
        <w:rPr>
          <w:rFonts w:eastAsia="Verdana" w:cs="Verdana"/>
          <w:color w:val="000000" w:themeColor="text1"/>
        </w:rPr>
        <w:t>within the Right</w:t>
      </w:r>
      <w:r>
        <w:rPr>
          <w:rFonts w:eastAsia="Verdana" w:cs="Verdana"/>
          <w:color w:val="000000" w:themeColor="text1"/>
        </w:rPr>
        <w:t>s</w:t>
      </w:r>
      <w:r w:rsidRPr="5D049508">
        <w:rPr>
          <w:rFonts w:eastAsia="Verdana" w:cs="Verdana"/>
          <w:color w:val="000000" w:themeColor="text1"/>
        </w:rPr>
        <w:t>, Safeguard</w:t>
      </w:r>
      <w:r>
        <w:rPr>
          <w:rFonts w:eastAsia="Verdana" w:cs="Verdana"/>
          <w:color w:val="000000" w:themeColor="text1"/>
        </w:rPr>
        <w:t xml:space="preserve">s and </w:t>
      </w:r>
      <w:r w:rsidRPr="5D049508">
        <w:rPr>
          <w:rFonts w:eastAsia="Verdana" w:cs="Verdana"/>
          <w:color w:val="000000" w:themeColor="text1"/>
        </w:rPr>
        <w:t>Equality of Opportunity chapter of the Belfast (Good Friday) Agreement</w:t>
      </w:r>
      <w:r>
        <w:rPr>
          <w:rFonts w:eastAsia="Verdana" w:cs="Verdana"/>
          <w:color w:val="000000" w:themeColor="text1"/>
        </w:rPr>
        <w:t xml:space="preserve"> engaged</w:t>
      </w:r>
      <w:r w:rsidR="00E25474">
        <w:rPr>
          <w:rFonts w:eastAsia="Verdana" w:cs="Verdana"/>
          <w:color w:val="000000" w:themeColor="text1"/>
        </w:rPr>
        <w:t>?</w:t>
      </w:r>
    </w:p>
    <w:p w14:paraId="184E7B49" w14:textId="0CE1BDF0" w:rsidR="00C45D80" w:rsidRDefault="00C45D80" w:rsidP="00C45D80">
      <w:pPr>
        <w:pStyle w:val="ListParagraph"/>
        <w:numPr>
          <w:ilvl w:val="2"/>
          <w:numId w:val="8"/>
        </w:numPr>
        <w:rPr>
          <w:rFonts w:eastAsia="Verdana" w:cs="Verdana"/>
          <w:color w:val="000000" w:themeColor="text1"/>
        </w:rPr>
      </w:pPr>
      <w:r>
        <w:rPr>
          <w:rFonts w:eastAsia="Verdana" w:cs="Verdana"/>
          <w:color w:val="000000" w:themeColor="text1"/>
        </w:rPr>
        <w:t xml:space="preserve">If so, did that </w:t>
      </w:r>
      <w:r w:rsidRPr="5D049508">
        <w:rPr>
          <w:rFonts w:eastAsia="Verdana" w:cs="Verdana"/>
          <w:color w:val="000000" w:themeColor="text1"/>
        </w:rPr>
        <w:t xml:space="preserve">right, safeguard or equality of opportunity </w:t>
      </w:r>
      <w:r>
        <w:rPr>
          <w:rFonts w:eastAsia="Verdana" w:cs="Verdana"/>
          <w:color w:val="000000" w:themeColor="text1"/>
        </w:rPr>
        <w:t xml:space="preserve">have legal effect in NI on 31 December 2020 and was it </w:t>
      </w:r>
      <w:r w:rsidRPr="5D049508">
        <w:rPr>
          <w:rFonts w:eastAsia="Verdana" w:cs="Verdana"/>
          <w:color w:val="000000" w:themeColor="text1"/>
        </w:rPr>
        <w:t xml:space="preserve">underpinned by </w:t>
      </w:r>
      <w:r>
        <w:rPr>
          <w:rFonts w:eastAsia="Verdana" w:cs="Verdana"/>
          <w:color w:val="000000" w:themeColor="text1"/>
        </w:rPr>
        <w:t>EU</w:t>
      </w:r>
      <w:r w:rsidRPr="5D049508">
        <w:rPr>
          <w:rFonts w:eastAsia="Verdana" w:cs="Verdana"/>
          <w:color w:val="000000" w:themeColor="text1"/>
        </w:rPr>
        <w:t xml:space="preserve"> law</w:t>
      </w:r>
      <w:r w:rsidR="00E25474">
        <w:rPr>
          <w:rFonts w:eastAsia="Verdana" w:cs="Verdana"/>
          <w:color w:val="000000" w:themeColor="text1"/>
        </w:rPr>
        <w:t>?</w:t>
      </w:r>
      <w:r w:rsidRPr="5D049508">
        <w:rPr>
          <w:rFonts w:eastAsia="Verdana" w:cs="Verdana"/>
          <w:color w:val="000000" w:themeColor="text1"/>
        </w:rPr>
        <w:t xml:space="preserve"> and </w:t>
      </w:r>
    </w:p>
    <w:p w14:paraId="15DC583E" w14:textId="7E85CA8A" w:rsidR="00C45D80" w:rsidRDefault="00C45D80" w:rsidP="00C45D80">
      <w:pPr>
        <w:pStyle w:val="ListParagraph"/>
        <w:numPr>
          <w:ilvl w:val="2"/>
          <w:numId w:val="8"/>
        </w:numPr>
        <w:rPr>
          <w:rFonts w:eastAsia="Verdana" w:cs="Verdana"/>
          <w:color w:val="000000" w:themeColor="text1"/>
        </w:rPr>
      </w:pPr>
      <w:r>
        <w:rPr>
          <w:rFonts w:eastAsia="Verdana" w:cs="Verdana"/>
          <w:color w:val="000000" w:themeColor="text1"/>
        </w:rPr>
        <w:t xml:space="preserve">Was there a diminution of that right, </w:t>
      </w:r>
      <w:r w:rsidRPr="5D049508">
        <w:rPr>
          <w:rFonts w:eastAsia="Verdana" w:cs="Verdana"/>
          <w:color w:val="000000" w:themeColor="text1"/>
        </w:rPr>
        <w:t>safeguard or equality of opportunity</w:t>
      </w:r>
      <w:r>
        <w:rPr>
          <w:rFonts w:eastAsia="Verdana" w:cs="Verdana"/>
          <w:color w:val="000000" w:themeColor="text1"/>
        </w:rPr>
        <w:t xml:space="preserve"> </w:t>
      </w:r>
      <w:proofErr w:type="gramStart"/>
      <w:r>
        <w:rPr>
          <w:rFonts w:eastAsia="Verdana" w:cs="Verdana"/>
          <w:color w:val="000000" w:themeColor="text1"/>
        </w:rPr>
        <w:t>as a result of</w:t>
      </w:r>
      <w:proofErr w:type="gramEnd"/>
      <w:r>
        <w:rPr>
          <w:rFonts w:eastAsia="Verdana" w:cs="Verdana"/>
          <w:color w:val="000000" w:themeColor="text1"/>
        </w:rPr>
        <w:t xml:space="preserve"> the UK’s withdrawal from the EU</w:t>
      </w:r>
      <w:r w:rsidR="00E25474">
        <w:rPr>
          <w:rFonts w:eastAsia="Verdana" w:cs="Verdana"/>
          <w:color w:val="000000" w:themeColor="text1"/>
        </w:rPr>
        <w:t>?</w:t>
      </w:r>
      <w:r>
        <w:rPr>
          <w:rStyle w:val="FootnoteReference"/>
          <w:rFonts w:eastAsia="Verdana" w:cs="Verdana"/>
          <w:color w:val="000000" w:themeColor="text1"/>
        </w:rPr>
        <w:footnoteReference w:id="80"/>
      </w:r>
    </w:p>
    <w:p w14:paraId="068C5A82" w14:textId="77777777" w:rsidR="00C45D80" w:rsidRPr="00C45D80" w:rsidRDefault="00C45D80" w:rsidP="00C45D80">
      <w:pPr>
        <w:pStyle w:val="ListParagraph"/>
        <w:keepNext/>
        <w:widowControl/>
        <w:numPr>
          <w:ilvl w:val="0"/>
          <w:numId w:val="0"/>
        </w:numPr>
        <w:ind w:left="720"/>
      </w:pPr>
    </w:p>
    <w:p w14:paraId="5536D4A7" w14:textId="04EAC980" w:rsidR="006A5337" w:rsidRDefault="00926D6D" w:rsidP="00235523">
      <w:pPr>
        <w:pStyle w:val="ListParagraph"/>
        <w:ind w:left="720"/>
        <w:rPr>
          <w:rFonts w:eastAsia="Verdana" w:cs="Verdana"/>
          <w:color w:val="000000" w:themeColor="text1"/>
        </w:rPr>
      </w:pPr>
      <w:r>
        <w:rPr>
          <w:rFonts w:eastAsia="Verdana" w:cs="Verdana"/>
          <w:color w:val="000000" w:themeColor="text1"/>
        </w:rPr>
        <w:t xml:space="preserve">The </w:t>
      </w:r>
      <w:r w:rsidR="006F2AE9">
        <w:rPr>
          <w:rFonts w:eastAsia="Verdana" w:cs="Verdana"/>
          <w:color w:val="000000" w:themeColor="text1"/>
        </w:rPr>
        <w:t>UK</w:t>
      </w:r>
      <w:r>
        <w:rPr>
          <w:rFonts w:eastAsia="Verdana" w:cs="Verdana"/>
          <w:color w:val="000000" w:themeColor="text1"/>
        </w:rPr>
        <w:t xml:space="preserve"> Supreme Cour</w:t>
      </w:r>
      <w:r w:rsidR="00623F58">
        <w:rPr>
          <w:rFonts w:eastAsia="Verdana" w:cs="Verdana"/>
          <w:color w:val="000000" w:themeColor="text1"/>
        </w:rPr>
        <w:t>t</w:t>
      </w:r>
      <w:r>
        <w:rPr>
          <w:rFonts w:eastAsia="Verdana" w:cs="Verdana"/>
          <w:color w:val="000000" w:themeColor="text1"/>
        </w:rPr>
        <w:t xml:space="preserve"> did not overrule the </w:t>
      </w:r>
      <w:r w:rsidRPr="4B97D294">
        <w:rPr>
          <w:rFonts w:eastAsia="Verdana" w:cs="Verdana"/>
          <w:color w:val="000000" w:themeColor="text1"/>
        </w:rPr>
        <w:t>six-stage framework</w:t>
      </w:r>
      <w:r w:rsidRPr="00787424">
        <w:rPr>
          <w:rFonts w:eastAsia="Verdana" w:cs="Verdana"/>
          <w:color w:val="000000" w:themeColor="text1"/>
        </w:rPr>
        <w:t xml:space="preserve"> </w:t>
      </w:r>
      <w:r>
        <w:rPr>
          <w:rFonts w:eastAsia="Verdana" w:cs="Verdana"/>
          <w:color w:val="000000" w:themeColor="text1"/>
        </w:rPr>
        <w:t xml:space="preserve">set out by the NI Court of Appeal in </w:t>
      </w:r>
      <w:r w:rsidRPr="00787424">
        <w:rPr>
          <w:rFonts w:eastAsia="Verdana" w:cs="Verdana"/>
          <w:i/>
          <w:iCs/>
          <w:color w:val="000000" w:themeColor="text1"/>
        </w:rPr>
        <w:t>SPUC</w:t>
      </w:r>
      <w:r>
        <w:rPr>
          <w:rFonts w:eastAsia="Verdana" w:cs="Verdana"/>
          <w:color w:val="000000" w:themeColor="text1"/>
        </w:rPr>
        <w:t>,</w:t>
      </w:r>
      <w:r>
        <w:rPr>
          <w:rStyle w:val="FootnoteReference"/>
          <w:rFonts w:eastAsia="Verdana" w:cs="Verdana"/>
          <w:color w:val="000000" w:themeColor="text1"/>
        </w:rPr>
        <w:footnoteReference w:id="81"/>
      </w:r>
      <w:r w:rsidR="00623F58">
        <w:rPr>
          <w:rFonts w:eastAsia="Verdana" w:cs="Verdana"/>
          <w:color w:val="000000" w:themeColor="text1"/>
        </w:rPr>
        <w:t xml:space="preserve"> but instead preferred the three</w:t>
      </w:r>
      <w:r w:rsidR="00654569">
        <w:rPr>
          <w:rFonts w:eastAsia="Verdana" w:cs="Verdana"/>
          <w:color w:val="000000" w:themeColor="text1"/>
        </w:rPr>
        <w:t>-</w:t>
      </w:r>
      <w:r w:rsidR="00623F58">
        <w:rPr>
          <w:rFonts w:eastAsia="Verdana" w:cs="Verdana"/>
          <w:color w:val="000000" w:themeColor="text1"/>
        </w:rPr>
        <w:t>stage test noting that it was “not material to the outcome of the appeal”.</w:t>
      </w:r>
      <w:r w:rsidR="00623F58">
        <w:rPr>
          <w:rStyle w:val="FootnoteReference"/>
          <w:rFonts w:eastAsia="Verdana" w:cs="Verdana"/>
          <w:color w:val="000000" w:themeColor="text1"/>
        </w:rPr>
        <w:footnoteReference w:id="82"/>
      </w:r>
      <w:r w:rsidR="00623F58">
        <w:rPr>
          <w:rFonts w:eastAsia="Verdana" w:cs="Verdana"/>
          <w:color w:val="000000" w:themeColor="text1"/>
        </w:rPr>
        <w:t xml:space="preserve"> </w:t>
      </w:r>
      <w:r w:rsidRPr="4B97D294">
        <w:rPr>
          <w:rFonts w:eastAsia="Verdana" w:cs="Verdana"/>
          <w:color w:val="000000" w:themeColor="text1"/>
        </w:rPr>
        <w:t xml:space="preserve">  </w:t>
      </w:r>
    </w:p>
    <w:p w14:paraId="279BCAEA" w14:textId="77777777" w:rsidR="006A5337" w:rsidRDefault="006A5337" w:rsidP="00235523">
      <w:pPr>
        <w:pStyle w:val="ListParagraph"/>
        <w:numPr>
          <w:ilvl w:val="0"/>
          <w:numId w:val="0"/>
        </w:numPr>
        <w:ind w:left="720" w:hanging="720"/>
        <w:rPr>
          <w:rFonts w:eastAsia="Verdana" w:cs="Verdana"/>
          <w:color w:val="000000" w:themeColor="text1"/>
        </w:rPr>
      </w:pPr>
    </w:p>
    <w:p w14:paraId="7EB71CEC" w14:textId="4D89854B" w:rsidR="00EA65A8" w:rsidRPr="006A5337" w:rsidRDefault="00F07A39" w:rsidP="00235523">
      <w:pPr>
        <w:pStyle w:val="ListParagraph"/>
        <w:ind w:left="720"/>
        <w:rPr>
          <w:rFonts w:eastAsia="Verdana" w:cs="Verdana"/>
          <w:color w:val="000000" w:themeColor="text1"/>
        </w:rPr>
      </w:pPr>
      <w:r>
        <w:t>The NI Court of Appeal found that “a diminution prohibited by Article 2 [of the Windsor Framework] might occur either by reducing the substance of a right (as here) or by reducing the efficacy of available remedies”.</w:t>
      </w:r>
      <w:r w:rsidR="00926D6D">
        <w:rPr>
          <w:rStyle w:val="FootnoteReference"/>
        </w:rPr>
        <w:footnoteReference w:id="83"/>
      </w:r>
      <w:r w:rsidR="00926D6D">
        <w:t xml:space="preserve"> </w:t>
      </w:r>
    </w:p>
    <w:p w14:paraId="64427109" w14:textId="77777777" w:rsidR="001F47FF" w:rsidRPr="0017175B" w:rsidRDefault="001F47FF" w:rsidP="00F141B0"/>
    <w:p w14:paraId="11CBAEBB" w14:textId="782FF23E" w:rsidR="00246448" w:rsidRDefault="001F47FF" w:rsidP="00EF773A">
      <w:pPr>
        <w:pStyle w:val="Heading2"/>
      </w:pPr>
      <w:bookmarkStart w:id="21" w:name="_Toc235087548"/>
      <w:r>
        <w:lastRenderedPageBreak/>
        <w:t xml:space="preserve">Question 8: </w:t>
      </w:r>
      <w:r w:rsidRPr="0017175B">
        <w:t xml:space="preserve">How should a breach of Article 2 WF </w:t>
      </w:r>
      <w:r w:rsidRPr="00294D72">
        <w:rPr>
          <w:bCs/>
        </w:rPr>
        <w:t>be remedied</w:t>
      </w:r>
      <w:r w:rsidRPr="0017175B">
        <w:t>. What, if any, are the constitutional implications of disapplying primary legislation for a breach of Article 2 WF?</w:t>
      </w:r>
      <w:bookmarkEnd w:id="21"/>
    </w:p>
    <w:p w14:paraId="456C67E5" w14:textId="75E5BA33" w:rsidR="00D73EA4" w:rsidRDefault="00D73EA4" w:rsidP="00235523">
      <w:pPr>
        <w:pStyle w:val="ListParagraph"/>
        <w:ind w:left="720"/>
      </w:pPr>
      <w:r>
        <w:t>Article 4 of the UK-EU Withdrawal Agreement requires</w:t>
      </w:r>
      <w:r w:rsidR="001E761F">
        <w:t xml:space="preserve"> the</w:t>
      </w:r>
      <w:r>
        <w:t xml:space="preserve"> UK to </w:t>
      </w:r>
      <w:r w:rsidRPr="00B54168">
        <w:t xml:space="preserve">ensure </w:t>
      </w:r>
      <w:r>
        <w:t xml:space="preserve">courts have the power to </w:t>
      </w:r>
      <w:r w:rsidRPr="00B54168">
        <w:t xml:space="preserve">disapply domestic provisions </w:t>
      </w:r>
      <w:r>
        <w:t xml:space="preserve">that are </w:t>
      </w:r>
      <w:r w:rsidRPr="00B54168">
        <w:t>inconsistent or incompatible</w:t>
      </w:r>
      <w:r>
        <w:t xml:space="preserve"> with the Withdrawal Agreement.  Section 7A of the EU (Withdrawal) Act 2018 provides that the </w:t>
      </w:r>
      <w:r w:rsidRPr="009D317E">
        <w:t xml:space="preserve">rights, obligations and remedies arising under the </w:t>
      </w:r>
      <w:r>
        <w:t xml:space="preserve">UK-EU </w:t>
      </w:r>
      <w:r w:rsidRPr="009D317E">
        <w:t xml:space="preserve">Withdrawal Agreement </w:t>
      </w:r>
      <w:r>
        <w:t xml:space="preserve">are given legal effect </w:t>
      </w:r>
      <w:r w:rsidRPr="009D317E">
        <w:t>in UK law without the need for further enactment.</w:t>
      </w:r>
      <w:r>
        <w:rPr>
          <w:rStyle w:val="FootnoteReference"/>
        </w:rPr>
        <w:footnoteReference w:id="84"/>
      </w:r>
      <w:r>
        <w:t xml:space="preserve"> </w:t>
      </w:r>
    </w:p>
    <w:p w14:paraId="6ADAA46A" w14:textId="77777777" w:rsidR="00D73EA4" w:rsidRDefault="00D73EA4" w:rsidP="00235523">
      <w:pPr>
        <w:pStyle w:val="ListParagraph"/>
        <w:numPr>
          <w:ilvl w:val="0"/>
          <w:numId w:val="0"/>
        </w:numPr>
        <w:ind w:left="720" w:hanging="720"/>
      </w:pPr>
    </w:p>
    <w:p w14:paraId="60E269BF" w14:textId="03BB7A8D" w:rsidR="00D73EA4" w:rsidRDefault="00D73EA4" w:rsidP="00235523">
      <w:pPr>
        <w:pStyle w:val="ListParagraph"/>
        <w:widowControl/>
        <w:ind w:left="720"/>
      </w:pPr>
      <w:r>
        <w:t xml:space="preserve">As noted by the UK Supreme Court in </w:t>
      </w:r>
      <w:r w:rsidRPr="0033699A">
        <w:rPr>
          <w:i/>
          <w:iCs/>
        </w:rPr>
        <w:t>Allister</w:t>
      </w:r>
      <w:r>
        <w:t>:</w:t>
      </w:r>
    </w:p>
    <w:p w14:paraId="5AE6C6BA" w14:textId="77777777" w:rsidR="006960DB" w:rsidRDefault="006960DB" w:rsidP="006960DB">
      <w:pPr>
        <w:pStyle w:val="ListParagraph"/>
        <w:numPr>
          <w:ilvl w:val="0"/>
          <w:numId w:val="0"/>
        </w:numPr>
        <w:ind w:left="720"/>
      </w:pPr>
    </w:p>
    <w:p w14:paraId="68FFAC4F" w14:textId="77777777" w:rsidR="00D73EA4" w:rsidRDefault="00D73EA4" w:rsidP="00D73EA4">
      <w:pPr>
        <w:pStyle w:val="Quote"/>
      </w:pPr>
      <w:r>
        <w:t>The answer to any conflict between the Protocol [Windsor Framework] and any other enactment whenever passed or made is that those other enactments are to be read and have effect subject to the rights and obligations which are to be recognised and available in domestic law by virtue of section 7</w:t>
      </w:r>
      <w:proofErr w:type="gramStart"/>
      <w:r>
        <w:t>A(</w:t>
      </w:r>
      <w:proofErr w:type="gramEnd"/>
      <w:r>
        <w:t>2).</w:t>
      </w:r>
      <w:r>
        <w:rPr>
          <w:rStyle w:val="FootnoteReference"/>
        </w:rPr>
        <w:footnoteReference w:id="85"/>
      </w:r>
    </w:p>
    <w:p w14:paraId="3382506E" w14:textId="77777777" w:rsidR="00D73EA4" w:rsidRPr="00EA65A8" w:rsidRDefault="00D73EA4" w:rsidP="00D73EA4"/>
    <w:p w14:paraId="36BB9344" w14:textId="4AD64758" w:rsidR="00A95246" w:rsidRPr="00C91994" w:rsidRDefault="00A95246" w:rsidP="00235523">
      <w:pPr>
        <w:pStyle w:val="ListParagraph"/>
        <w:widowControl/>
        <w:ind w:left="720"/>
        <w:rPr>
          <w:i/>
          <w:iCs/>
        </w:rPr>
      </w:pPr>
      <w:r>
        <w:t xml:space="preserve">The </w:t>
      </w:r>
      <w:r w:rsidR="006F2AE9">
        <w:t>UK</w:t>
      </w:r>
      <w:r>
        <w:t xml:space="preserve"> Supreme Court further found that disapplication is not permanent repeal, but that the impugned provisions are “</w:t>
      </w:r>
      <w:r w:rsidRPr="00A95246">
        <w:t xml:space="preserve">modified to the extent and for the period during which the </w:t>
      </w:r>
      <w:r>
        <w:t xml:space="preserve">[Windsor Framework] </w:t>
      </w:r>
      <w:r w:rsidRPr="00A95246">
        <w:t>applies</w:t>
      </w:r>
      <w:r>
        <w:t>”</w:t>
      </w:r>
      <w:r w:rsidR="00BA032C">
        <w:t>.</w:t>
      </w:r>
      <w:r w:rsidR="00BA032C">
        <w:rPr>
          <w:rStyle w:val="FootnoteReference"/>
        </w:rPr>
        <w:footnoteReference w:id="86"/>
      </w:r>
      <w:r w:rsidR="00C91994">
        <w:t xml:space="preserve">  </w:t>
      </w:r>
    </w:p>
    <w:p w14:paraId="18B1229E" w14:textId="1534757B" w:rsidR="00A95246" w:rsidRDefault="00A95246" w:rsidP="00235523">
      <w:pPr>
        <w:keepNext/>
        <w:ind w:left="720" w:hanging="720"/>
      </w:pPr>
    </w:p>
    <w:p w14:paraId="064C1278" w14:textId="3A8A5B73" w:rsidR="001F47FF" w:rsidRDefault="00D73EA4" w:rsidP="00235523">
      <w:pPr>
        <w:pStyle w:val="ListParagraph"/>
        <w:keepNext/>
        <w:widowControl/>
        <w:ind w:left="720"/>
      </w:pPr>
      <w:r>
        <w:t>The Windsor Framework, including Article 2, is an integral part of the UK-EU Withdrawal Agreement.</w:t>
      </w:r>
      <w:r>
        <w:rPr>
          <w:rStyle w:val="FootnoteReference"/>
        </w:rPr>
        <w:footnoteReference w:id="87"/>
      </w:r>
      <w:r>
        <w:t xml:space="preserve"> </w:t>
      </w:r>
      <w:r w:rsidR="00175804">
        <w:t xml:space="preserve"> </w:t>
      </w:r>
      <w:r>
        <w:t>UK law, whether passed through Westminster Parliament</w:t>
      </w:r>
      <w:r w:rsidR="00BF54E9">
        <w:t>,</w:t>
      </w:r>
      <w:r>
        <w:t xml:space="preserve"> or </w:t>
      </w:r>
      <w:r w:rsidR="00BF54E9">
        <w:t>the</w:t>
      </w:r>
      <w:r>
        <w:t xml:space="preserve"> NI Assembly</w:t>
      </w:r>
      <w:r w:rsidR="00BF54E9">
        <w:t>,</w:t>
      </w:r>
      <w:r>
        <w:t xml:space="preserve"> must be consistent with the UK’s obligations under the UK-EU Withdrawal Agreement. Where there is a breach of Article 2, th</w:t>
      </w:r>
      <w:r w:rsidR="00644516">
        <w:t>e relevant provisions</w:t>
      </w:r>
      <w:r>
        <w:t xml:space="preserve"> should be set aside until such time as that breach is remedied.</w:t>
      </w:r>
      <w:r w:rsidR="00C91994" w:rsidRPr="00C91994">
        <w:t xml:space="preserve"> </w:t>
      </w:r>
      <w:r w:rsidR="00C91994">
        <w:t xml:space="preserve">In </w:t>
      </w:r>
      <w:r w:rsidR="00C91994" w:rsidRPr="00C91994">
        <w:rPr>
          <w:i/>
          <w:iCs/>
        </w:rPr>
        <w:t>D</w:t>
      </w:r>
      <w:r w:rsidR="00C91994">
        <w:rPr>
          <w:i/>
          <w:iCs/>
        </w:rPr>
        <w:t>i</w:t>
      </w:r>
      <w:r w:rsidR="00C91994" w:rsidRPr="00C91994">
        <w:rPr>
          <w:i/>
          <w:iCs/>
        </w:rPr>
        <w:t>llon</w:t>
      </w:r>
      <w:r w:rsidR="00C91994" w:rsidRPr="00C91994">
        <w:t>, t</w:t>
      </w:r>
      <w:r w:rsidR="00C91994">
        <w:t xml:space="preserve">he UK Supreme Court did not consider </w:t>
      </w:r>
      <w:r w:rsidR="00C91994">
        <w:lastRenderedPageBreak/>
        <w:t xml:space="preserve">whether disapplication was required as </w:t>
      </w:r>
      <w:r w:rsidR="003B32C6">
        <w:t>it</w:t>
      </w:r>
      <w:r w:rsidR="00C91994">
        <w:t xml:space="preserve"> f</w:t>
      </w:r>
      <w:r w:rsidR="003B32C6">
        <w:t>ound</w:t>
      </w:r>
      <w:r w:rsidR="00C91994">
        <w:t xml:space="preserve"> </w:t>
      </w:r>
      <w:r w:rsidR="003B32C6">
        <w:t>no</w:t>
      </w:r>
      <w:r w:rsidR="00C91994">
        <w:t xml:space="preserve"> breach of Windsor Framework Article 2</w:t>
      </w:r>
      <w:r w:rsidR="003B32C6">
        <w:t xml:space="preserve"> in this instance</w:t>
      </w:r>
      <w:r w:rsidR="00C91994">
        <w:t>.</w:t>
      </w:r>
      <w:r w:rsidR="00C91994">
        <w:rPr>
          <w:rStyle w:val="FootnoteReference"/>
          <w:rFonts w:eastAsia="Verdana" w:cs="Verdana"/>
          <w:color w:val="000000" w:themeColor="text1"/>
        </w:rPr>
        <w:footnoteReference w:id="88"/>
      </w:r>
    </w:p>
    <w:p w14:paraId="401A428E" w14:textId="77777777" w:rsidR="00A95246" w:rsidRDefault="00A95246" w:rsidP="00235523">
      <w:pPr>
        <w:pStyle w:val="ListParagraph"/>
        <w:keepNext/>
        <w:widowControl/>
        <w:numPr>
          <w:ilvl w:val="0"/>
          <w:numId w:val="0"/>
        </w:numPr>
        <w:ind w:left="720" w:hanging="720"/>
      </w:pPr>
    </w:p>
    <w:p w14:paraId="4195D62A" w14:textId="16C738D3" w:rsidR="00914FA4" w:rsidRDefault="0094624C" w:rsidP="00235523">
      <w:pPr>
        <w:pStyle w:val="ListParagraph"/>
        <w:keepNext/>
        <w:ind w:left="720"/>
      </w:pPr>
      <w:r>
        <w:t>A</w:t>
      </w:r>
      <w:r w:rsidR="00914FA4" w:rsidRPr="008C1EA4">
        <w:t xml:space="preserve">ny law which is incompatible with Windsor Framework Article 2 </w:t>
      </w:r>
      <w:r>
        <w:t xml:space="preserve">is outside the NI Assembly’s legislative </w:t>
      </w:r>
      <w:r w:rsidRPr="00F334E8">
        <w:t>competence</w:t>
      </w:r>
      <w:r w:rsidR="00914FA4">
        <w:rPr>
          <w:rStyle w:val="FootnoteReference"/>
        </w:rPr>
        <w:footnoteReference w:id="89"/>
      </w:r>
      <w:r w:rsidR="00914FA4" w:rsidRPr="008C1EA4">
        <w:t xml:space="preserve"> </w:t>
      </w:r>
      <w:r w:rsidR="00914FA4">
        <w:t xml:space="preserve">and a similar </w:t>
      </w:r>
      <w:r w:rsidR="00914FA4" w:rsidRPr="008C1EA4">
        <w:t xml:space="preserve">restriction </w:t>
      </w:r>
      <w:r w:rsidR="00914FA4">
        <w:t xml:space="preserve">applies </w:t>
      </w:r>
      <w:r w:rsidR="00C42051">
        <w:t xml:space="preserve">to </w:t>
      </w:r>
      <w:r w:rsidR="00914FA4" w:rsidRPr="008C1EA4">
        <w:t>all act</w:t>
      </w:r>
      <w:r w:rsidR="00C42051">
        <w:t>ions and decisions</w:t>
      </w:r>
      <w:r w:rsidR="00914FA4" w:rsidRPr="008C1EA4">
        <w:t xml:space="preserve"> of NI departments</w:t>
      </w:r>
      <w:r w:rsidR="00914FA4">
        <w:t>.</w:t>
      </w:r>
      <w:r w:rsidR="00914FA4">
        <w:rPr>
          <w:rStyle w:val="FootnoteReference"/>
        </w:rPr>
        <w:footnoteReference w:id="90"/>
      </w:r>
      <w:r w:rsidR="00914FA4">
        <w:t xml:space="preserve">  This means that if the NI Assembly were to inadvertently pass a law of which certain provisions were incon</w:t>
      </w:r>
      <w:r w:rsidR="00C61D49">
        <w:t>siste</w:t>
      </w:r>
      <w:r w:rsidR="00914FA4">
        <w:t xml:space="preserve">nt with its obligations under Article 2, those provisions </w:t>
      </w:r>
      <w:r w:rsidR="00507926">
        <w:t>are</w:t>
      </w:r>
      <w:r w:rsidR="00A42969">
        <w:t xml:space="preserve"> not law</w:t>
      </w:r>
      <w:r w:rsidR="00914FA4">
        <w:t>.</w:t>
      </w:r>
    </w:p>
    <w:p w14:paraId="464BE54D" w14:textId="77777777" w:rsidR="00914FA4" w:rsidRPr="00D73EA4" w:rsidRDefault="00914FA4" w:rsidP="00235523">
      <w:pPr>
        <w:pStyle w:val="ListParagraph"/>
        <w:numPr>
          <w:ilvl w:val="0"/>
          <w:numId w:val="0"/>
        </w:numPr>
        <w:ind w:left="720" w:hanging="720"/>
      </w:pPr>
    </w:p>
    <w:p w14:paraId="1DD7F1E5" w14:textId="1B11E001" w:rsidR="00D73EA4" w:rsidRDefault="00D73EA4" w:rsidP="00235523">
      <w:pPr>
        <w:pStyle w:val="ListParagraph"/>
        <w:keepNext/>
        <w:ind w:left="720"/>
      </w:pPr>
      <w:r>
        <w:t>In 2025</w:t>
      </w:r>
      <w:r w:rsidR="00654569">
        <w:t>,</w:t>
      </w:r>
      <w:r>
        <w:t xml:space="preserve"> the NIHRC published independent research on enforcement and remedies in the context of Windsor Framework Article 2.</w:t>
      </w:r>
      <w:r w:rsidR="002011CD">
        <w:rPr>
          <w:rStyle w:val="FootnoteReference"/>
        </w:rPr>
        <w:footnoteReference w:id="91"/>
      </w:r>
      <w:r>
        <w:t xml:space="preserve"> This research </w:t>
      </w:r>
      <w:r w:rsidRPr="00D73EA4">
        <w:t>explore</w:t>
      </w:r>
      <w:r>
        <w:t>d</w:t>
      </w:r>
      <w:r w:rsidRPr="00D73EA4">
        <w:t xml:space="preserve"> the key remedies in EU law </w:t>
      </w:r>
      <w:r w:rsidR="002011CD">
        <w:t>prior to Brexit and their continued relevan</w:t>
      </w:r>
      <w:r w:rsidR="003002E1">
        <w:t>ce</w:t>
      </w:r>
      <w:r w:rsidR="002011CD">
        <w:t xml:space="preserve"> in the context of Windsor Framework Article 2. It also examined </w:t>
      </w:r>
      <w:r w:rsidRPr="00D73EA4">
        <w:t>what remedies are available where the UK had not adequately transposed an EU measure prior to Brexit;</w:t>
      </w:r>
      <w:r w:rsidR="002011CD">
        <w:t xml:space="preserve"> the </w:t>
      </w:r>
      <w:r w:rsidRPr="00D73EA4">
        <w:t>application of the right to an effective remedy in the EU Charter of Fundamental Rights; and</w:t>
      </w:r>
      <w:r w:rsidR="002011CD">
        <w:t xml:space="preserve"> </w:t>
      </w:r>
      <w:r w:rsidRPr="00D73EA4">
        <w:t>EU law concepts such as direct effect, consistent interpretation and state liability.</w:t>
      </w:r>
      <w:r w:rsidR="002011CD">
        <w:t xml:space="preserve">  </w:t>
      </w:r>
      <w:r w:rsidRPr="00D73EA4">
        <w:t xml:space="preserve">The report also explores how the oversight mechanisms under the </w:t>
      </w:r>
      <w:r w:rsidR="00654569">
        <w:t xml:space="preserve">UK-EU </w:t>
      </w:r>
      <w:r w:rsidRPr="00D73EA4">
        <w:t>Withdrawal Agreement operate and how they interact with the non-diminution commitment in Article 2.</w:t>
      </w:r>
    </w:p>
    <w:p w14:paraId="4A651860" w14:textId="77777777" w:rsidR="00950225" w:rsidRDefault="00950225" w:rsidP="00235523">
      <w:pPr>
        <w:pStyle w:val="ListParagraph"/>
        <w:numPr>
          <w:ilvl w:val="0"/>
          <w:numId w:val="0"/>
        </w:numPr>
        <w:ind w:left="720" w:hanging="720"/>
      </w:pPr>
    </w:p>
    <w:p w14:paraId="3A542D92" w14:textId="11BFAE00" w:rsidR="00950225" w:rsidRDefault="00BF755F" w:rsidP="00235523">
      <w:pPr>
        <w:pStyle w:val="ListParagraph"/>
        <w:keepNext/>
        <w:ind w:left="720"/>
      </w:pPr>
      <w:r>
        <w:t xml:space="preserve">Breach of Windsor Framework Article 2 is also subject to international oversight. </w:t>
      </w:r>
      <w:r w:rsidR="00AB757A">
        <w:t>Under s</w:t>
      </w:r>
      <w:r w:rsidR="00BE3E2D">
        <w:t>ection</w:t>
      </w:r>
      <w:r w:rsidR="00720542">
        <w:t>s</w:t>
      </w:r>
      <w:r w:rsidR="00AB757A">
        <w:t xml:space="preserve"> 78</w:t>
      </w:r>
      <w:proofErr w:type="gramStart"/>
      <w:r w:rsidR="00AB757A">
        <w:t>A(</w:t>
      </w:r>
      <w:proofErr w:type="gramEnd"/>
      <w:r w:rsidR="00AB757A">
        <w:t xml:space="preserve">9) </w:t>
      </w:r>
      <w:r w:rsidR="004734FE">
        <w:t>and 78</w:t>
      </w:r>
      <w:proofErr w:type="gramStart"/>
      <w:r w:rsidR="004734FE">
        <w:t>B(</w:t>
      </w:r>
      <w:proofErr w:type="gramEnd"/>
      <w:r w:rsidR="004734FE">
        <w:t xml:space="preserve">9) </w:t>
      </w:r>
      <w:r w:rsidR="00AB757A">
        <w:t xml:space="preserve">of the Northern Ireland Act 1998, the NIHRC </w:t>
      </w:r>
      <w:r w:rsidR="00E23F35">
        <w:t xml:space="preserve">and the </w:t>
      </w:r>
      <w:r w:rsidR="00654569">
        <w:t>Equality Commission for NI</w:t>
      </w:r>
      <w:r w:rsidR="00E41EB5">
        <w:t xml:space="preserve"> </w:t>
      </w:r>
      <w:r w:rsidR="00EA2F21">
        <w:t xml:space="preserve">respectively, </w:t>
      </w:r>
      <w:r w:rsidR="00AB757A">
        <w:t xml:space="preserve">may </w:t>
      </w:r>
      <w:r w:rsidR="0069496E">
        <w:t>raise</w:t>
      </w:r>
      <w:r w:rsidR="0092481B">
        <w:t xml:space="preserve"> </w:t>
      </w:r>
      <w:r w:rsidR="00C9382C">
        <w:t xml:space="preserve">matters of concern in relation to </w:t>
      </w:r>
      <w:r w:rsidR="000C169B">
        <w:t>Windsor Framework Article 2</w:t>
      </w:r>
      <w:r w:rsidR="00013746">
        <w:t xml:space="preserve"> with the UK</w:t>
      </w:r>
      <w:r w:rsidR="00BF3D92">
        <w:t>-</w:t>
      </w:r>
      <w:r w:rsidR="00013746">
        <w:t xml:space="preserve">EU Specialised Committee on the </w:t>
      </w:r>
      <w:r w:rsidR="00BF3D92">
        <w:t>implementation of the</w:t>
      </w:r>
      <w:r w:rsidR="00013746">
        <w:t xml:space="preserve"> </w:t>
      </w:r>
      <w:r w:rsidR="006806B1">
        <w:t>Windsor Framework</w:t>
      </w:r>
      <w:r w:rsidR="00E22219">
        <w:t>, in line with Wind</w:t>
      </w:r>
      <w:r w:rsidR="006304B2">
        <w:t xml:space="preserve">sor Framework Article </w:t>
      </w:r>
      <w:r w:rsidR="003A248F">
        <w:t>14(c)</w:t>
      </w:r>
      <w:r w:rsidR="006806B1">
        <w:t>.</w:t>
      </w:r>
      <w:r w:rsidR="000C169B">
        <w:t xml:space="preserve"> </w:t>
      </w:r>
      <w:r w:rsidR="001B3406">
        <w:t>T</w:t>
      </w:r>
      <w:r w:rsidR="00CE4ABA">
        <w:t xml:space="preserve">he Specialised Committee </w:t>
      </w:r>
      <w:r w:rsidR="0059116C">
        <w:t xml:space="preserve">may make recommendations </w:t>
      </w:r>
      <w:r w:rsidR="00CE4ABA">
        <w:t>to the UK</w:t>
      </w:r>
      <w:r w:rsidR="00654569">
        <w:t>-</w:t>
      </w:r>
      <w:r w:rsidR="00CE4ABA">
        <w:t xml:space="preserve">EU Joint </w:t>
      </w:r>
      <w:proofErr w:type="gramStart"/>
      <w:r w:rsidR="00CE4ABA">
        <w:t>Committee</w:t>
      </w:r>
      <w:proofErr w:type="gramEnd"/>
      <w:r w:rsidR="00D05206">
        <w:t xml:space="preserve"> </w:t>
      </w:r>
      <w:r w:rsidR="00063B99">
        <w:t>and the Joint Committee may come to agreement or</w:t>
      </w:r>
      <w:r w:rsidR="00D45F7C">
        <w:t>, if agreement cannot be reached,</w:t>
      </w:r>
      <w:r w:rsidR="00063B99">
        <w:t xml:space="preserve"> rely on the dispute resolution processes</w:t>
      </w:r>
      <w:r w:rsidR="00A57C52">
        <w:t xml:space="preserve"> under the </w:t>
      </w:r>
      <w:r w:rsidR="00387AEA">
        <w:t xml:space="preserve">UK-EU </w:t>
      </w:r>
      <w:r w:rsidR="00A57C52">
        <w:t>Withdrawal Agreement.</w:t>
      </w:r>
      <w:r w:rsidR="00894FB4">
        <w:rPr>
          <w:rStyle w:val="FootnoteReference"/>
        </w:rPr>
        <w:footnoteReference w:id="92"/>
      </w:r>
      <w:r w:rsidR="00063B99">
        <w:t xml:space="preserve"> </w:t>
      </w:r>
      <w:r w:rsidR="00CE4ABA">
        <w:t xml:space="preserve"> </w:t>
      </w:r>
    </w:p>
    <w:p w14:paraId="6B3458D1" w14:textId="77777777" w:rsidR="001F47FF" w:rsidRDefault="001F47FF" w:rsidP="009E1287">
      <w:pPr>
        <w:pStyle w:val="ListParagraph"/>
        <w:widowControl/>
        <w:numPr>
          <w:ilvl w:val="0"/>
          <w:numId w:val="0"/>
        </w:numPr>
        <w:ind w:left="720"/>
      </w:pPr>
    </w:p>
    <w:p w14:paraId="717B7E4F" w14:textId="58719E01" w:rsidR="001F47FF" w:rsidRDefault="001F47FF" w:rsidP="00EF773A">
      <w:pPr>
        <w:pStyle w:val="Heading2"/>
      </w:pPr>
      <w:bookmarkStart w:id="22" w:name="_Toc235087549"/>
      <w:r>
        <w:lastRenderedPageBreak/>
        <w:t xml:space="preserve">Question 9: </w:t>
      </w:r>
      <w:r w:rsidRPr="0017175B">
        <w:t xml:space="preserve">What is your overall assessment as to </w:t>
      </w:r>
      <w:r w:rsidRPr="00294D72">
        <w:rPr>
          <w:bCs/>
        </w:rPr>
        <w:t>the success of Article 2 WF in</w:t>
      </w:r>
      <w:r w:rsidRPr="0017175B">
        <w:t xml:space="preserve"> ensuring the protection of rights following the UK’s exit from the European Union?</w:t>
      </w:r>
      <w:bookmarkEnd w:id="22"/>
    </w:p>
    <w:p w14:paraId="44CE3F55" w14:textId="7725FAA2" w:rsidR="001F47FF" w:rsidRPr="000F47F0" w:rsidRDefault="009D1D22" w:rsidP="00235523">
      <w:pPr>
        <w:pStyle w:val="ListParagraph"/>
        <w:keepNext/>
        <w:widowControl/>
        <w:ind w:left="720"/>
      </w:pPr>
      <w:r w:rsidRPr="000F47F0">
        <w:t xml:space="preserve">Windsor Framework Article 2 </w:t>
      </w:r>
      <w:r w:rsidR="00B64E02" w:rsidRPr="000F47F0">
        <w:t>provides an important but limited protection</w:t>
      </w:r>
      <w:r w:rsidR="00070B9F">
        <w:t xml:space="preserve"> as outlined in </w:t>
      </w:r>
      <w:r w:rsidR="00135C71">
        <w:t>response to question 6</w:t>
      </w:r>
      <w:r w:rsidR="00B64E02" w:rsidRPr="000F47F0">
        <w:t xml:space="preserve">.  </w:t>
      </w:r>
      <w:r w:rsidR="00DB35E5">
        <w:t xml:space="preserve">The NIHRC is concerned </w:t>
      </w:r>
      <w:r w:rsidR="0036730E">
        <w:t xml:space="preserve">that </w:t>
      </w:r>
      <w:r w:rsidR="00EA4DB9">
        <w:t xml:space="preserve">the </w:t>
      </w:r>
      <w:r w:rsidR="0036730E">
        <w:t xml:space="preserve">capacity </w:t>
      </w:r>
      <w:r w:rsidR="00EA4DB9">
        <w:t xml:space="preserve">of Article 2 </w:t>
      </w:r>
      <w:r w:rsidR="0036730E">
        <w:t xml:space="preserve">to </w:t>
      </w:r>
      <w:r w:rsidR="00C478F4">
        <w:t xml:space="preserve">protect rights </w:t>
      </w:r>
      <w:r w:rsidR="0036730E">
        <w:t xml:space="preserve">is uncertain </w:t>
      </w:r>
      <w:proofErr w:type="gramStart"/>
      <w:r w:rsidR="0032105B">
        <w:t>in light of</w:t>
      </w:r>
      <w:proofErr w:type="gramEnd"/>
      <w:r w:rsidR="0032105B">
        <w:t xml:space="preserve"> </w:t>
      </w:r>
      <w:r w:rsidR="0084770B">
        <w:t xml:space="preserve">the </w:t>
      </w:r>
      <w:r w:rsidR="0084770B">
        <w:rPr>
          <w:i/>
          <w:iCs/>
        </w:rPr>
        <w:t>Dillon</w:t>
      </w:r>
      <w:r w:rsidR="0084770B">
        <w:t xml:space="preserve"> judgment and </w:t>
      </w:r>
      <w:r w:rsidR="00CF44D5">
        <w:t xml:space="preserve">UK Government </w:t>
      </w:r>
      <w:r w:rsidR="0084770B">
        <w:t>action and statements as referenced above</w:t>
      </w:r>
      <w:r w:rsidR="002B636E">
        <w:t>.</w:t>
      </w:r>
      <w:r w:rsidR="00B64E02" w:rsidRPr="000F47F0">
        <w:t xml:space="preserve"> The </w:t>
      </w:r>
      <w:r w:rsidRPr="000F47F0">
        <w:t xml:space="preserve">aim of </w:t>
      </w:r>
      <w:r w:rsidR="00B64E02" w:rsidRPr="000F47F0">
        <w:t xml:space="preserve">the non-diminution commitment </w:t>
      </w:r>
      <w:r w:rsidRPr="000F47F0">
        <w:t xml:space="preserve">was to provide a degree of stability in rights protection and </w:t>
      </w:r>
      <w:r w:rsidR="00B64E02" w:rsidRPr="000F47F0">
        <w:t xml:space="preserve">to </w:t>
      </w:r>
      <w:r w:rsidRPr="000F47F0">
        <w:t xml:space="preserve">alleviate anxiety about the potential for a </w:t>
      </w:r>
      <w:r w:rsidR="00773DD4" w:rsidRPr="000F47F0">
        <w:t>roll</w:t>
      </w:r>
      <w:r w:rsidR="00126D40">
        <w:t>-</w:t>
      </w:r>
      <w:r w:rsidR="00773DD4" w:rsidRPr="000F47F0">
        <w:t>back on those EU law rights a</w:t>
      </w:r>
      <w:r w:rsidR="00126D40">
        <w:t>fter</w:t>
      </w:r>
      <w:r w:rsidR="00773DD4" w:rsidRPr="000F47F0">
        <w:t xml:space="preserve"> the UK left the EU. </w:t>
      </w:r>
      <w:r w:rsidR="00B64E02" w:rsidRPr="000F47F0">
        <w:t xml:space="preserve">In addition to protection against </w:t>
      </w:r>
      <w:r w:rsidR="00720351">
        <w:t>diminution of rights</w:t>
      </w:r>
      <w:r w:rsidR="00B64E02" w:rsidRPr="000F47F0">
        <w:t xml:space="preserve">, </w:t>
      </w:r>
      <w:r w:rsidR="008B68E5" w:rsidRPr="000F47F0">
        <w:t xml:space="preserve">there is a limited dynamic alignment guarantee in respect of the six </w:t>
      </w:r>
      <w:r w:rsidR="00D344EE" w:rsidRPr="00F334E8">
        <w:t>equality directives</w:t>
      </w:r>
      <w:r w:rsidR="00A06C23" w:rsidRPr="000F47F0">
        <w:t xml:space="preserve"> </w:t>
      </w:r>
      <w:r w:rsidR="008B68E5" w:rsidRPr="000F47F0">
        <w:t>in Annex 1.</w:t>
      </w:r>
      <w:r w:rsidR="00773DD4" w:rsidRPr="000F47F0">
        <w:t xml:space="preserve"> </w:t>
      </w:r>
    </w:p>
    <w:p w14:paraId="7786D8F8" w14:textId="77777777" w:rsidR="00773DD4" w:rsidRDefault="00773DD4" w:rsidP="00235523">
      <w:pPr>
        <w:pStyle w:val="ListParagraph"/>
        <w:keepNext/>
        <w:widowControl/>
        <w:numPr>
          <w:ilvl w:val="0"/>
          <w:numId w:val="0"/>
        </w:numPr>
        <w:ind w:left="720" w:hanging="720"/>
      </w:pPr>
    </w:p>
    <w:p w14:paraId="26E92D98" w14:textId="1CD42689" w:rsidR="000B4772" w:rsidRPr="00F334E8" w:rsidRDefault="00D412BB" w:rsidP="00235523">
      <w:pPr>
        <w:pStyle w:val="ListParagraph"/>
        <w:ind w:left="720"/>
      </w:pPr>
      <w:r>
        <w:t>T</w:t>
      </w:r>
      <w:r w:rsidR="000B4772">
        <w:t xml:space="preserve">he Government has </w:t>
      </w:r>
      <w:r w:rsidR="00973503">
        <w:t>departed from</w:t>
      </w:r>
      <w:r w:rsidR="000B4772">
        <w:t xml:space="preserve"> its </w:t>
      </w:r>
      <w:r w:rsidR="00624395">
        <w:t xml:space="preserve">publicly expressed </w:t>
      </w:r>
      <w:r w:rsidR="000B4772">
        <w:t xml:space="preserve">understanding of what this commitment encompassed, recently removing from its website its Explainer document published in 2020 as referenced above and stating that the </w:t>
      </w:r>
      <w:r w:rsidR="00AB6CAA">
        <w:t xml:space="preserve">UK </w:t>
      </w:r>
      <w:r w:rsidR="000B4772">
        <w:t>Supreme Court “</w:t>
      </w:r>
      <w:r w:rsidR="000B4772" w:rsidRPr="00AA4608">
        <w:t>confirmed the Government’s long-standing position that the rights protected by Article 2 of the Windsor Framework are those concerned with ending the sectarian conflict in Northern Ireland</w:t>
      </w:r>
      <w:r w:rsidR="000B4772">
        <w:t>”.</w:t>
      </w:r>
      <w:r w:rsidR="000B4772">
        <w:rPr>
          <w:rStyle w:val="FootnoteReference"/>
        </w:rPr>
        <w:footnoteReference w:id="93"/>
      </w:r>
      <w:r w:rsidR="000B4772">
        <w:t xml:space="preserve">  </w:t>
      </w:r>
      <w:r w:rsidR="000B4772" w:rsidRPr="00C32DC7">
        <w:t xml:space="preserve">Concerns about this interpretation </w:t>
      </w:r>
      <w:r w:rsidR="000B4772">
        <w:t xml:space="preserve">and wider concerns about ambiguities and gaps in caselaw </w:t>
      </w:r>
      <w:r w:rsidR="000B4772" w:rsidRPr="00C32DC7">
        <w:t>are addressed in response to question 6 above.</w:t>
      </w:r>
      <w:r w:rsidR="000B4772" w:rsidRPr="00F334E8">
        <w:t xml:space="preserve"> </w:t>
      </w:r>
    </w:p>
    <w:p w14:paraId="5A86E12E" w14:textId="77777777" w:rsidR="000B4772" w:rsidRDefault="000B4772" w:rsidP="00235523">
      <w:pPr>
        <w:pStyle w:val="ListParagraph"/>
        <w:numPr>
          <w:ilvl w:val="0"/>
          <w:numId w:val="0"/>
        </w:numPr>
        <w:ind w:left="720" w:hanging="720"/>
      </w:pPr>
    </w:p>
    <w:p w14:paraId="03798E10" w14:textId="3B5E2110" w:rsidR="000B4772" w:rsidRDefault="000B4772" w:rsidP="00235523">
      <w:pPr>
        <w:pStyle w:val="ListParagraph"/>
        <w:keepNext/>
        <w:widowControl/>
        <w:ind w:left="720"/>
      </w:pPr>
      <w:r w:rsidRPr="00F334E8">
        <w:t xml:space="preserve">While the </w:t>
      </w:r>
      <w:r w:rsidR="00AB6CAA" w:rsidRPr="00F334E8">
        <w:t>UK</w:t>
      </w:r>
      <w:r w:rsidRPr="00F334E8">
        <w:t xml:space="preserve"> Supreme Court rejected consideration of the Explainer on technical grounds, it was not a blanket dismissal of its relevance.</w:t>
      </w:r>
      <w:r w:rsidRPr="00F334E8">
        <w:rPr>
          <w:rStyle w:val="FootnoteReference"/>
        </w:rPr>
        <w:footnoteReference w:id="94"/>
      </w:r>
      <w:r w:rsidRPr="00F334E8">
        <w:t xml:space="preserve"> Moreover the Explainer provides an important insight into the UK Government’s intention regarding its commitment in Article 2. It is deeply worrying that the Government has disavowed its earlier assurances about Windsor Framework Article</w:t>
      </w:r>
      <w:r w:rsidR="00AD29BF" w:rsidRPr="00F334E8">
        <w:t xml:space="preserve"> 2</w:t>
      </w:r>
      <w:r w:rsidRPr="00F334E8">
        <w:t>.</w:t>
      </w:r>
    </w:p>
    <w:p w14:paraId="694BA1F3" w14:textId="77777777" w:rsidR="000B4772" w:rsidRDefault="000B4772" w:rsidP="00235523">
      <w:pPr>
        <w:pStyle w:val="ListParagraph"/>
        <w:numPr>
          <w:ilvl w:val="0"/>
          <w:numId w:val="0"/>
        </w:numPr>
        <w:ind w:left="720" w:hanging="720"/>
      </w:pPr>
    </w:p>
    <w:p w14:paraId="17A5B4AE" w14:textId="01B2DEC8" w:rsidR="009461DA" w:rsidRDefault="00790623" w:rsidP="00235523">
      <w:pPr>
        <w:pStyle w:val="ListParagraph"/>
        <w:ind w:left="720"/>
      </w:pPr>
      <w:r>
        <w:t xml:space="preserve">Article 2 </w:t>
      </w:r>
      <w:r w:rsidR="00F05175">
        <w:t>has attracted</w:t>
      </w:r>
      <w:r w:rsidR="002E55D4">
        <w:t xml:space="preserve"> public support</w:t>
      </w:r>
      <w:r w:rsidR="00693966">
        <w:t>.</w:t>
      </w:r>
      <w:r w:rsidR="002E55D4">
        <w:t xml:space="preserve"> </w:t>
      </w:r>
      <w:r w:rsidR="009461DA">
        <w:t xml:space="preserve">Since 2022 </w:t>
      </w:r>
      <w:r w:rsidR="00861F07">
        <w:t>the Equality Commission for NI</w:t>
      </w:r>
      <w:r w:rsidR="009461DA">
        <w:t xml:space="preserve"> has commissioned an annual public awareness survey to ask a representative sample of the people of </w:t>
      </w:r>
      <w:r w:rsidR="00861F07">
        <w:t>NI</w:t>
      </w:r>
      <w:r w:rsidR="009461DA">
        <w:t xml:space="preserve"> about </w:t>
      </w:r>
      <w:r w:rsidR="009461DA">
        <w:lastRenderedPageBreak/>
        <w:t xml:space="preserve">their awareness of their rights after Brexit, under the Windsor Framework.  </w:t>
      </w:r>
      <w:proofErr w:type="spellStart"/>
      <w:r w:rsidR="009461DA">
        <w:t>LucidTalk</w:t>
      </w:r>
      <w:proofErr w:type="spellEnd"/>
      <w:r w:rsidR="009461DA">
        <w:t xml:space="preserve"> undertook the survey on behalf of </w:t>
      </w:r>
      <w:r w:rsidR="00861F07">
        <w:t>the Equality Commission for NI</w:t>
      </w:r>
      <w:r w:rsidR="009461DA">
        <w:t xml:space="preserve"> via their online opinion panel between 9 and 12 May 2025 and there were 1,050 responses.  Amongst the key findings were that:</w:t>
      </w:r>
    </w:p>
    <w:p w14:paraId="4B1137A6" w14:textId="50B493FB" w:rsidR="009461DA" w:rsidRDefault="009461DA" w:rsidP="008D3212">
      <w:pPr>
        <w:pStyle w:val="ListParagraph"/>
        <w:numPr>
          <w:ilvl w:val="1"/>
          <w:numId w:val="34"/>
        </w:numPr>
      </w:pPr>
      <w:r>
        <w:t xml:space="preserve">Just over three quarters of all respondents (78%) were aware that equality and human rights are part of the UK Government’s commitments under the Windsor Framework. </w:t>
      </w:r>
      <w:r w:rsidRPr="00A3756C">
        <w:t xml:space="preserve">This is the </w:t>
      </w:r>
      <w:r w:rsidR="002A3FFB">
        <w:t>same</w:t>
      </w:r>
      <w:r w:rsidRPr="00A3756C">
        <w:t xml:space="preserve"> proportion of respondents </w:t>
      </w:r>
      <w:r w:rsidR="002A3FFB">
        <w:t xml:space="preserve">as </w:t>
      </w:r>
      <w:r w:rsidRPr="00A3756C">
        <w:t>in 2024</w:t>
      </w:r>
      <w:r>
        <w:t>, and an increase compared to 70% in 2023 and 53% in 2022.</w:t>
      </w:r>
    </w:p>
    <w:p w14:paraId="79FE8A41" w14:textId="5B4FC71B" w:rsidR="008B68E5" w:rsidRPr="00790623" w:rsidRDefault="009461DA" w:rsidP="00790623">
      <w:pPr>
        <w:pStyle w:val="ListParagraph"/>
        <w:numPr>
          <w:ilvl w:val="1"/>
          <w:numId w:val="34"/>
        </w:numPr>
      </w:pPr>
      <w:r>
        <w:t>A substantial proportion of respondents (69%) indicated that the equality and human rights protections included in the Windsor Framework were important to them (74% in 2024, 75% in 2023 and 72% in 2022).</w:t>
      </w:r>
    </w:p>
    <w:p w14:paraId="590F2582" w14:textId="77777777" w:rsidR="00915F34" w:rsidRDefault="00915F34" w:rsidP="00915F34">
      <w:pPr>
        <w:pStyle w:val="ListParagraph"/>
        <w:numPr>
          <w:ilvl w:val="0"/>
          <w:numId w:val="0"/>
        </w:numPr>
        <w:ind w:left="720"/>
      </w:pPr>
    </w:p>
    <w:p w14:paraId="32F9F7C7" w14:textId="17F01F33" w:rsidR="00EE3A11" w:rsidRDefault="00EE3A11" w:rsidP="00235523">
      <w:pPr>
        <w:pStyle w:val="ListParagraph"/>
        <w:keepNext/>
        <w:widowControl/>
        <w:ind w:left="720"/>
      </w:pPr>
      <w:r>
        <w:t xml:space="preserve">The success of </w:t>
      </w:r>
      <w:r w:rsidR="009C236F">
        <w:t xml:space="preserve">Windsor Framework Article </w:t>
      </w:r>
      <w:r w:rsidR="00A10079">
        <w:t>2</w:t>
      </w:r>
      <w:r w:rsidR="009C236F">
        <w:t xml:space="preserve"> also</w:t>
      </w:r>
      <w:r>
        <w:t xml:space="preserve"> depends to an extent on the degree to which the UK Government and NI Executive embed consideration of Windsor Framework Article 2 in the development of law and policy that apply in NI. As noted below</w:t>
      </w:r>
      <w:r w:rsidR="002B163D">
        <w:t xml:space="preserve"> in response to question 13,</w:t>
      </w:r>
      <w:r>
        <w:t xml:space="preserve"> this process is incomplete. While the Government continues to state </w:t>
      </w:r>
      <w:r w:rsidR="004C0200">
        <w:t xml:space="preserve">publicly that it </w:t>
      </w:r>
      <w:r>
        <w:t>is commit</w:t>
      </w:r>
      <w:r w:rsidR="004C0200">
        <w:t>ted</w:t>
      </w:r>
      <w:r>
        <w:t xml:space="preserve"> to Windsor Framework Article 2, the lack of transparency and the UK Government policy of refusing to publish its analysis of Windsor Framework Article 2</w:t>
      </w:r>
      <w:r>
        <w:rPr>
          <w:rStyle w:val="FootnoteReference"/>
        </w:rPr>
        <w:footnoteReference w:id="95"/>
      </w:r>
      <w:r>
        <w:t xml:space="preserve"> makes it difficult to assess the degree to which this commitment is seriously considered in the development of law and policy. </w:t>
      </w:r>
    </w:p>
    <w:p w14:paraId="3AA361BD" w14:textId="77777777" w:rsidR="00EE3A11" w:rsidRDefault="00EE3A11" w:rsidP="00235523">
      <w:pPr>
        <w:pStyle w:val="ListParagraph"/>
        <w:numPr>
          <w:ilvl w:val="0"/>
          <w:numId w:val="0"/>
        </w:numPr>
        <w:ind w:left="720" w:hanging="720"/>
      </w:pPr>
    </w:p>
    <w:p w14:paraId="4D671187" w14:textId="3B18D5ED" w:rsidR="00781F8D" w:rsidRPr="00F334E8" w:rsidRDefault="000D0484" w:rsidP="00235523">
      <w:pPr>
        <w:pStyle w:val="ListParagraph"/>
        <w:ind w:left="720"/>
      </w:pPr>
      <w:r w:rsidRPr="00F334E8">
        <w:t>It was hoped that Windsor Framework</w:t>
      </w:r>
      <w:r w:rsidR="007C08BA" w:rsidRPr="00F334E8">
        <w:t xml:space="preserve"> </w:t>
      </w:r>
      <w:r w:rsidRPr="00F334E8">
        <w:t xml:space="preserve">Article 2 would provide a robust standstill provision </w:t>
      </w:r>
      <w:r w:rsidR="004109CE" w:rsidRPr="00F334E8">
        <w:t>in relation to EU-derived rights relevant to the range of human rights and equality measures listed in the Rights Safeguards and Equality of Opportunity chapter</w:t>
      </w:r>
      <w:r w:rsidR="00556539" w:rsidRPr="00F334E8">
        <w:t xml:space="preserve"> of the Belfast (Good Friday) Agreement</w:t>
      </w:r>
      <w:r w:rsidR="005F734A" w:rsidRPr="00F334E8">
        <w:t>, in addition to a measure of dynamic alignment with certain EU equality measures</w:t>
      </w:r>
      <w:r w:rsidR="002C6F1E" w:rsidRPr="00F334E8">
        <w:t xml:space="preserve">. </w:t>
      </w:r>
      <w:r w:rsidR="00682182" w:rsidRPr="00F334E8">
        <w:t>Given the questions that remain, action is required to place Article 2 on a clear and firm footing</w:t>
      </w:r>
      <w:r w:rsidR="008F3A27" w:rsidRPr="00F334E8">
        <w:t xml:space="preserve">, consistent with </w:t>
      </w:r>
      <w:r w:rsidR="004745B5" w:rsidRPr="00F334E8">
        <w:t>what was negotiated, agreed and understood</w:t>
      </w:r>
      <w:r w:rsidR="0070192E" w:rsidRPr="00F334E8">
        <w:t>.</w:t>
      </w:r>
      <w:r w:rsidR="00241CF0" w:rsidRPr="00F334E8">
        <w:t xml:space="preserve"> </w:t>
      </w:r>
    </w:p>
    <w:p w14:paraId="06184A21" w14:textId="77777777" w:rsidR="00781F8D" w:rsidRPr="00F334E8" w:rsidRDefault="00781F8D" w:rsidP="00235523">
      <w:pPr>
        <w:pStyle w:val="ListParagraph"/>
        <w:numPr>
          <w:ilvl w:val="0"/>
          <w:numId w:val="0"/>
        </w:numPr>
        <w:ind w:left="720" w:hanging="720"/>
      </w:pPr>
    </w:p>
    <w:p w14:paraId="3B32E57B" w14:textId="58E181D8" w:rsidR="000D0484" w:rsidRPr="00F334E8" w:rsidRDefault="00BD6F59" w:rsidP="00235523">
      <w:pPr>
        <w:pStyle w:val="ListParagraph"/>
        <w:ind w:left="720"/>
      </w:pPr>
      <w:r w:rsidRPr="00F334E8">
        <w:lastRenderedPageBreak/>
        <w:t xml:space="preserve">There are </w:t>
      </w:r>
      <w:r w:rsidR="00BC2572" w:rsidRPr="00F334E8">
        <w:t>four</w:t>
      </w:r>
      <w:r w:rsidRPr="00F334E8">
        <w:t xml:space="preserve"> main </w:t>
      </w:r>
      <w:r w:rsidR="00721DC8" w:rsidRPr="00F334E8">
        <w:t xml:space="preserve">channels </w:t>
      </w:r>
      <w:r w:rsidRPr="00F334E8">
        <w:t xml:space="preserve">by which </w:t>
      </w:r>
      <w:r w:rsidR="00E408E3" w:rsidRPr="00F334E8">
        <w:t xml:space="preserve">treaty </w:t>
      </w:r>
      <w:r w:rsidR="00DC5A45" w:rsidRPr="00F334E8">
        <w:t>implementation issues</w:t>
      </w:r>
      <w:r w:rsidRPr="00F334E8">
        <w:t xml:space="preserve"> may be addressed: </w:t>
      </w:r>
      <w:r w:rsidR="00750F8D" w:rsidRPr="00F334E8">
        <w:t>domestic</w:t>
      </w:r>
      <w:r w:rsidR="00135131" w:rsidRPr="00F334E8">
        <w:t xml:space="preserve"> legislation</w:t>
      </w:r>
      <w:r w:rsidR="00D0216D" w:rsidRPr="00F334E8">
        <w:t>,</w:t>
      </w:r>
      <w:r w:rsidR="00135131" w:rsidRPr="00F334E8">
        <w:t xml:space="preserve"> litigation</w:t>
      </w:r>
      <w:r w:rsidR="00BC2572" w:rsidRPr="00F334E8">
        <w:t>,</w:t>
      </w:r>
      <w:r w:rsidR="00721DC8" w:rsidRPr="00F334E8">
        <w:t xml:space="preserve"> </w:t>
      </w:r>
      <w:r w:rsidR="00135131" w:rsidRPr="00F334E8">
        <w:t>diplomatic engagement</w:t>
      </w:r>
      <w:r w:rsidR="00BC2572" w:rsidRPr="00F334E8">
        <w:t xml:space="preserve"> or </w:t>
      </w:r>
      <w:r w:rsidR="0009476B" w:rsidRPr="00F334E8">
        <w:t>dispute resolution</w:t>
      </w:r>
      <w:r w:rsidR="00DC5A45" w:rsidRPr="00F334E8">
        <w:t xml:space="preserve"> under the </w:t>
      </w:r>
      <w:r w:rsidR="00056CFF" w:rsidRPr="00F334E8">
        <w:t>UK-EU Withdrawal Agreement</w:t>
      </w:r>
      <w:r w:rsidR="006F3FD4" w:rsidRPr="00F334E8">
        <w:t>.</w:t>
      </w:r>
      <w:r w:rsidR="000E0A64" w:rsidRPr="00F334E8">
        <w:t xml:space="preserve"> </w:t>
      </w:r>
      <w:r w:rsidR="00DC5A45" w:rsidRPr="00F334E8">
        <w:t xml:space="preserve">In </w:t>
      </w:r>
      <w:r w:rsidR="009928E0" w:rsidRPr="00F334E8">
        <w:t>relation to the present uncertainty over Windsor Framework Article 2</w:t>
      </w:r>
      <w:r w:rsidR="00DC5A45" w:rsidRPr="00F334E8">
        <w:t>, t</w:t>
      </w:r>
      <w:r w:rsidR="00394DDB" w:rsidRPr="00F334E8">
        <w:t>he UK Government could</w:t>
      </w:r>
      <w:r w:rsidR="009F7867" w:rsidRPr="00F334E8">
        <w:t>, for example,</w:t>
      </w:r>
      <w:r w:rsidR="00394DDB" w:rsidRPr="00F334E8">
        <w:t xml:space="preserve"> </w:t>
      </w:r>
      <w:r w:rsidR="004E2860" w:rsidRPr="00F334E8">
        <w:t xml:space="preserve">engage </w:t>
      </w:r>
      <w:r w:rsidR="009F7867" w:rsidRPr="00F334E8">
        <w:t xml:space="preserve">with </w:t>
      </w:r>
      <w:r w:rsidR="004E2860" w:rsidRPr="00F334E8">
        <w:t xml:space="preserve">its treaty partner and </w:t>
      </w:r>
      <w:r w:rsidR="00470568" w:rsidRPr="00F334E8">
        <w:t xml:space="preserve">issue </w:t>
      </w:r>
      <w:r w:rsidR="00212FE8" w:rsidRPr="00F334E8">
        <w:t xml:space="preserve">domestic </w:t>
      </w:r>
      <w:r w:rsidR="00470568" w:rsidRPr="00F334E8">
        <w:t>statutory guidance consistent with the treaty</w:t>
      </w:r>
      <w:r w:rsidR="00D9743A" w:rsidRPr="00F334E8">
        <w:t xml:space="preserve">. </w:t>
      </w:r>
      <w:r w:rsidR="00D426DD" w:rsidRPr="00F334E8">
        <w:t xml:space="preserve">Alternatively, </w:t>
      </w:r>
      <w:r w:rsidR="0037366D" w:rsidRPr="00F334E8">
        <w:t>this matter could be addressed under the auspices of the UK</w:t>
      </w:r>
      <w:r w:rsidR="00702748" w:rsidRPr="00F334E8">
        <w:t>-</w:t>
      </w:r>
      <w:r w:rsidR="0037366D" w:rsidRPr="00F334E8">
        <w:t>EU Joint Committee</w:t>
      </w:r>
      <w:r w:rsidR="00D22861" w:rsidRPr="00F334E8">
        <w:t>, the body that oversees</w:t>
      </w:r>
      <w:r w:rsidR="00F86586" w:rsidRPr="00F334E8">
        <w:t xml:space="preserve"> the implementation of the treaty</w:t>
      </w:r>
      <w:r w:rsidR="0037366D" w:rsidRPr="00F334E8">
        <w:t xml:space="preserve">. </w:t>
      </w:r>
      <w:r w:rsidR="00BE4082" w:rsidRPr="00F334E8">
        <w:t xml:space="preserve">A matter may be raised by either party in the Joint Committee or referred to it by the </w:t>
      </w:r>
      <w:r w:rsidR="00BF3D92" w:rsidRPr="00F334E8">
        <w:t xml:space="preserve">UK-EU </w:t>
      </w:r>
      <w:r w:rsidR="00BE4082" w:rsidRPr="00F334E8">
        <w:t xml:space="preserve">Specialised Committee on the </w:t>
      </w:r>
      <w:r w:rsidR="00702748" w:rsidRPr="00F334E8">
        <w:t xml:space="preserve">implementation of the </w:t>
      </w:r>
      <w:r w:rsidR="00361C7E" w:rsidRPr="00F334E8">
        <w:t xml:space="preserve">Windsor Framework. </w:t>
      </w:r>
      <w:r w:rsidR="00DD1D58" w:rsidRPr="00F334E8">
        <w:t xml:space="preserve">The Joint Committee could agree and issue a Joint Committee Decision, which has the force and standing of </w:t>
      </w:r>
      <w:r w:rsidR="0004625D" w:rsidRPr="00F334E8">
        <w:t>UK-EU Withdrawal Agreement</w:t>
      </w:r>
      <w:r w:rsidR="00DD1D58" w:rsidRPr="00F334E8">
        <w:t xml:space="preserve"> provisions</w:t>
      </w:r>
      <w:r w:rsidR="00702748" w:rsidRPr="00F334E8">
        <w:rPr>
          <w:rStyle w:val="FootnoteReference"/>
        </w:rPr>
        <w:footnoteReference w:id="96"/>
      </w:r>
      <w:r w:rsidR="00DD1D58" w:rsidRPr="00F334E8">
        <w:t xml:space="preserve"> and could set out the scope and application of Article 2. Due to section 7A of the EU </w:t>
      </w:r>
      <w:r w:rsidR="009E732B">
        <w:t>(</w:t>
      </w:r>
      <w:r w:rsidR="00DD1D58" w:rsidRPr="00F334E8">
        <w:t>Withdrawal</w:t>
      </w:r>
      <w:r w:rsidR="009E732B">
        <w:t>)</w:t>
      </w:r>
      <w:r w:rsidR="00DD1D58" w:rsidRPr="00F334E8">
        <w:t xml:space="preserve"> Act 2018, </w:t>
      </w:r>
      <w:r w:rsidR="005E4E19" w:rsidRPr="00F334E8">
        <w:t xml:space="preserve">all obligations created by or arising under the </w:t>
      </w:r>
      <w:r w:rsidR="00DD1D58" w:rsidRPr="00F334E8" w:rsidDel="005E4E19">
        <w:t xml:space="preserve">treaty </w:t>
      </w:r>
      <w:r w:rsidR="00DD1D58" w:rsidRPr="00F334E8">
        <w:t>would be</w:t>
      </w:r>
      <w:r w:rsidR="00354E05" w:rsidRPr="00F334E8">
        <w:t xml:space="preserve"> automatically</w:t>
      </w:r>
      <w:r w:rsidR="00DD1D58" w:rsidRPr="00F334E8">
        <w:t xml:space="preserve"> incorporated into domestic law.</w:t>
      </w:r>
      <w:r w:rsidR="00233372" w:rsidRPr="00F334E8">
        <w:t xml:space="preserve"> </w:t>
      </w:r>
      <w:r w:rsidR="0037366D" w:rsidRPr="00F334E8">
        <w:t xml:space="preserve">Where the Joint Committee cannot </w:t>
      </w:r>
      <w:r w:rsidR="00CF0066" w:rsidRPr="00F334E8">
        <w:t xml:space="preserve">reach </w:t>
      </w:r>
      <w:r w:rsidR="0037366D" w:rsidRPr="00F334E8">
        <w:t>agree</w:t>
      </w:r>
      <w:r w:rsidR="00CF0066" w:rsidRPr="00F334E8">
        <w:t>ment on an issue</w:t>
      </w:r>
      <w:r w:rsidR="0037366D" w:rsidRPr="00F334E8">
        <w:t xml:space="preserve">, either party may initiate the </w:t>
      </w:r>
      <w:r w:rsidR="003F4F09" w:rsidRPr="00F334E8">
        <w:t>dispute resolution processes under Articles 167 to 1</w:t>
      </w:r>
      <w:r w:rsidR="00071B03" w:rsidRPr="00F334E8">
        <w:t>8</w:t>
      </w:r>
      <w:r w:rsidR="003F4F09" w:rsidRPr="00F334E8">
        <w:t xml:space="preserve">1 of the </w:t>
      </w:r>
      <w:r w:rsidR="0004625D" w:rsidRPr="00F334E8">
        <w:t>UK-EU Withdrawal Agreement</w:t>
      </w:r>
      <w:r w:rsidR="003F4F09" w:rsidRPr="00F334E8">
        <w:t xml:space="preserve">. </w:t>
      </w:r>
      <w:r w:rsidR="000E0A64" w:rsidRPr="00F334E8">
        <w:t>Failure to address the matter by diplomatic means will likely result in further</w:t>
      </w:r>
      <w:r w:rsidR="0078420C" w:rsidRPr="00F334E8">
        <w:t xml:space="preserve"> domestic</w:t>
      </w:r>
      <w:r w:rsidR="000E0A64" w:rsidRPr="00F334E8">
        <w:t xml:space="preserve"> </w:t>
      </w:r>
      <w:proofErr w:type="gramStart"/>
      <w:r w:rsidR="000E0A64" w:rsidRPr="00F334E8">
        <w:t>litigation</w:t>
      </w:r>
      <w:proofErr w:type="gramEnd"/>
      <w:r w:rsidR="000E0A64" w:rsidRPr="00F334E8">
        <w:t xml:space="preserve"> which </w:t>
      </w:r>
      <w:r w:rsidR="00233372" w:rsidRPr="00F334E8">
        <w:t xml:space="preserve">is </w:t>
      </w:r>
      <w:r w:rsidR="000E0A64" w:rsidRPr="00F334E8">
        <w:t>costly, time-</w:t>
      </w:r>
      <w:r w:rsidR="0036531D" w:rsidRPr="00F334E8">
        <w:t xml:space="preserve">consuming and may still </w:t>
      </w:r>
      <w:r w:rsidRPr="00F334E8">
        <w:t>require diplomatic engagement depending on the outcome</w:t>
      </w:r>
      <w:r w:rsidR="000E0A64" w:rsidRPr="00F334E8">
        <w:t>.</w:t>
      </w:r>
      <w:r w:rsidR="007769EC" w:rsidRPr="00F334E8">
        <w:t xml:space="preserve"> Under Article 14 of the Windsor Framework, the Specialised Committee must “consider any matter of relevance to Article 2 of this Protocol brought to its attention by the Northern Ireland Human Rights Commission, the Equality Commission for Northern Ireland and the Joint Committee of representatives of the Human Rights Commissions of Northern Ireland and Ireland”</w:t>
      </w:r>
      <w:r w:rsidR="0071710B" w:rsidRPr="00F334E8">
        <w:t>.</w:t>
      </w:r>
      <w:r w:rsidR="0053639B" w:rsidRPr="00F334E8">
        <w:t xml:space="preserve"> The NIHRC </w:t>
      </w:r>
      <w:r w:rsidR="00E408E3" w:rsidRPr="00F334E8">
        <w:t xml:space="preserve">has not yet exercised this function and </w:t>
      </w:r>
      <w:r w:rsidR="004333AD" w:rsidRPr="00F334E8">
        <w:t>is con</w:t>
      </w:r>
      <w:r w:rsidR="00F25EEA" w:rsidRPr="00F334E8">
        <w:t>tinuing to consider this matter.</w:t>
      </w:r>
      <w:r w:rsidR="0004625D" w:rsidRPr="00F334E8">
        <w:t xml:space="preserve"> </w:t>
      </w:r>
    </w:p>
    <w:p w14:paraId="6D23085E" w14:textId="77777777" w:rsidR="005622FE" w:rsidRPr="00F334E8" w:rsidRDefault="005622FE" w:rsidP="00235523">
      <w:pPr>
        <w:pStyle w:val="ListParagraph"/>
        <w:numPr>
          <w:ilvl w:val="0"/>
          <w:numId w:val="0"/>
        </w:numPr>
        <w:ind w:left="720" w:hanging="720"/>
      </w:pPr>
    </w:p>
    <w:p w14:paraId="2E7A78A7" w14:textId="5151962C" w:rsidR="001F22EA" w:rsidRPr="003717A3" w:rsidRDefault="005622FE" w:rsidP="00235523">
      <w:pPr>
        <w:pStyle w:val="ListParagraph"/>
        <w:ind w:left="720"/>
        <w:rPr>
          <w:b/>
          <w:bCs/>
        </w:rPr>
      </w:pPr>
      <w:r w:rsidRPr="003717A3">
        <w:rPr>
          <w:b/>
          <w:bCs/>
        </w:rPr>
        <w:t>The NIHRC recommends that the Committee consider and affirm</w:t>
      </w:r>
      <w:r w:rsidR="001F22EA" w:rsidRPr="003717A3">
        <w:rPr>
          <w:b/>
          <w:bCs/>
        </w:rPr>
        <w:t xml:space="preserve"> the</w:t>
      </w:r>
      <w:r w:rsidRPr="003717A3">
        <w:rPr>
          <w:b/>
          <w:bCs/>
        </w:rPr>
        <w:t xml:space="preserve"> importance and value to the public of human rights and equality protections understood to be provided in </w:t>
      </w:r>
      <w:r w:rsidR="00DA7CC3" w:rsidRPr="003717A3">
        <w:rPr>
          <w:b/>
          <w:bCs/>
        </w:rPr>
        <w:t>Windsor Framework Article 2</w:t>
      </w:r>
      <w:r w:rsidRPr="003717A3">
        <w:rPr>
          <w:b/>
          <w:bCs/>
        </w:rPr>
        <w:t>.</w:t>
      </w:r>
    </w:p>
    <w:p w14:paraId="75C8ABF9" w14:textId="77777777" w:rsidR="001F22EA" w:rsidRPr="001F22EA" w:rsidRDefault="001F22EA" w:rsidP="00235523">
      <w:pPr>
        <w:pStyle w:val="ListParagraph"/>
        <w:numPr>
          <w:ilvl w:val="0"/>
          <w:numId w:val="0"/>
        </w:numPr>
        <w:ind w:left="720" w:hanging="720"/>
        <w:rPr>
          <w:b/>
          <w:bCs/>
        </w:rPr>
      </w:pPr>
    </w:p>
    <w:p w14:paraId="5124E2A8" w14:textId="3739BB9E" w:rsidR="001F22EA" w:rsidRPr="001F22EA" w:rsidRDefault="001F22EA" w:rsidP="00235523">
      <w:pPr>
        <w:pStyle w:val="ListParagraph"/>
        <w:ind w:left="720"/>
        <w:rPr>
          <w:b/>
          <w:bCs/>
        </w:rPr>
      </w:pPr>
      <w:r w:rsidRPr="001F22EA">
        <w:rPr>
          <w:b/>
          <w:bCs/>
        </w:rPr>
        <w:t xml:space="preserve">The NIHRC recommends that the Committee explore with the UK Government the methods by which ambiguities and gaps </w:t>
      </w:r>
      <w:r w:rsidRPr="001F22EA">
        <w:rPr>
          <w:b/>
          <w:bCs/>
        </w:rPr>
        <w:lastRenderedPageBreak/>
        <w:t xml:space="preserve">in the </w:t>
      </w:r>
      <w:r w:rsidRPr="001F22EA">
        <w:rPr>
          <w:b/>
          <w:bCs/>
          <w:i/>
          <w:iCs/>
        </w:rPr>
        <w:t xml:space="preserve">Dillon </w:t>
      </w:r>
      <w:r w:rsidRPr="001F22EA">
        <w:rPr>
          <w:b/>
          <w:bCs/>
        </w:rPr>
        <w:t xml:space="preserve">judgment may be addressed to put </w:t>
      </w:r>
      <w:r w:rsidR="00DA7CC3">
        <w:rPr>
          <w:b/>
          <w:bCs/>
        </w:rPr>
        <w:t>Windsor Framework</w:t>
      </w:r>
      <w:r w:rsidRPr="001F22EA">
        <w:rPr>
          <w:b/>
          <w:bCs/>
        </w:rPr>
        <w:t xml:space="preserve"> Article 2 on a clear and firm footing, consistent with the expectations of its treaty partner and stakeholders </w:t>
      </w:r>
      <w:r w:rsidRPr="001F22EA" w:rsidDel="004379FE">
        <w:rPr>
          <w:b/>
          <w:bCs/>
        </w:rPr>
        <w:t xml:space="preserve">and </w:t>
      </w:r>
      <w:r w:rsidR="004379FE">
        <w:rPr>
          <w:b/>
          <w:bCs/>
        </w:rPr>
        <w:t>thereby</w:t>
      </w:r>
      <w:r w:rsidR="004379FE" w:rsidRPr="001F22EA">
        <w:rPr>
          <w:b/>
          <w:bCs/>
        </w:rPr>
        <w:t xml:space="preserve"> </w:t>
      </w:r>
      <w:r w:rsidRPr="001F22EA">
        <w:rPr>
          <w:b/>
          <w:bCs/>
        </w:rPr>
        <w:t>reduc</w:t>
      </w:r>
      <w:r w:rsidR="001A24B5">
        <w:rPr>
          <w:b/>
          <w:bCs/>
        </w:rPr>
        <w:t>e</w:t>
      </w:r>
      <w:r w:rsidRPr="001F22EA">
        <w:rPr>
          <w:b/>
          <w:bCs/>
        </w:rPr>
        <w:t xml:space="preserve"> the risk of litigation and international </w:t>
      </w:r>
      <w:r w:rsidR="000E534D">
        <w:rPr>
          <w:b/>
          <w:bCs/>
        </w:rPr>
        <w:t>dispute</w:t>
      </w:r>
      <w:r w:rsidRPr="001F22EA">
        <w:rPr>
          <w:b/>
          <w:bCs/>
        </w:rPr>
        <w:t xml:space="preserve">. </w:t>
      </w:r>
      <w:r w:rsidR="00F47F00">
        <w:rPr>
          <w:b/>
          <w:bCs/>
        </w:rPr>
        <w:t>Diplomatic options</w:t>
      </w:r>
      <w:r w:rsidRPr="001F22EA">
        <w:rPr>
          <w:b/>
          <w:bCs/>
        </w:rPr>
        <w:t xml:space="preserve"> include seeking agreement with the EU on a Decision by the UK</w:t>
      </w:r>
      <w:r w:rsidR="00DA7CC3">
        <w:rPr>
          <w:b/>
          <w:bCs/>
        </w:rPr>
        <w:t>-</w:t>
      </w:r>
      <w:r w:rsidRPr="001F22EA">
        <w:rPr>
          <w:b/>
          <w:bCs/>
        </w:rPr>
        <w:t xml:space="preserve">EU Joint Committee on the scope and direct effect of </w:t>
      </w:r>
      <w:r w:rsidR="00DA7CC3">
        <w:rPr>
          <w:b/>
          <w:bCs/>
        </w:rPr>
        <w:t>Windsor Framework Article 2</w:t>
      </w:r>
      <w:r w:rsidRPr="001F22EA">
        <w:rPr>
          <w:b/>
          <w:bCs/>
        </w:rPr>
        <w:t xml:space="preserve"> or </w:t>
      </w:r>
      <w:r w:rsidR="004034F4">
        <w:rPr>
          <w:b/>
          <w:bCs/>
        </w:rPr>
        <w:t>a</w:t>
      </w:r>
      <w:r w:rsidRPr="001F22EA">
        <w:rPr>
          <w:b/>
          <w:bCs/>
        </w:rPr>
        <w:t xml:space="preserve"> joint version of the Explainer document, either of which would automatically be incorporated into UK domestic law by virtue of </w:t>
      </w:r>
      <w:r w:rsidR="003E3296">
        <w:rPr>
          <w:b/>
          <w:bCs/>
        </w:rPr>
        <w:t>s</w:t>
      </w:r>
      <w:r w:rsidR="003E3296" w:rsidRPr="001F22EA">
        <w:rPr>
          <w:b/>
          <w:bCs/>
        </w:rPr>
        <w:t xml:space="preserve">ection </w:t>
      </w:r>
      <w:r w:rsidRPr="001F22EA">
        <w:rPr>
          <w:b/>
          <w:bCs/>
        </w:rPr>
        <w:t>7A</w:t>
      </w:r>
      <w:r w:rsidR="003E3296" w:rsidRPr="003E3296">
        <w:rPr>
          <w:b/>
          <w:bCs/>
        </w:rPr>
        <w:t>, EU (Withdrawal) Act 2018</w:t>
      </w:r>
      <w:r w:rsidRPr="001F22EA">
        <w:rPr>
          <w:b/>
          <w:bCs/>
        </w:rPr>
        <w:t>.</w:t>
      </w:r>
    </w:p>
    <w:p w14:paraId="5D44BE44" w14:textId="259F7D04" w:rsidR="001F47FF" w:rsidRDefault="001F47FF" w:rsidP="00780895">
      <w:pPr>
        <w:pStyle w:val="Heading1"/>
        <w:keepLines w:val="0"/>
      </w:pPr>
      <w:bookmarkStart w:id="23" w:name="_Toc235087550"/>
      <w:r>
        <w:t>The Commissions</w:t>
      </w:r>
      <w:bookmarkEnd w:id="23"/>
      <w:r>
        <w:t xml:space="preserve"> </w:t>
      </w:r>
    </w:p>
    <w:p w14:paraId="09EB00AD" w14:textId="29F99981" w:rsidR="001F47FF" w:rsidRDefault="001F47FF" w:rsidP="00EF773A">
      <w:pPr>
        <w:pStyle w:val="Heading2"/>
      </w:pPr>
      <w:bookmarkStart w:id="24" w:name="_Toc235087551"/>
      <w:r>
        <w:t xml:space="preserve">Question 10: </w:t>
      </w:r>
      <w:r w:rsidRPr="0017175B">
        <w:t>What is the role of the Dedicated Mechanism framework in Article 2 WF?</w:t>
      </w:r>
      <w:bookmarkEnd w:id="24"/>
    </w:p>
    <w:p w14:paraId="7792E02E" w14:textId="1B50235C" w:rsidR="001F47FF" w:rsidRDefault="00074287" w:rsidP="00235523">
      <w:pPr>
        <w:pStyle w:val="ListParagraph"/>
        <w:ind w:left="720"/>
      </w:pPr>
      <w:r>
        <w:t xml:space="preserve">Windor Framework </w:t>
      </w:r>
      <w:r w:rsidR="006B1A6E" w:rsidRPr="009255A4">
        <w:t xml:space="preserve">Article 2(2) </w:t>
      </w:r>
      <w:r w:rsidR="00FC4C88" w:rsidRPr="009255A4">
        <w:t xml:space="preserve">outlines the </w:t>
      </w:r>
      <w:r w:rsidR="006B1A6E" w:rsidRPr="009255A4">
        <w:t xml:space="preserve">UK Government </w:t>
      </w:r>
      <w:r w:rsidR="009255A4" w:rsidRPr="009255A4">
        <w:t>commitment</w:t>
      </w:r>
      <w:r w:rsidR="006B1A6E" w:rsidRPr="009255A4">
        <w:t xml:space="preserve"> to implementing Article</w:t>
      </w:r>
      <w:r w:rsidR="006B1A6E">
        <w:t xml:space="preserve"> 2(1) through dedicated mechanism</w:t>
      </w:r>
      <w:r w:rsidR="006B1A6E" w:rsidRPr="00522329">
        <w:t>s</w:t>
      </w:r>
      <w:r w:rsidR="009255A4">
        <w:t xml:space="preserve"> to protect rights and equality in </w:t>
      </w:r>
      <w:r w:rsidR="00837A34">
        <w:t>NI</w:t>
      </w:r>
      <w:r w:rsidR="009255A4">
        <w:t xml:space="preserve"> following the UK’s withdrawal from the EU.</w:t>
      </w:r>
      <w:r w:rsidR="006B1A6E">
        <w:t xml:space="preserve"> </w:t>
      </w:r>
      <w:r w:rsidR="00837A34">
        <w:t xml:space="preserve">The dedicated mechanism is made up of the NIHRC, the Equality Commission for NI and the Joint Committee of the NIHRC and Irish Human Rights and Equality Commission.  </w:t>
      </w:r>
    </w:p>
    <w:p w14:paraId="17DB83D6" w14:textId="10F4ED7D" w:rsidR="5D049508" w:rsidRDefault="5D049508" w:rsidP="00235523">
      <w:pPr>
        <w:pStyle w:val="ListParagraph"/>
        <w:keepNext/>
        <w:widowControl/>
        <w:numPr>
          <w:ilvl w:val="0"/>
          <w:numId w:val="0"/>
        </w:numPr>
        <w:ind w:left="720" w:hanging="720"/>
      </w:pPr>
    </w:p>
    <w:p w14:paraId="6817A63A" w14:textId="4A052C7C" w:rsidR="00F120C0" w:rsidRDefault="4CFD6A60" w:rsidP="00235523">
      <w:pPr>
        <w:pStyle w:val="ListParagraph"/>
        <w:widowControl/>
        <w:ind w:left="720"/>
      </w:pPr>
      <w:r>
        <w:t xml:space="preserve">The </w:t>
      </w:r>
      <w:r w:rsidR="008543EF">
        <w:t>mechanism</w:t>
      </w:r>
      <w:r>
        <w:t xml:space="preserve"> to oversee the Government’s commitment </w:t>
      </w:r>
      <w:r w:rsidR="66293695">
        <w:t xml:space="preserve">is given </w:t>
      </w:r>
      <w:r w:rsidR="005C42D4">
        <w:t xml:space="preserve">domestic </w:t>
      </w:r>
      <w:r w:rsidR="66293695">
        <w:t xml:space="preserve">effect </w:t>
      </w:r>
      <w:r>
        <w:t>through s</w:t>
      </w:r>
      <w:r w:rsidR="006F66C2">
        <w:t>ection</w:t>
      </w:r>
      <w:r w:rsidR="2F926CD7">
        <w:t>s</w:t>
      </w:r>
      <w:r w:rsidR="006F66C2">
        <w:t xml:space="preserve"> 78A-</w:t>
      </w:r>
      <w:r w:rsidR="77F47B25">
        <w:t>78</w:t>
      </w:r>
      <w:r w:rsidR="006F66C2">
        <w:t xml:space="preserve">E of the </w:t>
      </w:r>
      <w:r w:rsidR="00BF3D92">
        <w:t>Northern Ireland</w:t>
      </w:r>
      <w:r w:rsidR="00837A34">
        <w:t xml:space="preserve"> </w:t>
      </w:r>
      <w:r w:rsidR="006F66C2">
        <w:t>Act 1998</w:t>
      </w:r>
      <w:r w:rsidR="00837A34">
        <w:t xml:space="preserve">, which </w:t>
      </w:r>
      <w:r w:rsidR="006F66C2">
        <w:t xml:space="preserve">outline </w:t>
      </w:r>
      <w:r w:rsidR="005D70F2">
        <w:t>the</w:t>
      </w:r>
      <w:r w:rsidR="006F66C2">
        <w:t xml:space="preserve"> functions </w:t>
      </w:r>
      <w:r w:rsidR="005D70F2">
        <w:t xml:space="preserve">of the NIHRC and </w:t>
      </w:r>
      <w:r w:rsidR="00074287">
        <w:t xml:space="preserve">Equality Commission for </w:t>
      </w:r>
      <w:r w:rsidR="00AD6360" w:rsidRPr="00F334E8">
        <w:t>NI</w:t>
      </w:r>
      <w:r w:rsidR="00D43F38">
        <w:t xml:space="preserve"> </w:t>
      </w:r>
      <w:r w:rsidR="006F66C2">
        <w:t xml:space="preserve">in relation to the </w:t>
      </w:r>
      <w:r w:rsidR="006F2AE9">
        <w:t>UK-</w:t>
      </w:r>
      <w:r w:rsidR="006F66C2">
        <w:t>EU Withdrawal Agreement</w:t>
      </w:r>
      <w:r w:rsidR="00803E6B">
        <w:t xml:space="preserve">.  </w:t>
      </w:r>
    </w:p>
    <w:p w14:paraId="73929B2D" w14:textId="7DECCD99" w:rsidR="001F47FF" w:rsidRDefault="001F47FF" w:rsidP="00235523">
      <w:pPr>
        <w:keepNext/>
        <w:ind w:left="720" w:hanging="720"/>
      </w:pPr>
    </w:p>
    <w:p w14:paraId="7D9A2473" w14:textId="19DAE663" w:rsidR="00783C54" w:rsidRPr="00783C54" w:rsidRDefault="00783C54" w:rsidP="00235523">
      <w:pPr>
        <w:pStyle w:val="ListParagraph"/>
        <w:keepNext/>
        <w:widowControl/>
        <w:ind w:left="720"/>
      </w:pPr>
      <w:r w:rsidRPr="00783C54">
        <w:t xml:space="preserve">The NIHRC </w:t>
      </w:r>
      <w:r w:rsidR="00803E6B">
        <w:t>is required to monitor the implementation of Windsor Framework Article 2.</w:t>
      </w:r>
      <w:r w:rsidR="00803E6B">
        <w:rPr>
          <w:rStyle w:val="FootnoteReference"/>
        </w:rPr>
        <w:footnoteReference w:id="97"/>
      </w:r>
      <w:r w:rsidR="00803E6B">
        <w:t xml:space="preserve">  It </w:t>
      </w:r>
      <w:r w:rsidRPr="00783C54">
        <w:t>must consider all legislation and policy applicable to NI whether that emanates from the NI institutions or Westminster and advise on any legislative or other measures which ought to be taken to implement Windsor Framework Article 2.</w:t>
      </w:r>
      <w:r w:rsidRPr="00783C54">
        <w:rPr>
          <w:rStyle w:val="FootnoteReference"/>
        </w:rPr>
        <w:footnoteReference w:id="98"/>
      </w:r>
      <w:r w:rsidRPr="00783C54">
        <w:t xml:space="preserve"> This requires the NIHRC to advise on a potential diminution of rights, through identifying the right or safeguard set out in the relevant </w:t>
      </w:r>
      <w:r w:rsidR="002A5091">
        <w:t>c</w:t>
      </w:r>
      <w:r w:rsidRPr="00783C54">
        <w:t xml:space="preserve">hapter of the Belfast (Good Friday) Agreement and the </w:t>
      </w:r>
      <w:r w:rsidRPr="00783C54">
        <w:lastRenderedPageBreak/>
        <w:t xml:space="preserve">underpinning EU law, which sets the minimum standard against which there should be no diminution. </w:t>
      </w:r>
    </w:p>
    <w:p w14:paraId="1D7554C7" w14:textId="77777777" w:rsidR="00783C54" w:rsidRPr="00783C54" w:rsidRDefault="00783C54" w:rsidP="00235523">
      <w:pPr>
        <w:pStyle w:val="ListParagraph"/>
        <w:numPr>
          <w:ilvl w:val="0"/>
          <w:numId w:val="0"/>
        </w:numPr>
        <w:ind w:left="720" w:hanging="720"/>
      </w:pPr>
    </w:p>
    <w:p w14:paraId="394219A7" w14:textId="5EE07CB1" w:rsidR="00783C54" w:rsidRPr="00783C54" w:rsidRDefault="00783C54" w:rsidP="00235523">
      <w:pPr>
        <w:pStyle w:val="ListParagraph"/>
        <w:keepNext/>
        <w:widowControl/>
        <w:ind w:left="720"/>
      </w:pPr>
      <w:r w:rsidRPr="00783C54">
        <w:t xml:space="preserve">In addition, the dynamic alignment commitment requires NI law to be updated to reflect any enhancement </w:t>
      </w:r>
      <w:r w:rsidRPr="00783C54">
        <w:rPr>
          <w:rFonts w:cs="Arial"/>
          <w:color w:val="000000" w:themeColor="text1"/>
        </w:rPr>
        <w:t xml:space="preserve">to minimum standards of protection enshrined in six EU </w:t>
      </w:r>
      <w:r w:rsidR="00D344EE" w:rsidRPr="00F334E8">
        <w:rPr>
          <w:rFonts w:cs="Arial"/>
          <w:color w:val="000000" w:themeColor="text1"/>
        </w:rPr>
        <w:t>equality directives</w:t>
      </w:r>
      <w:r w:rsidRPr="00783C54">
        <w:rPr>
          <w:rFonts w:cs="Arial"/>
          <w:color w:val="000000" w:themeColor="text1"/>
        </w:rPr>
        <w:t xml:space="preserve"> listed in Annex 1 to the Windsor Framework.</w:t>
      </w:r>
      <w:r w:rsidRPr="00783C54">
        <w:rPr>
          <w:rStyle w:val="FootnoteReference"/>
          <w:rFonts w:cs="Arial"/>
          <w:color w:val="000000" w:themeColor="text1"/>
        </w:rPr>
        <w:footnoteReference w:id="99"/>
      </w:r>
      <w:r w:rsidRPr="00783C54">
        <w:rPr>
          <w:rFonts w:cs="Arial"/>
          <w:color w:val="000000" w:themeColor="text1"/>
        </w:rPr>
        <w:t xml:space="preserve"> This is a demanding process and requires horizon scanning for new EU law and policy developments and CJEU case law. Once such developments are identified, ongoing monitoring and detailed analysis is required to identify those areas where NI law requires amendment to reflect those changes.  </w:t>
      </w:r>
    </w:p>
    <w:p w14:paraId="37DF00D2" w14:textId="77777777" w:rsidR="00783C54" w:rsidRPr="00783C54" w:rsidRDefault="00783C54" w:rsidP="00235523">
      <w:pPr>
        <w:pStyle w:val="ListParagraph"/>
        <w:numPr>
          <w:ilvl w:val="0"/>
          <w:numId w:val="0"/>
        </w:numPr>
        <w:ind w:left="720" w:hanging="720"/>
        <w:rPr>
          <w:rFonts w:cs="Arial"/>
          <w:color w:val="000000" w:themeColor="text1"/>
        </w:rPr>
      </w:pPr>
    </w:p>
    <w:p w14:paraId="216B8372" w14:textId="1644CD8C" w:rsidR="00783C54" w:rsidRDefault="00783C54" w:rsidP="00235523">
      <w:pPr>
        <w:pStyle w:val="ListParagraph"/>
        <w:keepNext/>
        <w:widowControl/>
        <w:ind w:left="720"/>
      </w:pPr>
      <w:r w:rsidRPr="00783C54">
        <w:rPr>
          <w:rFonts w:cs="Arial"/>
          <w:color w:val="000000" w:themeColor="text1"/>
        </w:rPr>
        <w:t>Where</w:t>
      </w:r>
      <w:r w:rsidRPr="00783C54">
        <w:t xml:space="preserve"> a new EU measure or provision of a new measure supplements, consolidates or further enforces an Annex 1</w:t>
      </w:r>
      <w:r w:rsidR="00530A26">
        <w:t xml:space="preserve"> Equality D</w:t>
      </w:r>
      <w:r w:rsidRPr="00783C54">
        <w:t>irective and does not explicitly state that it will amend or replace that measure, then a systematic approach is required to ensure that any enhancement to rights and protections is reflected in NI law.  This clause by clause analysis should take into account at least the legal basis; the aim or purpose of the new measure; the overlap on the substance of rights and safeguards; the degree to which it facilitates the application and implementation of the Annex 1 Directive; whether it facilitates enforcement; the degree to which is interprets and clarifies existing concepts; and any relevant CJEU case law.</w:t>
      </w:r>
      <w:r w:rsidRPr="00783C54">
        <w:rPr>
          <w:rStyle w:val="FootnoteReference"/>
        </w:rPr>
        <w:footnoteReference w:id="100"/>
      </w:r>
    </w:p>
    <w:p w14:paraId="1F57BE62" w14:textId="77777777" w:rsidR="00783C54" w:rsidRPr="00783C54" w:rsidRDefault="00783C54" w:rsidP="00235523">
      <w:pPr>
        <w:pStyle w:val="ListParagraph"/>
        <w:numPr>
          <w:ilvl w:val="0"/>
          <w:numId w:val="0"/>
        </w:numPr>
        <w:ind w:left="720" w:hanging="720"/>
      </w:pPr>
    </w:p>
    <w:p w14:paraId="16D0A9A0" w14:textId="62F13836" w:rsidR="2FC83ED4" w:rsidRDefault="2FC83ED4" w:rsidP="00235523">
      <w:pPr>
        <w:pStyle w:val="ListParagraph"/>
        <w:keepNext/>
        <w:widowControl/>
        <w:ind w:left="720"/>
      </w:pPr>
      <w:r>
        <w:t xml:space="preserve">Therefore, the Dedicated Mechanism framework provides the oversight and accountability structure for the implementation of the </w:t>
      </w:r>
      <w:r>
        <w:lastRenderedPageBreak/>
        <w:t xml:space="preserve">non-diminution commitment in </w:t>
      </w:r>
      <w:r w:rsidR="00837A34">
        <w:t>NI</w:t>
      </w:r>
      <w:r>
        <w:t xml:space="preserve">, established under Windsor Framework Article 2. </w:t>
      </w:r>
    </w:p>
    <w:p w14:paraId="03697406" w14:textId="1EE19228" w:rsidR="5D049508" w:rsidRDefault="5D049508" w:rsidP="5D049508">
      <w:pPr>
        <w:pStyle w:val="ListParagraph"/>
        <w:keepNext/>
        <w:widowControl/>
        <w:numPr>
          <w:ilvl w:val="0"/>
          <w:numId w:val="0"/>
        </w:numPr>
        <w:ind w:left="720"/>
      </w:pPr>
    </w:p>
    <w:p w14:paraId="2621722C" w14:textId="1A588637" w:rsidR="2FC83ED4" w:rsidRDefault="2FC83ED4" w:rsidP="00EF773A">
      <w:pPr>
        <w:pStyle w:val="Heading2"/>
      </w:pPr>
      <w:bookmarkStart w:id="25" w:name="_Toc235087552"/>
      <w:r>
        <w:t>Question 11: How are the Commissions resourced? Could this be improved?</w:t>
      </w:r>
      <w:bookmarkEnd w:id="25"/>
    </w:p>
    <w:p w14:paraId="4CA171B0" w14:textId="75B2BB7B" w:rsidR="00D350FB" w:rsidRDefault="00A04D9D" w:rsidP="00235523">
      <w:pPr>
        <w:pStyle w:val="ListParagraph"/>
        <w:keepNext/>
        <w:widowControl/>
        <w:ind w:left="720"/>
      </w:pPr>
      <w:r w:rsidRPr="00E8666A">
        <w:t xml:space="preserve">In </w:t>
      </w:r>
      <w:r w:rsidR="008521A1" w:rsidRPr="00E8666A">
        <w:t>Article</w:t>
      </w:r>
      <w:r w:rsidRPr="00E8666A">
        <w:t xml:space="preserve"> 2(2),</w:t>
      </w:r>
      <w:r w:rsidR="008521A1" w:rsidRPr="00E8666A">
        <w:t xml:space="preserve"> </w:t>
      </w:r>
      <w:r w:rsidRPr="00E8666A">
        <w:t>UK Government commit</w:t>
      </w:r>
      <w:r w:rsidR="00D16951" w:rsidRPr="00E8666A">
        <w:t>s</w:t>
      </w:r>
      <w:r w:rsidRPr="00E8666A">
        <w:t xml:space="preserve"> to implementin</w:t>
      </w:r>
      <w:r w:rsidR="008521A1" w:rsidRPr="00E8666A">
        <w:t xml:space="preserve">g Article 2(1) </w:t>
      </w:r>
      <w:r w:rsidRPr="00E8666A">
        <w:t>through dedicated mechanisms</w:t>
      </w:r>
      <w:r>
        <w:t xml:space="preserve"> and to </w:t>
      </w:r>
      <w:r w:rsidR="008521A1">
        <w:t xml:space="preserve">the continued </w:t>
      </w:r>
      <w:r>
        <w:t>facilitat</w:t>
      </w:r>
      <w:r w:rsidR="008521A1">
        <w:t>ion of</w:t>
      </w:r>
      <w:r>
        <w:t xml:space="preserve"> the related work of bodies set up pursuant to the Belfast (Good Friday) Agreement, including the NIHRC</w:t>
      </w:r>
      <w:r w:rsidR="008521A1">
        <w:t xml:space="preserve">, the Equality Commission for NI </w:t>
      </w:r>
      <w:r>
        <w:t>and the Joint Committee of the NIHRC and Irish Human Rights and Equality Commission</w:t>
      </w:r>
      <w:r w:rsidR="008521A1">
        <w:t xml:space="preserve"> in upholding</w:t>
      </w:r>
      <w:r w:rsidR="00B454B8">
        <w:t xml:space="preserve"> human rights and equality standards</w:t>
      </w:r>
      <w:r>
        <w:t>.</w:t>
      </w:r>
      <w:r>
        <w:rPr>
          <w:rStyle w:val="FootnoteReference"/>
        </w:rPr>
        <w:footnoteReference w:id="101"/>
      </w:r>
    </w:p>
    <w:p w14:paraId="02D0D6E3" w14:textId="77777777" w:rsidR="004364C8" w:rsidRDefault="004364C8" w:rsidP="00235523">
      <w:pPr>
        <w:pStyle w:val="ListParagraph"/>
        <w:keepNext/>
        <w:widowControl/>
        <w:numPr>
          <w:ilvl w:val="0"/>
          <w:numId w:val="0"/>
        </w:numPr>
        <w:ind w:left="720" w:hanging="720"/>
      </w:pPr>
    </w:p>
    <w:p w14:paraId="3E85FC3A" w14:textId="05D92D29" w:rsidR="00FD34B6" w:rsidRDefault="00733F4E" w:rsidP="00235523">
      <w:pPr>
        <w:pStyle w:val="ListParagraph"/>
        <w:keepNext/>
        <w:widowControl/>
        <w:ind w:left="720"/>
      </w:pPr>
      <w:r>
        <w:t>F</w:t>
      </w:r>
      <w:r w:rsidR="00010751">
        <w:t xml:space="preserve">urther to the amendments to the </w:t>
      </w:r>
      <w:r w:rsidR="00BF3D92">
        <w:t>Northern Ireland</w:t>
      </w:r>
      <w:r w:rsidR="00010751">
        <w:t xml:space="preserve"> Act 1998 to empower the Commissions in line with </w:t>
      </w:r>
      <w:r w:rsidR="00107C46">
        <w:t xml:space="preserve">Windsor Framework </w:t>
      </w:r>
      <w:r w:rsidR="00010751">
        <w:t xml:space="preserve">Article 2, the </w:t>
      </w:r>
      <w:r w:rsidR="0013624C">
        <w:t>NIHRC receives an additional budget for the p</w:t>
      </w:r>
      <w:r w:rsidR="005D0DB0">
        <w:t xml:space="preserve">urposes of these functions, from the </w:t>
      </w:r>
      <w:r w:rsidR="00074287">
        <w:t>NI</w:t>
      </w:r>
      <w:r w:rsidR="005D0DB0">
        <w:t xml:space="preserve"> Office.</w:t>
      </w:r>
      <w:r w:rsidR="0043194D" w:rsidRPr="00F334E8">
        <w:t xml:space="preserve"> </w:t>
      </w:r>
    </w:p>
    <w:p w14:paraId="57504564" w14:textId="1952AAB7" w:rsidR="008844D2" w:rsidRDefault="008844D2" w:rsidP="00235523">
      <w:pPr>
        <w:ind w:left="720" w:hanging="720"/>
      </w:pPr>
    </w:p>
    <w:p w14:paraId="2D19580C" w14:textId="7F9E9441" w:rsidR="002F5615" w:rsidRDefault="00F26887" w:rsidP="00235523">
      <w:pPr>
        <w:pStyle w:val="ListParagraph"/>
        <w:ind w:left="720"/>
      </w:pPr>
      <w:r>
        <w:t>Further to the analysis above, t</w:t>
      </w:r>
      <w:r w:rsidR="00100D00">
        <w:t xml:space="preserve">he </w:t>
      </w:r>
      <w:r w:rsidR="00E83D21">
        <w:t>NIHRC must</w:t>
      </w:r>
      <w:r w:rsidR="00C277F6">
        <w:t xml:space="preserve"> take time to</w:t>
      </w:r>
      <w:r w:rsidR="007A6D2C">
        <w:t xml:space="preserve"> understand the complexities and </w:t>
      </w:r>
      <w:r>
        <w:t xml:space="preserve">implications </w:t>
      </w:r>
      <w:r w:rsidR="007A6D2C">
        <w:t xml:space="preserve">of </w:t>
      </w:r>
      <w:r>
        <w:t xml:space="preserve">the </w:t>
      </w:r>
      <w:r>
        <w:rPr>
          <w:i/>
          <w:iCs/>
        </w:rPr>
        <w:t xml:space="preserve">Dillon </w:t>
      </w:r>
      <w:r w:rsidR="007A6D2C">
        <w:t xml:space="preserve">judgment, while </w:t>
      </w:r>
      <w:proofErr w:type="gramStart"/>
      <w:r w:rsidR="007A6D2C">
        <w:t>taking into account</w:t>
      </w:r>
      <w:proofErr w:type="gramEnd"/>
      <w:r w:rsidR="007A6D2C">
        <w:t xml:space="preserve"> the issues which were not considered by the </w:t>
      </w:r>
      <w:r w:rsidR="00D350FB">
        <w:t xml:space="preserve">Court </w:t>
      </w:r>
      <w:r w:rsidR="007A6D2C">
        <w:t xml:space="preserve">and the ongoing uncertainties. </w:t>
      </w:r>
      <w:r w:rsidR="002F5615">
        <w:t>The NIHRC must continue to exercise i</w:t>
      </w:r>
      <w:r w:rsidR="001B378A">
        <w:t>t</w:t>
      </w:r>
      <w:r w:rsidR="002F5615">
        <w:t xml:space="preserve">s functions to bring or intervene in proceedings, or to assist individuals before the courts, in relation to an </w:t>
      </w:r>
      <w:r w:rsidR="002F5615" w:rsidRPr="00E83D21">
        <w:t>alleged breach or potential future breach</w:t>
      </w:r>
      <w:r w:rsidR="002F5615">
        <w:t xml:space="preserve"> of Windsor Framework Article 2.</w:t>
      </w:r>
      <w:r w:rsidR="002F5615">
        <w:rPr>
          <w:rStyle w:val="FootnoteReference"/>
        </w:rPr>
        <w:footnoteReference w:id="102"/>
      </w:r>
      <w:r w:rsidR="002F5615">
        <w:t xml:space="preserve"> </w:t>
      </w:r>
      <w:r w:rsidR="002F5615" w:rsidRPr="00E83D21">
        <w:t> </w:t>
      </w:r>
    </w:p>
    <w:p w14:paraId="4053A039" w14:textId="77777777" w:rsidR="002F5615" w:rsidRDefault="002F5615" w:rsidP="00235523">
      <w:pPr>
        <w:pStyle w:val="ListParagraph"/>
        <w:numPr>
          <w:ilvl w:val="0"/>
          <w:numId w:val="0"/>
        </w:numPr>
        <w:ind w:left="720" w:hanging="720"/>
      </w:pPr>
    </w:p>
    <w:p w14:paraId="3F6C4C60" w14:textId="485C12E8" w:rsidR="00783C54" w:rsidRDefault="007A6D2C" w:rsidP="00235523">
      <w:pPr>
        <w:pStyle w:val="ListParagraph"/>
        <w:widowControl/>
        <w:ind w:left="720"/>
      </w:pPr>
      <w:r>
        <w:t xml:space="preserve">Within this context the </w:t>
      </w:r>
      <w:r w:rsidR="002F5615">
        <w:t xml:space="preserve">NIHRC </w:t>
      </w:r>
      <w:r>
        <w:t xml:space="preserve">must </w:t>
      </w:r>
      <w:r w:rsidR="002F5615">
        <w:t xml:space="preserve">also </w:t>
      </w:r>
      <w:r>
        <w:t xml:space="preserve">continue to </w:t>
      </w:r>
      <w:r w:rsidR="00B4446B">
        <w:t xml:space="preserve">monitor the implementation of Windsor Framework Article 2 and </w:t>
      </w:r>
      <w:r>
        <w:t>undertake its functions of providing advice to the UK Government and Parliament</w:t>
      </w:r>
      <w:r w:rsidR="002F5615">
        <w:t xml:space="preserve"> and to </w:t>
      </w:r>
      <w:r>
        <w:t>the NI Executive and Assembly</w:t>
      </w:r>
      <w:r w:rsidR="002F5615">
        <w:t>, as required.</w:t>
      </w:r>
      <w:r w:rsidR="002F5615">
        <w:rPr>
          <w:rStyle w:val="FootnoteReference"/>
        </w:rPr>
        <w:footnoteReference w:id="103"/>
      </w:r>
      <w:r w:rsidR="002F5615">
        <w:t xml:space="preserve">  The NIHRC must also </w:t>
      </w:r>
      <w:r>
        <w:t xml:space="preserve">promote understanding and awareness </w:t>
      </w:r>
      <w:r w:rsidR="002F5615">
        <w:t xml:space="preserve">of </w:t>
      </w:r>
      <w:r>
        <w:t xml:space="preserve">Windsor Framework Article 2, </w:t>
      </w:r>
      <w:r w:rsidR="002F5615">
        <w:t xml:space="preserve">including </w:t>
      </w:r>
      <w:r>
        <w:t xml:space="preserve">through research and </w:t>
      </w:r>
      <w:r w:rsidR="002F5615">
        <w:t>education.</w:t>
      </w:r>
      <w:r w:rsidR="00B4446B">
        <w:rPr>
          <w:rStyle w:val="FootnoteReference"/>
        </w:rPr>
        <w:footnoteReference w:id="104"/>
      </w:r>
      <w:r>
        <w:t xml:space="preserve">  </w:t>
      </w:r>
      <w:r w:rsidR="00783C54" w:rsidRPr="00F334E8">
        <w:t xml:space="preserve">It is challenging to exercise </w:t>
      </w:r>
      <w:r w:rsidR="00107C46" w:rsidRPr="00F334E8">
        <w:t xml:space="preserve">the </w:t>
      </w:r>
      <w:r w:rsidR="00390DBF" w:rsidRPr="00F334E8">
        <w:t>NIHRC</w:t>
      </w:r>
      <w:r w:rsidR="00783C54" w:rsidRPr="00F334E8">
        <w:t xml:space="preserve">’s functions as fully and effectively as we would like on current resources. However, a </w:t>
      </w:r>
      <w:r w:rsidR="00783C54" w:rsidRPr="00F334E8">
        <w:lastRenderedPageBreak/>
        <w:t xml:space="preserve">further review of the resourcing requirements would be more appropriate when there is more clarity on the scope of </w:t>
      </w:r>
      <w:r w:rsidR="00107C46" w:rsidRPr="00F334E8">
        <w:t>Windsor Framework Article 2</w:t>
      </w:r>
      <w:r w:rsidR="00783C54">
        <w:t>.</w:t>
      </w:r>
    </w:p>
    <w:p w14:paraId="4C7E7B1F" w14:textId="77777777" w:rsidR="00B4446B" w:rsidRDefault="00B4446B" w:rsidP="00235523">
      <w:pPr>
        <w:pStyle w:val="ListParagraph"/>
        <w:numPr>
          <w:ilvl w:val="0"/>
          <w:numId w:val="0"/>
        </w:numPr>
        <w:ind w:left="720" w:hanging="720"/>
      </w:pPr>
    </w:p>
    <w:p w14:paraId="5B0444D8" w14:textId="7318A66A" w:rsidR="00100D00" w:rsidRPr="00393E2C" w:rsidRDefault="00DB5B2A" w:rsidP="00235523">
      <w:pPr>
        <w:pStyle w:val="ListParagraph"/>
        <w:widowControl/>
        <w:ind w:left="720"/>
      </w:pPr>
      <w:r w:rsidRPr="00393E2C">
        <w:t xml:space="preserve">In 2023, following a significant period of deferral, the NIHRC was reaccredited </w:t>
      </w:r>
      <w:r w:rsidR="00983857" w:rsidRPr="00393E2C">
        <w:t>by the UN Global Alliance of National Human Rights Institutions</w:t>
      </w:r>
      <w:r w:rsidR="0009173D" w:rsidRPr="00393E2C">
        <w:t>,</w:t>
      </w:r>
      <w:r w:rsidR="005E239A" w:rsidRPr="00393E2C">
        <w:t xml:space="preserve"> </w:t>
      </w:r>
      <w:r w:rsidRPr="00393E2C">
        <w:t>retaining its ‘A status</w:t>
      </w:r>
      <w:r w:rsidRPr="00393E2C">
        <w:rPr>
          <w:szCs w:val="28"/>
        </w:rPr>
        <w:t>’,</w:t>
      </w:r>
      <w:r w:rsidRPr="00393E2C">
        <w:t xml:space="preserve"> subject to an interim self-reporting obligation on areas of concern.</w:t>
      </w:r>
      <w:r w:rsidRPr="00393E2C">
        <w:rPr>
          <w:rStyle w:val="FootnoteReference"/>
          <w:rFonts w:cs="Arial"/>
        </w:rPr>
        <w:footnoteReference w:id="105"/>
      </w:r>
      <w:r w:rsidRPr="00393E2C">
        <w:t xml:space="preserve"> The</w:t>
      </w:r>
      <w:r w:rsidR="00100D00" w:rsidRPr="00393E2C">
        <w:t xml:space="preserve"> Sub-Committee on Accreditation </w:t>
      </w:r>
      <w:r w:rsidRPr="00393E2C">
        <w:t xml:space="preserve">raised concerns </w:t>
      </w:r>
      <w:r w:rsidR="00100D00" w:rsidRPr="00393E2C">
        <w:t>about the NIHRC’s compliance with UN Paris Principles</w:t>
      </w:r>
      <w:r w:rsidRPr="00393E2C">
        <w:t>.</w:t>
      </w:r>
      <w:r w:rsidR="00100D00" w:rsidRPr="00393E2C">
        <w:rPr>
          <w:vertAlign w:val="superscript"/>
        </w:rPr>
        <w:footnoteReference w:id="106"/>
      </w:r>
      <w:r w:rsidR="00100D00" w:rsidRPr="00393E2C">
        <w:t xml:space="preserve"> </w:t>
      </w:r>
      <w:r w:rsidRPr="00393E2C">
        <w:t xml:space="preserve">The NIHRC was also concerned there would be a potential breach of Windsor Framework Article 2(2) if its ‘A-status’ </w:t>
      </w:r>
      <w:r w:rsidR="00CF572D" w:rsidRPr="00393E2C">
        <w:t>wa</w:t>
      </w:r>
      <w:r w:rsidRPr="00393E2C">
        <w:t>s not retained.</w:t>
      </w:r>
      <w:r w:rsidRPr="00393E2C">
        <w:rPr>
          <w:rStyle w:val="FootnoteReference"/>
        </w:rPr>
        <w:footnoteReference w:id="107"/>
      </w:r>
      <w:r w:rsidRPr="00393E2C">
        <w:t xml:space="preserve"> A </w:t>
      </w:r>
      <w:r w:rsidR="00100D00" w:rsidRPr="00393E2C">
        <w:t>subsequent independent review recommend</w:t>
      </w:r>
      <w:r w:rsidR="00896D7C" w:rsidRPr="00393E2C">
        <w:t>ed</w:t>
      </w:r>
      <w:r w:rsidR="00100D00" w:rsidRPr="00393E2C">
        <w:t>, inter alia, an uplift and comprehensive review of the NIHRC’s budget, and a revised sponsorship arrangement between the NIHRC and the NI Office.</w:t>
      </w:r>
      <w:r w:rsidR="00100D00" w:rsidRPr="00393E2C">
        <w:rPr>
          <w:rStyle w:val="FootnoteReference"/>
        </w:rPr>
        <w:footnoteReference w:id="108"/>
      </w:r>
      <w:r w:rsidRPr="00393E2C">
        <w:t xml:space="preserve"> The UK Government accepted most of the independent review’s recommendations, including an agreement, in principle, to a budget review which could consider the ring fenced arrangements that currently exist within the NIHRC’s overall budget for work on the </w:t>
      </w:r>
      <w:r w:rsidR="00052792">
        <w:t>Dedicated Mechanism</w:t>
      </w:r>
      <w:r w:rsidRPr="00393E2C">
        <w:t>.</w:t>
      </w:r>
      <w:r w:rsidRPr="00393E2C">
        <w:rPr>
          <w:rStyle w:val="FootnoteReference"/>
        </w:rPr>
        <w:footnoteReference w:id="109"/>
      </w:r>
    </w:p>
    <w:p w14:paraId="001C28EA" w14:textId="77777777" w:rsidR="00DB5B2A" w:rsidRPr="00393E2C" w:rsidRDefault="00DB5B2A" w:rsidP="00235523">
      <w:pPr>
        <w:pStyle w:val="ListParagraph"/>
        <w:numPr>
          <w:ilvl w:val="0"/>
          <w:numId w:val="0"/>
        </w:numPr>
        <w:ind w:left="720" w:hanging="720"/>
      </w:pPr>
    </w:p>
    <w:p w14:paraId="535A55D9" w14:textId="1E950662" w:rsidR="00B4446B" w:rsidRPr="00393E2C" w:rsidRDefault="00B4446B" w:rsidP="00235523">
      <w:pPr>
        <w:pStyle w:val="ListParagraph"/>
        <w:widowControl/>
        <w:ind w:left="720"/>
      </w:pPr>
      <w:r w:rsidRPr="00393E2C">
        <w:t>The UK Government Spending Review 2025-2029 provided a positive outcome on funding and goes some way toward addressing the matters raised by the Sub-Committee on Accreditation.</w:t>
      </w:r>
      <w:r w:rsidRPr="00393E2C">
        <w:rPr>
          <w:rStyle w:val="FootnoteReference"/>
        </w:rPr>
        <w:footnoteReference w:id="110"/>
      </w:r>
      <w:r w:rsidRPr="00393E2C">
        <w:t xml:space="preserve"> However, at no point over the lifetime of the Spending Review will the NIHRC have reached a level considered sufficient to fund the staffing, infrastructure and institutional capacity required to fully perform its functions or discharge the responsibilities as envisaged. This conclusion is consistent with the findings and recommendations of the two independent reviews.</w:t>
      </w:r>
      <w:r w:rsidR="00A43D4B" w:rsidRPr="00393E2C">
        <w:rPr>
          <w:rStyle w:val="FootnoteReference"/>
        </w:rPr>
        <w:footnoteReference w:id="111"/>
      </w:r>
      <w:r w:rsidRPr="00393E2C">
        <w:t xml:space="preserve"> </w:t>
      </w:r>
    </w:p>
    <w:p w14:paraId="4B9C528E" w14:textId="77777777" w:rsidR="00B4446B" w:rsidRPr="00393E2C" w:rsidRDefault="00B4446B" w:rsidP="00235523">
      <w:pPr>
        <w:pStyle w:val="ListParagraph"/>
        <w:widowControl/>
        <w:numPr>
          <w:ilvl w:val="0"/>
          <w:numId w:val="0"/>
        </w:numPr>
        <w:ind w:left="720" w:hanging="720"/>
      </w:pPr>
    </w:p>
    <w:p w14:paraId="4717E8F4" w14:textId="1177D38E" w:rsidR="00B4446B" w:rsidRPr="00393E2C" w:rsidRDefault="00B4446B" w:rsidP="00235523">
      <w:pPr>
        <w:pStyle w:val="ListParagraph"/>
        <w:keepNext/>
        <w:widowControl/>
        <w:ind w:left="720"/>
      </w:pPr>
      <w:r w:rsidRPr="00393E2C">
        <w:t>The NIHRC continues to work constructively toward</w:t>
      </w:r>
      <w:r w:rsidR="00C87091">
        <w:t>s</w:t>
      </w:r>
      <w:r w:rsidRPr="00393E2C">
        <w:t xml:space="preserve"> a sustainable solution with the NI Office </w:t>
      </w:r>
      <w:r w:rsidR="00A60687" w:rsidRPr="00393E2C">
        <w:t xml:space="preserve">and </w:t>
      </w:r>
      <w:r w:rsidRPr="00393E2C">
        <w:t>acknowledges the significant progress made through the Spending Review</w:t>
      </w:r>
      <w:r w:rsidR="006F0703">
        <w:t>;</w:t>
      </w:r>
      <w:r w:rsidRPr="00393E2C">
        <w:t xml:space="preserve"> recognis</w:t>
      </w:r>
      <w:r w:rsidR="00A60687" w:rsidRPr="00393E2C">
        <w:t>es</w:t>
      </w:r>
      <w:r w:rsidRPr="00393E2C">
        <w:t xml:space="preserve"> the current context of public spending constraints and the ongoing need for those in receipt of public funds to demonstrate further efficiencies and effective savings, where possible.</w:t>
      </w:r>
    </w:p>
    <w:p w14:paraId="68C44456" w14:textId="77777777" w:rsidR="001F47FF" w:rsidRPr="001F47FF" w:rsidRDefault="001F47FF" w:rsidP="00007651">
      <w:pPr>
        <w:pStyle w:val="ListParagraph"/>
        <w:numPr>
          <w:ilvl w:val="0"/>
          <w:numId w:val="0"/>
        </w:numPr>
        <w:ind w:left="720"/>
      </w:pPr>
    </w:p>
    <w:p w14:paraId="76862796" w14:textId="77777777" w:rsidR="001F47FF" w:rsidRDefault="001F47FF" w:rsidP="00EF773A">
      <w:pPr>
        <w:pStyle w:val="Heading2"/>
      </w:pPr>
      <w:bookmarkStart w:id="26" w:name="_Toc235087553"/>
      <w:r>
        <w:t xml:space="preserve">Question 12: </w:t>
      </w:r>
      <w:r w:rsidRPr="0017175B">
        <w:t>How would you assess the effectiveness of the existing Windsor Framework structures for formalised engagement between the Northern Ireland Executive and the Commissions? Could they be improved in future? If so, how?</w:t>
      </w:r>
      <w:bookmarkEnd w:id="26"/>
    </w:p>
    <w:p w14:paraId="7C0F71BD" w14:textId="03987329" w:rsidR="000824B9" w:rsidRDefault="00A60687" w:rsidP="000C65AA">
      <w:pPr>
        <w:pStyle w:val="ListParagraph"/>
        <w:keepNext/>
        <w:widowControl/>
        <w:ind w:left="720"/>
      </w:pPr>
      <w:r>
        <w:t>The NIHRC provide</w:t>
      </w:r>
      <w:r w:rsidR="00716B42">
        <w:t>s</w:t>
      </w:r>
      <w:r>
        <w:t xml:space="preserve"> advice to the NI </w:t>
      </w:r>
      <w:r w:rsidR="00BC2A45">
        <w:t xml:space="preserve">Executive </w:t>
      </w:r>
      <w:r>
        <w:t xml:space="preserve">and departments in line with its statutory </w:t>
      </w:r>
      <w:proofErr w:type="gramStart"/>
      <w:r>
        <w:t>functions</w:t>
      </w:r>
      <w:proofErr w:type="gramEnd"/>
      <w:r>
        <w:t xml:space="preserve"> and this </w:t>
      </w:r>
      <w:r w:rsidR="00BC2A45">
        <w:t>include</w:t>
      </w:r>
      <w:r>
        <w:t>s</w:t>
      </w:r>
      <w:r w:rsidR="00BC2A45">
        <w:t xml:space="preserve"> </w:t>
      </w:r>
      <w:r w:rsidR="00716B42">
        <w:t xml:space="preserve">responding to </w:t>
      </w:r>
      <w:r w:rsidR="00BC2A45">
        <w:t>consultation</w:t>
      </w:r>
      <w:r w:rsidR="0078174A">
        <w:t xml:space="preserve"> </w:t>
      </w:r>
      <w:r w:rsidR="00BC2A45">
        <w:t xml:space="preserve">processes, </w:t>
      </w:r>
      <w:r>
        <w:t>advice</w:t>
      </w:r>
      <w:r w:rsidR="00BC2A45">
        <w:t xml:space="preserve"> on legislation and policies, NI Assembly scrutiny processes and annual reporting on</w:t>
      </w:r>
      <w:r w:rsidR="006C5905">
        <w:t xml:space="preserve"> human rights issues related to Windsor Framework Article 2.</w:t>
      </w:r>
      <w:r>
        <w:rPr>
          <w:rStyle w:val="FootnoteReference"/>
        </w:rPr>
        <w:footnoteReference w:id="112"/>
      </w:r>
      <w:r>
        <w:t xml:space="preserve">  </w:t>
      </w:r>
      <w:r w:rsidR="005A2025">
        <w:t xml:space="preserve">Although these mechanisms provide opportunities for engagement, </w:t>
      </w:r>
      <w:r w:rsidR="00252799">
        <w:t xml:space="preserve">the effectiveness </w:t>
      </w:r>
      <w:r w:rsidR="00053FB6">
        <w:t xml:space="preserve">varies in practice. </w:t>
      </w:r>
      <w:r w:rsidR="00F21265">
        <w:t xml:space="preserve"> </w:t>
      </w:r>
    </w:p>
    <w:p w14:paraId="778B4A5B" w14:textId="77777777" w:rsidR="000824B9" w:rsidRDefault="000824B9" w:rsidP="000C65AA">
      <w:pPr>
        <w:pStyle w:val="ListParagraph"/>
        <w:numPr>
          <w:ilvl w:val="0"/>
          <w:numId w:val="0"/>
        </w:numPr>
        <w:ind w:left="720" w:hanging="720"/>
      </w:pPr>
    </w:p>
    <w:p w14:paraId="367C364F" w14:textId="5101FE42" w:rsidR="00EE44EF" w:rsidRDefault="00652BB1" w:rsidP="000C65AA">
      <w:pPr>
        <w:pStyle w:val="ListParagraph"/>
        <w:keepNext/>
        <w:widowControl/>
        <w:ind w:left="720"/>
      </w:pPr>
      <w:r>
        <w:t>The NIHRC has emphasised the importance of early consideration of Windsor Fram</w:t>
      </w:r>
      <w:r w:rsidR="00614A00">
        <w:t>e</w:t>
      </w:r>
      <w:r>
        <w:t xml:space="preserve">work Article 2 obligations to ensure implications </w:t>
      </w:r>
      <w:r w:rsidR="00854A50">
        <w:t>of</w:t>
      </w:r>
      <w:r>
        <w:t xml:space="preserve"> rights, safeguards and equality of opportunity can be identified and addressed prior to </w:t>
      </w:r>
      <w:r w:rsidR="00811DA4">
        <w:t>policy positions being taken.</w:t>
      </w:r>
    </w:p>
    <w:p w14:paraId="56920CCC" w14:textId="68770BAB" w:rsidR="5D049508" w:rsidRDefault="5D049508" w:rsidP="000C65AA">
      <w:pPr>
        <w:keepNext/>
        <w:ind w:left="720" w:hanging="720"/>
      </w:pPr>
    </w:p>
    <w:p w14:paraId="6B1EA87C" w14:textId="6E9C3E46" w:rsidR="3A0D6542" w:rsidRDefault="0071529E" w:rsidP="000C65AA">
      <w:pPr>
        <w:pStyle w:val="ListParagraph"/>
        <w:keepNext/>
        <w:widowControl/>
        <w:ind w:left="720"/>
      </w:pPr>
      <w:r>
        <w:rPr>
          <w:rFonts w:eastAsia="Arial-ItalicMT" w:cs="Arial-ItalicMT"/>
        </w:rPr>
        <w:t>I</w:t>
      </w:r>
      <w:r w:rsidR="00716B42" w:rsidRPr="159CEA78">
        <w:rPr>
          <w:rFonts w:eastAsia="Arial-ItalicMT" w:cs="Arial-ItalicMT"/>
        </w:rPr>
        <w:t xml:space="preserve">n 2023, the Executive Office </w:t>
      </w:r>
      <w:r w:rsidR="00716B42">
        <w:rPr>
          <w:rFonts w:eastAsia="Arial-ItalicMT" w:cs="Arial-ItalicMT"/>
        </w:rPr>
        <w:t>issued a</w:t>
      </w:r>
      <w:r w:rsidR="00716B42" w:rsidRPr="159CEA78">
        <w:rPr>
          <w:rFonts w:eastAsia="Arial-ItalicMT" w:cs="Arial-ItalicMT"/>
        </w:rPr>
        <w:t xml:space="preserve"> Windsor Framework Article 2 Impact Assessment</w:t>
      </w:r>
      <w:r w:rsidR="00716B42">
        <w:rPr>
          <w:rFonts w:eastAsia="Arial-ItalicMT" w:cs="Arial-ItalicMT"/>
        </w:rPr>
        <w:t xml:space="preserve"> accompanying a consultation</w:t>
      </w:r>
      <w:r w:rsidR="00716B42" w:rsidRPr="159CEA78">
        <w:rPr>
          <w:rFonts w:eastAsia="Arial-ItalicMT" w:cs="Arial-ItalicMT"/>
        </w:rPr>
        <w:t>.</w:t>
      </w:r>
      <w:r w:rsidR="00716B42" w:rsidRPr="159CEA78">
        <w:rPr>
          <w:rStyle w:val="FootnoteReference"/>
          <w:rFonts w:eastAsia="Arial-ItalicMT" w:cs="Arial-ItalicMT"/>
        </w:rPr>
        <w:footnoteReference w:id="113"/>
      </w:r>
      <w:r w:rsidR="00716B42" w:rsidRPr="159CEA78">
        <w:rPr>
          <w:rFonts w:eastAsia="Arial-ItalicMT" w:cs="Arial-ItalicMT"/>
        </w:rPr>
        <w:t xml:space="preserve"> </w:t>
      </w:r>
      <w:r w:rsidR="00716B42">
        <w:rPr>
          <w:rFonts w:eastAsia="Arial-ItalicMT" w:cs="Arial-ItalicMT"/>
        </w:rPr>
        <w:t>However, this approach has not been replicated across the Executive Office or other NI departments. For example</w:t>
      </w:r>
      <w:r w:rsidR="00655A58">
        <w:rPr>
          <w:rFonts w:eastAsia="Arial-ItalicMT" w:cs="Arial-ItalicMT"/>
        </w:rPr>
        <w:t xml:space="preserve">, most recently the NIHRC was concerned that the Executive Office consultation on the Draft Framework for Race Relations made no </w:t>
      </w:r>
      <w:r w:rsidR="00655A58" w:rsidRPr="00655A58">
        <w:rPr>
          <w:rFonts w:eastAsia="Arial-ItalicMT" w:cs="Arial-ItalicMT"/>
        </w:rPr>
        <w:t xml:space="preserve">reference to the EU Racial Equality Directive, which </w:t>
      </w:r>
      <w:r w:rsidR="00655A58">
        <w:rPr>
          <w:rFonts w:eastAsia="Arial-ItalicMT" w:cs="Arial-ItalicMT"/>
        </w:rPr>
        <w:t>is liste</w:t>
      </w:r>
      <w:r w:rsidR="00E87425">
        <w:rPr>
          <w:rFonts w:eastAsia="Arial-ItalicMT" w:cs="Arial-ItalicMT"/>
        </w:rPr>
        <w:t>d</w:t>
      </w:r>
      <w:r w:rsidR="00655A58">
        <w:rPr>
          <w:rFonts w:eastAsia="Arial-ItalicMT" w:cs="Arial-ItalicMT"/>
        </w:rPr>
        <w:t xml:space="preserve"> in Annex 1 to the Windsor Framework and </w:t>
      </w:r>
      <w:r w:rsidR="00655A58" w:rsidRPr="00655A58">
        <w:rPr>
          <w:rFonts w:eastAsia="Arial-ItalicMT" w:cs="Arial-ItalicMT"/>
        </w:rPr>
        <w:t>is subject to dynamic alignment</w:t>
      </w:r>
      <w:r w:rsidR="00655A58">
        <w:rPr>
          <w:rFonts w:eastAsia="Arial-ItalicMT" w:cs="Arial-ItalicMT"/>
        </w:rPr>
        <w:t>.</w:t>
      </w:r>
      <w:r w:rsidR="00655A58">
        <w:rPr>
          <w:rStyle w:val="FootnoteReference"/>
          <w:rFonts w:eastAsia="Arial-ItalicMT" w:cs="Arial-ItalicMT"/>
        </w:rPr>
        <w:footnoteReference w:id="114"/>
      </w:r>
      <w:r w:rsidR="0016262C">
        <w:rPr>
          <w:rFonts w:eastAsia="Arial-ItalicMT" w:cs="Arial-ItalicMT"/>
        </w:rPr>
        <w:t xml:space="preserve">  Moreover</w:t>
      </w:r>
      <w:r w:rsidR="00500C4D">
        <w:rPr>
          <w:rFonts w:eastAsia="Arial-ItalicMT" w:cs="Arial-ItalicMT"/>
        </w:rPr>
        <w:t>,</w:t>
      </w:r>
      <w:r w:rsidR="0016262C">
        <w:rPr>
          <w:rFonts w:eastAsia="Arial-ItalicMT" w:cs="Arial-ItalicMT"/>
        </w:rPr>
        <w:t xml:space="preserve"> </w:t>
      </w:r>
      <w:r w:rsidR="0016262C">
        <w:rPr>
          <w:rFonts w:eastAsia="Arial-ItalicMT" w:cs="Arial-ItalicMT"/>
        </w:rPr>
        <w:lastRenderedPageBreak/>
        <w:t>when the</w:t>
      </w:r>
      <w:r w:rsidR="00E53503">
        <w:rPr>
          <w:rFonts w:eastAsia="Arial-ItalicMT" w:cs="Arial-ItalicMT"/>
        </w:rPr>
        <w:t xml:space="preserve"> NIHRC</w:t>
      </w:r>
      <w:r w:rsidR="0016262C">
        <w:rPr>
          <w:rFonts w:eastAsia="Arial-ItalicMT" w:cs="Arial-ItalicMT"/>
        </w:rPr>
        <w:t xml:space="preserve"> provides advice this is not always considered by departments. </w:t>
      </w:r>
    </w:p>
    <w:p w14:paraId="603E19B5" w14:textId="4D8DAF10" w:rsidR="5D049508" w:rsidRDefault="5D049508" w:rsidP="000C65AA">
      <w:pPr>
        <w:pStyle w:val="ListParagraph"/>
        <w:keepNext/>
        <w:widowControl/>
        <w:numPr>
          <w:ilvl w:val="0"/>
          <w:numId w:val="0"/>
        </w:numPr>
        <w:ind w:left="720" w:hanging="720"/>
      </w:pPr>
    </w:p>
    <w:p w14:paraId="4D4ED2B4" w14:textId="4EDD6425" w:rsidR="5E41CB2B" w:rsidRDefault="006D362D" w:rsidP="000C65AA">
      <w:pPr>
        <w:pStyle w:val="ListParagraph"/>
        <w:keepNext/>
        <w:widowControl/>
        <w:ind w:left="720"/>
      </w:pPr>
      <w:r>
        <w:t xml:space="preserve">The </w:t>
      </w:r>
      <w:r w:rsidR="001551A3">
        <w:t xml:space="preserve">effectiveness of </w:t>
      </w:r>
      <w:r w:rsidR="00AD719B">
        <w:t>existing</w:t>
      </w:r>
      <w:r w:rsidR="001551A3">
        <w:t xml:space="preserve"> engagement structures should be considered alongside the NIHRC’s </w:t>
      </w:r>
      <w:r w:rsidR="00AD719B">
        <w:t>broader policy advice and scrutiny functions</w:t>
      </w:r>
      <w:r w:rsidR="51E5C4F6">
        <w:t xml:space="preserve">. </w:t>
      </w:r>
      <w:r w:rsidR="00D55281">
        <w:t xml:space="preserve">However, </w:t>
      </w:r>
      <w:r w:rsidR="0058075E">
        <w:t xml:space="preserve">the effectiveness of this oversight is limited unless </w:t>
      </w:r>
      <w:r w:rsidR="0071529E">
        <w:t>NIHRC advice is</w:t>
      </w:r>
      <w:r w:rsidR="0058075E">
        <w:t xml:space="preserve"> meaningfully </w:t>
      </w:r>
      <w:r w:rsidR="0071529E">
        <w:t xml:space="preserve">considered and </w:t>
      </w:r>
      <w:r w:rsidR="0058075E">
        <w:t xml:space="preserve">embedded within </w:t>
      </w:r>
      <w:r w:rsidR="0071529E">
        <w:t xml:space="preserve">Executive and departmental </w:t>
      </w:r>
      <w:r w:rsidR="0058075E">
        <w:t>decision</w:t>
      </w:r>
      <w:r w:rsidR="00271E40">
        <w:t>-</w:t>
      </w:r>
      <w:r w:rsidR="0058075E">
        <w:t>making processes.</w:t>
      </w:r>
      <w:r w:rsidR="7ECCF542">
        <w:t xml:space="preserve"> </w:t>
      </w:r>
    </w:p>
    <w:p w14:paraId="0D3F4AEA" w14:textId="73A3CCF1" w:rsidR="5D049508" w:rsidRDefault="5D049508" w:rsidP="000C65AA">
      <w:pPr>
        <w:pStyle w:val="ListParagraph"/>
        <w:keepNext/>
        <w:widowControl/>
        <w:numPr>
          <w:ilvl w:val="0"/>
          <w:numId w:val="0"/>
        </w:numPr>
        <w:ind w:left="720" w:hanging="720"/>
      </w:pPr>
    </w:p>
    <w:p w14:paraId="03BD2C48" w14:textId="0342BCC6" w:rsidR="753C2D59" w:rsidRDefault="753C2D59" w:rsidP="000C65AA">
      <w:pPr>
        <w:pStyle w:val="ListParagraph"/>
        <w:keepNext/>
        <w:widowControl/>
        <w:ind w:left="720"/>
      </w:pPr>
      <w:r>
        <w:t>Future improvements should focus on</w:t>
      </w:r>
      <w:r w:rsidR="07FD22E8">
        <w:t xml:space="preserve"> strengthening practical operations of existing structures. For example,</w:t>
      </w:r>
      <w:r>
        <w:t xml:space="preserve"> </w:t>
      </w:r>
      <w:r w:rsidR="13C0E63C">
        <w:t xml:space="preserve">improving transparency relating to Windsor Framework Article 2 </w:t>
      </w:r>
      <w:r w:rsidR="1FA86F7E">
        <w:t>considerations</w:t>
      </w:r>
      <w:r w:rsidR="13C0E63C">
        <w:t>, ensuring earlier engagem</w:t>
      </w:r>
      <w:r w:rsidR="3867C957">
        <w:t xml:space="preserve">ent on legislative developments and embedding systematic considerations across policy and legislation processes. </w:t>
      </w:r>
    </w:p>
    <w:p w14:paraId="174094AA" w14:textId="77777777" w:rsidR="0071529E" w:rsidRDefault="0071529E" w:rsidP="000C65AA">
      <w:pPr>
        <w:pStyle w:val="ListParagraph"/>
        <w:numPr>
          <w:ilvl w:val="0"/>
          <w:numId w:val="0"/>
        </w:numPr>
        <w:ind w:left="720" w:hanging="720"/>
      </w:pPr>
    </w:p>
    <w:p w14:paraId="2EA96521" w14:textId="698A85A2" w:rsidR="0071529E" w:rsidRDefault="0071529E" w:rsidP="000C65AA">
      <w:pPr>
        <w:pStyle w:val="ListParagraph"/>
        <w:ind w:left="720"/>
        <w:rPr>
          <w:b/>
          <w:bCs/>
        </w:rPr>
      </w:pPr>
      <w:r w:rsidRPr="0071529E">
        <w:rPr>
          <w:b/>
          <w:bCs/>
        </w:rPr>
        <w:t xml:space="preserve">The </w:t>
      </w:r>
      <w:r>
        <w:rPr>
          <w:b/>
          <w:bCs/>
        </w:rPr>
        <w:t xml:space="preserve">NIHRC </w:t>
      </w:r>
      <w:r w:rsidRPr="0071529E">
        <w:rPr>
          <w:b/>
          <w:bCs/>
        </w:rPr>
        <w:t xml:space="preserve">recommends that </w:t>
      </w:r>
      <w:r w:rsidR="00B96696">
        <w:rPr>
          <w:b/>
          <w:bCs/>
        </w:rPr>
        <w:t xml:space="preserve">the </w:t>
      </w:r>
      <w:r w:rsidRPr="0071529E">
        <w:rPr>
          <w:b/>
          <w:bCs/>
        </w:rPr>
        <w:t xml:space="preserve">NI Executive roll out effective training on Windsor Framework Article 2 to all relevant officials and act promptly to ensure guidance on policy and legislative development is updated to include </w:t>
      </w:r>
      <w:r w:rsidR="00B96696">
        <w:rPr>
          <w:b/>
          <w:bCs/>
        </w:rPr>
        <w:t xml:space="preserve">advice on </w:t>
      </w:r>
      <w:r w:rsidRPr="0071529E">
        <w:rPr>
          <w:b/>
          <w:bCs/>
        </w:rPr>
        <w:t>detailed consideration of Windsor Framework Article 2.</w:t>
      </w:r>
    </w:p>
    <w:p w14:paraId="33995F9B" w14:textId="77777777" w:rsidR="0071529E" w:rsidRDefault="0071529E" w:rsidP="000C65AA">
      <w:pPr>
        <w:pStyle w:val="ListParagraph"/>
        <w:numPr>
          <w:ilvl w:val="0"/>
          <w:numId w:val="0"/>
        </w:numPr>
        <w:ind w:left="720" w:hanging="720"/>
      </w:pPr>
    </w:p>
    <w:p w14:paraId="37B8B010" w14:textId="66E1A6F4" w:rsidR="0071529E" w:rsidRPr="00B96696" w:rsidRDefault="0071529E" w:rsidP="000C65AA">
      <w:pPr>
        <w:pStyle w:val="ListParagraph"/>
        <w:ind w:left="720"/>
        <w:rPr>
          <w:b/>
          <w:bCs/>
        </w:rPr>
      </w:pPr>
      <w:r w:rsidRPr="00B96696">
        <w:rPr>
          <w:b/>
          <w:bCs/>
        </w:rPr>
        <w:t xml:space="preserve">The </w:t>
      </w:r>
      <w:r w:rsidR="00B96696">
        <w:rPr>
          <w:b/>
          <w:bCs/>
        </w:rPr>
        <w:t xml:space="preserve">NIHRC </w:t>
      </w:r>
      <w:r w:rsidRPr="00B96696">
        <w:rPr>
          <w:b/>
          <w:bCs/>
        </w:rPr>
        <w:t>recommend</w:t>
      </w:r>
      <w:r w:rsidR="00B96696" w:rsidRPr="00B96696">
        <w:rPr>
          <w:b/>
          <w:bCs/>
        </w:rPr>
        <w:t>s</w:t>
      </w:r>
      <w:r w:rsidRPr="00B96696">
        <w:rPr>
          <w:b/>
          <w:bCs/>
        </w:rPr>
        <w:t xml:space="preserve"> that </w:t>
      </w:r>
      <w:r w:rsidR="00B96696" w:rsidRPr="00B96696">
        <w:rPr>
          <w:b/>
          <w:bCs/>
        </w:rPr>
        <w:t xml:space="preserve">the </w:t>
      </w:r>
      <w:r w:rsidRPr="00B96696">
        <w:rPr>
          <w:b/>
          <w:bCs/>
        </w:rPr>
        <w:t xml:space="preserve">NI Executive ensure that </w:t>
      </w:r>
      <w:r w:rsidR="00B96696" w:rsidRPr="00B96696">
        <w:rPr>
          <w:b/>
          <w:bCs/>
        </w:rPr>
        <w:t>E</w:t>
      </w:r>
      <w:r w:rsidRPr="00B96696">
        <w:rPr>
          <w:b/>
          <w:bCs/>
        </w:rPr>
        <w:t xml:space="preserve">xplanatory </w:t>
      </w:r>
      <w:r w:rsidR="00B96696" w:rsidRPr="00B96696">
        <w:rPr>
          <w:b/>
          <w:bCs/>
        </w:rPr>
        <w:t xml:space="preserve">Memoranda and </w:t>
      </w:r>
      <w:r w:rsidRPr="00B96696">
        <w:rPr>
          <w:b/>
          <w:bCs/>
        </w:rPr>
        <w:t xml:space="preserve">impact assessments set out detailed consideration of compliance with Windsor Framework Article 2. This should include </w:t>
      </w:r>
      <w:r w:rsidRPr="00B96696">
        <w:rPr>
          <w:rFonts w:eastAsia="Arial-ItalicMT"/>
          <w:b/>
          <w:bCs/>
        </w:rPr>
        <w:t xml:space="preserve">reviewing all provisions of EU law engaged under Windsor Framework Article 2 relevant to the legislation or policy being assessed, </w:t>
      </w:r>
      <w:r w:rsidRPr="00F334E8">
        <w:rPr>
          <w:rFonts w:eastAsia="Arial-ItalicMT"/>
          <w:b/>
        </w:rPr>
        <w:t>including EU law which underpins relevant ECHR rights</w:t>
      </w:r>
      <w:r w:rsidRPr="00B96696">
        <w:rPr>
          <w:rFonts w:eastAsia="Arial-ItalicMT"/>
          <w:b/>
          <w:bCs/>
        </w:rPr>
        <w:t>.</w:t>
      </w:r>
    </w:p>
    <w:p w14:paraId="434727DC" w14:textId="77777777" w:rsidR="0071529E" w:rsidRPr="00E07332" w:rsidRDefault="0071529E" w:rsidP="000C65AA">
      <w:pPr>
        <w:ind w:left="720" w:hanging="720"/>
      </w:pPr>
    </w:p>
    <w:p w14:paraId="2AD3B7D8" w14:textId="595F8A8A" w:rsidR="0071529E" w:rsidRPr="00B96696" w:rsidRDefault="0071529E" w:rsidP="000C65AA">
      <w:pPr>
        <w:pStyle w:val="ListParagraph"/>
        <w:ind w:left="720"/>
        <w:rPr>
          <w:b/>
          <w:bCs/>
        </w:rPr>
      </w:pPr>
      <w:r w:rsidRPr="00B96696">
        <w:rPr>
          <w:b/>
          <w:bCs/>
        </w:rPr>
        <w:t xml:space="preserve">The </w:t>
      </w:r>
      <w:r w:rsidR="00B96696" w:rsidRPr="00B96696">
        <w:rPr>
          <w:b/>
          <w:bCs/>
        </w:rPr>
        <w:t xml:space="preserve">NIHRC </w:t>
      </w:r>
      <w:r w:rsidRPr="00B96696">
        <w:rPr>
          <w:b/>
          <w:bCs/>
        </w:rPr>
        <w:t xml:space="preserve">recommends that, to facilitate compliance with the </w:t>
      </w:r>
      <w:r w:rsidR="00D344EE">
        <w:rPr>
          <w:b/>
          <w:bCs/>
        </w:rPr>
        <w:t>dynamic alignment</w:t>
      </w:r>
      <w:r w:rsidRPr="00B96696">
        <w:rPr>
          <w:rFonts w:eastAsia="Times New Roman"/>
          <w:b/>
          <w:bCs/>
        </w:rPr>
        <w:t xml:space="preserve"> obligation pursuant to Articles 2 and 13 of the Windsor Framework, </w:t>
      </w:r>
      <w:r w:rsidRPr="00B96696">
        <w:rPr>
          <w:b/>
          <w:bCs/>
        </w:rPr>
        <w:t>the Executive Office, the Department for Communities and other relevant departments, publish an annual report monitoring any proposed changes by the EU to the EU equality directives listed in Annex 1 and relevant CJEU case law.</w:t>
      </w:r>
    </w:p>
    <w:p w14:paraId="4766D09B" w14:textId="70E3A477" w:rsidR="001F47FF" w:rsidRDefault="001F47FF" w:rsidP="00780895">
      <w:pPr>
        <w:pStyle w:val="Heading1"/>
        <w:keepLines w:val="0"/>
      </w:pPr>
      <w:bookmarkStart w:id="27" w:name="_Toc235087554"/>
      <w:r>
        <w:lastRenderedPageBreak/>
        <w:t>Looking Forward</w:t>
      </w:r>
      <w:bookmarkEnd w:id="27"/>
      <w:r>
        <w:t xml:space="preserve"> </w:t>
      </w:r>
    </w:p>
    <w:p w14:paraId="6E13376C" w14:textId="0F9C0371" w:rsidR="00286DF2" w:rsidRDefault="001F47FF" w:rsidP="00EF773A">
      <w:pPr>
        <w:pStyle w:val="Heading2"/>
      </w:pPr>
      <w:bookmarkStart w:id="28" w:name="_Toc235087555"/>
      <w:r>
        <w:t xml:space="preserve">Question 13: </w:t>
      </w:r>
      <w:r w:rsidRPr="0017175B">
        <w:t>How does the UK Government meet its commitments under Article 2 WF when it is making new legislation? And the Northern Ireland Executive?</w:t>
      </w:r>
      <w:bookmarkEnd w:id="28"/>
      <w:r w:rsidR="00286DF2">
        <w:t xml:space="preserve"> </w:t>
      </w:r>
    </w:p>
    <w:p w14:paraId="3D022D5F" w14:textId="77777777" w:rsidR="00994C6E" w:rsidRDefault="00994C6E" w:rsidP="00EF773A">
      <w:pPr>
        <w:pStyle w:val="Heading2"/>
      </w:pPr>
      <w:bookmarkStart w:id="29" w:name="_Toc235087556"/>
      <w:r>
        <w:t>Question 13a: How might this be improved?</w:t>
      </w:r>
      <w:bookmarkEnd w:id="29"/>
    </w:p>
    <w:p w14:paraId="4B18D389" w14:textId="2A3F682E" w:rsidR="00286DF2" w:rsidRDefault="00D66B7B" w:rsidP="000C65AA">
      <w:pPr>
        <w:pStyle w:val="ListParagraph"/>
        <w:keepNext/>
        <w:widowControl/>
        <w:ind w:left="720"/>
      </w:pPr>
      <w:r>
        <w:t xml:space="preserve">Any new international commitment, such as that set out in Windsor Framework Article 2, requires sustained leadership and a significant body of work by the UK Government, NI Executive and others to implement.  This leadership and commitment should be evidenced by tangible actions across government, including by ensuring effective guidance and training for relevant officials; embedding early consideration of Windsor Framework Article 2 into policy and legislative development processes; and publishing analysis of compliance with Windsor Framework Article 2.  While there has been some progress in this area, the NIHRC considers that significant work is still required at NI Executive and UK Government level to ensure that systematic consideration of Windsor Framework Article 2 is embedded in policy and processes. </w:t>
      </w:r>
    </w:p>
    <w:p w14:paraId="262344FC" w14:textId="77777777" w:rsidR="008B6FF6" w:rsidRDefault="008B6FF6" w:rsidP="008B6FF6">
      <w:pPr>
        <w:keepNext/>
      </w:pPr>
    </w:p>
    <w:p w14:paraId="1F2D7ED2" w14:textId="342B1476" w:rsidR="008B6FF6" w:rsidRDefault="008B6FF6" w:rsidP="008B6FF6">
      <w:pPr>
        <w:pStyle w:val="Heading3"/>
      </w:pPr>
      <w:bookmarkStart w:id="30" w:name="_Toc235087557"/>
      <w:r>
        <w:t>UK Government and Parliament</w:t>
      </w:r>
      <w:bookmarkEnd w:id="30"/>
      <w:r>
        <w:t xml:space="preserve"> </w:t>
      </w:r>
    </w:p>
    <w:p w14:paraId="68E970C1" w14:textId="5DEC4001" w:rsidR="00D66B7B" w:rsidRDefault="00D66B7B" w:rsidP="000C65AA">
      <w:pPr>
        <w:pStyle w:val="ListParagraph"/>
        <w:keepNext/>
        <w:widowControl/>
        <w:ind w:left="720"/>
      </w:pPr>
      <w:r w:rsidRPr="009C5099">
        <w:t>In 2024, the Cabinet Office published updated guidance on preparing explanatory memoranda for statutory instruments</w:t>
      </w:r>
      <w:r>
        <w:t>,</w:t>
      </w:r>
      <w:r w:rsidRPr="009C5099">
        <w:t xml:space="preserve"> which advises that where legislation may interact with Windsor Framework Article 2</w:t>
      </w:r>
      <w:r>
        <w:t>,</w:t>
      </w:r>
      <w:r w:rsidRPr="009C5099">
        <w:t xml:space="preserve"> contact </w:t>
      </w:r>
      <w:r w:rsidRPr="00535015">
        <w:t>should</w:t>
      </w:r>
      <w:r w:rsidRPr="009C5099">
        <w:t xml:space="preserve"> be made with the Windsor Framework Taskforce</w:t>
      </w:r>
      <w:r>
        <w:t xml:space="preserve"> in the Cabinet Office.</w:t>
      </w:r>
      <w:r w:rsidRPr="009C5099">
        <w:rPr>
          <w:rStyle w:val="FootnoteReference"/>
        </w:rPr>
        <w:footnoteReference w:id="115"/>
      </w:r>
      <w:r>
        <w:t xml:space="preserve"> However, the guidance does not advise how to identify such situations</w:t>
      </w:r>
      <w:r w:rsidR="00352889">
        <w:t xml:space="preserve"> and must be </w:t>
      </w:r>
      <w:r w:rsidR="00B60C7F">
        <w:t xml:space="preserve">accompanied </w:t>
      </w:r>
      <w:r w:rsidR="00352889">
        <w:t>by appropriate training to enable relevant officials to identify such interactions</w:t>
      </w:r>
      <w:r>
        <w:t>.</w:t>
      </w:r>
      <w:r w:rsidR="00352889">
        <w:t xml:space="preserve"> </w:t>
      </w:r>
      <w:r w:rsidR="00A32DCA">
        <w:t xml:space="preserve">While the </w:t>
      </w:r>
      <w:r w:rsidR="00390DBF">
        <w:t>NIHRC</w:t>
      </w:r>
      <w:r w:rsidR="00A32DCA">
        <w:t xml:space="preserve"> understands training is made available to officials, materials have not been shared.</w:t>
      </w:r>
    </w:p>
    <w:p w14:paraId="029A8BBA" w14:textId="77777777" w:rsidR="00D66B7B" w:rsidRDefault="00D66B7B" w:rsidP="000C65AA">
      <w:pPr>
        <w:pStyle w:val="ListParagraph"/>
        <w:numPr>
          <w:ilvl w:val="0"/>
          <w:numId w:val="0"/>
        </w:numPr>
        <w:ind w:left="720" w:hanging="720"/>
      </w:pPr>
    </w:p>
    <w:p w14:paraId="444ABF52" w14:textId="09C608ED" w:rsidR="00D66B7B" w:rsidRDefault="00D66B7B" w:rsidP="000C65AA">
      <w:pPr>
        <w:pStyle w:val="ListParagraph"/>
        <w:keepNext/>
        <w:widowControl/>
        <w:ind w:left="720"/>
      </w:pPr>
      <w:r>
        <w:t>In February 2025, the Cabinet Office published an updated g</w:t>
      </w:r>
      <w:r w:rsidRPr="00983FEB">
        <w:t xml:space="preserve">uide to </w:t>
      </w:r>
      <w:r>
        <w:t>m</w:t>
      </w:r>
      <w:r w:rsidRPr="00983FEB">
        <w:t xml:space="preserve">aking </w:t>
      </w:r>
      <w:r>
        <w:t>l</w:t>
      </w:r>
      <w:r w:rsidRPr="00983FEB">
        <w:t>egislation</w:t>
      </w:r>
      <w:r>
        <w:t>, which references the importance of Windsor Framework Article 2 compliance.</w:t>
      </w:r>
      <w:r>
        <w:rPr>
          <w:rStyle w:val="FootnoteReference"/>
        </w:rPr>
        <w:footnoteReference w:id="116"/>
      </w:r>
      <w:r>
        <w:t xml:space="preserve"> Officials with </w:t>
      </w:r>
      <w:r w:rsidRPr="006A23D4">
        <w:t xml:space="preserve">questions about how best to consider </w:t>
      </w:r>
      <w:r>
        <w:t xml:space="preserve">Windsor Framework </w:t>
      </w:r>
      <w:r w:rsidRPr="006A23D4">
        <w:t xml:space="preserve">Article 2 when developing </w:t>
      </w:r>
      <w:r w:rsidRPr="006A23D4">
        <w:lastRenderedPageBreak/>
        <w:t xml:space="preserve">policy and legislation, </w:t>
      </w:r>
      <w:r>
        <w:t xml:space="preserve">are referred to </w:t>
      </w:r>
      <w:r w:rsidRPr="006A23D4">
        <w:t xml:space="preserve">the Rights Team in the </w:t>
      </w:r>
      <w:r>
        <w:t>NI</w:t>
      </w:r>
      <w:r w:rsidRPr="006A23D4">
        <w:t xml:space="preserve"> Office</w:t>
      </w:r>
      <w:r>
        <w:t>.</w:t>
      </w:r>
      <w:r>
        <w:rPr>
          <w:rStyle w:val="FootnoteReference"/>
        </w:rPr>
        <w:footnoteReference w:id="117"/>
      </w:r>
      <w:r>
        <w:t xml:space="preserve"> </w:t>
      </w:r>
      <w:r w:rsidRPr="007E5DC0">
        <w:t xml:space="preserve">The </w:t>
      </w:r>
      <w:r w:rsidR="00352889">
        <w:t xml:space="preserve">NIHRC </w:t>
      </w:r>
      <w:r>
        <w:t xml:space="preserve">is </w:t>
      </w:r>
      <w:r w:rsidRPr="007E5DC0">
        <w:t xml:space="preserve">concerned that this relies on an existing level of knowledge of </w:t>
      </w:r>
      <w:r>
        <w:t>Windsor Framework</w:t>
      </w:r>
      <w:r w:rsidRPr="007E5DC0">
        <w:t xml:space="preserve"> Article 2 among officials. Further detail would be required to ensure that officials are adequately informed to identify where legislation may engage </w:t>
      </w:r>
      <w:r>
        <w:t>Windsor Framework</w:t>
      </w:r>
      <w:r w:rsidRPr="00987AD4">
        <w:t xml:space="preserve"> </w:t>
      </w:r>
      <w:r w:rsidRPr="007E5DC0">
        <w:t>Article</w:t>
      </w:r>
      <w:r>
        <w:t xml:space="preserve"> 2.</w:t>
      </w:r>
      <w:r w:rsidR="00352889">
        <w:t xml:space="preserve"> This policy has not been consistently applied. </w:t>
      </w:r>
      <w:r>
        <w:t xml:space="preserve">  </w:t>
      </w:r>
    </w:p>
    <w:p w14:paraId="06025AD0" w14:textId="77777777" w:rsidR="008B6FF6" w:rsidRDefault="008B6FF6" w:rsidP="000C65AA">
      <w:pPr>
        <w:pStyle w:val="ListParagraph"/>
        <w:numPr>
          <w:ilvl w:val="0"/>
          <w:numId w:val="0"/>
        </w:numPr>
        <w:ind w:left="720" w:hanging="720"/>
      </w:pPr>
    </w:p>
    <w:p w14:paraId="122D5879" w14:textId="702512C5" w:rsidR="008C44D9" w:rsidRDefault="00352889" w:rsidP="000C65AA">
      <w:pPr>
        <w:pStyle w:val="ListParagraph"/>
        <w:keepNext/>
        <w:widowControl/>
        <w:ind w:left="720"/>
      </w:pPr>
      <w:r>
        <w:t xml:space="preserve">For example, in </w:t>
      </w:r>
      <w:r w:rsidR="008B6FF6">
        <w:t xml:space="preserve">October 2025, when introducing the NI Troubles Bill to the House of Commons, the accompanying Explanatory Notes </w:t>
      </w:r>
      <w:r w:rsidR="008B6FF6" w:rsidRPr="00945718">
        <w:t>refer</w:t>
      </w:r>
      <w:r w:rsidR="008B6FF6">
        <w:t>red</w:t>
      </w:r>
      <w:r w:rsidR="008B6FF6" w:rsidRPr="00945718">
        <w:t xml:space="preserve"> only to those findings of the NI Court of Appeal that relate to the ECHR</w:t>
      </w:r>
      <w:r w:rsidR="008B6FF6">
        <w:t xml:space="preserve"> and did not </w:t>
      </w:r>
      <w:r w:rsidR="004D5556">
        <w:t>refe</w:t>
      </w:r>
      <w:r w:rsidR="00DB0923">
        <w:t>r to the</w:t>
      </w:r>
      <w:r w:rsidR="008B6FF6">
        <w:t xml:space="preserve"> Windsor Framework Article 2</w:t>
      </w:r>
      <w:r w:rsidR="005863C8">
        <w:t xml:space="preserve"> aspects of that case.</w:t>
      </w:r>
      <w:r w:rsidR="008B6FF6" w:rsidRPr="00945718">
        <w:rPr>
          <w:rStyle w:val="FootnoteReference"/>
        </w:rPr>
        <w:footnoteReference w:id="118"/>
      </w:r>
      <w:r w:rsidR="005863C8">
        <w:t xml:space="preserve">  </w:t>
      </w:r>
      <w:r w:rsidR="005863C8" w:rsidRPr="00945718">
        <w:t>The NI Court of Appeal held that several provisions of the 2023 Act were incompatible with the EU Victims’ Directive and therefore in breach of Windsor Framework Article 2.</w:t>
      </w:r>
      <w:r w:rsidR="005863C8" w:rsidRPr="00945718">
        <w:rPr>
          <w:rStyle w:val="FootnoteReference"/>
        </w:rPr>
        <w:footnoteReference w:id="119"/>
      </w:r>
      <w:r w:rsidR="005863C8">
        <w:t xml:space="preserve">  In May 2026, following the introduction of the Bill in the new parliamentary session, the UK Government published updated Explanatory Note</w:t>
      </w:r>
      <w:r w:rsidR="00293274">
        <w:t>s</w:t>
      </w:r>
      <w:r w:rsidR="005863C8">
        <w:t xml:space="preserve"> to accompany the Bill</w:t>
      </w:r>
      <w:r w:rsidR="005B1EEC">
        <w:t>. These updated notes highlighted the Courts’ consideration of both the ECHR and Windsor Framework Article 2 ultimately noting that the UK Supreme Court found that the Legacy Act 2023 did not lead to a diminution of rights contrary to Article 2.</w:t>
      </w:r>
      <w:r w:rsidR="005B1EEC">
        <w:rPr>
          <w:rStyle w:val="FootnoteReference"/>
        </w:rPr>
        <w:footnoteReference w:id="120"/>
      </w:r>
      <w:r w:rsidR="005B1EEC">
        <w:t xml:space="preserve">  </w:t>
      </w:r>
      <w:r w:rsidR="00033EA3">
        <w:t>The NIHRC welcomes this development.</w:t>
      </w:r>
    </w:p>
    <w:p w14:paraId="29404A1C" w14:textId="77777777" w:rsidR="00AF33E0" w:rsidRDefault="00AF33E0" w:rsidP="000C65AA">
      <w:pPr>
        <w:pStyle w:val="ListParagraph"/>
        <w:numPr>
          <w:ilvl w:val="0"/>
          <w:numId w:val="0"/>
        </w:numPr>
        <w:ind w:left="720" w:hanging="720"/>
      </w:pPr>
    </w:p>
    <w:p w14:paraId="634A021F" w14:textId="52D08F3E" w:rsidR="00AF33E0" w:rsidRDefault="00AF33E0" w:rsidP="000C65AA">
      <w:pPr>
        <w:pStyle w:val="ListParagraph"/>
        <w:keepNext/>
        <w:widowControl/>
        <w:ind w:left="720"/>
      </w:pPr>
      <w:r w:rsidRPr="00945718">
        <w:t xml:space="preserve">In addition, the </w:t>
      </w:r>
      <w:r w:rsidR="00390DBF">
        <w:t>NIHRC</w:t>
      </w:r>
      <w:r w:rsidRPr="00945718">
        <w:t xml:space="preserve"> has for some years contended that, as a domestically incorporated treaty obligation, the UK Government’s analysis of Windsor Framework Article 2 compliance should be included in an expanded Human Rights Memorandum accompanying a Bill.</w:t>
      </w:r>
    </w:p>
    <w:p w14:paraId="70A7DA9E" w14:textId="77777777" w:rsidR="008C44D9" w:rsidRDefault="008C44D9" w:rsidP="000C65AA">
      <w:pPr>
        <w:pStyle w:val="ListParagraph"/>
        <w:numPr>
          <w:ilvl w:val="0"/>
          <w:numId w:val="0"/>
        </w:numPr>
        <w:ind w:left="720" w:hanging="720"/>
      </w:pPr>
    </w:p>
    <w:p w14:paraId="44D040D5" w14:textId="62A94EF5" w:rsidR="008C44D9" w:rsidRDefault="00033EA3" w:rsidP="000C65AA">
      <w:pPr>
        <w:pStyle w:val="ListParagraph"/>
        <w:keepNext/>
        <w:widowControl/>
        <w:ind w:left="720"/>
      </w:pPr>
      <w:r>
        <w:t xml:space="preserve">The NIHRC continues to advise </w:t>
      </w:r>
      <w:r w:rsidR="0033074C">
        <w:t xml:space="preserve">Parliamentary Committees </w:t>
      </w:r>
      <w:r>
        <w:t xml:space="preserve">on </w:t>
      </w:r>
      <w:r w:rsidR="0033074C">
        <w:t xml:space="preserve">the implementation of Windsor Framework Article 2, however the level of engagement with these issues by those Committees has been </w:t>
      </w:r>
      <w:r w:rsidR="006346EA">
        <w:t>inconsistent</w:t>
      </w:r>
      <w:r w:rsidR="0033074C">
        <w:t xml:space="preserve">. </w:t>
      </w:r>
      <w:r w:rsidR="006346EA">
        <w:t xml:space="preserve">There are some positive examples of recent engagement by Committees </w:t>
      </w:r>
      <w:r w:rsidR="002717DB">
        <w:t xml:space="preserve">with Ministers on legislation. </w:t>
      </w:r>
      <w:r w:rsidR="00D74A99">
        <w:t xml:space="preserve">The </w:t>
      </w:r>
      <w:r w:rsidR="00D74A99">
        <w:lastRenderedPageBreak/>
        <w:t xml:space="preserve">NIHRC welcomes the active role the </w:t>
      </w:r>
      <w:r w:rsidR="0033074C">
        <w:t xml:space="preserve">NI Scrutiny Committee </w:t>
      </w:r>
      <w:r w:rsidR="002717DB">
        <w:t xml:space="preserve">has </w:t>
      </w:r>
      <w:r w:rsidR="00D74A99">
        <w:t>played in ensuring that Article 2 is considered by Ministers</w:t>
      </w:r>
      <w:r w:rsidR="007D38C9">
        <w:t>,</w:t>
      </w:r>
      <w:r w:rsidR="00D74A99">
        <w:t xml:space="preserve"> following up on </w:t>
      </w:r>
      <w:r w:rsidR="002717DB">
        <w:t>correspondence</w:t>
      </w:r>
      <w:r w:rsidR="002717DB" w:rsidRPr="002717DB">
        <w:t xml:space="preserve"> </w:t>
      </w:r>
      <w:r w:rsidR="002717DB">
        <w:t>with Ministers,</w:t>
      </w:r>
      <w:r w:rsidR="002717DB" w:rsidRPr="00945718">
        <w:rPr>
          <w:rStyle w:val="FootnoteReference"/>
        </w:rPr>
        <w:footnoteReference w:id="121"/>
      </w:r>
      <w:r w:rsidR="002717DB">
        <w:t xml:space="preserve"> </w:t>
      </w:r>
      <w:r w:rsidR="005C7004">
        <w:t xml:space="preserve">for example, </w:t>
      </w:r>
      <w:r w:rsidR="004F3B29">
        <w:t xml:space="preserve">which </w:t>
      </w:r>
      <w:r w:rsidR="006E7405">
        <w:t xml:space="preserve">has </w:t>
      </w:r>
      <w:r w:rsidR="002717DB">
        <w:t>led to analysis of Windsor Framework Article 2 being placed in the public domain.</w:t>
      </w:r>
      <w:r w:rsidR="002717DB" w:rsidRPr="00945718">
        <w:rPr>
          <w:rStyle w:val="FootnoteReference"/>
        </w:rPr>
        <w:footnoteReference w:id="122"/>
      </w:r>
      <w:r w:rsidR="002717DB">
        <w:t xml:space="preserve"> Similarly, the Joint Committee on Human Rights has sought clarification from the UK Government on compliance of the NI Troubles Bill with Windsor Framework Article 2,</w:t>
      </w:r>
      <w:r w:rsidR="002717DB">
        <w:rPr>
          <w:rStyle w:val="FootnoteReference"/>
        </w:rPr>
        <w:footnoteReference w:id="123"/>
      </w:r>
      <w:r w:rsidR="002717DB">
        <w:t xml:space="preserve"> leading to </w:t>
      </w:r>
      <w:r w:rsidR="00D74A99">
        <w:t xml:space="preserve">a </w:t>
      </w:r>
      <w:r w:rsidR="002717DB">
        <w:t>Ministerial response</w:t>
      </w:r>
      <w:r w:rsidR="008C44D9">
        <w:t xml:space="preserve"> addressing the specific query</w:t>
      </w:r>
      <w:r w:rsidR="002717DB">
        <w:t>.</w:t>
      </w:r>
      <w:r w:rsidR="008C44D9">
        <w:rPr>
          <w:rStyle w:val="FootnoteReference"/>
        </w:rPr>
        <w:footnoteReference w:id="124"/>
      </w:r>
      <w:r w:rsidR="002717DB">
        <w:t xml:space="preserve"> </w:t>
      </w:r>
    </w:p>
    <w:p w14:paraId="6B1CA419" w14:textId="77777777" w:rsidR="008C44D9" w:rsidRDefault="008C44D9" w:rsidP="000C65AA">
      <w:pPr>
        <w:pStyle w:val="ListParagraph"/>
        <w:keepNext/>
        <w:widowControl/>
        <w:numPr>
          <w:ilvl w:val="0"/>
          <w:numId w:val="0"/>
        </w:numPr>
        <w:ind w:left="720" w:hanging="720"/>
      </w:pPr>
    </w:p>
    <w:p w14:paraId="266ED32A" w14:textId="64B95E33" w:rsidR="00506AF8" w:rsidRDefault="008C44D9" w:rsidP="000C65AA">
      <w:pPr>
        <w:pStyle w:val="ListParagraph"/>
        <w:keepNext/>
        <w:widowControl/>
        <w:ind w:left="720"/>
      </w:pPr>
      <w:r>
        <w:t>However, it remains UK Government policy that it will not publish analysis of Windsor Framework Article 2</w:t>
      </w:r>
      <w:r w:rsidR="00506AF8">
        <w:t xml:space="preserve"> compliance of legislation and policy.</w:t>
      </w:r>
      <w:r w:rsidR="00506AF8">
        <w:rPr>
          <w:rStyle w:val="FootnoteReference"/>
        </w:rPr>
        <w:footnoteReference w:id="125"/>
      </w:r>
      <w:r w:rsidR="00506AF8">
        <w:t xml:space="preserve"> The </w:t>
      </w:r>
      <w:r w:rsidR="00390DBF">
        <w:t>NIHRC</w:t>
      </w:r>
      <w:r w:rsidR="00506AF8">
        <w:t xml:space="preserve"> remains of the view that transparency is essential and publishing this analysis will support parliamentarians and ensure proper scrutiny of legislation throughout the parliamentary processes. </w:t>
      </w:r>
    </w:p>
    <w:p w14:paraId="3EA9C7CA" w14:textId="77777777" w:rsidR="00C112BE" w:rsidRDefault="00C112BE" w:rsidP="000C65AA">
      <w:pPr>
        <w:pStyle w:val="ListParagraph"/>
        <w:numPr>
          <w:ilvl w:val="0"/>
          <w:numId w:val="0"/>
        </w:numPr>
        <w:ind w:left="720" w:hanging="720"/>
      </w:pPr>
    </w:p>
    <w:p w14:paraId="6A02ABF1" w14:textId="26FD99D4" w:rsidR="00C112BE" w:rsidRPr="00C112BE" w:rsidRDefault="00C112BE" w:rsidP="000C65AA">
      <w:pPr>
        <w:pStyle w:val="ListParagraph"/>
        <w:widowControl/>
        <w:autoSpaceDE/>
        <w:adjustRightInd/>
        <w:ind w:left="720"/>
        <w:textAlignment w:val="auto"/>
        <w:rPr>
          <w:b/>
        </w:rPr>
      </w:pPr>
      <w:r w:rsidRPr="00945718">
        <w:rPr>
          <w:b/>
        </w:rPr>
        <w:t xml:space="preserve">The NIHRC recommends that the Explanatory Notes to </w:t>
      </w:r>
      <w:r>
        <w:rPr>
          <w:b/>
        </w:rPr>
        <w:t xml:space="preserve">legislation applying to NI </w:t>
      </w:r>
      <w:r w:rsidRPr="00945718">
        <w:rPr>
          <w:b/>
        </w:rPr>
        <w:t>address Windsor Framework Article 2, in line with Cabinet Office guidance.</w:t>
      </w:r>
    </w:p>
    <w:p w14:paraId="7613A089" w14:textId="77777777" w:rsidR="00C112BE" w:rsidRDefault="00C112BE" w:rsidP="000C65AA">
      <w:pPr>
        <w:pStyle w:val="ListParagraph"/>
        <w:widowControl/>
        <w:numPr>
          <w:ilvl w:val="0"/>
          <w:numId w:val="0"/>
        </w:numPr>
        <w:autoSpaceDE/>
        <w:adjustRightInd/>
        <w:ind w:left="720" w:hanging="720"/>
        <w:textAlignment w:val="auto"/>
        <w:rPr>
          <w:b/>
        </w:rPr>
      </w:pPr>
    </w:p>
    <w:p w14:paraId="304E58C5" w14:textId="25B2E49D" w:rsidR="00C112BE" w:rsidRPr="00C112BE" w:rsidRDefault="00C112BE" w:rsidP="000C65AA">
      <w:pPr>
        <w:pStyle w:val="ListParagraph"/>
        <w:widowControl/>
        <w:ind w:left="720"/>
        <w:rPr>
          <w:b/>
        </w:rPr>
      </w:pPr>
      <w:r w:rsidRPr="00945718">
        <w:rPr>
          <w:b/>
        </w:rPr>
        <w:t>The NIHRC recommends that the Human Rights Memorand</w:t>
      </w:r>
      <w:r w:rsidR="000548B9">
        <w:rPr>
          <w:b/>
        </w:rPr>
        <w:t>a</w:t>
      </w:r>
      <w:r w:rsidRPr="00945718">
        <w:rPr>
          <w:b/>
        </w:rPr>
        <w:t xml:space="preserve"> to Bill</w:t>
      </w:r>
      <w:r>
        <w:rPr>
          <w:b/>
        </w:rPr>
        <w:t>s</w:t>
      </w:r>
      <w:r w:rsidRPr="00945718">
        <w:rPr>
          <w:b/>
        </w:rPr>
        <w:t xml:space="preserve"> </w:t>
      </w:r>
      <w:r w:rsidR="00CE1F55">
        <w:rPr>
          <w:b/>
        </w:rPr>
        <w:t>which apply to NI</w:t>
      </w:r>
      <w:r w:rsidRPr="00945718">
        <w:rPr>
          <w:b/>
        </w:rPr>
        <w:t xml:space="preserve"> be expanded to include detailed consideration of compliance of the Bill with Windsor Framework Article 2, including relevant EU minimum standards.  </w:t>
      </w:r>
      <w:r w:rsidRPr="00F334E8">
        <w:rPr>
          <w:b/>
        </w:rPr>
        <w:t xml:space="preserve">This should include </w:t>
      </w:r>
      <w:r w:rsidRPr="00F334E8">
        <w:rPr>
          <w:rFonts w:eastAsia="Arial-ItalicMT"/>
          <w:b/>
        </w:rPr>
        <w:t>reviewing all provisions of relevant EU law engaged under Windsor Framework Article 2, including EU law which underpins relevant ECHR rights</w:t>
      </w:r>
      <w:r>
        <w:rPr>
          <w:rFonts w:eastAsia="Arial-ItalicMT"/>
          <w:b/>
        </w:rPr>
        <w:t>.</w:t>
      </w:r>
    </w:p>
    <w:p w14:paraId="0479A7F3" w14:textId="77777777" w:rsidR="00033EA3" w:rsidRPr="00C112BE" w:rsidRDefault="00033EA3" w:rsidP="000C65AA">
      <w:pPr>
        <w:pStyle w:val="ListParagraph"/>
        <w:widowControl/>
        <w:numPr>
          <w:ilvl w:val="0"/>
          <w:numId w:val="0"/>
        </w:numPr>
        <w:autoSpaceDE/>
        <w:adjustRightInd/>
        <w:ind w:left="720" w:hanging="720"/>
        <w:textAlignment w:val="auto"/>
        <w:rPr>
          <w:b/>
        </w:rPr>
      </w:pPr>
    </w:p>
    <w:p w14:paraId="02B21CAA" w14:textId="6900924C" w:rsidR="008B6FF6" w:rsidRDefault="00033EA3" w:rsidP="000C65AA">
      <w:pPr>
        <w:pStyle w:val="ListParagraph"/>
        <w:keepNext/>
        <w:widowControl/>
        <w:ind w:left="720"/>
      </w:pPr>
      <w:r w:rsidRPr="006F01F3">
        <w:t>Prior to its dissolution</w:t>
      </w:r>
      <w:r>
        <w:t>,</w:t>
      </w:r>
      <w:r w:rsidRPr="006F01F3">
        <w:t xml:space="preserve"> the House of Commons European Scrutiny Committee conducted in-depth scrutiny of issues relating to the </w:t>
      </w:r>
      <w:r w:rsidRPr="006F01F3">
        <w:lastRenderedPageBreak/>
        <w:t>UK’s withdrawal from the EU, including matters relating to Windsor Framework Article 2.</w:t>
      </w:r>
      <w:r w:rsidRPr="006F01F3">
        <w:rPr>
          <w:rStyle w:val="FootnoteReference"/>
        </w:rPr>
        <w:footnoteReference w:id="126"/>
      </w:r>
      <w:r w:rsidRPr="006F01F3">
        <w:t xml:space="preserve">  The UK Government submitted </w:t>
      </w:r>
      <w:r>
        <w:t>e</w:t>
      </w:r>
      <w:r w:rsidRPr="006F01F3">
        <w:t xml:space="preserve">xplanatory </w:t>
      </w:r>
      <w:r>
        <w:t>m</w:t>
      </w:r>
      <w:r w:rsidRPr="006F01F3">
        <w:t xml:space="preserve">emoranda on EU proposals which amended or replaced existing measures that fall within the Windsor Framework for consideration by that </w:t>
      </w:r>
      <w:r>
        <w:t>c</w:t>
      </w:r>
      <w:r w:rsidRPr="006F01F3">
        <w:t>ommittee.</w:t>
      </w:r>
      <w:r w:rsidRPr="006F01F3">
        <w:rPr>
          <w:rStyle w:val="FootnoteReference"/>
        </w:rPr>
        <w:footnoteReference w:id="127"/>
      </w:r>
      <w:r w:rsidRPr="006F01F3">
        <w:t xml:space="preserve"> Relevant EU laws and proposals now fall under the remit of relevant departmental or other committees.</w:t>
      </w:r>
      <w:r w:rsidRPr="006F01F3">
        <w:rPr>
          <w:rStyle w:val="FootnoteReference"/>
        </w:rPr>
        <w:footnoteReference w:id="128"/>
      </w:r>
      <w:r w:rsidRPr="006F01F3">
        <w:t xml:space="preserve"> Therefore those parliamentary committees will need to ensure that there is appropriate monitoring </w:t>
      </w:r>
      <w:r>
        <w:t xml:space="preserve">and scrutiny </w:t>
      </w:r>
      <w:r w:rsidRPr="006F01F3">
        <w:t>of proposed new EU measures, including those of relevance to the Windsor Framework, to ensure that opportunities for scrutiny of, and influence over, those new measures are maximised.</w:t>
      </w:r>
      <w:r>
        <w:t xml:space="preserve"> </w:t>
      </w:r>
    </w:p>
    <w:p w14:paraId="14194149" w14:textId="77777777" w:rsidR="00C112BE" w:rsidRDefault="00C112BE" w:rsidP="000C65AA">
      <w:pPr>
        <w:pStyle w:val="ListParagraph"/>
        <w:numPr>
          <w:ilvl w:val="0"/>
          <w:numId w:val="0"/>
        </w:numPr>
        <w:ind w:left="720" w:hanging="720"/>
      </w:pPr>
    </w:p>
    <w:p w14:paraId="5BEFA852" w14:textId="3C9E51D7" w:rsidR="00C112BE" w:rsidRPr="00C112BE" w:rsidRDefault="00C112BE" w:rsidP="000C65AA">
      <w:pPr>
        <w:pStyle w:val="ListParagraph"/>
        <w:keepNext/>
        <w:widowControl/>
        <w:ind w:left="720"/>
      </w:pPr>
      <w:r w:rsidRPr="006F01F3">
        <w:rPr>
          <w:b/>
          <w:bCs/>
        </w:rPr>
        <w:t>The NIHRC recommends that the Committee urges the UK Government to undertake and publish early and detailed technical analysis of proposed EU law developments, including those of relevance to Windsor Framework Article 2, to facilitate effective parliamentary scrutiny of those developments</w:t>
      </w:r>
      <w:r>
        <w:rPr>
          <w:b/>
          <w:bCs/>
        </w:rPr>
        <w:t>.</w:t>
      </w:r>
    </w:p>
    <w:p w14:paraId="4F2362E8" w14:textId="77777777" w:rsidR="00C112BE" w:rsidRDefault="00C112BE" w:rsidP="000C65AA">
      <w:pPr>
        <w:pStyle w:val="ListParagraph"/>
        <w:numPr>
          <w:ilvl w:val="0"/>
          <w:numId w:val="0"/>
        </w:numPr>
        <w:ind w:left="720" w:hanging="720"/>
      </w:pPr>
    </w:p>
    <w:p w14:paraId="12F4A9D1" w14:textId="39AC84E5" w:rsidR="00C112BE" w:rsidRDefault="00C112BE" w:rsidP="000C65AA">
      <w:pPr>
        <w:pStyle w:val="ListParagraph"/>
        <w:keepNext/>
        <w:widowControl/>
        <w:ind w:left="720"/>
      </w:pPr>
      <w:r w:rsidRPr="006F01F3">
        <w:rPr>
          <w:b/>
          <w:bCs/>
        </w:rPr>
        <w:t xml:space="preserve">The NIHRC recommends that the Committee consider whether there is early, detailed and effective scrutiny of proposed EU law developments relevant to </w:t>
      </w:r>
      <w:r>
        <w:rPr>
          <w:b/>
          <w:bCs/>
        </w:rPr>
        <w:t xml:space="preserve">the </w:t>
      </w:r>
      <w:r w:rsidRPr="006F01F3">
        <w:rPr>
          <w:b/>
          <w:bCs/>
        </w:rPr>
        <w:t>dynamic alignment obligations, including under Windsor Framework Article 2, within the UK parliamentary committee structure</w:t>
      </w:r>
      <w:r w:rsidR="00B76145">
        <w:rPr>
          <w:b/>
          <w:bCs/>
        </w:rPr>
        <w:t>.</w:t>
      </w:r>
    </w:p>
    <w:p w14:paraId="21EAF9FD" w14:textId="77777777" w:rsidR="00B76145" w:rsidRDefault="00B76145" w:rsidP="00B76145"/>
    <w:p w14:paraId="7231FE08" w14:textId="604EEDBA" w:rsidR="00B76145" w:rsidRDefault="00B76145" w:rsidP="0063373E">
      <w:pPr>
        <w:pStyle w:val="Heading3"/>
      </w:pPr>
      <w:bookmarkStart w:id="31" w:name="_Toc235087558"/>
      <w:r>
        <w:t>Northern Ireland</w:t>
      </w:r>
      <w:bookmarkEnd w:id="31"/>
      <w:r>
        <w:t xml:space="preserve"> </w:t>
      </w:r>
    </w:p>
    <w:p w14:paraId="7C725AAF" w14:textId="40865937" w:rsidR="00387EB3" w:rsidRPr="00387EB3" w:rsidRDefault="0083652F" w:rsidP="000C65AA">
      <w:pPr>
        <w:pStyle w:val="ListParagraph"/>
        <w:keepNext/>
        <w:widowControl/>
        <w:ind w:left="720"/>
      </w:pPr>
      <w:r w:rsidRPr="00387EB3">
        <w:t>The ability of departmental officials to identify Windsor Framework Article 2 relevant policy areas and carry out the appropriate impact assessment relies on the roll</w:t>
      </w:r>
      <w:r w:rsidR="000E6853">
        <w:t>-</w:t>
      </w:r>
      <w:r w:rsidRPr="00387EB3">
        <w:t>out of effective training to all relevant officials, as well as the provision of guidance which is updated to include consideration of Article 2.  </w:t>
      </w:r>
      <w:r w:rsidR="00A7626F" w:rsidRPr="00387EB3">
        <w:rPr>
          <w:lang w:val="en-US"/>
        </w:rPr>
        <w:t xml:space="preserve">In November 2023, the Executive Office delivered an initial webinar for civil servants on </w:t>
      </w:r>
      <w:r w:rsidR="00A7626F" w:rsidRPr="00387EB3">
        <w:rPr>
          <w:lang w:val="en-US"/>
        </w:rPr>
        <w:lastRenderedPageBreak/>
        <w:t xml:space="preserve">Windsor Framework Article 2 and circulated guidance for policy makers and a checklist and screening document. </w:t>
      </w:r>
    </w:p>
    <w:p w14:paraId="4A0DDDD7" w14:textId="77777777" w:rsidR="00387EB3" w:rsidRPr="00387EB3" w:rsidRDefault="00387EB3" w:rsidP="000C65AA">
      <w:pPr>
        <w:pStyle w:val="ListParagraph"/>
        <w:numPr>
          <w:ilvl w:val="0"/>
          <w:numId w:val="0"/>
        </w:numPr>
        <w:ind w:left="720" w:hanging="720"/>
        <w:rPr>
          <w:lang w:val="en-US"/>
        </w:rPr>
      </w:pPr>
    </w:p>
    <w:p w14:paraId="7058A8CB" w14:textId="111F1CFA" w:rsidR="00387EB3" w:rsidRPr="00387EB3" w:rsidRDefault="00B11D86" w:rsidP="000C65AA">
      <w:pPr>
        <w:pStyle w:val="ListParagraph"/>
        <w:keepNext/>
        <w:widowControl/>
        <w:ind w:left="720"/>
        <w:rPr>
          <w:lang w:val="en-US"/>
        </w:rPr>
      </w:pPr>
      <w:r w:rsidRPr="00387EB3">
        <w:rPr>
          <w:lang w:val="en-US"/>
        </w:rPr>
        <w:t>The Executive Office has also established an interdepartmental working group which</w:t>
      </w:r>
      <w:r w:rsidR="00DE5B78">
        <w:rPr>
          <w:lang w:val="en-US"/>
        </w:rPr>
        <w:t xml:space="preserve">, the </w:t>
      </w:r>
      <w:r w:rsidR="00390DBF">
        <w:rPr>
          <w:lang w:val="en-US"/>
        </w:rPr>
        <w:t>NIHRC</w:t>
      </w:r>
      <w:r w:rsidR="00DE5B78">
        <w:rPr>
          <w:lang w:val="en-US"/>
        </w:rPr>
        <w:t xml:space="preserve"> understands,</w:t>
      </w:r>
      <w:r w:rsidRPr="00387EB3">
        <w:rPr>
          <w:lang w:val="en-US"/>
        </w:rPr>
        <w:t xml:space="preserve"> meets on</w:t>
      </w:r>
      <w:r w:rsidR="004B06A8" w:rsidRPr="00387EB3">
        <w:rPr>
          <w:lang w:val="en-US"/>
        </w:rPr>
        <w:t xml:space="preserve"> a monthly basis to share information and learning on Windsor Framework Article 2, with additional ad hoc subgroups on specific themes.</w:t>
      </w:r>
      <w:r w:rsidR="003B20DA" w:rsidRPr="00387EB3">
        <w:rPr>
          <w:rStyle w:val="FootnoteReference"/>
          <w:lang w:val="en-US"/>
        </w:rPr>
        <w:footnoteReference w:id="129"/>
      </w:r>
      <w:r w:rsidR="004B06A8" w:rsidRPr="00387EB3">
        <w:rPr>
          <w:lang w:val="en-US"/>
        </w:rPr>
        <w:t xml:space="preserve"> </w:t>
      </w:r>
      <w:r w:rsidR="00466533">
        <w:t>However, w</w:t>
      </w:r>
      <w:r w:rsidR="00466533" w:rsidRPr="00466533">
        <w:t>hile such a group is a welcome means of coordinating departmental consideration of Windsor Framework Article 2, it is not a replacement for appropriate training of officials across departments or the provision of uniform guidance.</w:t>
      </w:r>
      <w:r w:rsidR="00356B51" w:rsidRPr="00356B51">
        <w:t xml:space="preserve"> </w:t>
      </w:r>
    </w:p>
    <w:p w14:paraId="145068B6" w14:textId="77777777" w:rsidR="00387EB3" w:rsidRDefault="00387EB3" w:rsidP="000C65AA">
      <w:pPr>
        <w:pStyle w:val="ListParagraph"/>
        <w:numPr>
          <w:ilvl w:val="0"/>
          <w:numId w:val="0"/>
        </w:numPr>
        <w:ind w:left="720" w:hanging="720"/>
      </w:pPr>
    </w:p>
    <w:p w14:paraId="4E092BCC" w14:textId="3EA02D50" w:rsidR="00A76C57" w:rsidRPr="00387EB3" w:rsidRDefault="00356B51" w:rsidP="000C65AA">
      <w:pPr>
        <w:pStyle w:val="ListParagraph"/>
        <w:keepNext/>
        <w:widowControl/>
        <w:ind w:left="720"/>
        <w:rPr>
          <w:lang w:val="en-US"/>
        </w:rPr>
      </w:pPr>
      <w:r>
        <w:t>T</w:t>
      </w:r>
      <w:r w:rsidRPr="00356B51">
        <w:t>he obligations under the N</w:t>
      </w:r>
      <w:r w:rsidR="00BF3D92">
        <w:t xml:space="preserve">orthern </w:t>
      </w:r>
      <w:r w:rsidRPr="00356B51">
        <w:t>I</w:t>
      </w:r>
      <w:r w:rsidR="00BF3D92">
        <w:t>reland</w:t>
      </w:r>
      <w:r w:rsidRPr="00356B51">
        <w:t xml:space="preserve"> Act 1998 relating to Windsor Framework Article 2 are binding and need to be embedded in the legislative and policy making process in the same way as other obligations under Section 24 of the N</w:t>
      </w:r>
      <w:r w:rsidR="00BF3D92">
        <w:t>orthern Ireland</w:t>
      </w:r>
      <w:r w:rsidRPr="00356B51">
        <w:t xml:space="preserve"> Act 1998 such as those governing ECHR compatibility.</w:t>
      </w:r>
    </w:p>
    <w:p w14:paraId="6FCE2D34" w14:textId="77777777" w:rsidR="001421AA" w:rsidRDefault="001421AA" w:rsidP="000C65AA">
      <w:pPr>
        <w:pStyle w:val="ListParagraph"/>
        <w:numPr>
          <w:ilvl w:val="0"/>
          <w:numId w:val="0"/>
        </w:numPr>
        <w:ind w:left="720" w:hanging="720"/>
      </w:pPr>
    </w:p>
    <w:p w14:paraId="726F0ACC" w14:textId="06B0C95C" w:rsidR="001421AA" w:rsidRPr="00094B11" w:rsidRDefault="001421AA" w:rsidP="000C65AA">
      <w:pPr>
        <w:pStyle w:val="ListParagraph"/>
        <w:ind w:left="720"/>
        <w:rPr>
          <w:b/>
          <w:bCs/>
        </w:rPr>
      </w:pPr>
      <w:r w:rsidRPr="00094B11">
        <w:rPr>
          <w:b/>
          <w:bCs/>
        </w:rPr>
        <w:t xml:space="preserve">To ensure effective embedding of Windsor Framework Article 2 in policy and processes the </w:t>
      </w:r>
      <w:r w:rsidR="006E3824" w:rsidRPr="00094B11">
        <w:rPr>
          <w:b/>
          <w:bCs/>
        </w:rPr>
        <w:t xml:space="preserve">NIHRC </w:t>
      </w:r>
      <w:r w:rsidRPr="00094B11">
        <w:rPr>
          <w:b/>
          <w:bCs/>
        </w:rPr>
        <w:t>continue</w:t>
      </w:r>
      <w:r w:rsidR="00094B11" w:rsidRPr="00094B11">
        <w:rPr>
          <w:b/>
          <w:bCs/>
        </w:rPr>
        <w:t>s</w:t>
      </w:r>
      <w:r w:rsidRPr="00094B11">
        <w:rPr>
          <w:b/>
          <w:bCs/>
        </w:rPr>
        <w:t xml:space="preserve"> to recommend that UK </w:t>
      </w:r>
      <w:r w:rsidR="00042474">
        <w:rPr>
          <w:b/>
          <w:bCs/>
        </w:rPr>
        <w:t xml:space="preserve">Government </w:t>
      </w:r>
      <w:r w:rsidR="009763D1">
        <w:rPr>
          <w:b/>
          <w:bCs/>
        </w:rPr>
        <w:t>departments</w:t>
      </w:r>
      <w:r w:rsidRPr="00094B11">
        <w:rPr>
          <w:b/>
          <w:bCs/>
        </w:rPr>
        <w:t xml:space="preserve"> roll out effective training on Article 2 to all relevant officials. </w:t>
      </w:r>
    </w:p>
    <w:p w14:paraId="76D858B9" w14:textId="77777777" w:rsidR="00286DF2" w:rsidRDefault="00286DF2" w:rsidP="00C440C9">
      <w:pPr>
        <w:keepNext/>
      </w:pPr>
    </w:p>
    <w:p w14:paraId="28818363" w14:textId="28F98D66" w:rsidR="00286DF2" w:rsidRDefault="00286DF2" w:rsidP="00EF773A">
      <w:pPr>
        <w:pStyle w:val="Heading2"/>
      </w:pPr>
      <w:bookmarkStart w:id="32" w:name="_Toc235087559"/>
      <w:r>
        <w:t xml:space="preserve">Question 14: </w:t>
      </w:r>
      <w:proofErr w:type="gramStart"/>
      <w:r w:rsidRPr="0017175B">
        <w:t>In light of</w:t>
      </w:r>
      <w:proofErr w:type="gramEnd"/>
      <w:r w:rsidRPr="0017175B">
        <w:t xml:space="preserve"> the devolution settlement for Northern Ireland, what impact does Article 2 WF have on the UK Government’s power to legislate on ‘excepted’ and ‘reserved’ matters as set out in the Northern Ireland Act 1998?</w:t>
      </w:r>
      <w:bookmarkEnd w:id="32"/>
    </w:p>
    <w:p w14:paraId="5160D93E" w14:textId="244510B8" w:rsidR="000C115C" w:rsidRDefault="00C20B16" w:rsidP="000C65AA">
      <w:pPr>
        <w:pStyle w:val="ListParagraph"/>
        <w:widowControl/>
        <w:ind w:left="720"/>
      </w:pPr>
      <w:r>
        <w:t>Windsor Framework</w:t>
      </w:r>
      <w:r w:rsidR="007C08BA" w:rsidRPr="00F334E8">
        <w:t xml:space="preserve"> </w:t>
      </w:r>
      <w:r w:rsidR="00C511E6" w:rsidRPr="00F334E8">
        <w:t xml:space="preserve">Article </w:t>
      </w:r>
      <w:r w:rsidRPr="00F334E8">
        <w:t>2</w:t>
      </w:r>
      <w:r>
        <w:t xml:space="preserve"> is binding on the UK </w:t>
      </w:r>
      <w:r w:rsidR="003F61B0">
        <w:t xml:space="preserve">Government </w:t>
      </w:r>
      <w:r>
        <w:t>as a matter of international law,</w:t>
      </w:r>
      <w:r w:rsidR="00284B2E">
        <w:t xml:space="preserve"> irrespective of </w:t>
      </w:r>
      <w:r w:rsidR="001B7F9A">
        <w:t xml:space="preserve">the UK’s internal </w:t>
      </w:r>
      <w:r w:rsidR="00D47F38">
        <w:t xml:space="preserve">devolution </w:t>
      </w:r>
      <w:r w:rsidR="001B7F9A">
        <w:t>arrangements</w:t>
      </w:r>
      <w:r w:rsidR="009D2949">
        <w:t>.</w:t>
      </w:r>
      <w:r w:rsidR="004A0B43">
        <w:t xml:space="preserve"> </w:t>
      </w:r>
      <w:r w:rsidR="005B7760">
        <w:t xml:space="preserve">Insofar as it extends to NI, </w:t>
      </w:r>
      <w:r w:rsidR="006656EC">
        <w:t xml:space="preserve">Westminster legislation </w:t>
      </w:r>
      <w:r w:rsidR="00AB07E8">
        <w:t>must comply with</w:t>
      </w:r>
      <w:r w:rsidR="00E20115">
        <w:t xml:space="preserve"> </w:t>
      </w:r>
      <w:r w:rsidR="007B7E66">
        <w:t>Article 2 Windsor</w:t>
      </w:r>
      <w:r w:rsidR="005B7760">
        <w:t xml:space="preserve"> Framework</w:t>
      </w:r>
      <w:r w:rsidR="00347AE9">
        <w:t>.</w:t>
      </w:r>
      <w:r w:rsidR="003F61B0" w:rsidRPr="003F61B0">
        <w:t xml:space="preserve"> </w:t>
      </w:r>
      <w:r w:rsidR="003F61B0">
        <w:t>This is implemented in UK law via Section 7A of the EU (Withdrawal) Act 2018.</w:t>
      </w:r>
    </w:p>
    <w:p w14:paraId="62957E23" w14:textId="77777777" w:rsidR="004149BE" w:rsidRDefault="00DC7303">
      <w:pPr>
        <w:spacing w:line="240" w:lineRule="auto"/>
      </w:pPr>
      <w:r>
        <w:br w:type="page"/>
      </w:r>
    </w:p>
    <w:p w14:paraId="0B7AFE76" w14:textId="283ED012" w:rsidR="00DC7303" w:rsidRDefault="00DC7303" w:rsidP="009E1287">
      <w:pPr>
        <w:spacing w:line="240" w:lineRule="auto"/>
        <w:rPr>
          <w:rFonts w:cs="Arial"/>
          <w:b/>
          <w:bCs/>
          <w:color w:val="77328A"/>
          <w:sz w:val="36"/>
          <w:szCs w:val="36"/>
        </w:rPr>
      </w:pPr>
    </w:p>
    <w:p w14:paraId="0880ADAB" w14:textId="77777777" w:rsidR="00661F34" w:rsidRDefault="00661F34" w:rsidP="009E1287">
      <w:pPr>
        <w:ind w:left="720" w:hanging="720"/>
        <w:jc w:val="center"/>
        <w:rPr>
          <w:rFonts w:cs="Arial"/>
          <w:b/>
          <w:bCs/>
          <w:color w:val="77328A"/>
          <w:sz w:val="36"/>
          <w:szCs w:val="36"/>
        </w:rPr>
      </w:pPr>
    </w:p>
    <w:p w14:paraId="4B932075" w14:textId="77777777" w:rsidR="00661F34" w:rsidRDefault="00661F34" w:rsidP="009E1287">
      <w:pPr>
        <w:ind w:left="720" w:hanging="720"/>
        <w:jc w:val="center"/>
        <w:rPr>
          <w:rFonts w:cs="Arial"/>
          <w:b/>
          <w:bCs/>
          <w:color w:val="77328A"/>
          <w:sz w:val="36"/>
          <w:szCs w:val="36"/>
        </w:rPr>
      </w:pPr>
    </w:p>
    <w:p w14:paraId="66511034" w14:textId="77777777" w:rsidR="00661F34" w:rsidRDefault="00661F34" w:rsidP="009E1287">
      <w:pPr>
        <w:ind w:left="720" w:hanging="720"/>
        <w:jc w:val="center"/>
        <w:rPr>
          <w:rFonts w:cs="Arial"/>
          <w:b/>
          <w:bCs/>
          <w:color w:val="77328A"/>
          <w:sz w:val="36"/>
          <w:szCs w:val="36"/>
        </w:rPr>
      </w:pPr>
    </w:p>
    <w:p w14:paraId="4EE783B7" w14:textId="77777777" w:rsidR="00661F34" w:rsidRDefault="00661F34" w:rsidP="009E1287">
      <w:pPr>
        <w:ind w:left="720" w:hanging="720"/>
        <w:jc w:val="center"/>
        <w:rPr>
          <w:rFonts w:cs="Arial"/>
          <w:b/>
          <w:bCs/>
          <w:color w:val="77328A"/>
          <w:sz w:val="36"/>
          <w:szCs w:val="36"/>
        </w:rPr>
      </w:pPr>
    </w:p>
    <w:p w14:paraId="22B4E1BE" w14:textId="77777777" w:rsidR="00661F34" w:rsidRDefault="00661F34" w:rsidP="009E1287">
      <w:pPr>
        <w:ind w:left="720" w:hanging="720"/>
        <w:jc w:val="center"/>
        <w:rPr>
          <w:rFonts w:cs="Arial"/>
          <w:b/>
          <w:bCs/>
          <w:color w:val="77328A"/>
          <w:sz w:val="36"/>
          <w:szCs w:val="36"/>
        </w:rPr>
      </w:pPr>
    </w:p>
    <w:p w14:paraId="1044FCD5" w14:textId="77777777" w:rsidR="00661F34" w:rsidRDefault="00661F34" w:rsidP="009E1287">
      <w:pPr>
        <w:ind w:left="720" w:hanging="720"/>
        <w:jc w:val="center"/>
        <w:rPr>
          <w:rFonts w:cs="Arial"/>
          <w:b/>
          <w:bCs/>
          <w:color w:val="77328A"/>
          <w:sz w:val="36"/>
          <w:szCs w:val="36"/>
        </w:rPr>
      </w:pPr>
    </w:p>
    <w:p w14:paraId="41A443CE" w14:textId="77777777" w:rsidR="00661F34" w:rsidRDefault="00661F34" w:rsidP="009E1287">
      <w:pPr>
        <w:ind w:left="720" w:hanging="720"/>
        <w:jc w:val="center"/>
        <w:rPr>
          <w:rFonts w:cs="Arial"/>
          <w:b/>
          <w:bCs/>
          <w:color w:val="77328A"/>
          <w:sz w:val="36"/>
          <w:szCs w:val="36"/>
        </w:rPr>
      </w:pPr>
    </w:p>
    <w:p w14:paraId="55CA1A2A" w14:textId="77777777" w:rsidR="0062748F" w:rsidRPr="00387C3F" w:rsidRDefault="0062748F" w:rsidP="009E1287">
      <w:pPr>
        <w:ind w:left="720" w:hanging="720"/>
        <w:jc w:val="center"/>
      </w:pPr>
      <w:r w:rsidRPr="00387C3F">
        <w:rPr>
          <w:rFonts w:cs="Arial"/>
          <w:b/>
          <w:bCs/>
          <w:color w:val="77328A"/>
          <w:sz w:val="36"/>
          <w:szCs w:val="36"/>
        </w:rPr>
        <w:t>Contact us</w:t>
      </w:r>
    </w:p>
    <w:p w14:paraId="455A9F6A" w14:textId="77777777" w:rsidR="0062748F" w:rsidRDefault="0062748F" w:rsidP="009E1287">
      <w:pPr>
        <w:pStyle w:val="BasicParagraph"/>
        <w:widowControl/>
        <w:suppressAutoHyphens/>
        <w:jc w:val="center"/>
        <w:rPr>
          <w:rFonts w:ascii="Verdana" w:hAnsi="Verdana" w:cs="Arial"/>
          <w:b/>
          <w:color w:val="77328A"/>
          <w:sz w:val="36"/>
          <w:szCs w:val="36"/>
        </w:rPr>
      </w:pPr>
    </w:p>
    <w:p w14:paraId="40A27D66" w14:textId="77777777" w:rsidR="00661F34" w:rsidRPr="00387C3F" w:rsidRDefault="00661F34" w:rsidP="009E1287">
      <w:pPr>
        <w:pStyle w:val="BasicParagraph"/>
        <w:widowControl/>
        <w:suppressAutoHyphens/>
        <w:jc w:val="center"/>
        <w:rPr>
          <w:rFonts w:ascii="Verdana" w:hAnsi="Verdana" w:cs="Arial"/>
          <w:b/>
          <w:color w:val="77328A"/>
          <w:sz w:val="36"/>
          <w:szCs w:val="36"/>
        </w:rPr>
      </w:pPr>
    </w:p>
    <w:p w14:paraId="34B18E5E" w14:textId="12BDC306" w:rsidR="0062748F" w:rsidRPr="00387C3F" w:rsidRDefault="0062748F" w:rsidP="009E1287">
      <w:pPr>
        <w:jc w:val="center"/>
        <w:rPr>
          <w:rFonts w:cs="Arial"/>
          <w:b/>
          <w:color w:val="232120"/>
          <w:sz w:val="30"/>
          <w:szCs w:val="30"/>
        </w:rPr>
      </w:pPr>
      <w:r w:rsidRPr="00387C3F">
        <w:rPr>
          <w:rFonts w:cs="Arial"/>
          <w:b/>
          <w:color w:val="232120"/>
          <w:sz w:val="30"/>
          <w:szCs w:val="30"/>
        </w:rPr>
        <w:t>Please send any queries to</w:t>
      </w:r>
      <w:r w:rsidR="004C16C4" w:rsidRPr="00387C3F">
        <w:rPr>
          <w:rFonts w:cs="Arial"/>
          <w:b/>
          <w:color w:val="232120"/>
          <w:sz w:val="30"/>
          <w:szCs w:val="30"/>
        </w:rPr>
        <w:t xml:space="preserve"> </w:t>
      </w:r>
      <w:hyperlink r:id="rId13" w:history="1">
        <w:r w:rsidR="004C16C4" w:rsidRPr="00387C3F">
          <w:rPr>
            <w:rStyle w:val="Hyperlink"/>
            <w:rFonts w:cs="Arial"/>
            <w:b/>
            <w:sz w:val="30"/>
            <w:szCs w:val="30"/>
          </w:rPr>
          <w:t>Eilis.Haughey@nihrc.org</w:t>
        </w:r>
      </w:hyperlink>
      <w:r w:rsidR="004C16C4" w:rsidRPr="00387C3F">
        <w:rPr>
          <w:rFonts w:cs="Arial"/>
          <w:b/>
          <w:color w:val="232120"/>
          <w:sz w:val="30"/>
          <w:szCs w:val="30"/>
        </w:rPr>
        <w:t xml:space="preserve"> </w:t>
      </w:r>
      <w:r w:rsidR="00286DF2" w:rsidRPr="00387C3F">
        <w:rPr>
          <w:rFonts w:cs="Arial"/>
          <w:b/>
          <w:color w:val="232120"/>
          <w:sz w:val="30"/>
          <w:szCs w:val="30"/>
        </w:rPr>
        <w:t xml:space="preserve"> </w:t>
      </w:r>
    </w:p>
    <w:p w14:paraId="1AAF7D99" w14:textId="77777777" w:rsidR="0062748F" w:rsidRPr="00387C3F" w:rsidRDefault="0062748F" w:rsidP="009E1287">
      <w:pPr>
        <w:rPr>
          <w:rFonts w:cs="Arial"/>
          <w:b/>
          <w:color w:val="232120"/>
          <w:sz w:val="30"/>
          <w:szCs w:val="30"/>
        </w:rPr>
      </w:pPr>
    </w:p>
    <w:p w14:paraId="59721B11" w14:textId="77777777" w:rsidR="0062748F" w:rsidRPr="00387C3F" w:rsidRDefault="0062748F" w:rsidP="009E1287">
      <w:pPr>
        <w:jc w:val="center"/>
        <w:rPr>
          <w:rFonts w:cs="Arial"/>
          <w:b/>
          <w:color w:val="232120"/>
          <w:sz w:val="30"/>
          <w:szCs w:val="30"/>
        </w:rPr>
      </w:pPr>
    </w:p>
    <w:p w14:paraId="098535C5" w14:textId="77777777" w:rsidR="0062748F" w:rsidRPr="00387C3F" w:rsidRDefault="0062748F" w:rsidP="009E1287">
      <w:pPr>
        <w:jc w:val="center"/>
        <w:rPr>
          <w:rFonts w:cs="Arial"/>
          <w:b/>
          <w:color w:val="232120"/>
          <w:sz w:val="30"/>
          <w:szCs w:val="30"/>
        </w:rPr>
      </w:pPr>
    </w:p>
    <w:p w14:paraId="566C6AD5" w14:textId="77777777" w:rsidR="0062748F" w:rsidRPr="00387C3F" w:rsidRDefault="0062748F" w:rsidP="009E1287">
      <w:pPr>
        <w:jc w:val="center"/>
        <w:rPr>
          <w:rFonts w:cs="Arial"/>
          <w:color w:val="232120"/>
          <w:sz w:val="28"/>
          <w:szCs w:val="28"/>
        </w:rPr>
      </w:pPr>
      <w:hyperlink r:id="rId14" w:history="1">
        <w:r w:rsidRPr="00387C3F">
          <w:rPr>
            <w:rStyle w:val="Hyperlink"/>
            <w:rFonts w:cs="Arial"/>
            <w:color w:val="232120"/>
            <w:sz w:val="28"/>
            <w:szCs w:val="28"/>
            <w:lang w:val="en-US"/>
          </w:rPr>
          <w:t>www.nihrc.org</w:t>
        </w:r>
      </w:hyperlink>
      <w:r w:rsidRPr="00387C3F">
        <w:rPr>
          <w:rFonts w:cs="Arial"/>
          <w:color w:val="232120"/>
          <w:sz w:val="28"/>
          <w:szCs w:val="28"/>
          <w:lang w:val="en-US"/>
        </w:rPr>
        <w:t xml:space="preserve">  |  </w:t>
      </w:r>
      <w:hyperlink r:id="rId15" w:history="1">
        <w:r w:rsidRPr="00387C3F">
          <w:rPr>
            <w:rStyle w:val="Hyperlink"/>
            <w:rFonts w:cs="Arial"/>
            <w:color w:val="232120"/>
            <w:sz w:val="28"/>
            <w:szCs w:val="28"/>
            <w:lang w:val="en-US"/>
          </w:rPr>
          <w:t>info@nihrc.org</w:t>
        </w:r>
      </w:hyperlink>
      <w:r w:rsidRPr="00387C3F">
        <w:rPr>
          <w:rFonts w:cs="Arial"/>
          <w:color w:val="232120"/>
          <w:sz w:val="28"/>
          <w:szCs w:val="28"/>
          <w:lang w:val="en-US"/>
        </w:rPr>
        <w:t xml:space="preserve">  |  +44 (0)28 9024 3987</w:t>
      </w:r>
    </w:p>
    <w:p w14:paraId="184B43ED" w14:textId="77777777" w:rsidR="0062748F" w:rsidRPr="00387C3F" w:rsidRDefault="0062748F" w:rsidP="009E1287">
      <w:pPr>
        <w:jc w:val="center"/>
        <w:rPr>
          <w:rFonts w:cs="Arial"/>
          <w:color w:val="232120"/>
          <w:sz w:val="28"/>
          <w:szCs w:val="28"/>
        </w:rPr>
      </w:pPr>
      <w:r w:rsidRPr="00387C3F">
        <w:rPr>
          <w:rFonts w:cs="Arial"/>
          <w:color w:val="232120"/>
          <w:sz w:val="28"/>
          <w:szCs w:val="28"/>
          <w:lang w:val="en-US"/>
        </w:rPr>
        <w:t>4</w:t>
      </w:r>
      <w:r w:rsidRPr="00387C3F">
        <w:rPr>
          <w:rFonts w:cs="Arial"/>
          <w:color w:val="232120"/>
          <w:sz w:val="28"/>
          <w:szCs w:val="28"/>
          <w:vertAlign w:val="superscript"/>
          <w:lang w:val="en-US"/>
        </w:rPr>
        <w:t>th</w:t>
      </w:r>
      <w:r w:rsidRPr="00387C3F">
        <w:rPr>
          <w:rFonts w:cs="Arial"/>
          <w:color w:val="232120"/>
          <w:sz w:val="28"/>
          <w:szCs w:val="28"/>
          <w:lang w:val="en-US"/>
        </w:rPr>
        <w:t xml:space="preserve"> Floor, Alfred House, 19-21 Alfred Street, Belfast, BT2 8ED</w:t>
      </w:r>
    </w:p>
    <w:p w14:paraId="1A7986B5" w14:textId="77777777" w:rsidR="0062748F" w:rsidRPr="00387C3F" w:rsidRDefault="0062748F" w:rsidP="009E1287">
      <w:pPr>
        <w:jc w:val="center"/>
        <w:rPr>
          <w:rFonts w:cs="Arial"/>
          <w:b/>
          <w:color w:val="232120"/>
          <w:sz w:val="28"/>
          <w:szCs w:val="28"/>
        </w:rPr>
      </w:pPr>
    </w:p>
    <w:p w14:paraId="43319CA7" w14:textId="77777777" w:rsidR="0062748F" w:rsidRPr="00387C3F" w:rsidRDefault="0062748F" w:rsidP="009E1287">
      <w:pPr>
        <w:jc w:val="center"/>
        <w:rPr>
          <w:rFonts w:cs="Arial"/>
          <w:color w:val="232120"/>
          <w:sz w:val="20"/>
          <w:szCs w:val="20"/>
        </w:rPr>
      </w:pPr>
    </w:p>
    <w:p w14:paraId="615396C5" w14:textId="248B7EEE" w:rsidR="0062748F" w:rsidRPr="00387C3F" w:rsidRDefault="00503DDE" w:rsidP="009E1287">
      <w:pPr>
        <w:pStyle w:val="BasicParagraph"/>
        <w:widowControl/>
        <w:suppressAutoHyphens/>
        <w:spacing w:line="240" w:lineRule="auto"/>
        <w:jc w:val="center"/>
        <w:rPr>
          <w:rFonts w:ascii="Verdana" w:hAnsi="Verdana" w:cs="Arial"/>
          <w:color w:val="232120"/>
          <w:sz w:val="28"/>
          <w:szCs w:val="28"/>
        </w:rPr>
      </w:pPr>
      <w:r w:rsidRPr="009E7AFC">
        <w:rPr>
          <w:rFonts w:ascii="Verdana" w:hAnsi="Verdana" w:cs="Arial"/>
          <w:noProof/>
          <w:color w:val="232120"/>
          <w:sz w:val="28"/>
          <w:szCs w:val="28"/>
        </w:rPr>
        <w:drawing>
          <wp:inline distT="0" distB="0" distL="0" distR="0" wp14:anchorId="2D9175EB" wp14:editId="0B8FBE7D">
            <wp:extent cx="1520190" cy="2730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0190" cy="273050"/>
                    </a:xfrm>
                    <a:prstGeom prst="rect">
                      <a:avLst/>
                    </a:prstGeom>
                    <a:noFill/>
                    <a:ln>
                      <a:noFill/>
                    </a:ln>
                  </pic:spPr>
                </pic:pic>
              </a:graphicData>
            </a:graphic>
          </wp:inline>
        </w:drawing>
      </w:r>
    </w:p>
    <w:p w14:paraId="5ECBF72E" w14:textId="77777777" w:rsidR="0062748F" w:rsidRPr="009E7AFC" w:rsidRDefault="0062748F" w:rsidP="009E1287">
      <w:pPr>
        <w:spacing w:line="240" w:lineRule="auto"/>
        <w:rPr>
          <w:rFonts w:cs="Times New Roman"/>
          <w:sz w:val="20"/>
          <w:szCs w:val="20"/>
        </w:rPr>
      </w:pPr>
    </w:p>
    <w:sectPr w:rsidR="0062748F" w:rsidRPr="009E7AFC" w:rsidSect="00A6327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BA6B" w14:textId="77777777" w:rsidR="00597F5D" w:rsidRDefault="00597F5D" w:rsidP="003F60F5">
      <w:r>
        <w:separator/>
      </w:r>
    </w:p>
  </w:endnote>
  <w:endnote w:type="continuationSeparator" w:id="0">
    <w:p w14:paraId="3FC82E48" w14:textId="77777777" w:rsidR="00597F5D" w:rsidRDefault="00597F5D" w:rsidP="003F60F5">
      <w:r>
        <w:continuationSeparator/>
      </w:r>
    </w:p>
  </w:endnote>
  <w:endnote w:type="continuationNotice" w:id="1">
    <w:p w14:paraId="271FE629" w14:textId="77777777" w:rsidR="00597F5D" w:rsidRDefault="00597F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ItalicMT">
    <w:altName w:val="MS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EB62" w14:textId="77777777" w:rsidR="007D17F2" w:rsidRPr="007D17F2" w:rsidRDefault="007D17F2">
    <w:pPr>
      <w:pStyle w:val="Footer"/>
      <w:jc w:val="right"/>
      <w:rPr>
        <w:color w:val="77328A"/>
      </w:rPr>
    </w:pPr>
    <w:r w:rsidRPr="007D17F2">
      <w:rPr>
        <w:color w:val="77328A"/>
      </w:rPr>
      <w:fldChar w:fldCharType="begin"/>
    </w:r>
    <w:r w:rsidRPr="007D17F2">
      <w:rPr>
        <w:color w:val="77328A"/>
      </w:rPr>
      <w:instrText xml:space="preserve"> PAGE   \* MERGEFORMAT </w:instrText>
    </w:r>
    <w:r w:rsidRPr="007D17F2">
      <w:rPr>
        <w:color w:val="77328A"/>
      </w:rPr>
      <w:fldChar w:fldCharType="separate"/>
    </w:r>
    <w:r w:rsidRPr="007D17F2">
      <w:rPr>
        <w:noProof/>
        <w:color w:val="77328A"/>
      </w:rPr>
      <w:t>2</w:t>
    </w:r>
    <w:r w:rsidRPr="007D17F2">
      <w:rPr>
        <w:noProof/>
        <w:color w:val="77328A"/>
      </w:rPr>
      <w:fldChar w:fldCharType="end"/>
    </w:r>
  </w:p>
  <w:p w14:paraId="3D53F6FA" w14:textId="77777777" w:rsidR="007D17F2" w:rsidRDefault="007D1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8466" w14:textId="77777777" w:rsidR="00597F5D" w:rsidRDefault="00597F5D" w:rsidP="003F60F5">
      <w:r>
        <w:separator/>
      </w:r>
    </w:p>
  </w:footnote>
  <w:footnote w:type="continuationSeparator" w:id="0">
    <w:p w14:paraId="79A81BE0" w14:textId="77777777" w:rsidR="00597F5D" w:rsidRDefault="00597F5D" w:rsidP="003F60F5">
      <w:r>
        <w:continuationSeparator/>
      </w:r>
    </w:p>
  </w:footnote>
  <w:footnote w:type="continuationNotice" w:id="1">
    <w:p w14:paraId="29634C3E" w14:textId="77777777" w:rsidR="00597F5D" w:rsidRDefault="00597F5D">
      <w:pPr>
        <w:spacing w:line="240" w:lineRule="auto"/>
      </w:pPr>
    </w:p>
  </w:footnote>
  <w:footnote w:id="2">
    <w:p w14:paraId="7760D524" w14:textId="1C705217" w:rsidR="003419DA" w:rsidRPr="003C58B5" w:rsidRDefault="003419DA" w:rsidP="003C58B5">
      <w:pPr>
        <w:pStyle w:val="NIHRCFootnotes"/>
      </w:pPr>
      <w:r w:rsidRPr="003C58B5">
        <w:rPr>
          <w:rStyle w:val="FootnoteReference"/>
        </w:rPr>
        <w:footnoteRef/>
      </w:r>
      <w:r w:rsidRPr="003C58B5">
        <w:t xml:space="preserve"> </w:t>
      </w:r>
      <w:bookmarkStart w:id="5" w:name="_Hlk194055007"/>
      <w:r w:rsidR="00425509" w:rsidRPr="003C58B5">
        <w:t>The Windsor Framework was formerly known as the Protocol on Ireland/Northern Ireland to the to the Agreement on the Withdrawal of the UK of Great Britain and NI from the EU and the European Atomic Energy Community, 24 January 2020 (UK-EU Withdrawal Agreement). All references to the Protocol in this document have been updated to reflect this change (see Decision No 1/2023 of the Joint Committee established by the Agreement on the Withdrawal of the United Kingdom of Great Britain and Northern Ireland from the European Union and the European Atomic Energy Community of 24 March 2023 laying down arrangements relating to the Windsor Framework).</w:t>
      </w:r>
      <w:bookmarkEnd w:id="5"/>
    </w:p>
  </w:footnote>
  <w:footnote w:id="3">
    <w:p w14:paraId="42EE274F" w14:textId="0A77DF1E" w:rsidR="00196427" w:rsidRPr="003C58B5" w:rsidRDefault="00196427" w:rsidP="003C58B5">
      <w:pPr>
        <w:pStyle w:val="NIHRCFootnotes"/>
      </w:pPr>
      <w:r w:rsidRPr="003C58B5">
        <w:rPr>
          <w:rStyle w:val="FootnoteReference"/>
          <w:i/>
          <w:iCs/>
        </w:rPr>
        <w:footnoteRef/>
      </w:r>
      <w:r w:rsidRPr="003C58B5">
        <w:rPr>
          <w:i/>
          <w:iCs/>
        </w:rPr>
        <w:t xml:space="preserve"> In the </w:t>
      </w:r>
      <w:r w:rsidR="00BF3D92">
        <w:rPr>
          <w:i/>
          <w:iCs/>
        </w:rPr>
        <w:t>M</w:t>
      </w:r>
      <w:r w:rsidRPr="003C58B5">
        <w:rPr>
          <w:i/>
          <w:iCs/>
        </w:rPr>
        <w:t xml:space="preserve">atter of an </w:t>
      </w:r>
      <w:r w:rsidR="00BF3D92" w:rsidRPr="003C58B5">
        <w:rPr>
          <w:i/>
          <w:iCs/>
        </w:rPr>
        <w:t>Application</w:t>
      </w:r>
      <w:r w:rsidRPr="003C58B5">
        <w:rPr>
          <w:i/>
          <w:iCs/>
        </w:rPr>
        <w:t xml:space="preserve"> by Martina Dillon and others for Judicial Review</w:t>
      </w:r>
      <w:r w:rsidRPr="003C58B5">
        <w:t> [2026] UKSC 15.</w:t>
      </w:r>
    </w:p>
  </w:footnote>
  <w:footnote w:id="4">
    <w:p w14:paraId="4083D690" w14:textId="02D7B244" w:rsidR="006C208B" w:rsidRPr="003C58B5" w:rsidRDefault="006C208B" w:rsidP="003C58B5">
      <w:pPr>
        <w:pStyle w:val="FootnoteText"/>
        <w:spacing w:line="240" w:lineRule="auto"/>
        <w:rPr>
          <w:color w:val="77328A"/>
          <w:sz w:val="16"/>
          <w:szCs w:val="16"/>
        </w:rPr>
      </w:pPr>
      <w:r w:rsidRPr="003C58B5">
        <w:rPr>
          <w:rFonts w:cstheme="minorHAnsi"/>
          <w:color w:val="77328A"/>
          <w:sz w:val="16"/>
          <w:szCs w:val="16"/>
          <w:vertAlign w:val="superscript"/>
        </w:rPr>
        <w:footnoteRef/>
      </w:r>
      <w:r w:rsidRPr="003C58B5">
        <w:rPr>
          <w:rFonts w:cstheme="minorHAnsi"/>
          <w:color w:val="77328A"/>
          <w:sz w:val="16"/>
          <w:szCs w:val="16"/>
        </w:rPr>
        <w:t xml:space="preserve"> NI Office, ‘UK Government Commitment to “No Diminution of Rights, Safeguards and Equality of Opportunity” in Northern Ireland: What does it Mean and How will it be Implemented?’ (NIO, 2020)</w:t>
      </w:r>
      <w:r w:rsidR="00E36975">
        <w:rPr>
          <w:rFonts w:cstheme="minorHAnsi"/>
          <w:color w:val="77328A"/>
          <w:sz w:val="16"/>
          <w:szCs w:val="16"/>
        </w:rPr>
        <w:t>.</w:t>
      </w:r>
    </w:p>
  </w:footnote>
  <w:footnote w:id="5">
    <w:p w14:paraId="0A332822" w14:textId="4B023A26" w:rsidR="00FC1F9B" w:rsidRPr="003C58B5" w:rsidRDefault="00FC1F9B" w:rsidP="003C58B5">
      <w:pPr>
        <w:pStyle w:val="FootnoteText"/>
        <w:spacing w:line="240" w:lineRule="auto"/>
        <w:rPr>
          <w:color w:val="77328A"/>
          <w:sz w:val="16"/>
          <w:szCs w:val="16"/>
        </w:rPr>
      </w:pPr>
      <w:r w:rsidRPr="003C58B5">
        <w:rPr>
          <w:color w:val="77328A"/>
          <w:sz w:val="16"/>
          <w:szCs w:val="16"/>
          <w:vertAlign w:val="superscript"/>
        </w:rPr>
        <w:footnoteRef/>
      </w:r>
      <w:r w:rsidRPr="003C58B5">
        <w:rPr>
          <w:color w:val="77328A"/>
          <w:sz w:val="16"/>
          <w:szCs w:val="16"/>
        </w:rPr>
        <w:t xml:space="preserve"> </w:t>
      </w:r>
      <w:r w:rsidR="00753812" w:rsidRPr="003C58B5">
        <w:rPr>
          <w:color w:val="77328A"/>
          <w:sz w:val="16"/>
          <w:szCs w:val="16"/>
        </w:rPr>
        <w:t>For further detail, s</w:t>
      </w:r>
      <w:r w:rsidR="00AD144D" w:rsidRPr="003C58B5">
        <w:rPr>
          <w:color w:val="77328A"/>
          <w:sz w:val="16"/>
          <w:szCs w:val="16"/>
        </w:rPr>
        <w:t>ee response to question 9.</w:t>
      </w:r>
    </w:p>
  </w:footnote>
  <w:footnote w:id="6">
    <w:p w14:paraId="70A84D70" w14:textId="3D230C14" w:rsidR="00720D1F" w:rsidRPr="003C58B5" w:rsidRDefault="00720D1F"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78A and 78C-E, N</w:t>
      </w:r>
      <w:r w:rsidR="00BF3D92">
        <w:rPr>
          <w:color w:val="77328A"/>
          <w:sz w:val="16"/>
          <w:szCs w:val="16"/>
        </w:rPr>
        <w:t>orthern Ireland</w:t>
      </w:r>
      <w:r w:rsidRPr="003C58B5">
        <w:rPr>
          <w:color w:val="77328A"/>
          <w:sz w:val="16"/>
          <w:szCs w:val="16"/>
        </w:rPr>
        <w:t xml:space="preserve"> Act 1998. </w:t>
      </w:r>
      <w:r w:rsidR="004F3A45" w:rsidRPr="003C58B5">
        <w:rPr>
          <w:color w:val="77328A"/>
          <w:sz w:val="16"/>
          <w:szCs w:val="16"/>
        </w:rPr>
        <w:t>See the response to question 10 for further detail.</w:t>
      </w:r>
    </w:p>
  </w:footnote>
  <w:footnote w:id="7">
    <w:p w14:paraId="1BEACF57" w14:textId="5D90B967" w:rsidR="00C4518F" w:rsidRPr="003C58B5" w:rsidRDefault="00C4518F"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3C215E" w:rsidRPr="003C58B5">
        <w:rPr>
          <w:color w:val="77328A"/>
          <w:sz w:val="16"/>
          <w:szCs w:val="16"/>
        </w:rPr>
        <w:t xml:space="preserve">House of Commons NI Affairs Committee, 'Oral Evidence: Addressing the Legacy of NI's Past - The UK Government's New Proposals', 7 June 2022; </w:t>
      </w:r>
      <w:r w:rsidR="00E36975">
        <w:rPr>
          <w:color w:val="77328A"/>
          <w:sz w:val="16"/>
          <w:szCs w:val="16"/>
        </w:rPr>
        <w:t>Northern Ireland</w:t>
      </w:r>
      <w:r w:rsidR="003C215E" w:rsidRPr="003C58B5">
        <w:rPr>
          <w:color w:val="77328A"/>
          <w:sz w:val="16"/>
          <w:szCs w:val="16"/>
        </w:rPr>
        <w:t xml:space="preserve"> Human Rights Commission, 'Legislative Scrutiny: NI Troubles (Legacy and Reconciliation) Bill' (NIHRC, 2022); </w:t>
      </w:r>
      <w:r w:rsidR="00E36975">
        <w:rPr>
          <w:color w:val="77328A"/>
          <w:sz w:val="16"/>
          <w:szCs w:val="16"/>
        </w:rPr>
        <w:t>Northern Ireland</w:t>
      </w:r>
      <w:r w:rsidR="003C215E" w:rsidRPr="003C58B5">
        <w:rPr>
          <w:color w:val="77328A"/>
          <w:sz w:val="16"/>
          <w:szCs w:val="16"/>
        </w:rPr>
        <w:t xml:space="preserve"> Human Rights Commission, 'Rule 9 Submission to the </w:t>
      </w:r>
      <w:proofErr w:type="spellStart"/>
      <w:r w:rsidR="003C215E" w:rsidRPr="003C58B5">
        <w:rPr>
          <w:color w:val="77328A"/>
          <w:sz w:val="16"/>
          <w:szCs w:val="16"/>
        </w:rPr>
        <w:t>CoE</w:t>
      </w:r>
      <w:proofErr w:type="spellEnd"/>
      <w:r w:rsidR="003C215E" w:rsidRPr="003C58B5">
        <w:rPr>
          <w:color w:val="77328A"/>
          <w:sz w:val="16"/>
          <w:szCs w:val="16"/>
        </w:rPr>
        <w:t xml:space="preserve"> Committee of Ministers in Relation to the Supervision of the Cases Concerning the Actions of the Security Forces in NI: Advice on NI Troubles (Legacy and Reconciliation) Bill’ (NIHRC, 2022); </w:t>
      </w:r>
      <w:r w:rsidR="00E36975">
        <w:rPr>
          <w:color w:val="77328A"/>
          <w:sz w:val="16"/>
          <w:szCs w:val="16"/>
        </w:rPr>
        <w:t>Northern Ireland</w:t>
      </w:r>
      <w:r w:rsidR="003C215E" w:rsidRPr="003C58B5">
        <w:rPr>
          <w:color w:val="77328A"/>
          <w:sz w:val="16"/>
          <w:szCs w:val="16"/>
        </w:rPr>
        <w:t xml:space="preserve"> Human Rights Commission, ‘Advice on NI Troubles (Legacy and Reconciliation) Bill’ (NIHRC, 2022); Letter from the </w:t>
      </w:r>
      <w:r w:rsidR="00E36975">
        <w:rPr>
          <w:color w:val="77328A"/>
          <w:sz w:val="16"/>
          <w:szCs w:val="16"/>
        </w:rPr>
        <w:t>Northern Ireland</w:t>
      </w:r>
      <w:r w:rsidR="003C215E" w:rsidRPr="003C58B5">
        <w:rPr>
          <w:color w:val="77328A"/>
          <w:sz w:val="16"/>
          <w:szCs w:val="16"/>
        </w:rPr>
        <w:t xml:space="preserve"> Human Rights Commission to </w:t>
      </w:r>
      <w:r w:rsidR="00E36975">
        <w:rPr>
          <w:color w:val="77328A"/>
          <w:sz w:val="16"/>
          <w:szCs w:val="16"/>
        </w:rPr>
        <w:t>the</w:t>
      </w:r>
      <w:r w:rsidR="003C215E" w:rsidRPr="003C58B5">
        <w:rPr>
          <w:color w:val="77328A"/>
          <w:sz w:val="16"/>
          <w:szCs w:val="16"/>
        </w:rPr>
        <w:t xml:space="preserve"> Chair of the House of Lords Sub-Committee on the Ireland/Northern Ireland Protocol, Lord Jay, 30 January 2023; </w:t>
      </w:r>
      <w:r w:rsidR="00E36975">
        <w:rPr>
          <w:color w:val="77328A"/>
          <w:sz w:val="16"/>
          <w:szCs w:val="16"/>
        </w:rPr>
        <w:t>Northern Ireland</w:t>
      </w:r>
      <w:r w:rsidR="003C215E" w:rsidRPr="003C58B5">
        <w:rPr>
          <w:color w:val="77328A"/>
          <w:sz w:val="16"/>
          <w:szCs w:val="16"/>
        </w:rPr>
        <w:t xml:space="preserve"> Human Rights Commission, ‘Supplementary Briefing: UK Government’s Proposed Amendments to NI Troubles (Legacy and Reconciliation) Bill’ (NIHRC, 2023).</w:t>
      </w:r>
    </w:p>
  </w:footnote>
  <w:footnote w:id="8">
    <w:p w14:paraId="7E79335C" w14:textId="2C8DD926" w:rsidR="00094117" w:rsidRPr="003C58B5" w:rsidRDefault="00094117"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BF3D92" w:rsidRPr="003C58B5">
        <w:rPr>
          <w:i/>
          <w:iCs/>
          <w:color w:val="77328A"/>
          <w:sz w:val="16"/>
          <w:szCs w:val="16"/>
        </w:rPr>
        <w:t>Matter</w:t>
      </w:r>
      <w:r w:rsidRPr="003C58B5">
        <w:rPr>
          <w:i/>
          <w:iCs/>
          <w:color w:val="77328A"/>
          <w:sz w:val="16"/>
          <w:szCs w:val="16"/>
        </w:rPr>
        <w:t xml:space="preserve"> of an </w:t>
      </w:r>
      <w:r w:rsidR="00BF3D92"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113. </w:t>
      </w:r>
    </w:p>
  </w:footnote>
  <w:footnote w:id="9">
    <w:p w14:paraId="44C074A0" w14:textId="16FDCA51" w:rsidR="0056278E" w:rsidRPr="003C58B5" w:rsidRDefault="0056278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B158AC" w:rsidRPr="003C58B5">
        <w:rPr>
          <w:color w:val="77328A"/>
          <w:sz w:val="16"/>
          <w:szCs w:val="16"/>
        </w:rPr>
        <w:t>For detail, see responses to questions 5, 6 and 9.</w:t>
      </w:r>
    </w:p>
  </w:footnote>
  <w:footnote w:id="10">
    <w:p w14:paraId="4EAEB506" w14:textId="54E8B021" w:rsidR="00B64A3C" w:rsidRPr="003C58B5" w:rsidRDefault="00B64A3C"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BF3D92" w:rsidRPr="003C58B5">
        <w:rPr>
          <w:i/>
          <w:iCs/>
          <w:color w:val="77328A"/>
          <w:sz w:val="16"/>
          <w:szCs w:val="16"/>
        </w:rPr>
        <w:t>Matter</w:t>
      </w:r>
      <w:r w:rsidRPr="003C58B5">
        <w:rPr>
          <w:i/>
          <w:iCs/>
          <w:color w:val="77328A"/>
          <w:sz w:val="16"/>
          <w:szCs w:val="16"/>
        </w:rPr>
        <w:t xml:space="preserve"> of an </w:t>
      </w:r>
      <w:r w:rsidR="00BF3D92"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135-136.</w:t>
      </w:r>
    </w:p>
  </w:footnote>
  <w:footnote w:id="11">
    <w:p w14:paraId="1F638B83" w14:textId="77777777" w:rsidR="00B64A3C" w:rsidRPr="003C58B5" w:rsidRDefault="00B64A3C" w:rsidP="003C58B5">
      <w:pPr>
        <w:pStyle w:val="FootnoteText"/>
        <w:spacing w:line="240" w:lineRule="auto"/>
        <w:rPr>
          <w:color w:val="77328A"/>
          <w:sz w:val="16"/>
          <w:szCs w:val="16"/>
        </w:rPr>
      </w:pPr>
      <w:r w:rsidRPr="003C58B5">
        <w:rPr>
          <w:color w:val="77328A"/>
          <w:sz w:val="16"/>
          <w:szCs w:val="16"/>
          <w:vertAlign w:val="superscript"/>
        </w:rPr>
        <w:footnoteRef/>
      </w:r>
      <w:r w:rsidRPr="003C58B5">
        <w:rPr>
          <w:color w:val="77328A"/>
          <w:sz w:val="16"/>
          <w:szCs w:val="16"/>
        </w:rPr>
        <w:t xml:space="preserve"> For detail, see responses to questions 5 and 7.</w:t>
      </w:r>
    </w:p>
  </w:footnote>
  <w:footnote w:id="12">
    <w:p w14:paraId="6B4558F8" w14:textId="1DEC5BEF" w:rsidR="000577E1" w:rsidRPr="003C58B5" w:rsidRDefault="000577E1" w:rsidP="003C58B5">
      <w:pPr>
        <w:pStyle w:val="NIHRCFootnotes"/>
      </w:pPr>
      <w:r w:rsidRPr="003C58B5">
        <w:rPr>
          <w:rStyle w:val="FootnoteReference"/>
        </w:rPr>
        <w:footnoteRef/>
      </w:r>
      <w:r w:rsidRPr="003C58B5">
        <w:t xml:space="preserve"> The NIHRC provided advice to the UK Government in 2008 (</w:t>
      </w:r>
      <w:r w:rsidR="00E36975">
        <w:t>Northern Ireland</w:t>
      </w:r>
      <w:r w:rsidRPr="003C58B5">
        <w:t xml:space="preserve"> Human Rights Commission, ‘A Bill of Rights for NI: Advice to the Secretary of State for NI’ (NIHRC, 2008)). In 2022, the NI Assembly Ad Hoc Committee on a Bill of Rights reaffirmed that </w:t>
      </w:r>
      <w:proofErr w:type="gramStart"/>
      <w:r w:rsidRPr="003C58B5">
        <w:t>a majority of</w:t>
      </w:r>
      <w:proofErr w:type="gramEnd"/>
      <w:r w:rsidRPr="003C58B5">
        <w:t xml:space="preserve"> individuals and groups in NI support a Bill of Rights but was unable to advise as to what form this should take due to the absence of an expert panel and the disagreement of the Democratic Unionist Party. (NI Assembly, ‘Report of the Ad Hoc Committee on Bill of Rights’ (NIA, 2022)).</w:t>
      </w:r>
    </w:p>
  </w:footnote>
  <w:footnote w:id="13">
    <w:p w14:paraId="5E731BC7" w14:textId="77777777" w:rsidR="000577E1" w:rsidRPr="003C58B5" w:rsidRDefault="000577E1" w:rsidP="003C58B5">
      <w:pPr>
        <w:pStyle w:val="NIHRCFootnotes"/>
      </w:pPr>
      <w:r w:rsidRPr="003C58B5">
        <w:rPr>
          <w:rStyle w:val="FootnoteReference"/>
        </w:rPr>
        <w:footnoteRef/>
      </w:r>
      <w:r w:rsidRPr="003C58B5">
        <w:t xml:space="preserve"> For example, in areas such as the introduction of marriage equality for same-sex partners and abortion law reform, changes to the NI law were introduced by the UK Parliament rather than the NI Assembly (NI (Executive Formation etc) Act 2019). Similarly, gender pay gap reporting has not been implemented in </w:t>
      </w:r>
      <w:proofErr w:type="gramStart"/>
      <w:r w:rsidRPr="003C58B5">
        <w:t>NI</w:t>
      </w:r>
      <w:proofErr w:type="gramEnd"/>
      <w:r w:rsidRPr="003C58B5">
        <w:t xml:space="preserve"> and it remains the only part of the UK and Ireland without this framework in place (see Northern Ireland Human Rights Commission, ‘Submission to the Department for Communities’ Consultation on the Gender Pay Gap Information Regulations’ (NIHRC, 2025)).</w:t>
      </w:r>
    </w:p>
  </w:footnote>
  <w:footnote w:id="14">
    <w:p w14:paraId="3D9375F7" w14:textId="77777777" w:rsidR="00091B81" w:rsidRPr="003C58B5" w:rsidRDefault="00091B8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Equality Commission for NI, ‘Submission to the Committee for the Executive Office Inquiry into Gaps in Equality Legislation’ (ECNI, 2024).</w:t>
      </w:r>
    </w:p>
  </w:footnote>
  <w:footnote w:id="15">
    <w:p w14:paraId="508B2A8C" w14:textId="0F839557" w:rsidR="004B717F" w:rsidRPr="003C58B5" w:rsidRDefault="004B717F" w:rsidP="003C58B5">
      <w:pPr>
        <w:pStyle w:val="FootnoteText"/>
        <w:spacing w:line="240" w:lineRule="auto"/>
        <w:rPr>
          <w:rStyle w:val="FootnoteReference"/>
          <w:color w:val="77328A"/>
          <w:sz w:val="16"/>
          <w:szCs w:val="16"/>
        </w:rPr>
      </w:pPr>
      <w:r w:rsidRPr="003C58B5">
        <w:rPr>
          <w:rStyle w:val="FootnoteReference"/>
          <w:color w:val="77328A"/>
          <w:sz w:val="16"/>
          <w:szCs w:val="16"/>
        </w:rPr>
        <w:footnoteRef/>
      </w:r>
      <w:r w:rsidRPr="003C58B5">
        <w:rPr>
          <w:rStyle w:val="FootnoteReference"/>
          <w:color w:val="77328A"/>
          <w:sz w:val="16"/>
          <w:szCs w:val="16"/>
        </w:rPr>
        <w:t xml:space="preserve"> </w:t>
      </w:r>
      <w:r w:rsidR="005026A6" w:rsidRPr="003C58B5">
        <w:rPr>
          <w:rStyle w:val="FootnoteReference"/>
          <w:color w:val="77328A"/>
          <w:sz w:val="16"/>
          <w:szCs w:val="16"/>
          <w:vertAlign w:val="baseline"/>
        </w:rPr>
        <w:t>The Victim Charter (Justice Act (Northern Ireland) 2015) Order (Northern Ireland) 2015</w:t>
      </w:r>
      <w:r w:rsidR="005026A6" w:rsidRPr="003C58B5">
        <w:rPr>
          <w:color w:val="77328A"/>
          <w:sz w:val="16"/>
          <w:szCs w:val="16"/>
        </w:rPr>
        <w:t xml:space="preserve">; Explanatory Memorandum to The Victim Charter (Justice Act (Northern Ireland) 2015) Order (Northern Ireland) 2015 SR 2015/370, at para 2.1; </w:t>
      </w:r>
      <w:r w:rsidR="0086107B" w:rsidRPr="003C58B5">
        <w:rPr>
          <w:color w:val="77328A"/>
          <w:sz w:val="16"/>
          <w:szCs w:val="16"/>
        </w:rPr>
        <w:t xml:space="preserve">Data Protection Act 2018; </w:t>
      </w:r>
      <w:r w:rsidR="00186491" w:rsidRPr="003C58B5">
        <w:rPr>
          <w:color w:val="77328A"/>
          <w:sz w:val="16"/>
          <w:szCs w:val="16"/>
        </w:rPr>
        <w:t>Explanatory Notes – Data Protection Act 2018, at 8.</w:t>
      </w:r>
    </w:p>
  </w:footnote>
  <w:footnote w:id="16">
    <w:p w14:paraId="6D9A59AB" w14:textId="63F1B6EB" w:rsidR="00AD17B6" w:rsidRPr="003C58B5" w:rsidRDefault="00AD17B6"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Joint </w:t>
      </w:r>
      <w:r w:rsidR="005F6824" w:rsidRPr="003C58B5">
        <w:rPr>
          <w:rFonts w:cstheme="minorHAnsi"/>
          <w:color w:val="77328A"/>
          <w:sz w:val="16"/>
          <w:szCs w:val="16"/>
        </w:rPr>
        <w:t>Report</w:t>
      </w:r>
      <w:r w:rsidRPr="003C58B5">
        <w:rPr>
          <w:rFonts w:cstheme="minorHAnsi"/>
          <w:color w:val="77328A"/>
          <w:sz w:val="16"/>
          <w:szCs w:val="16"/>
        </w:rPr>
        <w:t xml:space="preserve"> from the Negotiators of the EU and UK Government </w:t>
      </w:r>
      <w:r w:rsidR="005F6824">
        <w:rPr>
          <w:rFonts w:cstheme="minorHAnsi"/>
          <w:color w:val="77328A"/>
          <w:sz w:val="16"/>
          <w:szCs w:val="16"/>
        </w:rPr>
        <w:t>on</w:t>
      </w:r>
      <w:r w:rsidRPr="003C58B5">
        <w:rPr>
          <w:rFonts w:cstheme="minorHAnsi"/>
          <w:color w:val="77328A"/>
          <w:sz w:val="16"/>
          <w:szCs w:val="16"/>
        </w:rPr>
        <w:t xml:space="preserve"> progress during Phase 1 of Negotiations under Article 50 TEU on the UK’s Orderly Withdrawal from the EU, 8 December 2017, at para 42 and 53; Preamble to the Windsor Framework recognised that the UK withdrawal from the EU presented a ‘significant and unique challenge to the island of Ireland’.</w:t>
      </w:r>
    </w:p>
  </w:footnote>
  <w:footnote w:id="17">
    <w:p w14:paraId="77588DCB" w14:textId="059773A1" w:rsidR="003B1B30" w:rsidRPr="003C58B5" w:rsidRDefault="003B1B30"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Joint </w:t>
      </w:r>
      <w:r w:rsidR="005F6824" w:rsidRPr="003C58B5">
        <w:rPr>
          <w:rFonts w:cstheme="minorHAnsi"/>
          <w:color w:val="77328A"/>
          <w:sz w:val="16"/>
          <w:szCs w:val="16"/>
        </w:rPr>
        <w:t>Report</w:t>
      </w:r>
      <w:r w:rsidRPr="003C58B5">
        <w:rPr>
          <w:rFonts w:cstheme="minorHAnsi"/>
          <w:color w:val="77328A"/>
          <w:sz w:val="16"/>
          <w:szCs w:val="16"/>
        </w:rPr>
        <w:t xml:space="preserve"> from the Negotiators of the EU and UK Government </w:t>
      </w:r>
      <w:r w:rsidR="005F6824">
        <w:rPr>
          <w:rFonts w:cstheme="minorHAnsi"/>
          <w:color w:val="77328A"/>
          <w:sz w:val="16"/>
          <w:szCs w:val="16"/>
        </w:rPr>
        <w:t xml:space="preserve">on </w:t>
      </w:r>
      <w:r w:rsidRPr="003C58B5">
        <w:rPr>
          <w:rFonts w:cstheme="minorHAnsi"/>
          <w:color w:val="77328A"/>
          <w:sz w:val="16"/>
          <w:szCs w:val="16"/>
        </w:rPr>
        <w:t>progress during Phase 1 of Negotiations under Article 50 TEU on the UK’s Orderly Withdrawal from the EU, 8 December 2017, at para 42.</w:t>
      </w:r>
    </w:p>
  </w:footnote>
  <w:footnote w:id="18">
    <w:p w14:paraId="3A58E01A" w14:textId="1FF3683A" w:rsidR="00BE0D97" w:rsidRPr="003C58B5" w:rsidRDefault="00BE0D97"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w:t>
      </w:r>
      <w:r w:rsidR="00A567E9" w:rsidRPr="003C58B5">
        <w:rPr>
          <w:rFonts w:cstheme="minorHAnsi"/>
          <w:color w:val="77328A"/>
          <w:sz w:val="16"/>
          <w:szCs w:val="16"/>
        </w:rPr>
        <w:t xml:space="preserve">Joint </w:t>
      </w:r>
      <w:r w:rsidR="005F6824" w:rsidRPr="003C58B5">
        <w:rPr>
          <w:rFonts w:cstheme="minorHAnsi"/>
          <w:color w:val="77328A"/>
          <w:sz w:val="16"/>
          <w:szCs w:val="16"/>
        </w:rPr>
        <w:t>Report</w:t>
      </w:r>
      <w:r w:rsidR="00A567E9" w:rsidRPr="003C58B5">
        <w:rPr>
          <w:rFonts w:cstheme="minorHAnsi"/>
          <w:color w:val="77328A"/>
          <w:sz w:val="16"/>
          <w:szCs w:val="16"/>
        </w:rPr>
        <w:t xml:space="preserve"> from the Negotiators of the EU and UK Government </w:t>
      </w:r>
      <w:r w:rsidR="005F6824">
        <w:rPr>
          <w:rFonts w:cstheme="minorHAnsi"/>
          <w:color w:val="77328A"/>
          <w:sz w:val="16"/>
          <w:szCs w:val="16"/>
        </w:rPr>
        <w:t xml:space="preserve">on </w:t>
      </w:r>
      <w:r w:rsidR="00A567E9" w:rsidRPr="003C58B5">
        <w:rPr>
          <w:rFonts w:cstheme="minorHAnsi"/>
          <w:color w:val="77328A"/>
          <w:sz w:val="16"/>
          <w:szCs w:val="16"/>
        </w:rPr>
        <w:t>progress during Phase 1 of Negotiations under Article 50 TEU on the UK’s Orderly Withdrawal from the EU, 8 December 2017, at para 53.</w:t>
      </w:r>
    </w:p>
  </w:footnote>
  <w:footnote w:id="19">
    <w:p w14:paraId="187DAD33" w14:textId="77777777" w:rsidR="00462400" w:rsidRPr="003C58B5" w:rsidRDefault="00462400"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 1(3), Windsor Framework. </w:t>
      </w:r>
    </w:p>
  </w:footnote>
  <w:footnote w:id="20">
    <w:p w14:paraId="7D077BFF" w14:textId="099BEA46" w:rsidR="002A7601" w:rsidRPr="003C58B5" w:rsidRDefault="002A7601" w:rsidP="003C58B5">
      <w:pPr>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Belfast (Good Friday) Agreement, 10 April 1998, Part 6 on Rights, Safeguards and Equality of Opportunity, at para 4-5. T</w:t>
      </w:r>
      <w:r w:rsidRPr="003C58B5">
        <w:rPr>
          <w:rFonts w:cstheme="minorHAnsi"/>
          <w:color w:val="77328A"/>
          <w:sz w:val="16"/>
          <w:szCs w:val="16"/>
        </w:rPr>
        <w:t>his commitment to a Bill of Rights for Northern Ireland was further elaborated in the Joint Declaration by the British and Irish Governments at Hillsborough Castle in April 2003, para 25-33 and Annex 3.</w:t>
      </w:r>
    </w:p>
  </w:footnote>
  <w:footnote w:id="21">
    <w:p w14:paraId="232CE1CC" w14:textId="77777777" w:rsidR="002A7601" w:rsidRPr="003C58B5" w:rsidRDefault="002A760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Equality Commission for NI, ‘Submission to the Committee for the Executive Office Inquiry into Gaps in Equality Legislation’ (ECNI, 2024).</w:t>
      </w:r>
    </w:p>
  </w:footnote>
  <w:footnote w:id="22">
    <w:p w14:paraId="5288A873" w14:textId="46AF3B31" w:rsidR="00411009" w:rsidRPr="003C58B5" w:rsidRDefault="0041100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See for example </w:t>
      </w:r>
      <w:r w:rsidR="005F6824">
        <w:rPr>
          <w:color w:val="77328A"/>
          <w:sz w:val="16"/>
          <w:szCs w:val="16"/>
        </w:rPr>
        <w:t xml:space="preserve">the </w:t>
      </w:r>
      <w:r w:rsidR="00FD39AB" w:rsidRPr="003C58B5">
        <w:rPr>
          <w:color w:val="77328A"/>
          <w:sz w:val="16"/>
          <w:szCs w:val="16"/>
        </w:rPr>
        <w:t xml:space="preserve">Joint </w:t>
      </w:r>
      <w:r w:rsidR="005F6824" w:rsidRPr="003C58B5">
        <w:rPr>
          <w:color w:val="77328A"/>
          <w:sz w:val="16"/>
          <w:szCs w:val="16"/>
        </w:rPr>
        <w:t>Report</w:t>
      </w:r>
      <w:r w:rsidR="00FD39AB" w:rsidRPr="003C58B5">
        <w:rPr>
          <w:color w:val="77328A"/>
          <w:sz w:val="16"/>
          <w:szCs w:val="16"/>
        </w:rPr>
        <w:t xml:space="preserve"> from the Negotiators of the EU and UK Government </w:t>
      </w:r>
      <w:r w:rsidR="005F6824">
        <w:rPr>
          <w:color w:val="77328A"/>
          <w:sz w:val="16"/>
          <w:szCs w:val="16"/>
        </w:rPr>
        <w:t>on</w:t>
      </w:r>
      <w:r w:rsidR="00FD39AB" w:rsidRPr="003C58B5">
        <w:rPr>
          <w:color w:val="77328A"/>
          <w:sz w:val="16"/>
          <w:szCs w:val="16"/>
        </w:rPr>
        <w:t xml:space="preserve"> progress during Phase 1 of Negotiations under Article 50 TEU on the UK’s Orderly Withdrawal from the EU, 8 December 2017, at para 53</w:t>
      </w:r>
      <w:r w:rsidR="00354938" w:rsidRPr="003C58B5">
        <w:rPr>
          <w:color w:val="77328A"/>
          <w:sz w:val="16"/>
          <w:szCs w:val="16"/>
        </w:rPr>
        <w:t xml:space="preserve">; and </w:t>
      </w:r>
      <w:r w:rsidR="004D089B" w:rsidRPr="003C58B5">
        <w:rPr>
          <w:color w:val="77328A"/>
          <w:sz w:val="16"/>
          <w:szCs w:val="16"/>
        </w:rPr>
        <w:t xml:space="preserve">Theresa May MP, </w:t>
      </w:r>
      <w:r w:rsidR="009B2962" w:rsidRPr="003C58B5">
        <w:rPr>
          <w:color w:val="77328A"/>
          <w:sz w:val="16"/>
          <w:szCs w:val="16"/>
        </w:rPr>
        <w:t>‘PM Belfast speech</w:t>
      </w:r>
      <w:r w:rsidR="006C28BE" w:rsidRPr="003C58B5">
        <w:rPr>
          <w:color w:val="77328A"/>
          <w:sz w:val="16"/>
          <w:szCs w:val="16"/>
        </w:rPr>
        <w:t>:</w:t>
      </w:r>
      <w:r w:rsidR="009B2962" w:rsidRPr="003C58B5">
        <w:rPr>
          <w:color w:val="77328A"/>
          <w:sz w:val="16"/>
          <w:szCs w:val="16"/>
        </w:rPr>
        <w:t xml:space="preserve"> 20 July 2018</w:t>
      </w:r>
      <w:r w:rsidR="006C28BE" w:rsidRPr="003C58B5">
        <w:rPr>
          <w:color w:val="77328A"/>
          <w:sz w:val="16"/>
          <w:szCs w:val="16"/>
        </w:rPr>
        <w:t xml:space="preserve">’ (UKG 2018). </w:t>
      </w:r>
    </w:p>
  </w:footnote>
  <w:footnote w:id="23">
    <w:p w14:paraId="59B745DE" w14:textId="712889FE" w:rsidR="00760667" w:rsidRPr="003C58B5" w:rsidRDefault="00760667"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rFonts w:cstheme="minorHAnsi"/>
          <w:color w:val="77328A"/>
          <w:sz w:val="16"/>
          <w:szCs w:val="16"/>
        </w:rPr>
        <w:t>NI Office, ‘UK Government Commitment to “No Diminution of Rights, Safeguards and Equality of Opportunity” in Northern Ireland: What does it Mean and How will it be Implemented?’ (NIO, 2020)</w:t>
      </w:r>
      <w:r w:rsidR="00126A27" w:rsidRPr="003C58B5">
        <w:rPr>
          <w:rFonts w:cstheme="minorHAnsi"/>
          <w:color w:val="77328A"/>
          <w:sz w:val="16"/>
          <w:szCs w:val="16"/>
        </w:rPr>
        <w:t>.</w:t>
      </w:r>
    </w:p>
  </w:footnote>
  <w:footnote w:id="24">
    <w:p w14:paraId="260D529D" w14:textId="5D7424E6" w:rsidR="0065711C" w:rsidRPr="003C58B5" w:rsidRDefault="0065711C"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UK Government, ‘NI Protocol: the way forward’ (UKG, 2021), </w:t>
      </w:r>
      <w:r w:rsidR="004D089B" w:rsidRPr="003C58B5">
        <w:rPr>
          <w:rFonts w:cstheme="minorHAnsi"/>
          <w:color w:val="77328A"/>
          <w:sz w:val="16"/>
          <w:szCs w:val="16"/>
        </w:rPr>
        <w:t xml:space="preserve">at </w:t>
      </w:r>
      <w:r w:rsidRPr="003C58B5">
        <w:rPr>
          <w:rFonts w:cstheme="minorHAnsi"/>
          <w:color w:val="77328A"/>
          <w:sz w:val="16"/>
          <w:szCs w:val="16"/>
        </w:rPr>
        <w:t xml:space="preserve">para 37.  </w:t>
      </w:r>
    </w:p>
  </w:footnote>
  <w:footnote w:id="25">
    <w:p w14:paraId="0BED7F14" w14:textId="03589B5A" w:rsidR="00F41EB1" w:rsidRPr="003C58B5" w:rsidRDefault="00F41EB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BF3D92" w:rsidRPr="003C58B5">
        <w:rPr>
          <w:i/>
          <w:iCs/>
          <w:color w:val="77328A"/>
          <w:sz w:val="16"/>
          <w:szCs w:val="16"/>
        </w:rPr>
        <w:t>Matter</w:t>
      </w:r>
      <w:r w:rsidRPr="003C58B5">
        <w:rPr>
          <w:i/>
          <w:iCs/>
          <w:color w:val="77328A"/>
          <w:sz w:val="16"/>
          <w:szCs w:val="16"/>
        </w:rPr>
        <w:t xml:space="preserve"> of an </w:t>
      </w:r>
      <w:r w:rsidR="00BF3D92" w:rsidRPr="003C58B5">
        <w:rPr>
          <w:i/>
          <w:iCs/>
          <w:color w:val="77328A"/>
          <w:sz w:val="16"/>
          <w:szCs w:val="16"/>
        </w:rPr>
        <w:t>Application</w:t>
      </w:r>
      <w:r w:rsidRPr="003C58B5">
        <w:rPr>
          <w:i/>
          <w:iCs/>
          <w:color w:val="77328A"/>
          <w:sz w:val="16"/>
          <w:szCs w:val="16"/>
        </w:rPr>
        <w:t xml:space="preserve"> by James Hugh Allister and another for Judicial Review</w:t>
      </w:r>
      <w:r w:rsidRPr="003C58B5">
        <w:rPr>
          <w:color w:val="77328A"/>
          <w:sz w:val="16"/>
          <w:szCs w:val="16"/>
        </w:rPr>
        <w:t> [2023] UKSC 5, at para 61</w:t>
      </w:r>
      <w:r w:rsidR="00580734" w:rsidRPr="003C58B5">
        <w:rPr>
          <w:color w:val="77328A"/>
          <w:sz w:val="16"/>
          <w:szCs w:val="16"/>
        </w:rPr>
        <w:t>.</w:t>
      </w:r>
    </w:p>
  </w:footnote>
  <w:footnote w:id="26">
    <w:p w14:paraId="762E2DDF" w14:textId="07510161" w:rsidR="00DA7F68" w:rsidRPr="003C58B5" w:rsidRDefault="00DA7F6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See </w:t>
      </w:r>
      <w:r w:rsidRPr="003C58B5">
        <w:rPr>
          <w:i/>
          <w:iCs/>
          <w:color w:val="77328A"/>
          <w:sz w:val="16"/>
          <w:szCs w:val="16"/>
        </w:rPr>
        <w:t xml:space="preserve">In the </w:t>
      </w:r>
      <w:r w:rsidR="00BF3D92" w:rsidRPr="003C58B5">
        <w:rPr>
          <w:i/>
          <w:iCs/>
          <w:color w:val="77328A"/>
          <w:sz w:val="16"/>
          <w:szCs w:val="16"/>
        </w:rPr>
        <w:t>Matter</w:t>
      </w:r>
      <w:r w:rsidRPr="003C58B5">
        <w:rPr>
          <w:i/>
          <w:iCs/>
          <w:color w:val="77328A"/>
          <w:sz w:val="16"/>
          <w:szCs w:val="16"/>
        </w:rPr>
        <w:t xml:space="preserve"> of an </w:t>
      </w:r>
      <w:r w:rsidR="00BF3D92"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111.</w:t>
      </w:r>
      <w:r w:rsidR="00F41EB1" w:rsidRPr="003C58B5">
        <w:rPr>
          <w:color w:val="77328A"/>
          <w:sz w:val="16"/>
          <w:szCs w:val="16"/>
        </w:rPr>
        <w:t xml:space="preserve"> </w:t>
      </w:r>
    </w:p>
  </w:footnote>
  <w:footnote w:id="27">
    <w:p w14:paraId="3758D1B4" w14:textId="70EB7993" w:rsidR="008C1EA4" w:rsidRPr="003C58B5" w:rsidRDefault="008C1E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6, Northern Ireland Act 1998.  </w:t>
      </w:r>
    </w:p>
  </w:footnote>
  <w:footnote w:id="28">
    <w:p w14:paraId="5D08A9D3" w14:textId="5E1DE720" w:rsidR="008C1EA4" w:rsidRPr="003C58B5" w:rsidRDefault="008C1E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24, Northern Ireland Act 1998.  </w:t>
      </w:r>
    </w:p>
  </w:footnote>
  <w:footnote w:id="29">
    <w:p w14:paraId="6E47E146" w14:textId="77777777" w:rsidR="0058658E" w:rsidRPr="003C58B5" w:rsidRDefault="0058658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 13(2), Windsor Framework. </w:t>
      </w:r>
    </w:p>
  </w:footnote>
  <w:footnote w:id="30">
    <w:p w14:paraId="3AB7AEDC" w14:textId="52E243B5" w:rsidR="00197A74" w:rsidRPr="003C58B5" w:rsidRDefault="00197A7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This provides an important qualification to the general approach after the 1 January 2021, as set out in Article 4(4) and 4(5) of the UK-EU Withdrawal Agreement.  </w:t>
      </w:r>
    </w:p>
  </w:footnote>
  <w:footnote w:id="31">
    <w:p w14:paraId="14576422" w14:textId="40E8FDD3" w:rsidR="00C75CCC" w:rsidRPr="003C58B5" w:rsidRDefault="00C75CCC"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proofErr w:type="spellStart"/>
      <w:r w:rsidR="00964E9C" w:rsidRPr="003C58B5">
        <w:rPr>
          <w:i/>
          <w:iCs/>
          <w:color w:val="77328A"/>
          <w:sz w:val="16"/>
          <w:szCs w:val="16"/>
        </w:rPr>
        <w:t>Lesoochranárske</w:t>
      </w:r>
      <w:proofErr w:type="spellEnd"/>
      <w:r w:rsidR="00964E9C" w:rsidRPr="003C58B5">
        <w:rPr>
          <w:i/>
          <w:iCs/>
          <w:color w:val="77328A"/>
          <w:sz w:val="16"/>
          <w:szCs w:val="16"/>
        </w:rPr>
        <w:t xml:space="preserve"> </w:t>
      </w:r>
      <w:proofErr w:type="spellStart"/>
      <w:r w:rsidR="00964E9C" w:rsidRPr="003C58B5">
        <w:rPr>
          <w:i/>
          <w:iCs/>
          <w:color w:val="77328A"/>
          <w:sz w:val="16"/>
          <w:szCs w:val="16"/>
        </w:rPr>
        <w:t>zoskupenie</w:t>
      </w:r>
      <w:proofErr w:type="spellEnd"/>
      <w:r w:rsidR="00964E9C" w:rsidRPr="003C58B5">
        <w:rPr>
          <w:i/>
          <w:iCs/>
          <w:color w:val="77328A"/>
          <w:sz w:val="16"/>
          <w:szCs w:val="16"/>
        </w:rPr>
        <w:t xml:space="preserve"> VLK v </w:t>
      </w:r>
      <w:proofErr w:type="spellStart"/>
      <w:r w:rsidR="00964E9C" w:rsidRPr="003C58B5">
        <w:rPr>
          <w:color w:val="77328A"/>
          <w:sz w:val="16"/>
          <w:szCs w:val="16"/>
        </w:rPr>
        <w:t>Ministerstvo</w:t>
      </w:r>
      <w:proofErr w:type="spellEnd"/>
      <w:r w:rsidR="00964E9C" w:rsidRPr="003C58B5">
        <w:rPr>
          <w:color w:val="77328A"/>
          <w:sz w:val="16"/>
          <w:szCs w:val="16"/>
        </w:rPr>
        <w:t xml:space="preserve"> </w:t>
      </w:r>
      <w:proofErr w:type="spellStart"/>
      <w:r w:rsidR="00964E9C" w:rsidRPr="003C58B5">
        <w:rPr>
          <w:color w:val="77328A"/>
          <w:sz w:val="16"/>
          <w:szCs w:val="16"/>
        </w:rPr>
        <w:t>životného</w:t>
      </w:r>
      <w:proofErr w:type="spellEnd"/>
      <w:r w:rsidR="00964E9C" w:rsidRPr="003C58B5">
        <w:rPr>
          <w:color w:val="77328A"/>
          <w:sz w:val="16"/>
          <w:szCs w:val="16"/>
        </w:rPr>
        <w:t xml:space="preserve"> </w:t>
      </w:r>
      <w:proofErr w:type="spellStart"/>
      <w:r w:rsidR="00964E9C" w:rsidRPr="003C58B5">
        <w:rPr>
          <w:color w:val="77328A"/>
          <w:sz w:val="16"/>
          <w:szCs w:val="16"/>
        </w:rPr>
        <w:t>prostredia</w:t>
      </w:r>
      <w:proofErr w:type="spellEnd"/>
      <w:r w:rsidR="00964E9C" w:rsidRPr="003C58B5">
        <w:rPr>
          <w:color w:val="77328A"/>
          <w:sz w:val="16"/>
          <w:szCs w:val="16"/>
        </w:rPr>
        <w:t xml:space="preserve"> </w:t>
      </w:r>
      <w:proofErr w:type="spellStart"/>
      <w:r w:rsidR="00964E9C" w:rsidRPr="003C58B5">
        <w:rPr>
          <w:color w:val="77328A"/>
          <w:sz w:val="16"/>
          <w:szCs w:val="16"/>
        </w:rPr>
        <w:t>Slovenskej</w:t>
      </w:r>
      <w:proofErr w:type="spellEnd"/>
      <w:r w:rsidR="00964E9C" w:rsidRPr="003C58B5">
        <w:rPr>
          <w:color w:val="77328A"/>
          <w:sz w:val="16"/>
          <w:szCs w:val="16"/>
        </w:rPr>
        <w:t xml:space="preserve"> </w:t>
      </w:r>
      <w:proofErr w:type="spellStart"/>
      <w:r w:rsidR="00964E9C" w:rsidRPr="003C58B5">
        <w:rPr>
          <w:color w:val="77328A"/>
          <w:sz w:val="16"/>
          <w:szCs w:val="16"/>
        </w:rPr>
        <w:t>republiky</w:t>
      </w:r>
      <w:proofErr w:type="spellEnd"/>
      <w:r w:rsidR="00964E9C" w:rsidRPr="003C58B5">
        <w:rPr>
          <w:color w:val="77328A"/>
          <w:sz w:val="16"/>
          <w:szCs w:val="16"/>
        </w:rPr>
        <w:t xml:space="preserve">, Case C-240/09, 8 March 2011, at para 44, reiterating the test in </w:t>
      </w:r>
      <w:r w:rsidR="00964E9C" w:rsidRPr="003C58B5">
        <w:rPr>
          <w:i/>
          <w:iCs/>
          <w:color w:val="77328A"/>
          <w:sz w:val="16"/>
          <w:szCs w:val="16"/>
        </w:rPr>
        <w:t>Meryem</w:t>
      </w:r>
      <w:r w:rsidR="00964E9C" w:rsidRPr="003C58B5">
        <w:rPr>
          <w:b/>
          <w:bCs/>
          <w:color w:val="77328A"/>
          <w:sz w:val="16"/>
          <w:szCs w:val="16"/>
        </w:rPr>
        <w:t xml:space="preserve"> </w:t>
      </w:r>
      <w:r w:rsidR="00964E9C" w:rsidRPr="003C58B5">
        <w:rPr>
          <w:i/>
          <w:iCs/>
          <w:color w:val="77328A"/>
          <w:sz w:val="16"/>
          <w:szCs w:val="16"/>
        </w:rPr>
        <w:t xml:space="preserve">Demirel v Stadt Schwabisch </w:t>
      </w:r>
      <w:proofErr w:type="spellStart"/>
      <w:r w:rsidR="00964E9C" w:rsidRPr="003C58B5">
        <w:rPr>
          <w:i/>
          <w:iCs/>
          <w:color w:val="77328A"/>
          <w:sz w:val="16"/>
          <w:szCs w:val="16"/>
        </w:rPr>
        <w:t>Gmünd</w:t>
      </w:r>
      <w:proofErr w:type="spellEnd"/>
      <w:r w:rsidR="00964E9C" w:rsidRPr="003C58B5">
        <w:rPr>
          <w:i/>
          <w:iCs/>
          <w:color w:val="77328A"/>
          <w:sz w:val="16"/>
          <w:szCs w:val="16"/>
        </w:rPr>
        <w:t xml:space="preserve">, </w:t>
      </w:r>
      <w:r w:rsidR="00964E9C" w:rsidRPr="003C58B5">
        <w:rPr>
          <w:color w:val="77328A"/>
          <w:sz w:val="16"/>
          <w:szCs w:val="16"/>
        </w:rPr>
        <w:t>Case 12/86, 30 September 1987, at para 14.</w:t>
      </w:r>
    </w:p>
  </w:footnote>
  <w:footnote w:id="32">
    <w:p w14:paraId="7C00C672" w14:textId="15833FCC" w:rsidR="00CD19A3" w:rsidRPr="003C58B5" w:rsidRDefault="00CD19A3"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111-118 and 125. </w:t>
      </w:r>
    </w:p>
  </w:footnote>
  <w:footnote w:id="33">
    <w:p w14:paraId="2605F0F7" w14:textId="34AAB9BF" w:rsidR="00CD19A3" w:rsidRPr="003C58B5" w:rsidRDefault="00CD19A3"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116. </w:t>
      </w:r>
    </w:p>
  </w:footnote>
  <w:footnote w:id="34">
    <w:p w14:paraId="19F331A0" w14:textId="4B450C9D"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118. </w:t>
      </w:r>
    </w:p>
  </w:footnote>
  <w:footnote w:id="35">
    <w:p w14:paraId="21C38F82" w14:textId="24B3609F"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118. </w:t>
      </w:r>
    </w:p>
  </w:footnote>
  <w:footnote w:id="36">
    <w:p w14:paraId="66653389" w14:textId="76EFF816"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114. </w:t>
      </w:r>
    </w:p>
  </w:footnote>
  <w:footnote w:id="37">
    <w:p w14:paraId="5376E948" w14:textId="3B9F7C84"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00E73846" w:rsidRPr="003C58B5">
        <w:rPr>
          <w:color w:val="77328A"/>
          <w:sz w:val="16"/>
          <w:szCs w:val="16"/>
        </w:rPr>
        <w:t xml:space="preserve"> </w:t>
      </w:r>
      <w:r w:rsidRPr="003C58B5">
        <w:rPr>
          <w:color w:val="77328A"/>
          <w:sz w:val="16"/>
          <w:szCs w:val="16"/>
        </w:rPr>
        <w:t xml:space="preserve">[2026] UKSC 15, at para 125. </w:t>
      </w:r>
    </w:p>
  </w:footnote>
  <w:footnote w:id="38">
    <w:p w14:paraId="13E0592F" w14:textId="6FD78F40"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133. </w:t>
      </w:r>
    </w:p>
  </w:footnote>
  <w:footnote w:id="39">
    <w:p w14:paraId="20CA1460" w14:textId="6128A890"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135. </w:t>
      </w:r>
    </w:p>
  </w:footnote>
  <w:footnote w:id="40">
    <w:p w14:paraId="037C787A" w14:textId="1938D8F9"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137. </w:t>
      </w:r>
    </w:p>
  </w:footnote>
  <w:footnote w:id="41">
    <w:p w14:paraId="1FFD2B2B" w14:textId="5B057817" w:rsidR="00A42528" w:rsidRPr="003C58B5" w:rsidRDefault="00A4252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113. </w:t>
      </w:r>
    </w:p>
  </w:footnote>
  <w:footnote w:id="42">
    <w:p w14:paraId="201F5807" w14:textId="41476707" w:rsidR="00C25E17" w:rsidRPr="003C58B5" w:rsidRDefault="00C25E17"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114.</w:t>
      </w:r>
    </w:p>
  </w:footnote>
  <w:footnote w:id="43">
    <w:p w14:paraId="1331F595" w14:textId="440BC452" w:rsidR="00C25E17" w:rsidRPr="003C58B5" w:rsidRDefault="00C25E17"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130-133.</w:t>
      </w:r>
    </w:p>
  </w:footnote>
  <w:footnote w:id="44">
    <w:p w14:paraId="20308295" w14:textId="1DE98CB9" w:rsidR="00FD5661" w:rsidRPr="003C58B5" w:rsidRDefault="00FD566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13</w:t>
      </w:r>
      <w:r w:rsidR="00581772" w:rsidRPr="003C58B5">
        <w:rPr>
          <w:color w:val="77328A"/>
          <w:sz w:val="16"/>
          <w:szCs w:val="16"/>
        </w:rPr>
        <w:t>3</w:t>
      </w:r>
      <w:r w:rsidRPr="003C58B5">
        <w:rPr>
          <w:color w:val="77328A"/>
          <w:sz w:val="16"/>
          <w:szCs w:val="16"/>
        </w:rPr>
        <w:t xml:space="preserve">. </w:t>
      </w:r>
    </w:p>
  </w:footnote>
  <w:footnote w:id="45">
    <w:p w14:paraId="16A66A8B" w14:textId="060F845E" w:rsidR="00AE1C46" w:rsidRPr="003C58B5" w:rsidRDefault="00AE1C4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E73846" w:rsidRPr="003C58B5">
        <w:rPr>
          <w:i/>
          <w:iCs/>
          <w:color w:val="77328A"/>
          <w:sz w:val="16"/>
          <w:szCs w:val="16"/>
        </w:rPr>
        <w:t>Matter</w:t>
      </w:r>
      <w:r w:rsidRPr="003C58B5">
        <w:rPr>
          <w:i/>
          <w:iCs/>
          <w:color w:val="77328A"/>
          <w:sz w:val="16"/>
          <w:szCs w:val="16"/>
        </w:rPr>
        <w:t xml:space="preserve"> of an </w:t>
      </w:r>
      <w:r w:rsidR="00E73846"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131. </w:t>
      </w:r>
    </w:p>
  </w:footnote>
  <w:footnote w:id="46">
    <w:p w14:paraId="63A99236" w14:textId="77777777" w:rsidR="00F11093" w:rsidRPr="003C58B5" w:rsidRDefault="00F11093"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See Articles 167-181, UK-EU Withdrawal Agreement.</w:t>
      </w:r>
    </w:p>
  </w:footnote>
  <w:footnote w:id="47">
    <w:p w14:paraId="2CAAFC6C" w14:textId="2AA29B07" w:rsidR="00047AEB" w:rsidRPr="003C58B5" w:rsidRDefault="00047AE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Belfast (Good Friday) Agreement, 10 April 1998, Part 6 on Rights, Safeguards and Equality of Opportunity.</w:t>
      </w:r>
    </w:p>
  </w:footnote>
  <w:footnote w:id="48">
    <w:p w14:paraId="37829ECD" w14:textId="792EE9DF" w:rsidR="00B31926" w:rsidRPr="003C58B5" w:rsidRDefault="00B31926"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For example, the </w:t>
      </w:r>
      <w:r w:rsidRPr="00E73846">
        <w:rPr>
          <w:rFonts w:cstheme="minorHAnsi"/>
          <w:color w:val="77328A"/>
          <w:sz w:val="16"/>
          <w:szCs w:val="16"/>
        </w:rPr>
        <w:t>Vienna Declaration and Programme of Action 1993,</w:t>
      </w:r>
      <w:r w:rsidRPr="003C58B5">
        <w:rPr>
          <w:rFonts w:cstheme="minorHAnsi"/>
          <w:color w:val="77328A"/>
          <w:sz w:val="16"/>
          <w:szCs w:val="16"/>
        </w:rPr>
        <w:t xml:space="preserve"> adopted by the World Conference on Human Rights in Vienna, 25 June 1993 reaffirmed that “All human rights are universal, indivisible and interdependent and interrelated”; the preambles of the </w:t>
      </w:r>
      <w:r w:rsidRPr="00E73846">
        <w:rPr>
          <w:rFonts w:cstheme="minorHAnsi"/>
          <w:color w:val="77328A"/>
          <w:sz w:val="16"/>
          <w:szCs w:val="16"/>
        </w:rPr>
        <w:t>UN International Covenant on Civil and Political Rights</w:t>
      </w:r>
      <w:r w:rsidRPr="003C58B5">
        <w:rPr>
          <w:rFonts w:cstheme="minorHAnsi"/>
          <w:color w:val="77328A"/>
          <w:sz w:val="16"/>
          <w:szCs w:val="16"/>
        </w:rPr>
        <w:t xml:space="preserve"> (UN ICCPR) and the </w:t>
      </w:r>
      <w:r w:rsidRPr="00E73846">
        <w:rPr>
          <w:rFonts w:cstheme="minorHAnsi"/>
          <w:color w:val="77328A"/>
          <w:sz w:val="16"/>
          <w:szCs w:val="16"/>
        </w:rPr>
        <w:t>UN International Covenant on Economic, Social and Cultural Rights</w:t>
      </w:r>
      <w:r w:rsidRPr="003C58B5">
        <w:rPr>
          <w:rFonts w:cstheme="minorHAnsi"/>
          <w:color w:val="77328A"/>
          <w:sz w:val="16"/>
          <w:szCs w:val="16"/>
        </w:rPr>
        <w:t xml:space="preserve"> (UN ICESCR) recognise that the full enjoyment of human rights can only be achieved if conditions are created whereby everyone can enjoy the full range of rights in both Covenants.  </w:t>
      </w:r>
    </w:p>
  </w:footnote>
  <w:footnote w:id="49">
    <w:p w14:paraId="5D346CEC" w14:textId="2F660C9B" w:rsidR="005A4B95" w:rsidRPr="003C58B5" w:rsidRDefault="005A4B95"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7F678A" w:rsidRPr="003C58B5">
        <w:rPr>
          <w:color w:val="77328A"/>
          <w:sz w:val="16"/>
          <w:szCs w:val="16"/>
        </w:rPr>
        <w:t>NI Office, ‘UK Government Commitment to “No Diminution of Rights, Safeguards and Equality of Opportunity” in Northern Ireland: What does it Mean and How will it be Implemented</w:t>
      </w:r>
      <w:r w:rsidR="00D867AE" w:rsidRPr="003C58B5">
        <w:rPr>
          <w:color w:val="77328A"/>
          <w:sz w:val="16"/>
          <w:szCs w:val="16"/>
        </w:rPr>
        <w:t>?’ (NIO, 2020), at para 8.</w:t>
      </w:r>
    </w:p>
  </w:footnote>
  <w:footnote w:id="50">
    <w:p w14:paraId="38991373" w14:textId="285768D4" w:rsidR="003F2914" w:rsidRPr="003C58B5" w:rsidRDefault="003F291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114F57" w:rsidRPr="003C58B5">
        <w:rPr>
          <w:i/>
          <w:iCs/>
          <w:color w:val="77328A"/>
          <w:sz w:val="16"/>
          <w:szCs w:val="16"/>
        </w:rPr>
        <w:t xml:space="preserve">In the </w:t>
      </w:r>
      <w:r w:rsidR="005C4A4C" w:rsidRPr="003C58B5">
        <w:rPr>
          <w:i/>
          <w:iCs/>
          <w:color w:val="77328A"/>
          <w:sz w:val="16"/>
          <w:szCs w:val="16"/>
        </w:rPr>
        <w:t xml:space="preserve">Matter </w:t>
      </w:r>
      <w:r w:rsidR="00114F57" w:rsidRPr="003C58B5">
        <w:rPr>
          <w:i/>
          <w:iCs/>
          <w:color w:val="77328A"/>
          <w:sz w:val="16"/>
          <w:szCs w:val="16"/>
        </w:rPr>
        <w:t xml:space="preserve">of an </w:t>
      </w:r>
      <w:r w:rsidR="005C4A4C" w:rsidRPr="003C58B5">
        <w:rPr>
          <w:i/>
          <w:iCs/>
          <w:color w:val="77328A"/>
          <w:sz w:val="16"/>
          <w:szCs w:val="16"/>
        </w:rPr>
        <w:t xml:space="preserve">Application </w:t>
      </w:r>
      <w:r w:rsidR="00114F57" w:rsidRPr="003C58B5">
        <w:rPr>
          <w:i/>
          <w:iCs/>
          <w:color w:val="77328A"/>
          <w:sz w:val="16"/>
          <w:szCs w:val="16"/>
        </w:rPr>
        <w:t>by Martina Dillon and others for Judicial Review</w:t>
      </w:r>
      <w:r w:rsidR="00114F57" w:rsidRPr="003C58B5">
        <w:rPr>
          <w:color w:val="77328A"/>
          <w:sz w:val="16"/>
          <w:szCs w:val="16"/>
        </w:rPr>
        <w:t> [2026] UKSC 15.</w:t>
      </w:r>
    </w:p>
  </w:footnote>
  <w:footnote w:id="51">
    <w:p w14:paraId="2FE1E38C" w14:textId="7D6FAD81" w:rsidR="00332112" w:rsidRPr="003C58B5" w:rsidRDefault="00332112" w:rsidP="003C58B5">
      <w:pPr>
        <w:pStyle w:val="FootnoteText"/>
        <w:spacing w:line="240" w:lineRule="auto"/>
        <w:rPr>
          <w:i/>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5C4A4C" w:rsidRPr="003C58B5">
        <w:rPr>
          <w:rFonts w:cstheme="minorHAnsi"/>
          <w:i/>
          <w:color w:val="77328A"/>
          <w:sz w:val="16"/>
          <w:szCs w:val="16"/>
        </w:rPr>
        <w:t xml:space="preserve">In the Matter of an Application by the </w:t>
      </w:r>
      <w:r w:rsidR="00E36975">
        <w:rPr>
          <w:rFonts w:cstheme="minorHAnsi"/>
          <w:i/>
          <w:color w:val="77328A"/>
          <w:sz w:val="16"/>
          <w:szCs w:val="16"/>
        </w:rPr>
        <w:t>Northern Ireland</w:t>
      </w:r>
      <w:r w:rsidR="005C4A4C" w:rsidRPr="003C58B5">
        <w:rPr>
          <w:rFonts w:cstheme="minorHAnsi"/>
          <w:i/>
          <w:color w:val="77328A"/>
          <w:sz w:val="16"/>
          <w:szCs w:val="16"/>
        </w:rPr>
        <w:t xml:space="preserve"> Human Rights Commission and JR295 for Judicial Review</w:t>
      </w:r>
      <w:r w:rsidR="005C4A4C" w:rsidRPr="003C58B5">
        <w:rPr>
          <w:rFonts w:cstheme="minorHAnsi"/>
          <w:color w:val="77328A"/>
          <w:sz w:val="16"/>
          <w:szCs w:val="16"/>
        </w:rPr>
        <w:t xml:space="preserve"> </w:t>
      </w:r>
      <w:r w:rsidR="006B2F2A" w:rsidRPr="003C58B5">
        <w:rPr>
          <w:iCs/>
          <w:color w:val="77328A"/>
          <w:sz w:val="16"/>
          <w:szCs w:val="16"/>
        </w:rPr>
        <w:t xml:space="preserve">[2024] NIKB </w:t>
      </w:r>
      <w:r w:rsidR="00114F57" w:rsidRPr="003C58B5">
        <w:rPr>
          <w:iCs/>
          <w:color w:val="77328A"/>
          <w:sz w:val="16"/>
          <w:szCs w:val="16"/>
        </w:rPr>
        <w:t>3</w:t>
      </w:r>
      <w:r w:rsidR="006B2F2A" w:rsidRPr="003C58B5">
        <w:rPr>
          <w:iCs/>
          <w:color w:val="77328A"/>
          <w:sz w:val="16"/>
          <w:szCs w:val="16"/>
        </w:rPr>
        <w:t>5</w:t>
      </w:r>
      <w:r w:rsidR="005C4A4C" w:rsidRPr="003C58B5">
        <w:rPr>
          <w:iCs/>
          <w:color w:val="77328A"/>
          <w:sz w:val="16"/>
          <w:szCs w:val="16"/>
        </w:rPr>
        <w:t>,</w:t>
      </w:r>
      <w:r w:rsidR="00114F57" w:rsidRPr="003C58B5">
        <w:rPr>
          <w:iCs/>
          <w:color w:val="77328A"/>
          <w:sz w:val="16"/>
          <w:szCs w:val="16"/>
        </w:rPr>
        <w:t xml:space="preserve"> at paras 68-69</w:t>
      </w:r>
      <w:r w:rsidR="006B2F2A" w:rsidRPr="003C58B5">
        <w:rPr>
          <w:iCs/>
          <w:color w:val="77328A"/>
          <w:sz w:val="16"/>
          <w:szCs w:val="16"/>
        </w:rPr>
        <w:t>.</w:t>
      </w:r>
    </w:p>
  </w:footnote>
  <w:footnote w:id="52">
    <w:p w14:paraId="57F2C44D" w14:textId="7A2BADD9" w:rsidR="00BC5DBB" w:rsidRPr="003C58B5" w:rsidRDefault="00BC5DB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rStyle w:val="FootnoteReference"/>
          <w:color w:val="77328A"/>
          <w:sz w:val="16"/>
          <w:szCs w:val="16"/>
        </w:rPr>
        <w:t xml:space="preserve"> </w:t>
      </w:r>
      <w:r w:rsidRPr="003C58B5">
        <w:rPr>
          <w:i/>
          <w:iCs/>
          <w:color w:val="77328A"/>
          <w:sz w:val="16"/>
          <w:szCs w:val="16"/>
        </w:rPr>
        <w:t>In the Matter of an Application by Martina Dillon and others for Judicial Review</w:t>
      </w:r>
      <w:r w:rsidRPr="003C58B5">
        <w:rPr>
          <w:color w:val="77328A"/>
          <w:sz w:val="16"/>
          <w:szCs w:val="16"/>
        </w:rPr>
        <w:t> [2026] UKSC 15</w:t>
      </w:r>
      <w:r w:rsidR="00DA53A3" w:rsidRPr="003C58B5">
        <w:rPr>
          <w:color w:val="77328A"/>
          <w:sz w:val="16"/>
          <w:szCs w:val="16"/>
        </w:rPr>
        <w:t>, at para 119</w:t>
      </w:r>
      <w:r w:rsidR="00740B5E" w:rsidRPr="003C58B5">
        <w:rPr>
          <w:color w:val="77328A"/>
          <w:sz w:val="16"/>
          <w:szCs w:val="16"/>
        </w:rPr>
        <w:t>. See also para</w:t>
      </w:r>
      <w:r w:rsidR="00DA53A3" w:rsidRPr="003C58B5">
        <w:rPr>
          <w:color w:val="77328A"/>
          <w:sz w:val="16"/>
          <w:szCs w:val="16"/>
        </w:rPr>
        <w:t xml:space="preserve"> 131.</w:t>
      </w:r>
    </w:p>
    <w:p w14:paraId="00B8D80B" w14:textId="17619471" w:rsidR="00BC5DBB" w:rsidRPr="003C58B5" w:rsidRDefault="00BC5DBB" w:rsidP="003C58B5">
      <w:pPr>
        <w:pStyle w:val="FootnoteText"/>
        <w:spacing w:line="240" w:lineRule="auto"/>
        <w:rPr>
          <w:color w:val="77328A"/>
          <w:sz w:val="16"/>
          <w:szCs w:val="16"/>
        </w:rPr>
      </w:pPr>
    </w:p>
  </w:footnote>
  <w:footnote w:id="53">
    <w:p w14:paraId="1BB1CE42" w14:textId="37F68237" w:rsidR="00C53B1E" w:rsidRPr="003C58B5" w:rsidRDefault="00C53B1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Preamble, Windsor Framework. </w:t>
      </w:r>
    </w:p>
  </w:footnote>
  <w:footnote w:id="54">
    <w:p w14:paraId="044F36E9" w14:textId="3D231B0C" w:rsidR="00C53B1E" w:rsidRPr="003C58B5" w:rsidRDefault="00C53B1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D65E47" w:rsidRPr="003C58B5">
        <w:rPr>
          <w:color w:val="77328A"/>
          <w:sz w:val="16"/>
          <w:szCs w:val="16"/>
        </w:rPr>
        <w:t>The NIHRC is accredited as an ‘A status’ national human rights institution in compliance with UN Paris Principles by the UN Global Alliance of National Human Rights Institutions (A/RES/48/134, ‘UN General Assembly Principles Relating to the Status of National Institutions’, 20 December 1993).</w:t>
      </w:r>
    </w:p>
  </w:footnote>
  <w:footnote w:id="55">
    <w:p w14:paraId="146CA25D" w14:textId="26559E89" w:rsidR="00B52EA6" w:rsidRPr="003C58B5" w:rsidRDefault="00B52EA6"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In the Matter of an Application by Martina Dillon and others for Judicial Review</w:t>
      </w:r>
      <w:r w:rsidRPr="003C58B5">
        <w:rPr>
          <w:color w:val="77328A"/>
          <w:sz w:val="16"/>
          <w:szCs w:val="16"/>
        </w:rPr>
        <w:t> [2026] UKSC 15</w:t>
      </w:r>
      <w:r w:rsidR="007235E5" w:rsidRPr="003C58B5">
        <w:rPr>
          <w:color w:val="77328A"/>
          <w:sz w:val="16"/>
          <w:szCs w:val="16"/>
        </w:rPr>
        <w:t>, at para 125</w:t>
      </w:r>
      <w:r w:rsidRPr="003C58B5">
        <w:rPr>
          <w:color w:val="77328A"/>
          <w:sz w:val="16"/>
          <w:szCs w:val="16"/>
        </w:rPr>
        <w:t>.</w:t>
      </w:r>
    </w:p>
  </w:footnote>
  <w:footnote w:id="56">
    <w:p w14:paraId="7E4A1BFF" w14:textId="7E635240" w:rsidR="00A30583" w:rsidRPr="003C58B5" w:rsidRDefault="00A30583"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xml:space="preserve"> [2026] UKSC 15, at para 118. </w:t>
      </w:r>
      <w:r w:rsidR="00B52EA6" w:rsidRPr="003C58B5">
        <w:rPr>
          <w:color w:val="77328A"/>
          <w:sz w:val="16"/>
          <w:szCs w:val="16"/>
        </w:rPr>
        <w:t>Directive 2012/29/EU, ‘EU Parliament and Council Directive Establishing Minimum Standards on the Rights, Support and Protection of Victims of Crime’, 25 October 2012.</w:t>
      </w:r>
    </w:p>
  </w:footnote>
  <w:footnote w:id="57">
    <w:p w14:paraId="4F574623" w14:textId="5AFDCAA9" w:rsidR="007C2E71" w:rsidRPr="003C58B5" w:rsidRDefault="007C2E7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w:t>
      </w:r>
      <w:r w:rsidR="00F6681D" w:rsidRPr="003C58B5">
        <w:rPr>
          <w:color w:val="77328A"/>
          <w:sz w:val="16"/>
          <w:szCs w:val="16"/>
        </w:rPr>
        <w:t>s</w:t>
      </w:r>
      <w:r w:rsidRPr="003C58B5">
        <w:rPr>
          <w:color w:val="77328A"/>
          <w:sz w:val="16"/>
          <w:szCs w:val="16"/>
        </w:rPr>
        <w:t xml:space="preserve"> 114</w:t>
      </w:r>
      <w:r w:rsidR="00F6681D" w:rsidRPr="003C58B5">
        <w:rPr>
          <w:color w:val="77328A"/>
          <w:sz w:val="16"/>
          <w:szCs w:val="16"/>
        </w:rPr>
        <w:t xml:space="preserve"> and 130</w:t>
      </w:r>
      <w:r w:rsidR="006E5C92">
        <w:rPr>
          <w:color w:val="77328A"/>
          <w:sz w:val="16"/>
          <w:szCs w:val="16"/>
        </w:rPr>
        <w:t>-</w:t>
      </w:r>
      <w:r w:rsidR="00F6681D" w:rsidRPr="003C58B5">
        <w:rPr>
          <w:color w:val="77328A"/>
          <w:sz w:val="16"/>
          <w:szCs w:val="16"/>
        </w:rPr>
        <w:t>133</w:t>
      </w:r>
      <w:r w:rsidRPr="003C58B5">
        <w:rPr>
          <w:color w:val="77328A"/>
          <w:sz w:val="16"/>
          <w:szCs w:val="16"/>
        </w:rPr>
        <w:t>.</w:t>
      </w:r>
    </w:p>
  </w:footnote>
  <w:footnote w:id="58">
    <w:p w14:paraId="6B61D38B" w14:textId="50A56A9F" w:rsidR="00E90569" w:rsidRPr="003C58B5" w:rsidRDefault="00E9056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 119.</w:t>
      </w:r>
    </w:p>
  </w:footnote>
  <w:footnote w:id="59">
    <w:p w14:paraId="5DDEE39B" w14:textId="219BC3B6" w:rsidR="003D29D1" w:rsidRPr="003C58B5" w:rsidRDefault="003D29D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 131.</w:t>
      </w:r>
    </w:p>
  </w:footnote>
  <w:footnote w:id="60">
    <w:p w14:paraId="1A10F493" w14:textId="253BE857" w:rsidR="003D29D1" w:rsidRPr="003C58B5" w:rsidRDefault="003D29D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 132.</w:t>
      </w:r>
    </w:p>
  </w:footnote>
  <w:footnote w:id="61">
    <w:p w14:paraId="3882BE03" w14:textId="28B7A18C" w:rsidR="003D29D1" w:rsidRPr="003C58B5" w:rsidRDefault="003D29D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w:t>
      </w:r>
      <w:r w:rsidR="00CD514C" w:rsidRPr="003C58B5">
        <w:rPr>
          <w:color w:val="77328A"/>
          <w:sz w:val="16"/>
          <w:szCs w:val="16"/>
        </w:rPr>
        <w:t>s 133 and 136.</w:t>
      </w:r>
    </w:p>
  </w:footnote>
  <w:footnote w:id="62">
    <w:p w14:paraId="514F7379" w14:textId="179B0D15" w:rsidR="004147CE" w:rsidRPr="003C58B5" w:rsidRDefault="004147C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Directive 2012/29/EU, ‘EU Parliament and Council Directive Establishing Minimum Standards on the Rights, Support and Protection of Victims of Crime’, 25 October 2012.</w:t>
      </w:r>
    </w:p>
  </w:footnote>
  <w:footnote w:id="63">
    <w:p w14:paraId="1D2D5870" w14:textId="2B9E038B" w:rsidR="004147CE" w:rsidRPr="003C58B5" w:rsidRDefault="004147C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E73846" w:rsidRPr="003C58B5">
        <w:rPr>
          <w:i/>
          <w:color w:val="77328A"/>
          <w:sz w:val="16"/>
          <w:szCs w:val="16"/>
        </w:rPr>
        <w:t>Matter</w:t>
      </w:r>
      <w:r w:rsidRPr="003C58B5">
        <w:rPr>
          <w:i/>
          <w:color w:val="77328A"/>
          <w:sz w:val="16"/>
          <w:szCs w:val="16"/>
        </w:rPr>
        <w:t xml:space="preserve"> of an </w:t>
      </w:r>
      <w:r w:rsidR="00E73846"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xml:space="preserve"> [2026] UKSC 15, at para 137. </w:t>
      </w:r>
    </w:p>
  </w:footnote>
  <w:footnote w:id="64">
    <w:p w14:paraId="0F9B58E5" w14:textId="77777777" w:rsidR="004147CE" w:rsidRPr="003C58B5" w:rsidRDefault="004147C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Directive 2012/29/EU, ‘EU Parliament and Council Directive Establishing Minimum Standards on the Rights, Support and Protection of Victims of Crime’, 25 October 2012.</w:t>
      </w:r>
    </w:p>
  </w:footnote>
  <w:footnote w:id="65">
    <w:p w14:paraId="0E72E914" w14:textId="763AD9C9" w:rsidR="004147CE" w:rsidRPr="003C58B5" w:rsidRDefault="004147C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361EE3" w:rsidRPr="003C58B5">
        <w:rPr>
          <w:i/>
          <w:color w:val="77328A"/>
          <w:sz w:val="16"/>
          <w:szCs w:val="16"/>
        </w:rPr>
        <w:t>Matter</w:t>
      </w:r>
      <w:r w:rsidRPr="003C58B5">
        <w:rPr>
          <w:i/>
          <w:color w:val="77328A"/>
          <w:sz w:val="16"/>
          <w:szCs w:val="16"/>
        </w:rPr>
        <w:t xml:space="preserve"> of an </w:t>
      </w:r>
      <w:r w:rsidR="00361EE3"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xml:space="preserve"> [2026] UKSC 15, at para 137. </w:t>
      </w:r>
    </w:p>
  </w:footnote>
  <w:footnote w:id="66">
    <w:p w14:paraId="6ADB7DF2" w14:textId="21DDFD4B" w:rsidR="004147CE" w:rsidRPr="003C58B5" w:rsidRDefault="004147C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361EE3" w:rsidRPr="003C58B5">
        <w:rPr>
          <w:i/>
          <w:color w:val="77328A"/>
          <w:sz w:val="16"/>
          <w:szCs w:val="16"/>
        </w:rPr>
        <w:t>Matter</w:t>
      </w:r>
      <w:r w:rsidRPr="003C58B5">
        <w:rPr>
          <w:i/>
          <w:color w:val="77328A"/>
          <w:sz w:val="16"/>
          <w:szCs w:val="16"/>
        </w:rPr>
        <w:t xml:space="preserve"> of an </w:t>
      </w:r>
      <w:r w:rsidR="00361EE3"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xml:space="preserve"> [2026] UKSC 15, at paras 135 and 137. </w:t>
      </w:r>
      <w:r w:rsidR="00417AA7" w:rsidRPr="003C58B5">
        <w:rPr>
          <w:color w:val="77328A"/>
          <w:sz w:val="16"/>
          <w:szCs w:val="16"/>
        </w:rPr>
        <w:t>The</w:t>
      </w:r>
      <w:r w:rsidR="00AB6CAA">
        <w:rPr>
          <w:color w:val="77328A"/>
          <w:sz w:val="16"/>
          <w:szCs w:val="16"/>
        </w:rPr>
        <w:t xml:space="preserve"> UK</w:t>
      </w:r>
      <w:r w:rsidR="00417AA7" w:rsidRPr="003C58B5">
        <w:rPr>
          <w:color w:val="77328A"/>
          <w:sz w:val="16"/>
          <w:szCs w:val="16"/>
        </w:rPr>
        <w:t xml:space="preserve"> Supreme Court only examined Articles 11 and 16, EU Victims’ Directive and while it does confirm that those provisions do not regulate wider policy issues, it d</w:t>
      </w:r>
      <w:r w:rsidR="00361EE3">
        <w:rPr>
          <w:color w:val="77328A"/>
          <w:sz w:val="16"/>
          <w:szCs w:val="16"/>
        </w:rPr>
        <w:t>id</w:t>
      </w:r>
      <w:r w:rsidR="00417AA7" w:rsidRPr="003C58B5">
        <w:rPr>
          <w:color w:val="77328A"/>
          <w:sz w:val="16"/>
          <w:szCs w:val="16"/>
        </w:rPr>
        <w:t xml:space="preserve"> not find it necessary to determine if they apply in the context of an actual or potential </w:t>
      </w:r>
      <w:r w:rsidR="00417AA7" w:rsidRPr="003C58B5">
        <w:rPr>
          <w:i/>
          <w:iCs/>
          <w:color w:val="77328A"/>
          <w:sz w:val="16"/>
          <w:szCs w:val="16"/>
        </w:rPr>
        <w:t>individual</w:t>
      </w:r>
      <w:r w:rsidR="00417AA7" w:rsidRPr="003C58B5">
        <w:rPr>
          <w:color w:val="77328A"/>
          <w:sz w:val="16"/>
          <w:szCs w:val="16"/>
        </w:rPr>
        <w:t xml:space="preserve"> prosecution. The </w:t>
      </w:r>
      <w:r w:rsidR="00AB6CAA">
        <w:rPr>
          <w:color w:val="77328A"/>
          <w:sz w:val="16"/>
          <w:szCs w:val="16"/>
        </w:rPr>
        <w:t>UK</w:t>
      </w:r>
      <w:r w:rsidR="00417AA7" w:rsidRPr="003C58B5">
        <w:rPr>
          <w:color w:val="77328A"/>
          <w:sz w:val="16"/>
          <w:szCs w:val="16"/>
        </w:rPr>
        <w:t xml:space="preserve"> Supreme Court does not consider the EU Victims’ Directive more generally.</w:t>
      </w:r>
    </w:p>
  </w:footnote>
  <w:footnote w:id="67">
    <w:p w14:paraId="10C9B8E4" w14:textId="78ECD32F" w:rsidR="00A524A4" w:rsidRPr="003C58B5" w:rsidRDefault="00A524A4" w:rsidP="003C58B5">
      <w:pPr>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Belfast (Good Friday) Agreement, 10 April 1998, Part 6 on Rights, Safeguards and Equality of Opportunity, at paras 2 and 4. </w:t>
      </w:r>
    </w:p>
  </w:footnote>
  <w:footnote w:id="68">
    <w:p w14:paraId="5BB277C8" w14:textId="41647B7F" w:rsidR="000E37A4" w:rsidRPr="003C58B5" w:rsidRDefault="000E37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A524A4" w:rsidRPr="003C58B5">
        <w:rPr>
          <w:rFonts w:cstheme="minorHAnsi"/>
          <w:i/>
          <w:color w:val="77328A"/>
          <w:sz w:val="16"/>
          <w:szCs w:val="16"/>
        </w:rPr>
        <w:t xml:space="preserve">In the Matter of an Application by the </w:t>
      </w:r>
      <w:r w:rsidR="00E36975">
        <w:rPr>
          <w:rFonts w:cstheme="minorHAnsi"/>
          <w:i/>
          <w:color w:val="77328A"/>
          <w:sz w:val="16"/>
          <w:szCs w:val="16"/>
        </w:rPr>
        <w:t>Northern Ireland</w:t>
      </w:r>
      <w:r w:rsidR="00A524A4" w:rsidRPr="003C58B5">
        <w:rPr>
          <w:rFonts w:cstheme="minorHAnsi"/>
          <w:i/>
          <w:color w:val="77328A"/>
          <w:sz w:val="16"/>
          <w:szCs w:val="16"/>
        </w:rPr>
        <w:t xml:space="preserve"> Human Rights Commission and JR295 for Judicial Review</w:t>
      </w:r>
      <w:r w:rsidR="00A524A4" w:rsidRPr="003C58B5">
        <w:rPr>
          <w:rFonts w:cstheme="minorHAnsi"/>
          <w:color w:val="77328A"/>
          <w:sz w:val="16"/>
          <w:szCs w:val="16"/>
        </w:rPr>
        <w:t xml:space="preserve"> </w:t>
      </w:r>
      <w:r w:rsidR="00A524A4" w:rsidRPr="003C58B5">
        <w:rPr>
          <w:iCs/>
          <w:color w:val="77328A"/>
          <w:sz w:val="16"/>
          <w:szCs w:val="16"/>
        </w:rPr>
        <w:t>[2024] NIKB 35, at para 70</w:t>
      </w:r>
      <w:r w:rsidR="00040CC7" w:rsidRPr="003C58B5">
        <w:rPr>
          <w:iCs/>
          <w:color w:val="77328A"/>
          <w:sz w:val="16"/>
          <w:szCs w:val="16"/>
        </w:rPr>
        <w:t xml:space="preserve">; </w:t>
      </w:r>
      <w:r w:rsidR="00040CC7" w:rsidRPr="003C58B5">
        <w:rPr>
          <w:i/>
          <w:iCs/>
          <w:color w:val="77328A"/>
          <w:sz w:val="16"/>
          <w:szCs w:val="16"/>
        </w:rPr>
        <w:t>Martina Dillon and Others v Secretary of State for NI</w:t>
      </w:r>
      <w:r w:rsidR="00040CC7" w:rsidRPr="003C58B5">
        <w:rPr>
          <w:color w:val="77328A"/>
          <w:sz w:val="16"/>
          <w:szCs w:val="16"/>
        </w:rPr>
        <w:t xml:space="preserve"> </w:t>
      </w:r>
      <w:r w:rsidR="00040CC7" w:rsidRPr="003C58B5">
        <w:rPr>
          <w:rFonts w:cstheme="minorHAnsi"/>
          <w:color w:val="77328A"/>
          <w:sz w:val="16"/>
          <w:szCs w:val="16"/>
        </w:rPr>
        <w:t>[2024] NICA 59, at paras</w:t>
      </w:r>
      <w:r w:rsidR="004F4497" w:rsidRPr="003C58B5">
        <w:rPr>
          <w:rFonts w:cstheme="minorHAnsi"/>
          <w:color w:val="77328A"/>
          <w:sz w:val="16"/>
          <w:szCs w:val="16"/>
        </w:rPr>
        <w:t xml:space="preserve"> 117,</w:t>
      </w:r>
      <w:r w:rsidR="00040CC7" w:rsidRPr="003C58B5">
        <w:rPr>
          <w:rFonts w:cstheme="minorHAnsi"/>
          <w:color w:val="77328A"/>
          <w:sz w:val="16"/>
          <w:szCs w:val="16"/>
        </w:rPr>
        <w:t xml:space="preserve"> 119 and 125.</w:t>
      </w:r>
    </w:p>
  </w:footnote>
  <w:footnote w:id="69">
    <w:p w14:paraId="68AA0D91" w14:textId="36C165A9" w:rsidR="000E37A4" w:rsidRPr="003C58B5" w:rsidRDefault="000E37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The Court </w:t>
      </w:r>
      <w:proofErr w:type="gramStart"/>
      <w:r w:rsidRPr="003C58B5">
        <w:rPr>
          <w:color w:val="77328A"/>
          <w:sz w:val="16"/>
          <w:szCs w:val="16"/>
        </w:rPr>
        <w:t>made reference</w:t>
      </w:r>
      <w:proofErr w:type="gramEnd"/>
      <w:r w:rsidRPr="003C58B5">
        <w:rPr>
          <w:color w:val="77328A"/>
          <w:sz w:val="16"/>
          <w:szCs w:val="16"/>
        </w:rPr>
        <w:t xml:space="preserve"> to ECHR rights in the context of considering the connection between ECHR rights and rights in the EU Charter of Fundamental Rights. </w:t>
      </w:r>
      <w:r w:rsidR="00361EE3">
        <w:rPr>
          <w:color w:val="77328A"/>
          <w:sz w:val="16"/>
          <w:szCs w:val="16"/>
        </w:rPr>
        <w:t xml:space="preserve">See </w:t>
      </w:r>
      <w:r w:rsidR="00361EE3" w:rsidRPr="003C58B5">
        <w:rPr>
          <w:i/>
          <w:color w:val="77328A"/>
          <w:sz w:val="16"/>
          <w:szCs w:val="16"/>
        </w:rPr>
        <w:t>In the Matter of an Application by Martina Dillon and others for Judicial Review</w:t>
      </w:r>
      <w:r w:rsidR="00361EE3" w:rsidRPr="003C58B5">
        <w:rPr>
          <w:color w:val="77328A"/>
          <w:sz w:val="16"/>
          <w:szCs w:val="16"/>
        </w:rPr>
        <w:t xml:space="preserve"> [2026] UKSC 15, at para </w:t>
      </w:r>
      <w:r w:rsidRPr="003C58B5">
        <w:rPr>
          <w:color w:val="77328A"/>
          <w:sz w:val="16"/>
          <w:szCs w:val="16"/>
        </w:rPr>
        <w:t>147</w:t>
      </w:r>
      <w:r w:rsidR="00361EE3">
        <w:rPr>
          <w:color w:val="77328A"/>
          <w:sz w:val="16"/>
          <w:szCs w:val="16"/>
        </w:rPr>
        <w:t>.</w:t>
      </w:r>
    </w:p>
  </w:footnote>
  <w:footnote w:id="70">
    <w:p w14:paraId="704601F1" w14:textId="26F259EB" w:rsidR="00E90569" w:rsidRPr="003C58B5" w:rsidRDefault="00E90569"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NI Office, ‘</w:t>
      </w:r>
      <w:r w:rsidR="004F4497" w:rsidRPr="003C58B5">
        <w:rPr>
          <w:rFonts w:cstheme="minorHAnsi"/>
          <w:color w:val="77328A"/>
          <w:sz w:val="16"/>
          <w:szCs w:val="16"/>
        </w:rPr>
        <w:t>UK Government Commitment</w:t>
      </w:r>
      <w:r w:rsidRPr="003C58B5">
        <w:rPr>
          <w:rFonts w:cstheme="minorHAnsi"/>
          <w:color w:val="77328A"/>
          <w:sz w:val="16"/>
          <w:szCs w:val="16"/>
        </w:rPr>
        <w:t xml:space="preserve"> to “No Diminution of Rights, Safeguards and Equality of Opportunity” in Northern Ireland: What does it Mean and How will it be Implemented?’ (NIO, 2020), at para 3.</w:t>
      </w:r>
    </w:p>
  </w:footnote>
  <w:footnote w:id="71">
    <w:p w14:paraId="410F1F51" w14:textId="3465CE93" w:rsidR="004F4497" w:rsidRPr="003C58B5" w:rsidRDefault="004F4497"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Northern Ireland Human Rights Commission and Equality Commission for NI, </w:t>
      </w:r>
      <w:r w:rsidR="005610F1" w:rsidRPr="003C58B5">
        <w:rPr>
          <w:rFonts w:cstheme="minorHAnsi"/>
          <w:color w:val="77328A"/>
          <w:sz w:val="16"/>
          <w:szCs w:val="16"/>
        </w:rPr>
        <w:t xml:space="preserve">‘Working Paper: The Scope of Article 2(1) the Ireland/Northern Ireland Protocol’ (NIHRC and ECNI, 2022). </w:t>
      </w:r>
    </w:p>
  </w:footnote>
  <w:footnote w:id="72">
    <w:p w14:paraId="48C57D13" w14:textId="00190D91" w:rsidR="00E90569" w:rsidRPr="003C58B5" w:rsidRDefault="00E9056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361EE3" w:rsidRPr="003C58B5">
        <w:rPr>
          <w:i/>
          <w:color w:val="77328A"/>
          <w:sz w:val="16"/>
          <w:szCs w:val="16"/>
        </w:rPr>
        <w:t>Matter</w:t>
      </w:r>
      <w:r w:rsidRPr="003C58B5">
        <w:rPr>
          <w:i/>
          <w:color w:val="77328A"/>
          <w:sz w:val="16"/>
          <w:szCs w:val="16"/>
        </w:rPr>
        <w:t xml:space="preserve"> of an </w:t>
      </w:r>
      <w:r w:rsidR="00361EE3"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 2.</w:t>
      </w:r>
    </w:p>
  </w:footnote>
  <w:footnote w:id="73">
    <w:p w14:paraId="5B5C2BED" w14:textId="77777777" w:rsidR="00E90569" w:rsidRPr="003C58B5" w:rsidRDefault="00E9056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rFonts w:cstheme="minorHAnsi"/>
          <w:color w:val="77328A"/>
          <w:sz w:val="16"/>
          <w:szCs w:val="16"/>
        </w:rPr>
        <w:t>Vienna Convention on the Law of Treaties 1969.</w:t>
      </w:r>
    </w:p>
  </w:footnote>
  <w:footnote w:id="74">
    <w:p w14:paraId="7A0DFDC2" w14:textId="7AADB4DF" w:rsidR="00E90569" w:rsidRPr="003C58B5" w:rsidRDefault="00E9056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color w:val="77328A"/>
          <w:sz w:val="16"/>
          <w:szCs w:val="16"/>
        </w:rPr>
        <w:t xml:space="preserve">In the </w:t>
      </w:r>
      <w:r w:rsidR="00361EE3" w:rsidRPr="003C58B5">
        <w:rPr>
          <w:i/>
          <w:color w:val="77328A"/>
          <w:sz w:val="16"/>
          <w:szCs w:val="16"/>
        </w:rPr>
        <w:t>Matter</w:t>
      </w:r>
      <w:r w:rsidRPr="003C58B5">
        <w:rPr>
          <w:i/>
          <w:color w:val="77328A"/>
          <w:sz w:val="16"/>
          <w:szCs w:val="16"/>
        </w:rPr>
        <w:t xml:space="preserve"> of an </w:t>
      </w:r>
      <w:r w:rsidR="00361EE3" w:rsidRPr="003C58B5">
        <w:rPr>
          <w:i/>
          <w:color w:val="77328A"/>
          <w:sz w:val="16"/>
          <w:szCs w:val="16"/>
        </w:rPr>
        <w:t>Application</w:t>
      </w:r>
      <w:r w:rsidRPr="003C58B5">
        <w:rPr>
          <w:i/>
          <w:color w:val="77328A"/>
          <w:sz w:val="16"/>
          <w:szCs w:val="16"/>
        </w:rPr>
        <w:t xml:space="preserve"> by Martina Dillon and others for Judicial Review</w:t>
      </w:r>
      <w:r w:rsidRPr="003C58B5">
        <w:rPr>
          <w:color w:val="77328A"/>
          <w:sz w:val="16"/>
          <w:szCs w:val="16"/>
        </w:rPr>
        <w:t> [2026] UKSC 15, at para 122.</w:t>
      </w:r>
    </w:p>
  </w:footnote>
  <w:footnote w:id="75">
    <w:p w14:paraId="05CCF371" w14:textId="77777777" w:rsidR="00E90569" w:rsidRPr="003C58B5" w:rsidRDefault="00E90569" w:rsidP="003C58B5">
      <w:pPr>
        <w:pStyle w:val="FootnoteText"/>
        <w:spacing w:line="240" w:lineRule="auto"/>
        <w:rPr>
          <w:rFonts w:cstheme="minorHAnsi"/>
          <w:color w:val="77328A"/>
          <w:sz w:val="16"/>
          <w:szCs w:val="16"/>
        </w:rPr>
      </w:pPr>
      <w:r w:rsidRPr="003C58B5">
        <w:rPr>
          <w:rStyle w:val="FootnoteReference"/>
          <w:rFonts w:cstheme="minorHAnsi"/>
          <w:color w:val="77328A"/>
          <w:sz w:val="16"/>
          <w:szCs w:val="16"/>
        </w:rPr>
        <w:footnoteRef/>
      </w:r>
      <w:r w:rsidRPr="003C58B5">
        <w:rPr>
          <w:rFonts w:cstheme="minorHAnsi"/>
          <w:color w:val="77328A"/>
          <w:sz w:val="16"/>
          <w:szCs w:val="16"/>
        </w:rPr>
        <w:t xml:space="preserve"> Article 31(1), Vienna Convention on the Law of Treaties 1969.</w:t>
      </w:r>
    </w:p>
  </w:footnote>
  <w:footnote w:id="76">
    <w:p w14:paraId="22A3E230" w14:textId="77777777" w:rsidR="00E90569" w:rsidRPr="003C58B5" w:rsidRDefault="00E9056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rFonts w:cstheme="minorHAnsi"/>
          <w:color w:val="77328A"/>
          <w:sz w:val="16"/>
          <w:szCs w:val="16"/>
        </w:rPr>
        <w:t>Article 32, Vienna Convention on the Law of Treaties 1969.</w:t>
      </w:r>
    </w:p>
  </w:footnote>
  <w:footnote w:id="77">
    <w:p w14:paraId="0E088D09" w14:textId="77777777" w:rsidR="0009260E" w:rsidRPr="003C58B5" w:rsidRDefault="0009260E"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Belfast (Good Friday) Agreement, 10 April 1998 – Preamble to the Agreement between the UK Government and Government of Ireland.</w:t>
      </w:r>
    </w:p>
  </w:footnote>
  <w:footnote w:id="78">
    <w:p w14:paraId="1F304867" w14:textId="443B991A" w:rsidR="00DC05D2" w:rsidRPr="003C58B5" w:rsidRDefault="00DC05D2"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873C86" w:rsidRPr="003C58B5">
        <w:rPr>
          <w:color w:val="77328A"/>
          <w:sz w:val="16"/>
          <w:szCs w:val="16"/>
        </w:rPr>
        <w:t xml:space="preserve">UK Parliament Hansard, ‘Oral Statement: Supreme Court </w:t>
      </w:r>
      <w:r w:rsidR="00873C86" w:rsidRPr="00AF5E81">
        <w:rPr>
          <w:i/>
          <w:color w:val="77328A"/>
          <w:sz w:val="16"/>
          <w:szCs w:val="16"/>
        </w:rPr>
        <w:t>Dillon</w:t>
      </w:r>
      <w:r w:rsidR="00873C86" w:rsidRPr="003C58B5">
        <w:rPr>
          <w:color w:val="77328A"/>
          <w:sz w:val="16"/>
          <w:szCs w:val="16"/>
        </w:rPr>
        <w:t xml:space="preserve"> Judgment – Secretary of State for NI, Hilary Benn MP</w:t>
      </w:r>
      <w:r w:rsidR="000C2404" w:rsidRPr="003C58B5">
        <w:rPr>
          <w:color w:val="77328A"/>
          <w:sz w:val="16"/>
          <w:szCs w:val="16"/>
        </w:rPr>
        <w:t>’</w:t>
      </w:r>
      <w:r w:rsidR="00873C86" w:rsidRPr="003C58B5">
        <w:rPr>
          <w:color w:val="77328A"/>
          <w:sz w:val="16"/>
          <w:szCs w:val="16"/>
        </w:rPr>
        <w:t xml:space="preserve">, 14 May 2026. </w:t>
      </w:r>
    </w:p>
  </w:footnote>
  <w:footnote w:id="79">
    <w:p w14:paraId="1C62BB2C" w14:textId="6708AB83" w:rsidR="000D0C3B" w:rsidRPr="003C58B5" w:rsidRDefault="000D0C3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w:t>
      </w:r>
      <w:r w:rsidR="004E0013" w:rsidRPr="003C58B5">
        <w:rPr>
          <w:color w:val="77328A"/>
          <w:sz w:val="16"/>
          <w:szCs w:val="16"/>
        </w:rPr>
        <w:t xml:space="preserve"> 119.</w:t>
      </w:r>
    </w:p>
  </w:footnote>
  <w:footnote w:id="80">
    <w:p w14:paraId="3799EE70" w14:textId="44FC2A17" w:rsidR="00C45D80" w:rsidRPr="003C58B5" w:rsidRDefault="00C45D80"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128.</w:t>
      </w:r>
    </w:p>
  </w:footnote>
  <w:footnote w:id="81">
    <w:p w14:paraId="12696847" w14:textId="77777777" w:rsidR="00926D6D" w:rsidRPr="003C58B5" w:rsidRDefault="00926D6D" w:rsidP="003C58B5">
      <w:pPr>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Society for the Protection of the Unborn Child Pro-Life Ltd v Secretary of State for NI</w:t>
      </w:r>
      <w:r w:rsidRPr="003C58B5">
        <w:rPr>
          <w:color w:val="77328A"/>
          <w:sz w:val="16"/>
          <w:szCs w:val="16"/>
        </w:rPr>
        <w:t xml:space="preserve"> [2023] NICA 35, at para 54.</w:t>
      </w:r>
    </w:p>
  </w:footnote>
  <w:footnote w:id="82">
    <w:p w14:paraId="5CD40CC2" w14:textId="728C3D81" w:rsidR="00623F58" w:rsidRPr="003C58B5" w:rsidRDefault="00623F5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128.</w:t>
      </w:r>
    </w:p>
  </w:footnote>
  <w:footnote w:id="83">
    <w:p w14:paraId="4B762BAA" w14:textId="4C695485" w:rsidR="00926D6D" w:rsidRPr="003C58B5" w:rsidRDefault="00926D6D"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Martina Dillon and Others v Secretary of State for NI </w:t>
      </w:r>
      <w:r w:rsidRPr="003C58B5">
        <w:rPr>
          <w:color w:val="77328A"/>
          <w:sz w:val="16"/>
          <w:szCs w:val="16"/>
        </w:rPr>
        <w:t>[2024] NICA 59</w:t>
      </w:r>
      <w:r w:rsidRPr="003C58B5">
        <w:rPr>
          <w:rFonts w:cstheme="minorHAnsi"/>
          <w:color w:val="77328A"/>
          <w:sz w:val="16"/>
          <w:szCs w:val="16"/>
        </w:rPr>
        <w:t>, at para 146.</w:t>
      </w:r>
    </w:p>
  </w:footnote>
  <w:footnote w:id="84">
    <w:p w14:paraId="24A188DB" w14:textId="7CD53635" w:rsidR="00D73EA4" w:rsidRPr="003C58B5" w:rsidRDefault="00D73E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xml:space="preserve"> [2026] UKSC 15, at para 111. </w:t>
      </w:r>
    </w:p>
  </w:footnote>
  <w:footnote w:id="85">
    <w:p w14:paraId="640BFB6B" w14:textId="707A000C" w:rsidR="00D73EA4" w:rsidRPr="003C58B5" w:rsidRDefault="00D73E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James Hugh Allister and another for Judicial Review</w:t>
      </w:r>
      <w:r w:rsidRPr="003C58B5">
        <w:rPr>
          <w:color w:val="77328A"/>
          <w:sz w:val="16"/>
          <w:szCs w:val="16"/>
        </w:rPr>
        <w:t> [2023] UKSC 5, at para 66.</w:t>
      </w:r>
    </w:p>
  </w:footnote>
  <w:footnote w:id="86">
    <w:p w14:paraId="036B5C99" w14:textId="258B3117" w:rsidR="00BA032C" w:rsidRPr="003C58B5" w:rsidRDefault="00BA032C"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James Hugh Allister and another for Judicial Review</w:t>
      </w:r>
      <w:r w:rsidRPr="003C58B5">
        <w:rPr>
          <w:color w:val="77328A"/>
          <w:sz w:val="16"/>
          <w:szCs w:val="16"/>
        </w:rPr>
        <w:t> [2023] UKSC 5, at para 67-68.</w:t>
      </w:r>
    </w:p>
  </w:footnote>
  <w:footnote w:id="87">
    <w:p w14:paraId="3AB92B1D" w14:textId="77777777" w:rsidR="00D73EA4" w:rsidRPr="003C58B5" w:rsidRDefault="00D73E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 182, UK-EU Withdrawal Agreement.</w:t>
      </w:r>
    </w:p>
  </w:footnote>
  <w:footnote w:id="88">
    <w:p w14:paraId="2C0AA523" w14:textId="7518388F" w:rsidR="00C91994" w:rsidRPr="003C58B5" w:rsidRDefault="00C9199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138.</w:t>
      </w:r>
    </w:p>
  </w:footnote>
  <w:footnote w:id="89">
    <w:p w14:paraId="63BA6FF7" w14:textId="77777777" w:rsidR="00914FA4" w:rsidRPr="003C58B5" w:rsidRDefault="00914F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6, Northern Ireland Act 1998.  </w:t>
      </w:r>
    </w:p>
  </w:footnote>
  <w:footnote w:id="90">
    <w:p w14:paraId="0F62908D" w14:textId="77777777" w:rsidR="00914FA4" w:rsidRPr="003C58B5" w:rsidRDefault="00914FA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24, Northern Ireland Act 1998.  </w:t>
      </w:r>
    </w:p>
  </w:footnote>
  <w:footnote w:id="91">
    <w:p w14:paraId="5A165BD5" w14:textId="37545924" w:rsidR="002011CD" w:rsidRPr="003C58B5" w:rsidRDefault="002011CD"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Anurag Deb, Sylvia de Mars, Eleni </w:t>
      </w:r>
      <w:proofErr w:type="spellStart"/>
      <w:r w:rsidRPr="003C58B5">
        <w:rPr>
          <w:color w:val="77328A"/>
          <w:sz w:val="16"/>
          <w:szCs w:val="16"/>
        </w:rPr>
        <w:t>Frantziou</w:t>
      </w:r>
      <w:proofErr w:type="spellEnd"/>
      <w:r w:rsidRPr="003C58B5">
        <w:rPr>
          <w:color w:val="77328A"/>
          <w:sz w:val="16"/>
          <w:szCs w:val="16"/>
        </w:rPr>
        <w:t xml:space="preserve">, Colin Murray, and Aoife O’Donoghue, ‘Windsor Framework Article 2: Enforcement and </w:t>
      </w:r>
      <w:r w:rsidR="003877C3" w:rsidRPr="003C58B5">
        <w:rPr>
          <w:color w:val="77328A"/>
          <w:sz w:val="16"/>
          <w:szCs w:val="16"/>
        </w:rPr>
        <w:t>Remedies</w:t>
      </w:r>
      <w:r w:rsidRPr="003C58B5">
        <w:rPr>
          <w:color w:val="77328A"/>
          <w:sz w:val="16"/>
          <w:szCs w:val="16"/>
        </w:rPr>
        <w:t xml:space="preserve">’ (NIHRC, 2025). </w:t>
      </w:r>
    </w:p>
  </w:footnote>
  <w:footnote w:id="92">
    <w:p w14:paraId="79EBF618" w14:textId="4CDD5DC3" w:rsidR="00894FB4" w:rsidRPr="003C58B5" w:rsidRDefault="00894FB4" w:rsidP="003C58B5">
      <w:pPr>
        <w:pStyle w:val="FootnoteText"/>
        <w:spacing w:line="240" w:lineRule="auto"/>
        <w:rPr>
          <w:color w:val="77328A"/>
          <w:sz w:val="16"/>
          <w:szCs w:val="16"/>
        </w:rPr>
      </w:pPr>
      <w:r w:rsidRPr="003C58B5">
        <w:rPr>
          <w:color w:val="77328A"/>
          <w:sz w:val="16"/>
          <w:szCs w:val="16"/>
          <w:vertAlign w:val="superscript"/>
        </w:rPr>
        <w:footnoteRef/>
      </w:r>
      <w:r w:rsidRPr="003C58B5">
        <w:rPr>
          <w:color w:val="77328A"/>
          <w:sz w:val="16"/>
          <w:szCs w:val="16"/>
        </w:rPr>
        <w:t xml:space="preserve"> </w:t>
      </w:r>
      <w:r w:rsidR="00665EFC" w:rsidRPr="003C58B5">
        <w:rPr>
          <w:color w:val="77328A"/>
          <w:sz w:val="16"/>
          <w:szCs w:val="16"/>
        </w:rPr>
        <w:t>Articles 167</w:t>
      </w:r>
      <w:r w:rsidR="00047078">
        <w:rPr>
          <w:color w:val="77328A"/>
          <w:sz w:val="16"/>
          <w:szCs w:val="16"/>
        </w:rPr>
        <w:t>-</w:t>
      </w:r>
      <w:r w:rsidR="00665EFC" w:rsidRPr="003C58B5">
        <w:rPr>
          <w:color w:val="77328A"/>
          <w:sz w:val="16"/>
          <w:szCs w:val="16"/>
        </w:rPr>
        <w:t>181</w:t>
      </w:r>
      <w:r w:rsidR="00047078">
        <w:rPr>
          <w:color w:val="77328A"/>
          <w:sz w:val="16"/>
          <w:szCs w:val="16"/>
        </w:rPr>
        <w:t>, UK-EU Withdrawal Agreement</w:t>
      </w:r>
      <w:r w:rsidR="00665EFC" w:rsidRPr="003C58B5">
        <w:rPr>
          <w:color w:val="77328A"/>
          <w:sz w:val="16"/>
          <w:szCs w:val="16"/>
        </w:rPr>
        <w:t>.</w:t>
      </w:r>
    </w:p>
  </w:footnote>
  <w:footnote w:id="93">
    <w:p w14:paraId="2C87B3F4" w14:textId="507D39CB" w:rsidR="000B4772" w:rsidRPr="003C58B5" w:rsidRDefault="000B4772"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UK Parliament Hansard, ‘Oral Statement: Supreme Court </w:t>
      </w:r>
      <w:r w:rsidRPr="00AF5E81">
        <w:rPr>
          <w:i/>
          <w:color w:val="77328A"/>
          <w:sz w:val="16"/>
          <w:szCs w:val="16"/>
        </w:rPr>
        <w:t xml:space="preserve">Dillon </w:t>
      </w:r>
      <w:r w:rsidRPr="003C58B5">
        <w:rPr>
          <w:color w:val="77328A"/>
          <w:sz w:val="16"/>
          <w:szCs w:val="16"/>
        </w:rPr>
        <w:t>Judgment – Secretary of State for NI, Hilary Benn MP</w:t>
      </w:r>
      <w:r w:rsidR="00047078">
        <w:rPr>
          <w:color w:val="77328A"/>
          <w:sz w:val="16"/>
          <w:szCs w:val="16"/>
        </w:rPr>
        <w:t>’</w:t>
      </w:r>
      <w:r w:rsidRPr="003C58B5">
        <w:rPr>
          <w:color w:val="77328A"/>
          <w:sz w:val="16"/>
          <w:szCs w:val="16"/>
        </w:rPr>
        <w:t xml:space="preserve">, 14 May 2026. </w:t>
      </w:r>
    </w:p>
  </w:footnote>
  <w:footnote w:id="94">
    <w:p w14:paraId="6D0F7094" w14:textId="333FF664" w:rsidR="000B4772" w:rsidRPr="003C58B5" w:rsidRDefault="000B4772"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Pr="003C58B5">
        <w:rPr>
          <w:i/>
          <w:iCs/>
          <w:color w:val="77328A"/>
          <w:sz w:val="16"/>
          <w:szCs w:val="16"/>
        </w:rPr>
        <w:t xml:space="preserve">In the </w:t>
      </w:r>
      <w:r w:rsidR="00047078" w:rsidRPr="003C58B5">
        <w:rPr>
          <w:i/>
          <w:iCs/>
          <w:color w:val="77328A"/>
          <w:sz w:val="16"/>
          <w:szCs w:val="16"/>
        </w:rPr>
        <w:t>Matter</w:t>
      </w:r>
      <w:r w:rsidRPr="003C58B5">
        <w:rPr>
          <w:i/>
          <w:iCs/>
          <w:color w:val="77328A"/>
          <w:sz w:val="16"/>
          <w:szCs w:val="16"/>
        </w:rPr>
        <w:t xml:space="preserve"> of an </w:t>
      </w:r>
      <w:r w:rsidR="00047078" w:rsidRPr="003C58B5">
        <w:rPr>
          <w:i/>
          <w:iCs/>
          <w:color w:val="77328A"/>
          <w:sz w:val="16"/>
          <w:szCs w:val="16"/>
        </w:rPr>
        <w:t>Application</w:t>
      </w:r>
      <w:r w:rsidRPr="003C58B5">
        <w:rPr>
          <w:i/>
          <w:iCs/>
          <w:color w:val="77328A"/>
          <w:sz w:val="16"/>
          <w:szCs w:val="16"/>
        </w:rPr>
        <w:t xml:space="preserve"> by Martina Dillon and others for Judicial Review</w:t>
      </w:r>
      <w:r w:rsidRPr="003C58B5">
        <w:rPr>
          <w:color w:val="77328A"/>
          <w:sz w:val="16"/>
          <w:szCs w:val="16"/>
        </w:rPr>
        <w:t> [2026] UKSC 15, at para 122-124.</w:t>
      </w:r>
    </w:p>
  </w:footnote>
  <w:footnote w:id="95">
    <w:p w14:paraId="1BD4D872" w14:textId="77777777" w:rsidR="00EE3A11" w:rsidRPr="003C58B5" w:rsidRDefault="00EE3A11"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Letter from the Secretary of State for NI, Hillary Benn MP to the Northern Ireland Human Rights Commission, 21 May 2026.   </w:t>
      </w:r>
    </w:p>
  </w:footnote>
  <w:footnote w:id="96">
    <w:p w14:paraId="7F3286E6" w14:textId="45DB03E3" w:rsidR="00702748" w:rsidRPr="003C58B5" w:rsidRDefault="0070274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 </w:t>
      </w:r>
      <w:r w:rsidR="0004625D" w:rsidRPr="003C58B5">
        <w:rPr>
          <w:color w:val="77328A"/>
          <w:sz w:val="16"/>
          <w:szCs w:val="16"/>
        </w:rPr>
        <w:t>166, UK-EU Withdrawal Agreement.</w:t>
      </w:r>
    </w:p>
  </w:footnote>
  <w:footnote w:id="97">
    <w:p w14:paraId="122FFA57" w14:textId="7FEF613D" w:rsidR="00803E6B" w:rsidRPr="003C58B5" w:rsidRDefault="00803E6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Sections 78</w:t>
      </w:r>
      <w:proofErr w:type="gramStart"/>
      <w:r w:rsidRPr="003C58B5">
        <w:rPr>
          <w:color w:val="77328A"/>
          <w:sz w:val="16"/>
          <w:szCs w:val="16"/>
        </w:rPr>
        <w:t>A(</w:t>
      </w:r>
      <w:proofErr w:type="gramEnd"/>
      <w:r w:rsidRPr="003C58B5">
        <w:rPr>
          <w:color w:val="77328A"/>
          <w:sz w:val="16"/>
          <w:szCs w:val="16"/>
        </w:rPr>
        <w:t>1), N</w:t>
      </w:r>
      <w:r w:rsidR="00047078">
        <w:rPr>
          <w:color w:val="77328A"/>
          <w:sz w:val="16"/>
          <w:szCs w:val="16"/>
        </w:rPr>
        <w:t>orthern Ireland</w:t>
      </w:r>
      <w:r w:rsidRPr="003C58B5">
        <w:rPr>
          <w:color w:val="77328A"/>
          <w:sz w:val="16"/>
          <w:szCs w:val="16"/>
        </w:rPr>
        <w:t xml:space="preserve"> Act 1998.  </w:t>
      </w:r>
    </w:p>
  </w:footnote>
  <w:footnote w:id="98">
    <w:p w14:paraId="7C41200C" w14:textId="3762F2B1" w:rsidR="00783C54" w:rsidRPr="003C58B5" w:rsidRDefault="00783C5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78</w:t>
      </w:r>
      <w:proofErr w:type="gramStart"/>
      <w:r w:rsidRPr="003C58B5">
        <w:rPr>
          <w:color w:val="77328A"/>
          <w:sz w:val="16"/>
          <w:szCs w:val="16"/>
        </w:rPr>
        <w:t>A(</w:t>
      </w:r>
      <w:proofErr w:type="gramEnd"/>
      <w:r w:rsidRPr="003C58B5">
        <w:rPr>
          <w:color w:val="77328A"/>
          <w:sz w:val="16"/>
          <w:szCs w:val="16"/>
        </w:rPr>
        <w:t xml:space="preserve">5) and (6), </w:t>
      </w:r>
      <w:r w:rsidR="00047078">
        <w:rPr>
          <w:color w:val="77328A"/>
          <w:sz w:val="16"/>
          <w:szCs w:val="16"/>
        </w:rPr>
        <w:t>Northern Ireland</w:t>
      </w:r>
      <w:r w:rsidRPr="003C58B5">
        <w:rPr>
          <w:color w:val="77328A"/>
          <w:sz w:val="16"/>
          <w:szCs w:val="16"/>
        </w:rPr>
        <w:t xml:space="preserve"> Act</w:t>
      </w:r>
      <w:r w:rsidR="00BF62E7">
        <w:rPr>
          <w:color w:val="77328A"/>
          <w:sz w:val="16"/>
          <w:szCs w:val="16"/>
        </w:rPr>
        <w:t xml:space="preserve"> 1998</w:t>
      </w:r>
      <w:r w:rsidRPr="003C58B5">
        <w:rPr>
          <w:color w:val="77328A"/>
          <w:sz w:val="16"/>
          <w:szCs w:val="16"/>
        </w:rPr>
        <w:t xml:space="preserve">. </w:t>
      </w:r>
    </w:p>
  </w:footnote>
  <w:footnote w:id="99">
    <w:p w14:paraId="69776960" w14:textId="77777777" w:rsidR="00783C54" w:rsidRPr="003C58B5" w:rsidRDefault="00783C5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Articles 2 and 13, Windsor Framework.</w:t>
      </w:r>
    </w:p>
  </w:footnote>
  <w:footnote w:id="100">
    <w:p w14:paraId="251282FC" w14:textId="77777777" w:rsidR="00783C54" w:rsidRPr="003C58B5" w:rsidRDefault="00783C54"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For example, the EU adopted the Pay Transparency Directive (</w:t>
      </w:r>
      <w:r w:rsidRPr="003C58B5">
        <w:rPr>
          <w:rFonts w:cstheme="minorHAnsi"/>
          <w:color w:val="77328A"/>
          <w:sz w:val="16"/>
          <w:szCs w:val="16"/>
        </w:rPr>
        <w:t>Directive 2023/970/EU, ‘EU Parliament and Council Directive to Strengthen the Application of the Principle of Equal Pay for Equal Work or Work of Equal Value between Men and Women through Pay Transparency and Enforcement Mechanisms’, 10 May 2023)</w:t>
      </w:r>
      <w:r w:rsidRPr="003C58B5">
        <w:rPr>
          <w:color w:val="77328A"/>
          <w:sz w:val="16"/>
          <w:szCs w:val="16"/>
        </w:rPr>
        <w:t>, which aims to strengthen the existing enforcement tools and procedures relating to the rights and obligations and equal pay provisions in the EU Gender Equality (Employment) Directive (</w:t>
      </w:r>
      <w:r w:rsidRPr="003C58B5">
        <w:rPr>
          <w:rFonts w:cstheme="minorHAnsi"/>
          <w:color w:val="77328A"/>
          <w:sz w:val="16"/>
          <w:szCs w:val="16"/>
          <w:shd w:val="clear" w:color="auto" w:fill="FFFFFF"/>
        </w:rPr>
        <w:t>Directive 2006/54/EC, ‘EU Parliament and Council Directive on the Implementation of the Principle of Equal Opportunities and Equal Treatment of Men and Women in Matters of Employment and Occupation (Recast)’, 5 July 2006)</w:t>
      </w:r>
      <w:r w:rsidRPr="003C58B5">
        <w:rPr>
          <w:color w:val="77328A"/>
          <w:sz w:val="16"/>
          <w:szCs w:val="16"/>
        </w:rPr>
        <w:t xml:space="preserve">, which is listed in Annex 1 of the Windsor Framework.  The NIHRC and ECNI conducted a detailed analysis and found that, </w:t>
      </w:r>
      <w:r w:rsidRPr="003C58B5">
        <w:rPr>
          <w:rFonts w:cstheme="minorHAnsi"/>
          <w:color w:val="77328A"/>
          <w:sz w:val="16"/>
          <w:szCs w:val="16"/>
        </w:rPr>
        <w:t xml:space="preserve">apart from a small number of provisions that are no longer relevant now that the UK has left the EU, all other provisions of the </w:t>
      </w:r>
      <w:r w:rsidRPr="003C58B5">
        <w:rPr>
          <w:color w:val="77328A"/>
          <w:sz w:val="16"/>
          <w:szCs w:val="16"/>
        </w:rPr>
        <w:t>EU Pay Transparency Directive</w:t>
      </w:r>
      <w:r w:rsidRPr="003C58B5">
        <w:rPr>
          <w:rFonts w:cstheme="minorHAnsi"/>
          <w:color w:val="77328A"/>
          <w:sz w:val="16"/>
          <w:szCs w:val="16"/>
        </w:rPr>
        <w:t xml:space="preserve"> amend or replace provisions in the </w:t>
      </w:r>
      <w:r w:rsidRPr="003C58B5">
        <w:rPr>
          <w:color w:val="77328A"/>
          <w:sz w:val="16"/>
          <w:szCs w:val="16"/>
        </w:rPr>
        <w:t>EU Gender Equality (Employment) Directive (</w:t>
      </w:r>
      <w:r w:rsidRPr="003C58B5">
        <w:rPr>
          <w:rFonts w:cstheme="minorHAnsi"/>
          <w:color w:val="77328A"/>
          <w:sz w:val="16"/>
          <w:szCs w:val="16"/>
        </w:rPr>
        <w:t>Equality Commission for NI and Northern Ireland Human Rights Commission, ‘Briefing Paper: The EU Pay Transparency Directive: The UK Government’s Dynamic Alignment Obligations Relating to Windsor Framework Article 2’ (ECNI and NIHRC, 2024)).</w:t>
      </w:r>
    </w:p>
  </w:footnote>
  <w:footnote w:id="101">
    <w:p w14:paraId="2D83CFA8" w14:textId="77777777" w:rsidR="00A04D9D" w:rsidRPr="003C58B5" w:rsidRDefault="00A04D9D"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Article 2(2), Windsor Framework.</w:t>
      </w:r>
    </w:p>
  </w:footnote>
  <w:footnote w:id="102">
    <w:p w14:paraId="05CC319A" w14:textId="01608FA1" w:rsidR="002F5615" w:rsidRPr="003C58B5" w:rsidRDefault="002F5615"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78C and 78D, </w:t>
      </w:r>
      <w:r w:rsidR="00047078">
        <w:rPr>
          <w:color w:val="77328A"/>
          <w:sz w:val="16"/>
          <w:szCs w:val="16"/>
        </w:rPr>
        <w:t>Northern Ireland</w:t>
      </w:r>
      <w:r w:rsidRPr="003C58B5">
        <w:rPr>
          <w:color w:val="77328A"/>
          <w:sz w:val="16"/>
          <w:szCs w:val="16"/>
        </w:rPr>
        <w:t xml:space="preserve"> Act 1998. </w:t>
      </w:r>
    </w:p>
  </w:footnote>
  <w:footnote w:id="103">
    <w:p w14:paraId="3B30476C" w14:textId="562643EB" w:rsidR="002F5615" w:rsidRPr="003C58B5" w:rsidRDefault="002F5615"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78A(</w:t>
      </w:r>
      <w:r w:rsidR="00B4446B" w:rsidRPr="003C58B5">
        <w:rPr>
          <w:color w:val="77328A"/>
          <w:sz w:val="16"/>
          <w:szCs w:val="16"/>
        </w:rPr>
        <w:t>1</w:t>
      </w:r>
      <w:r w:rsidRPr="003C58B5">
        <w:rPr>
          <w:color w:val="77328A"/>
          <w:sz w:val="16"/>
          <w:szCs w:val="16"/>
        </w:rPr>
        <w:t>)-</w:t>
      </w:r>
      <w:r w:rsidR="00B4446B" w:rsidRPr="003C58B5">
        <w:rPr>
          <w:color w:val="77328A"/>
          <w:sz w:val="16"/>
          <w:szCs w:val="16"/>
        </w:rPr>
        <w:t>78</w:t>
      </w:r>
      <w:proofErr w:type="gramStart"/>
      <w:r w:rsidR="00B4446B" w:rsidRPr="003C58B5">
        <w:rPr>
          <w:color w:val="77328A"/>
          <w:sz w:val="16"/>
          <w:szCs w:val="16"/>
        </w:rPr>
        <w:t>A(</w:t>
      </w:r>
      <w:proofErr w:type="gramEnd"/>
      <w:r w:rsidR="00B4446B" w:rsidRPr="003C58B5">
        <w:rPr>
          <w:color w:val="77328A"/>
          <w:sz w:val="16"/>
          <w:szCs w:val="16"/>
        </w:rPr>
        <w:t>3) and 78</w:t>
      </w:r>
      <w:proofErr w:type="gramStart"/>
      <w:r w:rsidR="00B4446B" w:rsidRPr="003C58B5">
        <w:rPr>
          <w:color w:val="77328A"/>
          <w:sz w:val="16"/>
          <w:szCs w:val="16"/>
        </w:rPr>
        <w:t>A(</w:t>
      </w:r>
      <w:proofErr w:type="gramEnd"/>
      <w:r w:rsidR="00B4446B" w:rsidRPr="003C58B5">
        <w:rPr>
          <w:color w:val="77328A"/>
          <w:sz w:val="16"/>
          <w:szCs w:val="16"/>
        </w:rPr>
        <w:t>5)- 78</w:t>
      </w:r>
      <w:proofErr w:type="gramStart"/>
      <w:r w:rsidR="00B4446B" w:rsidRPr="003C58B5">
        <w:rPr>
          <w:color w:val="77328A"/>
          <w:sz w:val="16"/>
          <w:szCs w:val="16"/>
        </w:rPr>
        <w:t>A(</w:t>
      </w:r>
      <w:proofErr w:type="gramEnd"/>
      <w:r w:rsidR="00B4446B" w:rsidRPr="003C58B5">
        <w:rPr>
          <w:color w:val="77328A"/>
          <w:sz w:val="16"/>
          <w:szCs w:val="16"/>
        </w:rPr>
        <w:t>6),</w:t>
      </w:r>
      <w:r w:rsidRPr="003C58B5">
        <w:rPr>
          <w:color w:val="77328A"/>
          <w:sz w:val="16"/>
          <w:szCs w:val="16"/>
        </w:rPr>
        <w:t xml:space="preserve"> </w:t>
      </w:r>
      <w:r w:rsidR="00047078">
        <w:rPr>
          <w:color w:val="77328A"/>
          <w:sz w:val="16"/>
          <w:szCs w:val="16"/>
        </w:rPr>
        <w:t>Northern Ireland</w:t>
      </w:r>
      <w:r w:rsidRPr="003C58B5">
        <w:rPr>
          <w:color w:val="77328A"/>
          <w:sz w:val="16"/>
          <w:szCs w:val="16"/>
        </w:rPr>
        <w:t xml:space="preserve"> Act 1998. </w:t>
      </w:r>
    </w:p>
  </w:footnote>
  <w:footnote w:id="104">
    <w:p w14:paraId="3B5D01D2" w14:textId="7E30F5AF" w:rsidR="00B4446B" w:rsidRPr="003C58B5" w:rsidRDefault="00B4446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Section 78A(7)-78</w:t>
      </w:r>
      <w:proofErr w:type="gramStart"/>
      <w:r w:rsidRPr="003C58B5">
        <w:rPr>
          <w:color w:val="77328A"/>
          <w:sz w:val="16"/>
          <w:szCs w:val="16"/>
        </w:rPr>
        <w:t>A(</w:t>
      </w:r>
      <w:proofErr w:type="gramEnd"/>
      <w:r w:rsidRPr="003C58B5">
        <w:rPr>
          <w:color w:val="77328A"/>
          <w:sz w:val="16"/>
          <w:szCs w:val="16"/>
        </w:rPr>
        <w:t xml:space="preserve">8), </w:t>
      </w:r>
      <w:r w:rsidR="00047078">
        <w:rPr>
          <w:color w:val="77328A"/>
          <w:sz w:val="16"/>
          <w:szCs w:val="16"/>
        </w:rPr>
        <w:t>Northern Ireland</w:t>
      </w:r>
      <w:r w:rsidRPr="003C58B5">
        <w:rPr>
          <w:color w:val="77328A"/>
          <w:sz w:val="16"/>
          <w:szCs w:val="16"/>
        </w:rPr>
        <w:t xml:space="preserve"> Act 1998. </w:t>
      </w:r>
    </w:p>
  </w:footnote>
  <w:footnote w:id="105">
    <w:p w14:paraId="30E5FBA9" w14:textId="77777777" w:rsidR="00DB5B2A" w:rsidRPr="003C58B5" w:rsidRDefault="00DB5B2A" w:rsidP="003C58B5">
      <w:pPr>
        <w:pStyle w:val="NIHRCFootnotes"/>
      </w:pPr>
      <w:r w:rsidRPr="003C58B5">
        <w:rPr>
          <w:rStyle w:val="FootnoteReference"/>
        </w:rPr>
        <w:footnoteRef/>
      </w:r>
      <w:r w:rsidRPr="003C58B5">
        <w:t xml:space="preserve"> Letter from the Global Alliance of National Human Rights Institutions Sub-Committee on Accreditation to the Northern Ireland Human Rights Commission, 1 November 2023.</w:t>
      </w:r>
    </w:p>
  </w:footnote>
  <w:footnote w:id="106">
    <w:p w14:paraId="5011BF5F" w14:textId="77777777" w:rsidR="00100D00" w:rsidRPr="003C58B5" w:rsidRDefault="00100D00" w:rsidP="003C58B5">
      <w:pPr>
        <w:pStyle w:val="NIHRCFootnotes"/>
      </w:pPr>
      <w:r w:rsidRPr="003C58B5">
        <w:rPr>
          <w:rStyle w:val="FootnoteReference"/>
          <w:rFonts w:eastAsiaTheme="majorEastAsia"/>
        </w:rPr>
        <w:footnoteRef/>
      </w:r>
      <w:r w:rsidRPr="003C58B5">
        <w:t xml:space="preserve"> This review takes place every five years. A/RES/48/134, ‘UN General Assembly Principles Relating to the Status of National Institutions’, 20 December 1993.</w:t>
      </w:r>
    </w:p>
  </w:footnote>
  <w:footnote w:id="107">
    <w:p w14:paraId="05AB61FD" w14:textId="77777777" w:rsidR="00DB5B2A" w:rsidRPr="003C58B5" w:rsidRDefault="00DB5B2A"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See </w:t>
      </w:r>
      <w:r w:rsidRPr="003C58B5">
        <w:rPr>
          <w:rFonts w:cs="Calibri"/>
          <w:color w:val="77328A"/>
          <w:sz w:val="16"/>
          <w:szCs w:val="16"/>
        </w:rPr>
        <w:t>Letter from Northern Ireland Human</w:t>
      </w:r>
      <w:r w:rsidRPr="003C58B5">
        <w:rPr>
          <w:color w:val="77328A"/>
          <w:sz w:val="16"/>
          <w:szCs w:val="16"/>
        </w:rPr>
        <w:t xml:space="preserve"> Rights Commission</w:t>
      </w:r>
      <w:r w:rsidRPr="003C58B5">
        <w:rPr>
          <w:rFonts w:cs="Calibri"/>
          <w:color w:val="77328A"/>
          <w:sz w:val="16"/>
          <w:szCs w:val="16"/>
        </w:rPr>
        <w:t xml:space="preserve"> to Brandon Lewis MP, Secretary of State for NI, 17 November 2021. </w:t>
      </w:r>
    </w:p>
  </w:footnote>
  <w:footnote w:id="108">
    <w:p w14:paraId="5D3E215A" w14:textId="7E85621B" w:rsidR="00100D00" w:rsidRPr="003C58B5" w:rsidRDefault="00100D00" w:rsidP="003C58B5">
      <w:pPr>
        <w:pStyle w:val="NIHRCFootnotes"/>
      </w:pPr>
      <w:r w:rsidRPr="003C58B5">
        <w:rPr>
          <w:rStyle w:val="FootnoteReference"/>
        </w:rPr>
        <w:footnoteRef/>
      </w:r>
      <w:r w:rsidRPr="003C58B5">
        <w:t xml:space="preserve"> Simon Routh-Jones, ‘Independent Review of the Northern Ireland Human Rights Commission’ (UKG, 2022).  This was published with the UK Government response in 2023.</w:t>
      </w:r>
    </w:p>
  </w:footnote>
  <w:footnote w:id="109">
    <w:p w14:paraId="61C022E1" w14:textId="77777777" w:rsidR="00DB5B2A" w:rsidRPr="003C58B5" w:rsidRDefault="00DB5B2A" w:rsidP="003C58B5">
      <w:pPr>
        <w:pStyle w:val="NIHRCFootnotes"/>
      </w:pPr>
      <w:r w:rsidRPr="003C58B5">
        <w:rPr>
          <w:rStyle w:val="FootnoteReference"/>
        </w:rPr>
        <w:footnoteRef/>
      </w:r>
      <w:r w:rsidRPr="003C58B5">
        <w:t xml:space="preserve"> NI Office, ‘UK Government Response to the Independent Review of the Northern Ireland Human Rights Commission 2022’ (NIO, 2023), at 5.</w:t>
      </w:r>
    </w:p>
  </w:footnote>
  <w:footnote w:id="110">
    <w:p w14:paraId="3AA52CA6" w14:textId="77777777" w:rsidR="00B4446B" w:rsidRPr="003C58B5" w:rsidRDefault="00B4446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Additional funding of £3.5 million has been made available over the period of the Spending Review. This will improve finances and do so progressively by 2028.</w:t>
      </w:r>
    </w:p>
  </w:footnote>
  <w:footnote w:id="111">
    <w:p w14:paraId="2EADBF8A" w14:textId="38C62668" w:rsidR="00A43D4B" w:rsidRPr="00C87091" w:rsidRDefault="00A43D4B" w:rsidP="003C58B5">
      <w:pPr>
        <w:pStyle w:val="FootnoteText"/>
        <w:spacing w:line="240" w:lineRule="auto"/>
        <w:rPr>
          <w:color w:val="77328A"/>
          <w:sz w:val="16"/>
          <w:szCs w:val="16"/>
        </w:rPr>
      </w:pPr>
      <w:r w:rsidRPr="00F334E8">
        <w:rPr>
          <w:rStyle w:val="FootnoteReference"/>
          <w:color w:val="77328A"/>
          <w:sz w:val="16"/>
          <w:szCs w:val="16"/>
        </w:rPr>
        <w:footnoteRef/>
      </w:r>
      <w:r w:rsidRPr="00F334E8">
        <w:rPr>
          <w:color w:val="77328A"/>
          <w:sz w:val="16"/>
          <w:szCs w:val="16"/>
        </w:rPr>
        <w:t xml:space="preserve"> </w:t>
      </w:r>
      <w:r w:rsidR="00C87091" w:rsidRPr="00C87091">
        <w:rPr>
          <w:color w:val="77328A"/>
          <w:sz w:val="16"/>
          <w:szCs w:val="16"/>
        </w:rPr>
        <w:t>Simon Routh-Jones, ‘Independent Review of the Northern Ireland Human Rights Commission’ (UK</w:t>
      </w:r>
      <w:r w:rsidR="00F67607">
        <w:rPr>
          <w:color w:val="77328A"/>
          <w:sz w:val="16"/>
          <w:szCs w:val="16"/>
        </w:rPr>
        <w:t>G,</w:t>
      </w:r>
      <w:r w:rsidR="00C87091" w:rsidRPr="00C87091">
        <w:rPr>
          <w:color w:val="77328A"/>
          <w:sz w:val="16"/>
          <w:szCs w:val="16"/>
        </w:rPr>
        <w:t xml:space="preserve"> 2022). This was published with the UK Government response in 2023. NI Office, ‘UK Government Response to the Independent Review of the Northern Ireland Human Rights Commission 2022’ (NIO, 2023).  A subsequent independent review was undertaken in </w:t>
      </w:r>
      <w:proofErr w:type="gramStart"/>
      <w:r w:rsidR="00C87091" w:rsidRPr="00C87091">
        <w:rPr>
          <w:color w:val="77328A"/>
          <w:sz w:val="16"/>
          <w:szCs w:val="16"/>
        </w:rPr>
        <w:t>2024, but</w:t>
      </w:r>
      <w:proofErr w:type="gramEnd"/>
      <w:r w:rsidR="00C87091" w:rsidRPr="00C87091">
        <w:rPr>
          <w:color w:val="77328A"/>
          <w:sz w:val="16"/>
          <w:szCs w:val="16"/>
        </w:rPr>
        <w:t xml:space="preserve"> has not been published by the Government. </w:t>
      </w:r>
    </w:p>
  </w:footnote>
  <w:footnote w:id="112">
    <w:p w14:paraId="431571D9" w14:textId="06073071" w:rsidR="00A60687" w:rsidRPr="003C58B5" w:rsidRDefault="00A60687"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w:t>
      </w:r>
      <w:r w:rsidR="00E22E57" w:rsidRPr="003C58B5">
        <w:rPr>
          <w:color w:val="77328A"/>
          <w:sz w:val="16"/>
          <w:szCs w:val="16"/>
        </w:rPr>
        <w:t>Northern Ireland Human Rights Commission, ‘Annual Statement 2025 – Human Rights in NI’ (NIHRC, 2025); Northern Ireland Human Rights Commission and Equality Commission for NI, ‘Annual Report on the Implementation of Article 2 of the Windsor Framework 2023-2024’ (NIHRC and ECNI, 2024).</w:t>
      </w:r>
    </w:p>
  </w:footnote>
  <w:footnote w:id="113">
    <w:p w14:paraId="4620649C" w14:textId="7D1CF5C6" w:rsidR="00716B42" w:rsidRPr="003C58B5" w:rsidRDefault="00716B42" w:rsidP="003C58B5">
      <w:pPr>
        <w:pStyle w:val="NIHRCFootnotes"/>
      </w:pPr>
      <w:r w:rsidRPr="003C58B5">
        <w:rPr>
          <w:rStyle w:val="FootnoteReference"/>
        </w:rPr>
        <w:footnoteRef/>
      </w:r>
      <w:r w:rsidRPr="003C58B5">
        <w:t xml:space="preserve"> The Executive Office, ‘Article 2(1) Windsor Framework Impact Assessment for the Draft Strategic Framework to End Violence Against Women and Girls’ (TEO, 2023); </w:t>
      </w:r>
      <w:r w:rsidR="00E36975">
        <w:t>Northern Ireland</w:t>
      </w:r>
      <w:r w:rsidRPr="003C58B5">
        <w:t xml:space="preserve"> Human Rights Commission, ‘Submission to the Executive Office’s Consultation on the Ending Violence Against Women and Girls Strategic Framework’ (NIHRC, 2023).</w:t>
      </w:r>
    </w:p>
  </w:footnote>
  <w:footnote w:id="114">
    <w:p w14:paraId="35CF4D06" w14:textId="107AF6EA" w:rsidR="00655A58" w:rsidRPr="003C58B5" w:rsidRDefault="00655A5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Northern Ireland Human Rights Commission, ‘Response to The Executive Office’s Consultation on the Framework for Race Relations’ (NIHRC, 2026)</w:t>
      </w:r>
      <w:r w:rsidR="00E87425" w:rsidRPr="003C58B5">
        <w:rPr>
          <w:color w:val="77328A"/>
          <w:sz w:val="16"/>
          <w:szCs w:val="16"/>
        </w:rPr>
        <w:t>.</w:t>
      </w:r>
    </w:p>
  </w:footnote>
  <w:footnote w:id="115">
    <w:p w14:paraId="755DEEBF" w14:textId="1AB53ADF" w:rsidR="00D66B7B" w:rsidRPr="003C58B5" w:rsidRDefault="00D66B7B" w:rsidP="003C58B5">
      <w:pPr>
        <w:pStyle w:val="NIHRCFootnotes"/>
        <w:rPr>
          <w:rFonts w:cstheme="minorHAnsi"/>
        </w:rPr>
      </w:pPr>
      <w:r w:rsidRPr="003C58B5">
        <w:rPr>
          <w:rStyle w:val="FootnoteReference"/>
          <w:rFonts w:cstheme="minorHAnsi"/>
        </w:rPr>
        <w:footnoteRef/>
      </w:r>
      <w:r w:rsidRPr="003C58B5">
        <w:rPr>
          <w:rFonts w:cstheme="minorHAnsi"/>
        </w:rPr>
        <w:t xml:space="preserve"> Cabinet Office, ‘Guide to Preparing Explanatory Memoranda to Statutory Instruments’ (CO, 2024), at para 6.1.</w:t>
      </w:r>
      <w:r w:rsidR="005863C8" w:rsidRPr="003C58B5">
        <w:rPr>
          <w:rFonts w:cstheme="minorHAnsi"/>
        </w:rPr>
        <w:t xml:space="preserve"> </w:t>
      </w:r>
    </w:p>
  </w:footnote>
  <w:footnote w:id="116">
    <w:p w14:paraId="009E4AD2" w14:textId="77777777" w:rsidR="00D66B7B" w:rsidRPr="003C58B5" w:rsidRDefault="00D66B7B" w:rsidP="003C58B5">
      <w:pPr>
        <w:pStyle w:val="NIHRCFootnotes"/>
        <w:rPr>
          <w:rFonts w:cstheme="minorHAnsi"/>
        </w:rPr>
      </w:pPr>
      <w:r w:rsidRPr="003C58B5">
        <w:rPr>
          <w:rStyle w:val="FootnoteReference"/>
          <w:rFonts w:cstheme="minorHAnsi"/>
        </w:rPr>
        <w:footnoteRef/>
      </w:r>
      <w:r w:rsidRPr="003C58B5">
        <w:rPr>
          <w:rFonts w:cstheme="minorHAnsi"/>
        </w:rPr>
        <w:t xml:space="preserve"> Cabinet Office, ‘Guide to Making Legislation’ (CO, 2025).</w:t>
      </w:r>
    </w:p>
  </w:footnote>
  <w:footnote w:id="117">
    <w:p w14:paraId="53A8FB42" w14:textId="7115F8BC" w:rsidR="00D66B7B" w:rsidRPr="003C58B5" w:rsidRDefault="00D66B7B" w:rsidP="003C58B5">
      <w:pPr>
        <w:pStyle w:val="NIHRCFootnotes"/>
        <w:rPr>
          <w:rFonts w:cstheme="minorHAnsi"/>
        </w:rPr>
      </w:pPr>
      <w:r w:rsidRPr="003C58B5">
        <w:rPr>
          <w:rStyle w:val="FootnoteReference"/>
          <w:rFonts w:cstheme="minorHAnsi"/>
        </w:rPr>
        <w:footnoteRef/>
      </w:r>
      <w:r w:rsidRPr="003C58B5">
        <w:rPr>
          <w:rFonts w:cstheme="minorHAnsi"/>
        </w:rPr>
        <w:t xml:space="preserve"> </w:t>
      </w:r>
      <w:r w:rsidR="00F67607" w:rsidRPr="003C58B5">
        <w:rPr>
          <w:rFonts w:cstheme="minorHAnsi"/>
        </w:rPr>
        <w:t>Cabinet Office, ‘Guide to Making Legislation’ (CO, 2025)</w:t>
      </w:r>
      <w:r w:rsidRPr="003C58B5">
        <w:rPr>
          <w:rFonts w:cstheme="minorHAnsi"/>
        </w:rPr>
        <w:t>, at para 10.53.</w:t>
      </w:r>
    </w:p>
  </w:footnote>
  <w:footnote w:id="118">
    <w:p w14:paraId="2E8B3935" w14:textId="77777777" w:rsidR="008B6FF6" w:rsidRPr="003C58B5" w:rsidRDefault="008B6FF6" w:rsidP="003C58B5">
      <w:pPr>
        <w:pStyle w:val="NIHRCFootnotes"/>
      </w:pPr>
      <w:r w:rsidRPr="003C58B5">
        <w:rPr>
          <w:rStyle w:val="FootnoteReference"/>
        </w:rPr>
        <w:footnoteRef/>
      </w:r>
      <w:r w:rsidRPr="003C58B5">
        <w:t xml:space="preserve"> House of Commons, ‘Northern Ireland Troubles Bill – Explanatory Notes’ (HC, 2025).  These Notes relate to the NI Troubles Bill as introduced to the House of Commons on 14 October 2025 (Bill 310 EN 2024-26).  </w:t>
      </w:r>
    </w:p>
  </w:footnote>
  <w:footnote w:id="119">
    <w:p w14:paraId="281547CC" w14:textId="2080B48B" w:rsidR="005863C8" w:rsidRPr="003C58B5" w:rsidRDefault="005863C8" w:rsidP="003C58B5">
      <w:pPr>
        <w:pStyle w:val="NIHRCFootnotes"/>
        <w:contextualSpacing/>
        <w:rPr>
          <w:rFonts w:cstheme="minorHAnsi"/>
        </w:rPr>
      </w:pPr>
      <w:r w:rsidRPr="003C58B5">
        <w:rPr>
          <w:rStyle w:val="FootnoteReference"/>
          <w:rFonts w:cstheme="minorHAnsi"/>
        </w:rPr>
        <w:footnoteRef/>
      </w:r>
      <w:r w:rsidRPr="003C58B5">
        <w:rPr>
          <w:rFonts w:cstheme="minorHAnsi"/>
        </w:rPr>
        <w:t xml:space="preserve"> </w:t>
      </w:r>
      <w:r w:rsidRPr="003C58B5">
        <w:rPr>
          <w:i/>
          <w:iCs/>
        </w:rPr>
        <w:t xml:space="preserve">Martina Dillon and Others v Secretary of State for NI </w:t>
      </w:r>
      <w:r w:rsidRPr="003C58B5">
        <w:t>[2024] NICA 59</w:t>
      </w:r>
      <w:r w:rsidRPr="003C58B5">
        <w:rPr>
          <w:rFonts w:cstheme="minorHAnsi"/>
        </w:rPr>
        <w:t xml:space="preserve">. </w:t>
      </w:r>
    </w:p>
  </w:footnote>
  <w:footnote w:id="120">
    <w:p w14:paraId="0F473D96" w14:textId="2B9D711C" w:rsidR="005B1EEC" w:rsidRPr="003C58B5" w:rsidRDefault="005B1EEC"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House of Commons, ‘Northern Ireland Troubles Bill – Explanatory Notes’ (HC, 2026).  These Notes relate to the NI Troubles Bill as introduced to the House of Commons on 14 May 2026 (Bill 006 EN 2026-27).</w:t>
      </w:r>
    </w:p>
  </w:footnote>
  <w:footnote w:id="121">
    <w:p w14:paraId="1098FD1F" w14:textId="77777777" w:rsidR="002717DB" w:rsidRPr="003C58B5" w:rsidRDefault="002717DB" w:rsidP="003C58B5">
      <w:pPr>
        <w:pStyle w:val="NIHRCFootnotes"/>
      </w:pPr>
      <w:r w:rsidRPr="003C58B5">
        <w:rPr>
          <w:rStyle w:val="FootnoteReference"/>
        </w:rPr>
        <w:footnoteRef/>
      </w:r>
      <w:r w:rsidRPr="003C58B5">
        <w:t xml:space="preserve"> Letter from the Chair of the NI Scrutiny Committee, Lord Carlile of </w:t>
      </w:r>
      <w:proofErr w:type="spellStart"/>
      <w:r w:rsidRPr="003C58B5">
        <w:t>Berriew</w:t>
      </w:r>
      <w:proofErr w:type="spellEnd"/>
      <w:r w:rsidRPr="003C58B5">
        <w:t xml:space="preserve"> to the Minister of State in the Home Office, Lord Hanson of Flint, 18 September 2025; Letter from the Minister of State in the Home Office, Lord Hanson of Flint to the Chair of the NI Scrutiny Committee, Lord Carlile of </w:t>
      </w:r>
      <w:proofErr w:type="spellStart"/>
      <w:r w:rsidRPr="003C58B5">
        <w:t>Berriew</w:t>
      </w:r>
      <w:proofErr w:type="spellEnd"/>
      <w:r w:rsidRPr="003C58B5">
        <w:t xml:space="preserve">, 17 October 2025; Letter from the Chair of the NI Scrutiny Committee, Lord Carlile of </w:t>
      </w:r>
      <w:proofErr w:type="spellStart"/>
      <w:r w:rsidRPr="003C58B5">
        <w:t>Berriew</w:t>
      </w:r>
      <w:proofErr w:type="spellEnd"/>
      <w:r w:rsidRPr="003C58B5">
        <w:t xml:space="preserve"> to the Minister of State in the Home Office, Lord Hanson of Flint, 5 November 2025.</w:t>
      </w:r>
    </w:p>
  </w:footnote>
  <w:footnote w:id="122">
    <w:p w14:paraId="013757F9" w14:textId="77777777" w:rsidR="002717DB" w:rsidRPr="003C58B5" w:rsidRDefault="002717DB" w:rsidP="003C58B5">
      <w:pPr>
        <w:pStyle w:val="NIHRCFootnotes"/>
      </w:pPr>
      <w:r w:rsidRPr="003C58B5">
        <w:rPr>
          <w:rStyle w:val="FootnoteReference"/>
        </w:rPr>
        <w:footnoteRef/>
      </w:r>
      <w:r w:rsidRPr="003C58B5">
        <w:t xml:space="preserve"> Letter from the Minister of State in the Home Office, Lord Hanson of Flint to the Chair of the NI Scrutiny Committee, Lord Carlile of </w:t>
      </w:r>
      <w:proofErr w:type="spellStart"/>
      <w:r w:rsidRPr="003C58B5">
        <w:t>Berriew</w:t>
      </w:r>
      <w:proofErr w:type="spellEnd"/>
      <w:r w:rsidRPr="003C58B5">
        <w:t>, 26 November 2025.</w:t>
      </w:r>
    </w:p>
  </w:footnote>
  <w:footnote w:id="123">
    <w:p w14:paraId="3951BD17" w14:textId="1E1DEEF0" w:rsidR="002717DB" w:rsidRPr="003C58B5" w:rsidRDefault="002717DB"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Letter from the Chair of the Joint Committee on Human Rights</w:t>
      </w:r>
      <w:r w:rsidR="008C44D9" w:rsidRPr="003C58B5">
        <w:rPr>
          <w:color w:val="77328A"/>
          <w:sz w:val="16"/>
          <w:szCs w:val="16"/>
        </w:rPr>
        <w:t xml:space="preserve">, Lord Alton of Liverpool to the Secretary of State for NI, Hillary Benn MP, 21 May 2026. </w:t>
      </w:r>
    </w:p>
  </w:footnote>
  <w:footnote w:id="124">
    <w:p w14:paraId="06CFB9B7" w14:textId="2D607E34" w:rsidR="008C44D9" w:rsidRPr="003C58B5" w:rsidRDefault="008C44D9"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Letter from the Secretary of State for NI, Hillary Benn MP to the Chair of the Joint Committee on Human Rights, Lord Alton of Liverpool, 28 May 2026.</w:t>
      </w:r>
    </w:p>
  </w:footnote>
  <w:footnote w:id="125">
    <w:p w14:paraId="36300D19" w14:textId="69ACC359" w:rsidR="00506AF8" w:rsidRPr="003C58B5" w:rsidRDefault="00506AF8"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Letter from the Secretary of State for NI, Hillary Benn MP to the Northern Ireland Human Rights Commission,</w:t>
      </w:r>
      <w:r w:rsidR="00C112BE" w:rsidRPr="003C58B5">
        <w:rPr>
          <w:color w:val="77328A"/>
          <w:sz w:val="16"/>
          <w:szCs w:val="16"/>
        </w:rPr>
        <w:t xml:space="preserve"> 21 May 2026.  </w:t>
      </w:r>
      <w:r w:rsidRPr="003C58B5">
        <w:rPr>
          <w:color w:val="77328A"/>
          <w:sz w:val="16"/>
          <w:szCs w:val="16"/>
        </w:rPr>
        <w:t xml:space="preserve"> </w:t>
      </w:r>
    </w:p>
  </w:footnote>
  <w:footnote w:id="126">
    <w:p w14:paraId="17A4D36F" w14:textId="77777777" w:rsidR="00033EA3" w:rsidRPr="003C58B5" w:rsidRDefault="00033EA3" w:rsidP="003C58B5">
      <w:pPr>
        <w:pStyle w:val="NIHRCFootnotes"/>
        <w:rPr>
          <w:rFonts w:cstheme="minorHAnsi"/>
        </w:rPr>
      </w:pPr>
      <w:r w:rsidRPr="003C58B5">
        <w:rPr>
          <w:rStyle w:val="FootnoteReference"/>
          <w:rFonts w:cstheme="minorHAnsi"/>
        </w:rPr>
        <w:footnoteRef/>
      </w:r>
      <w:r w:rsidRPr="003C58B5">
        <w:rPr>
          <w:rFonts w:cstheme="minorHAnsi"/>
        </w:rPr>
        <w:t xml:space="preserve"> House of Commons, ‘Press Release: European Scrutiny Committee discontinued’, 1 August 2024. Available:  </w:t>
      </w:r>
      <w:hyperlink r:id="rId1" w:history="1">
        <w:r w:rsidRPr="003C58B5">
          <w:rPr>
            <w:rStyle w:val="Hyperlink"/>
            <w:rFonts w:cstheme="minorHAnsi"/>
            <w:color w:val="77328A"/>
          </w:rPr>
          <w:t>European Scrutiny Committee discontinued - Committees - UK Parliament</w:t>
        </w:r>
      </w:hyperlink>
    </w:p>
  </w:footnote>
  <w:footnote w:id="127">
    <w:p w14:paraId="294FF4DC" w14:textId="77777777" w:rsidR="00033EA3" w:rsidRPr="003C58B5" w:rsidRDefault="00033EA3" w:rsidP="003C58B5">
      <w:pPr>
        <w:pStyle w:val="FootnoteText"/>
        <w:spacing w:line="240" w:lineRule="auto"/>
        <w:rPr>
          <w:rFonts w:cs="Calibri"/>
          <w:color w:val="77328A"/>
          <w:sz w:val="16"/>
          <w:szCs w:val="16"/>
        </w:rPr>
      </w:pPr>
      <w:r w:rsidRPr="003C58B5">
        <w:rPr>
          <w:rStyle w:val="FootnoteReference"/>
          <w:rFonts w:cs="Calibri"/>
          <w:color w:val="77328A"/>
          <w:sz w:val="16"/>
          <w:szCs w:val="16"/>
        </w:rPr>
        <w:footnoteRef/>
      </w:r>
      <w:r w:rsidRPr="003C58B5">
        <w:rPr>
          <w:rFonts w:cs="Calibri"/>
          <w:color w:val="77328A"/>
          <w:sz w:val="16"/>
          <w:szCs w:val="16"/>
        </w:rPr>
        <w:t xml:space="preserve"> UK Government, ‘Government response to the Sub-Committee on the Protocol on Ireland/Northern Ireland’s report Scrutiny of EU legislative proposals within the scope of the Protocol on Ireland/Northern Ireland’ (UK Gov, 2022), at para 15; House of Lords European Affairs Committee, ‘5</w:t>
      </w:r>
      <w:r w:rsidRPr="003C58B5">
        <w:rPr>
          <w:rFonts w:cs="Calibri"/>
          <w:color w:val="77328A"/>
          <w:sz w:val="16"/>
          <w:szCs w:val="16"/>
          <w:vertAlign w:val="superscript"/>
        </w:rPr>
        <w:t>th</w:t>
      </w:r>
      <w:r w:rsidRPr="003C58B5">
        <w:rPr>
          <w:rFonts w:cs="Calibri"/>
          <w:color w:val="77328A"/>
          <w:sz w:val="16"/>
          <w:szCs w:val="16"/>
        </w:rPr>
        <w:t xml:space="preserve"> Report of Session 2021-22 - Report from the Sub-Committee on the Protocol on Ireland/Northern Ireland: Scrutiny of EU legislative proposals within the scope of the Protocol on Ireland/Northern Ireland</w:t>
      </w:r>
      <w:r w:rsidRPr="003C58B5">
        <w:rPr>
          <w:rStyle w:val="Hyperlink"/>
          <w:rFonts w:cs="Calibri"/>
          <w:color w:val="77328A"/>
          <w:sz w:val="16"/>
          <w:szCs w:val="16"/>
          <w:u w:val="none"/>
        </w:rPr>
        <w:t xml:space="preserve">’ </w:t>
      </w:r>
      <w:r w:rsidRPr="003C58B5">
        <w:rPr>
          <w:rFonts w:cs="Calibri"/>
          <w:color w:val="77328A"/>
          <w:sz w:val="16"/>
          <w:szCs w:val="16"/>
        </w:rPr>
        <w:t>(HOL, 2022), at paras 54-60.</w:t>
      </w:r>
    </w:p>
  </w:footnote>
  <w:footnote w:id="128">
    <w:p w14:paraId="7B7163DA" w14:textId="77777777" w:rsidR="00033EA3" w:rsidRPr="003C58B5" w:rsidRDefault="00033EA3" w:rsidP="003C58B5">
      <w:pPr>
        <w:pStyle w:val="FootnoteText"/>
        <w:spacing w:line="240" w:lineRule="auto"/>
        <w:rPr>
          <w:rFonts w:cs="Calibri"/>
          <w:color w:val="77328A"/>
          <w:sz w:val="16"/>
          <w:szCs w:val="16"/>
        </w:rPr>
      </w:pPr>
      <w:r w:rsidRPr="003C58B5">
        <w:rPr>
          <w:rStyle w:val="FootnoteReference"/>
          <w:rFonts w:cs="Calibri"/>
          <w:color w:val="77328A"/>
          <w:sz w:val="16"/>
          <w:szCs w:val="16"/>
        </w:rPr>
        <w:footnoteRef/>
      </w:r>
      <w:r w:rsidRPr="003C58B5">
        <w:rPr>
          <w:rFonts w:cs="Calibri"/>
          <w:color w:val="77328A"/>
          <w:sz w:val="16"/>
          <w:szCs w:val="16"/>
        </w:rPr>
        <w:t xml:space="preserve"> </w:t>
      </w:r>
      <w:r w:rsidRPr="003C58B5">
        <w:rPr>
          <w:rFonts w:cstheme="minorHAnsi"/>
          <w:color w:val="77328A"/>
          <w:sz w:val="16"/>
          <w:szCs w:val="16"/>
        </w:rPr>
        <w:t xml:space="preserve">House of Commons, ‘Press Release: European Scrutiny Committee discontinued’, 1 August 2024. Available:  </w:t>
      </w:r>
      <w:hyperlink r:id="rId2" w:history="1">
        <w:r w:rsidRPr="003C58B5">
          <w:rPr>
            <w:rStyle w:val="Hyperlink"/>
            <w:rFonts w:cstheme="minorHAnsi"/>
            <w:color w:val="77328A"/>
            <w:sz w:val="16"/>
            <w:szCs w:val="16"/>
          </w:rPr>
          <w:t>European Scrutiny Committee discontinued - Committees - UK Parliament</w:t>
        </w:r>
      </w:hyperlink>
      <w:r w:rsidRPr="003C58B5">
        <w:rPr>
          <w:color w:val="77328A"/>
          <w:sz w:val="16"/>
          <w:szCs w:val="16"/>
        </w:rPr>
        <w:t>.</w:t>
      </w:r>
    </w:p>
  </w:footnote>
  <w:footnote w:id="129">
    <w:p w14:paraId="5BE56494" w14:textId="352DF4E4" w:rsidR="003B20DA" w:rsidRPr="003C58B5" w:rsidRDefault="003B20DA" w:rsidP="003C58B5">
      <w:pPr>
        <w:pStyle w:val="FootnoteText"/>
        <w:spacing w:line="240" w:lineRule="auto"/>
        <w:rPr>
          <w:color w:val="77328A"/>
          <w:sz w:val="16"/>
          <w:szCs w:val="16"/>
        </w:rPr>
      </w:pPr>
      <w:r w:rsidRPr="003C58B5">
        <w:rPr>
          <w:rStyle w:val="FootnoteReference"/>
          <w:color w:val="77328A"/>
          <w:sz w:val="16"/>
          <w:szCs w:val="16"/>
        </w:rPr>
        <w:footnoteRef/>
      </w:r>
      <w:r w:rsidRPr="003C58B5">
        <w:rPr>
          <w:color w:val="77328A"/>
          <w:sz w:val="16"/>
          <w:szCs w:val="16"/>
        </w:rPr>
        <w:t xml:space="preserve"> Email correspondence from the NI Executive Office to the </w:t>
      </w:r>
      <w:r w:rsidR="00E36975">
        <w:rPr>
          <w:color w:val="77328A"/>
          <w:sz w:val="16"/>
          <w:szCs w:val="16"/>
        </w:rPr>
        <w:t>Northern Ireland</w:t>
      </w:r>
      <w:r w:rsidRPr="003C58B5">
        <w:rPr>
          <w:color w:val="77328A"/>
          <w:sz w:val="16"/>
          <w:szCs w:val="16"/>
        </w:rPr>
        <w:t xml:space="preserve"> Human Rights Commission, 10 November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B893"/>
    <w:multiLevelType w:val="hybridMultilevel"/>
    <w:tmpl w:val="05C6E2F8"/>
    <w:lvl w:ilvl="0" w:tplc="CFA20E96">
      <w:start w:val="1"/>
      <w:numFmt w:val="lowerRoman"/>
      <w:lvlText w:val="%1."/>
      <w:lvlJc w:val="right"/>
      <w:pPr>
        <w:ind w:left="720" w:hanging="360"/>
      </w:pPr>
    </w:lvl>
    <w:lvl w:ilvl="1" w:tplc="109457B6">
      <w:start w:val="1"/>
      <w:numFmt w:val="lowerLetter"/>
      <w:lvlText w:val="%2."/>
      <w:lvlJc w:val="left"/>
      <w:pPr>
        <w:ind w:left="1440" w:hanging="360"/>
      </w:pPr>
    </w:lvl>
    <w:lvl w:ilvl="2" w:tplc="5134A312">
      <w:start w:val="1"/>
      <w:numFmt w:val="lowerRoman"/>
      <w:lvlText w:val="%3."/>
      <w:lvlJc w:val="right"/>
      <w:pPr>
        <w:ind w:left="2160" w:hanging="180"/>
      </w:pPr>
    </w:lvl>
    <w:lvl w:ilvl="3" w:tplc="69066B76">
      <w:start w:val="1"/>
      <w:numFmt w:val="decimal"/>
      <w:lvlText w:val="%4."/>
      <w:lvlJc w:val="left"/>
      <w:pPr>
        <w:ind w:left="2880" w:hanging="360"/>
      </w:pPr>
    </w:lvl>
    <w:lvl w:ilvl="4" w:tplc="11D471F6">
      <w:start w:val="1"/>
      <w:numFmt w:val="lowerLetter"/>
      <w:lvlText w:val="%5."/>
      <w:lvlJc w:val="left"/>
      <w:pPr>
        <w:ind w:left="3600" w:hanging="360"/>
      </w:pPr>
    </w:lvl>
    <w:lvl w:ilvl="5" w:tplc="7194CB6C">
      <w:start w:val="1"/>
      <w:numFmt w:val="lowerRoman"/>
      <w:lvlText w:val="%6."/>
      <w:lvlJc w:val="right"/>
      <w:pPr>
        <w:ind w:left="4320" w:hanging="180"/>
      </w:pPr>
    </w:lvl>
    <w:lvl w:ilvl="6" w:tplc="9110B4B6">
      <w:start w:val="1"/>
      <w:numFmt w:val="decimal"/>
      <w:lvlText w:val="%7."/>
      <w:lvlJc w:val="left"/>
      <w:pPr>
        <w:ind w:left="5040" w:hanging="360"/>
      </w:pPr>
    </w:lvl>
    <w:lvl w:ilvl="7" w:tplc="4A8C5AE2">
      <w:start w:val="1"/>
      <w:numFmt w:val="lowerLetter"/>
      <w:lvlText w:val="%8."/>
      <w:lvlJc w:val="left"/>
      <w:pPr>
        <w:ind w:left="5760" w:hanging="360"/>
      </w:pPr>
    </w:lvl>
    <w:lvl w:ilvl="8" w:tplc="0564244E">
      <w:start w:val="1"/>
      <w:numFmt w:val="lowerRoman"/>
      <w:lvlText w:val="%9."/>
      <w:lvlJc w:val="right"/>
      <w:pPr>
        <w:ind w:left="6480" w:hanging="180"/>
      </w:pPr>
    </w:lvl>
  </w:abstractNum>
  <w:abstractNum w:abstractNumId="1" w15:restartNumberingAfterBreak="0">
    <w:nsid w:val="049A48F4"/>
    <w:multiLevelType w:val="hybridMultilevel"/>
    <w:tmpl w:val="E73C99EA"/>
    <w:lvl w:ilvl="0" w:tplc="80B2ABD2">
      <w:start w:val="1"/>
      <w:numFmt w:val="decimal"/>
      <w:lvlText w:val="%1.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C5AE2"/>
    <w:multiLevelType w:val="hybridMultilevel"/>
    <w:tmpl w:val="A1885C80"/>
    <w:lvl w:ilvl="0" w:tplc="682CEA3A">
      <w:start w:val="5"/>
      <w:numFmt w:val="bullet"/>
      <w:lvlText w:val="-"/>
      <w:lvlJc w:val="left"/>
      <w:pPr>
        <w:ind w:left="720" w:hanging="360"/>
      </w:pPr>
      <w:rPr>
        <w:rFonts w:ascii="Verdana" w:eastAsia="Aptos" w:hAnsi="Verdana"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8943C"/>
    <w:multiLevelType w:val="hybridMultilevel"/>
    <w:tmpl w:val="FFFFFFFF"/>
    <w:lvl w:ilvl="0" w:tplc="0916E0BC">
      <w:start w:val="1"/>
      <w:numFmt w:val="decimal"/>
      <w:lvlText w:val="%1."/>
      <w:lvlJc w:val="left"/>
      <w:pPr>
        <w:ind w:left="1800" w:hanging="360"/>
      </w:pPr>
    </w:lvl>
    <w:lvl w:ilvl="1" w:tplc="1DB05616">
      <w:start w:val="1"/>
      <w:numFmt w:val="lowerLetter"/>
      <w:lvlText w:val="%2."/>
      <w:lvlJc w:val="left"/>
      <w:pPr>
        <w:ind w:left="2520" w:hanging="360"/>
      </w:pPr>
    </w:lvl>
    <w:lvl w:ilvl="2" w:tplc="15FA8CA8">
      <w:start w:val="1"/>
      <w:numFmt w:val="lowerRoman"/>
      <w:lvlText w:val="%3."/>
      <w:lvlJc w:val="right"/>
      <w:pPr>
        <w:ind w:left="3240" w:hanging="180"/>
      </w:pPr>
    </w:lvl>
    <w:lvl w:ilvl="3" w:tplc="AF225C44">
      <w:start w:val="1"/>
      <w:numFmt w:val="decimal"/>
      <w:lvlText w:val="%4."/>
      <w:lvlJc w:val="left"/>
      <w:pPr>
        <w:ind w:left="3960" w:hanging="360"/>
      </w:pPr>
    </w:lvl>
    <w:lvl w:ilvl="4" w:tplc="147E815E">
      <w:start w:val="1"/>
      <w:numFmt w:val="lowerLetter"/>
      <w:lvlText w:val="%5."/>
      <w:lvlJc w:val="left"/>
      <w:pPr>
        <w:ind w:left="4680" w:hanging="360"/>
      </w:pPr>
    </w:lvl>
    <w:lvl w:ilvl="5" w:tplc="87486702">
      <w:start w:val="1"/>
      <w:numFmt w:val="lowerRoman"/>
      <w:lvlText w:val="%6."/>
      <w:lvlJc w:val="right"/>
      <w:pPr>
        <w:ind w:left="5400" w:hanging="180"/>
      </w:pPr>
    </w:lvl>
    <w:lvl w:ilvl="6" w:tplc="2E98DECE">
      <w:start w:val="1"/>
      <w:numFmt w:val="decimal"/>
      <w:lvlText w:val="%7."/>
      <w:lvlJc w:val="left"/>
      <w:pPr>
        <w:ind w:left="6120" w:hanging="360"/>
      </w:pPr>
    </w:lvl>
    <w:lvl w:ilvl="7" w:tplc="1B7A8AE2">
      <w:start w:val="1"/>
      <w:numFmt w:val="lowerLetter"/>
      <w:lvlText w:val="%8."/>
      <w:lvlJc w:val="left"/>
      <w:pPr>
        <w:ind w:left="6840" w:hanging="360"/>
      </w:pPr>
    </w:lvl>
    <w:lvl w:ilvl="8" w:tplc="8178362A">
      <w:start w:val="1"/>
      <w:numFmt w:val="lowerRoman"/>
      <w:lvlText w:val="%9."/>
      <w:lvlJc w:val="right"/>
      <w:pPr>
        <w:ind w:left="7560" w:hanging="180"/>
      </w:pPr>
    </w:lvl>
  </w:abstractNum>
  <w:abstractNum w:abstractNumId="4" w15:restartNumberingAfterBreak="0">
    <w:nsid w:val="06F986E0"/>
    <w:multiLevelType w:val="hybridMultilevel"/>
    <w:tmpl w:val="FFFFFFFF"/>
    <w:lvl w:ilvl="0" w:tplc="1C30B2FA">
      <w:start w:val="1"/>
      <w:numFmt w:val="decimal"/>
      <w:lvlText w:val="%1."/>
      <w:lvlJc w:val="left"/>
      <w:pPr>
        <w:ind w:left="2160" w:hanging="360"/>
      </w:pPr>
    </w:lvl>
    <w:lvl w:ilvl="1" w:tplc="BE6A7542">
      <w:start w:val="1"/>
      <w:numFmt w:val="lowerLetter"/>
      <w:lvlText w:val="%2."/>
      <w:lvlJc w:val="left"/>
      <w:pPr>
        <w:ind w:left="2880" w:hanging="360"/>
      </w:pPr>
    </w:lvl>
    <w:lvl w:ilvl="2" w:tplc="FD2AD52A">
      <w:start w:val="1"/>
      <w:numFmt w:val="lowerRoman"/>
      <w:lvlText w:val="%3."/>
      <w:lvlJc w:val="right"/>
      <w:pPr>
        <w:ind w:left="3600" w:hanging="180"/>
      </w:pPr>
    </w:lvl>
    <w:lvl w:ilvl="3" w:tplc="2C505E8A">
      <w:start w:val="1"/>
      <w:numFmt w:val="decimal"/>
      <w:lvlText w:val="%4."/>
      <w:lvlJc w:val="left"/>
      <w:pPr>
        <w:ind w:left="4320" w:hanging="360"/>
      </w:pPr>
    </w:lvl>
    <w:lvl w:ilvl="4" w:tplc="328A661C">
      <w:start w:val="1"/>
      <w:numFmt w:val="lowerLetter"/>
      <w:lvlText w:val="%5."/>
      <w:lvlJc w:val="left"/>
      <w:pPr>
        <w:ind w:left="5040" w:hanging="360"/>
      </w:pPr>
    </w:lvl>
    <w:lvl w:ilvl="5" w:tplc="D45673C2">
      <w:start w:val="1"/>
      <w:numFmt w:val="lowerRoman"/>
      <w:lvlText w:val="%6."/>
      <w:lvlJc w:val="right"/>
      <w:pPr>
        <w:ind w:left="5760" w:hanging="180"/>
      </w:pPr>
    </w:lvl>
    <w:lvl w:ilvl="6" w:tplc="7DAE1444">
      <w:start w:val="1"/>
      <w:numFmt w:val="decimal"/>
      <w:lvlText w:val="%7."/>
      <w:lvlJc w:val="left"/>
      <w:pPr>
        <w:ind w:left="6480" w:hanging="360"/>
      </w:pPr>
    </w:lvl>
    <w:lvl w:ilvl="7" w:tplc="CDE2FA16">
      <w:start w:val="1"/>
      <w:numFmt w:val="lowerLetter"/>
      <w:lvlText w:val="%8."/>
      <w:lvlJc w:val="left"/>
      <w:pPr>
        <w:ind w:left="7200" w:hanging="360"/>
      </w:pPr>
    </w:lvl>
    <w:lvl w:ilvl="8" w:tplc="D6145C3C">
      <w:start w:val="1"/>
      <w:numFmt w:val="lowerRoman"/>
      <w:lvlText w:val="%9."/>
      <w:lvlJc w:val="right"/>
      <w:pPr>
        <w:ind w:left="7920" w:hanging="180"/>
      </w:pPr>
    </w:lvl>
  </w:abstractNum>
  <w:abstractNum w:abstractNumId="5" w15:restartNumberingAfterBreak="0">
    <w:nsid w:val="0C217F4C"/>
    <w:multiLevelType w:val="multilevel"/>
    <w:tmpl w:val="CA8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10F3B"/>
    <w:multiLevelType w:val="hybridMultilevel"/>
    <w:tmpl w:val="339EB9A4"/>
    <w:lvl w:ilvl="0" w:tplc="17649A34">
      <w:start w:val="1"/>
      <w:numFmt w:val="bullet"/>
      <w:lvlText w:val="-"/>
      <w:lvlJc w:val="left"/>
      <w:pPr>
        <w:ind w:left="2880" w:hanging="360"/>
      </w:pPr>
      <w:rPr>
        <w:rFonts w:ascii="Verdana" w:eastAsia="Calibri" w:hAnsi="Verdana" w:cs="MinionPro-Regular"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14472294"/>
    <w:multiLevelType w:val="hybridMultilevel"/>
    <w:tmpl w:val="E3D03D5E"/>
    <w:lvl w:ilvl="0" w:tplc="BC7C6458">
      <w:start w:val="1"/>
      <w:numFmt w:val="decimal"/>
      <w:lvlText w:val="1.%1"/>
      <w:lvlJc w:val="left"/>
      <w:pPr>
        <w:ind w:left="1440" w:hanging="360"/>
      </w:pPr>
      <w:rPr>
        <w:rFonts w:hint="default"/>
        <w:vanish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5825DD1"/>
    <w:multiLevelType w:val="hybridMultilevel"/>
    <w:tmpl w:val="F912B3C4"/>
    <w:lvl w:ilvl="0" w:tplc="DCC278E8">
      <w:numFmt w:val="bullet"/>
      <w:lvlText w:val="-"/>
      <w:lvlJc w:val="left"/>
      <w:pPr>
        <w:ind w:left="1080" w:hanging="360"/>
      </w:pPr>
      <w:rPr>
        <w:rFonts w:ascii="Verdana" w:eastAsia="Calibri" w:hAnsi="Verdana" w:cs="MinionPro-Regular"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5067AB"/>
    <w:multiLevelType w:val="multilevel"/>
    <w:tmpl w:val="0C56A4B4"/>
    <w:lvl w:ilvl="0">
      <w:start w:val="1"/>
      <w:numFmt w:val="decimal"/>
      <w:lvlText w:val="%1.0"/>
      <w:lvlJc w:val="left"/>
      <w:pPr>
        <w:ind w:left="720" w:hanging="72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1CC55576"/>
    <w:multiLevelType w:val="multilevel"/>
    <w:tmpl w:val="ED3E04BA"/>
    <w:lvl w:ilvl="0">
      <w:start w:val="1"/>
      <w:numFmt w:val="decimal"/>
      <w:lvlText w:val="%1.0"/>
      <w:lvlJc w:val="left"/>
      <w:pPr>
        <w:ind w:left="720" w:hanging="72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1FAA6D68"/>
    <w:multiLevelType w:val="hybridMultilevel"/>
    <w:tmpl w:val="51266F9C"/>
    <w:lvl w:ilvl="0" w:tplc="B844B632">
      <w:numFmt w:val="bullet"/>
      <w:lvlText w:val="-"/>
      <w:lvlJc w:val="left"/>
      <w:pPr>
        <w:ind w:left="720" w:hanging="360"/>
      </w:pPr>
      <w:rPr>
        <w:rFonts w:ascii="Verdana" w:eastAsia="Calibri" w:hAnsi="Verdana" w:cs="MinionPr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26227"/>
    <w:multiLevelType w:val="multilevel"/>
    <w:tmpl w:val="2DDE01C2"/>
    <w:lvl w:ilvl="0">
      <w:start w:val="1"/>
      <w:numFmt w:val="decimal"/>
      <w:lvlText w:val="%1.0"/>
      <w:lvlJc w:val="left"/>
      <w:pPr>
        <w:ind w:left="720" w:hanging="720"/>
      </w:pPr>
      <w:rPr>
        <w:rFonts w:hint="default"/>
      </w:rPr>
    </w:lvl>
    <w:lvl w:ilvl="1">
      <w:start w:val="1"/>
      <w:numFmt w:val="lowerRoman"/>
      <w:lvlText w:val="%2."/>
      <w:lvlJc w:val="right"/>
      <w:pPr>
        <w:ind w:left="1080" w:hanging="360"/>
      </w:pPr>
    </w:lvl>
    <w:lvl w:ilvl="2">
      <w:start w:val="1"/>
      <w:numFmt w:val="lowerRoman"/>
      <w:lvlText w:val="%3."/>
      <w:lvlJc w:val="right"/>
      <w:pPr>
        <w:ind w:left="1800" w:hanging="360"/>
      </w:p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22793423"/>
    <w:multiLevelType w:val="multilevel"/>
    <w:tmpl w:val="97C4AB8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3DC6754"/>
    <w:multiLevelType w:val="hybridMultilevel"/>
    <w:tmpl w:val="F4D6454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5874F0"/>
    <w:multiLevelType w:val="multilevel"/>
    <w:tmpl w:val="3D485C02"/>
    <w:lvl w:ilvl="0">
      <w:start w:val="3"/>
      <w:numFmt w:val="decimal"/>
      <w:lvlText w:val="%1.0"/>
      <w:lvlJc w:val="left"/>
      <w:pPr>
        <w:ind w:left="720" w:hanging="720"/>
      </w:pPr>
      <w:rPr>
        <w:rFonts w:hint="default"/>
        <w:color w:val="auto"/>
      </w:rPr>
    </w:lvl>
    <w:lvl w:ilvl="1">
      <w:start w:val="1"/>
      <w:numFmt w:val="decimal"/>
      <w:lvlText w:val="%1.%2"/>
      <w:lvlJc w:val="left"/>
      <w:pPr>
        <w:ind w:left="720" w:hanging="720"/>
      </w:pPr>
      <w:rPr>
        <w:rFonts w:ascii="Verdana" w:hAnsi="Verdana" w:hint="default"/>
        <w:b w:val="0"/>
        <w:color w:val="auto"/>
        <w:sz w:val="24"/>
        <w:szCs w:val="24"/>
        <w:vertAlign w:val="baseline"/>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6" w15:restartNumberingAfterBreak="0">
    <w:nsid w:val="265D6531"/>
    <w:multiLevelType w:val="multilevel"/>
    <w:tmpl w:val="70E6B036"/>
    <w:lvl w:ilvl="0">
      <w:start w:val="1"/>
      <w:numFmt w:val="decimal"/>
      <w:lvlText w:val="1.%1"/>
      <w:lvlJc w:val="left"/>
      <w:pPr>
        <w:ind w:left="720" w:hanging="720"/>
      </w:pPr>
      <w:rPr>
        <w:rFonts w:hint="default"/>
        <w:b w:val="0"/>
        <w:bCs/>
      </w:rPr>
    </w:lvl>
    <w:lvl w:ilvl="1">
      <w:start w:val="1"/>
      <w:numFmt w:val="decimal"/>
      <w:lvlText w:val="%1.%2"/>
      <w:lvlJc w:val="left"/>
      <w:pPr>
        <w:ind w:left="1440" w:hanging="720"/>
      </w:pPr>
      <w:rPr>
        <w:rFonts w:hint="default"/>
        <w:b w:val="0"/>
        <w:bCs/>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17" w15:restartNumberingAfterBreak="0">
    <w:nsid w:val="2A261FD4"/>
    <w:multiLevelType w:val="multilevel"/>
    <w:tmpl w:val="3BF6C39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DFE30B1"/>
    <w:multiLevelType w:val="multilevel"/>
    <w:tmpl w:val="7214F38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2EAF5693"/>
    <w:multiLevelType w:val="hybridMultilevel"/>
    <w:tmpl w:val="FFFFFFFF"/>
    <w:lvl w:ilvl="0" w:tplc="197E6F16">
      <w:start w:val="1"/>
      <w:numFmt w:val="lowerRoman"/>
      <w:lvlText w:val="%1."/>
      <w:lvlJc w:val="right"/>
      <w:pPr>
        <w:ind w:left="1800" w:hanging="360"/>
      </w:pPr>
    </w:lvl>
    <w:lvl w:ilvl="1" w:tplc="207EEFFA">
      <w:start w:val="1"/>
      <w:numFmt w:val="lowerLetter"/>
      <w:lvlText w:val="%2."/>
      <w:lvlJc w:val="left"/>
      <w:pPr>
        <w:ind w:left="2520" w:hanging="360"/>
      </w:pPr>
    </w:lvl>
    <w:lvl w:ilvl="2" w:tplc="F4863AEA">
      <w:start w:val="1"/>
      <w:numFmt w:val="lowerRoman"/>
      <w:lvlText w:val="%3."/>
      <w:lvlJc w:val="right"/>
      <w:pPr>
        <w:ind w:left="3240" w:hanging="180"/>
      </w:pPr>
    </w:lvl>
    <w:lvl w:ilvl="3" w:tplc="9FB69B50">
      <w:start w:val="1"/>
      <w:numFmt w:val="decimal"/>
      <w:lvlText w:val="%4."/>
      <w:lvlJc w:val="left"/>
      <w:pPr>
        <w:ind w:left="3960" w:hanging="360"/>
      </w:pPr>
    </w:lvl>
    <w:lvl w:ilvl="4" w:tplc="DFDCAB8E">
      <w:start w:val="1"/>
      <w:numFmt w:val="lowerLetter"/>
      <w:lvlText w:val="%5."/>
      <w:lvlJc w:val="left"/>
      <w:pPr>
        <w:ind w:left="4680" w:hanging="360"/>
      </w:pPr>
    </w:lvl>
    <w:lvl w:ilvl="5" w:tplc="FC284CFE">
      <w:start w:val="1"/>
      <w:numFmt w:val="lowerRoman"/>
      <w:lvlText w:val="%6."/>
      <w:lvlJc w:val="right"/>
      <w:pPr>
        <w:ind w:left="5400" w:hanging="180"/>
      </w:pPr>
    </w:lvl>
    <w:lvl w:ilvl="6" w:tplc="1F2E8ED0">
      <w:start w:val="1"/>
      <w:numFmt w:val="decimal"/>
      <w:lvlText w:val="%7."/>
      <w:lvlJc w:val="left"/>
      <w:pPr>
        <w:ind w:left="6120" w:hanging="360"/>
      </w:pPr>
    </w:lvl>
    <w:lvl w:ilvl="7" w:tplc="24DA0AAE">
      <w:start w:val="1"/>
      <w:numFmt w:val="lowerLetter"/>
      <w:lvlText w:val="%8."/>
      <w:lvlJc w:val="left"/>
      <w:pPr>
        <w:ind w:left="6840" w:hanging="360"/>
      </w:pPr>
    </w:lvl>
    <w:lvl w:ilvl="8" w:tplc="FC90A702">
      <w:start w:val="1"/>
      <w:numFmt w:val="lowerRoman"/>
      <w:lvlText w:val="%9."/>
      <w:lvlJc w:val="right"/>
      <w:pPr>
        <w:ind w:left="7560" w:hanging="180"/>
      </w:pPr>
    </w:lvl>
  </w:abstractNum>
  <w:abstractNum w:abstractNumId="20" w15:restartNumberingAfterBreak="0">
    <w:nsid w:val="34502D83"/>
    <w:multiLevelType w:val="hybridMultilevel"/>
    <w:tmpl w:val="EF88E4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8C04B35"/>
    <w:multiLevelType w:val="hybridMultilevel"/>
    <w:tmpl w:val="285E1E96"/>
    <w:lvl w:ilvl="0" w:tplc="0C00A4EC">
      <w:start w:val="1"/>
      <w:numFmt w:val="decimal"/>
      <w:lvlText w:val="%1."/>
      <w:lvlJc w:val="left"/>
      <w:pPr>
        <w:ind w:left="720" w:hanging="720"/>
      </w:pPr>
      <w:rPr>
        <w:rFonts w:hint="default"/>
      </w:rPr>
    </w:lvl>
    <w:lvl w:ilvl="1" w:tplc="A2AE703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0049CC"/>
    <w:multiLevelType w:val="hybridMultilevel"/>
    <w:tmpl w:val="001439A6"/>
    <w:lvl w:ilvl="0" w:tplc="E2429C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08B51D8"/>
    <w:multiLevelType w:val="multilevel"/>
    <w:tmpl w:val="FFFFFFFF"/>
    <w:lvl w:ilvl="0">
      <w:start w:val="3"/>
      <w:numFmt w:val="decimal"/>
      <w:lvlText w:val="%1"/>
      <w:lvlJc w:val="left"/>
      <w:pPr>
        <w:ind w:left="608" w:hanging="608"/>
      </w:pPr>
      <w:rPr>
        <w:rFonts w:cs="MinionPro-Regular" w:hint="default"/>
        <w:color w:val="000000"/>
      </w:rPr>
    </w:lvl>
    <w:lvl w:ilvl="1">
      <w:start w:val="1"/>
      <w:numFmt w:val="decimal"/>
      <w:lvlText w:val="%1.%2"/>
      <w:lvlJc w:val="left"/>
      <w:pPr>
        <w:ind w:left="720" w:hanging="720"/>
      </w:pPr>
      <w:rPr>
        <w:rFonts w:cs="MinionPro-Regular" w:hint="default"/>
        <w:b w:val="0"/>
        <w:color w:val="000000"/>
        <w:sz w:val="24"/>
        <w:szCs w:val="24"/>
      </w:rPr>
    </w:lvl>
    <w:lvl w:ilvl="2">
      <w:start w:val="1"/>
      <w:numFmt w:val="decimal"/>
      <w:lvlText w:val="%1.%2.%3"/>
      <w:lvlJc w:val="left"/>
      <w:pPr>
        <w:ind w:left="1080" w:hanging="1080"/>
      </w:pPr>
      <w:rPr>
        <w:rFonts w:cs="MinionPro-Regular" w:hint="default"/>
        <w:color w:val="000000"/>
      </w:rPr>
    </w:lvl>
    <w:lvl w:ilvl="3">
      <w:start w:val="1"/>
      <w:numFmt w:val="decimal"/>
      <w:lvlText w:val="%1.%2.%3.%4"/>
      <w:lvlJc w:val="left"/>
      <w:pPr>
        <w:ind w:left="1440" w:hanging="1440"/>
      </w:pPr>
      <w:rPr>
        <w:rFonts w:cs="MinionPro-Regular" w:hint="default"/>
        <w:color w:val="000000"/>
      </w:rPr>
    </w:lvl>
    <w:lvl w:ilvl="4">
      <w:start w:val="1"/>
      <w:numFmt w:val="decimal"/>
      <w:lvlText w:val="%1.%2.%3.%4.%5"/>
      <w:lvlJc w:val="left"/>
      <w:pPr>
        <w:ind w:left="1440" w:hanging="1440"/>
      </w:pPr>
      <w:rPr>
        <w:rFonts w:cs="MinionPro-Regular" w:hint="default"/>
        <w:color w:val="000000"/>
      </w:rPr>
    </w:lvl>
    <w:lvl w:ilvl="5">
      <w:start w:val="1"/>
      <w:numFmt w:val="decimal"/>
      <w:lvlText w:val="%1.%2.%3.%4.%5.%6"/>
      <w:lvlJc w:val="left"/>
      <w:pPr>
        <w:ind w:left="1800" w:hanging="1800"/>
      </w:pPr>
      <w:rPr>
        <w:rFonts w:cs="MinionPro-Regular" w:hint="default"/>
        <w:color w:val="000000"/>
      </w:rPr>
    </w:lvl>
    <w:lvl w:ilvl="6">
      <w:start w:val="1"/>
      <w:numFmt w:val="decimal"/>
      <w:lvlText w:val="%1.%2.%3.%4.%5.%6.%7"/>
      <w:lvlJc w:val="left"/>
      <w:pPr>
        <w:ind w:left="2160" w:hanging="2160"/>
      </w:pPr>
      <w:rPr>
        <w:rFonts w:cs="MinionPro-Regular" w:hint="default"/>
        <w:color w:val="000000"/>
      </w:rPr>
    </w:lvl>
    <w:lvl w:ilvl="7">
      <w:start w:val="1"/>
      <w:numFmt w:val="decimal"/>
      <w:lvlText w:val="%1.%2.%3.%4.%5.%6.%7.%8"/>
      <w:lvlJc w:val="left"/>
      <w:pPr>
        <w:ind w:left="2520" w:hanging="2520"/>
      </w:pPr>
      <w:rPr>
        <w:rFonts w:cs="MinionPro-Regular" w:hint="default"/>
        <w:color w:val="000000"/>
      </w:rPr>
    </w:lvl>
    <w:lvl w:ilvl="8">
      <w:start w:val="1"/>
      <w:numFmt w:val="decimal"/>
      <w:lvlText w:val="%1.%2.%3.%4.%5.%6.%7.%8.%9"/>
      <w:lvlJc w:val="left"/>
      <w:pPr>
        <w:ind w:left="2880" w:hanging="2880"/>
      </w:pPr>
      <w:rPr>
        <w:rFonts w:cs="MinionPro-Regular" w:hint="default"/>
        <w:color w:val="000000"/>
      </w:rPr>
    </w:lvl>
  </w:abstractNum>
  <w:abstractNum w:abstractNumId="24" w15:restartNumberingAfterBreak="0">
    <w:nsid w:val="410A44B0"/>
    <w:multiLevelType w:val="hybridMultilevel"/>
    <w:tmpl w:val="C9101B32"/>
    <w:lvl w:ilvl="0" w:tplc="BACA90AC">
      <w:start w:val="1"/>
      <w:numFmt w:val="decimal"/>
      <w:lvlText w:val="(vi)"/>
      <w:lvlJc w:val="left"/>
      <w:pPr>
        <w:ind w:left="720" w:hanging="360"/>
      </w:pPr>
    </w:lvl>
    <w:lvl w:ilvl="1" w:tplc="871EFA20">
      <w:start w:val="1"/>
      <w:numFmt w:val="lowerLetter"/>
      <w:lvlText w:val="%2."/>
      <w:lvlJc w:val="left"/>
      <w:pPr>
        <w:ind w:left="1440" w:hanging="360"/>
      </w:pPr>
    </w:lvl>
    <w:lvl w:ilvl="2" w:tplc="522E0A42">
      <w:start w:val="1"/>
      <w:numFmt w:val="lowerRoman"/>
      <w:lvlText w:val="%3."/>
      <w:lvlJc w:val="right"/>
      <w:pPr>
        <w:ind w:left="2160" w:hanging="180"/>
      </w:pPr>
    </w:lvl>
    <w:lvl w:ilvl="3" w:tplc="C0B800D8">
      <w:start w:val="1"/>
      <w:numFmt w:val="decimal"/>
      <w:lvlText w:val="%4."/>
      <w:lvlJc w:val="left"/>
      <w:pPr>
        <w:ind w:left="2880" w:hanging="360"/>
      </w:pPr>
    </w:lvl>
    <w:lvl w:ilvl="4" w:tplc="985C91DA">
      <w:start w:val="1"/>
      <w:numFmt w:val="lowerLetter"/>
      <w:lvlText w:val="%5."/>
      <w:lvlJc w:val="left"/>
      <w:pPr>
        <w:ind w:left="3600" w:hanging="360"/>
      </w:pPr>
    </w:lvl>
    <w:lvl w:ilvl="5" w:tplc="BC2EAD34">
      <w:start w:val="1"/>
      <w:numFmt w:val="lowerRoman"/>
      <w:lvlText w:val="%6."/>
      <w:lvlJc w:val="right"/>
      <w:pPr>
        <w:ind w:left="4320" w:hanging="180"/>
      </w:pPr>
    </w:lvl>
    <w:lvl w:ilvl="6" w:tplc="27625FA6">
      <w:start w:val="1"/>
      <w:numFmt w:val="decimal"/>
      <w:lvlText w:val="%7."/>
      <w:lvlJc w:val="left"/>
      <w:pPr>
        <w:ind w:left="5040" w:hanging="360"/>
      </w:pPr>
    </w:lvl>
    <w:lvl w:ilvl="7" w:tplc="C986C0C2">
      <w:start w:val="1"/>
      <w:numFmt w:val="lowerLetter"/>
      <w:lvlText w:val="%8."/>
      <w:lvlJc w:val="left"/>
      <w:pPr>
        <w:ind w:left="5760" w:hanging="360"/>
      </w:pPr>
    </w:lvl>
    <w:lvl w:ilvl="8" w:tplc="4EDCE6DE">
      <w:start w:val="1"/>
      <w:numFmt w:val="lowerRoman"/>
      <w:lvlText w:val="%9."/>
      <w:lvlJc w:val="right"/>
      <w:pPr>
        <w:ind w:left="6480" w:hanging="180"/>
      </w:pPr>
    </w:lvl>
  </w:abstractNum>
  <w:abstractNum w:abstractNumId="25" w15:restartNumberingAfterBreak="0">
    <w:nsid w:val="477A9E9F"/>
    <w:multiLevelType w:val="hybridMultilevel"/>
    <w:tmpl w:val="FFFFFFFF"/>
    <w:lvl w:ilvl="0" w:tplc="4F12BA42">
      <w:start w:val="1"/>
      <w:numFmt w:val="bullet"/>
      <w:lvlText w:val="-"/>
      <w:lvlJc w:val="left"/>
      <w:pPr>
        <w:ind w:left="720" w:hanging="360"/>
      </w:pPr>
      <w:rPr>
        <w:rFonts w:ascii="Aptos" w:hAnsi="Aptos" w:hint="default"/>
      </w:rPr>
    </w:lvl>
    <w:lvl w:ilvl="1" w:tplc="15C6CAB8">
      <w:start w:val="1"/>
      <w:numFmt w:val="bullet"/>
      <w:lvlText w:val="o"/>
      <w:lvlJc w:val="left"/>
      <w:pPr>
        <w:ind w:left="1440" w:hanging="360"/>
      </w:pPr>
      <w:rPr>
        <w:rFonts w:ascii="Courier New" w:hAnsi="Courier New" w:hint="default"/>
      </w:rPr>
    </w:lvl>
    <w:lvl w:ilvl="2" w:tplc="786404F0">
      <w:start w:val="1"/>
      <w:numFmt w:val="bullet"/>
      <w:lvlText w:val=""/>
      <w:lvlJc w:val="left"/>
      <w:pPr>
        <w:ind w:left="2160" w:hanging="360"/>
      </w:pPr>
      <w:rPr>
        <w:rFonts w:ascii="Wingdings" w:hAnsi="Wingdings" w:hint="default"/>
      </w:rPr>
    </w:lvl>
    <w:lvl w:ilvl="3" w:tplc="B4DABDA4">
      <w:start w:val="1"/>
      <w:numFmt w:val="bullet"/>
      <w:lvlText w:val=""/>
      <w:lvlJc w:val="left"/>
      <w:pPr>
        <w:ind w:left="2880" w:hanging="360"/>
      </w:pPr>
      <w:rPr>
        <w:rFonts w:ascii="Symbol" w:hAnsi="Symbol" w:hint="default"/>
      </w:rPr>
    </w:lvl>
    <w:lvl w:ilvl="4" w:tplc="E6C6BB88">
      <w:start w:val="1"/>
      <w:numFmt w:val="bullet"/>
      <w:lvlText w:val="o"/>
      <w:lvlJc w:val="left"/>
      <w:pPr>
        <w:ind w:left="3600" w:hanging="360"/>
      </w:pPr>
      <w:rPr>
        <w:rFonts w:ascii="Courier New" w:hAnsi="Courier New" w:hint="default"/>
      </w:rPr>
    </w:lvl>
    <w:lvl w:ilvl="5" w:tplc="F98026E6">
      <w:start w:val="1"/>
      <w:numFmt w:val="bullet"/>
      <w:lvlText w:val=""/>
      <w:lvlJc w:val="left"/>
      <w:pPr>
        <w:ind w:left="4320" w:hanging="360"/>
      </w:pPr>
      <w:rPr>
        <w:rFonts w:ascii="Wingdings" w:hAnsi="Wingdings" w:hint="default"/>
      </w:rPr>
    </w:lvl>
    <w:lvl w:ilvl="6" w:tplc="9E187EEE">
      <w:start w:val="1"/>
      <w:numFmt w:val="bullet"/>
      <w:lvlText w:val=""/>
      <w:lvlJc w:val="left"/>
      <w:pPr>
        <w:ind w:left="5040" w:hanging="360"/>
      </w:pPr>
      <w:rPr>
        <w:rFonts w:ascii="Symbol" w:hAnsi="Symbol" w:hint="default"/>
      </w:rPr>
    </w:lvl>
    <w:lvl w:ilvl="7" w:tplc="E0BC19AC">
      <w:start w:val="1"/>
      <w:numFmt w:val="bullet"/>
      <w:lvlText w:val="o"/>
      <w:lvlJc w:val="left"/>
      <w:pPr>
        <w:ind w:left="5760" w:hanging="360"/>
      </w:pPr>
      <w:rPr>
        <w:rFonts w:ascii="Courier New" w:hAnsi="Courier New" w:hint="default"/>
      </w:rPr>
    </w:lvl>
    <w:lvl w:ilvl="8" w:tplc="42900134">
      <w:start w:val="1"/>
      <w:numFmt w:val="bullet"/>
      <w:lvlText w:val=""/>
      <w:lvlJc w:val="left"/>
      <w:pPr>
        <w:ind w:left="6480" w:hanging="360"/>
      </w:pPr>
      <w:rPr>
        <w:rFonts w:ascii="Wingdings" w:hAnsi="Wingdings" w:hint="default"/>
      </w:rPr>
    </w:lvl>
  </w:abstractNum>
  <w:abstractNum w:abstractNumId="26" w15:restartNumberingAfterBreak="0">
    <w:nsid w:val="4A6551AF"/>
    <w:multiLevelType w:val="hybridMultilevel"/>
    <w:tmpl w:val="5D260BD2"/>
    <w:lvl w:ilvl="0" w:tplc="1668E0D8">
      <w:start w:val="1"/>
      <w:numFmt w:val="decimal"/>
      <w:lvlText w:val="%1."/>
      <w:lvlJc w:val="left"/>
      <w:pPr>
        <w:ind w:left="454" w:hanging="454"/>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BB06AA1"/>
    <w:multiLevelType w:val="hybridMultilevel"/>
    <w:tmpl w:val="FFFFFFFF"/>
    <w:lvl w:ilvl="0" w:tplc="EC4494A2">
      <w:start w:val="1"/>
      <w:numFmt w:val="bullet"/>
      <w:lvlText w:val="-"/>
      <w:lvlJc w:val="left"/>
      <w:pPr>
        <w:ind w:left="720" w:hanging="360"/>
      </w:pPr>
      <w:rPr>
        <w:rFonts w:ascii="Aptos" w:hAnsi="Aptos" w:hint="default"/>
      </w:rPr>
    </w:lvl>
    <w:lvl w:ilvl="1" w:tplc="9496DC84">
      <w:start w:val="1"/>
      <w:numFmt w:val="bullet"/>
      <w:lvlText w:val="o"/>
      <w:lvlJc w:val="left"/>
      <w:pPr>
        <w:ind w:left="1440" w:hanging="360"/>
      </w:pPr>
      <w:rPr>
        <w:rFonts w:ascii="Courier New" w:hAnsi="Courier New" w:hint="default"/>
      </w:rPr>
    </w:lvl>
    <w:lvl w:ilvl="2" w:tplc="36665CE2">
      <w:start w:val="1"/>
      <w:numFmt w:val="bullet"/>
      <w:lvlText w:val=""/>
      <w:lvlJc w:val="left"/>
      <w:pPr>
        <w:ind w:left="2160" w:hanging="360"/>
      </w:pPr>
      <w:rPr>
        <w:rFonts w:ascii="Wingdings" w:hAnsi="Wingdings" w:hint="default"/>
      </w:rPr>
    </w:lvl>
    <w:lvl w:ilvl="3" w:tplc="CD2A7BD4">
      <w:start w:val="1"/>
      <w:numFmt w:val="bullet"/>
      <w:lvlText w:val=""/>
      <w:lvlJc w:val="left"/>
      <w:pPr>
        <w:ind w:left="2880" w:hanging="360"/>
      </w:pPr>
      <w:rPr>
        <w:rFonts w:ascii="Symbol" w:hAnsi="Symbol" w:hint="default"/>
      </w:rPr>
    </w:lvl>
    <w:lvl w:ilvl="4" w:tplc="0D8051FA">
      <w:start w:val="1"/>
      <w:numFmt w:val="bullet"/>
      <w:lvlText w:val="o"/>
      <w:lvlJc w:val="left"/>
      <w:pPr>
        <w:ind w:left="3600" w:hanging="360"/>
      </w:pPr>
      <w:rPr>
        <w:rFonts w:ascii="Courier New" w:hAnsi="Courier New" w:hint="default"/>
      </w:rPr>
    </w:lvl>
    <w:lvl w:ilvl="5" w:tplc="73EC9592">
      <w:start w:val="1"/>
      <w:numFmt w:val="bullet"/>
      <w:lvlText w:val=""/>
      <w:lvlJc w:val="left"/>
      <w:pPr>
        <w:ind w:left="4320" w:hanging="360"/>
      </w:pPr>
      <w:rPr>
        <w:rFonts w:ascii="Wingdings" w:hAnsi="Wingdings" w:hint="default"/>
      </w:rPr>
    </w:lvl>
    <w:lvl w:ilvl="6" w:tplc="6DE0C9AA">
      <w:start w:val="1"/>
      <w:numFmt w:val="bullet"/>
      <w:lvlText w:val=""/>
      <w:lvlJc w:val="left"/>
      <w:pPr>
        <w:ind w:left="5040" w:hanging="360"/>
      </w:pPr>
      <w:rPr>
        <w:rFonts w:ascii="Symbol" w:hAnsi="Symbol" w:hint="default"/>
      </w:rPr>
    </w:lvl>
    <w:lvl w:ilvl="7" w:tplc="26120484">
      <w:start w:val="1"/>
      <w:numFmt w:val="bullet"/>
      <w:lvlText w:val="o"/>
      <w:lvlJc w:val="left"/>
      <w:pPr>
        <w:ind w:left="5760" w:hanging="360"/>
      </w:pPr>
      <w:rPr>
        <w:rFonts w:ascii="Courier New" w:hAnsi="Courier New" w:hint="default"/>
      </w:rPr>
    </w:lvl>
    <w:lvl w:ilvl="8" w:tplc="B254BF28">
      <w:start w:val="1"/>
      <w:numFmt w:val="bullet"/>
      <w:lvlText w:val=""/>
      <w:lvlJc w:val="left"/>
      <w:pPr>
        <w:ind w:left="6480" w:hanging="360"/>
      </w:pPr>
      <w:rPr>
        <w:rFonts w:ascii="Wingdings" w:hAnsi="Wingdings" w:hint="default"/>
      </w:rPr>
    </w:lvl>
  </w:abstractNum>
  <w:abstractNum w:abstractNumId="28" w15:restartNumberingAfterBreak="0">
    <w:nsid w:val="4CC85FA5"/>
    <w:multiLevelType w:val="multilevel"/>
    <w:tmpl w:val="F59871F4"/>
    <w:lvl w:ilvl="0">
      <w:start w:val="2"/>
      <w:numFmt w:val="decimal"/>
      <w:lvlText w:val="%1"/>
      <w:lvlJc w:val="left"/>
      <w:pPr>
        <w:ind w:left="1133" w:hanging="845"/>
      </w:pPr>
      <w:rPr>
        <w:rFonts w:hint="default"/>
        <w:lang w:val="en-US" w:eastAsia="en-US" w:bidi="ar-SA"/>
      </w:rPr>
    </w:lvl>
    <w:lvl w:ilvl="1">
      <w:numFmt w:val="decimal"/>
      <w:lvlText w:val="%1.%2"/>
      <w:lvlJc w:val="left"/>
      <w:pPr>
        <w:ind w:left="1133" w:hanging="845"/>
      </w:pPr>
      <w:rPr>
        <w:rFonts w:hint="default"/>
        <w:spacing w:val="0"/>
        <w:w w:val="100"/>
        <w:lang w:val="en-US" w:eastAsia="en-US" w:bidi="ar-SA"/>
      </w:rPr>
    </w:lvl>
    <w:lvl w:ilvl="2">
      <w:start w:val="1"/>
      <w:numFmt w:val="decimal"/>
      <w:lvlText w:val="%3."/>
      <w:lvlJc w:val="left"/>
      <w:pPr>
        <w:ind w:left="2355" w:hanging="361"/>
      </w:pPr>
      <w:rPr>
        <w:rFonts w:ascii="Calibri" w:eastAsia="Calibri" w:hAnsi="Calibri" w:cs="Calibri" w:hint="default"/>
        <w:b w:val="0"/>
        <w:bCs w:val="0"/>
        <w:i w:val="0"/>
        <w:iCs w:val="0"/>
        <w:spacing w:val="-1"/>
        <w:w w:val="100"/>
        <w:sz w:val="28"/>
        <w:szCs w:val="28"/>
        <w:lang w:val="en-US" w:eastAsia="en-US" w:bidi="ar-SA"/>
      </w:rPr>
    </w:lvl>
    <w:lvl w:ilvl="3">
      <w:numFmt w:val="bullet"/>
      <w:lvlText w:val="•"/>
      <w:lvlJc w:val="left"/>
      <w:pPr>
        <w:ind w:left="4481" w:hanging="361"/>
      </w:pPr>
      <w:rPr>
        <w:rFonts w:hint="default"/>
        <w:lang w:val="en-US" w:eastAsia="en-US" w:bidi="ar-SA"/>
      </w:rPr>
    </w:lvl>
    <w:lvl w:ilvl="4">
      <w:numFmt w:val="bullet"/>
      <w:lvlText w:val="•"/>
      <w:lvlJc w:val="left"/>
      <w:pPr>
        <w:ind w:left="5541" w:hanging="361"/>
      </w:pPr>
      <w:rPr>
        <w:rFonts w:hint="default"/>
        <w:lang w:val="en-US" w:eastAsia="en-US" w:bidi="ar-SA"/>
      </w:rPr>
    </w:lvl>
    <w:lvl w:ilvl="5">
      <w:numFmt w:val="bullet"/>
      <w:lvlText w:val="•"/>
      <w:lvlJc w:val="left"/>
      <w:pPr>
        <w:ind w:left="6602" w:hanging="361"/>
      </w:pPr>
      <w:rPr>
        <w:rFonts w:hint="default"/>
        <w:lang w:val="en-US" w:eastAsia="en-US" w:bidi="ar-SA"/>
      </w:rPr>
    </w:lvl>
    <w:lvl w:ilvl="6">
      <w:numFmt w:val="bullet"/>
      <w:lvlText w:val="•"/>
      <w:lvlJc w:val="left"/>
      <w:pPr>
        <w:ind w:left="7663" w:hanging="361"/>
      </w:pPr>
      <w:rPr>
        <w:rFonts w:hint="default"/>
        <w:lang w:val="en-US" w:eastAsia="en-US" w:bidi="ar-SA"/>
      </w:rPr>
    </w:lvl>
    <w:lvl w:ilvl="7">
      <w:numFmt w:val="bullet"/>
      <w:lvlText w:val="•"/>
      <w:lvlJc w:val="left"/>
      <w:pPr>
        <w:ind w:left="8723" w:hanging="361"/>
      </w:pPr>
      <w:rPr>
        <w:rFonts w:hint="default"/>
        <w:lang w:val="en-US" w:eastAsia="en-US" w:bidi="ar-SA"/>
      </w:rPr>
    </w:lvl>
    <w:lvl w:ilvl="8">
      <w:numFmt w:val="bullet"/>
      <w:lvlText w:val="•"/>
      <w:lvlJc w:val="left"/>
      <w:pPr>
        <w:ind w:left="9784" w:hanging="361"/>
      </w:pPr>
      <w:rPr>
        <w:rFonts w:hint="default"/>
        <w:lang w:val="en-US" w:eastAsia="en-US" w:bidi="ar-SA"/>
      </w:rPr>
    </w:lvl>
  </w:abstractNum>
  <w:abstractNum w:abstractNumId="29" w15:restartNumberingAfterBreak="0">
    <w:nsid w:val="4D6A2093"/>
    <w:multiLevelType w:val="multilevel"/>
    <w:tmpl w:val="C7E422DC"/>
    <w:lvl w:ilvl="0">
      <w:start w:val="5"/>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0924466"/>
    <w:multiLevelType w:val="hybridMultilevel"/>
    <w:tmpl w:val="0B88ADEA"/>
    <w:lvl w:ilvl="0" w:tplc="8BBC3AD2">
      <w:numFmt w:val="bullet"/>
      <w:lvlText w:val="•"/>
      <w:lvlJc w:val="left"/>
      <w:pPr>
        <w:ind w:left="1080" w:hanging="720"/>
      </w:pPr>
      <w:rPr>
        <w:rFonts w:ascii="Verdana" w:eastAsia="Calibri" w:hAnsi="Verdana" w:cs="MinionPro-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9B33C2"/>
    <w:multiLevelType w:val="hybridMultilevel"/>
    <w:tmpl w:val="9EA00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F64100"/>
    <w:multiLevelType w:val="multilevel"/>
    <w:tmpl w:val="C8086266"/>
    <w:lvl w:ilvl="0">
      <w:start w:val="1"/>
      <w:numFmt w:val="decimal"/>
      <w:pStyle w:val="Heading1"/>
      <w:lvlText w:val="%1.0"/>
      <w:lvlJc w:val="left"/>
      <w:pPr>
        <w:ind w:left="720" w:hanging="720"/>
      </w:pPr>
      <w:rPr>
        <w:rFonts w:hint="default"/>
      </w:rPr>
    </w:lvl>
    <w:lvl w:ilvl="1">
      <w:start w:val="1"/>
      <w:numFmt w:val="decimal"/>
      <w:pStyle w:val="ListParagraph"/>
      <w:lvlText w:val="%1.%2"/>
      <w:lvlJc w:val="left"/>
      <w:pPr>
        <w:ind w:left="1440" w:hanging="720"/>
      </w:pPr>
      <w:rPr>
        <w:rFonts w:hint="default"/>
        <w:i w:val="0"/>
        <w:iCs w:val="0"/>
        <w:strike w:val="0"/>
        <w:sz w:val="24"/>
        <w:szCs w:val="24"/>
        <w:u w:val="none"/>
        <w:vertAlign w:val="baseline"/>
      </w:rPr>
    </w:lvl>
    <w:lvl w:ilvl="2">
      <w:start w:val="1"/>
      <w:numFmt w:val="lowerRoman"/>
      <w:lvlText w:val="%3."/>
      <w:lvlJc w:val="right"/>
      <w:pPr>
        <w:ind w:left="1800" w:hanging="36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33" w15:restartNumberingAfterBreak="0">
    <w:nsid w:val="762D7FA6"/>
    <w:multiLevelType w:val="hybridMultilevel"/>
    <w:tmpl w:val="122A4174"/>
    <w:lvl w:ilvl="0" w:tplc="BDE80E26">
      <w:start w:val="1"/>
      <w:numFmt w:val="lowerLetter"/>
      <w:lvlText w:val="%1)"/>
      <w:lvlJc w:val="left"/>
      <w:pPr>
        <w:ind w:left="1222"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num w:numId="1" w16cid:durableId="1701777280">
    <w:abstractNumId w:val="7"/>
  </w:num>
  <w:num w:numId="2" w16cid:durableId="1729307248">
    <w:abstractNumId w:val="13"/>
  </w:num>
  <w:num w:numId="3" w16cid:durableId="1368287634">
    <w:abstractNumId w:val="29"/>
  </w:num>
  <w:num w:numId="4" w16cid:durableId="1421833308">
    <w:abstractNumId w:val="18"/>
  </w:num>
  <w:num w:numId="5" w16cid:durableId="946423023">
    <w:abstractNumId w:val="15"/>
  </w:num>
  <w:num w:numId="6" w16cid:durableId="917863463">
    <w:abstractNumId w:val="17"/>
  </w:num>
  <w:num w:numId="7" w16cid:durableId="1083994370">
    <w:abstractNumId w:val="1"/>
  </w:num>
  <w:num w:numId="8" w16cid:durableId="409469947">
    <w:abstractNumId w:val="32"/>
  </w:num>
  <w:num w:numId="9" w16cid:durableId="14668501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9903718">
    <w:abstractNumId w:val="23"/>
  </w:num>
  <w:num w:numId="11" w16cid:durableId="1500198012">
    <w:abstractNumId w:val="32"/>
    <w:lvlOverride w:ilvl="0">
      <w:startOverride w:val="2"/>
    </w:lvlOverride>
    <w:lvlOverride w:ilvl="1">
      <w:startOverride w:val="6"/>
    </w:lvlOverride>
  </w:num>
  <w:num w:numId="12" w16cid:durableId="636030241">
    <w:abstractNumId w:val="32"/>
    <w:lvlOverride w:ilvl="0">
      <w:startOverride w:val="2"/>
    </w:lvlOverride>
    <w:lvlOverride w:ilvl="1">
      <w:startOverride w:val="4"/>
    </w:lvlOverride>
  </w:num>
  <w:num w:numId="13" w16cid:durableId="1458137246">
    <w:abstractNumId w:val="32"/>
  </w:num>
  <w:num w:numId="14" w16cid:durableId="1243103827">
    <w:abstractNumId w:val="16"/>
  </w:num>
  <w:num w:numId="15" w16cid:durableId="711736239">
    <w:abstractNumId w:val="20"/>
  </w:num>
  <w:num w:numId="16" w16cid:durableId="507643718">
    <w:abstractNumId w:val="21"/>
  </w:num>
  <w:num w:numId="17" w16cid:durableId="683560374">
    <w:abstractNumId w:val="25"/>
  </w:num>
  <w:num w:numId="18" w16cid:durableId="147477545">
    <w:abstractNumId w:val="8"/>
  </w:num>
  <w:num w:numId="19" w16cid:durableId="4646628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2041">
    <w:abstractNumId w:val="6"/>
  </w:num>
  <w:num w:numId="21" w16cid:durableId="867452678">
    <w:abstractNumId w:val="0"/>
  </w:num>
  <w:num w:numId="22" w16cid:durableId="836992027">
    <w:abstractNumId w:val="24"/>
  </w:num>
  <w:num w:numId="23" w16cid:durableId="1088186951">
    <w:abstractNumId w:val="12"/>
  </w:num>
  <w:num w:numId="24" w16cid:durableId="463620046">
    <w:abstractNumId w:val="11"/>
  </w:num>
  <w:num w:numId="25" w16cid:durableId="1451976628">
    <w:abstractNumId w:val="27"/>
  </w:num>
  <w:num w:numId="26" w16cid:durableId="146436554">
    <w:abstractNumId w:val="19"/>
  </w:num>
  <w:num w:numId="27" w16cid:durableId="999114607">
    <w:abstractNumId w:val="3"/>
  </w:num>
  <w:num w:numId="28" w16cid:durableId="61341760">
    <w:abstractNumId w:val="4"/>
  </w:num>
  <w:num w:numId="29" w16cid:durableId="1906180897">
    <w:abstractNumId w:val="28"/>
  </w:num>
  <w:num w:numId="30" w16cid:durableId="8915884">
    <w:abstractNumId w:val="22"/>
  </w:num>
  <w:num w:numId="31" w16cid:durableId="809907640">
    <w:abstractNumId w:val="2"/>
  </w:num>
  <w:num w:numId="32" w16cid:durableId="914895106">
    <w:abstractNumId w:val="5"/>
  </w:num>
  <w:num w:numId="33" w16cid:durableId="991759379">
    <w:abstractNumId w:val="33"/>
  </w:num>
  <w:num w:numId="34" w16cid:durableId="1483548773">
    <w:abstractNumId w:val="10"/>
  </w:num>
  <w:num w:numId="35" w16cid:durableId="1386222859">
    <w:abstractNumId w:val="14"/>
  </w:num>
  <w:num w:numId="36" w16cid:durableId="1718894195">
    <w:abstractNumId w:val="9"/>
  </w:num>
  <w:num w:numId="37" w16cid:durableId="19523216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9379685">
    <w:abstractNumId w:val="31"/>
  </w:num>
  <w:num w:numId="39" w16cid:durableId="756288310">
    <w:abstractNumId w:val="30"/>
  </w:num>
  <w:num w:numId="40" w16cid:durableId="15048949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7C"/>
    <w:rsid w:val="00000569"/>
    <w:rsid w:val="00000D8C"/>
    <w:rsid w:val="000010AA"/>
    <w:rsid w:val="0000228D"/>
    <w:rsid w:val="000031E4"/>
    <w:rsid w:val="00003299"/>
    <w:rsid w:val="000034F7"/>
    <w:rsid w:val="00003B90"/>
    <w:rsid w:val="00003D2C"/>
    <w:rsid w:val="00003F13"/>
    <w:rsid w:val="000041F7"/>
    <w:rsid w:val="000046BA"/>
    <w:rsid w:val="00004CB7"/>
    <w:rsid w:val="00004F5A"/>
    <w:rsid w:val="00004FD9"/>
    <w:rsid w:val="00005501"/>
    <w:rsid w:val="000056D8"/>
    <w:rsid w:val="000056F3"/>
    <w:rsid w:val="00005751"/>
    <w:rsid w:val="00005CE0"/>
    <w:rsid w:val="00005F18"/>
    <w:rsid w:val="000061CE"/>
    <w:rsid w:val="000062E9"/>
    <w:rsid w:val="000063D1"/>
    <w:rsid w:val="0000640D"/>
    <w:rsid w:val="000068ED"/>
    <w:rsid w:val="0000694B"/>
    <w:rsid w:val="00007001"/>
    <w:rsid w:val="000072B1"/>
    <w:rsid w:val="00007651"/>
    <w:rsid w:val="00007709"/>
    <w:rsid w:val="00007BF2"/>
    <w:rsid w:val="00007EA8"/>
    <w:rsid w:val="00010751"/>
    <w:rsid w:val="00010869"/>
    <w:rsid w:val="00010AA9"/>
    <w:rsid w:val="00010CBA"/>
    <w:rsid w:val="00010F27"/>
    <w:rsid w:val="0001152C"/>
    <w:rsid w:val="00011704"/>
    <w:rsid w:val="00011A55"/>
    <w:rsid w:val="000131D6"/>
    <w:rsid w:val="000136EE"/>
    <w:rsid w:val="00013746"/>
    <w:rsid w:val="000137A4"/>
    <w:rsid w:val="00013F8B"/>
    <w:rsid w:val="00014557"/>
    <w:rsid w:val="000148A7"/>
    <w:rsid w:val="000150A2"/>
    <w:rsid w:val="00015718"/>
    <w:rsid w:val="00015797"/>
    <w:rsid w:val="00015A84"/>
    <w:rsid w:val="00015D95"/>
    <w:rsid w:val="00015F3A"/>
    <w:rsid w:val="00016283"/>
    <w:rsid w:val="00016357"/>
    <w:rsid w:val="00016773"/>
    <w:rsid w:val="00016E14"/>
    <w:rsid w:val="00017307"/>
    <w:rsid w:val="000174D0"/>
    <w:rsid w:val="0001778C"/>
    <w:rsid w:val="000178DE"/>
    <w:rsid w:val="00017BA0"/>
    <w:rsid w:val="00017BEB"/>
    <w:rsid w:val="000200D6"/>
    <w:rsid w:val="00020168"/>
    <w:rsid w:val="00020B17"/>
    <w:rsid w:val="00020C17"/>
    <w:rsid w:val="000211BD"/>
    <w:rsid w:val="000211F6"/>
    <w:rsid w:val="000226E1"/>
    <w:rsid w:val="0002278F"/>
    <w:rsid w:val="00022C14"/>
    <w:rsid w:val="00022C34"/>
    <w:rsid w:val="0002347A"/>
    <w:rsid w:val="00023B04"/>
    <w:rsid w:val="00023D04"/>
    <w:rsid w:val="00023FE1"/>
    <w:rsid w:val="000240C9"/>
    <w:rsid w:val="00024488"/>
    <w:rsid w:val="00024974"/>
    <w:rsid w:val="00024AA1"/>
    <w:rsid w:val="00024C86"/>
    <w:rsid w:val="000250C2"/>
    <w:rsid w:val="000257B2"/>
    <w:rsid w:val="00025886"/>
    <w:rsid w:val="00025DDF"/>
    <w:rsid w:val="0002613B"/>
    <w:rsid w:val="00026153"/>
    <w:rsid w:val="00026532"/>
    <w:rsid w:val="00026EE6"/>
    <w:rsid w:val="0002742A"/>
    <w:rsid w:val="00027437"/>
    <w:rsid w:val="00027968"/>
    <w:rsid w:val="00027ACC"/>
    <w:rsid w:val="00027FDD"/>
    <w:rsid w:val="00027FE7"/>
    <w:rsid w:val="00030BD6"/>
    <w:rsid w:val="000312EB"/>
    <w:rsid w:val="000316ED"/>
    <w:rsid w:val="00031F93"/>
    <w:rsid w:val="00031FAD"/>
    <w:rsid w:val="00032256"/>
    <w:rsid w:val="0003236F"/>
    <w:rsid w:val="00032F42"/>
    <w:rsid w:val="0003323A"/>
    <w:rsid w:val="00033B09"/>
    <w:rsid w:val="00033D64"/>
    <w:rsid w:val="00033D6C"/>
    <w:rsid w:val="00033EA3"/>
    <w:rsid w:val="00034056"/>
    <w:rsid w:val="000357F2"/>
    <w:rsid w:val="0003596B"/>
    <w:rsid w:val="00035F00"/>
    <w:rsid w:val="0003604E"/>
    <w:rsid w:val="00036094"/>
    <w:rsid w:val="0003638B"/>
    <w:rsid w:val="00037AFF"/>
    <w:rsid w:val="000401CD"/>
    <w:rsid w:val="00040A0F"/>
    <w:rsid w:val="00040A16"/>
    <w:rsid w:val="00040BB9"/>
    <w:rsid w:val="00040CC7"/>
    <w:rsid w:val="000411D8"/>
    <w:rsid w:val="00041CBD"/>
    <w:rsid w:val="00041E6D"/>
    <w:rsid w:val="00042474"/>
    <w:rsid w:val="0004292D"/>
    <w:rsid w:val="00042A05"/>
    <w:rsid w:val="000431CA"/>
    <w:rsid w:val="0004362F"/>
    <w:rsid w:val="000439AD"/>
    <w:rsid w:val="000441AD"/>
    <w:rsid w:val="00044E3F"/>
    <w:rsid w:val="00045039"/>
    <w:rsid w:val="00045BB4"/>
    <w:rsid w:val="00045C45"/>
    <w:rsid w:val="00045DA1"/>
    <w:rsid w:val="00045F1F"/>
    <w:rsid w:val="0004625D"/>
    <w:rsid w:val="00046514"/>
    <w:rsid w:val="000465B3"/>
    <w:rsid w:val="00046AF5"/>
    <w:rsid w:val="00047078"/>
    <w:rsid w:val="00047275"/>
    <w:rsid w:val="00047A85"/>
    <w:rsid w:val="00047AEB"/>
    <w:rsid w:val="00047D3A"/>
    <w:rsid w:val="00050013"/>
    <w:rsid w:val="00051243"/>
    <w:rsid w:val="00051289"/>
    <w:rsid w:val="0005169E"/>
    <w:rsid w:val="00051BE6"/>
    <w:rsid w:val="00052792"/>
    <w:rsid w:val="0005287E"/>
    <w:rsid w:val="0005316F"/>
    <w:rsid w:val="000532DB"/>
    <w:rsid w:val="0005345F"/>
    <w:rsid w:val="0005375F"/>
    <w:rsid w:val="000539A4"/>
    <w:rsid w:val="00053C00"/>
    <w:rsid w:val="00053DD6"/>
    <w:rsid w:val="00053F32"/>
    <w:rsid w:val="00053FB6"/>
    <w:rsid w:val="000545D6"/>
    <w:rsid w:val="000545E8"/>
    <w:rsid w:val="000548B9"/>
    <w:rsid w:val="00054A88"/>
    <w:rsid w:val="00054E46"/>
    <w:rsid w:val="00055674"/>
    <w:rsid w:val="000556F6"/>
    <w:rsid w:val="00055F0D"/>
    <w:rsid w:val="00055F32"/>
    <w:rsid w:val="000565FF"/>
    <w:rsid w:val="00056615"/>
    <w:rsid w:val="00056A7D"/>
    <w:rsid w:val="00056C85"/>
    <w:rsid w:val="00056C95"/>
    <w:rsid w:val="00056CFF"/>
    <w:rsid w:val="000571EB"/>
    <w:rsid w:val="00057340"/>
    <w:rsid w:val="000577E1"/>
    <w:rsid w:val="00057836"/>
    <w:rsid w:val="00057872"/>
    <w:rsid w:val="00057ECE"/>
    <w:rsid w:val="00060041"/>
    <w:rsid w:val="00060251"/>
    <w:rsid w:val="000607CE"/>
    <w:rsid w:val="00060A98"/>
    <w:rsid w:val="00061598"/>
    <w:rsid w:val="000622FE"/>
    <w:rsid w:val="0006249E"/>
    <w:rsid w:val="000627AC"/>
    <w:rsid w:val="00062FD2"/>
    <w:rsid w:val="000635D7"/>
    <w:rsid w:val="00063738"/>
    <w:rsid w:val="00063872"/>
    <w:rsid w:val="00063B99"/>
    <w:rsid w:val="000642E3"/>
    <w:rsid w:val="0006449A"/>
    <w:rsid w:val="000645FD"/>
    <w:rsid w:val="00064D2A"/>
    <w:rsid w:val="00064E9C"/>
    <w:rsid w:val="00064F3A"/>
    <w:rsid w:val="0006500A"/>
    <w:rsid w:val="0006528D"/>
    <w:rsid w:val="00065D65"/>
    <w:rsid w:val="0006643C"/>
    <w:rsid w:val="00066897"/>
    <w:rsid w:val="00066984"/>
    <w:rsid w:val="000671A3"/>
    <w:rsid w:val="00070919"/>
    <w:rsid w:val="00070ADC"/>
    <w:rsid w:val="00070B9F"/>
    <w:rsid w:val="00070E3D"/>
    <w:rsid w:val="00071982"/>
    <w:rsid w:val="00071B03"/>
    <w:rsid w:val="00071D9D"/>
    <w:rsid w:val="00071F5B"/>
    <w:rsid w:val="00072390"/>
    <w:rsid w:val="00072C14"/>
    <w:rsid w:val="00073C16"/>
    <w:rsid w:val="00073F9F"/>
    <w:rsid w:val="00073FEF"/>
    <w:rsid w:val="00074287"/>
    <w:rsid w:val="00074714"/>
    <w:rsid w:val="000764C5"/>
    <w:rsid w:val="0007671E"/>
    <w:rsid w:val="00076886"/>
    <w:rsid w:val="00076E3E"/>
    <w:rsid w:val="000800BF"/>
    <w:rsid w:val="00080115"/>
    <w:rsid w:val="00080227"/>
    <w:rsid w:val="00080ABD"/>
    <w:rsid w:val="00080D3B"/>
    <w:rsid w:val="00080F8A"/>
    <w:rsid w:val="000816E4"/>
    <w:rsid w:val="0008215E"/>
    <w:rsid w:val="00082433"/>
    <w:rsid w:val="000824B9"/>
    <w:rsid w:val="00082545"/>
    <w:rsid w:val="00082D38"/>
    <w:rsid w:val="00082DB8"/>
    <w:rsid w:val="0008309C"/>
    <w:rsid w:val="0008320E"/>
    <w:rsid w:val="000833B1"/>
    <w:rsid w:val="00083A18"/>
    <w:rsid w:val="00083CC5"/>
    <w:rsid w:val="00084DBE"/>
    <w:rsid w:val="000850A7"/>
    <w:rsid w:val="00086434"/>
    <w:rsid w:val="0008671B"/>
    <w:rsid w:val="00086907"/>
    <w:rsid w:val="00086959"/>
    <w:rsid w:val="000869A3"/>
    <w:rsid w:val="00087250"/>
    <w:rsid w:val="00087A54"/>
    <w:rsid w:val="00087D6A"/>
    <w:rsid w:val="000904A2"/>
    <w:rsid w:val="00090BB7"/>
    <w:rsid w:val="00090EB6"/>
    <w:rsid w:val="00090EFB"/>
    <w:rsid w:val="0009147B"/>
    <w:rsid w:val="0009173D"/>
    <w:rsid w:val="00091920"/>
    <w:rsid w:val="00091962"/>
    <w:rsid w:val="00091B81"/>
    <w:rsid w:val="00091F85"/>
    <w:rsid w:val="0009260E"/>
    <w:rsid w:val="00092DA3"/>
    <w:rsid w:val="00092F89"/>
    <w:rsid w:val="00093146"/>
    <w:rsid w:val="000933BA"/>
    <w:rsid w:val="000935A3"/>
    <w:rsid w:val="00093FB0"/>
    <w:rsid w:val="00093FFF"/>
    <w:rsid w:val="000940AE"/>
    <w:rsid w:val="00094117"/>
    <w:rsid w:val="00094333"/>
    <w:rsid w:val="0009476B"/>
    <w:rsid w:val="00094B11"/>
    <w:rsid w:val="000952ED"/>
    <w:rsid w:val="00095716"/>
    <w:rsid w:val="00095730"/>
    <w:rsid w:val="000958B9"/>
    <w:rsid w:val="00095A7D"/>
    <w:rsid w:val="00095D20"/>
    <w:rsid w:val="00095EE7"/>
    <w:rsid w:val="0009698A"/>
    <w:rsid w:val="000969DC"/>
    <w:rsid w:val="00096B5F"/>
    <w:rsid w:val="00096D4D"/>
    <w:rsid w:val="000976C6"/>
    <w:rsid w:val="00097CEC"/>
    <w:rsid w:val="00097D1C"/>
    <w:rsid w:val="000A0FB7"/>
    <w:rsid w:val="000A1184"/>
    <w:rsid w:val="000A1246"/>
    <w:rsid w:val="000A1259"/>
    <w:rsid w:val="000A1358"/>
    <w:rsid w:val="000A19B1"/>
    <w:rsid w:val="000A28DC"/>
    <w:rsid w:val="000A2B67"/>
    <w:rsid w:val="000A33EA"/>
    <w:rsid w:val="000A3704"/>
    <w:rsid w:val="000A39F0"/>
    <w:rsid w:val="000A3D37"/>
    <w:rsid w:val="000A422E"/>
    <w:rsid w:val="000A4249"/>
    <w:rsid w:val="000A4415"/>
    <w:rsid w:val="000A4AFF"/>
    <w:rsid w:val="000A4EA2"/>
    <w:rsid w:val="000A4F3E"/>
    <w:rsid w:val="000A4FFF"/>
    <w:rsid w:val="000A5533"/>
    <w:rsid w:val="000A57AF"/>
    <w:rsid w:val="000A59CC"/>
    <w:rsid w:val="000A6A0D"/>
    <w:rsid w:val="000A6F92"/>
    <w:rsid w:val="000A7295"/>
    <w:rsid w:val="000A7756"/>
    <w:rsid w:val="000A7B5B"/>
    <w:rsid w:val="000B06CB"/>
    <w:rsid w:val="000B0962"/>
    <w:rsid w:val="000B132A"/>
    <w:rsid w:val="000B138C"/>
    <w:rsid w:val="000B1794"/>
    <w:rsid w:val="000B23D9"/>
    <w:rsid w:val="000B2C54"/>
    <w:rsid w:val="000B2F8B"/>
    <w:rsid w:val="000B2FE3"/>
    <w:rsid w:val="000B3759"/>
    <w:rsid w:val="000B381F"/>
    <w:rsid w:val="000B3F1C"/>
    <w:rsid w:val="000B4772"/>
    <w:rsid w:val="000B48DE"/>
    <w:rsid w:val="000B5089"/>
    <w:rsid w:val="000B5843"/>
    <w:rsid w:val="000B5FB4"/>
    <w:rsid w:val="000B696F"/>
    <w:rsid w:val="000B6A9E"/>
    <w:rsid w:val="000B6C21"/>
    <w:rsid w:val="000B6FCF"/>
    <w:rsid w:val="000B7235"/>
    <w:rsid w:val="000B739B"/>
    <w:rsid w:val="000B75CD"/>
    <w:rsid w:val="000B7E21"/>
    <w:rsid w:val="000C015E"/>
    <w:rsid w:val="000C09D7"/>
    <w:rsid w:val="000C0B12"/>
    <w:rsid w:val="000C0C0D"/>
    <w:rsid w:val="000C10AF"/>
    <w:rsid w:val="000C115C"/>
    <w:rsid w:val="000C169B"/>
    <w:rsid w:val="000C2404"/>
    <w:rsid w:val="000C2750"/>
    <w:rsid w:val="000C28F0"/>
    <w:rsid w:val="000C2D87"/>
    <w:rsid w:val="000C2ED8"/>
    <w:rsid w:val="000C4538"/>
    <w:rsid w:val="000C4920"/>
    <w:rsid w:val="000C4C0E"/>
    <w:rsid w:val="000C55F1"/>
    <w:rsid w:val="000C5B9B"/>
    <w:rsid w:val="000C65AA"/>
    <w:rsid w:val="000C6C64"/>
    <w:rsid w:val="000C6C66"/>
    <w:rsid w:val="000C6D2F"/>
    <w:rsid w:val="000C6D44"/>
    <w:rsid w:val="000C787F"/>
    <w:rsid w:val="000D0484"/>
    <w:rsid w:val="000D06AA"/>
    <w:rsid w:val="000D0C3B"/>
    <w:rsid w:val="000D12CB"/>
    <w:rsid w:val="000D1408"/>
    <w:rsid w:val="000D141C"/>
    <w:rsid w:val="000D1D71"/>
    <w:rsid w:val="000D2AB5"/>
    <w:rsid w:val="000D2BDE"/>
    <w:rsid w:val="000D2D17"/>
    <w:rsid w:val="000D3173"/>
    <w:rsid w:val="000D3354"/>
    <w:rsid w:val="000D4656"/>
    <w:rsid w:val="000D483F"/>
    <w:rsid w:val="000D4D26"/>
    <w:rsid w:val="000D5DA1"/>
    <w:rsid w:val="000D6117"/>
    <w:rsid w:val="000D63CD"/>
    <w:rsid w:val="000D6626"/>
    <w:rsid w:val="000D7649"/>
    <w:rsid w:val="000D77F8"/>
    <w:rsid w:val="000E053D"/>
    <w:rsid w:val="000E0692"/>
    <w:rsid w:val="000E0A64"/>
    <w:rsid w:val="000E170E"/>
    <w:rsid w:val="000E1A4A"/>
    <w:rsid w:val="000E1A87"/>
    <w:rsid w:val="000E2933"/>
    <w:rsid w:val="000E3215"/>
    <w:rsid w:val="000E36B1"/>
    <w:rsid w:val="000E3722"/>
    <w:rsid w:val="000E37A4"/>
    <w:rsid w:val="000E3BC8"/>
    <w:rsid w:val="000E472A"/>
    <w:rsid w:val="000E4E7D"/>
    <w:rsid w:val="000E4F9C"/>
    <w:rsid w:val="000E534D"/>
    <w:rsid w:val="000E54CF"/>
    <w:rsid w:val="000E5EB5"/>
    <w:rsid w:val="000E5ECF"/>
    <w:rsid w:val="000E5EDA"/>
    <w:rsid w:val="000E6018"/>
    <w:rsid w:val="000E60FC"/>
    <w:rsid w:val="000E615C"/>
    <w:rsid w:val="000E6160"/>
    <w:rsid w:val="000E6853"/>
    <w:rsid w:val="000E6DB7"/>
    <w:rsid w:val="000E6E92"/>
    <w:rsid w:val="000E76E9"/>
    <w:rsid w:val="000E7E72"/>
    <w:rsid w:val="000E7EA1"/>
    <w:rsid w:val="000F0548"/>
    <w:rsid w:val="000F0677"/>
    <w:rsid w:val="000F082C"/>
    <w:rsid w:val="000F0C62"/>
    <w:rsid w:val="000F2801"/>
    <w:rsid w:val="000F3258"/>
    <w:rsid w:val="000F35D7"/>
    <w:rsid w:val="000F3A33"/>
    <w:rsid w:val="000F4368"/>
    <w:rsid w:val="000F47F0"/>
    <w:rsid w:val="000F4A55"/>
    <w:rsid w:val="000F52E5"/>
    <w:rsid w:val="000F5497"/>
    <w:rsid w:val="000F556A"/>
    <w:rsid w:val="000F5A89"/>
    <w:rsid w:val="000F5AAC"/>
    <w:rsid w:val="000F60F8"/>
    <w:rsid w:val="000F639A"/>
    <w:rsid w:val="000F6817"/>
    <w:rsid w:val="000F68B8"/>
    <w:rsid w:val="00100251"/>
    <w:rsid w:val="00100317"/>
    <w:rsid w:val="00100615"/>
    <w:rsid w:val="001006DC"/>
    <w:rsid w:val="00100D00"/>
    <w:rsid w:val="00100EC4"/>
    <w:rsid w:val="001017D8"/>
    <w:rsid w:val="00101FB6"/>
    <w:rsid w:val="00102351"/>
    <w:rsid w:val="00102A3E"/>
    <w:rsid w:val="00103730"/>
    <w:rsid w:val="00104362"/>
    <w:rsid w:val="0010473E"/>
    <w:rsid w:val="00104AFF"/>
    <w:rsid w:val="001051D1"/>
    <w:rsid w:val="001057CD"/>
    <w:rsid w:val="001059AA"/>
    <w:rsid w:val="00105B08"/>
    <w:rsid w:val="001062EC"/>
    <w:rsid w:val="001064B5"/>
    <w:rsid w:val="00106EA2"/>
    <w:rsid w:val="00107521"/>
    <w:rsid w:val="00107961"/>
    <w:rsid w:val="00107C46"/>
    <w:rsid w:val="00107CCA"/>
    <w:rsid w:val="00107D3B"/>
    <w:rsid w:val="001101B0"/>
    <w:rsid w:val="001103E0"/>
    <w:rsid w:val="00111108"/>
    <w:rsid w:val="001111F1"/>
    <w:rsid w:val="001114CA"/>
    <w:rsid w:val="00112997"/>
    <w:rsid w:val="0011338C"/>
    <w:rsid w:val="0011343D"/>
    <w:rsid w:val="00113453"/>
    <w:rsid w:val="00113890"/>
    <w:rsid w:val="00114F57"/>
    <w:rsid w:val="0011508A"/>
    <w:rsid w:val="001151A5"/>
    <w:rsid w:val="001165D1"/>
    <w:rsid w:val="0011685D"/>
    <w:rsid w:val="00116930"/>
    <w:rsid w:val="0011716E"/>
    <w:rsid w:val="00117185"/>
    <w:rsid w:val="0011733A"/>
    <w:rsid w:val="00117C18"/>
    <w:rsid w:val="00117E0B"/>
    <w:rsid w:val="00117E55"/>
    <w:rsid w:val="00120662"/>
    <w:rsid w:val="00120839"/>
    <w:rsid w:val="00120BBE"/>
    <w:rsid w:val="00120ED1"/>
    <w:rsid w:val="001211E9"/>
    <w:rsid w:val="001214D0"/>
    <w:rsid w:val="00121B50"/>
    <w:rsid w:val="00122010"/>
    <w:rsid w:val="001220E2"/>
    <w:rsid w:val="00122B2F"/>
    <w:rsid w:val="00122B84"/>
    <w:rsid w:val="00122D52"/>
    <w:rsid w:val="00123F15"/>
    <w:rsid w:val="001240AE"/>
    <w:rsid w:val="00124184"/>
    <w:rsid w:val="00124447"/>
    <w:rsid w:val="0012460E"/>
    <w:rsid w:val="00125BFC"/>
    <w:rsid w:val="0012637C"/>
    <w:rsid w:val="00126A27"/>
    <w:rsid w:val="00126D40"/>
    <w:rsid w:val="00126DEC"/>
    <w:rsid w:val="00126FB4"/>
    <w:rsid w:val="001277B0"/>
    <w:rsid w:val="0012782B"/>
    <w:rsid w:val="001278D5"/>
    <w:rsid w:val="00127A12"/>
    <w:rsid w:val="00127E58"/>
    <w:rsid w:val="0013086D"/>
    <w:rsid w:val="001308E9"/>
    <w:rsid w:val="001319C2"/>
    <w:rsid w:val="001323E9"/>
    <w:rsid w:val="001324C9"/>
    <w:rsid w:val="00132D56"/>
    <w:rsid w:val="0013314C"/>
    <w:rsid w:val="00134289"/>
    <w:rsid w:val="00135131"/>
    <w:rsid w:val="0013541E"/>
    <w:rsid w:val="0013575F"/>
    <w:rsid w:val="001357ED"/>
    <w:rsid w:val="00135961"/>
    <w:rsid w:val="00135C71"/>
    <w:rsid w:val="00135F8B"/>
    <w:rsid w:val="0013624C"/>
    <w:rsid w:val="00136506"/>
    <w:rsid w:val="00137090"/>
    <w:rsid w:val="00137531"/>
    <w:rsid w:val="001378B7"/>
    <w:rsid w:val="00137D0E"/>
    <w:rsid w:val="001400F4"/>
    <w:rsid w:val="001405F9"/>
    <w:rsid w:val="00141D4C"/>
    <w:rsid w:val="001421AA"/>
    <w:rsid w:val="001426CD"/>
    <w:rsid w:val="001427C4"/>
    <w:rsid w:val="00142AF9"/>
    <w:rsid w:val="00143183"/>
    <w:rsid w:val="001431F9"/>
    <w:rsid w:val="00143E89"/>
    <w:rsid w:val="00144270"/>
    <w:rsid w:val="001448B0"/>
    <w:rsid w:val="00144BF8"/>
    <w:rsid w:val="00144C68"/>
    <w:rsid w:val="00145180"/>
    <w:rsid w:val="00145448"/>
    <w:rsid w:val="00145A2B"/>
    <w:rsid w:val="00145A79"/>
    <w:rsid w:val="00145DA4"/>
    <w:rsid w:val="00145F1A"/>
    <w:rsid w:val="00145FD8"/>
    <w:rsid w:val="001460C3"/>
    <w:rsid w:val="0014627D"/>
    <w:rsid w:val="00146965"/>
    <w:rsid w:val="00146A95"/>
    <w:rsid w:val="00147885"/>
    <w:rsid w:val="001479C0"/>
    <w:rsid w:val="00147D78"/>
    <w:rsid w:val="00150C7F"/>
    <w:rsid w:val="00150F7E"/>
    <w:rsid w:val="00151114"/>
    <w:rsid w:val="001514F1"/>
    <w:rsid w:val="00151605"/>
    <w:rsid w:val="0015209F"/>
    <w:rsid w:val="00152D2F"/>
    <w:rsid w:val="00152F07"/>
    <w:rsid w:val="00153806"/>
    <w:rsid w:val="00153C7D"/>
    <w:rsid w:val="00153E35"/>
    <w:rsid w:val="00153FF5"/>
    <w:rsid w:val="00154C94"/>
    <w:rsid w:val="001551A3"/>
    <w:rsid w:val="001552D5"/>
    <w:rsid w:val="0015537E"/>
    <w:rsid w:val="00155A28"/>
    <w:rsid w:val="00155A35"/>
    <w:rsid w:val="00155CF3"/>
    <w:rsid w:val="00155D59"/>
    <w:rsid w:val="001560F2"/>
    <w:rsid w:val="00160516"/>
    <w:rsid w:val="00160BA8"/>
    <w:rsid w:val="00160EE7"/>
    <w:rsid w:val="001615A0"/>
    <w:rsid w:val="001616BE"/>
    <w:rsid w:val="001617C7"/>
    <w:rsid w:val="00161850"/>
    <w:rsid w:val="00161B7E"/>
    <w:rsid w:val="00161BFD"/>
    <w:rsid w:val="00161E67"/>
    <w:rsid w:val="001623FF"/>
    <w:rsid w:val="0016262C"/>
    <w:rsid w:val="00162B80"/>
    <w:rsid w:val="00162BF8"/>
    <w:rsid w:val="00162CAF"/>
    <w:rsid w:val="00162E1F"/>
    <w:rsid w:val="001637EF"/>
    <w:rsid w:val="001639FA"/>
    <w:rsid w:val="00163B72"/>
    <w:rsid w:val="00163D87"/>
    <w:rsid w:val="00164A18"/>
    <w:rsid w:val="00164FBC"/>
    <w:rsid w:val="0016500E"/>
    <w:rsid w:val="00165B49"/>
    <w:rsid w:val="00166459"/>
    <w:rsid w:val="0016673D"/>
    <w:rsid w:val="00166A92"/>
    <w:rsid w:val="001670CC"/>
    <w:rsid w:val="00167310"/>
    <w:rsid w:val="00167364"/>
    <w:rsid w:val="00167BCF"/>
    <w:rsid w:val="00170519"/>
    <w:rsid w:val="00170719"/>
    <w:rsid w:val="001707A0"/>
    <w:rsid w:val="00171138"/>
    <w:rsid w:val="0017159D"/>
    <w:rsid w:val="001719D1"/>
    <w:rsid w:val="00171BAA"/>
    <w:rsid w:val="00171C76"/>
    <w:rsid w:val="00171E9D"/>
    <w:rsid w:val="00173574"/>
    <w:rsid w:val="0017370D"/>
    <w:rsid w:val="0017381A"/>
    <w:rsid w:val="00173BD7"/>
    <w:rsid w:val="00173D18"/>
    <w:rsid w:val="001741E2"/>
    <w:rsid w:val="0017450C"/>
    <w:rsid w:val="00174912"/>
    <w:rsid w:val="00174C59"/>
    <w:rsid w:val="00175804"/>
    <w:rsid w:val="001758D0"/>
    <w:rsid w:val="00176003"/>
    <w:rsid w:val="00176BF6"/>
    <w:rsid w:val="001774BC"/>
    <w:rsid w:val="0017777B"/>
    <w:rsid w:val="00177D25"/>
    <w:rsid w:val="0018020A"/>
    <w:rsid w:val="001804B2"/>
    <w:rsid w:val="0018071A"/>
    <w:rsid w:val="0018075D"/>
    <w:rsid w:val="00180AC2"/>
    <w:rsid w:val="0018156D"/>
    <w:rsid w:val="001815E0"/>
    <w:rsid w:val="0018187A"/>
    <w:rsid w:val="00181B84"/>
    <w:rsid w:val="00181D87"/>
    <w:rsid w:val="001824B9"/>
    <w:rsid w:val="00182905"/>
    <w:rsid w:val="00182A7D"/>
    <w:rsid w:val="00182C3B"/>
    <w:rsid w:val="00182E0B"/>
    <w:rsid w:val="001830C1"/>
    <w:rsid w:val="0018312B"/>
    <w:rsid w:val="00183143"/>
    <w:rsid w:val="001831E4"/>
    <w:rsid w:val="00183ED6"/>
    <w:rsid w:val="00184321"/>
    <w:rsid w:val="00184717"/>
    <w:rsid w:val="001847E8"/>
    <w:rsid w:val="00184AD3"/>
    <w:rsid w:val="00184DF5"/>
    <w:rsid w:val="00184DF9"/>
    <w:rsid w:val="00184E22"/>
    <w:rsid w:val="00184E41"/>
    <w:rsid w:val="001856CF"/>
    <w:rsid w:val="00185701"/>
    <w:rsid w:val="001861E7"/>
    <w:rsid w:val="001863D1"/>
    <w:rsid w:val="00186491"/>
    <w:rsid w:val="00187024"/>
    <w:rsid w:val="0018761A"/>
    <w:rsid w:val="00187C7C"/>
    <w:rsid w:val="001902A1"/>
    <w:rsid w:val="001919E0"/>
    <w:rsid w:val="00191CD5"/>
    <w:rsid w:val="00192518"/>
    <w:rsid w:val="001929AC"/>
    <w:rsid w:val="00192EC4"/>
    <w:rsid w:val="00192F37"/>
    <w:rsid w:val="00193655"/>
    <w:rsid w:val="00193D8F"/>
    <w:rsid w:val="00193FF2"/>
    <w:rsid w:val="00194413"/>
    <w:rsid w:val="001951CF"/>
    <w:rsid w:val="00195597"/>
    <w:rsid w:val="0019620D"/>
    <w:rsid w:val="00196427"/>
    <w:rsid w:val="001978F0"/>
    <w:rsid w:val="00197A74"/>
    <w:rsid w:val="00197A95"/>
    <w:rsid w:val="00197BD4"/>
    <w:rsid w:val="00197F85"/>
    <w:rsid w:val="001A0289"/>
    <w:rsid w:val="001A083C"/>
    <w:rsid w:val="001A0D98"/>
    <w:rsid w:val="001A171A"/>
    <w:rsid w:val="001A23CA"/>
    <w:rsid w:val="001A24B5"/>
    <w:rsid w:val="001A2975"/>
    <w:rsid w:val="001A29C1"/>
    <w:rsid w:val="001A30B2"/>
    <w:rsid w:val="001A3642"/>
    <w:rsid w:val="001A3E97"/>
    <w:rsid w:val="001A421B"/>
    <w:rsid w:val="001A4A6E"/>
    <w:rsid w:val="001A5040"/>
    <w:rsid w:val="001A5478"/>
    <w:rsid w:val="001A5C58"/>
    <w:rsid w:val="001A60E2"/>
    <w:rsid w:val="001A6849"/>
    <w:rsid w:val="001A6C65"/>
    <w:rsid w:val="001A752E"/>
    <w:rsid w:val="001A7ED6"/>
    <w:rsid w:val="001B07D7"/>
    <w:rsid w:val="001B111C"/>
    <w:rsid w:val="001B146D"/>
    <w:rsid w:val="001B148A"/>
    <w:rsid w:val="001B1733"/>
    <w:rsid w:val="001B1C66"/>
    <w:rsid w:val="001B1FD1"/>
    <w:rsid w:val="001B1FE2"/>
    <w:rsid w:val="001B236D"/>
    <w:rsid w:val="001B25DA"/>
    <w:rsid w:val="001B27C2"/>
    <w:rsid w:val="001B2A0A"/>
    <w:rsid w:val="001B2A19"/>
    <w:rsid w:val="001B2F0B"/>
    <w:rsid w:val="001B3406"/>
    <w:rsid w:val="001B363B"/>
    <w:rsid w:val="001B36ED"/>
    <w:rsid w:val="001B378A"/>
    <w:rsid w:val="001B3D5C"/>
    <w:rsid w:val="001B3E36"/>
    <w:rsid w:val="001B3EB7"/>
    <w:rsid w:val="001B401B"/>
    <w:rsid w:val="001B4B74"/>
    <w:rsid w:val="001B593C"/>
    <w:rsid w:val="001B59AB"/>
    <w:rsid w:val="001B6359"/>
    <w:rsid w:val="001B6638"/>
    <w:rsid w:val="001B6A7B"/>
    <w:rsid w:val="001B6C91"/>
    <w:rsid w:val="001B7035"/>
    <w:rsid w:val="001B7A5E"/>
    <w:rsid w:val="001B7DF4"/>
    <w:rsid w:val="001B7F9A"/>
    <w:rsid w:val="001C0245"/>
    <w:rsid w:val="001C0516"/>
    <w:rsid w:val="001C0A4B"/>
    <w:rsid w:val="001C0BA4"/>
    <w:rsid w:val="001C0C89"/>
    <w:rsid w:val="001C0EA1"/>
    <w:rsid w:val="001C2443"/>
    <w:rsid w:val="001C2A56"/>
    <w:rsid w:val="001C2C2D"/>
    <w:rsid w:val="001C2ECC"/>
    <w:rsid w:val="001C482D"/>
    <w:rsid w:val="001C4D74"/>
    <w:rsid w:val="001C4E9D"/>
    <w:rsid w:val="001C5A4B"/>
    <w:rsid w:val="001C5B72"/>
    <w:rsid w:val="001C6068"/>
    <w:rsid w:val="001C6656"/>
    <w:rsid w:val="001C6963"/>
    <w:rsid w:val="001C6E81"/>
    <w:rsid w:val="001C75E0"/>
    <w:rsid w:val="001C7BDC"/>
    <w:rsid w:val="001C7CFB"/>
    <w:rsid w:val="001CD8B9"/>
    <w:rsid w:val="001D01A8"/>
    <w:rsid w:val="001D03E9"/>
    <w:rsid w:val="001D0887"/>
    <w:rsid w:val="001D0D92"/>
    <w:rsid w:val="001D1734"/>
    <w:rsid w:val="001D2041"/>
    <w:rsid w:val="001D25FA"/>
    <w:rsid w:val="001D2700"/>
    <w:rsid w:val="001D2725"/>
    <w:rsid w:val="001D2E3A"/>
    <w:rsid w:val="001D3779"/>
    <w:rsid w:val="001D3A74"/>
    <w:rsid w:val="001D47B8"/>
    <w:rsid w:val="001D5254"/>
    <w:rsid w:val="001D530A"/>
    <w:rsid w:val="001D56AF"/>
    <w:rsid w:val="001D5F72"/>
    <w:rsid w:val="001D6652"/>
    <w:rsid w:val="001D6848"/>
    <w:rsid w:val="001D77D5"/>
    <w:rsid w:val="001D7C58"/>
    <w:rsid w:val="001E0497"/>
    <w:rsid w:val="001E0791"/>
    <w:rsid w:val="001E09A7"/>
    <w:rsid w:val="001E0B4C"/>
    <w:rsid w:val="001E0FD7"/>
    <w:rsid w:val="001E1716"/>
    <w:rsid w:val="001E1AA5"/>
    <w:rsid w:val="001E1DC8"/>
    <w:rsid w:val="001E1FDC"/>
    <w:rsid w:val="001E2C9C"/>
    <w:rsid w:val="001E2CE6"/>
    <w:rsid w:val="001E3302"/>
    <w:rsid w:val="001E3550"/>
    <w:rsid w:val="001E3DCC"/>
    <w:rsid w:val="001E4412"/>
    <w:rsid w:val="001E4490"/>
    <w:rsid w:val="001E4660"/>
    <w:rsid w:val="001E496B"/>
    <w:rsid w:val="001E4D9F"/>
    <w:rsid w:val="001E529C"/>
    <w:rsid w:val="001E5493"/>
    <w:rsid w:val="001E54A8"/>
    <w:rsid w:val="001E54AF"/>
    <w:rsid w:val="001E5FB8"/>
    <w:rsid w:val="001E66DF"/>
    <w:rsid w:val="001E67B8"/>
    <w:rsid w:val="001E6A34"/>
    <w:rsid w:val="001E74D5"/>
    <w:rsid w:val="001E761F"/>
    <w:rsid w:val="001E7723"/>
    <w:rsid w:val="001E77A4"/>
    <w:rsid w:val="001F0263"/>
    <w:rsid w:val="001F038B"/>
    <w:rsid w:val="001F0CC2"/>
    <w:rsid w:val="001F0D51"/>
    <w:rsid w:val="001F0EDD"/>
    <w:rsid w:val="001F148F"/>
    <w:rsid w:val="001F20CD"/>
    <w:rsid w:val="001F22EA"/>
    <w:rsid w:val="001F2909"/>
    <w:rsid w:val="001F2989"/>
    <w:rsid w:val="001F2C37"/>
    <w:rsid w:val="001F2F24"/>
    <w:rsid w:val="001F31A4"/>
    <w:rsid w:val="001F3720"/>
    <w:rsid w:val="001F47FF"/>
    <w:rsid w:val="001F4902"/>
    <w:rsid w:val="001F55D8"/>
    <w:rsid w:val="001F56F0"/>
    <w:rsid w:val="001F5AFC"/>
    <w:rsid w:val="001F665C"/>
    <w:rsid w:val="001F6DEC"/>
    <w:rsid w:val="001F6FD5"/>
    <w:rsid w:val="001F701D"/>
    <w:rsid w:val="001F7B57"/>
    <w:rsid w:val="00200131"/>
    <w:rsid w:val="002005FF"/>
    <w:rsid w:val="0020081D"/>
    <w:rsid w:val="00200BC5"/>
    <w:rsid w:val="002011CD"/>
    <w:rsid w:val="00201378"/>
    <w:rsid w:val="00201989"/>
    <w:rsid w:val="00201C08"/>
    <w:rsid w:val="00202F03"/>
    <w:rsid w:val="0020302F"/>
    <w:rsid w:val="002033F5"/>
    <w:rsid w:val="0020380E"/>
    <w:rsid w:val="00203ADC"/>
    <w:rsid w:val="00203C09"/>
    <w:rsid w:val="00203F66"/>
    <w:rsid w:val="00204D80"/>
    <w:rsid w:val="00204EC0"/>
    <w:rsid w:val="0020507C"/>
    <w:rsid w:val="00205B08"/>
    <w:rsid w:val="0020674B"/>
    <w:rsid w:val="00206A9A"/>
    <w:rsid w:val="00207038"/>
    <w:rsid w:val="002077A3"/>
    <w:rsid w:val="00207DC5"/>
    <w:rsid w:val="002101F6"/>
    <w:rsid w:val="0021043A"/>
    <w:rsid w:val="00210B4B"/>
    <w:rsid w:val="00211708"/>
    <w:rsid w:val="00211C65"/>
    <w:rsid w:val="00212BCB"/>
    <w:rsid w:val="00212FE8"/>
    <w:rsid w:val="00213038"/>
    <w:rsid w:val="002138A6"/>
    <w:rsid w:val="00213E58"/>
    <w:rsid w:val="00214565"/>
    <w:rsid w:val="00214AD5"/>
    <w:rsid w:val="00214F7F"/>
    <w:rsid w:val="00215602"/>
    <w:rsid w:val="0021575B"/>
    <w:rsid w:val="00215878"/>
    <w:rsid w:val="00216811"/>
    <w:rsid w:val="00216DDE"/>
    <w:rsid w:val="00216DEB"/>
    <w:rsid w:val="00217073"/>
    <w:rsid w:val="002172A2"/>
    <w:rsid w:val="00217C3E"/>
    <w:rsid w:val="00217D8A"/>
    <w:rsid w:val="0022028C"/>
    <w:rsid w:val="00220839"/>
    <w:rsid w:val="00220AC2"/>
    <w:rsid w:val="00220B09"/>
    <w:rsid w:val="00220E2D"/>
    <w:rsid w:val="00221330"/>
    <w:rsid w:val="002218D1"/>
    <w:rsid w:val="00222B99"/>
    <w:rsid w:val="0022353F"/>
    <w:rsid w:val="0022361D"/>
    <w:rsid w:val="00223A89"/>
    <w:rsid w:val="0022449D"/>
    <w:rsid w:val="002245C1"/>
    <w:rsid w:val="002245D7"/>
    <w:rsid w:val="002246BB"/>
    <w:rsid w:val="002248F5"/>
    <w:rsid w:val="002249DE"/>
    <w:rsid w:val="0022561D"/>
    <w:rsid w:val="00225716"/>
    <w:rsid w:val="00225D12"/>
    <w:rsid w:val="00226354"/>
    <w:rsid w:val="002264EA"/>
    <w:rsid w:val="00226697"/>
    <w:rsid w:val="00227169"/>
    <w:rsid w:val="002273A6"/>
    <w:rsid w:val="002277EF"/>
    <w:rsid w:val="00227B52"/>
    <w:rsid w:val="00227BBF"/>
    <w:rsid w:val="002304D9"/>
    <w:rsid w:val="0023065B"/>
    <w:rsid w:val="002308FC"/>
    <w:rsid w:val="00230A11"/>
    <w:rsid w:val="00230B73"/>
    <w:rsid w:val="00230D64"/>
    <w:rsid w:val="00231B24"/>
    <w:rsid w:val="00231CF2"/>
    <w:rsid w:val="00231E5C"/>
    <w:rsid w:val="00231EDB"/>
    <w:rsid w:val="00232399"/>
    <w:rsid w:val="00232697"/>
    <w:rsid w:val="002326CC"/>
    <w:rsid w:val="00233212"/>
    <w:rsid w:val="00233372"/>
    <w:rsid w:val="002333DB"/>
    <w:rsid w:val="002336BB"/>
    <w:rsid w:val="00233F47"/>
    <w:rsid w:val="002340F1"/>
    <w:rsid w:val="00234365"/>
    <w:rsid w:val="0023454D"/>
    <w:rsid w:val="00234888"/>
    <w:rsid w:val="00234B04"/>
    <w:rsid w:val="00234C60"/>
    <w:rsid w:val="00235239"/>
    <w:rsid w:val="00235523"/>
    <w:rsid w:val="002376B5"/>
    <w:rsid w:val="002401AA"/>
    <w:rsid w:val="0024023F"/>
    <w:rsid w:val="0024030D"/>
    <w:rsid w:val="00240357"/>
    <w:rsid w:val="00240637"/>
    <w:rsid w:val="00241CF0"/>
    <w:rsid w:val="00241FB2"/>
    <w:rsid w:val="00242003"/>
    <w:rsid w:val="0024221F"/>
    <w:rsid w:val="0024259F"/>
    <w:rsid w:val="00242A3A"/>
    <w:rsid w:val="00242EE4"/>
    <w:rsid w:val="002431CB"/>
    <w:rsid w:val="00243484"/>
    <w:rsid w:val="00243C8C"/>
    <w:rsid w:val="00243E97"/>
    <w:rsid w:val="00244037"/>
    <w:rsid w:val="00244AA4"/>
    <w:rsid w:val="00244EEE"/>
    <w:rsid w:val="00245784"/>
    <w:rsid w:val="00245CC6"/>
    <w:rsid w:val="00245D3C"/>
    <w:rsid w:val="002460DA"/>
    <w:rsid w:val="002462D1"/>
    <w:rsid w:val="0024632D"/>
    <w:rsid w:val="00246448"/>
    <w:rsid w:val="0024679F"/>
    <w:rsid w:val="00246950"/>
    <w:rsid w:val="00246C4E"/>
    <w:rsid w:val="002478B2"/>
    <w:rsid w:val="002479D2"/>
    <w:rsid w:val="0025033C"/>
    <w:rsid w:val="00250765"/>
    <w:rsid w:val="00250E1B"/>
    <w:rsid w:val="0025120D"/>
    <w:rsid w:val="0025153B"/>
    <w:rsid w:val="00251686"/>
    <w:rsid w:val="00251C79"/>
    <w:rsid w:val="002524FD"/>
    <w:rsid w:val="00252799"/>
    <w:rsid w:val="00252A92"/>
    <w:rsid w:val="0025444F"/>
    <w:rsid w:val="00254591"/>
    <w:rsid w:val="002545E7"/>
    <w:rsid w:val="00255758"/>
    <w:rsid w:val="0025601F"/>
    <w:rsid w:val="00256FA4"/>
    <w:rsid w:val="00256FE8"/>
    <w:rsid w:val="00257825"/>
    <w:rsid w:val="002578D5"/>
    <w:rsid w:val="00257939"/>
    <w:rsid w:val="002579F6"/>
    <w:rsid w:val="00260508"/>
    <w:rsid w:val="00260A50"/>
    <w:rsid w:val="00260CB7"/>
    <w:rsid w:val="00261203"/>
    <w:rsid w:val="0026146E"/>
    <w:rsid w:val="0026293B"/>
    <w:rsid w:val="0026305C"/>
    <w:rsid w:val="0026370C"/>
    <w:rsid w:val="002644CE"/>
    <w:rsid w:val="0026482F"/>
    <w:rsid w:val="00265005"/>
    <w:rsid w:val="002652B9"/>
    <w:rsid w:val="00266703"/>
    <w:rsid w:val="00266EBF"/>
    <w:rsid w:val="0026762A"/>
    <w:rsid w:val="00267A88"/>
    <w:rsid w:val="00267C6A"/>
    <w:rsid w:val="00267C85"/>
    <w:rsid w:val="00267F83"/>
    <w:rsid w:val="0027013D"/>
    <w:rsid w:val="002707A1"/>
    <w:rsid w:val="002707EE"/>
    <w:rsid w:val="00270933"/>
    <w:rsid w:val="00270B3C"/>
    <w:rsid w:val="00270F51"/>
    <w:rsid w:val="0027162E"/>
    <w:rsid w:val="00271797"/>
    <w:rsid w:val="002717DB"/>
    <w:rsid w:val="00271E40"/>
    <w:rsid w:val="00272A52"/>
    <w:rsid w:val="00273B35"/>
    <w:rsid w:val="0027412C"/>
    <w:rsid w:val="00275046"/>
    <w:rsid w:val="002753EE"/>
    <w:rsid w:val="00275E6A"/>
    <w:rsid w:val="002760C5"/>
    <w:rsid w:val="0027680F"/>
    <w:rsid w:val="002768D7"/>
    <w:rsid w:val="00276ED0"/>
    <w:rsid w:val="00277966"/>
    <w:rsid w:val="0027799E"/>
    <w:rsid w:val="002779D1"/>
    <w:rsid w:val="00277D53"/>
    <w:rsid w:val="00280559"/>
    <w:rsid w:val="002805CA"/>
    <w:rsid w:val="00280623"/>
    <w:rsid w:val="00280810"/>
    <w:rsid w:val="00280B57"/>
    <w:rsid w:val="00280D7D"/>
    <w:rsid w:val="00281158"/>
    <w:rsid w:val="00281D5E"/>
    <w:rsid w:val="00281F15"/>
    <w:rsid w:val="00282225"/>
    <w:rsid w:val="00282645"/>
    <w:rsid w:val="0028267E"/>
    <w:rsid w:val="00282772"/>
    <w:rsid w:val="002829C0"/>
    <w:rsid w:val="00282C7A"/>
    <w:rsid w:val="00283141"/>
    <w:rsid w:val="00283398"/>
    <w:rsid w:val="002839CB"/>
    <w:rsid w:val="00283F99"/>
    <w:rsid w:val="00284063"/>
    <w:rsid w:val="00284124"/>
    <w:rsid w:val="002846CB"/>
    <w:rsid w:val="00284951"/>
    <w:rsid w:val="00284B2E"/>
    <w:rsid w:val="00284BC6"/>
    <w:rsid w:val="00284C45"/>
    <w:rsid w:val="00285158"/>
    <w:rsid w:val="0028578A"/>
    <w:rsid w:val="002858CC"/>
    <w:rsid w:val="00285E4B"/>
    <w:rsid w:val="00285EF3"/>
    <w:rsid w:val="00285FD2"/>
    <w:rsid w:val="00285FDD"/>
    <w:rsid w:val="00286086"/>
    <w:rsid w:val="00286DCA"/>
    <w:rsid w:val="00286DF2"/>
    <w:rsid w:val="002872CE"/>
    <w:rsid w:val="00287810"/>
    <w:rsid w:val="00287895"/>
    <w:rsid w:val="0028790C"/>
    <w:rsid w:val="00287B82"/>
    <w:rsid w:val="00287F2C"/>
    <w:rsid w:val="00290088"/>
    <w:rsid w:val="002904B7"/>
    <w:rsid w:val="0029083A"/>
    <w:rsid w:val="0029159E"/>
    <w:rsid w:val="00291C7E"/>
    <w:rsid w:val="00292933"/>
    <w:rsid w:val="00292E49"/>
    <w:rsid w:val="00292F79"/>
    <w:rsid w:val="00293274"/>
    <w:rsid w:val="002932E8"/>
    <w:rsid w:val="0029370C"/>
    <w:rsid w:val="002937AD"/>
    <w:rsid w:val="00293A03"/>
    <w:rsid w:val="00293BA9"/>
    <w:rsid w:val="00293D6C"/>
    <w:rsid w:val="002941E7"/>
    <w:rsid w:val="002941F7"/>
    <w:rsid w:val="002952B7"/>
    <w:rsid w:val="00295514"/>
    <w:rsid w:val="0029566F"/>
    <w:rsid w:val="002957BA"/>
    <w:rsid w:val="00295B78"/>
    <w:rsid w:val="0029656B"/>
    <w:rsid w:val="002968EF"/>
    <w:rsid w:val="00296DBA"/>
    <w:rsid w:val="00296EAF"/>
    <w:rsid w:val="00297197"/>
    <w:rsid w:val="00297985"/>
    <w:rsid w:val="002979A9"/>
    <w:rsid w:val="002A0296"/>
    <w:rsid w:val="002A07CD"/>
    <w:rsid w:val="002A0C5F"/>
    <w:rsid w:val="002A0EAD"/>
    <w:rsid w:val="002A1A4C"/>
    <w:rsid w:val="002A1B80"/>
    <w:rsid w:val="002A1CE4"/>
    <w:rsid w:val="002A202D"/>
    <w:rsid w:val="002A26D4"/>
    <w:rsid w:val="002A3774"/>
    <w:rsid w:val="002A3951"/>
    <w:rsid w:val="002A3A3A"/>
    <w:rsid w:val="002A3F05"/>
    <w:rsid w:val="002A3FFB"/>
    <w:rsid w:val="002A4322"/>
    <w:rsid w:val="002A4926"/>
    <w:rsid w:val="002A49FA"/>
    <w:rsid w:val="002A4EF1"/>
    <w:rsid w:val="002A4EF6"/>
    <w:rsid w:val="002A5091"/>
    <w:rsid w:val="002A50B4"/>
    <w:rsid w:val="002A517F"/>
    <w:rsid w:val="002A54F8"/>
    <w:rsid w:val="002A5562"/>
    <w:rsid w:val="002A5808"/>
    <w:rsid w:val="002A6406"/>
    <w:rsid w:val="002A68CF"/>
    <w:rsid w:val="002A6A7F"/>
    <w:rsid w:val="002A6B85"/>
    <w:rsid w:val="002A6FDC"/>
    <w:rsid w:val="002A7601"/>
    <w:rsid w:val="002B0B8E"/>
    <w:rsid w:val="002B1263"/>
    <w:rsid w:val="002B163D"/>
    <w:rsid w:val="002B1910"/>
    <w:rsid w:val="002B2665"/>
    <w:rsid w:val="002B27A5"/>
    <w:rsid w:val="002B2A07"/>
    <w:rsid w:val="002B2C8B"/>
    <w:rsid w:val="002B2E16"/>
    <w:rsid w:val="002B2F09"/>
    <w:rsid w:val="002B3635"/>
    <w:rsid w:val="002B3744"/>
    <w:rsid w:val="002B38DD"/>
    <w:rsid w:val="002B412A"/>
    <w:rsid w:val="002B42B6"/>
    <w:rsid w:val="002B4452"/>
    <w:rsid w:val="002B49AA"/>
    <w:rsid w:val="002B4E89"/>
    <w:rsid w:val="002B507B"/>
    <w:rsid w:val="002B5C41"/>
    <w:rsid w:val="002B61A1"/>
    <w:rsid w:val="002B636E"/>
    <w:rsid w:val="002B676D"/>
    <w:rsid w:val="002B6903"/>
    <w:rsid w:val="002B6D65"/>
    <w:rsid w:val="002B6E72"/>
    <w:rsid w:val="002B7067"/>
    <w:rsid w:val="002B72AD"/>
    <w:rsid w:val="002B7483"/>
    <w:rsid w:val="002B74AB"/>
    <w:rsid w:val="002B7B72"/>
    <w:rsid w:val="002B7C57"/>
    <w:rsid w:val="002C0236"/>
    <w:rsid w:val="002C1298"/>
    <w:rsid w:val="002C18C6"/>
    <w:rsid w:val="002C19EC"/>
    <w:rsid w:val="002C1EAD"/>
    <w:rsid w:val="002C3004"/>
    <w:rsid w:val="002C3A87"/>
    <w:rsid w:val="002C450F"/>
    <w:rsid w:val="002C4D44"/>
    <w:rsid w:val="002C5281"/>
    <w:rsid w:val="002C56CC"/>
    <w:rsid w:val="002C5B09"/>
    <w:rsid w:val="002C5BD8"/>
    <w:rsid w:val="002C5BF8"/>
    <w:rsid w:val="002C6154"/>
    <w:rsid w:val="002C6E80"/>
    <w:rsid w:val="002C6F1E"/>
    <w:rsid w:val="002C7707"/>
    <w:rsid w:val="002C7AAF"/>
    <w:rsid w:val="002C7AF6"/>
    <w:rsid w:val="002C7E03"/>
    <w:rsid w:val="002C7E90"/>
    <w:rsid w:val="002D0AD7"/>
    <w:rsid w:val="002D1398"/>
    <w:rsid w:val="002D1B5E"/>
    <w:rsid w:val="002D21B5"/>
    <w:rsid w:val="002D2447"/>
    <w:rsid w:val="002D24A1"/>
    <w:rsid w:val="002D2B2C"/>
    <w:rsid w:val="002D2D4B"/>
    <w:rsid w:val="002D3497"/>
    <w:rsid w:val="002D39C3"/>
    <w:rsid w:val="002D3BAA"/>
    <w:rsid w:val="002D429A"/>
    <w:rsid w:val="002D4854"/>
    <w:rsid w:val="002D4888"/>
    <w:rsid w:val="002D5000"/>
    <w:rsid w:val="002D500F"/>
    <w:rsid w:val="002D5EE1"/>
    <w:rsid w:val="002D611F"/>
    <w:rsid w:val="002D63E1"/>
    <w:rsid w:val="002D647A"/>
    <w:rsid w:val="002D6EA6"/>
    <w:rsid w:val="002D71E4"/>
    <w:rsid w:val="002D71E7"/>
    <w:rsid w:val="002D7850"/>
    <w:rsid w:val="002E0931"/>
    <w:rsid w:val="002E0B93"/>
    <w:rsid w:val="002E0B99"/>
    <w:rsid w:val="002E0BBE"/>
    <w:rsid w:val="002E0D5A"/>
    <w:rsid w:val="002E103D"/>
    <w:rsid w:val="002E2099"/>
    <w:rsid w:val="002E29A3"/>
    <w:rsid w:val="002E2A38"/>
    <w:rsid w:val="002E2B01"/>
    <w:rsid w:val="002E2F07"/>
    <w:rsid w:val="002E2FAB"/>
    <w:rsid w:val="002E2FBC"/>
    <w:rsid w:val="002E49CC"/>
    <w:rsid w:val="002E4D79"/>
    <w:rsid w:val="002E5143"/>
    <w:rsid w:val="002E52A8"/>
    <w:rsid w:val="002E55D4"/>
    <w:rsid w:val="002E5A89"/>
    <w:rsid w:val="002E5F5E"/>
    <w:rsid w:val="002E60E1"/>
    <w:rsid w:val="002E6698"/>
    <w:rsid w:val="002E6AA0"/>
    <w:rsid w:val="002E72A3"/>
    <w:rsid w:val="002E7FF0"/>
    <w:rsid w:val="002F08A0"/>
    <w:rsid w:val="002F0E4D"/>
    <w:rsid w:val="002F1384"/>
    <w:rsid w:val="002F21E2"/>
    <w:rsid w:val="002F242C"/>
    <w:rsid w:val="002F2DDD"/>
    <w:rsid w:val="002F3252"/>
    <w:rsid w:val="002F33B0"/>
    <w:rsid w:val="002F3E2F"/>
    <w:rsid w:val="002F4242"/>
    <w:rsid w:val="002F44D9"/>
    <w:rsid w:val="002F4CC8"/>
    <w:rsid w:val="002F4E8E"/>
    <w:rsid w:val="002F4F8B"/>
    <w:rsid w:val="002F4FF0"/>
    <w:rsid w:val="002F5348"/>
    <w:rsid w:val="002F5615"/>
    <w:rsid w:val="002F62F5"/>
    <w:rsid w:val="002F7D78"/>
    <w:rsid w:val="003000C4"/>
    <w:rsid w:val="00300128"/>
    <w:rsid w:val="003002E1"/>
    <w:rsid w:val="00300587"/>
    <w:rsid w:val="00300900"/>
    <w:rsid w:val="00300FFB"/>
    <w:rsid w:val="003019BC"/>
    <w:rsid w:val="00301C3E"/>
    <w:rsid w:val="00301D66"/>
    <w:rsid w:val="0030256C"/>
    <w:rsid w:val="00302EF4"/>
    <w:rsid w:val="00303722"/>
    <w:rsid w:val="0030395C"/>
    <w:rsid w:val="00303A6C"/>
    <w:rsid w:val="00303AC7"/>
    <w:rsid w:val="00303E8E"/>
    <w:rsid w:val="00303F8B"/>
    <w:rsid w:val="00304766"/>
    <w:rsid w:val="0030485C"/>
    <w:rsid w:val="0030537E"/>
    <w:rsid w:val="00305838"/>
    <w:rsid w:val="00305DB6"/>
    <w:rsid w:val="00306A00"/>
    <w:rsid w:val="00306B9F"/>
    <w:rsid w:val="003071FC"/>
    <w:rsid w:val="0030734F"/>
    <w:rsid w:val="0031021A"/>
    <w:rsid w:val="00310263"/>
    <w:rsid w:val="00310632"/>
    <w:rsid w:val="003106DB"/>
    <w:rsid w:val="00310DE3"/>
    <w:rsid w:val="00310E91"/>
    <w:rsid w:val="003113F1"/>
    <w:rsid w:val="00311C81"/>
    <w:rsid w:val="003120AC"/>
    <w:rsid w:val="003122A6"/>
    <w:rsid w:val="00312B32"/>
    <w:rsid w:val="00312E28"/>
    <w:rsid w:val="0031384B"/>
    <w:rsid w:val="00313868"/>
    <w:rsid w:val="00313F77"/>
    <w:rsid w:val="003147C7"/>
    <w:rsid w:val="00314965"/>
    <w:rsid w:val="00314BE5"/>
    <w:rsid w:val="00314D25"/>
    <w:rsid w:val="00314D6A"/>
    <w:rsid w:val="00314DC9"/>
    <w:rsid w:val="00315196"/>
    <w:rsid w:val="0031554A"/>
    <w:rsid w:val="00315E6C"/>
    <w:rsid w:val="00315F49"/>
    <w:rsid w:val="00316585"/>
    <w:rsid w:val="003165A0"/>
    <w:rsid w:val="00316812"/>
    <w:rsid w:val="003168FE"/>
    <w:rsid w:val="00316AAA"/>
    <w:rsid w:val="00317203"/>
    <w:rsid w:val="00317479"/>
    <w:rsid w:val="0031747A"/>
    <w:rsid w:val="003175A6"/>
    <w:rsid w:val="00317998"/>
    <w:rsid w:val="00317DB1"/>
    <w:rsid w:val="0032069C"/>
    <w:rsid w:val="0032105B"/>
    <w:rsid w:val="00321847"/>
    <w:rsid w:val="00321994"/>
    <w:rsid w:val="00321D47"/>
    <w:rsid w:val="003221B9"/>
    <w:rsid w:val="003221BB"/>
    <w:rsid w:val="00322282"/>
    <w:rsid w:val="00322945"/>
    <w:rsid w:val="00324793"/>
    <w:rsid w:val="00324C65"/>
    <w:rsid w:val="0032508C"/>
    <w:rsid w:val="003259BE"/>
    <w:rsid w:val="00325FF2"/>
    <w:rsid w:val="003260D2"/>
    <w:rsid w:val="00326CA0"/>
    <w:rsid w:val="00327415"/>
    <w:rsid w:val="00327537"/>
    <w:rsid w:val="0033074C"/>
    <w:rsid w:val="00330BC1"/>
    <w:rsid w:val="00330C15"/>
    <w:rsid w:val="003310CD"/>
    <w:rsid w:val="0033187D"/>
    <w:rsid w:val="003319B5"/>
    <w:rsid w:val="00331FA4"/>
    <w:rsid w:val="00332112"/>
    <w:rsid w:val="003324BB"/>
    <w:rsid w:val="00332575"/>
    <w:rsid w:val="00332A14"/>
    <w:rsid w:val="00332B67"/>
    <w:rsid w:val="00332F2B"/>
    <w:rsid w:val="00333AF1"/>
    <w:rsid w:val="00333E52"/>
    <w:rsid w:val="003341F0"/>
    <w:rsid w:val="0033454C"/>
    <w:rsid w:val="0033471F"/>
    <w:rsid w:val="0033563B"/>
    <w:rsid w:val="003359B1"/>
    <w:rsid w:val="003359D7"/>
    <w:rsid w:val="00335CCC"/>
    <w:rsid w:val="0033699A"/>
    <w:rsid w:val="00336BFE"/>
    <w:rsid w:val="00337090"/>
    <w:rsid w:val="003370BA"/>
    <w:rsid w:val="003373A0"/>
    <w:rsid w:val="0033756B"/>
    <w:rsid w:val="00337694"/>
    <w:rsid w:val="003376B1"/>
    <w:rsid w:val="003378EF"/>
    <w:rsid w:val="00337CA9"/>
    <w:rsid w:val="00340111"/>
    <w:rsid w:val="003404F0"/>
    <w:rsid w:val="003406C1"/>
    <w:rsid w:val="00340A44"/>
    <w:rsid w:val="00340D92"/>
    <w:rsid w:val="00340FD0"/>
    <w:rsid w:val="003411AD"/>
    <w:rsid w:val="0034141B"/>
    <w:rsid w:val="003414ED"/>
    <w:rsid w:val="00341506"/>
    <w:rsid w:val="00341697"/>
    <w:rsid w:val="003419DA"/>
    <w:rsid w:val="00342329"/>
    <w:rsid w:val="00342EF1"/>
    <w:rsid w:val="00343BF7"/>
    <w:rsid w:val="00343DB2"/>
    <w:rsid w:val="003446BB"/>
    <w:rsid w:val="003456EF"/>
    <w:rsid w:val="003457BF"/>
    <w:rsid w:val="00345860"/>
    <w:rsid w:val="00345A3B"/>
    <w:rsid w:val="00345C2F"/>
    <w:rsid w:val="00346026"/>
    <w:rsid w:val="00346197"/>
    <w:rsid w:val="0034623B"/>
    <w:rsid w:val="00346C5C"/>
    <w:rsid w:val="003470D3"/>
    <w:rsid w:val="00347277"/>
    <w:rsid w:val="0034768D"/>
    <w:rsid w:val="0034792B"/>
    <w:rsid w:val="00347AE9"/>
    <w:rsid w:val="00347C4B"/>
    <w:rsid w:val="00350095"/>
    <w:rsid w:val="003500E9"/>
    <w:rsid w:val="00350102"/>
    <w:rsid w:val="00350174"/>
    <w:rsid w:val="003502F7"/>
    <w:rsid w:val="00350CCF"/>
    <w:rsid w:val="003511E2"/>
    <w:rsid w:val="0035164B"/>
    <w:rsid w:val="00351660"/>
    <w:rsid w:val="00351847"/>
    <w:rsid w:val="00352315"/>
    <w:rsid w:val="00352549"/>
    <w:rsid w:val="00352596"/>
    <w:rsid w:val="00352817"/>
    <w:rsid w:val="00352889"/>
    <w:rsid w:val="00352E1F"/>
    <w:rsid w:val="003541A0"/>
    <w:rsid w:val="003548DF"/>
    <w:rsid w:val="00354938"/>
    <w:rsid w:val="00354C1E"/>
    <w:rsid w:val="00354E05"/>
    <w:rsid w:val="00354F31"/>
    <w:rsid w:val="00355773"/>
    <w:rsid w:val="0035578F"/>
    <w:rsid w:val="0035618B"/>
    <w:rsid w:val="00356638"/>
    <w:rsid w:val="00356B51"/>
    <w:rsid w:val="00356D1A"/>
    <w:rsid w:val="00356EAF"/>
    <w:rsid w:val="0035712F"/>
    <w:rsid w:val="003577AA"/>
    <w:rsid w:val="0035796C"/>
    <w:rsid w:val="00357B48"/>
    <w:rsid w:val="003600C5"/>
    <w:rsid w:val="003608AB"/>
    <w:rsid w:val="00360FDD"/>
    <w:rsid w:val="00361406"/>
    <w:rsid w:val="003618B7"/>
    <w:rsid w:val="00361C7E"/>
    <w:rsid w:val="00361E81"/>
    <w:rsid w:val="00361EE3"/>
    <w:rsid w:val="00361F78"/>
    <w:rsid w:val="00362126"/>
    <w:rsid w:val="00362200"/>
    <w:rsid w:val="0036252A"/>
    <w:rsid w:val="00363192"/>
    <w:rsid w:val="00363675"/>
    <w:rsid w:val="00363813"/>
    <w:rsid w:val="00363F9F"/>
    <w:rsid w:val="003643B0"/>
    <w:rsid w:val="003643DD"/>
    <w:rsid w:val="0036466F"/>
    <w:rsid w:val="00364B5E"/>
    <w:rsid w:val="00364FE9"/>
    <w:rsid w:val="0036531D"/>
    <w:rsid w:val="0036578E"/>
    <w:rsid w:val="0036585A"/>
    <w:rsid w:val="00365B5B"/>
    <w:rsid w:val="00366D54"/>
    <w:rsid w:val="00366E98"/>
    <w:rsid w:val="00366EE7"/>
    <w:rsid w:val="0036730E"/>
    <w:rsid w:val="0036737C"/>
    <w:rsid w:val="003673F6"/>
    <w:rsid w:val="00367A2F"/>
    <w:rsid w:val="0036A565"/>
    <w:rsid w:val="00370643"/>
    <w:rsid w:val="0037072E"/>
    <w:rsid w:val="00370D6C"/>
    <w:rsid w:val="003717A3"/>
    <w:rsid w:val="00371863"/>
    <w:rsid w:val="00371B69"/>
    <w:rsid w:val="00371BC2"/>
    <w:rsid w:val="00371D5C"/>
    <w:rsid w:val="00371ECF"/>
    <w:rsid w:val="00372143"/>
    <w:rsid w:val="00372261"/>
    <w:rsid w:val="00372299"/>
    <w:rsid w:val="003726EE"/>
    <w:rsid w:val="00372ABE"/>
    <w:rsid w:val="00372B8B"/>
    <w:rsid w:val="00372E2F"/>
    <w:rsid w:val="0037366D"/>
    <w:rsid w:val="0037385F"/>
    <w:rsid w:val="003738A8"/>
    <w:rsid w:val="00375410"/>
    <w:rsid w:val="00375546"/>
    <w:rsid w:val="003761D2"/>
    <w:rsid w:val="00376B32"/>
    <w:rsid w:val="00377957"/>
    <w:rsid w:val="00380851"/>
    <w:rsid w:val="0038105E"/>
    <w:rsid w:val="003810ED"/>
    <w:rsid w:val="00381433"/>
    <w:rsid w:val="003818EE"/>
    <w:rsid w:val="0038205B"/>
    <w:rsid w:val="00382A4C"/>
    <w:rsid w:val="00382AE8"/>
    <w:rsid w:val="00383599"/>
    <w:rsid w:val="0038361C"/>
    <w:rsid w:val="00383628"/>
    <w:rsid w:val="00384098"/>
    <w:rsid w:val="00384A0C"/>
    <w:rsid w:val="00384D1F"/>
    <w:rsid w:val="003851D3"/>
    <w:rsid w:val="003853AD"/>
    <w:rsid w:val="00385B3F"/>
    <w:rsid w:val="00386026"/>
    <w:rsid w:val="00386579"/>
    <w:rsid w:val="003867A9"/>
    <w:rsid w:val="00386D8A"/>
    <w:rsid w:val="00386DD9"/>
    <w:rsid w:val="0038709F"/>
    <w:rsid w:val="0038735B"/>
    <w:rsid w:val="003877C3"/>
    <w:rsid w:val="00387970"/>
    <w:rsid w:val="00387AEA"/>
    <w:rsid w:val="00387C3F"/>
    <w:rsid w:val="00387EB3"/>
    <w:rsid w:val="00390000"/>
    <w:rsid w:val="00390011"/>
    <w:rsid w:val="003901CC"/>
    <w:rsid w:val="003905EC"/>
    <w:rsid w:val="0039096A"/>
    <w:rsid w:val="00390D6F"/>
    <w:rsid w:val="00390DBF"/>
    <w:rsid w:val="00391746"/>
    <w:rsid w:val="003917DE"/>
    <w:rsid w:val="003920A8"/>
    <w:rsid w:val="00392188"/>
    <w:rsid w:val="003928C6"/>
    <w:rsid w:val="003929E2"/>
    <w:rsid w:val="00392D60"/>
    <w:rsid w:val="00393E2C"/>
    <w:rsid w:val="003944BE"/>
    <w:rsid w:val="003949A1"/>
    <w:rsid w:val="00394DDB"/>
    <w:rsid w:val="00394F3E"/>
    <w:rsid w:val="00395A00"/>
    <w:rsid w:val="00395B53"/>
    <w:rsid w:val="00395CE6"/>
    <w:rsid w:val="00395F0C"/>
    <w:rsid w:val="0039644E"/>
    <w:rsid w:val="00396CE8"/>
    <w:rsid w:val="00396D57"/>
    <w:rsid w:val="00397327"/>
    <w:rsid w:val="003976AB"/>
    <w:rsid w:val="00397E8B"/>
    <w:rsid w:val="003A06A6"/>
    <w:rsid w:val="003A0BFC"/>
    <w:rsid w:val="003A0C77"/>
    <w:rsid w:val="003A108D"/>
    <w:rsid w:val="003A1CB2"/>
    <w:rsid w:val="003A1DFE"/>
    <w:rsid w:val="003A1E3A"/>
    <w:rsid w:val="003A2073"/>
    <w:rsid w:val="003A224D"/>
    <w:rsid w:val="003A248F"/>
    <w:rsid w:val="003A3D5B"/>
    <w:rsid w:val="003A429C"/>
    <w:rsid w:val="003A432B"/>
    <w:rsid w:val="003A4858"/>
    <w:rsid w:val="003A4DF4"/>
    <w:rsid w:val="003A5D37"/>
    <w:rsid w:val="003A6550"/>
    <w:rsid w:val="003A6A7F"/>
    <w:rsid w:val="003A6BB5"/>
    <w:rsid w:val="003A6EA4"/>
    <w:rsid w:val="003A6FCD"/>
    <w:rsid w:val="003A7249"/>
    <w:rsid w:val="003A7499"/>
    <w:rsid w:val="003A7841"/>
    <w:rsid w:val="003A78D8"/>
    <w:rsid w:val="003A7D73"/>
    <w:rsid w:val="003B0738"/>
    <w:rsid w:val="003B166B"/>
    <w:rsid w:val="003B1845"/>
    <w:rsid w:val="003B1B30"/>
    <w:rsid w:val="003B20DA"/>
    <w:rsid w:val="003B20F2"/>
    <w:rsid w:val="003B2187"/>
    <w:rsid w:val="003B231D"/>
    <w:rsid w:val="003B28E5"/>
    <w:rsid w:val="003B2F8E"/>
    <w:rsid w:val="003B31B6"/>
    <w:rsid w:val="003B32C6"/>
    <w:rsid w:val="003B3530"/>
    <w:rsid w:val="003B3B5E"/>
    <w:rsid w:val="003B3DD2"/>
    <w:rsid w:val="003B413C"/>
    <w:rsid w:val="003B4215"/>
    <w:rsid w:val="003B4899"/>
    <w:rsid w:val="003B5352"/>
    <w:rsid w:val="003B56B8"/>
    <w:rsid w:val="003B57D4"/>
    <w:rsid w:val="003B5B4F"/>
    <w:rsid w:val="003B5D10"/>
    <w:rsid w:val="003B5FFD"/>
    <w:rsid w:val="003B6226"/>
    <w:rsid w:val="003B649B"/>
    <w:rsid w:val="003B6834"/>
    <w:rsid w:val="003B6A33"/>
    <w:rsid w:val="003B6B87"/>
    <w:rsid w:val="003B79BB"/>
    <w:rsid w:val="003B7A6B"/>
    <w:rsid w:val="003B7C5C"/>
    <w:rsid w:val="003B7E3C"/>
    <w:rsid w:val="003B7F1D"/>
    <w:rsid w:val="003C032A"/>
    <w:rsid w:val="003C0507"/>
    <w:rsid w:val="003C0B14"/>
    <w:rsid w:val="003C0D1E"/>
    <w:rsid w:val="003C137B"/>
    <w:rsid w:val="003C189E"/>
    <w:rsid w:val="003C194E"/>
    <w:rsid w:val="003C1C2B"/>
    <w:rsid w:val="003C1D56"/>
    <w:rsid w:val="003C1DAE"/>
    <w:rsid w:val="003C215E"/>
    <w:rsid w:val="003C31F7"/>
    <w:rsid w:val="003C3434"/>
    <w:rsid w:val="003C3C75"/>
    <w:rsid w:val="003C3D1F"/>
    <w:rsid w:val="003C3FAF"/>
    <w:rsid w:val="003C4249"/>
    <w:rsid w:val="003C4BCE"/>
    <w:rsid w:val="003C4E82"/>
    <w:rsid w:val="003C52AC"/>
    <w:rsid w:val="003C53FD"/>
    <w:rsid w:val="003C58B5"/>
    <w:rsid w:val="003C5E2A"/>
    <w:rsid w:val="003C5E9A"/>
    <w:rsid w:val="003C62A3"/>
    <w:rsid w:val="003C652F"/>
    <w:rsid w:val="003C7076"/>
    <w:rsid w:val="003C7266"/>
    <w:rsid w:val="003C75A7"/>
    <w:rsid w:val="003C7883"/>
    <w:rsid w:val="003C7B61"/>
    <w:rsid w:val="003C7F09"/>
    <w:rsid w:val="003D1031"/>
    <w:rsid w:val="003D1068"/>
    <w:rsid w:val="003D184D"/>
    <w:rsid w:val="003D2426"/>
    <w:rsid w:val="003D2632"/>
    <w:rsid w:val="003D2998"/>
    <w:rsid w:val="003D29D1"/>
    <w:rsid w:val="003D2B91"/>
    <w:rsid w:val="003D304B"/>
    <w:rsid w:val="003D3467"/>
    <w:rsid w:val="003D3656"/>
    <w:rsid w:val="003D3C81"/>
    <w:rsid w:val="003D42F6"/>
    <w:rsid w:val="003D53C2"/>
    <w:rsid w:val="003D5C12"/>
    <w:rsid w:val="003D66F3"/>
    <w:rsid w:val="003D69D6"/>
    <w:rsid w:val="003D6A14"/>
    <w:rsid w:val="003D6C59"/>
    <w:rsid w:val="003D7077"/>
    <w:rsid w:val="003D7119"/>
    <w:rsid w:val="003D74BB"/>
    <w:rsid w:val="003D7F1E"/>
    <w:rsid w:val="003D7F22"/>
    <w:rsid w:val="003D7F40"/>
    <w:rsid w:val="003E0701"/>
    <w:rsid w:val="003E07EC"/>
    <w:rsid w:val="003E0E36"/>
    <w:rsid w:val="003E0F91"/>
    <w:rsid w:val="003E1022"/>
    <w:rsid w:val="003E206B"/>
    <w:rsid w:val="003E2224"/>
    <w:rsid w:val="003E308E"/>
    <w:rsid w:val="003E3296"/>
    <w:rsid w:val="003E5275"/>
    <w:rsid w:val="003E5682"/>
    <w:rsid w:val="003E57A9"/>
    <w:rsid w:val="003E5A73"/>
    <w:rsid w:val="003E5DB0"/>
    <w:rsid w:val="003E5F1B"/>
    <w:rsid w:val="003E649C"/>
    <w:rsid w:val="003E68F6"/>
    <w:rsid w:val="003E749E"/>
    <w:rsid w:val="003E75C4"/>
    <w:rsid w:val="003E7878"/>
    <w:rsid w:val="003E78E5"/>
    <w:rsid w:val="003E7A1F"/>
    <w:rsid w:val="003E7F8F"/>
    <w:rsid w:val="003F04C3"/>
    <w:rsid w:val="003F04D9"/>
    <w:rsid w:val="003F0C97"/>
    <w:rsid w:val="003F1103"/>
    <w:rsid w:val="003F13DA"/>
    <w:rsid w:val="003F1D26"/>
    <w:rsid w:val="003F2354"/>
    <w:rsid w:val="003F26C9"/>
    <w:rsid w:val="003F27B0"/>
    <w:rsid w:val="003F2914"/>
    <w:rsid w:val="003F2DA6"/>
    <w:rsid w:val="003F3205"/>
    <w:rsid w:val="003F3A28"/>
    <w:rsid w:val="003F4326"/>
    <w:rsid w:val="003F4F09"/>
    <w:rsid w:val="003F549D"/>
    <w:rsid w:val="003F55B1"/>
    <w:rsid w:val="003F60F5"/>
    <w:rsid w:val="003F61B0"/>
    <w:rsid w:val="003F66A8"/>
    <w:rsid w:val="003F6820"/>
    <w:rsid w:val="003F6AB9"/>
    <w:rsid w:val="003F73F8"/>
    <w:rsid w:val="003F79D8"/>
    <w:rsid w:val="0040078D"/>
    <w:rsid w:val="0040088F"/>
    <w:rsid w:val="00400E51"/>
    <w:rsid w:val="00401128"/>
    <w:rsid w:val="004013E2"/>
    <w:rsid w:val="0040147C"/>
    <w:rsid w:val="00401A7F"/>
    <w:rsid w:val="00401DDC"/>
    <w:rsid w:val="00402984"/>
    <w:rsid w:val="004029D8"/>
    <w:rsid w:val="00402CB5"/>
    <w:rsid w:val="00402DDE"/>
    <w:rsid w:val="004030B5"/>
    <w:rsid w:val="004034F4"/>
    <w:rsid w:val="004036BA"/>
    <w:rsid w:val="00403A40"/>
    <w:rsid w:val="00403EC0"/>
    <w:rsid w:val="00403F0F"/>
    <w:rsid w:val="00404216"/>
    <w:rsid w:val="00404580"/>
    <w:rsid w:val="00404D98"/>
    <w:rsid w:val="00404DCB"/>
    <w:rsid w:val="004050E0"/>
    <w:rsid w:val="0040535D"/>
    <w:rsid w:val="00405805"/>
    <w:rsid w:val="0040642D"/>
    <w:rsid w:val="00406466"/>
    <w:rsid w:val="00406ABD"/>
    <w:rsid w:val="00407A84"/>
    <w:rsid w:val="00407A8F"/>
    <w:rsid w:val="00407E4B"/>
    <w:rsid w:val="004102B3"/>
    <w:rsid w:val="004109CE"/>
    <w:rsid w:val="00410A9F"/>
    <w:rsid w:val="00411009"/>
    <w:rsid w:val="00412092"/>
    <w:rsid w:val="00412632"/>
    <w:rsid w:val="004138C6"/>
    <w:rsid w:val="0041468C"/>
    <w:rsid w:val="00414762"/>
    <w:rsid w:val="004147CE"/>
    <w:rsid w:val="004149BE"/>
    <w:rsid w:val="00414A15"/>
    <w:rsid w:val="00414A2F"/>
    <w:rsid w:val="004152B7"/>
    <w:rsid w:val="00415533"/>
    <w:rsid w:val="0041580C"/>
    <w:rsid w:val="00415D8F"/>
    <w:rsid w:val="00416064"/>
    <w:rsid w:val="004161B7"/>
    <w:rsid w:val="0041651E"/>
    <w:rsid w:val="00416CED"/>
    <w:rsid w:val="0041725E"/>
    <w:rsid w:val="00417AA7"/>
    <w:rsid w:val="00417E20"/>
    <w:rsid w:val="004202DB"/>
    <w:rsid w:val="00420A61"/>
    <w:rsid w:val="00420B77"/>
    <w:rsid w:val="00421019"/>
    <w:rsid w:val="004212DA"/>
    <w:rsid w:val="004220F8"/>
    <w:rsid w:val="004224A1"/>
    <w:rsid w:val="0042337B"/>
    <w:rsid w:val="00423394"/>
    <w:rsid w:val="00423CB8"/>
    <w:rsid w:val="00423D3D"/>
    <w:rsid w:val="00424673"/>
    <w:rsid w:val="004246F7"/>
    <w:rsid w:val="00424850"/>
    <w:rsid w:val="00424880"/>
    <w:rsid w:val="00424AFA"/>
    <w:rsid w:val="00425469"/>
    <w:rsid w:val="00425509"/>
    <w:rsid w:val="00425570"/>
    <w:rsid w:val="004256C9"/>
    <w:rsid w:val="004264C5"/>
    <w:rsid w:val="00426802"/>
    <w:rsid w:val="004276A9"/>
    <w:rsid w:val="004277CD"/>
    <w:rsid w:val="00427DC4"/>
    <w:rsid w:val="004300FB"/>
    <w:rsid w:val="00430681"/>
    <w:rsid w:val="004308C2"/>
    <w:rsid w:val="00430EFA"/>
    <w:rsid w:val="0043104D"/>
    <w:rsid w:val="004311D2"/>
    <w:rsid w:val="0043156D"/>
    <w:rsid w:val="0043194D"/>
    <w:rsid w:val="00431ACF"/>
    <w:rsid w:val="0043236C"/>
    <w:rsid w:val="004326E3"/>
    <w:rsid w:val="00432799"/>
    <w:rsid w:val="004333AD"/>
    <w:rsid w:val="00433779"/>
    <w:rsid w:val="00433D25"/>
    <w:rsid w:val="0043407D"/>
    <w:rsid w:val="00434660"/>
    <w:rsid w:val="0043468A"/>
    <w:rsid w:val="00434D3D"/>
    <w:rsid w:val="00434E27"/>
    <w:rsid w:val="00435781"/>
    <w:rsid w:val="00435858"/>
    <w:rsid w:val="0043587E"/>
    <w:rsid w:val="00435CE0"/>
    <w:rsid w:val="00436080"/>
    <w:rsid w:val="004364C8"/>
    <w:rsid w:val="00436A4D"/>
    <w:rsid w:val="00436D26"/>
    <w:rsid w:val="004370E5"/>
    <w:rsid w:val="00437334"/>
    <w:rsid w:val="00437535"/>
    <w:rsid w:val="004376D7"/>
    <w:rsid w:val="004379FE"/>
    <w:rsid w:val="00437B05"/>
    <w:rsid w:val="00437B25"/>
    <w:rsid w:val="00437D33"/>
    <w:rsid w:val="00437DF9"/>
    <w:rsid w:val="004400F4"/>
    <w:rsid w:val="0044047A"/>
    <w:rsid w:val="004406E2"/>
    <w:rsid w:val="004409AC"/>
    <w:rsid w:val="00440B37"/>
    <w:rsid w:val="00441DE3"/>
    <w:rsid w:val="00442103"/>
    <w:rsid w:val="004422B8"/>
    <w:rsid w:val="00442634"/>
    <w:rsid w:val="00442979"/>
    <w:rsid w:val="00442D09"/>
    <w:rsid w:val="00443564"/>
    <w:rsid w:val="004447A9"/>
    <w:rsid w:val="004448AB"/>
    <w:rsid w:val="00444C12"/>
    <w:rsid w:val="00445107"/>
    <w:rsid w:val="00445123"/>
    <w:rsid w:val="0044521B"/>
    <w:rsid w:val="004455C1"/>
    <w:rsid w:val="004457FA"/>
    <w:rsid w:val="0044607B"/>
    <w:rsid w:val="00446B95"/>
    <w:rsid w:val="0044778E"/>
    <w:rsid w:val="00447A3F"/>
    <w:rsid w:val="00447DA0"/>
    <w:rsid w:val="00447F10"/>
    <w:rsid w:val="00450309"/>
    <w:rsid w:val="00450B39"/>
    <w:rsid w:val="0045152B"/>
    <w:rsid w:val="00451A84"/>
    <w:rsid w:val="00451DA9"/>
    <w:rsid w:val="0045341C"/>
    <w:rsid w:val="004534E8"/>
    <w:rsid w:val="0045363E"/>
    <w:rsid w:val="00453E85"/>
    <w:rsid w:val="00454398"/>
    <w:rsid w:val="0045483B"/>
    <w:rsid w:val="00455D3E"/>
    <w:rsid w:val="004569A6"/>
    <w:rsid w:val="00456AB5"/>
    <w:rsid w:val="00456CA9"/>
    <w:rsid w:val="0045749E"/>
    <w:rsid w:val="00460B1D"/>
    <w:rsid w:val="00461464"/>
    <w:rsid w:val="00461980"/>
    <w:rsid w:val="00462400"/>
    <w:rsid w:val="0046250A"/>
    <w:rsid w:val="00462DE3"/>
    <w:rsid w:val="00463594"/>
    <w:rsid w:val="004643CA"/>
    <w:rsid w:val="00464A02"/>
    <w:rsid w:val="00464C56"/>
    <w:rsid w:val="00464DE9"/>
    <w:rsid w:val="00464F48"/>
    <w:rsid w:val="0046583F"/>
    <w:rsid w:val="0046608F"/>
    <w:rsid w:val="0046642E"/>
    <w:rsid w:val="00466533"/>
    <w:rsid w:val="004669C1"/>
    <w:rsid w:val="00466C0B"/>
    <w:rsid w:val="00466E2F"/>
    <w:rsid w:val="00466FBF"/>
    <w:rsid w:val="00467018"/>
    <w:rsid w:val="00467EEC"/>
    <w:rsid w:val="00467F4A"/>
    <w:rsid w:val="00470568"/>
    <w:rsid w:val="004717DE"/>
    <w:rsid w:val="00471917"/>
    <w:rsid w:val="00472B29"/>
    <w:rsid w:val="004734FE"/>
    <w:rsid w:val="004736E1"/>
    <w:rsid w:val="00473882"/>
    <w:rsid w:val="00473AEE"/>
    <w:rsid w:val="00474200"/>
    <w:rsid w:val="004742F5"/>
    <w:rsid w:val="004745B5"/>
    <w:rsid w:val="00474688"/>
    <w:rsid w:val="0047488B"/>
    <w:rsid w:val="00474903"/>
    <w:rsid w:val="00474A17"/>
    <w:rsid w:val="004751AD"/>
    <w:rsid w:val="0047563C"/>
    <w:rsid w:val="0047567E"/>
    <w:rsid w:val="004757FD"/>
    <w:rsid w:val="00475F58"/>
    <w:rsid w:val="00476505"/>
    <w:rsid w:val="004765D7"/>
    <w:rsid w:val="00476627"/>
    <w:rsid w:val="00476972"/>
    <w:rsid w:val="00476FB1"/>
    <w:rsid w:val="004770DF"/>
    <w:rsid w:val="0047736A"/>
    <w:rsid w:val="004776A7"/>
    <w:rsid w:val="00477B38"/>
    <w:rsid w:val="0048027B"/>
    <w:rsid w:val="00480964"/>
    <w:rsid w:val="00480BBF"/>
    <w:rsid w:val="00480BC0"/>
    <w:rsid w:val="00481618"/>
    <w:rsid w:val="00481627"/>
    <w:rsid w:val="00481B2B"/>
    <w:rsid w:val="00482915"/>
    <w:rsid w:val="0048308F"/>
    <w:rsid w:val="00483220"/>
    <w:rsid w:val="004836C8"/>
    <w:rsid w:val="00483E12"/>
    <w:rsid w:val="00484918"/>
    <w:rsid w:val="00485345"/>
    <w:rsid w:val="004856CA"/>
    <w:rsid w:val="00485BC2"/>
    <w:rsid w:val="00486958"/>
    <w:rsid w:val="00486CA4"/>
    <w:rsid w:val="00486DCF"/>
    <w:rsid w:val="00486EB0"/>
    <w:rsid w:val="00487FD9"/>
    <w:rsid w:val="00490126"/>
    <w:rsid w:val="004903DC"/>
    <w:rsid w:val="004904DB"/>
    <w:rsid w:val="004904FF"/>
    <w:rsid w:val="00490AC9"/>
    <w:rsid w:val="00490FF0"/>
    <w:rsid w:val="0049104D"/>
    <w:rsid w:val="00491774"/>
    <w:rsid w:val="0049185C"/>
    <w:rsid w:val="0049187A"/>
    <w:rsid w:val="00491A0A"/>
    <w:rsid w:val="00491C08"/>
    <w:rsid w:val="00491D60"/>
    <w:rsid w:val="00491FD9"/>
    <w:rsid w:val="00492A7A"/>
    <w:rsid w:val="00492B5B"/>
    <w:rsid w:val="00492C03"/>
    <w:rsid w:val="00493106"/>
    <w:rsid w:val="0049313A"/>
    <w:rsid w:val="0049335D"/>
    <w:rsid w:val="00493874"/>
    <w:rsid w:val="0049418B"/>
    <w:rsid w:val="00495337"/>
    <w:rsid w:val="00495463"/>
    <w:rsid w:val="00495BF7"/>
    <w:rsid w:val="0049608D"/>
    <w:rsid w:val="004963AD"/>
    <w:rsid w:val="004965FF"/>
    <w:rsid w:val="0049672C"/>
    <w:rsid w:val="004969F5"/>
    <w:rsid w:val="00496C7B"/>
    <w:rsid w:val="00497052"/>
    <w:rsid w:val="004A0054"/>
    <w:rsid w:val="004A0230"/>
    <w:rsid w:val="004A03C1"/>
    <w:rsid w:val="004A0523"/>
    <w:rsid w:val="004A0A6D"/>
    <w:rsid w:val="004A0B43"/>
    <w:rsid w:val="004A100E"/>
    <w:rsid w:val="004A16F0"/>
    <w:rsid w:val="004A1B7F"/>
    <w:rsid w:val="004A1BA5"/>
    <w:rsid w:val="004A1D1A"/>
    <w:rsid w:val="004A247E"/>
    <w:rsid w:val="004A26BE"/>
    <w:rsid w:val="004A27D9"/>
    <w:rsid w:val="004A29FC"/>
    <w:rsid w:val="004A2C4F"/>
    <w:rsid w:val="004A3183"/>
    <w:rsid w:val="004A3820"/>
    <w:rsid w:val="004A3B00"/>
    <w:rsid w:val="004A3D0A"/>
    <w:rsid w:val="004A3F80"/>
    <w:rsid w:val="004A4077"/>
    <w:rsid w:val="004A41F1"/>
    <w:rsid w:val="004A427A"/>
    <w:rsid w:val="004A45CC"/>
    <w:rsid w:val="004A460F"/>
    <w:rsid w:val="004A46FF"/>
    <w:rsid w:val="004A4A7F"/>
    <w:rsid w:val="004A4DE7"/>
    <w:rsid w:val="004A51C6"/>
    <w:rsid w:val="004A5F80"/>
    <w:rsid w:val="004A6CD4"/>
    <w:rsid w:val="004A6E80"/>
    <w:rsid w:val="004A6ED8"/>
    <w:rsid w:val="004A6FC4"/>
    <w:rsid w:val="004A728A"/>
    <w:rsid w:val="004A7513"/>
    <w:rsid w:val="004A7932"/>
    <w:rsid w:val="004B0312"/>
    <w:rsid w:val="004B06A8"/>
    <w:rsid w:val="004B0F96"/>
    <w:rsid w:val="004B107C"/>
    <w:rsid w:val="004B1536"/>
    <w:rsid w:val="004B1577"/>
    <w:rsid w:val="004B2327"/>
    <w:rsid w:val="004B256F"/>
    <w:rsid w:val="004B2C29"/>
    <w:rsid w:val="004B3026"/>
    <w:rsid w:val="004B339B"/>
    <w:rsid w:val="004B34E8"/>
    <w:rsid w:val="004B3C8F"/>
    <w:rsid w:val="004B5147"/>
    <w:rsid w:val="004B563A"/>
    <w:rsid w:val="004B5693"/>
    <w:rsid w:val="004B5B3C"/>
    <w:rsid w:val="004B5C3E"/>
    <w:rsid w:val="004B5FBF"/>
    <w:rsid w:val="004B60FC"/>
    <w:rsid w:val="004B629D"/>
    <w:rsid w:val="004B635F"/>
    <w:rsid w:val="004B6DE1"/>
    <w:rsid w:val="004B7002"/>
    <w:rsid w:val="004B70F4"/>
    <w:rsid w:val="004B717F"/>
    <w:rsid w:val="004B7209"/>
    <w:rsid w:val="004B7274"/>
    <w:rsid w:val="004B7410"/>
    <w:rsid w:val="004B77F0"/>
    <w:rsid w:val="004B7A04"/>
    <w:rsid w:val="004B7B02"/>
    <w:rsid w:val="004C0200"/>
    <w:rsid w:val="004C0E4B"/>
    <w:rsid w:val="004C15AC"/>
    <w:rsid w:val="004C16C4"/>
    <w:rsid w:val="004C2AD4"/>
    <w:rsid w:val="004C2CDD"/>
    <w:rsid w:val="004C2F06"/>
    <w:rsid w:val="004C33D4"/>
    <w:rsid w:val="004C3984"/>
    <w:rsid w:val="004C3ECF"/>
    <w:rsid w:val="004C40A6"/>
    <w:rsid w:val="004C4449"/>
    <w:rsid w:val="004C4E6E"/>
    <w:rsid w:val="004C58CF"/>
    <w:rsid w:val="004C5E2D"/>
    <w:rsid w:val="004C6A6D"/>
    <w:rsid w:val="004C6C64"/>
    <w:rsid w:val="004C6E40"/>
    <w:rsid w:val="004C6FD4"/>
    <w:rsid w:val="004D086A"/>
    <w:rsid w:val="004D089B"/>
    <w:rsid w:val="004D0B09"/>
    <w:rsid w:val="004D0FCE"/>
    <w:rsid w:val="004D1461"/>
    <w:rsid w:val="004D1C94"/>
    <w:rsid w:val="004D2656"/>
    <w:rsid w:val="004D3665"/>
    <w:rsid w:val="004D3BC6"/>
    <w:rsid w:val="004D4099"/>
    <w:rsid w:val="004D4A6C"/>
    <w:rsid w:val="004D4EAC"/>
    <w:rsid w:val="004D5304"/>
    <w:rsid w:val="004D533C"/>
    <w:rsid w:val="004D5556"/>
    <w:rsid w:val="004D59DE"/>
    <w:rsid w:val="004D6946"/>
    <w:rsid w:val="004D71FD"/>
    <w:rsid w:val="004D75A4"/>
    <w:rsid w:val="004D76B4"/>
    <w:rsid w:val="004D7A2A"/>
    <w:rsid w:val="004E0013"/>
    <w:rsid w:val="004E0B07"/>
    <w:rsid w:val="004E0E04"/>
    <w:rsid w:val="004E12F8"/>
    <w:rsid w:val="004E1A24"/>
    <w:rsid w:val="004E1F5C"/>
    <w:rsid w:val="004E2026"/>
    <w:rsid w:val="004E2196"/>
    <w:rsid w:val="004E2711"/>
    <w:rsid w:val="004E2860"/>
    <w:rsid w:val="004E33F0"/>
    <w:rsid w:val="004E4157"/>
    <w:rsid w:val="004E4A16"/>
    <w:rsid w:val="004E4CBA"/>
    <w:rsid w:val="004E59FE"/>
    <w:rsid w:val="004E5E74"/>
    <w:rsid w:val="004E6564"/>
    <w:rsid w:val="004E7002"/>
    <w:rsid w:val="004E7276"/>
    <w:rsid w:val="004E7A89"/>
    <w:rsid w:val="004F0345"/>
    <w:rsid w:val="004F0B37"/>
    <w:rsid w:val="004F10A1"/>
    <w:rsid w:val="004F176D"/>
    <w:rsid w:val="004F1B18"/>
    <w:rsid w:val="004F1C4B"/>
    <w:rsid w:val="004F1D30"/>
    <w:rsid w:val="004F1E4D"/>
    <w:rsid w:val="004F21CB"/>
    <w:rsid w:val="004F24BC"/>
    <w:rsid w:val="004F2BC5"/>
    <w:rsid w:val="004F319B"/>
    <w:rsid w:val="004F32CD"/>
    <w:rsid w:val="004F368B"/>
    <w:rsid w:val="004F373D"/>
    <w:rsid w:val="004F3904"/>
    <w:rsid w:val="004F3A45"/>
    <w:rsid w:val="004F3B29"/>
    <w:rsid w:val="004F3EEB"/>
    <w:rsid w:val="004F40BD"/>
    <w:rsid w:val="004F42D5"/>
    <w:rsid w:val="004F431D"/>
    <w:rsid w:val="004F4497"/>
    <w:rsid w:val="004F4555"/>
    <w:rsid w:val="004F483C"/>
    <w:rsid w:val="004F4902"/>
    <w:rsid w:val="004F4D1D"/>
    <w:rsid w:val="004F5E2B"/>
    <w:rsid w:val="004F6073"/>
    <w:rsid w:val="004F63D5"/>
    <w:rsid w:val="004F6841"/>
    <w:rsid w:val="004F6A6C"/>
    <w:rsid w:val="004F6D92"/>
    <w:rsid w:val="004F7125"/>
    <w:rsid w:val="004F726E"/>
    <w:rsid w:val="004F7396"/>
    <w:rsid w:val="004F7792"/>
    <w:rsid w:val="004F7B8F"/>
    <w:rsid w:val="004F7FED"/>
    <w:rsid w:val="00500462"/>
    <w:rsid w:val="00500619"/>
    <w:rsid w:val="0050061A"/>
    <w:rsid w:val="005006FA"/>
    <w:rsid w:val="00500A30"/>
    <w:rsid w:val="00500C4D"/>
    <w:rsid w:val="00500CBE"/>
    <w:rsid w:val="00500D87"/>
    <w:rsid w:val="00501781"/>
    <w:rsid w:val="00502391"/>
    <w:rsid w:val="00502463"/>
    <w:rsid w:val="005026A6"/>
    <w:rsid w:val="00502ED6"/>
    <w:rsid w:val="00503456"/>
    <w:rsid w:val="00503583"/>
    <w:rsid w:val="00503D42"/>
    <w:rsid w:val="00503DDE"/>
    <w:rsid w:val="00504235"/>
    <w:rsid w:val="00504560"/>
    <w:rsid w:val="005047C2"/>
    <w:rsid w:val="00504872"/>
    <w:rsid w:val="0050581A"/>
    <w:rsid w:val="00505871"/>
    <w:rsid w:val="005061EA"/>
    <w:rsid w:val="0050684E"/>
    <w:rsid w:val="00506AF8"/>
    <w:rsid w:val="00507576"/>
    <w:rsid w:val="005077EB"/>
    <w:rsid w:val="00507926"/>
    <w:rsid w:val="0051078A"/>
    <w:rsid w:val="00510AB8"/>
    <w:rsid w:val="00511508"/>
    <w:rsid w:val="005118A5"/>
    <w:rsid w:val="00511E07"/>
    <w:rsid w:val="00512149"/>
    <w:rsid w:val="0051235C"/>
    <w:rsid w:val="005126E9"/>
    <w:rsid w:val="0051280B"/>
    <w:rsid w:val="00512A53"/>
    <w:rsid w:val="00512DE4"/>
    <w:rsid w:val="005130B9"/>
    <w:rsid w:val="0051344C"/>
    <w:rsid w:val="0051389E"/>
    <w:rsid w:val="00513D82"/>
    <w:rsid w:val="00514127"/>
    <w:rsid w:val="005144D5"/>
    <w:rsid w:val="0051474D"/>
    <w:rsid w:val="00514E19"/>
    <w:rsid w:val="00515F87"/>
    <w:rsid w:val="005160D8"/>
    <w:rsid w:val="00517028"/>
    <w:rsid w:val="005176E3"/>
    <w:rsid w:val="00517D49"/>
    <w:rsid w:val="005204AE"/>
    <w:rsid w:val="0052093C"/>
    <w:rsid w:val="00520A90"/>
    <w:rsid w:val="00520B84"/>
    <w:rsid w:val="00520DC7"/>
    <w:rsid w:val="00522329"/>
    <w:rsid w:val="0052261E"/>
    <w:rsid w:val="00522FC9"/>
    <w:rsid w:val="00523DA9"/>
    <w:rsid w:val="005246FF"/>
    <w:rsid w:val="00524749"/>
    <w:rsid w:val="00524B8D"/>
    <w:rsid w:val="005254F4"/>
    <w:rsid w:val="00525B48"/>
    <w:rsid w:val="0052601F"/>
    <w:rsid w:val="005265E5"/>
    <w:rsid w:val="005266AB"/>
    <w:rsid w:val="00527FC5"/>
    <w:rsid w:val="0053033C"/>
    <w:rsid w:val="0053066C"/>
    <w:rsid w:val="00530A26"/>
    <w:rsid w:val="00530CDF"/>
    <w:rsid w:val="00530DAA"/>
    <w:rsid w:val="00530FE6"/>
    <w:rsid w:val="0053129A"/>
    <w:rsid w:val="00531683"/>
    <w:rsid w:val="0053172E"/>
    <w:rsid w:val="00531A93"/>
    <w:rsid w:val="005320E7"/>
    <w:rsid w:val="005329AB"/>
    <w:rsid w:val="00532C87"/>
    <w:rsid w:val="00533210"/>
    <w:rsid w:val="0053466E"/>
    <w:rsid w:val="00534A02"/>
    <w:rsid w:val="00534C20"/>
    <w:rsid w:val="0053639B"/>
    <w:rsid w:val="00536401"/>
    <w:rsid w:val="00536A70"/>
    <w:rsid w:val="00536C0E"/>
    <w:rsid w:val="00536FE9"/>
    <w:rsid w:val="005372A9"/>
    <w:rsid w:val="005375D1"/>
    <w:rsid w:val="00537818"/>
    <w:rsid w:val="00537C2C"/>
    <w:rsid w:val="00537CDC"/>
    <w:rsid w:val="0054012B"/>
    <w:rsid w:val="005402C2"/>
    <w:rsid w:val="005404B8"/>
    <w:rsid w:val="0054051F"/>
    <w:rsid w:val="00540975"/>
    <w:rsid w:val="00541E65"/>
    <w:rsid w:val="005420E6"/>
    <w:rsid w:val="0054245E"/>
    <w:rsid w:val="00542830"/>
    <w:rsid w:val="00543054"/>
    <w:rsid w:val="00543288"/>
    <w:rsid w:val="00543386"/>
    <w:rsid w:val="00543EAF"/>
    <w:rsid w:val="0054415A"/>
    <w:rsid w:val="0054495B"/>
    <w:rsid w:val="00544C19"/>
    <w:rsid w:val="00544C2C"/>
    <w:rsid w:val="00545334"/>
    <w:rsid w:val="00545A6E"/>
    <w:rsid w:val="0054686A"/>
    <w:rsid w:val="0054698B"/>
    <w:rsid w:val="00546AF9"/>
    <w:rsid w:val="005471AC"/>
    <w:rsid w:val="00547931"/>
    <w:rsid w:val="00550203"/>
    <w:rsid w:val="00550E2A"/>
    <w:rsid w:val="00551143"/>
    <w:rsid w:val="005511BC"/>
    <w:rsid w:val="00551C92"/>
    <w:rsid w:val="005522DB"/>
    <w:rsid w:val="00553170"/>
    <w:rsid w:val="0055337B"/>
    <w:rsid w:val="005534FD"/>
    <w:rsid w:val="00554A45"/>
    <w:rsid w:val="0055505D"/>
    <w:rsid w:val="00555302"/>
    <w:rsid w:val="0055536D"/>
    <w:rsid w:val="005557C3"/>
    <w:rsid w:val="005559D3"/>
    <w:rsid w:val="005564C6"/>
    <w:rsid w:val="00556539"/>
    <w:rsid w:val="00556868"/>
    <w:rsid w:val="00556D46"/>
    <w:rsid w:val="005570D1"/>
    <w:rsid w:val="0055717E"/>
    <w:rsid w:val="00557348"/>
    <w:rsid w:val="00557F2B"/>
    <w:rsid w:val="00560427"/>
    <w:rsid w:val="005610F1"/>
    <w:rsid w:val="00561555"/>
    <w:rsid w:val="00561974"/>
    <w:rsid w:val="005622A5"/>
    <w:rsid w:val="005622FE"/>
    <w:rsid w:val="0056278E"/>
    <w:rsid w:val="0056281E"/>
    <w:rsid w:val="00562CA2"/>
    <w:rsid w:val="00562D90"/>
    <w:rsid w:val="005635AD"/>
    <w:rsid w:val="005635C9"/>
    <w:rsid w:val="00563814"/>
    <w:rsid w:val="00563826"/>
    <w:rsid w:val="005641C4"/>
    <w:rsid w:val="00564813"/>
    <w:rsid w:val="005649EA"/>
    <w:rsid w:val="00564F33"/>
    <w:rsid w:val="00565281"/>
    <w:rsid w:val="005658B0"/>
    <w:rsid w:val="00565E45"/>
    <w:rsid w:val="00566417"/>
    <w:rsid w:val="0056674B"/>
    <w:rsid w:val="00566BE8"/>
    <w:rsid w:val="005677CD"/>
    <w:rsid w:val="005679EA"/>
    <w:rsid w:val="00567B6A"/>
    <w:rsid w:val="0057024D"/>
    <w:rsid w:val="00570AE5"/>
    <w:rsid w:val="0057116A"/>
    <w:rsid w:val="0057145B"/>
    <w:rsid w:val="0057150F"/>
    <w:rsid w:val="00571B2E"/>
    <w:rsid w:val="005725B7"/>
    <w:rsid w:val="00572C54"/>
    <w:rsid w:val="005734B7"/>
    <w:rsid w:val="00573B9F"/>
    <w:rsid w:val="00573E75"/>
    <w:rsid w:val="005748B6"/>
    <w:rsid w:val="00574CAD"/>
    <w:rsid w:val="00575E2B"/>
    <w:rsid w:val="00575FD0"/>
    <w:rsid w:val="005762D5"/>
    <w:rsid w:val="00576608"/>
    <w:rsid w:val="005778E6"/>
    <w:rsid w:val="0057799E"/>
    <w:rsid w:val="00580231"/>
    <w:rsid w:val="005802D9"/>
    <w:rsid w:val="00580304"/>
    <w:rsid w:val="00580624"/>
    <w:rsid w:val="00580734"/>
    <w:rsid w:val="0058075E"/>
    <w:rsid w:val="00581618"/>
    <w:rsid w:val="005816C0"/>
    <w:rsid w:val="00581772"/>
    <w:rsid w:val="00581A5D"/>
    <w:rsid w:val="00581AD0"/>
    <w:rsid w:val="00582248"/>
    <w:rsid w:val="00582470"/>
    <w:rsid w:val="005824BF"/>
    <w:rsid w:val="00582574"/>
    <w:rsid w:val="00582813"/>
    <w:rsid w:val="00582F22"/>
    <w:rsid w:val="005836C5"/>
    <w:rsid w:val="005838D2"/>
    <w:rsid w:val="00583AB4"/>
    <w:rsid w:val="00583B3F"/>
    <w:rsid w:val="00583C63"/>
    <w:rsid w:val="005848A0"/>
    <w:rsid w:val="00584D91"/>
    <w:rsid w:val="0058507D"/>
    <w:rsid w:val="0058559F"/>
    <w:rsid w:val="00585CB3"/>
    <w:rsid w:val="00585FF7"/>
    <w:rsid w:val="005863C8"/>
    <w:rsid w:val="00586511"/>
    <w:rsid w:val="0058658E"/>
    <w:rsid w:val="0058681C"/>
    <w:rsid w:val="005868EC"/>
    <w:rsid w:val="005875C6"/>
    <w:rsid w:val="005878A9"/>
    <w:rsid w:val="005879CB"/>
    <w:rsid w:val="00587F0B"/>
    <w:rsid w:val="00590032"/>
    <w:rsid w:val="0059079E"/>
    <w:rsid w:val="00590AFE"/>
    <w:rsid w:val="00590BA1"/>
    <w:rsid w:val="00590CB9"/>
    <w:rsid w:val="0059116C"/>
    <w:rsid w:val="005911EB"/>
    <w:rsid w:val="0059134D"/>
    <w:rsid w:val="005918A0"/>
    <w:rsid w:val="0059199A"/>
    <w:rsid w:val="00592474"/>
    <w:rsid w:val="0059255B"/>
    <w:rsid w:val="00592AC5"/>
    <w:rsid w:val="00592D5F"/>
    <w:rsid w:val="00592DDF"/>
    <w:rsid w:val="005941CF"/>
    <w:rsid w:val="00594266"/>
    <w:rsid w:val="00594909"/>
    <w:rsid w:val="00594A4C"/>
    <w:rsid w:val="00595098"/>
    <w:rsid w:val="00595156"/>
    <w:rsid w:val="00595463"/>
    <w:rsid w:val="00595ABA"/>
    <w:rsid w:val="0059665E"/>
    <w:rsid w:val="00596F6A"/>
    <w:rsid w:val="00597349"/>
    <w:rsid w:val="00597432"/>
    <w:rsid w:val="00597647"/>
    <w:rsid w:val="00597B3F"/>
    <w:rsid w:val="00597F5D"/>
    <w:rsid w:val="005A01DB"/>
    <w:rsid w:val="005A05A7"/>
    <w:rsid w:val="005A08A0"/>
    <w:rsid w:val="005A0F0A"/>
    <w:rsid w:val="005A148A"/>
    <w:rsid w:val="005A1C20"/>
    <w:rsid w:val="005A2025"/>
    <w:rsid w:val="005A22FA"/>
    <w:rsid w:val="005A2CE6"/>
    <w:rsid w:val="005A3A5A"/>
    <w:rsid w:val="005A3A69"/>
    <w:rsid w:val="005A3BEA"/>
    <w:rsid w:val="005A4A6C"/>
    <w:rsid w:val="005A4B95"/>
    <w:rsid w:val="005A5706"/>
    <w:rsid w:val="005A5B21"/>
    <w:rsid w:val="005A6174"/>
    <w:rsid w:val="005A6552"/>
    <w:rsid w:val="005A7007"/>
    <w:rsid w:val="005A73C4"/>
    <w:rsid w:val="005A78DF"/>
    <w:rsid w:val="005A7E94"/>
    <w:rsid w:val="005B01E9"/>
    <w:rsid w:val="005B03A1"/>
    <w:rsid w:val="005B09D4"/>
    <w:rsid w:val="005B124D"/>
    <w:rsid w:val="005B14EB"/>
    <w:rsid w:val="005B188B"/>
    <w:rsid w:val="005B1AFB"/>
    <w:rsid w:val="005B1EEC"/>
    <w:rsid w:val="005B3063"/>
    <w:rsid w:val="005B40AA"/>
    <w:rsid w:val="005B5C5F"/>
    <w:rsid w:val="005B6315"/>
    <w:rsid w:val="005B66E3"/>
    <w:rsid w:val="005B68ED"/>
    <w:rsid w:val="005B69EC"/>
    <w:rsid w:val="005B73D8"/>
    <w:rsid w:val="005B7760"/>
    <w:rsid w:val="005B786E"/>
    <w:rsid w:val="005B7B27"/>
    <w:rsid w:val="005B7BAD"/>
    <w:rsid w:val="005C00F4"/>
    <w:rsid w:val="005C03D8"/>
    <w:rsid w:val="005C080D"/>
    <w:rsid w:val="005C18E5"/>
    <w:rsid w:val="005C1B32"/>
    <w:rsid w:val="005C216B"/>
    <w:rsid w:val="005C2422"/>
    <w:rsid w:val="005C2BC1"/>
    <w:rsid w:val="005C3398"/>
    <w:rsid w:val="005C426B"/>
    <w:rsid w:val="005C42D4"/>
    <w:rsid w:val="005C4848"/>
    <w:rsid w:val="005C4912"/>
    <w:rsid w:val="005C4A4C"/>
    <w:rsid w:val="005C4CC8"/>
    <w:rsid w:val="005C4E8E"/>
    <w:rsid w:val="005C4F8C"/>
    <w:rsid w:val="005C5135"/>
    <w:rsid w:val="005C5437"/>
    <w:rsid w:val="005C5699"/>
    <w:rsid w:val="005C5BAF"/>
    <w:rsid w:val="005C5C8E"/>
    <w:rsid w:val="005C66E9"/>
    <w:rsid w:val="005C68B4"/>
    <w:rsid w:val="005C7004"/>
    <w:rsid w:val="005C7899"/>
    <w:rsid w:val="005C7CA6"/>
    <w:rsid w:val="005D0135"/>
    <w:rsid w:val="005D0141"/>
    <w:rsid w:val="005D0277"/>
    <w:rsid w:val="005D044A"/>
    <w:rsid w:val="005D0503"/>
    <w:rsid w:val="005D0584"/>
    <w:rsid w:val="005D0DB0"/>
    <w:rsid w:val="005D11E9"/>
    <w:rsid w:val="005D21F0"/>
    <w:rsid w:val="005D2227"/>
    <w:rsid w:val="005D2474"/>
    <w:rsid w:val="005D255B"/>
    <w:rsid w:val="005D27E5"/>
    <w:rsid w:val="005D2997"/>
    <w:rsid w:val="005D3007"/>
    <w:rsid w:val="005D3202"/>
    <w:rsid w:val="005D3835"/>
    <w:rsid w:val="005D394D"/>
    <w:rsid w:val="005D3986"/>
    <w:rsid w:val="005D3A45"/>
    <w:rsid w:val="005D414B"/>
    <w:rsid w:val="005D458C"/>
    <w:rsid w:val="005D4B7B"/>
    <w:rsid w:val="005D4CED"/>
    <w:rsid w:val="005D50C1"/>
    <w:rsid w:val="005D52AD"/>
    <w:rsid w:val="005D634F"/>
    <w:rsid w:val="005D63FA"/>
    <w:rsid w:val="005D6B77"/>
    <w:rsid w:val="005D6C97"/>
    <w:rsid w:val="005D70F2"/>
    <w:rsid w:val="005D770D"/>
    <w:rsid w:val="005D79AD"/>
    <w:rsid w:val="005D7D94"/>
    <w:rsid w:val="005D7EAD"/>
    <w:rsid w:val="005E01C1"/>
    <w:rsid w:val="005E0B0B"/>
    <w:rsid w:val="005E12D6"/>
    <w:rsid w:val="005E1474"/>
    <w:rsid w:val="005E159D"/>
    <w:rsid w:val="005E160F"/>
    <w:rsid w:val="005E2398"/>
    <w:rsid w:val="005E239A"/>
    <w:rsid w:val="005E2A7A"/>
    <w:rsid w:val="005E2B8E"/>
    <w:rsid w:val="005E385D"/>
    <w:rsid w:val="005E3DF6"/>
    <w:rsid w:val="005E40BD"/>
    <w:rsid w:val="005E486F"/>
    <w:rsid w:val="005E4E19"/>
    <w:rsid w:val="005E5068"/>
    <w:rsid w:val="005E55F5"/>
    <w:rsid w:val="005E5A91"/>
    <w:rsid w:val="005E60C9"/>
    <w:rsid w:val="005E6550"/>
    <w:rsid w:val="005E67EF"/>
    <w:rsid w:val="005E6BF7"/>
    <w:rsid w:val="005E6D9B"/>
    <w:rsid w:val="005E7244"/>
    <w:rsid w:val="005E74DE"/>
    <w:rsid w:val="005E795C"/>
    <w:rsid w:val="005E7E51"/>
    <w:rsid w:val="005F04EA"/>
    <w:rsid w:val="005F092C"/>
    <w:rsid w:val="005F0D94"/>
    <w:rsid w:val="005F0DE2"/>
    <w:rsid w:val="005F1245"/>
    <w:rsid w:val="005F15D6"/>
    <w:rsid w:val="005F1E61"/>
    <w:rsid w:val="005F2637"/>
    <w:rsid w:val="005F29D5"/>
    <w:rsid w:val="005F2C36"/>
    <w:rsid w:val="005F2EA1"/>
    <w:rsid w:val="005F2EF6"/>
    <w:rsid w:val="005F36A2"/>
    <w:rsid w:val="005F38B9"/>
    <w:rsid w:val="005F40C3"/>
    <w:rsid w:val="005F5516"/>
    <w:rsid w:val="005F6097"/>
    <w:rsid w:val="005F618D"/>
    <w:rsid w:val="005F6824"/>
    <w:rsid w:val="005F734A"/>
    <w:rsid w:val="005F7561"/>
    <w:rsid w:val="005F75A9"/>
    <w:rsid w:val="005F75DC"/>
    <w:rsid w:val="005F7C84"/>
    <w:rsid w:val="00600668"/>
    <w:rsid w:val="006011B1"/>
    <w:rsid w:val="006013E9"/>
    <w:rsid w:val="0060202B"/>
    <w:rsid w:val="00602F8F"/>
    <w:rsid w:val="0060319A"/>
    <w:rsid w:val="006033E1"/>
    <w:rsid w:val="00603D7D"/>
    <w:rsid w:val="006040B4"/>
    <w:rsid w:val="006042B2"/>
    <w:rsid w:val="00604F71"/>
    <w:rsid w:val="0060511F"/>
    <w:rsid w:val="0060550C"/>
    <w:rsid w:val="00605AE8"/>
    <w:rsid w:val="006066E4"/>
    <w:rsid w:val="0060679E"/>
    <w:rsid w:val="0060690D"/>
    <w:rsid w:val="00607BF2"/>
    <w:rsid w:val="00610494"/>
    <w:rsid w:val="006105C8"/>
    <w:rsid w:val="00610C34"/>
    <w:rsid w:val="00610F61"/>
    <w:rsid w:val="006120E9"/>
    <w:rsid w:val="00612253"/>
    <w:rsid w:val="0061243F"/>
    <w:rsid w:val="00612656"/>
    <w:rsid w:val="006126B0"/>
    <w:rsid w:val="006129FD"/>
    <w:rsid w:val="00612C56"/>
    <w:rsid w:val="00612CAE"/>
    <w:rsid w:val="00612CFE"/>
    <w:rsid w:val="00612D1D"/>
    <w:rsid w:val="00612E55"/>
    <w:rsid w:val="00613590"/>
    <w:rsid w:val="006145B6"/>
    <w:rsid w:val="00614A00"/>
    <w:rsid w:val="00614A69"/>
    <w:rsid w:val="00614FE4"/>
    <w:rsid w:val="0061559D"/>
    <w:rsid w:val="00615B12"/>
    <w:rsid w:val="00615C39"/>
    <w:rsid w:val="006162E7"/>
    <w:rsid w:val="00616C82"/>
    <w:rsid w:val="006171FF"/>
    <w:rsid w:val="00617AD7"/>
    <w:rsid w:val="00620354"/>
    <w:rsid w:val="006209F5"/>
    <w:rsid w:val="00620AD7"/>
    <w:rsid w:val="00620BC9"/>
    <w:rsid w:val="00621581"/>
    <w:rsid w:val="006216AE"/>
    <w:rsid w:val="00621FC8"/>
    <w:rsid w:val="00623671"/>
    <w:rsid w:val="00623F58"/>
    <w:rsid w:val="00624326"/>
    <w:rsid w:val="00624395"/>
    <w:rsid w:val="00625712"/>
    <w:rsid w:val="006258C1"/>
    <w:rsid w:val="00625B3B"/>
    <w:rsid w:val="00626AF2"/>
    <w:rsid w:val="00626E7A"/>
    <w:rsid w:val="006270F3"/>
    <w:rsid w:val="00627366"/>
    <w:rsid w:val="0062748F"/>
    <w:rsid w:val="0062797D"/>
    <w:rsid w:val="00627D76"/>
    <w:rsid w:val="00630044"/>
    <w:rsid w:val="00630195"/>
    <w:rsid w:val="006304B2"/>
    <w:rsid w:val="00630541"/>
    <w:rsid w:val="0063102E"/>
    <w:rsid w:val="0063113E"/>
    <w:rsid w:val="00631588"/>
    <w:rsid w:val="0063168B"/>
    <w:rsid w:val="006319ED"/>
    <w:rsid w:val="00631C92"/>
    <w:rsid w:val="00632179"/>
    <w:rsid w:val="00632D4E"/>
    <w:rsid w:val="0063310C"/>
    <w:rsid w:val="006334CE"/>
    <w:rsid w:val="0063373E"/>
    <w:rsid w:val="00633F9F"/>
    <w:rsid w:val="00634389"/>
    <w:rsid w:val="006346EA"/>
    <w:rsid w:val="00634824"/>
    <w:rsid w:val="00635580"/>
    <w:rsid w:val="006355A5"/>
    <w:rsid w:val="00635AF8"/>
    <w:rsid w:val="00636051"/>
    <w:rsid w:val="006363DE"/>
    <w:rsid w:val="006365AC"/>
    <w:rsid w:val="00636B75"/>
    <w:rsid w:val="00636F3B"/>
    <w:rsid w:val="006371E3"/>
    <w:rsid w:val="00637F07"/>
    <w:rsid w:val="00640427"/>
    <w:rsid w:val="0064067D"/>
    <w:rsid w:val="006409D4"/>
    <w:rsid w:val="00640C81"/>
    <w:rsid w:val="006416F0"/>
    <w:rsid w:val="006418D2"/>
    <w:rsid w:val="006423AC"/>
    <w:rsid w:val="00642E7F"/>
    <w:rsid w:val="00642F12"/>
    <w:rsid w:val="0064331E"/>
    <w:rsid w:val="00643B2E"/>
    <w:rsid w:val="00643C68"/>
    <w:rsid w:val="00644516"/>
    <w:rsid w:val="006446E7"/>
    <w:rsid w:val="00645645"/>
    <w:rsid w:val="006457E7"/>
    <w:rsid w:val="00645AE8"/>
    <w:rsid w:val="0064660E"/>
    <w:rsid w:val="00646DD4"/>
    <w:rsid w:val="006470B2"/>
    <w:rsid w:val="00647817"/>
    <w:rsid w:val="0064791E"/>
    <w:rsid w:val="00647F65"/>
    <w:rsid w:val="006500DF"/>
    <w:rsid w:val="00650251"/>
    <w:rsid w:val="00650C2E"/>
    <w:rsid w:val="006510EE"/>
    <w:rsid w:val="006513A4"/>
    <w:rsid w:val="0065176E"/>
    <w:rsid w:val="00651B8E"/>
    <w:rsid w:val="00651F41"/>
    <w:rsid w:val="00652BB1"/>
    <w:rsid w:val="006532B1"/>
    <w:rsid w:val="0065393D"/>
    <w:rsid w:val="006542C5"/>
    <w:rsid w:val="006543A7"/>
    <w:rsid w:val="00654441"/>
    <w:rsid w:val="00654569"/>
    <w:rsid w:val="00654762"/>
    <w:rsid w:val="00655A58"/>
    <w:rsid w:val="00655EB7"/>
    <w:rsid w:val="006563B5"/>
    <w:rsid w:val="00656421"/>
    <w:rsid w:val="006565FA"/>
    <w:rsid w:val="00656632"/>
    <w:rsid w:val="00656AFA"/>
    <w:rsid w:val="00656F19"/>
    <w:rsid w:val="0065711C"/>
    <w:rsid w:val="00657528"/>
    <w:rsid w:val="006577F5"/>
    <w:rsid w:val="0065786F"/>
    <w:rsid w:val="006578EB"/>
    <w:rsid w:val="006579BF"/>
    <w:rsid w:val="00657C22"/>
    <w:rsid w:val="00657E4C"/>
    <w:rsid w:val="00657F86"/>
    <w:rsid w:val="00660617"/>
    <w:rsid w:val="00660EBD"/>
    <w:rsid w:val="00660F80"/>
    <w:rsid w:val="00660FA8"/>
    <w:rsid w:val="00661139"/>
    <w:rsid w:val="006613C9"/>
    <w:rsid w:val="0066198F"/>
    <w:rsid w:val="00661D30"/>
    <w:rsid w:val="00661E28"/>
    <w:rsid w:val="00661F34"/>
    <w:rsid w:val="00662E41"/>
    <w:rsid w:val="00662ED2"/>
    <w:rsid w:val="00663120"/>
    <w:rsid w:val="0066361F"/>
    <w:rsid w:val="00663697"/>
    <w:rsid w:val="00663B4C"/>
    <w:rsid w:val="00663D14"/>
    <w:rsid w:val="00663F51"/>
    <w:rsid w:val="00663FD2"/>
    <w:rsid w:val="006656EC"/>
    <w:rsid w:val="00665EFC"/>
    <w:rsid w:val="00666F72"/>
    <w:rsid w:val="006675A6"/>
    <w:rsid w:val="006678AF"/>
    <w:rsid w:val="00667A65"/>
    <w:rsid w:val="00670684"/>
    <w:rsid w:val="00670770"/>
    <w:rsid w:val="006718C2"/>
    <w:rsid w:val="00671AE4"/>
    <w:rsid w:val="00671C50"/>
    <w:rsid w:val="00672116"/>
    <w:rsid w:val="006721BA"/>
    <w:rsid w:val="006725FB"/>
    <w:rsid w:val="00672B19"/>
    <w:rsid w:val="00673120"/>
    <w:rsid w:val="006733C6"/>
    <w:rsid w:val="006743A4"/>
    <w:rsid w:val="006744EE"/>
    <w:rsid w:val="00674522"/>
    <w:rsid w:val="0067463E"/>
    <w:rsid w:val="006747B0"/>
    <w:rsid w:val="00674D6F"/>
    <w:rsid w:val="00675167"/>
    <w:rsid w:val="00675499"/>
    <w:rsid w:val="006759B5"/>
    <w:rsid w:val="00675A44"/>
    <w:rsid w:val="00675FD4"/>
    <w:rsid w:val="00675FDD"/>
    <w:rsid w:val="006761A8"/>
    <w:rsid w:val="00676561"/>
    <w:rsid w:val="006765A1"/>
    <w:rsid w:val="00676A60"/>
    <w:rsid w:val="00676FB4"/>
    <w:rsid w:val="00677AD3"/>
    <w:rsid w:val="00677D8B"/>
    <w:rsid w:val="00677F43"/>
    <w:rsid w:val="00680313"/>
    <w:rsid w:val="00680459"/>
    <w:rsid w:val="006804B0"/>
    <w:rsid w:val="006806B1"/>
    <w:rsid w:val="00680725"/>
    <w:rsid w:val="00680A41"/>
    <w:rsid w:val="0068166F"/>
    <w:rsid w:val="00681C1A"/>
    <w:rsid w:val="00682182"/>
    <w:rsid w:val="00682BC8"/>
    <w:rsid w:val="006832B4"/>
    <w:rsid w:val="00683CEF"/>
    <w:rsid w:val="00683DFE"/>
    <w:rsid w:val="00683E51"/>
    <w:rsid w:val="00684384"/>
    <w:rsid w:val="00684399"/>
    <w:rsid w:val="0068448B"/>
    <w:rsid w:val="0068454F"/>
    <w:rsid w:val="0068458D"/>
    <w:rsid w:val="006845FB"/>
    <w:rsid w:val="00684675"/>
    <w:rsid w:val="006847B7"/>
    <w:rsid w:val="00684AA2"/>
    <w:rsid w:val="00684CAC"/>
    <w:rsid w:val="00685112"/>
    <w:rsid w:val="00685E14"/>
    <w:rsid w:val="00685FBE"/>
    <w:rsid w:val="00685FDC"/>
    <w:rsid w:val="00686B61"/>
    <w:rsid w:val="00687085"/>
    <w:rsid w:val="00687B65"/>
    <w:rsid w:val="00687BC5"/>
    <w:rsid w:val="00690197"/>
    <w:rsid w:val="00690A5A"/>
    <w:rsid w:val="00692585"/>
    <w:rsid w:val="006925C0"/>
    <w:rsid w:val="00693966"/>
    <w:rsid w:val="0069448B"/>
    <w:rsid w:val="0069493E"/>
    <w:rsid w:val="0069496E"/>
    <w:rsid w:val="00694E65"/>
    <w:rsid w:val="00694F2F"/>
    <w:rsid w:val="00694FB0"/>
    <w:rsid w:val="00694FB5"/>
    <w:rsid w:val="00695144"/>
    <w:rsid w:val="00695837"/>
    <w:rsid w:val="006960DB"/>
    <w:rsid w:val="00696388"/>
    <w:rsid w:val="006965F3"/>
    <w:rsid w:val="00696BCA"/>
    <w:rsid w:val="00696F91"/>
    <w:rsid w:val="00697C17"/>
    <w:rsid w:val="006A0228"/>
    <w:rsid w:val="006A02E2"/>
    <w:rsid w:val="006A038B"/>
    <w:rsid w:val="006A04BE"/>
    <w:rsid w:val="006A04EE"/>
    <w:rsid w:val="006A073A"/>
    <w:rsid w:val="006A0848"/>
    <w:rsid w:val="006A09A1"/>
    <w:rsid w:val="006A0ADE"/>
    <w:rsid w:val="006A0B9F"/>
    <w:rsid w:val="006A0EEA"/>
    <w:rsid w:val="006A12D6"/>
    <w:rsid w:val="006A1526"/>
    <w:rsid w:val="006A1E9F"/>
    <w:rsid w:val="006A389C"/>
    <w:rsid w:val="006A44C2"/>
    <w:rsid w:val="006A4647"/>
    <w:rsid w:val="006A4D0D"/>
    <w:rsid w:val="006A4E03"/>
    <w:rsid w:val="006A5337"/>
    <w:rsid w:val="006A53CA"/>
    <w:rsid w:val="006A55E7"/>
    <w:rsid w:val="006A5C9E"/>
    <w:rsid w:val="006A66DF"/>
    <w:rsid w:val="006A670C"/>
    <w:rsid w:val="006A68DE"/>
    <w:rsid w:val="006A7129"/>
    <w:rsid w:val="006A718A"/>
    <w:rsid w:val="006A753C"/>
    <w:rsid w:val="006A7A66"/>
    <w:rsid w:val="006A7ADC"/>
    <w:rsid w:val="006B0279"/>
    <w:rsid w:val="006B073D"/>
    <w:rsid w:val="006B0758"/>
    <w:rsid w:val="006B0D6F"/>
    <w:rsid w:val="006B163D"/>
    <w:rsid w:val="006B197A"/>
    <w:rsid w:val="006B1986"/>
    <w:rsid w:val="006B1A6E"/>
    <w:rsid w:val="006B1DBC"/>
    <w:rsid w:val="006B2025"/>
    <w:rsid w:val="006B2DA2"/>
    <w:rsid w:val="006B2F2A"/>
    <w:rsid w:val="006B3227"/>
    <w:rsid w:val="006B3636"/>
    <w:rsid w:val="006B3EAE"/>
    <w:rsid w:val="006B4323"/>
    <w:rsid w:val="006B45A4"/>
    <w:rsid w:val="006B4661"/>
    <w:rsid w:val="006B482F"/>
    <w:rsid w:val="006B4B2E"/>
    <w:rsid w:val="006B4DBC"/>
    <w:rsid w:val="006B4EAF"/>
    <w:rsid w:val="006B4F10"/>
    <w:rsid w:val="006B5059"/>
    <w:rsid w:val="006B5172"/>
    <w:rsid w:val="006B56B4"/>
    <w:rsid w:val="006B56F1"/>
    <w:rsid w:val="006B63FA"/>
    <w:rsid w:val="006B6600"/>
    <w:rsid w:val="006B6734"/>
    <w:rsid w:val="006B685A"/>
    <w:rsid w:val="006B70F4"/>
    <w:rsid w:val="006B7BAA"/>
    <w:rsid w:val="006B7F1D"/>
    <w:rsid w:val="006C018B"/>
    <w:rsid w:val="006C03D0"/>
    <w:rsid w:val="006C1203"/>
    <w:rsid w:val="006C14EA"/>
    <w:rsid w:val="006C1CE2"/>
    <w:rsid w:val="006C1DBB"/>
    <w:rsid w:val="006C1FA4"/>
    <w:rsid w:val="006C208B"/>
    <w:rsid w:val="006C2642"/>
    <w:rsid w:val="006C28BE"/>
    <w:rsid w:val="006C2B73"/>
    <w:rsid w:val="006C31C4"/>
    <w:rsid w:val="006C385F"/>
    <w:rsid w:val="006C3BF1"/>
    <w:rsid w:val="006C3C93"/>
    <w:rsid w:val="006C4617"/>
    <w:rsid w:val="006C5378"/>
    <w:rsid w:val="006C56A7"/>
    <w:rsid w:val="006C5905"/>
    <w:rsid w:val="006C60EE"/>
    <w:rsid w:val="006C62CA"/>
    <w:rsid w:val="006C655D"/>
    <w:rsid w:val="006C67A3"/>
    <w:rsid w:val="006C6B69"/>
    <w:rsid w:val="006C77D7"/>
    <w:rsid w:val="006C7E10"/>
    <w:rsid w:val="006D04E4"/>
    <w:rsid w:val="006D07BD"/>
    <w:rsid w:val="006D21BB"/>
    <w:rsid w:val="006D2890"/>
    <w:rsid w:val="006D3264"/>
    <w:rsid w:val="006D3545"/>
    <w:rsid w:val="006D3566"/>
    <w:rsid w:val="006D35C6"/>
    <w:rsid w:val="006D362D"/>
    <w:rsid w:val="006D3F47"/>
    <w:rsid w:val="006D4528"/>
    <w:rsid w:val="006D47E7"/>
    <w:rsid w:val="006D498A"/>
    <w:rsid w:val="006D4F23"/>
    <w:rsid w:val="006D506C"/>
    <w:rsid w:val="006D5534"/>
    <w:rsid w:val="006D5AD7"/>
    <w:rsid w:val="006D6379"/>
    <w:rsid w:val="006D6718"/>
    <w:rsid w:val="006D67B4"/>
    <w:rsid w:val="006D696C"/>
    <w:rsid w:val="006D6ECF"/>
    <w:rsid w:val="006D72AD"/>
    <w:rsid w:val="006D733D"/>
    <w:rsid w:val="006D7603"/>
    <w:rsid w:val="006D762E"/>
    <w:rsid w:val="006D79B8"/>
    <w:rsid w:val="006E00D4"/>
    <w:rsid w:val="006E04E8"/>
    <w:rsid w:val="006E0578"/>
    <w:rsid w:val="006E0C26"/>
    <w:rsid w:val="006E164D"/>
    <w:rsid w:val="006E1C7D"/>
    <w:rsid w:val="006E2786"/>
    <w:rsid w:val="006E27B3"/>
    <w:rsid w:val="006E2B9E"/>
    <w:rsid w:val="006E2D41"/>
    <w:rsid w:val="006E2FE6"/>
    <w:rsid w:val="006E3409"/>
    <w:rsid w:val="006E3824"/>
    <w:rsid w:val="006E43DF"/>
    <w:rsid w:val="006E4569"/>
    <w:rsid w:val="006E486F"/>
    <w:rsid w:val="006E492D"/>
    <w:rsid w:val="006E4A3A"/>
    <w:rsid w:val="006E4A44"/>
    <w:rsid w:val="006E4C59"/>
    <w:rsid w:val="006E4FE6"/>
    <w:rsid w:val="006E531C"/>
    <w:rsid w:val="006E54BB"/>
    <w:rsid w:val="006E5C92"/>
    <w:rsid w:val="006E5E35"/>
    <w:rsid w:val="006E6105"/>
    <w:rsid w:val="006E7405"/>
    <w:rsid w:val="006E7713"/>
    <w:rsid w:val="006E77A6"/>
    <w:rsid w:val="006E77D5"/>
    <w:rsid w:val="006E7EE2"/>
    <w:rsid w:val="006E7FAE"/>
    <w:rsid w:val="006F0703"/>
    <w:rsid w:val="006F0816"/>
    <w:rsid w:val="006F09BF"/>
    <w:rsid w:val="006F1424"/>
    <w:rsid w:val="006F1686"/>
    <w:rsid w:val="006F1AB3"/>
    <w:rsid w:val="006F20B1"/>
    <w:rsid w:val="006F22A6"/>
    <w:rsid w:val="006F298C"/>
    <w:rsid w:val="006F2AE9"/>
    <w:rsid w:val="006F2E2D"/>
    <w:rsid w:val="006F3307"/>
    <w:rsid w:val="006F344D"/>
    <w:rsid w:val="006F35E8"/>
    <w:rsid w:val="006F36C8"/>
    <w:rsid w:val="006F3B17"/>
    <w:rsid w:val="006F3BFC"/>
    <w:rsid w:val="006F3FA1"/>
    <w:rsid w:val="006F3FD4"/>
    <w:rsid w:val="006F483B"/>
    <w:rsid w:val="006F4AE5"/>
    <w:rsid w:val="006F5161"/>
    <w:rsid w:val="006F5202"/>
    <w:rsid w:val="006F5604"/>
    <w:rsid w:val="006F58DC"/>
    <w:rsid w:val="006F5971"/>
    <w:rsid w:val="006F5D2E"/>
    <w:rsid w:val="006F66C2"/>
    <w:rsid w:val="006F679A"/>
    <w:rsid w:val="006F7147"/>
    <w:rsid w:val="006F7AC2"/>
    <w:rsid w:val="007002F4"/>
    <w:rsid w:val="007003D0"/>
    <w:rsid w:val="0070046F"/>
    <w:rsid w:val="00700647"/>
    <w:rsid w:val="0070072B"/>
    <w:rsid w:val="007009A5"/>
    <w:rsid w:val="00700CFD"/>
    <w:rsid w:val="0070192E"/>
    <w:rsid w:val="00701D59"/>
    <w:rsid w:val="00702286"/>
    <w:rsid w:val="00702506"/>
    <w:rsid w:val="00702669"/>
    <w:rsid w:val="00702748"/>
    <w:rsid w:val="00702CB6"/>
    <w:rsid w:val="00703296"/>
    <w:rsid w:val="00703A42"/>
    <w:rsid w:val="00704090"/>
    <w:rsid w:val="00704983"/>
    <w:rsid w:val="00704A7E"/>
    <w:rsid w:val="00704C87"/>
    <w:rsid w:val="00704DCD"/>
    <w:rsid w:val="00705034"/>
    <w:rsid w:val="007051EB"/>
    <w:rsid w:val="00705583"/>
    <w:rsid w:val="00706A5E"/>
    <w:rsid w:val="00706C62"/>
    <w:rsid w:val="00707A18"/>
    <w:rsid w:val="00707D7E"/>
    <w:rsid w:val="00707F19"/>
    <w:rsid w:val="00710E20"/>
    <w:rsid w:val="007116F3"/>
    <w:rsid w:val="007117F3"/>
    <w:rsid w:val="00711AFA"/>
    <w:rsid w:val="00711C1B"/>
    <w:rsid w:val="00711E73"/>
    <w:rsid w:val="007124AF"/>
    <w:rsid w:val="0071278A"/>
    <w:rsid w:val="00712974"/>
    <w:rsid w:val="00712A2F"/>
    <w:rsid w:val="00712B7C"/>
    <w:rsid w:val="00712C37"/>
    <w:rsid w:val="00713AA3"/>
    <w:rsid w:val="00713E14"/>
    <w:rsid w:val="00714D9C"/>
    <w:rsid w:val="007151A2"/>
    <w:rsid w:val="0071520B"/>
    <w:rsid w:val="00715226"/>
    <w:rsid w:val="0071529E"/>
    <w:rsid w:val="00715E21"/>
    <w:rsid w:val="00716219"/>
    <w:rsid w:val="00716249"/>
    <w:rsid w:val="00716AB9"/>
    <w:rsid w:val="00716B42"/>
    <w:rsid w:val="00716F6D"/>
    <w:rsid w:val="0071710B"/>
    <w:rsid w:val="007176CD"/>
    <w:rsid w:val="00717F79"/>
    <w:rsid w:val="00717FA4"/>
    <w:rsid w:val="00720351"/>
    <w:rsid w:val="007203B2"/>
    <w:rsid w:val="00720542"/>
    <w:rsid w:val="00720B15"/>
    <w:rsid w:val="00720B46"/>
    <w:rsid w:val="00720BB5"/>
    <w:rsid w:val="00720D1F"/>
    <w:rsid w:val="00720EA9"/>
    <w:rsid w:val="007214A9"/>
    <w:rsid w:val="00721DC8"/>
    <w:rsid w:val="007220F7"/>
    <w:rsid w:val="00722140"/>
    <w:rsid w:val="00722293"/>
    <w:rsid w:val="007222BD"/>
    <w:rsid w:val="007222F8"/>
    <w:rsid w:val="007224E4"/>
    <w:rsid w:val="00722602"/>
    <w:rsid w:val="00722A19"/>
    <w:rsid w:val="00722CCD"/>
    <w:rsid w:val="00722D79"/>
    <w:rsid w:val="00722DD4"/>
    <w:rsid w:val="00723037"/>
    <w:rsid w:val="007235E5"/>
    <w:rsid w:val="00723766"/>
    <w:rsid w:val="00724013"/>
    <w:rsid w:val="00724030"/>
    <w:rsid w:val="00724369"/>
    <w:rsid w:val="00724EA8"/>
    <w:rsid w:val="00724ED5"/>
    <w:rsid w:val="00725763"/>
    <w:rsid w:val="00725E58"/>
    <w:rsid w:val="007275BA"/>
    <w:rsid w:val="00727827"/>
    <w:rsid w:val="00727874"/>
    <w:rsid w:val="00727B3F"/>
    <w:rsid w:val="00727C0C"/>
    <w:rsid w:val="007304B3"/>
    <w:rsid w:val="007305B7"/>
    <w:rsid w:val="00730782"/>
    <w:rsid w:val="0073080A"/>
    <w:rsid w:val="00730DE2"/>
    <w:rsid w:val="00731CA9"/>
    <w:rsid w:val="00731D45"/>
    <w:rsid w:val="00731DDA"/>
    <w:rsid w:val="007325F3"/>
    <w:rsid w:val="00732782"/>
    <w:rsid w:val="00732C5F"/>
    <w:rsid w:val="007335E9"/>
    <w:rsid w:val="00733B38"/>
    <w:rsid w:val="00733F4E"/>
    <w:rsid w:val="00734245"/>
    <w:rsid w:val="00734377"/>
    <w:rsid w:val="00734432"/>
    <w:rsid w:val="0073445F"/>
    <w:rsid w:val="007348B4"/>
    <w:rsid w:val="00734BAB"/>
    <w:rsid w:val="00734F1C"/>
    <w:rsid w:val="00735034"/>
    <w:rsid w:val="0073619C"/>
    <w:rsid w:val="00736242"/>
    <w:rsid w:val="00736711"/>
    <w:rsid w:val="0073675F"/>
    <w:rsid w:val="00736A12"/>
    <w:rsid w:val="00736A7C"/>
    <w:rsid w:val="00736EE5"/>
    <w:rsid w:val="00737ACA"/>
    <w:rsid w:val="00737F39"/>
    <w:rsid w:val="00740B5E"/>
    <w:rsid w:val="00741E4B"/>
    <w:rsid w:val="007422B6"/>
    <w:rsid w:val="007434F4"/>
    <w:rsid w:val="0074383D"/>
    <w:rsid w:val="00744491"/>
    <w:rsid w:val="00744566"/>
    <w:rsid w:val="00744C04"/>
    <w:rsid w:val="0074511B"/>
    <w:rsid w:val="0074548D"/>
    <w:rsid w:val="00746574"/>
    <w:rsid w:val="007467A9"/>
    <w:rsid w:val="00746A04"/>
    <w:rsid w:val="00747388"/>
    <w:rsid w:val="0074738B"/>
    <w:rsid w:val="007473C2"/>
    <w:rsid w:val="00747536"/>
    <w:rsid w:val="00747559"/>
    <w:rsid w:val="007475B1"/>
    <w:rsid w:val="00747A41"/>
    <w:rsid w:val="00747B3C"/>
    <w:rsid w:val="007504F0"/>
    <w:rsid w:val="00750878"/>
    <w:rsid w:val="0075087B"/>
    <w:rsid w:val="00750BD4"/>
    <w:rsid w:val="00750D30"/>
    <w:rsid w:val="00750F8D"/>
    <w:rsid w:val="0075115F"/>
    <w:rsid w:val="007512F0"/>
    <w:rsid w:val="0075168D"/>
    <w:rsid w:val="00751EDC"/>
    <w:rsid w:val="00752DEE"/>
    <w:rsid w:val="00753649"/>
    <w:rsid w:val="00753812"/>
    <w:rsid w:val="00753B94"/>
    <w:rsid w:val="00753C04"/>
    <w:rsid w:val="00753C56"/>
    <w:rsid w:val="00754133"/>
    <w:rsid w:val="00754323"/>
    <w:rsid w:val="0075453C"/>
    <w:rsid w:val="0075537F"/>
    <w:rsid w:val="007555D4"/>
    <w:rsid w:val="00755AC0"/>
    <w:rsid w:val="00755EB9"/>
    <w:rsid w:val="00756216"/>
    <w:rsid w:val="007565BB"/>
    <w:rsid w:val="00756984"/>
    <w:rsid w:val="00756A64"/>
    <w:rsid w:val="0075701F"/>
    <w:rsid w:val="00760667"/>
    <w:rsid w:val="00760730"/>
    <w:rsid w:val="00760FBD"/>
    <w:rsid w:val="007616FF"/>
    <w:rsid w:val="00761BEC"/>
    <w:rsid w:val="00761C4F"/>
    <w:rsid w:val="007620C2"/>
    <w:rsid w:val="0076223F"/>
    <w:rsid w:val="00762352"/>
    <w:rsid w:val="00762486"/>
    <w:rsid w:val="007625D6"/>
    <w:rsid w:val="0076299F"/>
    <w:rsid w:val="00762B1C"/>
    <w:rsid w:val="00762D96"/>
    <w:rsid w:val="00762E60"/>
    <w:rsid w:val="00763AE5"/>
    <w:rsid w:val="00763C31"/>
    <w:rsid w:val="00764720"/>
    <w:rsid w:val="00764A9F"/>
    <w:rsid w:val="00764B37"/>
    <w:rsid w:val="00764DDA"/>
    <w:rsid w:val="00765532"/>
    <w:rsid w:val="00765A7F"/>
    <w:rsid w:val="00765E6A"/>
    <w:rsid w:val="0076603D"/>
    <w:rsid w:val="00767048"/>
    <w:rsid w:val="0076704E"/>
    <w:rsid w:val="007671F6"/>
    <w:rsid w:val="007672C6"/>
    <w:rsid w:val="00767C8D"/>
    <w:rsid w:val="00767CAB"/>
    <w:rsid w:val="00767D83"/>
    <w:rsid w:val="00767E1D"/>
    <w:rsid w:val="00767F71"/>
    <w:rsid w:val="0077024A"/>
    <w:rsid w:val="00770256"/>
    <w:rsid w:val="00770366"/>
    <w:rsid w:val="007706AE"/>
    <w:rsid w:val="007707BF"/>
    <w:rsid w:val="00770988"/>
    <w:rsid w:val="00771343"/>
    <w:rsid w:val="00771685"/>
    <w:rsid w:val="00771DBD"/>
    <w:rsid w:val="00771EB6"/>
    <w:rsid w:val="0077248A"/>
    <w:rsid w:val="00772C91"/>
    <w:rsid w:val="00772FEA"/>
    <w:rsid w:val="00773340"/>
    <w:rsid w:val="007737D6"/>
    <w:rsid w:val="007739EC"/>
    <w:rsid w:val="00773DD4"/>
    <w:rsid w:val="00773E1C"/>
    <w:rsid w:val="00773FD1"/>
    <w:rsid w:val="00774329"/>
    <w:rsid w:val="0077464F"/>
    <w:rsid w:val="00774F67"/>
    <w:rsid w:val="0077531D"/>
    <w:rsid w:val="00775B9B"/>
    <w:rsid w:val="00775D3D"/>
    <w:rsid w:val="00776285"/>
    <w:rsid w:val="007763A3"/>
    <w:rsid w:val="00776609"/>
    <w:rsid w:val="00776678"/>
    <w:rsid w:val="00776881"/>
    <w:rsid w:val="007769EC"/>
    <w:rsid w:val="00776B9F"/>
    <w:rsid w:val="00780651"/>
    <w:rsid w:val="00780664"/>
    <w:rsid w:val="00780895"/>
    <w:rsid w:val="00780AE6"/>
    <w:rsid w:val="00780EFE"/>
    <w:rsid w:val="0078174A"/>
    <w:rsid w:val="00781C50"/>
    <w:rsid w:val="00781DF4"/>
    <w:rsid w:val="00781F8D"/>
    <w:rsid w:val="007820D2"/>
    <w:rsid w:val="00782284"/>
    <w:rsid w:val="0078229C"/>
    <w:rsid w:val="00782B61"/>
    <w:rsid w:val="007830F4"/>
    <w:rsid w:val="00783C54"/>
    <w:rsid w:val="0078420C"/>
    <w:rsid w:val="00784635"/>
    <w:rsid w:val="00784A97"/>
    <w:rsid w:val="0078511E"/>
    <w:rsid w:val="00785288"/>
    <w:rsid w:val="0078547D"/>
    <w:rsid w:val="0078559D"/>
    <w:rsid w:val="00785F7A"/>
    <w:rsid w:val="007862DA"/>
    <w:rsid w:val="007863A8"/>
    <w:rsid w:val="007864B3"/>
    <w:rsid w:val="0078679C"/>
    <w:rsid w:val="00786924"/>
    <w:rsid w:val="00786C0A"/>
    <w:rsid w:val="00786CFD"/>
    <w:rsid w:val="00786E6A"/>
    <w:rsid w:val="00787116"/>
    <w:rsid w:val="0078712E"/>
    <w:rsid w:val="007873B6"/>
    <w:rsid w:val="00787424"/>
    <w:rsid w:val="007875C3"/>
    <w:rsid w:val="007879C6"/>
    <w:rsid w:val="00787AA1"/>
    <w:rsid w:val="00790623"/>
    <w:rsid w:val="007906E2"/>
    <w:rsid w:val="00790B05"/>
    <w:rsid w:val="00790E43"/>
    <w:rsid w:val="00791522"/>
    <w:rsid w:val="0079157C"/>
    <w:rsid w:val="00791743"/>
    <w:rsid w:val="00791B9C"/>
    <w:rsid w:val="007924B1"/>
    <w:rsid w:val="0079287F"/>
    <w:rsid w:val="00792E5D"/>
    <w:rsid w:val="0079366E"/>
    <w:rsid w:val="00793F40"/>
    <w:rsid w:val="00794BFA"/>
    <w:rsid w:val="00794FB3"/>
    <w:rsid w:val="007954A2"/>
    <w:rsid w:val="0079616B"/>
    <w:rsid w:val="00796204"/>
    <w:rsid w:val="00796444"/>
    <w:rsid w:val="00796EA6"/>
    <w:rsid w:val="00797159"/>
    <w:rsid w:val="007972A8"/>
    <w:rsid w:val="00797A92"/>
    <w:rsid w:val="00797DBA"/>
    <w:rsid w:val="007A0AB9"/>
    <w:rsid w:val="007A1704"/>
    <w:rsid w:val="007A1A6F"/>
    <w:rsid w:val="007A1C8C"/>
    <w:rsid w:val="007A1D99"/>
    <w:rsid w:val="007A1E0A"/>
    <w:rsid w:val="007A1FC9"/>
    <w:rsid w:val="007A268C"/>
    <w:rsid w:val="007A29FC"/>
    <w:rsid w:val="007A31DC"/>
    <w:rsid w:val="007A3238"/>
    <w:rsid w:val="007A372D"/>
    <w:rsid w:val="007A3B91"/>
    <w:rsid w:val="007A3DF6"/>
    <w:rsid w:val="007A3FD2"/>
    <w:rsid w:val="007A4379"/>
    <w:rsid w:val="007A5168"/>
    <w:rsid w:val="007A588B"/>
    <w:rsid w:val="007A58F2"/>
    <w:rsid w:val="007A5D8B"/>
    <w:rsid w:val="007A6478"/>
    <w:rsid w:val="007A6D2C"/>
    <w:rsid w:val="007A728C"/>
    <w:rsid w:val="007A756B"/>
    <w:rsid w:val="007A7644"/>
    <w:rsid w:val="007A7C9B"/>
    <w:rsid w:val="007B07BA"/>
    <w:rsid w:val="007B118B"/>
    <w:rsid w:val="007B1B1B"/>
    <w:rsid w:val="007B1F94"/>
    <w:rsid w:val="007B282D"/>
    <w:rsid w:val="007B2CC6"/>
    <w:rsid w:val="007B3D72"/>
    <w:rsid w:val="007B3F5E"/>
    <w:rsid w:val="007B3FD7"/>
    <w:rsid w:val="007B3FF2"/>
    <w:rsid w:val="007B404C"/>
    <w:rsid w:val="007B4136"/>
    <w:rsid w:val="007B4B0B"/>
    <w:rsid w:val="007B55B3"/>
    <w:rsid w:val="007B61C6"/>
    <w:rsid w:val="007B65FA"/>
    <w:rsid w:val="007B6AB6"/>
    <w:rsid w:val="007B6CD5"/>
    <w:rsid w:val="007B75D3"/>
    <w:rsid w:val="007B7AD0"/>
    <w:rsid w:val="007B7AFB"/>
    <w:rsid w:val="007B7E66"/>
    <w:rsid w:val="007B7F32"/>
    <w:rsid w:val="007C01CC"/>
    <w:rsid w:val="007C0760"/>
    <w:rsid w:val="007C0783"/>
    <w:rsid w:val="007C08BA"/>
    <w:rsid w:val="007C0ACC"/>
    <w:rsid w:val="007C0C4F"/>
    <w:rsid w:val="007C0F13"/>
    <w:rsid w:val="007C1566"/>
    <w:rsid w:val="007C1605"/>
    <w:rsid w:val="007C196D"/>
    <w:rsid w:val="007C1E27"/>
    <w:rsid w:val="007C1FC2"/>
    <w:rsid w:val="007C216E"/>
    <w:rsid w:val="007C265A"/>
    <w:rsid w:val="007C2684"/>
    <w:rsid w:val="007C2A5D"/>
    <w:rsid w:val="007C2E71"/>
    <w:rsid w:val="007C3456"/>
    <w:rsid w:val="007C3A03"/>
    <w:rsid w:val="007C3CDD"/>
    <w:rsid w:val="007C44F8"/>
    <w:rsid w:val="007C49D9"/>
    <w:rsid w:val="007C4A05"/>
    <w:rsid w:val="007C4C98"/>
    <w:rsid w:val="007C4FF5"/>
    <w:rsid w:val="007C52E2"/>
    <w:rsid w:val="007C5498"/>
    <w:rsid w:val="007C55A5"/>
    <w:rsid w:val="007C577D"/>
    <w:rsid w:val="007C5A19"/>
    <w:rsid w:val="007C5ACA"/>
    <w:rsid w:val="007C5D01"/>
    <w:rsid w:val="007C5E45"/>
    <w:rsid w:val="007C636D"/>
    <w:rsid w:val="007C652F"/>
    <w:rsid w:val="007C66DD"/>
    <w:rsid w:val="007C6F94"/>
    <w:rsid w:val="007C7115"/>
    <w:rsid w:val="007C7325"/>
    <w:rsid w:val="007C7CEF"/>
    <w:rsid w:val="007D0495"/>
    <w:rsid w:val="007D05BA"/>
    <w:rsid w:val="007D08FC"/>
    <w:rsid w:val="007D13BF"/>
    <w:rsid w:val="007D1719"/>
    <w:rsid w:val="007D17F2"/>
    <w:rsid w:val="007D181D"/>
    <w:rsid w:val="007D1F8A"/>
    <w:rsid w:val="007D1FE5"/>
    <w:rsid w:val="007D2583"/>
    <w:rsid w:val="007D2650"/>
    <w:rsid w:val="007D31D8"/>
    <w:rsid w:val="007D38C9"/>
    <w:rsid w:val="007D3D31"/>
    <w:rsid w:val="007D3D80"/>
    <w:rsid w:val="007D40AC"/>
    <w:rsid w:val="007D427F"/>
    <w:rsid w:val="007D4372"/>
    <w:rsid w:val="007D4FAC"/>
    <w:rsid w:val="007D517A"/>
    <w:rsid w:val="007D5387"/>
    <w:rsid w:val="007D5D4F"/>
    <w:rsid w:val="007D61D4"/>
    <w:rsid w:val="007D6299"/>
    <w:rsid w:val="007D693B"/>
    <w:rsid w:val="007D6A57"/>
    <w:rsid w:val="007D6C32"/>
    <w:rsid w:val="007D6EFC"/>
    <w:rsid w:val="007D74B2"/>
    <w:rsid w:val="007D7661"/>
    <w:rsid w:val="007D7BA7"/>
    <w:rsid w:val="007E1640"/>
    <w:rsid w:val="007E1968"/>
    <w:rsid w:val="007E1CDA"/>
    <w:rsid w:val="007E1FCB"/>
    <w:rsid w:val="007E20A3"/>
    <w:rsid w:val="007E20D3"/>
    <w:rsid w:val="007E28D2"/>
    <w:rsid w:val="007E2A27"/>
    <w:rsid w:val="007E2F7A"/>
    <w:rsid w:val="007E3150"/>
    <w:rsid w:val="007E41D8"/>
    <w:rsid w:val="007E4C3E"/>
    <w:rsid w:val="007E4CAA"/>
    <w:rsid w:val="007E4EA5"/>
    <w:rsid w:val="007E56B4"/>
    <w:rsid w:val="007E5A7B"/>
    <w:rsid w:val="007E6B3D"/>
    <w:rsid w:val="007E74A8"/>
    <w:rsid w:val="007E7D42"/>
    <w:rsid w:val="007E7EA3"/>
    <w:rsid w:val="007E7F00"/>
    <w:rsid w:val="007F0186"/>
    <w:rsid w:val="007F019D"/>
    <w:rsid w:val="007F022A"/>
    <w:rsid w:val="007F030F"/>
    <w:rsid w:val="007F03C2"/>
    <w:rsid w:val="007F0E1F"/>
    <w:rsid w:val="007F141B"/>
    <w:rsid w:val="007F142F"/>
    <w:rsid w:val="007F1BD4"/>
    <w:rsid w:val="007F1BE9"/>
    <w:rsid w:val="007F1C9E"/>
    <w:rsid w:val="007F2018"/>
    <w:rsid w:val="007F251D"/>
    <w:rsid w:val="007F2662"/>
    <w:rsid w:val="007F2BCC"/>
    <w:rsid w:val="007F2F01"/>
    <w:rsid w:val="007F331D"/>
    <w:rsid w:val="007F35E0"/>
    <w:rsid w:val="007F3C16"/>
    <w:rsid w:val="007F400A"/>
    <w:rsid w:val="007F4453"/>
    <w:rsid w:val="007F4540"/>
    <w:rsid w:val="007F498C"/>
    <w:rsid w:val="007F4CB7"/>
    <w:rsid w:val="007F5470"/>
    <w:rsid w:val="007F577E"/>
    <w:rsid w:val="007F678A"/>
    <w:rsid w:val="007F6C4E"/>
    <w:rsid w:val="007F712F"/>
    <w:rsid w:val="007F77C8"/>
    <w:rsid w:val="00800520"/>
    <w:rsid w:val="00800588"/>
    <w:rsid w:val="00800683"/>
    <w:rsid w:val="00800AF0"/>
    <w:rsid w:val="00800B32"/>
    <w:rsid w:val="00801027"/>
    <w:rsid w:val="008017BE"/>
    <w:rsid w:val="008017CF"/>
    <w:rsid w:val="00801AD4"/>
    <w:rsid w:val="00801DF0"/>
    <w:rsid w:val="00801FDA"/>
    <w:rsid w:val="00802111"/>
    <w:rsid w:val="00802136"/>
    <w:rsid w:val="00802138"/>
    <w:rsid w:val="00802566"/>
    <w:rsid w:val="00802893"/>
    <w:rsid w:val="00803194"/>
    <w:rsid w:val="008031F8"/>
    <w:rsid w:val="00803459"/>
    <w:rsid w:val="00803742"/>
    <w:rsid w:val="00803E6B"/>
    <w:rsid w:val="00804204"/>
    <w:rsid w:val="008047BE"/>
    <w:rsid w:val="008048C1"/>
    <w:rsid w:val="00805426"/>
    <w:rsid w:val="0080546A"/>
    <w:rsid w:val="008054D5"/>
    <w:rsid w:val="00805807"/>
    <w:rsid w:val="00805B67"/>
    <w:rsid w:val="008060CB"/>
    <w:rsid w:val="00806615"/>
    <w:rsid w:val="008068F0"/>
    <w:rsid w:val="00806941"/>
    <w:rsid w:val="00806DCF"/>
    <w:rsid w:val="00806E2F"/>
    <w:rsid w:val="00806FFB"/>
    <w:rsid w:val="00807755"/>
    <w:rsid w:val="008079C3"/>
    <w:rsid w:val="00807E8C"/>
    <w:rsid w:val="008100C4"/>
    <w:rsid w:val="00810206"/>
    <w:rsid w:val="008102D7"/>
    <w:rsid w:val="00810D96"/>
    <w:rsid w:val="00810DCD"/>
    <w:rsid w:val="00810E9D"/>
    <w:rsid w:val="008112ED"/>
    <w:rsid w:val="00811D4B"/>
    <w:rsid w:val="00811DA4"/>
    <w:rsid w:val="008127D7"/>
    <w:rsid w:val="008128F6"/>
    <w:rsid w:val="00812A98"/>
    <w:rsid w:val="00812DD6"/>
    <w:rsid w:val="008142F5"/>
    <w:rsid w:val="00814927"/>
    <w:rsid w:val="00814A3D"/>
    <w:rsid w:val="00815E64"/>
    <w:rsid w:val="00816060"/>
    <w:rsid w:val="0081619F"/>
    <w:rsid w:val="0081650B"/>
    <w:rsid w:val="008166DD"/>
    <w:rsid w:val="0081674B"/>
    <w:rsid w:val="0081698B"/>
    <w:rsid w:val="00816998"/>
    <w:rsid w:val="00816B45"/>
    <w:rsid w:val="00816E0E"/>
    <w:rsid w:val="00816F60"/>
    <w:rsid w:val="00817608"/>
    <w:rsid w:val="00817B0F"/>
    <w:rsid w:val="00817D51"/>
    <w:rsid w:val="008207EB"/>
    <w:rsid w:val="00820BC5"/>
    <w:rsid w:val="008215A7"/>
    <w:rsid w:val="00821C3B"/>
    <w:rsid w:val="00822411"/>
    <w:rsid w:val="008224D6"/>
    <w:rsid w:val="00822553"/>
    <w:rsid w:val="008226FD"/>
    <w:rsid w:val="0082279F"/>
    <w:rsid w:val="0082289F"/>
    <w:rsid w:val="00822C03"/>
    <w:rsid w:val="008238AA"/>
    <w:rsid w:val="00823BB4"/>
    <w:rsid w:val="00823C73"/>
    <w:rsid w:val="00824159"/>
    <w:rsid w:val="00824E64"/>
    <w:rsid w:val="00825147"/>
    <w:rsid w:val="00826A02"/>
    <w:rsid w:val="008270CB"/>
    <w:rsid w:val="008272CA"/>
    <w:rsid w:val="008274C5"/>
    <w:rsid w:val="00830238"/>
    <w:rsid w:val="00830269"/>
    <w:rsid w:val="008303EF"/>
    <w:rsid w:val="00830513"/>
    <w:rsid w:val="00830583"/>
    <w:rsid w:val="008309BB"/>
    <w:rsid w:val="0083124B"/>
    <w:rsid w:val="008315A3"/>
    <w:rsid w:val="00831A1A"/>
    <w:rsid w:val="00831E02"/>
    <w:rsid w:val="0083295F"/>
    <w:rsid w:val="00832E17"/>
    <w:rsid w:val="00832F20"/>
    <w:rsid w:val="008330C1"/>
    <w:rsid w:val="00833239"/>
    <w:rsid w:val="00833822"/>
    <w:rsid w:val="0083467E"/>
    <w:rsid w:val="00835100"/>
    <w:rsid w:val="00835229"/>
    <w:rsid w:val="00835856"/>
    <w:rsid w:val="0083652F"/>
    <w:rsid w:val="00836AD6"/>
    <w:rsid w:val="00836C54"/>
    <w:rsid w:val="00837A34"/>
    <w:rsid w:val="008403B8"/>
    <w:rsid w:val="0084061F"/>
    <w:rsid w:val="00840691"/>
    <w:rsid w:val="0084165D"/>
    <w:rsid w:val="00841684"/>
    <w:rsid w:val="00841B1B"/>
    <w:rsid w:val="00841B55"/>
    <w:rsid w:val="00841C95"/>
    <w:rsid w:val="00841E8C"/>
    <w:rsid w:val="00841F5D"/>
    <w:rsid w:val="0084200E"/>
    <w:rsid w:val="00842088"/>
    <w:rsid w:val="0084235A"/>
    <w:rsid w:val="008423E4"/>
    <w:rsid w:val="008437A3"/>
    <w:rsid w:val="00843CC8"/>
    <w:rsid w:val="0084413E"/>
    <w:rsid w:val="008441AA"/>
    <w:rsid w:val="008452BD"/>
    <w:rsid w:val="0084576C"/>
    <w:rsid w:val="0084608F"/>
    <w:rsid w:val="00846187"/>
    <w:rsid w:val="008464A9"/>
    <w:rsid w:val="00846657"/>
    <w:rsid w:val="008466B0"/>
    <w:rsid w:val="008466FE"/>
    <w:rsid w:val="00846859"/>
    <w:rsid w:val="008471F8"/>
    <w:rsid w:val="00847518"/>
    <w:rsid w:val="0084770B"/>
    <w:rsid w:val="00847961"/>
    <w:rsid w:val="00847BCA"/>
    <w:rsid w:val="00847BD7"/>
    <w:rsid w:val="00850960"/>
    <w:rsid w:val="008521A1"/>
    <w:rsid w:val="0085344B"/>
    <w:rsid w:val="00853616"/>
    <w:rsid w:val="00853650"/>
    <w:rsid w:val="00853709"/>
    <w:rsid w:val="00853C19"/>
    <w:rsid w:val="00853CA4"/>
    <w:rsid w:val="008543EF"/>
    <w:rsid w:val="0085452E"/>
    <w:rsid w:val="0085461E"/>
    <w:rsid w:val="00854778"/>
    <w:rsid w:val="00854A50"/>
    <w:rsid w:val="0085526A"/>
    <w:rsid w:val="008557FA"/>
    <w:rsid w:val="008559F3"/>
    <w:rsid w:val="00855E59"/>
    <w:rsid w:val="00855F7D"/>
    <w:rsid w:val="0085603D"/>
    <w:rsid w:val="00856573"/>
    <w:rsid w:val="00856B1E"/>
    <w:rsid w:val="00856D18"/>
    <w:rsid w:val="00856E3B"/>
    <w:rsid w:val="00857753"/>
    <w:rsid w:val="00857C89"/>
    <w:rsid w:val="0086107B"/>
    <w:rsid w:val="008618A8"/>
    <w:rsid w:val="00861EF3"/>
    <w:rsid w:val="00861F07"/>
    <w:rsid w:val="00861F46"/>
    <w:rsid w:val="008630EA"/>
    <w:rsid w:val="00863519"/>
    <w:rsid w:val="00863586"/>
    <w:rsid w:val="00863F96"/>
    <w:rsid w:val="00863FB0"/>
    <w:rsid w:val="00863FF9"/>
    <w:rsid w:val="00864294"/>
    <w:rsid w:val="00864EF2"/>
    <w:rsid w:val="00864FE8"/>
    <w:rsid w:val="00865459"/>
    <w:rsid w:val="008656E4"/>
    <w:rsid w:val="0086572B"/>
    <w:rsid w:val="00865837"/>
    <w:rsid w:val="00865E4D"/>
    <w:rsid w:val="00866131"/>
    <w:rsid w:val="008663BA"/>
    <w:rsid w:val="00866B78"/>
    <w:rsid w:val="00867046"/>
    <w:rsid w:val="00867951"/>
    <w:rsid w:val="00867BC6"/>
    <w:rsid w:val="00867DEB"/>
    <w:rsid w:val="00870038"/>
    <w:rsid w:val="0087005F"/>
    <w:rsid w:val="0087013A"/>
    <w:rsid w:val="00870A02"/>
    <w:rsid w:val="00870A1C"/>
    <w:rsid w:val="00870B4E"/>
    <w:rsid w:val="00871105"/>
    <w:rsid w:val="0087130F"/>
    <w:rsid w:val="00871B21"/>
    <w:rsid w:val="00873688"/>
    <w:rsid w:val="0087370D"/>
    <w:rsid w:val="00873A52"/>
    <w:rsid w:val="00873C5F"/>
    <w:rsid w:val="00873C86"/>
    <w:rsid w:val="00873E69"/>
    <w:rsid w:val="00873F36"/>
    <w:rsid w:val="00873F40"/>
    <w:rsid w:val="00873F72"/>
    <w:rsid w:val="008743DA"/>
    <w:rsid w:val="008747B8"/>
    <w:rsid w:val="00874823"/>
    <w:rsid w:val="0087486F"/>
    <w:rsid w:val="008749EE"/>
    <w:rsid w:val="00874B73"/>
    <w:rsid w:val="00874BBE"/>
    <w:rsid w:val="0087542D"/>
    <w:rsid w:val="008758AE"/>
    <w:rsid w:val="00875954"/>
    <w:rsid w:val="00875A41"/>
    <w:rsid w:val="00875DA0"/>
    <w:rsid w:val="0087610F"/>
    <w:rsid w:val="008761BD"/>
    <w:rsid w:val="008763E0"/>
    <w:rsid w:val="0087640E"/>
    <w:rsid w:val="00876543"/>
    <w:rsid w:val="0087686C"/>
    <w:rsid w:val="00876E02"/>
    <w:rsid w:val="00876E0A"/>
    <w:rsid w:val="0087707C"/>
    <w:rsid w:val="008771BC"/>
    <w:rsid w:val="0088054F"/>
    <w:rsid w:val="00880867"/>
    <w:rsid w:val="00880A67"/>
    <w:rsid w:val="00880E0D"/>
    <w:rsid w:val="0088142F"/>
    <w:rsid w:val="008826D5"/>
    <w:rsid w:val="00882710"/>
    <w:rsid w:val="008829A6"/>
    <w:rsid w:val="00882B2F"/>
    <w:rsid w:val="00882E1D"/>
    <w:rsid w:val="00883DC4"/>
    <w:rsid w:val="008844D2"/>
    <w:rsid w:val="00884982"/>
    <w:rsid w:val="008849E9"/>
    <w:rsid w:val="00884F53"/>
    <w:rsid w:val="0088587F"/>
    <w:rsid w:val="008859D9"/>
    <w:rsid w:val="00885BB4"/>
    <w:rsid w:val="00885CA1"/>
    <w:rsid w:val="008863D3"/>
    <w:rsid w:val="008866A7"/>
    <w:rsid w:val="008869D7"/>
    <w:rsid w:val="00886AC6"/>
    <w:rsid w:val="008873A3"/>
    <w:rsid w:val="00887AF9"/>
    <w:rsid w:val="00890B1B"/>
    <w:rsid w:val="00890E3E"/>
    <w:rsid w:val="008912B0"/>
    <w:rsid w:val="00891329"/>
    <w:rsid w:val="00891340"/>
    <w:rsid w:val="008920E2"/>
    <w:rsid w:val="00892275"/>
    <w:rsid w:val="00892462"/>
    <w:rsid w:val="00892733"/>
    <w:rsid w:val="00892E9A"/>
    <w:rsid w:val="00892F85"/>
    <w:rsid w:val="00892F99"/>
    <w:rsid w:val="008933E9"/>
    <w:rsid w:val="00893D3B"/>
    <w:rsid w:val="008941EA"/>
    <w:rsid w:val="0089429B"/>
    <w:rsid w:val="00894B44"/>
    <w:rsid w:val="00894D37"/>
    <w:rsid w:val="00894FB4"/>
    <w:rsid w:val="008952A3"/>
    <w:rsid w:val="00895803"/>
    <w:rsid w:val="00895843"/>
    <w:rsid w:val="00895D00"/>
    <w:rsid w:val="00895EA4"/>
    <w:rsid w:val="00896057"/>
    <w:rsid w:val="0089683C"/>
    <w:rsid w:val="00896B58"/>
    <w:rsid w:val="00896D7C"/>
    <w:rsid w:val="00897531"/>
    <w:rsid w:val="00897834"/>
    <w:rsid w:val="0089799F"/>
    <w:rsid w:val="00897CB3"/>
    <w:rsid w:val="00897F32"/>
    <w:rsid w:val="008A0AC8"/>
    <w:rsid w:val="008A1593"/>
    <w:rsid w:val="008A18B1"/>
    <w:rsid w:val="008A219E"/>
    <w:rsid w:val="008A2796"/>
    <w:rsid w:val="008A2BB9"/>
    <w:rsid w:val="008A2D30"/>
    <w:rsid w:val="008A2DEC"/>
    <w:rsid w:val="008A3A74"/>
    <w:rsid w:val="008A3C7C"/>
    <w:rsid w:val="008A3F86"/>
    <w:rsid w:val="008A4645"/>
    <w:rsid w:val="008A48B0"/>
    <w:rsid w:val="008A4B58"/>
    <w:rsid w:val="008A4C88"/>
    <w:rsid w:val="008A600B"/>
    <w:rsid w:val="008A60B6"/>
    <w:rsid w:val="008A6110"/>
    <w:rsid w:val="008A661E"/>
    <w:rsid w:val="008A6CAD"/>
    <w:rsid w:val="008A6E70"/>
    <w:rsid w:val="008A6E95"/>
    <w:rsid w:val="008A7106"/>
    <w:rsid w:val="008A72F9"/>
    <w:rsid w:val="008A77D7"/>
    <w:rsid w:val="008A7FBB"/>
    <w:rsid w:val="008B0744"/>
    <w:rsid w:val="008B0F60"/>
    <w:rsid w:val="008B1075"/>
    <w:rsid w:val="008B1199"/>
    <w:rsid w:val="008B1903"/>
    <w:rsid w:val="008B1CCD"/>
    <w:rsid w:val="008B1CEB"/>
    <w:rsid w:val="008B1E06"/>
    <w:rsid w:val="008B1E14"/>
    <w:rsid w:val="008B243B"/>
    <w:rsid w:val="008B2473"/>
    <w:rsid w:val="008B27B0"/>
    <w:rsid w:val="008B3521"/>
    <w:rsid w:val="008B364E"/>
    <w:rsid w:val="008B4169"/>
    <w:rsid w:val="008B4187"/>
    <w:rsid w:val="008B436F"/>
    <w:rsid w:val="008B46BD"/>
    <w:rsid w:val="008B4B63"/>
    <w:rsid w:val="008B4BC7"/>
    <w:rsid w:val="008B57E1"/>
    <w:rsid w:val="008B5B06"/>
    <w:rsid w:val="008B5C8D"/>
    <w:rsid w:val="008B61D0"/>
    <w:rsid w:val="008B6647"/>
    <w:rsid w:val="008B68E5"/>
    <w:rsid w:val="008B6FF6"/>
    <w:rsid w:val="008B7979"/>
    <w:rsid w:val="008B7CC8"/>
    <w:rsid w:val="008B7E88"/>
    <w:rsid w:val="008B7F51"/>
    <w:rsid w:val="008C00D3"/>
    <w:rsid w:val="008C03FA"/>
    <w:rsid w:val="008C07F5"/>
    <w:rsid w:val="008C09A3"/>
    <w:rsid w:val="008C09C0"/>
    <w:rsid w:val="008C0B39"/>
    <w:rsid w:val="008C0E4C"/>
    <w:rsid w:val="008C1EA4"/>
    <w:rsid w:val="008C23B5"/>
    <w:rsid w:val="008C296B"/>
    <w:rsid w:val="008C2AF8"/>
    <w:rsid w:val="008C325B"/>
    <w:rsid w:val="008C345B"/>
    <w:rsid w:val="008C3545"/>
    <w:rsid w:val="008C373B"/>
    <w:rsid w:val="008C39B4"/>
    <w:rsid w:val="008C4070"/>
    <w:rsid w:val="008C44D9"/>
    <w:rsid w:val="008C4AB2"/>
    <w:rsid w:val="008C505D"/>
    <w:rsid w:val="008C58C2"/>
    <w:rsid w:val="008C5AE4"/>
    <w:rsid w:val="008C604B"/>
    <w:rsid w:val="008C6495"/>
    <w:rsid w:val="008C64DD"/>
    <w:rsid w:val="008C6F62"/>
    <w:rsid w:val="008C7259"/>
    <w:rsid w:val="008C73DD"/>
    <w:rsid w:val="008C744E"/>
    <w:rsid w:val="008C7580"/>
    <w:rsid w:val="008C7659"/>
    <w:rsid w:val="008C7C9A"/>
    <w:rsid w:val="008C7FE5"/>
    <w:rsid w:val="008D00D2"/>
    <w:rsid w:val="008D06FA"/>
    <w:rsid w:val="008D07F0"/>
    <w:rsid w:val="008D1589"/>
    <w:rsid w:val="008D1B2F"/>
    <w:rsid w:val="008D1CEA"/>
    <w:rsid w:val="008D256E"/>
    <w:rsid w:val="008D2954"/>
    <w:rsid w:val="008D2AA8"/>
    <w:rsid w:val="008D314E"/>
    <w:rsid w:val="008D3212"/>
    <w:rsid w:val="008D3444"/>
    <w:rsid w:val="008D35C0"/>
    <w:rsid w:val="008D3ADC"/>
    <w:rsid w:val="008D3F29"/>
    <w:rsid w:val="008D4088"/>
    <w:rsid w:val="008D4398"/>
    <w:rsid w:val="008D444A"/>
    <w:rsid w:val="008D46AF"/>
    <w:rsid w:val="008D544F"/>
    <w:rsid w:val="008D5993"/>
    <w:rsid w:val="008D5D30"/>
    <w:rsid w:val="008D5E5E"/>
    <w:rsid w:val="008D67DE"/>
    <w:rsid w:val="008D6A37"/>
    <w:rsid w:val="008D6E03"/>
    <w:rsid w:val="008D730C"/>
    <w:rsid w:val="008D7419"/>
    <w:rsid w:val="008D7635"/>
    <w:rsid w:val="008D7B70"/>
    <w:rsid w:val="008D7C70"/>
    <w:rsid w:val="008E0CE2"/>
    <w:rsid w:val="008E1295"/>
    <w:rsid w:val="008E1F21"/>
    <w:rsid w:val="008E2258"/>
    <w:rsid w:val="008E2616"/>
    <w:rsid w:val="008E2842"/>
    <w:rsid w:val="008E285E"/>
    <w:rsid w:val="008E2881"/>
    <w:rsid w:val="008E2933"/>
    <w:rsid w:val="008E2E73"/>
    <w:rsid w:val="008E32CE"/>
    <w:rsid w:val="008E3842"/>
    <w:rsid w:val="008E389B"/>
    <w:rsid w:val="008E3E98"/>
    <w:rsid w:val="008E4045"/>
    <w:rsid w:val="008E433A"/>
    <w:rsid w:val="008E4354"/>
    <w:rsid w:val="008E45DE"/>
    <w:rsid w:val="008E4EEE"/>
    <w:rsid w:val="008E508C"/>
    <w:rsid w:val="008E50D6"/>
    <w:rsid w:val="008E5630"/>
    <w:rsid w:val="008E5C6B"/>
    <w:rsid w:val="008E66A0"/>
    <w:rsid w:val="008E692C"/>
    <w:rsid w:val="008F0224"/>
    <w:rsid w:val="008F0390"/>
    <w:rsid w:val="008F1121"/>
    <w:rsid w:val="008F167E"/>
    <w:rsid w:val="008F1C04"/>
    <w:rsid w:val="008F1D5B"/>
    <w:rsid w:val="008F20D4"/>
    <w:rsid w:val="008F2857"/>
    <w:rsid w:val="008F2DD0"/>
    <w:rsid w:val="008F30EB"/>
    <w:rsid w:val="008F333B"/>
    <w:rsid w:val="008F33AD"/>
    <w:rsid w:val="008F33C6"/>
    <w:rsid w:val="008F3877"/>
    <w:rsid w:val="008F39A4"/>
    <w:rsid w:val="008F3A27"/>
    <w:rsid w:val="008F3B39"/>
    <w:rsid w:val="008F3B3B"/>
    <w:rsid w:val="008F3D1F"/>
    <w:rsid w:val="008F41F5"/>
    <w:rsid w:val="008F440D"/>
    <w:rsid w:val="008F4469"/>
    <w:rsid w:val="008F46DC"/>
    <w:rsid w:val="008F475A"/>
    <w:rsid w:val="008F4E0F"/>
    <w:rsid w:val="008F519C"/>
    <w:rsid w:val="008F522E"/>
    <w:rsid w:val="008F5309"/>
    <w:rsid w:val="008F5638"/>
    <w:rsid w:val="008F5882"/>
    <w:rsid w:val="008F5AB5"/>
    <w:rsid w:val="008F5E3E"/>
    <w:rsid w:val="008F5E9F"/>
    <w:rsid w:val="008F635B"/>
    <w:rsid w:val="008F67B2"/>
    <w:rsid w:val="008F6903"/>
    <w:rsid w:val="008F6C95"/>
    <w:rsid w:val="008F6E23"/>
    <w:rsid w:val="008F71DC"/>
    <w:rsid w:val="008F7290"/>
    <w:rsid w:val="008F7AF0"/>
    <w:rsid w:val="008F7B54"/>
    <w:rsid w:val="008F7D71"/>
    <w:rsid w:val="008F7EE1"/>
    <w:rsid w:val="009003ED"/>
    <w:rsid w:val="009009E5"/>
    <w:rsid w:val="00900DCF"/>
    <w:rsid w:val="00900E22"/>
    <w:rsid w:val="00901294"/>
    <w:rsid w:val="00902B93"/>
    <w:rsid w:val="00905268"/>
    <w:rsid w:val="0090551C"/>
    <w:rsid w:val="009056B0"/>
    <w:rsid w:val="00905960"/>
    <w:rsid w:val="009069BC"/>
    <w:rsid w:val="00906E52"/>
    <w:rsid w:val="00907111"/>
    <w:rsid w:val="0090774F"/>
    <w:rsid w:val="00907A73"/>
    <w:rsid w:val="00907A7C"/>
    <w:rsid w:val="00907D9B"/>
    <w:rsid w:val="009103A3"/>
    <w:rsid w:val="009104D9"/>
    <w:rsid w:val="00910A66"/>
    <w:rsid w:val="00910CCA"/>
    <w:rsid w:val="00910DC3"/>
    <w:rsid w:val="00910E3F"/>
    <w:rsid w:val="00911648"/>
    <w:rsid w:val="00911DED"/>
    <w:rsid w:val="00911E7D"/>
    <w:rsid w:val="00912AF6"/>
    <w:rsid w:val="00912D57"/>
    <w:rsid w:val="00913134"/>
    <w:rsid w:val="00913307"/>
    <w:rsid w:val="009133DA"/>
    <w:rsid w:val="009133E6"/>
    <w:rsid w:val="00913738"/>
    <w:rsid w:val="00913801"/>
    <w:rsid w:val="0091395F"/>
    <w:rsid w:val="00913DB5"/>
    <w:rsid w:val="009140D4"/>
    <w:rsid w:val="00914C66"/>
    <w:rsid w:val="00914DEE"/>
    <w:rsid w:val="00914FA4"/>
    <w:rsid w:val="00915084"/>
    <w:rsid w:val="00915398"/>
    <w:rsid w:val="009154AA"/>
    <w:rsid w:val="009157C0"/>
    <w:rsid w:val="00915BE8"/>
    <w:rsid w:val="00915F34"/>
    <w:rsid w:val="009163CC"/>
    <w:rsid w:val="00916935"/>
    <w:rsid w:val="00916A5B"/>
    <w:rsid w:val="00916C0A"/>
    <w:rsid w:val="00917156"/>
    <w:rsid w:val="00917435"/>
    <w:rsid w:val="00917626"/>
    <w:rsid w:val="009179E6"/>
    <w:rsid w:val="009206DE"/>
    <w:rsid w:val="0092072F"/>
    <w:rsid w:val="00920959"/>
    <w:rsid w:val="0092180C"/>
    <w:rsid w:val="00923133"/>
    <w:rsid w:val="009231EF"/>
    <w:rsid w:val="0092324B"/>
    <w:rsid w:val="0092347B"/>
    <w:rsid w:val="00923826"/>
    <w:rsid w:val="00924028"/>
    <w:rsid w:val="009240E9"/>
    <w:rsid w:val="00924310"/>
    <w:rsid w:val="0092481B"/>
    <w:rsid w:val="00924973"/>
    <w:rsid w:val="00924DA5"/>
    <w:rsid w:val="009255A4"/>
    <w:rsid w:val="009255AA"/>
    <w:rsid w:val="009257D2"/>
    <w:rsid w:val="00925A20"/>
    <w:rsid w:val="00926B6A"/>
    <w:rsid w:val="00926CE3"/>
    <w:rsid w:val="00926D6D"/>
    <w:rsid w:val="009270E9"/>
    <w:rsid w:val="009272E3"/>
    <w:rsid w:val="00930318"/>
    <w:rsid w:val="009308E6"/>
    <w:rsid w:val="00930BBC"/>
    <w:rsid w:val="00930E6F"/>
    <w:rsid w:val="00931009"/>
    <w:rsid w:val="00932AEF"/>
    <w:rsid w:val="00932CD9"/>
    <w:rsid w:val="00933227"/>
    <w:rsid w:val="009336C5"/>
    <w:rsid w:val="00933B9B"/>
    <w:rsid w:val="00933CB6"/>
    <w:rsid w:val="00933E1C"/>
    <w:rsid w:val="0093401B"/>
    <w:rsid w:val="009344A9"/>
    <w:rsid w:val="00934936"/>
    <w:rsid w:val="0093493F"/>
    <w:rsid w:val="00934993"/>
    <w:rsid w:val="00934A6E"/>
    <w:rsid w:val="00935106"/>
    <w:rsid w:val="00935FAC"/>
    <w:rsid w:val="00936551"/>
    <w:rsid w:val="00936696"/>
    <w:rsid w:val="009366E9"/>
    <w:rsid w:val="00936A31"/>
    <w:rsid w:val="00936ECD"/>
    <w:rsid w:val="00936F93"/>
    <w:rsid w:val="0093775F"/>
    <w:rsid w:val="009404EF"/>
    <w:rsid w:val="0094054A"/>
    <w:rsid w:val="00940B6F"/>
    <w:rsid w:val="009415B7"/>
    <w:rsid w:val="00941B91"/>
    <w:rsid w:val="00941DAF"/>
    <w:rsid w:val="00942D36"/>
    <w:rsid w:val="00942D42"/>
    <w:rsid w:val="009438A2"/>
    <w:rsid w:val="00943AA4"/>
    <w:rsid w:val="0094486A"/>
    <w:rsid w:val="00944DF8"/>
    <w:rsid w:val="00945470"/>
    <w:rsid w:val="00945914"/>
    <w:rsid w:val="00945AF4"/>
    <w:rsid w:val="009461DA"/>
    <w:rsid w:val="0094624C"/>
    <w:rsid w:val="0094665C"/>
    <w:rsid w:val="00947113"/>
    <w:rsid w:val="009471ED"/>
    <w:rsid w:val="00947237"/>
    <w:rsid w:val="009473B7"/>
    <w:rsid w:val="00947930"/>
    <w:rsid w:val="00947B65"/>
    <w:rsid w:val="00950074"/>
    <w:rsid w:val="009501D4"/>
    <w:rsid w:val="00950225"/>
    <w:rsid w:val="0095041E"/>
    <w:rsid w:val="00950A2F"/>
    <w:rsid w:val="00950C59"/>
    <w:rsid w:val="00950C70"/>
    <w:rsid w:val="0095104A"/>
    <w:rsid w:val="009510FB"/>
    <w:rsid w:val="00951785"/>
    <w:rsid w:val="00951B8A"/>
    <w:rsid w:val="009524BE"/>
    <w:rsid w:val="009528EA"/>
    <w:rsid w:val="00952A0A"/>
    <w:rsid w:val="00952DE2"/>
    <w:rsid w:val="009532E9"/>
    <w:rsid w:val="0095350F"/>
    <w:rsid w:val="00953D5F"/>
    <w:rsid w:val="00953F59"/>
    <w:rsid w:val="00954B81"/>
    <w:rsid w:val="00954DBB"/>
    <w:rsid w:val="0095506C"/>
    <w:rsid w:val="0095528D"/>
    <w:rsid w:val="0095637D"/>
    <w:rsid w:val="00956577"/>
    <w:rsid w:val="009569FF"/>
    <w:rsid w:val="00957671"/>
    <w:rsid w:val="009577DF"/>
    <w:rsid w:val="00957E75"/>
    <w:rsid w:val="00957EFA"/>
    <w:rsid w:val="00960068"/>
    <w:rsid w:val="00960274"/>
    <w:rsid w:val="00960A93"/>
    <w:rsid w:val="00960CE1"/>
    <w:rsid w:val="009611F3"/>
    <w:rsid w:val="009616B8"/>
    <w:rsid w:val="00962325"/>
    <w:rsid w:val="00962443"/>
    <w:rsid w:val="009626F1"/>
    <w:rsid w:val="00962B33"/>
    <w:rsid w:val="00962B72"/>
    <w:rsid w:val="00963D93"/>
    <w:rsid w:val="00964404"/>
    <w:rsid w:val="0096452A"/>
    <w:rsid w:val="00964E9C"/>
    <w:rsid w:val="009654F9"/>
    <w:rsid w:val="00965602"/>
    <w:rsid w:val="0096599F"/>
    <w:rsid w:val="00965CAE"/>
    <w:rsid w:val="009661C1"/>
    <w:rsid w:val="009661F6"/>
    <w:rsid w:val="00966765"/>
    <w:rsid w:val="0096696D"/>
    <w:rsid w:val="00966A12"/>
    <w:rsid w:val="00966B6A"/>
    <w:rsid w:val="00967AA5"/>
    <w:rsid w:val="00967D2F"/>
    <w:rsid w:val="009703D2"/>
    <w:rsid w:val="0097056F"/>
    <w:rsid w:val="00970891"/>
    <w:rsid w:val="0097098E"/>
    <w:rsid w:val="00970E40"/>
    <w:rsid w:val="009717DB"/>
    <w:rsid w:val="00971F79"/>
    <w:rsid w:val="0097236E"/>
    <w:rsid w:val="0097264C"/>
    <w:rsid w:val="00972ABC"/>
    <w:rsid w:val="0097320A"/>
    <w:rsid w:val="00973503"/>
    <w:rsid w:val="00973562"/>
    <w:rsid w:val="009736C9"/>
    <w:rsid w:val="00973AD8"/>
    <w:rsid w:val="00973B81"/>
    <w:rsid w:val="00973E67"/>
    <w:rsid w:val="00973F2D"/>
    <w:rsid w:val="00975289"/>
    <w:rsid w:val="009760DC"/>
    <w:rsid w:val="009763D1"/>
    <w:rsid w:val="00976936"/>
    <w:rsid w:val="009773E3"/>
    <w:rsid w:val="009774FA"/>
    <w:rsid w:val="00977688"/>
    <w:rsid w:val="009778EE"/>
    <w:rsid w:val="00980068"/>
    <w:rsid w:val="0098026D"/>
    <w:rsid w:val="0098068C"/>
    <w:rsid w:val="00980B49"/>
    <w:rsid w:val="009811EC"/>
    <w:rsid w:val="00981857"/>
    <w:rsid w:val="009819A5"/>
    <w:rsid w:val="00981A07"/>
    <w:rsid w:val="00981BF1"/>
    <w:rsid w:val="00982BBD"/>
    <w:rsid w:val="0098325D"/>
    <w:rsid w:val="00983564"/>
    <w:rsid w:val="00983654"/>
    <w:rsid w:val="00983857"/>
    <w:rsid w:val="00983CED"/>
    <w:rsid w:val="00983D9A"/>
    <w:rsid w:val="0098421A"/>
    <w:rsid w:val="00984375"/>
    <w:rsid w:val="0098510E"/>
    <w:rsid w:val="009852CE"/>
    <w:rsid w:val="009855C7"/>
    <w:rsid w:val="00985932"/>
    <w:rsid w:val="0098655D"/>
    <w:rsid w:val="00987984"/>
    <w:rsid w:val="0099009C"/>
    <w:rsid w:val="00990E57"/>
    <w:rsid w:val="00991774"/>
    <w:rsid w:val="009928E0"/>
    <w:rsid w:val="00992983"/>
    <w:rsid w:val="00994C6E"/>
    <w:rsid w:val="00994DE1"/>
    <w:rsid w:val="009951FE"/>
    <w:rsid w:val="009955AE"/>
    <w:rsid w:val="00995642"/>
    <w:rsid w:val="00995EBC"/>
    <w:rsid w:val="0099669F"/>
    <w:rsid w:val="00996804"/>
    <w:rsid w:val="00997CD0"/>
    <w:rsid w:val="00997EB6"/>
    <w:rsid w:val="009A0357"/>
    <w:rsid w:val="009A06BE"/>
    <w:rsid w:val="009A0B7C"/>
    <w:rsid w:val="009A1136"/>
    <w:rsid w:val="009A14F5"/>
    <w:rsid w:val="009A22B8"/>
    <w:rsid w:val="009A2981"/>
    <w:rsid w:val="009A2F2F"/>
    <w:rsid w:val="009A31A7"/>
    <w:rsid w:val="009A3253"/>
    <w:rsid w:val="009A41BF"/>
    <w:rsid w:val="009A43AF"/>
    <w:rsid w:val="009A452D"/>
    <w:rsid w:val="009A46CD"/>
    <w:rsid w:val="009A47A5"/>
    <w:rsid w:val="009A49FF"/>
    <w:rsid w:val="009A4E01"/>
    <w:rsid w:val="009A4EF6"/>
    <w:rsid w:val="009A520B"/>
    <w:rsid w:val="009A55AD"/>
    <w:rsid w:val="009A5D45"/>
    <w:rsid w:val="009A5D63"/>
    <w:rsid w:val="009A60F1"/>
    <w:rsid w:val="009A6329"/>
    <w:rsid w:val="009A671C"/>
    <w:rsid w:val="009A7049"/>
    <w:rsid w:val="009A765F"/>
    <w:rsid w:val="009A7A84"/>
    <w:rsid w:val="009A7D8D"/>
    <w:rsid w:val="009B02E0"/>
    <w:rsid w:val="009B0344"/>
    <w:rsid w:val="009B03CA"/>
    <w:rsid w:val="009B0613"/>
    <w:rsid w:val="009B093C"/>
    <w:rsid w:val="009B0E6E"/>
    <w:rsid w:val="009B1263"/>
    <w:rsid w:val="009B2386"/>
    <w:rsid w:val="009B2943"/>
    <w:rsid w:val="009B2962"/>
    <w:rsid w:val="009B2BDC"/>
    <w:rsid w:val="009B2DF0"/>
    <w:rsid w:val="009B2EAC"/>
    <w:rsid w:val="009B34FD"/>
    <w:rsid w:val="009B3B21"/>
    <w:rsid w:val="009B46ED"/>
    <w:rsid w:val="009B5622"/>
    <w:rsid w:val="009B57B7"/>
    <w:rsid w:val="009B6528"/>
    <w:rsid w:val="009B677E"/>
    <w:rsid w:val="009B7267"/>
    <w:rsid w:val="009B772B"/>
    <w:rsid w:val="009B7DE2"/>
    <w:rsid w:val="009B7E73"/>
    <w:rsid w:val="009C004C"/>
    <w:rsid w:val="009C01B2"/>
    <w:rsid w:val="009C043A"/>
    <w:rsid w:val="009C0599"/>
    <w:rsid w:val="009C07A7"/>
    <w:rsid w:val="009C08EA"/>
    <w:rsid w:val="009C0DCE"/>
    <w:rsid w:val="009C0EE2"/>
    <w:rsid w:val="009C1516"/>
    <w:rsid w:val="009C1751"/>
    <w:rsid w:val="009C1FC7"/>
    <w:rsid w:val="009C20AB"/>
    <w:rsid w:val="009C21E7"/>
    <w:rsid w:val="009C236F"/>
    <w:rsid w:val="009C2CF1"/>
    <w:rsid w:val="009C2D3A"/>
    <w:rsid w:val="009C330D"/>
    <w:rsid w:val="009C3B63"/>
    <w:rsid w:val="009C41D2"/>
    <w:rsid w:val="009C42C5"/>
    <w:rsid w:val="009C43D7"/>
    <w:rsid w:val="009C4D07"/>
    <w:rsid w:val="009C531B"/>
    <w:rsid w:val="009C5505"/>
    <w:rsid w:val="009C5E13"/>
    <w:rsid w:val="009C65F6"/>
    <w:rsid w:val="009C6855"/>
    <w:rsid w:val="009C7499"/>
    <w:rsid w:val="009D0060"/>
    <w:rsid w:val="009D063A"/>
    <w:rsid w:val="009D0FF3"/>
    <w:rsid w:val="009D1184"/>
    <w:rsid w:val="009D1931"/>
    <w:rsid w:val="009D1D22"/>
    <w:rsid w:val="009D1F74"/>
    <w:rsid w:val="009D1FB6"/>
    <w:rsid w:val="009D2119"/>
    <w:rsid w:val="009D221A"/>
    <w:rsid w:val="009D2949"/>
    <w:rsid w:val="009D317E"/>
    <w:rsid w:val="009D3756"/>
    <w:rsid w:val="009D3BCE"/>
    <w:rsid w:val="009D3D16"/>
    <w:rsid w:val="009D4064"/>
    <w:rsid w:val="009D4BB1"/>
    <w:rsid w:val="009D4E7B"/>
    <w:rsid w:val="009D52F3"/>
    <w:rsid w:val="009D5E19"/>
    <w:rsid w:val="009D6969"/>
    <w:rsid w:val="009D6D3C"/>
    <w:rsid w:val="009D735A"/>
    <w:rsid w:val="009D757C"/>
    <w:rsid w:val="009D75CC"/>
    <w:rsid w:val="009E055B"/>
    <w:rsid w:val="009E091D"/>
    <w:rsid w:val="009E0C80"/>
    <w:rsid w:val="009E1109"/>
    <w:rsid w:val="009E1287"/>
    <w:rsid w:val="009E129C"/>
    <w:rsid w:val="009E14BE"/>
    <w:rsid w:val="009E17C8"/>
    <w:rsid w:val="009E1AD6"/>
    <w:rsid w:val="009E35FD"/>
    <w:rsid w:val="009E39F0"/>
    <w:rsid w:val="009E43A9"/>
    <w:rsid w:val="009E4A45"/>
    <w:rsid w:val="009E4F7C"/>
    <w:rsid w:val="009E584E"/>
    <w:rsid w:val="009E58FE"/>
    <w:rsid w:val="009E6B89"/>
    <w:rsid w:val="009E6D1B"/>
    <w:rsid w:val="009E6D4F"/>
    <w:rsid w:val="009E7182"/>
    <w:rsid w:val="009E732B"/>
    <w:rsid w:val="009E7AFC"/>
    <w:rsid w:val="009F0997"/>
    <w:rsid w:val="009F1160"/>
    <w:rsid w:val="009F16B4"/>
    <w:rsid w:val="009F180F"/>
    <w:rsid w:val="009F1C95"/>
    <w:rsid w:val="009F1DB1"/>
    <w:rsid w:val="009F2288"/>
    <w:rsid w:val="009F2915"/>
    <w:rsid w:val="009F2ACA"/>
    <w:rsid w:val="009F2B25"/>
    <w:rsid w:val="009F4A40"/>
    <w:rsid w:val="009F4E7D"/>
    <w:rsid w:val="009F4F9A"/>
    <w:rsid w:val="009F5087"/>
    <w:rsid w:val="009F5447"/>
    <w:rsid w:val="009F5E69"/>
    <w:rsid w:val="009F779C"/>
    <w:rsid w:val="009F7867"/>
    <w:rsid w:val="009F7AAA"/>
    <w:rsid w:val="009F7B92"/>
    <w:rsid w:val="00A00441"/>
    <w:rsid w:val="00A0076D"/>
    <w:rsid w:val="00A00853"/>
    <w:rsid w:val="00A010D6"/>
    <w:rsid w:val="00A013AC"/>
    <w:rsid w:val="00A01C93"/>
    <w:rsid w:val="00A01ECD"/>
    <w:rsid w:val="00A02117"/>
    <w:rsid w:val="00A025F4"/>
    <w:rsid w:val="00A0265B"/>
    <w:rsid w:val="00A02694"/>
    <w:rsid w:val="00A02B71"/>
    <w:rsid w:val="00A02F29"/>
    <w:rsid w:val="00A04819"/>
    <w:rsid w:val="00A048BA"/>
    <w:rsid w:val="00A04D9D"/>
    <w:rsid w:val="00A04DB6"/>
    <w:rsid w:val="00A05B8D"/>
    <w:rsid w:val="00A05E4D"/>
    <w:rsid w:val="00A0614B"/>
    <w:rsid w:val="00A064A0"/>
    <w:rsid w:val="00A06759"/>
    <w:rsid w:val="00A06C23"/>
    <w:rsid w:val="00A0708D"/>
    <w:rsid w:val="00A0763B"/>
    <w:rsid w:val="00A07D90"/>
    <w:rsid w:val="00A10079"/>
    <w:rsid w:val="00A102FD"/>
    <w:rsid w:val="00A11128"/>
    <w:rsid w:val="00A112FC"/>
    <w:rsid w:val="00A113E4"/>
    <w:rsid w:val="00A113F8"/>
    <w:rsid w:val="00A11C2B"/>
    <w:rsid w:val="00A1310E"/>
    <w:rsid w:val="00A13437"/>
    <w:rsid w:val="00A138E1"/>
    <w:rsid w:val="00A13EC9"/>
    <w:rsid w:val="00A141CD"/>
    <w:rsid w:val="00A1429E"/>
    <w:rsid w:val="00A14658"/>
    <w:rsid w:val="00A150FE"/>
    <w:rsid w:val="00A15478"/>
    <w:rsid w:val="00A15514"/>
    <w:rsid w:val="00A15722"/>
    <w:rsid w:val="00A158DD"/>
    <w:rsid w:val="00A160A8"/>
    <w:rsid w:val="00A16242"/>
    <w:rsid w:val="00A16269"/>
    <w:rsid w:val="00A16419"/>
    <w:rsid w:val="00A168C5"/>
    <w:rsid w:val="00A16EDE"/>
    <w:rsid w:val="00A17156"/>
    <w:rsid w:val="00A172A2"/>
    <w:rsid w:val="00A17632"/>
    <w:rsid w:val="00A17951"/>
    <w:rsid w:val="00A17EB2"/>
    <w:rsid w:val="00A21183"/>
    <w:rsid w:val="00A2140A"/>
    <w:rsid w:val="00A2182F"/>
    <w:rsid w:val="00A21AEE"/>
    <w:rsid w:val="00A2255C"/>
    <w:rsid w:val="00A22783"/>
    <w:rsid w:val="00A22CB7"/>
    <w:rsid w:val="00A22FA6"/>
    <w:rsid w:val="00A23B03"/>
    <w:rsid w:val="00A245CF"/>
    <w:rsid w:val="00A24A8F"/>
    <w:rsid w:val="00A24D09"/>
    <w:rsid w:val="00A24D59"/>
    <w:rsid w:val="00A250D0"/>
    <w:rsid w:val="00A2534D"/>
    <w:rsid w:val="00A25850"/>
    <w:rsid w:val="00A25A81"/>
    <w:rsid w:val="00A25D6E"/>
    <w:rsid w:val="00A2613A"/>
    <w:rsid w:val="00A26698"/>
    <w:rsid w:val="00A2679C"/>
    <w:rsid w:val="00A26831"/>
    <w:rsid w:val="00A26BB8"/>
    <w:rsid w:val="00A26F6C"/>
    <w:rsid w:val="00A27218"/>
    <w:rsid w:val="00A27233"/>
    <w:rsid w:val="00A27B0E"/>
    <w:rsid w:val="00A302DB"/>
    <w:rsid w:val="00A30583"/>
    <w:rsid w:val="00A307CD"/>
    <w:rsid w:val="00A30A7F"/>
    <w:rsid w:val="00A317EB"/>
    <w:rsid w:val="00A31B9E"/>
    <w:rsid w:val="00A31CEA"/>
    <w:rsid w:val="00A3261D"/>
    <w:rsid w:val="00A32DCA"/>
    <w:rsid w:val="00A32DF1"/>
    <w:rsid w:val="00A33053"/>
    <w:rsid w:val="00A33169"/>
    <w:rsid w:val="00A33239"/>
    <w:rsid w:val="00A34485"/>
    <w:rsid w:val="00A345CA"/>
    <w:rsid w:val="00A34735"/>
    <w:rsid w:val="00A3495D"/>
    <w:rsid w:val="00A34ADA"/>
    <w:rsid w:val="00A34F2B"/>
    <w:rsid w:val="00A3540B"/>
    <w:rsid w:val="00A354DA"/>
    <w:rsid w:val="00A354E1"/>
    <w:rsid w:val="00A35AA1"/>
    <w:rsid w:val="00A3600F"/>
    <w:rsid w:val="00A36B12"/>
    <w:rsid w:val="00A372E3"/>
    <w:rsid w:val="00A37528"/>
    <w:rsid w:val="00A3756C"/>
    <w:rsid w:val="00A37894"/>
    <w:rsid w:val="00A37A7A"/>
    <w:rsid w:val="00A37DC2"/>
    <w:rsid w:val="00A37E9B"/>
    <w:rsid w:val="00A37F1E"/>
    <w:rsid w:val="00A4025B"/>
    <w:rsid w:val="00A40695"/>
    <w:rsid w:val="00A40715"/>
    <w:rsid w:val="00A40CF0"/>
    <w:rsid w:val="00A40E75"/>
    <w:rsid w:val="00A414F3"/>
    <w:rsid w:val="00A42528"/>
    <w:rsid w:val="00A4284F"/>
    <w:rsid w:val="00A42969"/>
    <w:rsid w:val="00A42B6D"/>
    <w:rsid w:val="00A42BCD"/>
    <w:rsid w:val="00A42D5E"/>
    <w:rsid w:val="00A42F48"/>
    <w:rsid w:val="00A430C3"/>
    <w:rsid w:val="00A431B8"/>
    <w:rsid w:val="00A4355C"/>
    <w:rsid w:val="00A436F6"/>
    <w:rsid w:val="00A43C92"/>
    <w:rsid w:val="00A43D4B"/>
    <w:rsid w:val="00A44441"/>
    <w:rsid w:val="00A44F75"/>
    <w:rsid w:val="00A44F90"/>
    <w:rsid w:val="00A45166"/>
    <w:rsid w:val="00A45245"/>
    <w:rsid w:val="00A454C6"/>
    <w:rsid w:val="00A45640"/>
    <w:rsid w:val="00A4653E"/>
    <w:rsid w:val="00A46D04"/>
    <w:rsid w:val="00A470E2"/>
    <w:rsid w:val="00A47995"/>
    <w:rsid w:val="00A47A95"/>
    <w:rsid w:val="00A47D63"/>
    <w:rsid w:val="00A47F9E"/>
    <w:rsid w:val="00A504A0"/>
    <w:rsid w:val="00A50895"/>
    <w:rsid w:val="00A50ABC"/>
    <w:rsid w:val="00A5166A"/>
    <w:rsid w:val="00A51ABA"/>
    <w:rsid w:val="00A51BDA"/>
    <w:rsid w:val="00A51C1C"/>
    <w:rsid w:val="00A51F6B"/>
    <w:rsid w:val="00A524A4"/>
    <w:rsid w:val="00A52866"/>
    <w:rsid w:val="00A528B6"/>
    <w:rsid w:val="00A5303C"/>
    <w:rsid w:val="00A53277"/>
    <w:rsid w:val="00A53438"/>
    <w:rsid w:val="00A53883"/>
    <w:rsid w:val="00A5431C"/>
    <w:rsid w:val="00A54C09"/>
    <w:rsid w:val="00A54CC2"/>
    <w:rsid w:val="00A54E24"/>
    <w:rsid w:val="00A54F34"/>
    <w:rsid w:val="00A5536B"/>
    <w:rsid w:val="00A55DE0"/>
    <w:rsid w:val="00A5602A"/>
    <w:rsid w:val="00A56099"/>
    <w:rsid w:val="00A567E9"/>
    <w:rsid w:val="00A56A8F"/>
    <w:rsid w:val="00A56E28"/>
    <w:rsid w:val="00A56F1D"/>
    <w:rsid w:val="00A56FD7"/>
    <w:rsid w:val="00A570F6"/>
    <w:rsid w:val="00A5717D"/>
    <w:rsid w:val="00A571E6"/>
    <w:rsid w:val="00A57C52"/>
    <w:rsid w:val="00A57C96"/>
    <w:rsid w:val="00A57D8C"/>
    <w:rsid w:val="00A602DB"/>
    <w:rsid w:val="00A60687"/>
    <w:rsid w:val="00A607E4"/>
    <w:rsid w:val="00A60B48"/>
    <w:rsid w:val="00A616D8"/>
    <w:rsid w:val="00A6172B"/>
    <w:rsid w:val="00A629F0"/>
    <w:rsid w:val="00A62AF7"/>
    <w:rsid w:val="00A62F52"/>
    <w:rsid w:val="00A6302C"/>
    <w:rsid w:val="00A6312B"/>
    <w:rsid w:val="00A63277"/>
    <w:rsid w:val="00A632BA"/>
    <w:rsid w:val="00A63B45"/>
    <w:rsid w:val="00A63D57"/>
    <w:rsid w:val="00A63FDD"/>
    <w:rsid w:val="00A6412A"/>
    <w:rsid w:val="00A64FCA"/>
    <w:rsid w:val="00A6578F"/>
    <w:rsid w:val="00A6596D"/>
    <w:rsid w:val="00A65A7A"/>
    <w:rsid w:val="00A66013"/>
    <w:rsid w:val="00A6646A"/>
    <w:rsid w:val="00A67CB1"/>
    <w:rsid w:val="00A67ECA"/>
    <w:rsid w:val="00A701B7"/>
    <w:rsid w:val="00A703AB"/>
    <w:rsid w:val="00A70699"/>
    <w:rsid w:val="00A709FB"/>
    <w:rsid w:val="00A70A51"/>
    <w:rsid w:val="00A70DA5"/>
    <w:rsid w:val="00A71126"/>
    <w:rsid w:val="00A7147F"/>
    <w:rsid w:val="00A71925"/>
    <w:rsid w:val="00A724E5"/>
    <w:rsid w:val="00A72C76"/>
    <w:rsid w:val="00A73026"/>
    <w:rsid w:val="00A73156"/>
    <w:rsid w:val="00A73ECA"/>
    <w:rsid w:val="00A74180"/>
    <w:rsid w:val="00A74803"/>
    <w:rsid w:val="00A74C2B"/>
    <w:rsid w:val="00A75280"/>
    <w:rsid w:val="00A753BE"/>
    <w:rsid w:val="00A7553A"/>
    <w:rsid w:val="00A756F2"/>
    <w:rsid w:val="00A7593E"/>
    <w:rsid w:val="00A7626F"/>
    <w:rsid w:val="00A7634B"/>
    <w:rsid w:val="00A7641D"/>
    <w:rsid w:val="00A766DD"/>
    <w:rsid w:val="00A76C57"/>
    <w:rsid w:val="00A76C7E"/>
    <w:rsid w:val="00A77048"/>
    <w:rsid w:val="00A775A4"/>
    <w:rsid w:val="00A77707"/>
    <w:rsid w:val="00A7785E"/>
    <w:rsid w:val="00A80427"/>
    <w:rsid w:val="00A80EC7"/>
    <w:rsid w:val="00A8124C"/>
    <w:rsid w:val="00A81B95"/>
    <w:rsid w:val="00A81CFC"/>
    <w:rsid w:val="00A81D2E"/>
    <w:rsid w:val="00A81FA2"/>
    <w:rsid w:val="00A8242C"/>
    <w:rsid w:val="00A8275F"/>
    <w:rsid w:val="00A830F8"/>
    <w:rsid w:val="00A8439B"/>
    <w:rsid w:val="00A84B15"/>
    <w:rsid w:val="00A84ED3"/>
    <w:rsid w:val="00A84FBF"/>
    <w:rsid w:val="00A862C3"/>
    <w:rsid w:val="00A86610"/>
    <w:rsid w:val="00A872D0"/>
    <w:rsid w:val="00A872E2"/>
    <w:rsid w:val="00A874CB"/>
    <w:rsid w:val="00A8756C"/>
    <w:rsid w:val="00A90100"/>
    <w:rsid w:val="00A9064F"/>
    <w:rsid w:val="00A90917"/>
    <w:rsid w:val="00A90E57"/>
    <w:rsid w:val="00A90F9E"/>
    <w:rsid w:val="00A9134D"/>
    <w:rsid w:val="00A91A03"/>
    <w:rsid w:val="00A91C50"/>
    <w:rsid w:val="00A92177"/>
    <w:rsid w:val="00A925FD"/>
    <w:rsid w:val="00A9377B"/>
    <w:rsid w:val="00A93B18"/>
    <w:rsid w:val="00A93F37"/>
    <w:rsid w:val="00A94518"/>
    <w:rsid w:val="00A9491C"/>
    <w:rsid w:val="00A95246"/>
    <w:rsid w:val="00A95376"/>
    <w:rsid w:val="00A959BB"/>
    <w:rsid w:val="00A95B90"/>
    <w:rsid w:val="00A95BB6"/>
    <w:rsid w:val="00A95BED"/>
    <w:rsid w:val="00A95BFA"/>
    <w:rsid w:val="00A95D3B"/>
    <w:rsid w:val="00A96063"/>
    <w:rsid w:val="00A96F75"/>
    <w:rsid w:val="00A971CC"/>
    <w:rsid w:val="00A975EC"/>
    <w:rsid w:val="00A97AE3"/>
    <w:rsid w:val="00A97E60"/>
    <w:rsid w:val="00AA066E"/>
    <w:rsid w:val="00AA0E9E"/>
    <w:rsid w:val="00AA166A"/>
    <w:rsid w:val="00AA1DF2"/>
    <w:rsid w:val="00AA238C"/>
    <w:rsid w:val="00AA2439"/>
    <w:rsid w:val="00AA24FB"/>
    <w:rsid w:val="00AA2B9C"/>
    <w:rsid w:val="00AA33ED"/>
    <w:rsid w:val="00AA3E4C"/>
    <w:rsid w:val="00AA3EC4"/>
    <w:rsid w:val="00AA4608"/>
    <w:rsid w:val="00AA5323"/>
    <w:rsid w:val="00AA5462"/>
    <w:rsid w:val="00AA58C1"/>
    <w:rsid w:val="00AA5B27"/>
    <w:rsid w:val="00AA6152"/>
    <w:rsid w:val="00AA64F9"/>
    <w:rsid w:val="00AA6785"/>
    <w:rsid w:val="00AA67CD"/>
    <w:rsid w:val="00AA6837"/>
    <w:rsid w:val="00AA69E6"/>
    <w:rsid w:val="00AA6FAA"/>
    <w:rsid w:val="00AA7314"/>
    <w:rsid w:val="00AA777D"/>
    <w:rsid w:val="00AA79CF"/>
    <w:rsid w:val="00AB0622"/>
    <w:rsid w:val="00AB07E8"/>
    <w:rsid w:val="00AB09D1"/>
    <w:rsid w:val="00AB0F16"/>
    <w:rsid w:val="00AB0FBD"/>
    <w:rsid w:val="00AB10D5"/>
    <w:rsid w:val="00AB15DA"/>
    <w:rsid w:val="00AB21D0"/>
    <w:rsid w:val="00AB2C38"/>
    <w:rsid w:val="00AB2FDC"/>
    <w:rsid w:val="00AB356D"/>
    <w:rsid w:val="00AB40AE"/>
    <w:rsid w:val="00AB4409"/>
    <w:rsid w:val="00AB4A9F"/>
    <w:rsid w:val="00AB4CCA"/>
    <w:rsid w:val="00AB5311"/>
    <w:rsid w:val="00AB59BC"/>
    <w:rsid w:val="00AB5C0E"/>
    <w:rsid w:val="00AB6455"/>
    <w:rsid w:val="00AB655B"/>
    <w:rsid w:val="00AB6575"/>
    <w:rsid w:val="00AB66F9"/>
    <w:rsid w:val="00AB672F"/>
    <w:rsid w:val="00AB6CAA"/>
    <w:rsid w:val="00AB7265"/>
    <w:rsid w:val="00AB757A"/>
    <w:rsid w:val="00AB7ACC"/>
    <w:rsid w:val="00AB7B69"/>
    <w:rsid w:val="00AB7E46"/>
    <w:rsid w:val="00AB7F5B"/>
    <w:rsid w:val="00AC0139"/>
    <w:rsid w:val="00AC0416"/>
    <w:rsid w:val="00AC095A"/>
    <w:rsid w:val="00AC1BE8"/>
    <w:rsid w:val="00AC1FF5"/>
    <w:rsid w:val="00AC2715"/>
    <w:rsid w:val="00AC29C6"/>
    <w:rsid w:val="00AC2C21"/>
    <w:rsid w:val="00AC328B"/>
    <w:rsid w:val="00AC3748"/>
    <w:rsid w:val="00AC5187"/>
    <w:rsid w:val="00AC51FE"/>
    <w:rsid w:val="00AC536F"/>
    <w:rsid w:val="00AC5750"/>
    <w:rsid w:val="00AC5AE8"/>
    <w:rsid w:val="00AC63A7"/>
    <w:rsid w:val="00AC68BE"/>
    <w:rsid w:val="00AC69F0"/>
    <w:rsid w:val="00AC73DE"/>
    <w:rsid w:val="00AC74CC"/>
    <w:rsid w:val="00AD073F"/>
    <w:rsid w:val="00AD0772"/>
    <w:rsid w:val="00AD144D"/>
    <w:rsid w:val="00AD17B6"/>
    <w:rsid w:val="00AD29BF"/>
    <w:rsid w:val="00AD2E53"/>
    <w:rsid w:val="00AD33E1"/>
    <w:rsid w:val="00AD4012"/>
    <w:rsid w:val="00AD413D"/>
    <w:rsid w:val="00AD4DE7"/>
    <w:rsid w:val="00AD4FE6"/>
    <w:rsid w:val="00AD6360"/>
    <w:rsid w:val="00AD6433"/>
    <w:rsid w:val="00AD65BF"/>
    <w:rsid w:val="00AD7148"/>
    <w:rsid w:val="00AD719B"/>
    <w:rsid w:val="00AD73D8"/>
    <w:rsid w:val="00AD7524"/>
    <w:rsid w:val="00AE04B5"/>
    <w:rsid w:val="00AE0833"/>
    <w:rsid w:val="00AE1C46"/>
    <w:rsid w:val="00AE1E37"/>
    <w:rsid w:val="00AE2049"/>
    <w:rsid w:val="00AE2333"/>
    <w:rsid w:val="00AE3844"/>
    <w:rsid w:val="00AE3A8A"/>
    <w:rsid w:val="00AE3CF2"/>
    <w:rsid w:val="00AE3D21"/>
    <w:rsid w:val="00AE3E0C"/>
    <w:rsid w:val="00AE4057"/>
    <w:rsid w:val="00AE42D0"/>
    <w:rsid w:val="00AE53B4"/>
    <w:rsid w:val="00AE53BD"/>
    <w:rsid w:val="00AE5AA6"/>
    <w:rsid w:val="00AE607F"/>
    <w:rsid w:val="00AE637B"/>
    <w:rsid w:val="00AE6491"/>
    <w:rsid w:val="00AE6566"/>
    <w:rsid w:val="00AE6839"/>
    <w:rsid w:val="00AE72B2"/>
    <w:rsid w:val="00AE78A1"/>
    <w:rsid w:val="00AE7B2A"/>
    <w:rsid w:val="00AF0218"/>
    <w:rsid w:val="00AF02E9"/>
    <w:rsid w:val="00AF0645"/>
    <w:rsid w:val="00AF14FA"/>
    <w:rsid w:val="00AF1645"/>
    <w:rsid w:val="00AF1A90"/>
    <w:rsid w:val="00AF1B98"/>
    <w:rsid w:val="00AF33E0"/>
    <w:rsid w:val="00AF3FE3"/>
    <w:rsid w:val="00AF4566"/>
    <w:rsid w:val="00AF4682"/>
    <w:rsid w:val="00AF48AA"/>
    <w:rsid w:val="00AF4BE5"/>
    <w:rsid w:val="00AF51D0"/>
    <w:rsid w:val="00AF5B49"/>
    <w:rsid w:val="00AF5E81"/>
    <w:rsid w:val="00AF66A7"/>
    <w:rsid w:val="00AF6F0C"/>
    <w:rsid w:val="00AF70F6"/>
    <w:rsid w:val="00AF74AE"/>
    <w:rsid w:val="00B00189"/>
    <w:rsid w:val="00B01019"/>
    <w:rsid w:val="00B011EB"/>
    <w:rsid w:val="00B01248"/>
    <w:rsid w:val="00B0125F"/>
    <w:rsid w:val="00B019D6"/>
    <w:rsid w:val="00B01A75"/>
    <w:rsid w:val="00B02A3D"/>
    <w:rsid w:val="00B03293"/>
    <w:rsid w:val="00B03FEC"/>
    <w:rsid w:val="00B040AB"/>
    <w:rsid w:val="00B04B40"/>
    <w:rsid w:val="00B04CD4"/>
    <w:rsid w:val="00B04E42"/>
    <w:rsid w:val="00B0616D"/>
    <w:rsid w:val="00B062EE"/>
    <w:rsid w:val="00B06873"/>
    <w:rsid w:val="00B06E33"/>
    <w:rsid w:val="00B0702B"/>
    <w:rsid w:val="00B07D97"/>
    <w:rsid w:val="00B10334"/>
    <w:rsid w:val="00B10AF1"/>
    <w:rsid w:val="00B10E5F"/>
    <w:rsid w:val="00B115E3"/>
    <w:rsid w:val="00B118D1"/>
    <w:rsid w:val="00B11D86"/>
    <w:rsid w:val="00B1227D"/>
    <w:rsid w:val="00B12956"/>
    <w:rsid w:val="00B12EC1"/>
    <w:rsid w:val="00B134A9"/>
    <w:rsid w:val="00B13539"/>
    <w:rsid w:val="00B136AF"/>
    <w:rsid w:val="00B136EC"/>
    <w:rsid w:val="00B139CE"/>
    <w:rsid w:val="00B1407F"/>
    <w:rsid w:val="00B141C0"/>
    <w:rsid w:val="00B14581"/>
    <w:rsid w:val="00B14A11"/>
    <w:rsid w:val="00B14A7F"/>
    <w:rsid w:val="00B14F7A"/>
    <w:rsid w:val="00B158AC"/>
    <w:rsid w:val="00B1603D"/>
    <w:rsid w:val="00B161D9"/>
    <w:rsid w:val="00B16804"/>
    <w:rsid w:val="00B16EEC"/>
    <w:rsid w:val="00B16FDB"/>
    <w:rsid w:val="00B171A3"/>
    <w:rsid w:val="00B17950"/>
    <w:rsid w:val="00B17FBB"/>
    <w:rsid w:val="00B21055"/>
    <w:rsid w:val="00B21985"/>
    <w:rsid w:val="00B220D8"/>
    <w:rsid w:val="00B22709"/>
    <w:rsid w:val="00B230FA"/>
    <w:rsid w:val="00B23371"/>
    <w:rsid w:val="00B233B5"/>
    <w:rsid w:val="00B23B39"/>
    <w:rsid w:val="00B23C99"/>
    <w:rsid w:val="00B249DA"/>
    <w:rsid w:val="00B24C71"/>
    <w:rsid w:val="00B24E2D"/>
    <w:rsid w:val="00B25458"/>
    <w:rsid w:val="00B255CE"/>
    <w:rsid w:val="00B2599D"/>
    <w:rsid w:val="00B263EC"/>
    <w:rsid w:val="00B2652F"/>
    <w:rsid w:val="00B265AD"/>
    <w:rsid w:val="00B26A1B"/>
    <w:rsid w:val="00B26B86"/>
    <w:rsid w:val="00B26C13"/>
    <w:rsid w:val="00B2727A"/>
    <w:rsid w:val="00B27726"/>
    <w:rsid w:val="00B277E8"/>
    <w:rsid w:val="00B30017"/>
    <w:rsid w:val="00B31051"/>
    <w:rsid w:val="00B31926"/>
    <w:rsid w:val="00B31E02"/>
    <w:rsid w:val="00B32302"/>
    <w:rsid w:val="00B32EB1"/>
    <w:rsid w:val="00B334C8"/>
    <w:rsid w:val="00B341DB"/>
    <w:rsid w:val="00B342D9"/>
    <w:rsid w:val="00B343F6"/>
    <w:rsid w:val="00B34E19"/>
    <w:rsid w:val="00B34FF8"/>
    <w:rsid w:val="00B3546E"/>
    <w:rsid w:val="00B355DE"/>
    <w:rsid w:val="00B36693"/>
    <w:rsid w:val="00B366F0"/>
    <w:rsid w:val="00B36C90"/>
    <w:rsid w:val="00B37203"/>
    <w:rsid w:val="00B3776A"/>
    <w:rsid w:val="00B37FD3"/>
    <w:rsid w:val="00B40220"/>
    <w:rsid w:val="00B4039C"/>
    <w:rsid w:val="00B403A5"/>
    <w:rsid w:val="00B40417"/>
    <w:rsid w:val="00B40933"/>
    <w:rsid w:val="00B40EDC"/>
    <w:rsid w:val="00B41058"/>
    <w:rsid w:val="00B41060"/>
    <w:rsid w:val="00B41258"/>
    <w:rsid w:val="00B416B1"/>
    <w:rsid w:val="00B42126"/>
    <w:rsid w:val="00B425C2"/>
    <w:rsid w:val="00B42A1C"/>
    <w:rsid w:val="00B42A59"/>
    <w:rsid w:val="00B42BBC"/>
    <w:rsid w:val="00B4308E"/>
    <w:rsid w:val="00B43DCB"/>
    <w:rsid w:val="00B43EE6"/>
    <w:rsid w:val="00B441FD"/>
    <w:rsid w:val="00B4446B"/>
    <w:rsid w:val="00B444D1"/>
    <w:rsid w:val="00B44BE1"/>
    <w:rsid w:val="00B44D1B"/>
    <w:rsid w:val="00B44D44"/>
    <w:rsid w:val="00B44E40"/>
    <w:rsid w:val="00B44F86"/>
    <w:rsid w:val="00B454B8"/>
    <w:rsid w:val="00B46031"/>
    <w:rsid w:val="00B46828"/>
    <w:rsid w:val="00B46AF0"/>
    <w:rsid w:val="00B46ED6"/>
    <w:rsid w:val="00B4781E"/>
    <w:rsid w:val="00B47C6D"/>
    <w:rsid w:val="00B47E13"/>
    <w:rsid w:val="00B50052"/>
    <w:rsid w:val="00B502AD"/>
    <w:rsid w:val="00B5080E"/>
    <w:rsid w:val="00B5083D"/>
    <w:rsid w:val="00B50859"/>
    <w:rsid w:val="00B50E72"/>
    <w:rsid w:val="00B50FC9"/>
    <w:rsid w:val="00B51067"/>
    <w:rsid w:val="00B512F2"/>
    <w:rsid w:val="00B51484"/>
    <w:rsid w:val="00B519F1"/>
    <w:rsid w:val="00B51A45"/>
    <w:rsid w:val="00B51AEA"/>
    <w:rsid w:val="00B51B44"/>
    <w:rsid w:val="00B51CD3"/>
    <w:rsid w:val="00B51D50"/>
    <w:rsid w:val="00B51F0A"/>
    <w:rsid w:val="00B52190"/>
    <w:rsid w:val="00B52ACB"/>
    <w:rsid w:val="00B52C13"/>
    <w:rsid w:val="00B52C36"/>
    <w:rsid w:val="00B52EA6"/>
    <w:rsid w:val="00B53298"/>
    <w:rsid w:val="00B53B5C"/>
    <w:rsid w:val="00B53BF7"/>
    <w:rsid w:val="00B53E2B"/>
    <w:rsid w:val="00B54168"/>
    <w:rsid w:val="00B54214"/>
    <w:rsid w:val="00B544A1"/>
    <w:rsid w:val="00B544E6"/>
    <w:rsid w:val="00B54E26"/>
    <w:rsid w:val="00B54FFC"/>
    <w:rsid w:val="00B55A9E"/>
    <w:rsid w:val="00B55B62"/>
    <w:rsid w:val="00B55EBB"/>
    <w:rsid w:val="00B567B2"/>
    <w:rsid w:val="00B57F3C"/>
    <w:rsid w:val="00B604F7"/>
    <w:rsid w:val="00B607E6"/>
    <w:rsid w:val="00B60B93"/>
    <w:rsid w:val="00B60C7F"/>
    <w:rsid w:val="00B61029"/>
    <w:rsid w:val="00B6118D"/>
    <w:rsid w:val="00B612EB"/>
    <w:rsid w:val="00B615A9"/>
    <w:rsid w:val="00B618CF"/>
    <w:rsid w:val="00B61FDF"/>
    <w:rsid w:val="00B6218C"/>
    <w:rsid w:val="00B62383"/>
    <w:rsid w:val="00B63325"/>
    <w:rsid w:val="00B6346F"/>
    <w:rsid w:val="00B63701"/>
    <w:rsid w:val="00B63B8F"/>
    <w:rsid w:val="00B63E27"/>
    <w:rsid w:val="00B64418"/>
    <w:rsid w:val="00B646AF"/>
    <w:rsid w:val="00B6481D"/>
    <w:rsid w:val="00B64A3C"/>
    <w:rsid w:val="00B64B71"/>
    <w:rsid w:val="00B64C43"/>
    <w:rsid w:val="00B64E02"/>
    <w:rsid w:val="00B64F3B"/>
    <w:rsid w:val="00B64F55"/>
    <w:rsid w:val="00B64F6F"/>
    <w:rsid w:val="00B652CF"/>
    <w:rsid w:val="00B6567F"/>
    <w:rsid w:val="00B65859"/>
    <w:rsid w:val="00B664D1"/>
    <w:rsid w:val="00B67694"/>
    <w:rsid w:val="00B67D11"/>
    <w:rsid w:val="00B67F45"/>
    <w:rsid w:val="00B67FE0"/>
    <w:rsid w:val="00B708A6"/>
    <w:rsid w:val="00B70A46"/>
    <w:rsid w:val="00B70A6D"/>
    <w:rsid w:val="00B7141D"/>
    <w:rsid w:val="00B71F06"/>
    <w:rsid w:val="00B72169"/>
    <w:rsid w:val="00B72693"/>
    <w:rsid w:val="00B72999"/>
    <w:rsid w:val="00B72B58"/>
    <w:rsid w:val="00B7308C"/>
    <w:rsid w:val="00B73BD4"/>
    <w:rsid w:val="00B74CD3"/>
    <w:rsid w:val="00B74E3D"/>
    <w:rsid w:val="00B75342"/>
    <w:rsid w:val="00B75521"/>
    <w:rsid w:val="00B7562A"/>
    <w:rsid w:val="00B76145"/>
    <w:rsid w:val="00B76A6A"/>
    <w:rsid w:val="00B76D58"/>
    <w:rsid w:val="00B777B8"/>
    <w:rsid w:val="00B777F4"/>
    <w:rsid w:val="00B80729"/>
    <w:rsid w:val="00B80864"/>
    <w:rsid w:val="00B80F22"/>
    <w:rsid w:val="00B810E1"/>
    <w:rsid w:val="00B812E2"/>
    <w:rsid w:val="00B81759"/>
    <w:rsid w:val="00B8187F"/>
    <w:rsid w:val="00B819CD"/>
    <w:rsid w:val="00B81E69"/>
    <w:rsid w:val="00B81E8A"/>
    <w:rsid w:val="00B822DA"/>
    <w:rsid w:val="00B824BB"/>
    <w:rsid w:val="00B827D6"/>
    <w:rsid w:val="00B829E2"/>
    <w:rsid w:val="00B82DAA"/>
    <w:rsid w:val="00B82E77"/>
    <w:rsid w:val="00B83341"/>
    <w:rsid w:val="00B83EFF"/>
    <w:rsid w:val="00B8411E"/>
    <w:rsid w:val="00B84508"/>
    <w:rsid w:val="00B84B7E"/>
    <w:rsid w:val="00B84C2D"/>
    <w:rsid w:val="00B851B7"/>
    <w:rsid w:val="00B855CE"/>
    <w:rsid w:val="00B85768"/>
    <w:rsid w:val="00B85B8E"/>
    <w:rsid w:val="00B85D73"/>
    <w:rsid w:val="00B86463"/>
    <w:rsid w:val="00B865B5"/>
    <w:rsid w:val="00B87507"/>
    <w:rsid w:val="00B87D61"/>
    <w:rsid w:val="00B87EFD"/>
    <w:rsid w:val="00B906A6"/>
    <w:rsid w:val="00B90BD9"/>
    <w:rsid w:val="00B90DFE"/>
    <w:rsid w:val="00B915E4"/>
    <w:rsid w:val="00B91796"/>
    <w:rsid w:val="00B919CC"/>
    <w:rsid w:val="00B91A89"/>
    <w:rsid w:val="00B92385"/>
    <w:rsid w:val="00B925FD"/>
    <w:rsid w:val="00B92850"/>
    <w:rsid w:val="00B9324C"/>
    <w:rsid w:val="00B93A4C"/>
    <w:rsid w:val="00B93A65"/>
    <w:rsid w:val="00B93AAC"/>
    <w:rsid w:val="00B94921"/>
    <w:rsid w:val="00B94996"/>
    <w:rsid w:val="00B94F37"/>
    <w:rsid w:val="00B94F69"/>
    <w:rsid w:val="00B95417"/>
    <w:rsid w:val="00B95A83"/>
    <w:rsid w:val="00B96088"/>
    <w:rsid w:val="00B963F8"/>
    <w:rsid w:val="00B96696"/>
    <w:rsid w:val="00B96A91"/>
    <w:rsid w:val="00B96D8C"/>
    <w:rsid w:val="00B9723D"/>
    <w:rsid w:val="00B97379"/>
    <w:rsid w:val="00B9788C"/>
    <w:rsid w:val="00B97A64"/>
    <w:rsid w:val="00B97C5D"/>
    <w:rsid w:val="00BA00BA"/>
    <w:rsid w:val="00BA032C"/>
    <w:rsid w:val="00BA10CF"/>
    <w:rsid w:val="00BA1499"/>
    <w:rsid w:val="00BA14E9"/>
    <w:rsid w:val="00BA154B"/>
    <w:rsid w:val="00BA197E"/>
    <w:rsid w:val="00BA1CD8"/>
    <w:rsid w:val="00BA1FD4"/>
    <w:rsid w:val="00BA2344"/>
    <w:rsid w:val="00BA2AB6"/>
    <w:rsid w:val="00BA2E37"/>
    <w:rsid w:val="00BA2E9C"/>
    <w:rsid w:val="00BA3573"/>
    <w:rsid w:val="00BA358B"/>
    <w:rsid w:val="00BA3C2E"/>
    <w:rsid w:val="00BA4337"/>
    <w:rsid w:val="00BA4A15"/>
    <w:rsid w:val="00BA5762"/>
    <w:rsid w:val="00BA59EB"/>
    <w:rsid w:val="00BA5B0D"/>
    <w:rsid w:val="00BA65D9"/>
    <w:rsid w:val="00BA6729"/>
    <w:rsid w:val="00BA67D5"/>
    <w:rsid w:val="00BA6917"/>
    <w:rsid w:val="00BA6CC2"/>
    <w:rsid w:val="00BA6D0F"/>
    <w:rsid w:val="00BA6E19"/>
    <w:rsid w:val="00BA70C2"/>
    <w:rsid w:val="00BA7271"/>
    <w:rsid w:val="00BA769E"/>
    <w:rsid w:val="00BA784F"/>
    <w:rsid w:val="00BA7B6E"/>
    <w:rsid w:val="00BB0714"/>
    <w:rsid w:val="00BB07AA"/>
    <w:rsid w:val="00BB09E4"/>
    <w:rsid w:val="00BB0EE3"/>
    <w:rsid w:val="00BB0FA5"/>
    <w:rsid w:val="00BB0FC7"/>
    <w:rsid w:val="00BB143B"/>
    <w:rsid w:val="00BB16CA"/>
    <w:rsid w:val="00BB1884"/>
    <w:rsid w:val="00BB18DB"/>
    <w:rsid w:val="00BB1EC3"/>
    <w:rsid w:val="00BB200B"/>
    <w:rsid w:val="00BB2062"/>
    <w:rsid w:val="00BB2329"/>
    <w:rsid w:val="00BB2765"/>
    <w:rsid w:val="00BB28F2"/>
    <w:rsid w:val="00BB2CF2"/>
    <w:rsid w:val="00BB345A"/>
    <w:rsid w:val="00BB37E6"/>
    <w:rsid w:val="00BB4846"/>
    <w:rsid w:val="00BB4A10"/>
    <w:rsid w:val="00BB4A8D"/>
    <w:rsid w:val="00BB4AA3"/>
    <w:rsid w:val="00BB4DFF"/>
    <w:rsid w:val="00BB56E8"/>
    <w:rsid w:val="00BB5893"/>
    <w:rsid w:val="00BB63DD"/>
    <w:rsid w:val="00BB6514"/>
    <w:rsid w:val="00BB678B"/>
    <w:rsid w:val="00BB698C"/>
    <w:rsid w:val="00BB6D3E"/>
    <w:rsid w:val="00BB6D71"/>
    <w:rsid w:val="00BB703B"/>
    <w:rsid w:val="00BB71C5"/>
    <w:rsid w:val="00BB7B07"/>
    <w:rsid w:val="00BC009A"/>
    <w:rsid w:val="00BC04B3"/>
    <w:rsid w:val="00BC05F1"/>
    <w:rsid w:val="00BC0BA0"/>
    <w:rsid w:val="00BC0F7F"/>
    <w:rsid w:val="00BC103B"/>
    <w:rsid w:val="00BC1361"/>
    <w:rsid w:val="00BC14AA"/>
    <w:rsid w:val="00BC16DF"/>
    <w:rsid w:val="00BC23A9"/>
    <w:rsid w:val="00BC2572"/>
    <w:rsid w:val="00BC266C"/>
    <w:rsid w:val="00BC29B2"/>
    <w:rsid w:val="00BC2A45"/>
    <w:rsid w:val="00BC3203"/>
    <w:rsid w:val="00BC337C"/>
    <w:rsid w:val="00BC405C"/>
    <w:rsid w:val="00BC4A65"/>
    <w:rsid w:val="00BC4D57"/>
    <w:rsid w:val="00BC4FE1"/>
    <w:rsid w:val="00BC56F0"/>
    <w:rsid w:val="00BC58EC"/>
    <w:rsid w:val="00BC5B36"/>
    <w:rsid w:val="00BC5DBB"/>
    <w:rsid w:val="00BC6009"/>
    <w:rsid w:val="00BC66BB"/>
    <w:rsid w:val="00BC6A3C"/>
    <w:rsid w:val="00BC7152"/>
    <w:rsid w:val="00BC7183"/>
    <w:rsid w:val="00BD020F"/>
    <w:rsid w:val="00BD05B8"/>
    <w:rsid w:val="00BD074B"/>
    <w:rsid w:val="00BD090B"/>
    <w:rsid w:val="00BD0E95"/>
    <w:rsid w:val="00BD0ED5"/>
    <w:rsid w:val="00BD0FD5"/>
    <w:rsid w:val="00BD185D"/>
    <w:rsid w:val="00BD2902"/>
    <w:rsid w:val="00BD37E0"/>
    <w:rsid w:val="00BD49F4"/>
    <w:rsid w:val="00BD4A0B"/>
    <w:rsid w:val="00BD4DD1"/>
    <w:rsid w:val="00BD5366"/>
    <w:rsid w:val="00BD5821"/>
    <w:rsid w:val="00BD584E"/>
    <w:rsid w:val="00BD5A76"/>
    <w:rsid w:val="00BD6F59"/>
    <w:rsid w:val="00BD71E1"/>
    <w:rsid w:val="00BD795D"/>
    <w:rsid w:val="00BD7977"/>
    <w:rsid w:val="00BE0700"/>
    <w:rsid w:val="00BE0D97"/>
    <w:rsid w:val="00BE1239"/>
    <w:rsid w:val="00BE147C"/>
    <w:rsid w:val="00BE1DC4"/>
    <w:rsid w:val="00BE251F"/>
    <w:rsid w:val="00BE2F7E"/>
    <w:rsid w:val="00BE3078"/>
    <w:rsid w:val="00BE323A"/>
    <w:rsid w:val="00BE37F4"/>
    <w:rsid w:val="00BE3E2D"/>
    <w:rsid w:val="00BE4082"/>
    <w:rsid w:val="00BE445C"/>
    <w:rsid w:val="00BE47A6"/>
    <w:rsid w:val="00BE4BE9"/>
    <w:rsid w:val="00BE5240"/>
    <w:rsid w:val="00BE5D0B"/>
    <w:rsid w:val="00BE61C3"/>
    <w:rsid w:val="00BE6695"/>
    <w:rsid w:val="00BE6DDB"/>
    <w:rsid w:val="00BE7A2A"/>
    <w:rsid w:val="00BF03AE"/>
    <w:rsid w:val="00BF0619"/>
    <w:rsid w:val="00BF1522"/>
    <w:rsid w:val="00BF15C2"/>
    <w:rsid w:val="00BF17AE"/>
    <w:rsid w:val="00BF1B9F"/>
    <w:rsid w:val="00BF243E"/>
    <w:rsid w:val="00BF2C41"/>
    <w:rsid w:val="00BF2E9C"/>
    <w:rsid w:val="00BF2EA7"/>
    <w:rsid w:val="00BF355F"/>
    <w:rsid w:val="00BF3D92"/>
    <w:rsid w:val="00BF4200"/>
    <w:rsid w:val="00BF4A4E"/>
    <w:rsid w:val="00BF50FE"/>
    <w:rsid w:val="00BF54E9"/>
    <w:rsid w:val="00BF5551"/>
    <w:rsid w:val="00BF560C"/>
    <w:rsid w:val="00BF5C68"/>
    <w:rsid w:val="00BF62E7"/>
    <w:rsid w:val="00BF755F"/>
    <w:rsid w:val="00BF79D8"/>
    <w:rsid w:val="00BF7C65"/>
    <w:rsid w:val="00C0015C"/>
    <w:rsid w:val="00C006BF"/>
    <w:rsid w:val="00C0087F"/>
    <w:rsid w:val="00C00A1F"/>
    <w:rsid w:val="00C00DF8"/>
    <w:rsid w:val="00C01E69"/>
    <w:rsid w:val="00C0218F"/>
    <w:rsid w:val="00C0241E"/>
    <w:rsid w:val="00C02749"/>
    <w:rsid w:val="00C02816"/>
    <w:rsid w:val="00C0291E"/>
    <w:rsid w:val="00C029EB"/>
    <w:rsid w:val="00C02F1F"/>
    <w:rsid w:val="00C02FD9"/>
    <w:rsid w:val="00C03200"/>
    <w:rsid w:val="00C04699"/>
    <w:rsid w:val="00C04BF7"/>
    <w:rsid w:val="00C053EE"/>
    <w:rsid w:val="00C054B2"/>
    <w:rsid w:val="00C057AB"/>
    <w:rsid w:val="00C0651F"/>
    <w:rsid w:val="00C066C4"/>
    <w:rsid w:val="00C069CB"/>
    <w:rsid w:val="00C07116"/>
    <w:rsid w:val="00C079EE"/>
    <w:rsid w:val="00C07BFF"/>
    <w:rsid w:val="00C10553"/>
    <w:rsid w:val="00C10970"/>
    <w:rsid w:val="00C10B26"/>
    <w:rsid w:val="00C10DDE"/>
    <w:rsid w:val="00C10F73"/>
    <w:rsid w:val="00C112BE"/>
    <w:rsid w:val="00C114E9"/>
    <w:rsid w:val="00C1170F"/>
    <w:rsid w:val="00C1192B"/>
    <w:rsid w:val="00C11A3E"/>
    <w:rsid w:val="00C11C01"/>
    <w:rsid w:val="00C12237"/>
    <w:rsid w:val="00C1276D"/>
    <w:rsid w:val="00C12BB4"/>
    <w:rsid w:val="00C12CFC"/>
    <w:rsid w:val="00C12EB9"/>
    <w:rsid w:val="00C13323"/>
    <w:rsid w:val="00C135A2"/>
    <w:rsid w:val="00C13AEE"/>
    <w:rsid w:val="00C13CCF"/>
    <w:rsid w:val="00C14947"/>
    <w:rsid w:val="00C153C7"/>
    <w:rsid w:val="00C16731"/>
    <w:rsid w:val="00C16931"/>
    <w:rsid w:val="00C16A40"/>
    <w:rsid w:val="00C17137"/>
    <w:rsid w:val="00C17451"/>
    <w:rsid w:val="00C17B84"/>
    <w:rsid w:val="00C17C01"/>
    <w:rsid w:val="00C17E19"/>
    <w:rsid w:val="00C17F6D"/>
    <w:rsid w:val="00C2002B"/>
    <w:rsid w:val="00C200F2"/>
    <w:rsid w:val="00C20B16"/>
    <w:rsid w:val="00C20DDE"/>
    <w:rsid w:val="00C20EEA"/>
    <w:rsid w:val="00C21423"/>
    <w:rsid w:val="00C21866"/>
    <w:rsid w:val="00C22136"/>
    <w:rsid w:val="00C22275"/>
    <w:rsid w:val="00C224BA"/>
    <w:rsid w:val="00C22A0E"/>
    <w:rsid w:val="00C22CD7"/>
    <w:rsid w:val="00C231F7"/>
    <w:rsid w:val="00C231FF"/>
    <w:rsid w:val="00C23723"/>
    <w:rsid w:val="00C241E4"/>
    <w:rsid w:val="00C24CE0"/>
    <w:rsid w:val="00C250DD"/>
    <w:rsid w:val="00C253F5"/>
    <w:rsid w:val="00C25B25"/>
    <w:rsid w:val="00C25E17"/>
    <w:rsid w:val="00C25EAB"/>
    <w:rsid w:val="00C25F86"/>
    <w:rsid w:val="00C25F8A"/>
    <w:rsid w:val="00C26658"/>
    <w:rsid w:val="00C26692"/>
    <w:rsid w:val="00C26DD7"/>
    <w:rsid w:val="00C2777B"/>
    <w:rsid w:val="00C277F6"/>
    <w:rsid w:val="00C279BC"/>
    <w:rsid w:val="00C27BCE"/>
    <w:rsid w:val="00C27C3F"/>
    <w:rsid w:val="00C309BF"/>
    <w:rsid w:val="00C30BBB"/>
    <w:rsid w:val="00C30C3B"/>
    <w:rsid w:val="00C30CEF"/>
    <w:rsid w:val="00C3144B"/>
    <w:rsid w:val="00C317C1"/>
    <w:rsid w:val="00C31B54"/>
    <w:rsid w:val="00C31D7F"/>
    <w:rsid w:val="00C32338"/>
    <w:rsid w:val="00C3273B"/>
    <w:rsid w:val="00C32BA7"/>
    <w:rsid w:val="00C32DC7"/>
    <w:rsid w:val="00C32E1C"/>
    <w:rsid w:val="00C336F3"/>
    <w:rsid w:val="00C33701"/>
    <w:rsid w:val="00C33A82"/>
    <w:rsid w:val="00C34479"/>
    <w:rsid w:val="00C34678"/>
    <w:rsid w:val="00C3475C"/>
    <w:rsid w:val="00C347EA"/>
    <w:rsid w:val="00C3499E"/>
    <w:rsid w:val="00C34A99"/>
    <w:rsid w:val="00C353E3"/>
    <w:rsid w:val="00C35676"/>
    <w:rsid w:val="00C36D99"/>
    <w:rsid w:val="00C3752E"/>
    <w:rsid w:val="00C3757D"/>
    <w:rsid w:val="00C403D8"/>
    <w:rsid w:val="00C4097E"/>
    <w:rsid w:val="00C40AD2"/>
    <w:rsid w:val="00C41851"/>
    <w:rsid w:val="00C41936"/>
    <w:rsid w:val="00C42047"/>
    <w:rsid w:val="00C42051"/>
    <w:rsid w:val="00C4216C"/>
    <w:rsid w:val="00C425C5"/>
    <w:rsid w:val="00C42F1D"/>
    <w:rsid w:val="00C43882"/>
    <w:rsid w:val="00C43E68"/>
    <w:rsid w:val="00C43F21"/>
    <w:rsid w:val="00C43FBE"/>
    <w:rsid w:val="00C440C9"/>
    <w:rsid w:val="00C44495"/>
    <w:rsid w:val="00C44950"/>
    <w:rsid w:val="00C44A06"/>
    <w:rsid w:val="00C44B1F"/>
    <w:rsid w:val="00C44E26"/>
    <w:rsid w:val="00C4518F"/>
    <w:rsid w:val="00C45513"/>
    <w:rsid w:val="00C456BE"/>
    <w:rsid w:val="00C457F5"/>
    <w:rsid w:val="00C45D80"/>
    <w:rsid w:val="00C46A34"/>
    <w:rsid w:val="00C4709B"/>
    <w:rsid w:val="00C4781D"/>
    <w:rsid w:val="00C478F4"/>
    <w:rsid w:val="00C47B09"/>
    <w:rsid w:val="00C47BFB"/>
    <w:rsid w:val="00C47C09"/>
    <w:rsid w:val="00C50334"/>
    <w:rsid w:val="00C504AB"/>
    <w:rsid w:val="00C50E49"/>
    <w:rsid w:val="00C511E6"/>
    <w:rsid w:val="00C51932"/>
    <w:rsid w:val="00C51F34"/>
    <w:rsid w:val="00C5266D"/>
    <w:rsid w:val="00C5296C"/>
    <w:rsid w:val="00C53568"/>
    <w:rsid w:val="00C537CF"/>
    <w:rsid w:val="00C53B1E"/>
    <w:rsid w:val="00C544FF"/>
    <w:rsid w:val="00C54538"/>
    <w:rsid w:val="00C56AD6"/>
    <w:rsid w:val="00C56C2C"/>
    <w:rsid w:val="00C56C4A"/>
    <w:rsid w:val="00C56EE0"/>
    <w:rsid w:val="00C57301"/>
    <w:rsid w:val="00C573CC"/>
    <w:rsid w:val="00C6002C"/>
    <w:rsid w:val="00C603E1"/>
    <w:rsid w:val="00C6068E"/>
    <w:rsid w:val="00C607D4"/>
    <w:rsid w:val="00C60FED"/>
    <w:rsid w:val="00C611FD"/>
    <w:rsid w:val="00C614C5"/>
    <w:rsid w:val="00C614EC"/>
    <w:rsid w:val="00C6181D"/>
    <w:rsid w:val="00C61D49"/>
    <w:rsid w:val="00C6282F"/>
    <w:rsid w:val="00C62EAC"/>
    <w:rsid w:val="00C635F7"/>
    <w:rsid w:val="00C63B16"/>
    <w:rsid w:val="00C64867"/>
    <w:rsid w:val="00C64903"/>
    <w:rsid w:val="00C64B74"/>
    <w:rsid w:val="00C652F1"/>
    <w:rsid w:val="00C6535F"/>
    <w:rsid w:val="00C65D69"/>
    <w:rsid w:val="00C66512"/>
    <w:rsid w:val="00C66729"/>
    <w:rsid w:val="00C66897"/>
    <w:rsid w:val="00C66ADC"/>
    <w:rsid w:val="00C66BFE"/>
    <w:rsid w:val="00C66FDC"/>
    <w:rsid w:val="00C671F9"/>
    <w:rsid w:val="00C67298"/>
    <w:rsid w:val="00C67896"/>
    <w:rsid w:val="00C67AC7"/>
    <w:rsid w:val="00C67E3F"/>
    <w:rsid w:val="00C7000D"/>
    <w:rsid w:val="00C707FB"/>
    <w:rsid w:val="00C70836"/>
    <w:rsid w:val="00C70FE5"/>
    <w:rsid w:val="00C719DC"/>
    <w:rsid w:val="00C71D44"/>
    <w:rsid w:val="00C71EC0"/>
    <w:rsid w:val="00C7289E"/>
    <w:rsid w:val="00C729A8"/>
    <w:rsid w:val="00C72BB5"/>
    <w:rsid w:val="00C72DF3"/>
    <w:rsid w:val="00C73018"/>
    <w:rsid w:val="00C7354C"/>
    <w:rsid w:val="00C73F83"/>
    <w:rsid w:val="00C74342"/>
    <w:rsid w:val="00C74353"/>
    <w:rsid w:val="00C7478B"/>
    <w:rsid w:val="00C74DE4"/>
    <w:rsid w:val="00C75C31"/>
    <w:rsid w:val="00C75CCC"/>
    <w:rsid w:val="00C761C4"/>
    <w:rsid w:val="00C7662D"/>
    <w:rsid w:val="00C771BE"/>
    <w:rsid w:val="00C777EC"/>
    <w:rsid w:val="00C77928"/>
    <w:rsid w:val="00C80353"/>
    <w:rsid w:val="00C80CC5"/>
    <w:rsid w:val="00C80F21"/>
    <w:rsid w:val="00C815C1"/>
    <w:rsid w:val="00C82055"/>
    <w:rsid w:val="00C8222D"/>
    <w:rsid w:val="00C8228C"/>
    <w:rsid w:val="00C82497"/>
    <w:rsid w:val="00C835D8"/>
    <w:rsid w:val="00C836F8"/>
    <w:rsid w:val="00C83C04"/>
    <w:rsid w:val="00C83ED9"/>
    <w:rsid w:val="00C84119"/>
    <w:rsid w:val="00C84622"/>
    <w:rsid w:val="00C84E36"/>
    <w:rsid w:val="00C84FA7"/>
    <w:rsid w:val="00C862A6"/>
    <w:rsid w:val="00C8634D"/>
    <w:rsid w:val="00C867FB"/>
    <w:rsid w:val="00C86C02"/>
    <w:rsid w:val="00C87091"/>
    <w:rsid w:val="00C87270"/>
    <w:rsid w:val="00C87299"/>
    <w:rsid w:val="00C8768D"/>
    <w:rsid w:val="00C87983"/>
    <w:rsid w:val="00C903B6"/>
    <w:rsid w:val="00C90615"/>
    <w:rsid w:val="00C91492"/>
    <w:rsid w:val="00C91994"/>
    <w:rsid w:val="00C91B86"/>
    <w:rsid w:val="00C91F74"/>
    <w:rsid w:val="00C9250B"/>
    <w:rsid w:val="00C92784"/>
    <w:rsid w:val="00C929B6"/>
    <w:rsid w:val="00C92B91"/>
    <w:rsid w:val="00C92E76"/>
    <w:rsid w:val="00C92F56"/>
    <w:rsid w:val="00C9382C"/>
    <w:rsid w:val="00C93914"/>
    <w:rsid w:val="00C951DC"/>
    <w:rsid w:val="00C95443"/>
    <w:rsid w:val="00C95A24"/>
    <w:rsid w:val="00C95A33"/>
    <w:rsid w:val="00C961F1"/>
    <w:rsid w:val="00C965AA"/>
    <w:rsid w:val="00C96C31"/>
    <w:rsid w:val="00C972E0"/>
    <w:rsid w:val="00C97B71"/>
    <w:rsid w:val="00C97D1B"/>
    <w:rsid w:val="00C97DAE"/>
    <w:rsid w:val="00C97F51"/>
    <w:rsid w:val="00CA00F4"/>
    <w:rsid w:val="00CA09C8"/>
    <w:rsid w:val="00CA0A31"/>
    <w:rsid w:val="00CA0F2E"/>
    <w:rsid w:val="00CA0F87"/>
    <w:rsid w:val="00CA1572"/>
    <w:rsid w:val="00CA1810"/>
    <w:rsid w:val="00CA18FB"/>
    <w:rsid w:val="00CA1EE4"/>
    <w:rsid w:val="00CA21D9"/>
    <w:rsid w:val="00CA23C9"/>
    <w:rsid w:val="00CA242B"/>
    <w:rsid w:val="00CA2786"/>
    <w:rsid w:val="00CA36F6"/>
    <w:rsid w:val="00CA37DE"/>
    <w:rsid w:val="00CA3890"/>
    <w:rsid w:val="00CA3C73"/>
    <w:rsid w:val="00CA40C3"/>
    <w:rsid w:val="00CA45A6"/>
    <w:rsid w:val="00CA545D"/>
    <w:rsid w:val="00CA5818"/>
    <w:rsid w:val="00CA5AD2"/>
    <w:rsid w:val="00CA70D3"/>
    <w:rsid w:val="00CA7702"/>
    <w:rsid w:val="00CA772D"/>
    <w:rsid w:val="00CA78A5"/>
    <w:rsid w:val="00CA7AA9"/>
    <w:rsid w:val="00CA7F57"/>
    <w:rsid w:val="00CA7FBD"/>
    <w:rsid w:val="00CB0AAD"/>
    <w:rsid w:val="00CB0B00"/>
    <w:rsid w:val="00CB151D"/>
    <w:rsid w:val="00CB16C2"/>
    <w:rsid w:val="00CB2309"/>
    <w:rsid w:val="00CB28B1"/>
    <w:rsid w:val="00CB2995"/>
    <w:rsid w:val="00CB29D2"/>
    <w:rsid w:val="00CB301C"/>
    <w:rsid w:val="00CB30F5"/>
    <w:rsid w:val="00CB3508"/>
    <w:rsid w:val="00CB36FA"/>
    <w:rsid w:val="00CB3A7B"/>
    <w:rsid w:val="00CB4AD7"/>
    <w:rsid w:val="00CB4B29"/>
    <w:rsid w:val="00CB4E7E"/>
    <w:rsid w:val="00CB521D"/>
    <w:rsid w:val="00CB55B9"/>
    <w:rsid w:val="00CB5653"/>
    <w:rsid w:val="00CB573B"/>
    <w:rsid w:val="00CB58F6"/>
    <w:rsid w:val="00CB6522"/>
    <w:rsid w:val="00CB6D17"/>
    <w:rsid w:val="00CB707C"/>
    <w:rsid w:val="00CB794C"/>
    <w:rsid w:val="00CB7AB7"/>
    <w:rsid w:val="00CB7D4C"/>
    <w:rsid w:val="00CB7DF3"/>
    <w:rsid w:val="00CB7EB9"/>
    <w:rsid w:val="00CC0011"/>
    <w:rsid w:val="00CC069E"/>
    <w:rsid w:val="00CC09AD"/>
    <w:rsid w:val="00CC118D"/>
    <w:rsid w:val="00CC13E7"/>
    <w:rsid w:val="00CC1444"/>
    <w:rsid w:val="00CC1E2E"/>
    <w:rsid w:val="00CC2492"/>
    <w:rsid w:val="00CC2D2E"/>
    <w:rsid w:val="00CC353E"/>
    <w:rsid w:val="00CC3CFC"/>
    <w:rsid w:val="00CC43DC"/>
    <w:rsid w:val="00CC451E"/>
    <w:rsid w:val="00CC47E5"/>
    <w:rsid w:val="00CC4951"/>
    <w:rsid w:val="00CC4BD1"/>
    <w:rsid w:val="00CC4D17"/>
    <w:rsid w:val="00CC503E"/>
    <w:rsid w:val="00CC5411"/>
    <w:rsid w:val="00CC552F"/>
    <w:rsid w:val="00CC589B"/>
    <w:rsid w:val="00CC5D27"/>
    <w:rsid w:val="00CC5E9D"/>
    <w:rsid w:val="00CC5EA3"/>
    <w:rsid w:val="00CC6CBF"/>
    <w:rsid w:val="00CC6D01"/>
    <w:rsid w:val="00CC7015"/>
    <w:rsid w:val="00CC743E"/>
    <w:rsid w:val="00CC79F0"/>
    <w:rsid w:val="00CC7B6C"/>
    <w:rsid w:val="00CD0321"/>
    <w:rsid w:val="00CD0475"/>
    <w:rsid w:val="00CD04A1"/>
    <w:rsid w:val="00CD0AEE"/>
    <w:rsid w:val="00CD16A6"/>
    <w:rsid w:val="00CD16E2"/>
    <w:rsid w:val="00CD19A3"/>
    <w:rsid w:val="00CD1C80"/>
    <w:rsid w:val="00CD1CD0"/>
    <w:rsid w:val="00CD21A0"/>
    <w:rsid w:val="00CD2277"/>
    <w:rsid w:val="00CD256F"/>
    <w:rsid w:val="00CD2A1B"/>
    <w:rsid w:val="00CD2A79"/>
    <w:rsid w:val="00CD2AB0"/>
    <w:rsid w:val="00CD2B0B"/>
    <w:rsid w:val="00CD2C7A"/>
    <w:rsid w:val="00CD2F78"/>
    <w:rsid w:val="00CD2FA5"/>
    <w:rsid w:val="00CD3480"/>
    <w:rsid w:val="00CD39BA"/>
    <w:rsid w:val="00CD4077"/>
    <w:rsid w:val="00CD4329"/>
    <w:rsid w:val="00CD4A5D"/>
    <w:rsid w:val="00CD514C"/>
    <w:rsid w:val="00CD5179"/>
    <w:rsid w:val="00CD577D"/>
    <w:rsid w:val="00CD6361"/>
    <w:rsid w:val="00CD651D"/>
    <w:rsid w:val="00CD714B"/>
    <w:rsid w:val="00CD75DD"/>
    <w:rsid w:val="00CD76EA"/>
    <w:rsid w:val="00CD796D"/>
    <w:rsid w:val="00CD7B10"/>
    <w:rsid w:val="00CD7F39"/>
    <w:rsid w:val="00CE109E"/>
    <w:rsid w:val="00CE1733"/>
    <w:rsid w:val="00CE1F03"/>
    <w:rsid w:val="00CE1F55"/>
    <w:rsid w:val="00CE280A"/>
    <w:rsid w:val="00CE34FF"/>
    <w:rsid w:val="00CE350A"/>
    <w:rsid w:val="00CE3792"/>
    <w:rsid w:val="00CE4725"/>
    <w:rsid w:val="00CE47BB"/>
    <w:rsid w:val="00CE48DB"/>
    <w:rsid w:val="00CE4ABA"/>
    <w:rsid w:val="00CE4CD9"/>
    <w:rsid w:val="00CE4E20"/>
    <w:rsid w:val="00CE4FC5"/>
    <w:rsid w:val="00CE502E"/>
    <w:rsid w:val="00CE5135"/>
    <w:rsid w:val="00CE5470"/>
    <w:rsid w:val="00CE7288"/>
    <w:rsid w:val="00CE73B4"/>
    <w:rsid w:val="00CE782A"/>
    <w:rsid w:val="00CE79CF"/>
    <w:rsid w:val="00CE7B57"/>
    <w:rsid w:val="00CF0066"/>
    <w:rsid w:val="00CF0779"/>
    <w:rsid w:val="00CF07C1"/>
    <w:rsid w:val="00CF09B7"/>
    <w:rsid w:val="00CF136F"/>
    <w:rsid w:val="00CF1597"/>
    <w:rsid w:val="00CF18F3"/>
    <w:rsid w:val="00CF19C9"/>
    <w:rsid w:val="00CF2289"/>
    <w:rsid w:val="00CF2704"/>
    <w:rsid w:val="00CF2B5F"/>
    <w:rsid w:val="00CF307E"/>
    <w:rsid w:val="00CF4066"/>
    <w:rsid w:val="00CF442F"/>
    <w:rsid w:val="00CF44D5"/>
    <w:rsid w:val="00CF46C0"/>
    <w:rsid w:val="00CF4771"/>
    <w:rsid w:val="00CF4EA2"/>
    <w:rsid w:val="00CF53EB"/>
    <w:rsid w:val="00CF55CF"/>
    <w:rsid w:val="00CF572D"/>
    <w:rsid w:val="00CF593E"/>
    <w:rsid w:val="00CF60AD"/>
    <w:rsid w:val="00CF62CF"/>
    <w:rsid w:val="00CF66CB"/>
    <w:rsid w:val="00CF6AA7"/>
    <w:rsid w:val="00CF7548"/>
    <w:rsid w:val="00CF7BD9"/>
    <w:rsid w:val="00D0049B"/>
    <w:rsid w:val="00D007A6"/>
    <w:rsid w:val="00D00B0D"/>
    <w:rsid w:val="00D00DEF"/>
    <w:rsid w:val="00D00EE2"/>
    <w:rsid w:val="00D00FD7"/>
    <w:rsid w:val="00D01814"/>
    <w:rsid w:val="00D01EA1"/>
    <w:rsid w:val="00D0216D"/>
    <w:rsid w:val="00D02A09"/>
    <w:rsid w:val="00D02F62"/>
    <w:rsid w:val="00D03260"/>
    <w:rsid w:val="00D03C79"/>
    <w:rsid w:val="00D04A4A"/>
    <w:rsid w:val="00D05206"/>
    <w:rsid w:val="00D05B49"/>
    <w:rsid w:val="00D062F1"/>
    <w:rsid w:val="00D07156"/>
    <w:rsid w:val="00D07509"/>
    <w:rsid w:val="00D0785F"/>
    <w:rsid w:val="00D07C74"/>
    <w:rsid w:val="00D07F58"/>
    <w:rsid w:val="00D07FBC"/>
    <w:rsid w:val="00D1013B"/>
    <w:rsid w:val="00D10600"/>
    <w:rsid w:val="00D10D0D"/>
    <w:rsid w:val="00D113D0"/>
    <w:rsid w:val="00D1186A"/>
    <w:rsid w:val="00D11BB2"/>
    <w:rsid w:val="00D1307C"/>
    <w:rsid w:val="00D13EA4"/>
    <w:rsid w:val="00D15648"/>
    <w:rsid w:val="00D15F79"/>
    <w:rsid w:val="00D160BE"/>
    <w:rsid w:val="00D1683A"/>
    <w:rsid w:val="00D16951"/>
    <w:rsid w:val="00D16E17"/>
    <w:rsid w:val="00D17208"/>
    <w:rsid w:val="00D17994"/>
    <w:rsid w:val="00D17A82"/>
    <w:rsid w:val="00D17C2F"/>
    <w:rsid w:val="00D17E6E"/>
    <w:rsid w:val="00D20553"/>
    <w:rsid w:val="00D2201A"/>
    <w:rsid w:val="00D220E3"/>
    <w:rsid w:val="00D22763"/>
    <w:rsid w:val="00D22765"/>
    <w:rsid w:val="00D22861"/>
    <w:rsid w:val="00D23AEB"/>
    <w:rsid w:val="00D23BE9"/>
    <w:rsid w:val="00D244E1"/>
    <w:rsid w:val="00D249F1"/>
    <w:rsid w:val="00D24BE0"/>
    <w:rsid w:val="00D252D3"/>
    <w:rsid w:val="00D257E6"/>
    <w:rsid w:val="00D25988"/>
    <w:rsid w:val="00D2601D"/>
    <w:rsid w:val="00D270F2"/>
    <w:rsid w:val="00D27B67"/>
    <w:rsid w:val="00D315FA"/>
    <w:rsid w:val="00D320C7"/>
    <w:rsid w:val="00D3271D"/>
    <w:rsid w:val="00D32B22"/>
    <w:rsid w:val="00D330A3"/>
    <w:rsid w:val="00D3389D"/>
    <w:rsid w:val="00D33CA7"/>
    <w:rsid w:val="00D33F44"/>
    <w:rsid w:val="00D34160"/>
    <w:rsid w:val="00D343DF"/>
    <w:rsid w:val="00D344EE"/>
    <w:rsid w:val="00D34D65"/>
    <w:rsid w:val="00D34E3B"/>
    <w:rsid w:val="00D350FB"/>
    <w:rsid w:val="00D35B5E"/>
    <w:rsid w:val="00D35F96"/>
    <w:rsid w:val="00D36B0A"/>
    <w:rsid w:val="00D36C84"/>
    <w:rsid w:val="00D37DFD"/>
    <w:rsid w:val="00D404FF"/>
    <w:rsid w:val="00D407B2"/>
    <w:rsid w:val="00D40E1C"/>
    <w:rsid w:val="00D41110"/>
    <w:rsid w:val="00D412BB"/>
    <w:rsid w:val="00D414DB"/>
    <w:rsid w:val="00D416A7"/>
    <w:rsid w:val="00D41B13"/>
    <w:rsid w:val="00D426DD"/>
    <w:rsid w:val="00D4275A"/>
    <w:rsid w:val="00D42C17"/>
    <w:rsid w:val="00D43390"/>
    <w:rsid w:val="00D43F38"/>
    <w:rsid w:val="00D44003"/>
    <w:rsid w:val="00D4408A"/>
    <w:rsid w:val="00D44629"/>
    <w:rsid w:val="00D44FE2"/>
    <w:rsid w:val="00D452E9"/>
    <w:rsid w:val="00D45DCE"/>
    <w:rsid w:val="00D45EC0"/>
    <w:rsid w:val="00D45F7C"/>
    <w:rsid w:val="00D46050"/>
    <w:rsid w:val="00D465E7"/>
    <w:rsid w:val="00D4662F"/>
    <w:rsid w:val="00D4728E"/>
    <w:rsid w:val="00D4736A"/>
    <w:rsid w:val="00D47635"/>
    <w:rsid w:val="00D47AE3"/>
    <w:rsid w:val="00D47BA1"/>
    <w:rsid w:val="00D47CE9"/>
    <w:rsid w:val="00D47F38"/>
    <w:rsid w:val="00D50660"/>
    <w:rsid w:val="00D508E9"/>
    <w:rsid w:val="00D50915"/>
    <w:rsid w:val="00D5167E"/>
    <w:rsid w:val="00D51708"/>
    <w:rsid w:val="00D51CAF"/>
    <w:rsid w:val="00D521EB"/>
    <w:rsid w:val="00D523D3"/>
    <w:rsid w:val="00D528D2"/>
    <w:rsid w:val="00D52981"/>
    <w:rsid w:val="00D52B94"/>
    <w:rsid w:val="00D531C1"/>
    <w:rsid w:val="00D53EF1"/>
    <w:rsid w:val="00D54D56"/>
    <w:rsid w:val="00D550FE"/>
    <w:rsid w:val="00D5523C"/>
    <w:rsid w:val="00D55281"/>
    <w:rsid w:val="00D55DB2"/>
    <w:rsid w:val="00D55FB0"/>
    <w:rsid w:val="00D5632B"/>
    <w:rsid w:val="00D57C86"/>
    <w:rsid w:val="00D57F4B"/>
    <w:rsid w:val="00D60172"/>
    <w:rsid w:val="00D60233"/>
    <w:rsid w:val="00D60607"/>
    <w:rsid w:val="00D6067B"/>
    <w:rsid w:val="00D608D6"/>
    <w:rsid w:val="00D60BF6"/>
    <w:rsid w:val="00D61329"/>
    <w:rsid w:val="00D616A0"/>
    <w:rsid w:val="00D62252"/>
    <w:rsid w:val="00D623DF"/>
    <w:rsid w:val="00D63585"/>
    <w:rsid w:val="00D6388F"/>
    <w:rsid w:val="00D63E05"/>
    <w:rsid w:val="00D6452A"/>
    <w:rsid w:val="00D64769"/>
    <w:rsid w:val="00D6479C"/>
    <w:rsid w:val="00D648BC"/>
    <w:rsid w:val="00D64C6E"/>
    <w:rsid w:val="00D64F5D"/>
    <w:rsid w:val="00D65040"/>
    <w:rsid w:val="00D6504A"/>
    <w:rsid w:val="00D65E47"/>
    <w:rsid w:val="00D65FD0"/>
    <w:rsid w:val="00D6664E"/>
    <w:rsid w:val="00D667C2"/>
    <w:rsid w:val="00D66B7B"/>
    <w:rsid w:val="00D67082"/>
    <w:rsid w:val="00D674EB"/>
    <w:rsid w:val="00D67654"/>
    <w:rsid w:val="00D6792E"/>
    <w:rsid w:val="00D67956"/>
    <w:rsid w:val="00D70030"/>
    <w:rsid w:val="00D70393"/>
    <w:rsid w:val="00D70BAD"/>
    <w:rsid w:val="00D71462"/>
    <w:rsid w:val="00D7194D"/>
    <w:rsid w:val="00D71C9A"/>
    <w:rsid w:val="00D721DC"/>
    <w:rsid w:val="00D723BC"/>
    <w:rsid w:val="00D7241E"/>
    <w:rsid w:val="00D7268D"/>
    <w:rsid w:val="00D72882"/>
    <w:rsid w:val="00D72BF6"/>
    <w:rsid w:val="00D73B49"/>
    <w:rsid w:val="00D73D6B"/>
    <w:rsid w:val="00D73EA4"/>
    <w:rsid w:val="00D74187"/>
    <w:rsid w:val="00D742EF"/>
    <w:rsid w:val="00D74A99"/>
    <w:rsid w:val="00D75087"/>
    <w:rsid w:val="00D75D97"/>
    <w:rsid w:val="00D75DFB"/>
    <w:rsid w:val="00D764BA"/>
    <w:rsid w:val="00D765A6"/>
    <w:rsid w:val="00D77541"/>
    <w:rsid w:val="00D77816"/>
    <w:rsid w:val="00D8009F"/>
    <w:rsid w:val="00D8017D"/>
    <w:rsid w:val="00D80CBD"/>
    <w:rsid w:val="00D8102C"/>
    <w:rsid w:val="00D811C1"/>
    <w:rsid w:val="00D81BEF"/>
    <w:rsid w:val="00D81E5B"/>
    <w:rsid w:val="00D827E8"/>
    <w:rsid w:val="00D83171"/>
    <w:rsid w:val="00D83215"/>
    <w:rsid w:val="00D836D3"/>
    <w:rsid w:val="00D83C91"/>
    <w:rsid w:val="00D83DAF"/>
    <w:rsid w:val="00D84207"/>
    <w:rsid w:val="00D84884"/>
    <w:rsid w:val="00D84DE9"/>
    <w:rsid w:val="00D85103"/>
    <w:rsid w:val="00D85A38"/>
    <w:rsid w:val="00D85BB8"/>
    <w:rsid w:val="00D85C3B"/>
    <w:rsid w:val="00D85CD6"/>
    <w:rsid w:val="00D85EC1"/>
    <w:rsid w:val="00D867AE"/>
    <w:rsid w:val="00D868F1"/>
    <w:rsid w:val="00D86A3E"/>
    <w:rsid w:val="00D86B39"/>
    <w:rsid w:val="00D87C00"/>
    <w:rsid w:val="00D87D0A"/>
    <w:rsid w:val="00D908CA"/>
    <w:rsid w:val="00D90A21"/>
    <w:rsid w:val="00D90E42"/>
    <w:rsid w:val="00D90EA6"/>
    <w:rsid w:val="00D910C5"/>
    <w:rsid w:val="00D9163F"/>
    <w:rsid w:val="00D91FFD"/>
    <w:rsid w:val="00D92723"/>
    <w:rsid w:val="00D9298C"/>
    <w:rsid w:val="00D93DC5"/>
    <w:rsid w:val="00D946FF"/>
    <w:rsid w:val="00D94C51"/>
    <w:rsid w:val="00D95046"/>
    <w:rsid w:val="00D9527A"/>
    <w:rsid w:val="00D9535C"/>
    <w:rsid w:val="00D953EA"/>
    <w:rsid w:val="00D954F6"/>
    <w:rsid w:val="00D95C1D"/>
    <w:rsid w:val="00D95FE8"/>
    <w:rsid w:val="00D9624D"/>
    <w:rsid w:val="00D96705"/>
    <w:rsid w:val="00D96C46"/>
    <w:rsid w:val="00D96E57"/>
    <w:rsid w:val="00D9743A"/>
    <w:rsid w:val="00D975F9"/>
    <w:rsid w:val="00D97659"/>
    <w:rsid w:val="00D97C28"/>
    <w:rsid w:val="00D97F5E"/>
    <w:rsid w:val="00DA008B"/>
    <w:rsid w:val="00DA0A9C"/>
    <w:rsid w:val="00DA0D51"/>
    <w:rsid w:val="00DA165A"/>
    <w:rsid w:val="00DA19C9"/>
    <w:rsid w:val="00DA1BA6"/>
    <w:rsid w:val="00DA235C"/>
    <w:rsid w:val="00DA23E2"/>
    <w:rsid w:val="00DA259D"/>
    <w:rsid w:val="00DA26FF"/>
    <w:rsid w:val="00DA2AB8"/>
    <w:rsid w:val="00DA2C93"/>
    <w:rsid w:val="00DA32A7"/>
    <w:rsid w:val="00DA33C3"/>
    <w:rsid w:val="00DA34B5"/>
    <w:rsid w:val="00DA39B1"/>
    <w:rsid w:val="00DA3D4C"/>
    <w:rsid w:val="00DA40BE"/>
    <w:rsid w:val="00DA4E15"/>
    <w:rsid w:val="00DA50C7"/>
    <w:rsid w:val="00DA53A3"/>
    <w:rsid w:val="00DA55CE"/>
    <w:rsid w:val="00DA596F"/>
    <w:rsid w:val="00DA61BB"/>
    <w:rsid w:val="00DA660A"/>
    <w:rsid w:val="00DA6D88"/>
    <w:rsid w:val="00DA7462"/>
    <w:rsid w:val="00DA752A"/>
    <w:rsid w:val="00DA778A"/>
    <w:rsid w:val="00DA7AA1"/>
    <w:rsid w:val="00DA7AB8"/>
    <w:rsid w:val="00DA7CC3"/>
    <w:rsid w:val="00DA7D76"/>
    <w:rsid w:val="00DA7F68"/>
    <w:rsid w:val="00DA7FA0"/>
    <w:rsid w:val="00DA7FAA"/>
    <w:rsid w:val="00DA7FF0"/>
    <w:rsid w:val="00DB0615"/>
    <w:rsid w:val="00DB07CB"/>
    <w:rsid w:val="00DB0828"/>
    <w:rsid w:val="00DB0923"/>
    <w:rsid w:val="00DB1124"/>
    <w:rsid w:val="00DB1571"/>
    <w:rsid w:val="00DB1B0B"/>
    <w:rsid w:val="00DB21A9"/>
    <w:rsid w:val="00DB26F4"/>
    <w:rsid w:val="00DB3551"/>
    <w:rsid w:val="00DB35E5"/>
    <w:rsid w:val="00DB3720"/>
    <w:rsid w:val="00DB393D"/>
    <w:rsid w:val="00DB3FB7"/>
    <w:rsid w:val="00DB488A"/>
    <w:rsid w:val="00DB4EDF"/>
    <w:rsid w:val="00DB52CD"/>
    <w:rsid w:val="00DB5448"/>
    <w:rsid w:val="00DB559E"/>
    <w:rsid w:val="00DB5623"/>
    <w:rsid w:val="00DB5781"/>
    <w:rsid w:val="00DB57E9"/>
    <w:rsid w:val="00DB5B2A"/>
    <w:rsid w:val="00DB629B"/>
    <w:rsid w:val="00DB665F"/>
    <w:rsid w:val="00DB6D28"/>
    <w:rsid w:val="00DB73D1"/>
    <w:rsid w:val="00DB769C"/>
    <w:rsid w:val="00DB78BB"/>
    <w:rsid w:val="00DB79EE"/>
    <w:rsid w:val="00DC00C5"/>
    <w:rsid w:val="00DC030F"/>
    <w:rsid w:val="00DC05D2"/>
    <w:rsid w:val="00DC0D2F"/>
    <w:rsid w:val="00DC0E32"/>
    <w:rsid w:val="00DC1743"/>
    <w:rsid w:val="00DC1D7A"/>
    <w:rsid w:val="00DC2204"/>
    <w:rsid w:val="00DC2A57"/>
    <w:rsid w:val="00DC2FCA"/>
    <w:rsid w:val="00DC30CE"/>
    <w:rsid w:val="00DC32E7"/>
    <w:rsid w:val="00DC33EC"/>
    <w:rsid w:val="00DC39AE"/>
    <w:rsid w:val="00DC3A18"/>
    <w:rsid w:val="00DC3AFF"/>
    <w:rsid w:val="00DC4A83"/>
    <w:rsid w:val="00DC515B"/>
    <w:rsid w:val="00DC520F"/>
    <w:rsid w:val="00DC5377"/>
    <w:rsid w:val="00DC5A45"/>
    <w:rsid w:val="00DC6D42"/>
    <w:rsid w:val="00DC7303"/>
    <w:rsid w:val="00DC7318"/>
    <w:rsid w:val="00DC73B3"/>
    <w:rsid w:val="00DC78E9"/>
    <w:rsid w:val="00DD0730"/>
    <w:rsid w:val="00DD0BE3"/>
    <w:rsid w:val="00DD1072"/>
    <w:rsid w:val="00DD12A9"/>
    <w:rsid w:val="00DD1395"/>
    <w:rsid w:val="00DD1A2C"/>
    <w:rsid w:val="00DD1D58"/>
    <w:rsid w:val="00DD1E4F"/>
    <w:rsid w:val="00DD1EBE"/>
    <w:rsid w:val="00DD2808"/>
    <w:rsid w:val="00DD2A27"/>
    <w:rsid w:val="00DD33A3"/>
    <w:rsid w:val="00DD41E3"/>
    <w:rsid w:val="00DD4526"/>
    <w:rsid w:val="00DD4840"/>
    <w:rsid w:val="00DD525F"/>
    <w:rsid w:val="00DD5476"/>
    <w:rsid w:val="00DD54BE"/>
    <w:rsid w:val="00DD560A"/>
    <w:rsid w:val="00DD6228"/>
    <w:rsid w:val="00DD64A4"/>
    <w:rsid w:val="00DD77B9"/>
    <w:rsid w:val="00DD7F92"/>
    <w:rsid w:val="00DE01DB"/>
    <w:rsid w:val="00DE03C2"/>
    <w:rsid w:val="00DE0419"/>
    <w:rsid w:val="00DE0434"/>
    <w:rsid w:val="00DE0A71"/>
    <w:rsid w:val="00DE0B15"/>
    <w:rsid w:val="00DE1257"/>
    <w:rsid w:val="00DE139C"/>
    <w:rsid w:val="00DE149C"/>
    <w:rsid w:val="00DE150C"/>
    <w:rsid w:val="00DE18D5"/>
    <w:rsid w:val="00DE273C"/>
    <w:rsid w:val="00DE2AFD"/>
    <w:rsid w:val="00DE2DF8"/>
    <w:rsid w:val="00DE327C"/>
    <w:rsid w:val="00DE3626"/>
    <w:rsid w:val="00DE39CC"/>
    <w:rsid w:val="00DE39D6"/>
    <w:rsid w:val="00DE40B7"/>
    <w:rsid w:val="00DE444F"/>
    <w:rsid w:val="00DE49A6"/>
    <w:rsid w:val="00DE4E34"/>
    <w:rsid w:val="00DE50B0"/>
    <w:rsid w:val="00DE5326"/>
    <w:rsid w:val="00DE5A18"/>
    <w:rsid w:val="00DE5A68"/>
    <w:rsid w:val="00DE5B0F"/>
    <w:rsid w:val="00DE5B78"/>
    <w:rsid w:val="00DE5DC1"/>
    <w:rsid w:val="00DE6215"/>
    <w:rsid w:val="00DE65C1"/>
    <w:rsid w:val="00DE6776"/>
    <w:rsid w:val="00DE6CB4"/>
    <w:rsid w:val="00DE6D2C"/>
    <w:rsid w:val="00DE746A"/>
    <w:rsid w:val="00DE799F"/>
    <w:rsid w:val="00DE7D0E"/>
    <w:rsid w:val="00DF004F"/>
    <w:rsid w:val="00DF0160"/>
    <w:rsid w:val="00DF01F9"/>
    <w:rsid w:val="00DF071B"/>
    <w:rsid w:val="00DF0C37"/>
    <w:rsid w:val="00DF14F1"/>
    <w:rsid w:val="00DF15C9"/>
    <w:rsid w:val="00DF1DE8"/>
    <w:rsid w:val="00DF1DFA"/>
    <w:rsid w:val="00DF1F39"/>
    <w:rsid w:val="00DF270E"/>
    <w:rsid w:val="00DF31BA"/>
    <w:rsid w:val="00DF3284"/>
    <w:rsid w:val="00DF3294"/>
    <w:rsid w:val="00DF3F15"/>
    <w:rsid w:val="00DF4346"/>
    <w:rsid w:val="00DF4444"/>
    <w:rsid w:val="00DF45DD"/>
    <w:rsid w:val="00DF48F2"/>
    <w:rsid w:val="00DF4D80"/>
    <w:rsid w:val="00DF4ECB"/>
    <w:rsid w:val="00DF55FD"/>
    <w:rsid w:val="00DF57DC"/>
    <w:rsid w:val="00DF5991"/>
    <w:rsid w:val="00DF5AC9"/>
    <w:rsid w:val="00DF60A7"/>
    <w:rsid w:val="00DF615A"/>
    <w:rsid w:val="00DF6CA9"/>
    <w:rsid w:val="00DF6ECA"/>
    <w:rsid w:val="00DF718E"/>
    <w:rsid w:val="00DF725E"/>
    <w:rsid w:val="00E00122"/>
    <w:rsid w:val="00E00306"/>
    <w:rsid w:val="00E0053C"/>
    <w:rsid w:val="00E01516"/>
    <w:rsid w:val="00E01A51"/>
    <w:rsid w:val="00E01BFE"/>
    <w:rsid w:val="00E020DD"/>
    <w:rsid w:val="00E02DF6"/>
    <w:rsid w:val="00E0397F"/>
    <w:rsid w:val="00E04747"/>
    <w:rsid w:val="00E0488D"/>
    <w:rsid w:val="00E04A4A"/>
    <w:rsid w:val="00E04D60"/>
    <w:rsid w:val="00E05157"/>
    <w:rsid w:val="00E0566A"/>
    <w:rsid w:val="00E05EA5"/>
    <w:rsid w:val="00E062B2"/>
    <w:rsid w:val="00E063A4"/>
    <w:rsid w:val="00E06B2B"/>
    <w:rsid w:val="00E06BBE"/>
    <w:rsid w:val="00E06E95"/>
    <w:rsid w:val="00E07459"/>
    <w:rsid w:val="00E074BA"/>
    <w:rsid w:val="00E075D4"/>
    <w:rsid w:val="00E07870"/>
    <w:rsid w:val="00E07AAE"/>
    <w:rsid w:val="00E07DCA"/>
    <w:rsid w:val="00E07DEC"/>
    <w:rsid w:val="00E104FC"/>
    <w:rsid w:val="00E10E9B"/>
    <w:rsid w:val="00E11357"/>
    <w:rsid w:val="00E119B0"/>
    <w:rsid w:val="00E11B02"/>
    <w:rsid w:val="00E1219D"/>
    <w:rsid w:val="00E12217"/>
    <w:rsid w:val="00E13178"/>
    <w:rsid w:val="00E138C2"/>
    <w:rsid w:val="00E139C7"/>
    <w:rsid w:val="00E13C76"/>
    <w:rsid w:val="00E13CDD"/>
    <w:rsid w:val="00E147D0"/>
    <w:rsid w:val="00E148C9"/>
    <w:rsid w:val="00E14A0E"/>
    <w:rsid w:val="00E14B8D"/>
    <w:rsid w:val="00E14E5D"/>
    <w:rsid w:val="00E1519D"/>
    <w:rsid w:val="00E155A4"/>
    <w:rsid w:val="00E15654"/>
    <w:rsid w:val="00E15FF4"/>
    <w:rsid w:val="00E1671C"/>
    <w:rsid w:val="00E16B91"/>
    <w:rsid w:val="00E16E19"/>
    <w:rsid w:val="00E173CE"/>
    <w:rsid w:val="00E17688"/>
    <w:rsid w:val="00E178D7"/>
    <w:rsid w:val="00E200DB"/>
    <w:rsid w:val="00E20115"/>
    <w:rsid w:val="00E21008"/>
    <w:rsid w:val="00E21A83"/>
    <w:rsid w:val="00E2206C"/>
    <w:rsid w:val="00E22219"/>
    <w:rsid w:val="00E223B6"/>
    <w:rsid w:val="00E224B1"/>
    <w:rsid w:val="00E2267B"/>
    <w:rsid w:val="00E229EF"/>
    <w:rsid w:val="00E22E57"/>
    <w:rsid w:val="00E22FC4"/>
    <w:rsid w:val="00E23F35"/>
    <w:rsid w:val="00E245D3"/>
    <w:rsid w:val="00E24C7E"/>
    <w:rsid w:val="00E24F57"/>
    <w:rsid w:val="00E25402"/>
    <w:rsid w:val="00E25474"/>
    <w:rsid w:val="00E25758"/>
    <w:rsid w:val="00E25EC4"/>
    <w:rsid w:val="00E265CF"/>
    <w:rsid w:val="00E26998"/>
    <w:rsid w:val="00E26B96"/>
    <w:rsid w:val="00E274F9"/>
    <w:rsid w:val="00E277A0"/>
    <w:rsid w:val="00E27F60"/>
    <w:rsid w:val="00E30087"/>
    <w:rsid w:val="00E305A4"/>
    <w:rsid w:val="00E31612"/>
    <w:rsid w:val="00E31C31"/>
    <w:rsid w:val="00E329FD"/>
    <w:rsid w:val="00E32D88"/>
    <w:rsid w:val="00E33A80"/>
    <w:rsid w:val="00E33D2D"/>
    <w:rsid w:val="00E33E36"/>
    <w:rsid w:val="00E33E4B"/>
    <w:rsid w:val="00E341C3"/>
    <w:rsid w:val="00E34250"/>
    <w:rsid w:val="00E345FA"/>
    <w:rsid w:val="00E34CF8"/>
    <w:rsid w:val="00E34EBD"/>
    <w:rsid w:val="00E352AB"/>
    <w:rsid w:val="00E354C5"/>
    <w:rsid w:val="00E3578D"/>
    <w:rsid w:val="00E35B12"/>
    <w:rsid w:val="00E35B63"/>
    <w:rsid w:val="00E35DEA"/>
    <w:rsid w:val="00E3606F"/>
    <w:rsid w:val="00E36142"/>
    <w:rsid w:val="00E36975"/>
    <w:rsid w:val="00E37596"/>
    <w:rsid w:val="00E3781C"/>
    <w:rsid w:val="00E37D28"/>
    <w:rsid w:val="00E37DEA"/>
    <w:rsid w:val="00E40472"/>
    <w:rsid w:val="00E40723"/>
    <w:rsid w:val="00E408E3"/>
    <w:rsid w:val="00E40CA5"/>
    <w:rsid w:val="00E40CA6"/>
    <w:rsid w:val="00E40ED8"/>
    <w:rsid w:val="00E40FA2"/>
    <w:rsid w:val="00E41B8B"/>
    <w:rsid w:val="00E41EB5"/>
    <w:rsid w:val="00E42123"/>
    <w:rsid w:val="00E42F0A"/>
    <w:rsid w:val="00E43854"/>
    <w:rsid w:val="00E43904"/>
    <w:rsid w:val="00E43B01"/>
    <w:rsid w:val="00E43DE3"/>
    <w:rsid w:val="00E442ED"/>
    <w:rsid w:val="00E445D8"/>
    <w:rsid w:val="00E44801"/>
    <w:rsid w:val="00E44E79"/>
    <w:rsid w:val="00E4522C"/>
    <w:rsid w:val="00E45349"/>
    <w:rsid w:val="00E454A0"/>
    <w:rsid w:val="00E45632"/>
    <w:rsid w:val="00E471B4"/>
    <w:rsid w:val="00E50CF5"/>
    <w:rsid w:val="00E50EE6"/>
    <w:rsid w:val="00E515C1"/>
    <w:rsid w:val="00E5160B"/>
    <w:rsid w:val="00E51F9F"/>
    <w:rsid w:val="00E52095"/>
    <w:rsid w:val="00E5248B"/>
    <w:rsid w:val="00E528EC"/>
    <w:rsid w:val="00E5339C"/>
    <w:rsid w:val="00E53503"/>
    <w:rsid w:val="00E53754"/>
    <w:rsid w:val="00E5382E"/>
    <w:rsid w:val="00E539C0"/>
    <w:rsid w:val="00E53A88"/>
    <w:rsid w:val="00E53B77"/>
    <w:rsid w:val="00E549EF"/>
    <w:rsid w:val="00E54FCC"/>
    <w:rsid w:val="00E54FD5"/>
    <w:rsid w:val="00E553FC"/>
    <w:rsid w:val="00E55934"/>
    <w:rsid w:val="00E55994"/>
    <w:rsid w:val="00E55C74"/>
    <w:rsid w:val="00E5619D"/>
    <w:rsid w:val="00E56339"/>
    <w:rsid w:val="00E568E4"/>
    <w:rsid w:val="00E56CCD"/>
    <w:rsid w:val="00E56F40"/>
    <w:rsid w:val="00E574FB"/>
    <w:rsid w:val="00E57A62"/>
    <w:rsid w:val="00E57C16"/>
    <w:rsid w:val="00E57DB9"/>
    <w:rsid w:val="00E57E21"/>
    <w:rsid w:val="00E57EF4"/>
    <w:rsid w:val="00E6031F"/>
    <w:rsid w:val="00E60F22"/>
    <w:rsid w:val="00E61622"/>
    <w:rsid w:val="00E61BB9"/>
    <w:rsid w:val="00E62241"/>
    <w:rsid w:val="00E6253B"/>
    <w:rsid w:val="00E62736"/>
    <w:rsid w:val="00E6299F"/>
    <w:rsid w:val="00E62DA1"/>
    <w:rsid w:val="00E62FC1"/>
    <w:rsid w:val="00E63036"/>
    <w:rsid w:val="00E63431"/>
    <w:rsid w:val="00E63655"/>
    <w:rsid w:val="00E63734"/>
    <w:rsid w:val="00E638AA"/>
    <w:rsid w:val="00E638F7"/>
    <w:rsid w:val="00E63F86"/>
    <w:rsid w:val="00E643CC"/>
    <w:rsid w:val="00E64B61"/>
    <w:rsid w:val="00E64E18"/>
    <w:rsid w:val="00E65B19"/>
    <w:rsid w:val="00E66648"/>
    <w:rsid w:val="00E666B2"/>
    <w:rsid w:val="00E66AF7"/>
    <w:rsid w:val="00E67547"/>
    <w:rsid w:val="00E70BF0"/>
    <w:rsid w:val="00E70E96"/>
    <w:rsid w:val="00E7108F"/>
    <w:rsid w:val="00E710F6"/>
    <w:rsid w:val="00E717F1"/>
    <w:rsid w:val="00E7199C"/>
    <w:rsid w:val="00E7201C"/>
    <w:rsid w:val="00E726D0"/>
    <w:rsid w:val="00E73147"/>
    <w:rsid w:val="00E7330C"/>
    <w:rsid w:val="00E735F8"/>
    <w:rsid w:val="00E73819"/>
    <w:rsid w:val="00E73846"/>
    <w:rsid w:val="00E73FC1"/>
    <w:rsid w:val="00E74311"/>
    <w:rsid w:val="00E749BD"/>
    <w:rsid w:val="00E74A30"/>
    <w:rsid w:val="00E74FD6"/>
    <w:rsid w:val="00E7573F"/>
    <w:rsid w:val="00E75B14"/>
    <w:rsid w:val="00E75B6E"/>
    <w:rsid w:val="00E76B64"/>
    <w:rsid w:val="00E76DF1"/>
    <w:rsid w:val="00E7737B"/>
    <w:rsid w:val="00E775EE"/>
    <w:rsid w:val="00E7785B"/>
    <w:rsid w:val="00E77D6A"/>
    <w:rsid w:val="00E77F5C"/>
    <w:rsid w:val="00E80203"/>
    <w:rsid w:val="00E80465"/>
    <w:rsid w:val="00E81D81"/>
    <w:rsid w:val="00E81FD2"/>
    <w:rsid w:val="00E82539"/>
    <w:rsid w:val="00E825C4"/>
    <w:rsid w:val="00E82CD6"/>
    <w:rsid w:val="00E83D21"/>
    <w:rsid w:val="00E83D2B"/>
    <w:rsid w:val="00E83D34"/>
    <w:rsid w:val="00E83D50"/>
    <w:rsid w:val="00E83E31"/>
    <w:rsid w:val="00E843E0"/>
    <w:rsid w:val="00E847AA"/>
    <w:rsid w:val="00E85BF0"/>
    <w:rsid w:val="00E85C9F"/>
    <w:rsid w:val="00E86192"/>
    <w:rsid w:val="00E8623E"/>
    <w:rsid w:val="00E86369"/>
    <w:rsid w:val="00E86408"/>
    <w:rsid w:val="00E8666A"/>
    <w:rsid w:val="00E86876"/>
    <w:rsid w:val="00E87425"/>
    <w:rsid w:val="00E87456"/>
    <w:rsid w:val="00E8758E"/>
    <w:rsid w:val="00E8771F"/>
    <w:rsid w:val="00E879C7"/>
    <w:rsid w:val="00E904FB"/>
    <w:rsid w:val="00E90569"/>
    <w:rsid w:val="00E90709"/>
    <w:rsid w:val="00E91171"/>
    <w:rsid w:val="00E919E5"/>
    <w:rsid w:val="00E91F56"/>
    <w:rsid w:val="00E9203F"/>
    <w:rsid w:val="00E92C90"/>
    <w:rsid w:val="00E92D4E"/>
    <w:rsid w:val="00E93369"/>
    <w:rsid w:val="00E93AAA"/>
    <w:rsid w:val="00E93E7C"/>
    <w:rsid w:val="00E941C3"/>
    <w:rsid w:val="00E94925"/>
    <w:rsid w:val="00E94D41"/>
    <w:rsid w:val="00E954CC"/>
    <w:rsid w:val="00E9560D"/>
    <w:rsid w:val="00E959F9"/>
    <w:rsid w:val="00E95DE1"/>
    <w:rsid w:val="00E9654D"/>
    <w:rsid w:val="00E96912"/>
    <w:rsid w:val="00E96BB9"/>
    <w:rsid w:val="00E96F3F"/>
    <w:rsid w:val="00E972A5"/>
    <w:rsid w:val="00E9763A"/>
    <w:rsid w:val="00E977F1"/>
    <w:rsid w:val="00E9781A"/>
    <w:rsid w:val="00EA01D5"/>
    <w:rsid w:val="00EA0438"/>
    <w:rsid w:val="00EA04F9"/>
    <w:rsid w:val="00EA0BE9"/>
    <w:rsid w:val="00EA0F9F"/>
    <w:rsid w:val="00EA1B47"/>
    <w:rsid w:val="00EA1C03"/>
    <w:rsid w:val="00EA2006"/>
    <w:rsid w:val="00EA2444"/>
    <w:rsid w:val="00EA2725"/>
    <w:rsid w:val="00EA2C01"/>
    <w:rsid w:val="00EA2C6F"/>
    <w:rsid w:val="00EA2D38"/>
    <w:rsid w:val="00EA2D81"/>
    <w:rsid w:val="00EA2F21"/>
    <w:rsid w:val="00EA33E9"/>
    <w:rsid w:val="00EA35C7"/>
    <w:rsid w:val="00EA36A0"/>
    <w:rsid w:val="00EA3EC6"/>
    <w:rsid w:val="00EA47D3"/>
    <w:rsid w:val="00EA4DB9"/>
    <w:rsid w:val="00EA50ED"/>
    <w:rsid w:val="00EA5463"/>
    <w:rsid w:val="00EA54C9"/>
    <w:rsid w:val="00EA5CBA"/>
    <w:rsid w:val="00EA5CBC"/>
    <w:rsid w:val="00EA5DF2"/>
    <w:rsid w:val="00EA62BD"/>
    <w:rsid w:val="00EA6345"/>
    <w:rsid w:val="00EA643F"/>
    <w:rsid w:val="00EA6584"/>
    <w:rsid w:val="00EA65A8"/>
    <w:rsid w:val="00EA6C89"/>
    <w:rsid w:val="00EA7090"/>
    <w:rsid w:val="00EA7122"/>
    <w:rsid w:val="00EA719B"/>
    <w:rsid w:val="00EA71D5"/>
    <w:rsid w:val="00EA77B3"/>
    <w:rsid w:val="00EA7943"/>
    <w:rsid w:val="00EB05F4"/>
    <w:rsid w:val="00EB0CB9"/>
    <w:rsid w:val="00EB0D99"/>
    <w:rsid w:val="00EB0DAA"/>
    <w:rsid w:val="00EB0F2C"/>
    <w:rsid w:val="00EB14DD"/>
    <w:rsid w:val="00EB22A9"/>
    <w:rsid w:val="00EB266E"/>
    <w:rsid w:val="00EB268F"/>
    <w:rsid w:val="00EB2804"/>
    <w:rsid w:val="00EB28CF"/>
    <w:rsid w:val="00EB3F83"/>
    <w:rsid w:val="00EB42D5"/>
    <w:rsid w:val="00EB43D4"/>
    <w:rsid w:val="00EB43FA"/>
    <w:rsid w:val="00EB44C0"/>
    <w:rsid w:val="00EB478B"/>
    <w:rsid w:val="00EB49D1"/>
    <w:rsid w:val="00EB4C12"/>
    <w:rsid w:val="00EB4EC0"/>
    <w:rsid w:val="00EB55BD"/>
    <w:rsid w:val="00EB5747"/>
    <w:rsid w:val="00EB5C79"/>
    <w:rsid w:val="00EB6215"/>
    <w:rsid w:val="00EB7FE8"/>
    <w:rsid w:val="00EC053E"/>
    <w:rsid w:val="00EC0931"/>
    <w:rsid w:val="00EC0C24"/>
    <w:rsid w:val="00EC11FA"/>
    <w:rsid w:val="00EC13EB"/>
    <w:rsid w:val="00EC1537"/>
    <w:rsid w:val="00EC15A3"/>
    <w:rsid w:val="00EC18E2"/>
    <w:rsid w:val="00EC1967"/>
    <w:rsid w:val="00EC1AD1"/>
    <w:rsid w:val="00EC1C9D"/>
    <w:rsid w:val="00EC1CD6"/>
    <w:rsid w:val="00EC2A70"/>
    <w:rsid w:val="00EC31E0"/>
    <w:rsid w:val="00EC3275"/>
    <w:rsid w:val="00EC342A"/>
    <w:rsid w:val="00EC37F5"/>
    <w:rsid w:val="00EC4A2E"/>
    <w:rsid w:val="00EC4E6B"/>
    <w:rsid w:val="00EC51CD"/>
    <w:rsid w:val="00EC5F6C"/>
    <w:rsid w:val="00EC6131"/>
    <w:rsid w:val="00EC7106"/>
    <w:rsid w:val="00EC7755"/>
    <w:rsid w:val="00EC78E5"/>
    <w:rsid w:val="00EC7C98"/>
    <w:rsid w:val="00EC7DFB"/>
    <w:rsid w:val="00ED02E4"/>
    <w:rsid w:val="00ED0389"/>
    <w:rsid w:val="00ED0856"/>
    <w:rsid w:val="00ED1401"/>
    <w:rsid w:val="00ED1C05"/>
    <w:rsid w:val="00ED1CCD"/>
    <w:rsid w:val="00ED1FF0"/>
    <w:rsid w:val="00ED2305"/>
    <w:rsid w:val="00ED2DBA"/>
    <w:rsid w:val="00ED3559"/>
    <w:rsid w:val="00ED3EC0"/>
    <w:rsid w:val="00ED3F8B"/>
    <w:rsid w:val="00ED48C1"/>
    <w:rsid w:val="00ED4D04"/>
    <w:rsid w:val="00ED4F17"/>
    <w:rsid w:val="00ED63BE"/>
    <w:rsid w:val="00ED69DE"/>
    <w:rsid w:val="00ED740B"/>
    <w:rsid w:val="00ED76FF"/>
    <w:rsid w:val="00ED7FE5"/>
    <w:rsid w:val="00EE032F"/>
    <w:rsid w:val="00EE222A"/>
    <w:rsid w:val="00EE2664"/>
    <w:rsid w:val="00EE2A63"/>
    <w:rsid w:val="00EE34EC"/>
    <w:rsid w:val="00EE3A11"/>
    <w:rsid w:val="00EE44EF"/>
    <w:rsid w:val="00EE4A4F"/>
    <w:rsid w:val="00EE4B43"/>
    <w:rsid w:val="00EE4D21"/>
    <w:rsid w:val="00EE4E0F"/>
    <w:rsid w:val="00EE52A2"/>
    <w:rsid w:val="00EE588B"/>
    <w:rsid w:val="00EE58E4"/>
    <w:rsid w:val="00EE597B"/>
    <w:rsid w:val="00EE627C"/>
    <w:rsid w:val="00EE67D1"/>
    <w:rsid w:val="00EE6C90"/>
    <w:rsid w:val="00EE6F4B"/>
    <w:rsid w:val="00EE70E0"/>
    <w:rsid w:val="00EE770E"/>
    <w:rsid w:val="00EE7882"/>
    <w:rsid w:val="00EF0015"/>
    <w:rsid w:val="00EF0356"/>
    <w:rsid w:val="00EF09D8"/>
    <w:rsid w:val="00EF0AD4"/>
    <w:rsid w:val="00EF0DF5"/>
    <w:rsid w:val="00EF0FDC"/>
    <w:rsid w:val="00EF129C"/>
    <w:rsid w:val="00EF14AB"/>
    <w:rsid w:val="00EF166B"/>
    <w:rsid w:val="00EF1835"/>
    <w:rsid w:val="00EF197C"/>
    <w:rsid w:val="00EF19C3"/>
    <w:rsid w:val="00EF1ED4"/>
    <w:rsid w:val="00EF221D"/>
    <w:rsid w:val="00EF2711"/>
    <w:rsid w:val="00EF284B"/>
    <w:rsid w:val="00EF3078"/>
    <w:rsid w:val="00EF3A29"/>
    <w:rsid w:val="00EF3D42"/>
    <w:rsid w:val="00EF4334"/>
    <w:rsid w:val="00EF49E4"/>
    <w:rsid w:val="00EF4EAA"/>
    <w:rsid w:val="00EF4F04"/>
    <w:rsid w:val="00EF591B"/>
    <w:rsid w:val="00EF5929"/>
    <w:rsid w:val="00EF5BAB"/>
    <w:rsid w:val="00EF5D14"/>
    <w:rsid w:val="00EF5DF6"/>
    <w:rsid w:val="00EF61AC"/>
    <w:rsid w:val="00EF63A5"/>
    <w:rsid w:val="00EF6473"/>
    <w:rsid w:val="00EF662B"/>
    <w:rsid w:val="00EF6F97"/>
    <w:rsid w:val="00EF71C8"/>
    <w:rsid w:val="00EF735C"/>
    <w:rsid w:val="00EF773A"/>
    <w:rsid w:val="00EF7A91"/>
    <w:rsid w:val="00F00196"/>
    <w:rsid w:val="00F00B0B"/>
    <w:rsid w:val="00F01005"/>
    <w:rsid w:val="00F01422"/>
    <w:rsid w:val="00F01A30"/>
    <w:rsid w:val="00F01D3A"/>
    <w:rsid w:val="00F02325"/>
    <w:rsid w:val="00F02A98"/>
    <w:rsid w:val="00F02CB7"/>
    <w:rsid w:val="00F02D9F"/>
    <w:rsid w:val="00F033BB"/>
    <w:rsid w:val="00F04550"/>
    <w:rsid w:val="00F05175"/>
    <w:rsid w:val="00F05183"/>
    <w:rsid w:val="00F05371"/>
    <w:rsid w:val="00F055AB"/>
    <w:rsid w:val="00F058E6"/>
    <w:rsid w:val="00F05A64"/>
    <w:rsid w:val="00F05B10"/>
    <w:rsid w:val="00F05CE7"/>
    <w:rsid w:val="00F05E1C"/>
    <w:rsid w:val="00F06215"/>
    <w:rsid w:val="00F06F40"/>
    <w:rsid w:val="00F073C9"/>
    <w:rsid w:val="00F07821"/>
    <w:rsid w:val="00F07A39"/>
    <w:rsid w:val="00F10342"/>
    <w:rsid w:val="00F103B9"/>
    <w:rsid w:val="00F10C72"/>
    <w:rsid w:val="00F11093"/>
    <w:rsid w:val="00F111E2"/>
    <w:rsid w:val="00F114CB"/>
    <w:rsid w:val="00F114CC"/>
    <w:rsid w:val="00F11EF7"/>
    <w:rsid w:val="00F11FE6"/>
    <w:rsid w:val="00F120C0"/>
    <w:rsid w:val="00F12338"/>
    <w:rsid w:val="00F13DA4"/>
    <w:rsid w:val="00F1412D"/>
    <w:rsid w:val="00F141B0"/>
    <w:rsid w:val="00F14586"/>
    <w:rsid w:val="00F151F7"/>
    <w:rsid w:val="00F15366"/>
    <w:rsid w:val="00F154D7"/>
    <w:rsid w:val="00F1566C"/>
    <w:rsid w:val="00F158F9"/>
    <w:rsid w:val="00F159C0"/>
    <w:rsid w:val="00F15C6F"/>
    <w:rsid w:val="00F15DA9"/>
    <w:rsid w:val="00F1618F"/>
    <w:rsid w:val="00F1634E"/>
    <w:rsid w:val="00F1652D"/>
    <w:rsid w:val="00F16571"/>
    <w:rsid w:val="00F17C5E"/>
    <w:rsid w:val="00F17D3F"/>
    <w:rsid w:val="00F2042A"/>
    <w:rsid w:val="00F21187"/>
    <w:rsid w:val="00F21265"/>
    <w:rsid w:val="00F212E5"/>
    <w:rsid w:val="00F214DC"/>
    <w:rsid w:val="00F219C6"/>
    <w:rsid w:val="00F220C1"/>
    <w:rsid w:val="00F22380"/>
    <w:rsid w:val="00F22B05"/>
    <w:rsid w:val="00F22E6D"/>
    <w:rsid w:val="00F23121"/>
    <w:rsid w:val="00F23167"/>
    <w:rsid w:val="00F23303"/>
    <w:rsid w:val="00F2341E"/>
    <w:rsid w:val="00F23945"/>
    <w:rsid w:val="00F23B2F"/>
    <w:rsid w:val="00F23BC0"/>
    <w:rsid w:val="00F23C69"/>
    <w:rsid w:val="00F244DB"/>
    <w:rsid w:val="00F24E59"/>
    <w:rsid w:val="00F255FE"/>
    <w:rsid w:val="00F256B3"/>
    <w:rsid w:val="00F25AF0"/>
    <w:rsid w:val="00F25EEA"/>
    <w:rsid w:val="00F261A1"/>
    <w:rsid w:val="00F26216"/>
    <w:rsid w:val="00F2673E"/>
    <w:rsid w:val="00F2681A"/>
    <w:rsid w:val="00F26887"/>
    <w:rsid w:val="00F269B0"/>
    <w:rsid w:val="00F27282"/>
    <w:rsid w:val="00F275FD"/>
    <w:rsid w:val="00F2761E"/>
    <w:rsid w:val="00F27723"/>
    <w:rsid w:val="00F30367"/>
    <w:rsid w:val="00F30943"/>
    <w:rsid w:val="00F30CAF"/>
    <w:rsid w:val="00F315CA"/>
    <w:rsid w:val="00F316BF"/>
    <w:rsid w:val="00F3177C"/>
    <w:rsid w:val="00F31C9A"/>
    <w:rsid w:val="00F324DA"/>
    <w:rsid w:val="00F326A8"/>
    <w:rsid w:val="00F32E0D"/>
    <w:rsid w:val="00F32F26"/>
    <w:rsid w:val="00F332C9"/>
    <w:rsid w:val="00F334DA"/>
    <w:rsid w:val="00F334E8"/>
    <w:rsid w:val="00F337C2"/>
    <w:rsid w:val="00F34418"/>
    <w:rsid w:val="00F345E4"/>
    <w:rsid w:val="00F3486F"/>
    <w:rsid w:val="00F34D30"/>
    <w:rsid w:val="00F34E08"/>
    <w:rsid w:val="00F34EA5"/>
    <w:rsid w:val="00F3549A"/>
    <w:rsid w:val="00F3573A"/>
    <w:rsid w:val="00F35FF4"/>
    <w:rsid w:val="00F369A6"/>
    <w:rsid w:val="00F3798C"/>
    <w:rsid w:val="00F37BAF"/>
    <w:rsid w:val="00F37BE2"/>
    <w:rsid w:val="00F37FA0"/>
    <w:rsid w:val="00F40320"/>
    <w:rsid w:val="00F403D4"/>
    <w:rsid w:val="00F405BF"/>
    <w:rsid w:val="00F41573"/>
    <w:rsid w:val="00F417DF"/>
    <w:rsid w:val="00F4184D"/>
    <w:rsid w:val="00F41E5C"/>
    <w:rsid w:val="00F41EB1"/>
    <w:rsid w:val="00F421DB"/>
    <w:rsid w:val="00F42259"/>
    <w:rsid w:val="00F424BD"/>
    <w:rsid w:val="00F428CC"/>
    <w:rsid w:val="00F429BF"/>
    <w:rsid w:val="00F42B16"/>
    <w:rsid w:val="00F42C0B"/>
    <w:rsid w:val="00F42C88"/>
    <w:rsid w:val="00F43A41"/>
    <w:rsid w:val="00F43A57"/>
    <w:rsid w:val="00F44516"/>
    <w:rsid w:val="00F44529"/>
    <w:rsid w:val="00F45704"/>
    <w:rsid w:val="00F457D2"/>
    <w:rsid w:val="00F4614D"/>
    <w:rsid w:val="00F46F46"/>
    <w:rsid w:val="00F46F83"/>
    <w:rsid w:val="00F4741D"/>
    <w:rsid w:val="00F47D53"/>
    <w:rsid w:val="00F47E71"/>
    <w:rsid w:val="00F47F00"/>
    <w:rsid w:val="00F50A81"/>
    <w:rsid w:val="00F50EC3"/>
    <w:rsid w:val="00F50FF6"/>
    <w:rsid w:val="00F51107"/>
    <w:rsid w:val="00F5186E"/>
    <w:rsid w:val="00F5214F"/>
    <w:rsid w:val="00F52270"/>
    <w:rsid w:val="00F524EE"/>
    <w:rsid w:val="00F52982"/>
    <w:rsid w:val="00F52FF8"/>
    <w:rsid w:val="00F532B6"/>
    <w:rsid w:val="00F532E5"/>
    <w:rsid w:val="00F536E5"/>
    <w:rsid w:val="00F53A9A"/>
    <w:rsid w:val="00F54337"/>
    <w:rsid w:val="00F548BF"/>
    <w:rsid w:val="00F5498A"/>
    <w:rsid w:val="00F54B17"/>
    <w:rsid w:val="00F54C00"/>
    <w:rsid w:val="00F54C81"/>
    <w:rsid w:val="00F54FBA"/>
    <w:rsid w:val="00F554B0"/>
    <w:rsid w:val="00F556D5"/>
    <w:rsid w:val="00F55765"/>
    <w:rsid w:val="00F55B02"/>
    <w:rsid w:val="00F55CA1"/>
    <w:rsid w:val="00F55CFC"/>
    <w:rsid w:val="00F566B0"/>
    <w:rsid w:val="00F567F8"/>
    <w:rsid w:val="00F56AF6"/>
    <w:rsid w:val="00F56E11"/>
    <w:rsid w:val="00F56F33"/>
    <w:rsid w:val="00F5718A"/>
    <w:rsid w:val="00F573CB"/>
    <w:rsid w:val="00F575D3"/>
    <w:rsid w:val="00F57DD9"/>
    <w:rsid w:val="00F60311"/>
    <w:rsid w:val="00F60569"/>
    <w:rsid w:val="00F61534"/>
    <w:rsid w:val="00F61D1E"/>
    <w:rsid w:val="00F61E97"/>
    <w:rsid w:val="00F62949"/>
    <w:rsid w:val="00F62D7D"/>
    <w:rsid w:val="00F6317B"/>
    <w:rsid w:val="00F63223"/>
    <w:rsid w:val="00F632AF"/>
    <w:rsid w:val="00F63369"/>
    <w:rsid w:val="00F63BAC"/>
    <w:rsid w:val="00F6447A"/>
    <w:rsid w:val="00F6466E"/>
    <w:rsid w:val="00F64DFC"/>
    <w:rsid w:val="00F65155"/>
    <w:rsid w:val="00F65D6B"/>
    <w:rsid w:val="00F6681D"/>
    <w:rsid w:val="00F6688C"/>
    <w:rsid w:val="00F668F0"/>
    <w:rsid w:val="00F66C9E"/>
    <w:rsid w:val="00F67607"/>
    <w:rsid w:val="00F6760E"/>
    <w:rsid w:val="00F67D26"/>
    <w:rsid w:val="00F67DCD"/>
    <w:rsid w:val="00F703E4"/>
    <w:rsid w:val="00F704C6"/>
    <w:rsid w:val="00F7058B"/>
    <w:rsid w:val="00F706B2"/>
    <w:rsid w:val="00F7090D"/>
    <w:rsid w:val="00F716CD"/>
    <w:rsid w:val="00F716FA"/>
    <w:rsid w:val="00F719ED"/>
    <w:rsid w:val="00F71A34"/>
    <w:rsid w:val="00F71C3F"/>
    <w:rsid w:val="00F72266"/>
    <w:rsid w:val="00F722A8"/>
    <w:rsid w:val="00F724A8"/>
    <w:rsid w:val="00F72BCB"/>
    <w:rsid w:val="00F73577"/>
    <w:rsid w:val="00F737C1"/>
    <w:rsid w:val="00F74990"/>
    <w:rsid w:val="00F74F49"/>
    <w:rsid w:val="00F753E3"/>
    <w:rsid w:val="00F7593E"/>
    <w:rsid w:val="00F75BC5"/>
    <w:rsid w:val="00F75DEC"/>
    <w:rsid w:val="00F75E4D"/>
    <w:rsid w:val="00F7632F"/>
    <w:rsid w:val="00F76539"/>
    <w:rsid w:val="00F76823"/>
    <w:rsid w:val="00F76F47"/>
    <w:rsid w:val="00F77205"/>
    <w:rsid w:val="00F8067A"/>
    <w:rsid w:val="00F80926"/>
    <w:rsid w:val="00F8135A"/>
    <w:rsid w:val="00F819B2"/>
    <w:rsid w:val="00F81B43"/>
    <w:rsid w:val="00F81EF4"/>
    <w:rsid w:val="00F81F50"/>
    <w:rsid w:val="00F820AD"/>
    <w:rsid w:val="00F825DD"/>
    <w:rsid w:val="00F82C77"/>
    <w:rsid w:val="00F82F2F"/>
    <w:rsid w:val="00F83116"/>
    <w:rsid w:val="00F831BD"/>
    <w:rsid w:val="00F833BA"/>
    <w:rsid w:val="00F835E3"/>
    <w:rsid w:val="00F83623"/>
    <w:rsid w:val="00F83BA1"/>
    <w:rsid w:val="00F83D7B"/>
    <w:rsid w:val="00F84565"/>
    <w:rsid w:val="00F84611"/>
    <w:rsid w:val="00F84659"/>
    <w:rsid w:val="00F8474A"/>
    <w:rsid w:val="00F8480D"/>
    <w:rsid w:val="00F85063"/>
    <w:rsid w:val="00F85476"/>
    <w:rsid w:val="00F85505"/>
    <w:rsid w:val="00F85527"/>
    <w:rsid w:val="00F85BAA"/>
    <w:rsid w:val="00F86586"/>
    <w:rsid w:val="00F86CFD"/>
    <w:rsid w:val="00F8799E"/>
    <w:rsid w:val="00F87C7B"/>
    <w:rsid w:val="00F87E1A"/>
    <w:rsid w:val="00F901CD"/>
    <w:rsid w:val="00F90A31"/>
    <w:rsid w:val="00F90EDC"/>
    <w:rsid w:val="00F910EE"/>
    <w:rsid w:val="00F9138D"/>
    <w:rsid w:val="00F91800"/>
    <w:rsid w:val="00F91C04"/>
    <w:rsid w:val="00F93264"/>
    <w:rsid w:val="00F93482"/>
    <w:rsid w:val="00F93964"/>
    <w:rsid w:val="00F93E02"/>
    <w:rsid w:val="00F9426E"/>
    <w:rsid w:val="00F9457B"/>
    <w:rsid w:val="00F946B6"/>
    <w:rsid w:val="00F94C87"/>
    <w:rsid w:val="00F94DD6"/>
    <w:rsid w:val="00F9522A"/>
    <w:rsid w:val="00F95246"/>
    <w:rsid w:val="00F96114"/>
    <w:rsid w:val="00F9661C"/>
    <w:rsid w:val="00F96F76"/>
    <w:rsid w:val="00FA079E"/>
    <w:rsid w:val="00FA096D"/>
    <w:rsid w:val="00FA10D5"/>
    <w:rsid w:val="00FA15C9"/>
    <w:rsid w:val="00FA1FB0"/>
    <w:rsid w:val="00FA32DB"/>
    <w:rsid w:val="00FA3BE0"/>
    <w:rsid w:val="00FA405D"/>
    <w:rsid w:val="00FA6202"/>
    <w:rsid w:val="00FA67E3"/>
    <w:rsid w:val="00FA6915"/>
    <w:rsid w:val="00FA7077"/>
    <w:rsid w:val="00FA7BCA"/>
    <w:rsid w:val="00FA7E0A"/>
    <w:rsid w:val="00FB005F"/>
    <w:rsid w:val="00FB06DA"/>
    <w:rsid w:val="00FB0FD4"/>
    <w:rsid w:val="00FB1448"/>
    <w:rsid w:val="00FB14B5"/>
    <w:rsid w:val="00FB1BE3"/>
    <w:rsid w:val="00FB1C35"/>
    <w:rsid w:val="00FB2957"/>
    <w:rsid w:val="00FB2D04"/>
    <w:rsid w:val="00FB3611"/>
    <w:rsid w:val="00FB3E61"/>
    <w:rsid w:val="00FB44E8"/>
    <w:rsid w:val="00FB46AA"/>
    <w:rsid w:val="00FB4F8B"/>
    <w:rsid w:val="00FB51AB"/>
    <w:rsid w:val="00FB55E0"/>
    <w:rsid w:val="00FB5D90"/>
    <w:rsid w:val="00FB6250"/>
    <w:rsid w:val="00FB630A"/>
    <w:rsid w:val="00FB68C5"/>
    <w:rsid w:val="00FB6C9D"/>
    <w:rsid w:val="00FB76A8"/>
    <w:rsid w:val="00FB7C5D"/>
    <w:rsid w:val="00FB7CCD"/>
    <w:rsid w:val="00FB7EC4"/>
    <w:rsid w:val="00FB7F79"/>
    <w:rsid w:val="00FC026C"/>
    <w:rsid w:val="00FC1995"/>
    <w:rsid w:val="00FC1F9B"/>
    <w:rsid w:val="00FC2218"/>
    <w:rsid w:val="00FC2D60"/>
    <w:rsid w:val="00FC304B"/>
    <w:rsid w:val="00FC378F"/>
    <w:rsid w:val="00FC3CEC"/>
    <w:rsid w:val="00FC40C2"/>
    <w:rsid w:val="00FC45D0"/>
    <w:rsid w:val="00FC47E8"/>
    <w:rsid w:val="00FC49D8"/>
    <w:rsid w:val="00FC4C88"/>
    <w:rsid w:val="00FC5262"/>
    <w:rsid w:val="00FC5361"/>
    <w:rsid w:val="00FC5866"/>
    <w:rsid w:val="00FC59F8"/>
    <w:rsid w:val="00FC5F67"/>
    <w:rsid w:val="00FC612B"/>
    <w:rsid w:val="00FC622E"/>
    <w:rsid w:val="00FC62AF"/>
    <w:rsid w:val="00FC6424"/>
    <w:rsid w:val="00FC6C27"/>
    <w:rsid w:val="00FC6FAE"/>
    <w:rsid w:val="00FC72DF"/>
    <w:rsid w:val="00FC73DD"/>
    <w:rsid w:val="00FD0B76"/>
    <w:rsid w:val="00FD1565"/>
    <w:rsid w:val="00FD1C3E"/>
    <w:rsid w:val="00FD1D30"/>
    <w:rsid w:val="00FD1ECD"/>
    <w:rsid w:val="00FD23E0"/>
    <w:rsid w:val="00FD2771"/>
    <w:rsid w:val="00FD278A"/>
    <w:rsid w:val="00FD2801"/>
    <w:rsid w:val="00FD2BFB"/>
    <w:rsid w:val="00FD2FAA"/>
    <w:rsid w:val="00FD3051"/>
    <w:rsid w:val="00FD34B6"/>
    <w:rsid w:val="00FD3804"/>
    <w:rsid w:val="00FD39AB"/>
    <w:rsid w:val="00FD3B72"/>
    <w:rsid w:val="00FD503F"/>
    <w:rsid w:val="00FD5310"/>
    <w:rsid w:val="00FD54BB"/>
    <w:rsid w:val="00FD55D6"/>
    <w:rsid w:val="00FD55F6"/>
    <w:rsid w:val="00FD5661"/>
    <w:rsid w:val="00FD6118"/>
    <w:rsid w:val="00FD62A2"/>
    <w:rsid w:val="00FD691B"/>
    <w:rsid w:val="00FD6B4B"/>
    <w:rsid w:val="00FD6CC7"/>
    <w:rsid w:val="00FD7E71"/>
    <w:rsid w:val="00FE0063"/>
    <w:rsid w:val="00FE0362"/>
    <w:rsid w:val="00FE04F6"/>
    <w:rsid w:val="00FE0723"/>
    <w:rsid w:val="00FE07F2"/>
    <w:rsid w:val="00FE0847"/>
    <w:rsid w:val="00FE0BD6"/>
    <w:rsid w:val="00FE0C8F"/>
    <w:rsid w:val="00FE140E"/>
    <w:rsid w:val="00FE169D"/>
    <w:rsid w:val="00FE173B"/>
    <w:rsid w:val="00FE1862"/>
    <w:rsid w:val="00FE18D9"/>
    <w:rsid w:val="00FE2D6E"/>
    <w:rsid w:val="00FE310D"/>
    <w:rsid w:val="00FE318D"/>
    <w:rsid w:val="00FE31EB"/>
    <w:rsid w:val="00FE34EE"/>
    <w:rsid w:val="00FE3D75"/>
    <w:rsid w:val="00FE4551"/>
    <w:rsid w:val="00FE487B"/>
    <w:rsid w:val="00FE4957"/>
    <w:rsid w:val="00FE4AFB"/>
    <w:rsid w:val="00FE54D3"/>
    <w:rsid w:val="00FE5BE5"/>
    <w:rsid w:val="00FE5DD0"/>
    <w:rsid w:val="00FE6005"/>
    <w:rsid w:val="00FE6A4D"/>
    <w:rsid w:val="00FE7B0C"/>
    <w:rsid w:val="00FF06A6"/>
    <w:rsid w:val="00FF137E"/>
    <w:rsid w:val="00FF1940"/>
    <w:rsid w:val="00FF2084"/>
    <w:rsid w:val="00FF2316"/>
    <w:rsid w:val="00FF34D2"/>
    <w:rsid w:val="00FF428F"/>
    <w:rsid w:val="00FF42C4"/>
    <w:rsid w:val="00FF490E"/>
    <w:rsid w:val="00FF4A96"/>
    <w:rsid w:val="00FF4BA2"/>
    <w:rsid w:val="00FF51C4"/>
    <w:rsid w:val="00FF52F8"/>
    <w:rsid w:val="00FF619B"/>
    <w:rsid w:val="00FF62F0"/>
    <w:rsid w:val="00FF63ED"/>
    <w:rsid w:val="00FF65D3"/>
    <w:rsid w:val="00FF666E"/>
    <w:rsid w:val="00FF67FF"/>
    <w:rsid w:val="00FF6AD2"/>
    <w:rsid w:val="00FF7405"/>
    <w:rsid w:val="00FF7BB1"/>
    <w:rsid w:val="00FF7EC4"/>
    <w:rsid w:val="010FC041"/>
    <w:rsid w:val="01941D67"/>
    <w:rsid w:val="0247B61B"/>
    <w:rsid w:val="031F603E"/>
    <w:rsid w:val="0612E043"/>
    <w:rsid w:val="062449B0"/>
    <w:rsid w:val="0696D42F"/>
    <w:rsid w:val="07BC8D56"/>
    <w:rsid w:val="07FD22E8"/>
    <w:rsid w:val="0A97B805"/>
    <w:rsid w:val="0AC63981"/>
    <w:rsid w:val="0AFB5438"/>
    <w:rsid w:val="0B456286"/>
    <w:rsid w:val="0B4ADD20"/>
    <w:rsid w:val="0BA2175A"/>
    <w:rsid w:val="0BC22812"/>
    <w:rsid w:val="0C14AAB8"/>
    <w:rsid w:val="0C838458"/>
    <w:rsid w:val="0D3A94F4"/>
    <w:rsid w:val="0D56FCBB"/>
    <w:rsid w:val="0DB7490D"/>
    <w:rsid w:val="0E60B83D"/>
    <w:rsid w:val="0F48E764"/>
    <w:rsid w:val="1183C9A0"/>
    <w:rsid w:val="135A5E54"/>
    <w:rsid w:val="13C0E63C"/>
    <w:rsid w:val="15C31AE8"/>
    <w:rsid w:val="15C45BAF"/>
    <w:rsid w:val="1675656D"/>
    <w:rsid w:val="16CFABE1"/>
    <w:rsid w:val="171E09FB"/>
    <w:rsid w:val="18138346"/>
    <w:rsid w:val="181F77A7"/>
    <w:rsid w:val="18985028"/>
    <w:rsid w:val="19085F7A"/>
    <w:rsid w:val="191329B2"/>
    <w:rsid w:val="192EA7F6"/>
    <w:rsid w:val="1A8E47FB"/>
    <w:rsid w:val="1AD0EDC9"/>
    <w:rsid w:val="1B37E3C5"/>
    <w:rsid w:val="1B7A5730"/>
    <w:rsid w:val="1C1C3F9C"/>
    <w:rsid w:val="1D357C34"/>
    <w:rsid w:val="1D67AC68"/>
    <w:rsid w:val="1E7B1358"/>
    <w:rsid w:val="1EFF3F81"/>
    <w:rsid w:val="1F85498A"/>
    <w:rsid w:val="1FA86F7E"/>
    <w:rsid w:val="203C2AA5"/>
    <w:rsid w:val="216D8F72"/>
    <w:rsid w:val="216F7DCD"/>
    <w:rsid w:val="220FA490"/>
    <w:rsid w:val="22AA2A42"/>
    <w:rsid w:val="22E95A23"/>
    <w:rsid w:val="2364A07A"/>
    <w:rsid w:val="2428ED14"/>
    <w:rsid w:val="243320E9"/>
    <w:rsid w:val="252493A3"/>
    <w:rsid w:val="2579AD06"/>
    <w:rsid w:val="25EE3ADB"/>
    <w:rsid w:val="264924FD"/>
    <w:rsid w:val="26885BE5"/>
    <w:rsid w:val="27562BB2"/>
    <w:rsid w:val="27E7BC40"/>
    <w:rsid w:val="280922D7"/>
    <w:rsid w:val="299975D1"/>
    <w:rsid w:val="29E4689B"/>
    <w:rsid w:val="2AC10D47"/>
    <w:rsid w:val="2B2BA138"/>
    <w:rsid w:val="2B48C21E"/>
    <w:rsid w:val="2C23D25F"/>
    <w:rsid w:val="2C2685D8"/>
    <w:rsid w:val="2C4FF853"/>
    <w:rsid w:val="2CA572BD"/>
    <w:rsid w:val="2CD5FBCC"/>
    <w:rsid w:val="2D61BF51"/>
    <w:rsid w:val="2D97FB1A"/>
    <w:rsid w:val="2DC8DFB9"/>
    <w:rsid w:val="2E60D674"/>
    <w:rsid w:val="2E6A47D9"/>
    <w:rsid w:val="2E6D0C72"/>
    <w:rsid w:val="2E77748F"/>
    <w:rsid w:val="2F2DDFE3"/>
    <w:rsid w:val="2F466A55"/>
    <w:rsid w:val="2F52758C"/>
    <w:rsid w:val="2F926CD7"/>
    <w:rsid w:val="2FC83ED4"/>
    <w:rsid w:val="2FDC5B02"/>
    <w:rsid w:val="3020F621"/>
    <w:rsid w:val="30937882"/>
    <w:rsid w:val="315C7B13"/>
    <w:rsid w:val="31AA6C9E"/>
    <w:rsid w:val="31D62171"/>
    <w:rsid w:val="3211C6EE"/>
    <w:rsid w:val="32BCCBCC"/>
    <w:rsid w:val="3423E544"/>
    <w:rsid w:val="34DBD73F"/>
    <w:rsid w:val="34DD171D"/>
    <w:rsid w:val="35302AC2"/>
    <w:rsid w:val="3607C8C1"/>
    <w:rsid w:val="38208D20"/>
    <w:rsid w:val="383ABD67"/>
    <w:rsid w:val="3867C957"/>
    <w:rsid w:val="39062E38"/>
    <w:rsid w:val="3933A989"/>
    <w:rsid w:val="397EFFCC"/>
    <w:rsid w:val="39F27C9A"/>
    <w:rsid w:val="3A0D6542"/>
    <w:rsid w:val="3BA91CF7"/>
    <w:rsid w:val="3BAFAED4"/>
    <w:rsid w:val="3C8685B4"/>
    <w:rsid w:val="3D3236EC"/>
    <w:rsid w:val="3D875E9F"/>
    <w:rsid w:val="3DB449AF"/>
    <w:rsid w:val="3DD93ACF"/>
    <w:rsid w:val="3E67A0D8"/>
    <w:rsid w:val="3EF0A031"/>
    <w:rsid w:val="3F73BDF7"/>
    <w:rsid w:val="3FBDF8CE"/>
    <w:rsid w:val="4055432D"/>
    <w:rsid w:val="4159B73D"/>
    <w:rsid w:val="4182D022"/>
    <w:rsid w:val="4242B121"/>
    <w:rsid w:val="430C4C54"/>
    <w:rsid w:val="4323A4AA"/>
    <w:rsid w:val="4349A30C"/>
    <w:rsid w:val="436A7472"/>
    <w:rsid w:val="444099A8"/>
    <w:rsid w:val="44BB598C"/>
    <w:rsid w:val="45D7220D"/>
    <w:rsid w:val="45DD1733"/>
    <w:rsid w:val="462F06CA"/>
    <w:rsid w:val="483A720B"/>
    <w:rsid w:val="4875B03D"/>
    <w:rsid w:val="4927EE5D"/>
    <w:rsid w:val="49B3366D"/>
    <w:rsid w:val="4A00785A"/>
    <w:rsid w:val="4A0FCE08"/>
    <w:rsid w:val="4A5A4CBF"/>
    <w:rsid w:val="4AD5590B"/>
    <w:rsid w:val="4B97D294"/>
    <w:rsid w:val="4C989F3E"/>
    <w:rsid w:val="4CFD6A60"/>
    <w:rsid w:val="4D1A906F"/>
    <w:rsid w:val="4DE1CB34"/>
    <w:rsid w:val="4E29F7D1"/>
    <w:rsid w:val="4EAB8154"/>
    <w:rsid w:val="4FBD7605"/>
    <w:rsid w:val="4FC3F709"/>
    <w:rsid w:val="4FC5C832"/>
    <w:rsid w:val="512342EB"/>
    <w:rsid w:val="51E5C4F6"/>
    <w:rsid w:val="5201E130"/>
    <w:rsid w:val="52754803"/>
    <w:rsid w:val="5304EA3F"/>
    <w:rsid w:val="53186073"/>
    <w:rsid w:val="569962DB"/>
    <w:rsid w:val="5780BD7E"/>
    <w:rsid w:val="585C9934"/>
    <w:rsid w:val="59B40094"/>
    <w:rsid w:val="5A0E3358"/>
    <w:rsid w:val="5A221305"/>
    <w:rsid w:val="5A2DD922"/>
    <w:rsid w:val="5A366091"/>
    <w:rsid w:val="5BC14EE9"/>
    <w:rsid w:val="5C4B703C"/>
    <w:rsid w:val="5C4C230E"/>
    <w:rsid w:val="5CB2BEEA"/>
    <w:rsid w:val="5D049508"/>
    <w:rsid w:val="5D84CC1A"/>
    <w:rsid w:val="5D863DF0"/>
    <w:rsid w:val="5DC7AEFE"/>
    <w:rsid w:val="5E41CB2B"/>
    <w:rsid w:val="5FD138CB"/>
    <w:rsid w:val="6049C222"/>
    <w:rsid w:val="606E764B"/>
    <w:rsid w:val="60A7BDDA"/>
    <w:rsid w:val="626EABBE"/>
    <w:rsid w:val="645A4653"/>
    <w:rsid w:val="64D58256"/>
    <w:rsid w:val="64DB520F"/>
    <w:rsid w:val="65265DD9"/>
    <w:rsid w:val="65C21A7B"/>
    <w:rsid w:val="66293695"/>
    <w:rsid w:val="67E4C22B"/>
    <w:rsid w:val="69A5478F"/>
    <w:rsid w:val="69DA1FC9"/>
    <w:rsid w:val="6A33096E"/>
    <w:rsid w:val="6AF09526"/>
    <w:rsid w:val="6C9F9D12"/>
    <w:rsid w:val="6CFC6B30"/>
    <w:rsid w:val="6D797300"/>
    <w:rsid w:val="6DBFB93F"/>
    <w:rsid w:val="6E789C09"/>
    <w:rsid w:val="6FFD626A"/>
    <w:rsid w:val="70F49899"/>
    <w:rsid w:val="716C6292"/>
    <w:rsid w:val="725F3BF9"/>
    <w:rsid w:val="733EBA5C"/>
    <w:rsid w:val="753C2D59"/>
    <w:rsid w:val="759111B7"/>
    <w:rsid w:val="75D64DA5"/>
    <w:rsid w:val="76DB30F9"/>
    <w:rsid w:val="76F7BF0B"/>
    <w:rsid w:val="776ED0CF"/>
    <w:rsid w:val="77E7AE0F"/>
    <w:rsid w:val="77E9FC5A"/>
    <w:rsid w:val="77F47B25"/>
    <w:rsid w:val="78D2739E"/>
    <w:rsid w:val="7935437E"/>
    <w:rsid w:val="795242F6"/>
    <w:rsid w:val="796F1784"/>
    <w:rsid w:val="7B8A21F7"/>
    <w:rsid w:val="7CE318BB"/>
    <w:rsid w:val="7D633D80"/>
    <w:rsid w:val="7D9B5649"/>
    <w:rsid w:val="7E325981"/>
    <w:rsid w:val="7E8C9C3E"/>
    <w:rsid w:val="7EC6E387"/>
    <w:rsid w:val="7ECCF542"/>
    <w:rsid w:val="7F4EEB4B"/>
    <w:rsid w:val="7FE5C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2091D"/>
  <w15:chartTrackingRefBased/>
  <w15:docId w15:val="{30FF55E9-54CB-4420-B4C6-7F4334A9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MinionPro-Regular"/>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718"/>
    <w:pPr>
      <w:spacing w:line="288" w:lineRule="auto"/>
    </w:pPr>
    <w:rPr>
      <w:color w:val="000000"/>
      <w:sz w:val="24"/>
      <w:szCs w:val="24"/>
    </w:rPr>
  </w:style>
  <w:style w:type="paragraph" w:styleId="Heading1">
    <w:name w:val="heading 1"/>
    <w:basedOn w:val="Normal"/>
    <w:next w:val="Normal"/>
    <w:link w:val="Heading1Char"/>
    <w:uiPriority w:val="9"/>
    <w:qFormat/>
    <w:rsid w:val="00086959"/>
    <w:pPr>
      <w:keepNext/>
      <w:keepLines/>
      <w:numPr>
        <w:numId w:val="13"/>
      </w:numPr>
      <w:spacing w:before="240" w:after="240"/>
      <w:outlineLvl w:val="0"/>
    </w:pPr>
    <w:rPr>
      <w:rFonts w:eastAsia="Times New Roman" w:cs="Times New Roman"/>
      <w:b/>
      <w:color w:val="77328A"/>
      <w:sz w:val="32"/>
      <w:szCs w:val="32"/>
    </w:rPr>
  </w:style>
  <w:style w:type="paragraph" w:styleId="Heading2">
    <w:name w:val="heading 2"/>
    <w:basedOn w:val="Normal"/>
    <w:next w:val="Normal"/>
    <w:link w:val="Heading2Char"/>
    <w:uiPriority w:val="9"/>
    <w:unhideWhenUsed/>
    <w:qFormat/>
    <w:rsid w:val="00EF773A"/>
    <w:pPr>
      <w:keepNext/>
      <w:spacing w:before="40" w:after="240"/>
      <w:outlineLvl w:val="1"/>
    </w:pPr>
    <w:rPr>
      <w:rFonts w:eastAsia="Times New Roman" w:cs="Times New Roman"/>
      <w:b/>
      <w:szCs w:val="26"/>
    </w:rPr>
  </w:style>
  <w:style w:type="paragraph" w:styleId="Heading3">
    <w:name w:val="heading 3"/>
    <w:basedOn w:val="Normal"/>
    <w:next w:val="Normal"/>
    <w:link w:val="Heading3Char"/>
    <w:uiPriority w:val="9"/>
    <w:unhideWhenUsed/>
    <w:qFormat/>
    <w:rsid w:val="00E32D88"/>
    <w:pPr>
      <w:spacing w:after="240"/>
      <w:ind w:left="-11"/>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F773A"/>
    <w:rPr>
      <w:rFonts w:eastAsia="Times New Roman" w:cs="Times New Roman"/>
      <w:b/>
      <w:color w:val="000000"/>
      <w:sz w:val="24"/>
      <w:szCs w:val="26"/>
    </w:rPr>
  </w:style>
  <w:style w:type="paragraph" w:customStyle="1" w:styleId="NIHRCFootnotes">
    <w:name w:val="NIHRC Footnotes"/>
    <w:basedOn w:val="Normal"/>
    <w:qFormat/>
    <w:rsid w:val="00AF4682"/>
    <w:pPr>
      <w:tabs>
        <w:tab w:val="left" w:pos="284"/>
      </w:tabs>
      <w:spacing w:line="240" w:lineRule="auto"/>
    </w:pPr>
    <w:rPr>
      <w:rFonts w:cs="Arial"/>
      <w:color w:val="77328A"/>
      <w:sz w:val="16"/>
      <w:szCs w:val="16"/>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BasicParagraph"/>
    <w:link w:val="ListParagraphChar"/>
    <w:uiPriority w:val="34"/>
    <w:qFormat/>
    <w:rsid w:val="007C5A19"/>
    <w:pPr>
      <w:numPr>
        <w:ilvl w:val="1"/>
        <w:numId w:val="13"/>
      </w:numPr>
      <w:suppressAutoHyphens/>
      <w:jc w:val="left"/>
    </w:pPr>
    <w:rPr>
      <w:rFonts w:ascii="Verdana" w:hAnsi="Verdana"/>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7C5A19"/>
    <w:rPr>
      <w:color w:val="000000"/>
      <w:sz w:val="24"/>
      <w:szCs w:val="24"/>
    </w:rPr>
  </w:style>
  <w:style w:type="character" w:customStyle="1" w:styleId="normaltextrun">
    <w:name w:val="normaltextrun"/>
    <w:basedOn w:val="DefaultParagraphFont"/>
    <w:rsid w:val="003F60F5"/>
  </w:style>
  <w:style w:type="paragraph" w:customStyle="1" w:styleId="paragraph">
    <w:name w:val="paragraph"/>
    <w:basedOn w:val="Normal"/>
    <w:rsid w:val="003F60F5"/>
    <w:pPr>
      <w:spacing w:before="100" w:beforeAutospacing="1" w:after="100" w:afterAutospacing="1"/>
    </w:pPr>
    <w:rPr>
      <w:rFonts w:ascii="Times New Roman" w:eastAsia="Times New Roman" w:hAnsi="Times New Roman" w:cs="Times New Roman"/>
    </w:rPr>
  </w:style>
  <w:style w:type="character" w:styleId="Hyperlink">
    <w:name w:val="Hyperlink"/>
    <w:uiPriority w:val="99"/>
    <w:unhideWhenUsed/>
    <w:rsid w:val="003F60F5"/>
    <w:rPr>
      <w:color w:val="0563C1"/>
      <w:u w:val="single"/>
    </w:rPr>
  </w:style>
  <w:style w:type="paragraph" w:styleId="EndnoteText">
    <w:name w:val="endnote text"/>
    <w:basedOn w:val="Normal"/>
    <w:link w:val="EndnoteTextChar"/>
    <w:uiPriority w:val="99"/>
    <w:semiHidden/>
    <w:unhideWhenUsed/>
    <w:rsid w:val="003F60F5"/>
    <w:rPr>
      <w:sz w:val="20"/>
      <w:szCs w:val="20"/>
    </w:rPr>
  </w:style>
  <w:style w:type="character" w:customStyle="1" w:styleId="EndnoteTextChar">
    <w:name w:val="Endnote Text Char"/>
    <w:link w:val="EndnoteText"/>
    <w:uiPriority w:val="99"/>
    <w:semiHidden/>
    <w:rsid w:val="003F60F5"/>
    <w:rPr>
      <w:rFonts w:ascii="Verdana" w:eastAsia="Times New Roman" w:hAnsi="Verdana" w:cs="Times New Roman"/>
    </w:rPr>
  </w:style>
  <w:style w:type="character" w:styleId="EndnoteReference">
    <w:name w:val="endnote reference"/>
    <w:uiPriority w:val="99"/>
    <w:semiHidden/>
    <w:unhideWhenUsed/>
    <w:rsid w:val="003F60F5"/>
    <w:rPr>
      <w:vertAlign w:val="superscript"/>
    </w:rPr>
  </w:style>
  <w:style w:type="paragraph" w:styleId="FootnoteText">
    <w:name w:val="footnote text"/>
    <w:aliases w:val="5_G,Footnote Text Char1,Footnote Text Char Char,Footnote Text1,Footnote Text Char1 Char Char,Footnote Text Char Char Char Char,Footnote Text Char1 Char Char1 Char Char,Footnote Text Char Char Char Char1 Char Char,Char,Footnote Quot, Char,f"/>
    <w:basedOn w:val="Normal"/>
    <w:link w:val="FootnoteTextChar"/>
    <w:uiPriority w:val="99"/>
    <w:unhideWhenUsed/>
    <w:qFormat/>
    <w:rsid w:val="002779D1"/>
    <w:rPr>
      <w:sz w:val="20"/>
      <w:szCs w:val="20"/>
    </w:rPr>
  </w:style>
  <w:style w:type="character" w:customStyle="1" w:styleId="FootnoteTextChar">
    <w:name w:val="Footnote Text Char"/>
    <w:aliases w:val="5_G Char,Footnote Text Char1 Char,Footnote Text Char Char Char,Footnote Text1 Char,Footnote Text Char1 Char Char Char,Footnote Text Char Char Char Char Char,Footnote Text Char1 Char Char1 Char Char Char,Char Char,Footnote Quot Char"/>
    <w:link w:val="FootnoteText"/>
    <w:uiPriority w:val="99"/>
    <w:rsid w:val="002779D1"/>
    <w:rPr>
      <w:rFonts w:ascii="Verdana" w:eastAsia="Times New Roman" w:hAnsi="Verdana" w:cs="Times New Roman"/>
    </w:rPr>
  </w:style>
  <w:style w:type="character" w:styleId="FootnoteReference">
    <w:name w:val="footnote reference"/>
    <w:aliases w:val="Footnotes refss,Odwołanie przypisu,Footnote symbol,Footnote Reference Number,Appel note de bas de p,Appel note de bas de p + (Asian) Batang,Black,(NECG) Footnote Reference,Nota,Footnote Refernece,Footnote Refernece + (Latein) Arial,4"/>
    <w:link w:val="4GChar"/>
    <w:uiPriority w:val="99"/>
    <w:unhideWhenUsed/>
    <w:qFormat/>
    <w:rsid w:val="002779D1"/>
    <w:rPr>
      <w:vertAlign w:val="superscript"/>
    </w:rPr>
  </w:style>
  <w:style w:type="paragraph" w:customStyle="1" w:styleId="4GChar">
    <w:name w:val="4_G Char"/>
    <w:aliases w:val="Footnote Reference1 Char,Footnotes refss Char,ftref Char,BVI fnr Char,BVI fnr Car Car Char,BVI fnr Car Char,BVI fnr Car Car Car Car Char,BVI fnr Char Car Car Car Char,ftref,BVI fnr Car Car,BVI fnr Car,Appel note de bas de page Char"/>
    <w:basedOn w:val="Normal"/>
    <w:link w:val="FootnoteReference"/>
    <w:uiPriority w:val="99"/>
    <w:qFormat/>
    <w:rsid w:val="00E3606F"/>
    <w:pPr>
      <w:spacing w:line="240" w:lineRule="exact"/>
      <w:jc w:val="both"/>
    </w:pPr>
    <w:rPr>
      <w:rFonts w:ascii="Times New Roman" w:hAnsi="Times New Roman" w:cs="Times New Roman"/>
      <w:sz w:val="20"/>
      <w:szCs w:val="20"/>
      <w:vertAlign w:val="superscript"/>
    </w:rPr>
  </w:style>
  <w:style w:type="character" w:styleId="CommentReference">
    <w:name w:val="annotation reference"/>
    <w:uiPriority w:val="99"/>
    <w:semiHidden/>
    <w:unhideWhenUsed/>
    <w:rsid w:val="007A268C"/>
    <w:rPr>
      <w:sz w:val="16"/>
      <w:szCs w:val="16"/>
    </w:rPr>
  </w:style>
  <w:style w:type="paragraph" w:styleId="CommentText">
    <w:name w:val="annotation text"/>
    <w:basedOn w:val="Normal"/>
    <w:link w:val="CommentTextChar"/>
    <w:uiPriority w:val="99"/>
    <w:unhideWhenUsed/>
    <w:rsid w:val="007A268C"/>
    <w:rPr>
      <w:sz w:val="20"/>
      <w:szCs w:val="20"/>
    </w:rPr>
  </w:style>
  <w:style w:type="character" w:customStyle="1" w:styleId="CommentTextChar">
    <w:name w:val="Comment Text Char"/>
    <w:link w:val="CommentText"/>
    <w:uiPriority w:val="99"/>
    <w:rsid w:val="007A268C"/>
    <w:rPr>
      <w:rFonts w:ascii="Verdana" w:eastAsia="Times New Roman" w:hAnsi="Verdana" w:cs="Times New Roman"/>
    </w:rPr>
  </w:style>
  <w:style w:type="paragraph" w:styleId="CommentSubject">
    <w:name w:val="annotation subject"/>
    <w:basedOn w:val="CommentText"/>
    <w:next w:val="CommentText"/>
    <w:link w:val="CommentSubjectChar"/>
    <w:uiPriority w:val="99"/>
    <w:semiHidden/>
    <w:unhideWhenUsed/>
    <w:rsid w:val="007A268C"/>
    <w:rPr>
      <w:b/>
      <w:bCs/>
    </w:rPr>
  </w:style>
  <w:style w:type="character" w:customStyle="1" w:styleId="CommentSubjectChar">
    <w:name w:val="Comment Subject Char"/>
    <w:link w:val="CommentSubject"/>
    <w:uiPriority w:val="99"/>
    <w:semiHidden/>
    <w:rsid w:val="007A268C"/>
    <w:rPr>
      <w:rFonts w:ascii="Verdana" w:eastAsia="Times New Roman" w:hAnsi="Verdana" w:cs="Times New Roman"/>
      <w:b/>
      <w:bCs/>
    </w:rPr>
  </w:style>
  <w:style w:type="paragraph" w:customStyle="1" w:styleId="BasicParagraph">
    <w:name w:val="[Basic Paragraph]"/>
    <w:basedOn w:val="Normal"/>
    <w:link w:val="BasicParagraphChar"/>
    <w:uiPriority w:val="99"/>
    <w:rsid w:val="00015718"/>
    <w:pPr>
      <w:widowControl w:val="0"/>
      <w:autoSpaceDE w:val="0"/>
      <w:autoSpaceDN w:val="0"/>
      <w:adjustRightInd w:val="0"/>
      <w:jc w:val="both"/>
      <w:textAlignment w:val="center"/>
    </w:pPr>
    <w:rPr>
      <w:rFonts w:ascii="MinionPro-Regular" w:hAnsi="MinionPro-Regular"/>
    </w:rPr>
  </w:style>
  <w:style w:type="paragraph" w:customStyle="1" w:styleId="Default">
    <w:name w:val="Default"/>
    <w:rsid w:val="00015718"/>
    <w:pPr>
      <w:widowControl w:val="0"/>
      <w:autoSpaceDE w:val="0"/>
      <w:autoSpaceDN w:val="0"/>
      <w:adjustRightInd w:val="0"/>
      <w:spacing w:line="360" w:lineRule="auto"/>
      <w:jc w:val="both"/>
    </w:pPr>
    <w:rPr>
      <w:rFonts w:eastAsia="Times New Roman" w:cs="Verdana"/>
      <w:color w:val="000000"/>
      <w:sz w:val="24"/>
      <w:szCs w:val="24"/>
      <w:lang w:val="en-US" w:eastAsia="en-US"/>
    </w:rPr>
  </w:style>
  <w:style w:type="character" w:customStyle="1" w:styleId="Heading1Char">
    <w:name w:val="Heading 1 Char"/>
    <w:link w:val="Heading1"/>
    <w:uiPriority w:val="9"/>
    <w:rsid w:val="00086959"/>
    <w:rPr>
      <w:rFonts w:eastAsia="Times New Roman" w:cs="Times New Roman"/>
      <w:b/>
      <w:color w:val="77328A"/>
      <w:sz w:val="32"/>
      <w:szCs w:val="32"/>
    </w:rPr>
  </w:style>
  <w:style w:type="character" w:styleId="UnresolvedMention">
    <w:name w:val="Unresolved Mention"/>
    <w:uiPriority w:val="99"/>
    <w:semiHidden/>
    <w:unhideWhenUsed/>
    <w:rsid w:val="0062748F"/>
    <w:rPr>
      <w:color w:val="605E5C"/>
      <w:shd w:val="clear" w:color="auto" w:fill="E1DFDD"/>
    </w:rPr>
  </w:style>
  <w:style w:type="character" w:styleId="Emphasis">
    <w:name w:val="Emphasis"/>
    <w:uiPriority w:val="20"/>
    <w:qFormat/>
    <w:rsid w:val="005E0B0B"/>
    <w:rPr>
      <w:i/>
      <w:iCs/>
    </w:rPr>
  </w:style>
  <w:style w:type="paragraph" w:styleId="TOCHeading">
    <w:name w:val="TOC Heading"/>
    <w:basedOn w:val="Heading1"/>
    <w:next w:val="Normal"/>
    <w:uiPriority w:val="39"/>
    <w:unhideWhenUsed/>
    <w:qFormat/>
    <w:rsid w:val="00A250D0"/>
    <w:pPr>
      <w:spacing w:line="259" w:lineRule="auto"/>
      <w:outlineLvl w:val="9"/>
    </w:pPr>
    <w:rPr>
      <w:rFonts w:ascii="Calibri Light" w:hAnsi="Calibri Light"/>
      <w:b w:val="0"/>
      <w:color w:val="2F5496"/>
      <w:lang w:val="en-US"/>
    </w:rPr>
  </w:style>
  <w:style w:type="paragraph" w:styleId="TOC1">
    <w:name w:val="toc 1"/>
    <w:basedOn w:val="Normal"/>
    <w:next w:val="Normal"/>
    <w:autoRedefine/>
    <w:uiPriority w:val="39"/>
    <w:unhideWhenUsed/>
    <w:rsid w:val="00F716FA"/>
    <w:pPr>
      <w:tabs>
        <w:tab w:val="left" w:pos="660"/>
        <w:tab w:val="right" w:leader="dot" w:pos="9016"/>
      </w:tabs>
      <w:spacing w:after="100"/>
    </w:pPr>
    <w:rPr>
      <w:b/>
      <w:bCs/>
      <w:noProof/>
    </w:rPr>
  </w:style>
  <w:style w:type="paragraph" w:styleId="TOC2">
    <w:name w:val="toc 2"/>
    <w:basedOn w:val="Normal"/>
    <w:next w:val="Normal"/>
    <w:autoRedefine/>
    <w:uiPriority w:val="39"/>
    <w:unhideWhenUsed/>
    <w:rsid w:val="00A250D0"/>
    <w:pPr>
      <w:spacing w:after="100"/>
      <w:ind w:left="240"/>
    </w:pPr>
  </w:style>
  <w:style w:type="paragraph" w:styleId="Header">
    <w:name w:val="header"/>
    <w:basedOn w:val="Normal"/>
    <w:link w:val="HeaderChar"/>
    <w:uiPriority w:val="99"/>
    <w:unhideWhenUsed/>
    <w:rsid w:val="007D17F2"/>
    <w:pPr>
      <w:tabs>
        <w:tab w:val="center" w:pos="4513"/>
        <w:tab w:val="right" w:pos="9026"/>
      </w:tabs>
      <w:spacing w:line="240" w:lineRule="auto"/>
    </w:pPr>
  </w:style>
  <w:style w:type="character" w:customStyle="1" w:styleId="HeaderChar">
    <w:name w:val="Header Char"/>
    <w:link w:val="Header"/>
    <w:uiPriority w:val="99"/>
    <w:rsid w:val="007D17F2"/>
    <w:rPr>
      <w:rFonts w:ascii="Verdana" w:eastAsia="Times New Roman" w:hAnsi="Verdana" w:cs="Times New Roman"/>
      <w:sz w:val="24"/>
      <w:szCs w:val="24"/>
    </w:rPr>
  </w:style>
  <w:style w:type="paragraph" w:styleId="Footer">
    <w:name w:val="footer"/>
    <w:basedOn w:val="Normal"/>
    <w:link w:val="FooterChar"/>
    <w:uiPriority w:val="99"/>
    <w:unhideWhenUsed/>
    <w:rsid w:val="007D17F2"/>
    <w:pPr>
      <w:tabs>
        <w:tab w:val="center" w:pos="4513"/>
        <w:tab w:val="right" w:pos="9026"/>
      </w:tabs>
      <w:spacing w:line="240" w:lineRule="auto"/>
    </w:pPr>
  </w:style>
  <w:style w:type="character" w:customStyle="1" w:styleId="FooterChar">
    <w:name w:val="Footer Char"/>
    <w:link w:val="Footer"/>
    <w:uiPriority w:val="99"/>
    <w:rsid w:val="007D17F2"/>
    <w:rPr>
      <w:rFonts w:ascii="Verdana" w:eastAsia="Times New Roman" w:hAnsi="Verdana" w:cs="Times New Roman"/>
      <w:sz w:val="24"/>
      <w:szCs w:val="24"/>
    </w:rPr>
  </w:style>
  <w:style w:type="paragraph" w:styleId="Revision">
    <w:name w:val="Revision"/>
    <w:hidden/>
    <w:uiPriority w:val="99"/>
    <w:semiHidden/>
    <w:rsid w:val="00171BAA"/>
    <w:rPr>
      <w:rFonts w:eastAsia="Times New Roman" w:cs="Times New Roman"/>
      <w:color w:val="000000"/>
      <w:sz w:val="24"/>
      <w:szCs w:val="24"/>
      <w:lang w:eastAsia="en-US"/>
    </w:rPr>
  </w:style>
  <w:style w:type="character" w:customStyle="1" w:styleId="BasicParagraphChar">
    <w:name w:val="[Basic Paragraph] Char"/>
    <w:link w:val="BasicParagraph"/>
    <w:uiPriority w:val="99"/>
    <w:rsid w:val="002F62F5"/>
    <w:rPr>
      <w:rFonts w:ascii="MinionPro-Regular" w:eastAsia="Times New Roman" w:hAnsi="MinionPro-Regular" w:cs="MinionPro-Regular"/>
      <w:color w:val="000000"/>
      <w:sz w:val="24"/>
      <w:szCs w:val="24"/>
    </w:rPr>
  </w:style>
  <w:style w:type="paragraph" w:styleId="Quote">
    <w:name w:val="Quote"/>
    <w:basedOn w:val="Normal"/>
    <w:next w:val="Normal"/>
    <w:link w:val="QuoteChar"/>
    <w:uiPriority w:val="29"/>
    <w:qFormat/>
    <w:rsid w:val="002F62F5"/>
    <w:pPr>
      <w:ind w:left="862" w:right="862"/>
    </w:pPr>
    <w:rPr>
      <w:iCs/>
    </w:rPr>
  </w:style>
  <w:style w:type="character" w:customStyle="1" w:styleId="QuoteChar">
    <w:name w:val="Quote Char"/>
    <w:link w:val="Quote"/>
    <w:uiPriority w:val="29"/>
    <w:rsid w:val="002F62F5"/>
    <w:rPr>
      <w:rFonts w:ascii="Verdana" w:eastAsia="Times New Roman" w:hAnsi="Verdana" w:cs="Times New Roman"/>
      <w:iCs/>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rsid w:val="00C77928"/>
    <w:pPr>
      <w:spacing w:after="160" w:line="240" w:lineRule="exact"/>
      <w:jc w:val="both"/>
    </w:pPr>
    <w:rPr>
      <w:rFonts w:ascii="Calibri" w:hAnsi="Calibri"/>
      <w:sz w:val="22"/>
      <w:szCs w:val="22"/>
      <w:vertAlign w:val="superscript"/>
    </w:rPr>
  </w:style>
  <w:style w:type="paragraph" w:styleId="NoSpacing">
    <w:name w:val="No Spacing"/>
    <w:uiPriority w:val="1"/>
    <w:qFormat/>
    <w:rsid w:val="000F3258"/>
    <w:rPr>
      <w:rFonts w:eastAsia="Times New Roman" w:cs="Times New Roman"/>
      <w:color w:val="000000"/>
      <w:sz w:val="24"/>
      <w:szCs w:val="24"/>
      <w:lang w:eastAsia="en-US"/>
    </w:rPr>
  </w:style>
  <w:style w:type="paragraph" w:customStyle="1" w:styleId="Pa2">
    <w:name w:val="Pa2"/>
    <w:basedOn w:val="Default"/>
    <w:next w:val="Default"/>
    <w:uiPriority w:val="99"/>
    <w:rsid w:val="008559F3"/>
    <w:pPr>
      <w:widowControl/>
      <w:spacing w:line="241" w:lineRule="atLeast"/>
      <w:jc w:val="left"/>
    </w:pPr>
    <w:rPr>
      <w:rFonts w:ascii="Gotham" w:eastAsia="Calibri" w:hAnsi="Gotham" w:cs="Times New Roman"/>
      <w:color w:val="auto"/>
      <w:lang w:val="en-GB"/>
    </w:rPr>
  </w:style>
  <w:style w:type="character" w:customStyle="1" w:styleId="cf01">
    <w:name w:val="cf01"/>
    <w:rsid w:val="0030395C"/>
    <w:rPr>
      <w:rFonts w:ascii="Segoe UI" w:hAnsi="Segoe UI" w:cs="Segoe UI" w:hint="default"/>
      <w:sz w:val="18"/>
      <w:szCs w:val="18"/>
    </w:rPr>
  </w:style>
  <w:style w:type="paragraph" w:styleId="Title">
    <w:name w:val="Title"/>
    <w:basedOn w:val="BasicParagraph"/>
    <w:next w:val="Normal"/>
    <w:link w:val="TitleChar"/>
    <w:uiPriority w:val="10"/>
    <w:qFormat/>
    <w:rsid w:val="00E32D88"/>
    <w:pPr>
      <w:suppressAutoHyphens/>
      <w:jc w:val="center"/>
    </w:pPr>
    <w:rPr>
      <w:rFonts w:ascii="Verdana" w:hAnsi="Verdana" w:cs="Arial"/>
      <w:b/>
      <w:bCs/>
      <w:color w:val="77328A"/>
      <w:sz w:val="36"/>
      <w:szCs w:val="36"/>
    </w:rPr>
  </w:style>
  <w:style w:type="character" w:customStyle="1" w:styleId="TitleChar">
    <w:name w:val="Title Char"/>
    <w:link w:val="Title"/>
    <w:uiPriority w:val="10"/>
    <w:rsid w:val="00E32D88"/>
    <w:rPr>
      <w:rFonts w:ascii="Verdana" w:eastAsia="Times New Roman" w:hAnsi="Verdana" w:cs="Arial"/>
      <w:b/>
      <w:bCs/>
      <w:color w:val="77328A"/>
      <w:sz w:val="36"/>
      <w:szCs w:val="36"/>
    </w:rPr>
  </w:style>
  <w:style w:type="character" w:customStyle="1" w:styleId="Heading3Char">
    <w:name w:val="Heading 3 Char"/>
    <w:link w:val="Heading3"/>
    <w:uiPriority w:val="9"/>
    <w:rsid w:val="00E32D88"/>
    <w:rPr>
      <w:rFonts w:ascii="Verdana" w:eastAsia="Times New Roman" w:hAnsi="Verdana" w:cs="Times New Roman"/>
      <w:i/>
      <w:iCs/>
      <w:sz w:val="24"/>
      <w:szCs w:val="24"/>
    </w:rPr>
  </w:style>
  <w:style w:type="paragraph" w:styleId="TOC3">
    <w:name w:val="toc 3"/>
    <w:basedOn w:val="Normal"/>
    <w:next w:val="Normal"/>
    <w:autoRedefine/>
    <w:uiPriority w:val="39"/>
    <w:unhideWhenUsed/>
    <w:rsid w:val="00E32D88"/>
    <w:pPr>
      <w:spacing w:after="100"/>
      <w:ind w:left="480"/>
    </w:pPr>
  </w:style>
  <w:style w:type="character" w:styleId="FollowedHyperlink">
    <w:name w:val="FollowedHyperlink"/>
    <w:basedOn w:val="DefaultParagraphFont"/>
    <w:uiPriority w:val="99"/>
    <w:semiHidden/>
    <w:unhideWhenUsed/>
    <w:rsid w:val="0011685D"/>
    <w:rPr>
      <w:color w:val="96607D" w:themeColor="followedHyperlink"/>
      <w:u w:val="single"/>
    </w:rPr>
  </w:style>
  <w:style w:type="character" w:styleId="Mention">
    <w:name w:val="Mention"/>
    <w:basedOn w:val="DefaultParagraphFont"/>
    <w:uiPriority w:val="99"/>
    <w:unhideWhenUsed/>
    <w:rsid w:val="0011685D"/>
    <w:rPr>
      <w:color w:val="2B579A"/>
      <w:shd w:val="clear" w:color="auto" w:fill="E1DFDD"/>
    </w:rPr>
  </w:style>
  <w:style w:type="paragraph" w:customStyle="1" w:styleId="AnnualStatement">
    <w:name w:val="Annual Statement"/>
    <w:basedOn w:val="Normal"/>
    <w:link w:val="AnnualStatementChar"/>
    <w:qFormat/>
    <w:rsid w:val="0071278A"/>
    <w:rPr>
      <w:rFonts w:eastAsiaTheme="minorHAnsi" w:cs="Times New Roman"/>
      <w:color w:val="auto"/>
      <w:sz w:val="28"/>
      <w:szCs w:val="20"/>
      <w:lang w:eastAsia="en-US"/>
    </w:rPr>
  </w:style>
  <w:style w:type="character" w:customStyle="1" w:styleId="AnnualStatementChar">
    <w:name w:val="Annual Statement Char"/>
    <w:basedOn w:val="DefaultParagraphFont"/>
    <w:link w:val="AnnualStatement"/>
    <w:rsid w:val="0071278A"/>
    <w:rPr>
      <w:rFonts w:eastAsiaTheme="minorHAnsi" w:cs="Times New Roman"/>
      <w:sz w:val="28"/>
      <w:lang w:eastAsia="en-US"/>
    </w:rPr>
  </w:style>
  <w:style w:type="paragraph" w:styleId="NormalWeb">
    <w:name w:val="Normal (Web)"/>
    <w:basedOn w:val="Normal"/>
    <w:uiPriority w:val="99"/>
    <w:semiHidden/>
    <w:unhideWhenUsed/>
    <w:rsid w:val="00D73EA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209">
      <w:bodyDiv w:val="1"/>
      <w:marLeft w:val="0"/>
      <w:marRight w:val="0"/>
      <w:marTop w:val="0"/>
      <w:marBottom w:val="0"/>
      <w:divBdr>
        <w:top w:val="none" w:sz="0" w:space="0" w:color="auto"/>
        <w:left w:val="none" w:sz="0" w:space="0" w:color="auto"/>
        <w:bottom w:val="none" w:sz="0" w:space="0" w:color="auto"/>
        <w:right w:val="none" w:sz="0" w:space="0" w:color="auto"/>
      </w:divBdr>
    </w:div>
    <w:div w:id="153494347">
      <w:bodyDiv w:val="1"/>
      <w:marLeft w:val="0"/>
      <w:marRight w:val="0"/>
      <w:marTop w:val="0"/>
      <w:marBottom w:val="0"/>
      <w:divBdr>
        <w:top w:val="none" w:sz="0" w:space="0" w:color="auto"/>
        <w:left w:val="none" w:sz="0" w:space="0" w:color="auto"/>
        <w:bottom w:val="none" w:sz="0" w:space="0" w:color="auto"/>
        <w:right w:val="none" w:sz="0" w:space="0" w:color="auto"/>
      </w:divBdr>
    </w:div>
    <w:div w:id="388656216">
      <w:bodyDiv w:val="1"/>
      <w:marLeft w:val="0"/>
      <w:marRight w:val="0"/>
      <w:marTop w:val="0"/>
      <w:marBottom w:val="0"/>
      <w:divBdr>
        <w:top w:val="none" w:sz="0" w:space="0" w:color="auto"/>
        <w:left w:val="none" w:sz="0" w:space="0" w:color="auto"/>
        <w:bottom w:val="none" w:sz="0" w:space="0" w:color="auto"/>
        <w:right w:val="none" w:sz="0" w:space="0" w:color="auto"/>
      </w:divBdr>
    </w:div>
    <w:div w:id="544685571">
      <w:bodyDiv w:val="1"/>
      <w:marLeft w:val="0"/>
      <w:marRight w:val="0"/>
      <w:marTop w:val="0"/>
      <w:marBottom w:val="0"/>
      <w:divBdr>
        <w:top w:val="none" w:sz="0" w:space="0" w:color="auto"/>
        <w:left w:val="none" w:sz="0" w:space="0" w:color="auto"/>
        <w:bottom w:val="none" w:sz="0" w:space="0" w:color="auto"/>
        <w:right w:val="none" w:sz="0" w:space="0" w:color="auto"/>
      </w:divBdr>
    </w:div>
    <w:div w:id="680163017">
      <w:bodyDiv w:val="1"/>
      <w:marLeft w:val="0"/>
      <w:marRight w:val="0"/>
      <w:marTop w:val="0"/>
      <w:marBottom w:val="0"/>
      <w:divBdr>
        <w:top w:val="none" w:sz="0" w:space="0" w:color="auto"/>
        <w:left w:val="none" w:sz="0" w:space="0" w:color="auto"/>
        <w:bottom w:val="none" w:sz="0" w:space="0" w:color="auto"/>
        <w:right w:val="none" w:sz="0" w:space="0" w:color="auto"/>
      </w:divBdr>
    </w:div>
    <w:div w:id="721104085">
      <w:bodyDiv w:val="1"/>
      <w:marLeft w:val="0"/>
      <w:marRight w:val="0"/>
      <w:marTop w:val="0"/>
      <w:marBottom w:val="0"/>
      <w:divBdr>
        <w:top w:val="none" w:sz="0" w:space="0" w:color="auto"/>
        <w:left w:val="none" w:sz="0" w:space="0" w:color="auto"/>
        <w:bottom w:val="none" w:sz="0" w:space="0" w:color="auto"/>
        <w:right w:val="none" w:sz="0" w:space="0" w:color="auto"/>
      </w:divBdr>
    </w:div>
    <w:div w:id="809830417">
      <w:bodyDiv w:val="1"/>
      <w:marLeft w:val="0"/>
      <w:marRight w:val="0"/>
      <w:marTop w:val="0"/>
      <w:marBottom w:val="0"/>
      <w:divBdr>
        <w:top w:val="none" w:sz="0" w:space="0" w:color="auto"/>
        <w:left w:val="none" w:sz="0" w:space="0" w:color="auto"/>
        <w:bottom w:val="none" w:sz="0" w:space="0" w:color="auto"/>
        <w:right w:val="none" w:sz="0" w:space="0" w:color="auto"/>
      </w:divBdr>
    </w:div>
    <w:div w:id="1059598244">
      <w:bodyDiv w:val="1"/>
      <w:marLeft w:val="0"/>
      <w:marRight w:val="0"/>
      <w:marTop w:val="0"/>
      <w:marBottom w:val="0"/>
      <w:divBdr>
        <w:top w:val="none" w:sz="0" w:space="0" w:color="auto"/>
        <w:left w:val="none" w:sz="0" w:space="0" w:color="auto"/>
        <w:bottom w:val="none" w:sz="0" w:space="0" w:color="auto"/>
        <w:right w:val="none" w:sz="0" w:space="0" w:color="auto"/>
      </w:divBdr>
    </w:div>
    <w:div w:id="1321271613">
      <w:bodyDiv w:val="1"/>
      <w:marLeft w:val="0"/>
      <w:marRight w:val="0"/>
      <w:marTop w:val="0"/>
      <w:marBottom w:val="0"/>
      <w:divBdr>
        <w:top w:val="none" w:sz="0" w:space="0" w:color="auto"/>
        <w:left w:val="none" w:sz="0" w:space="0" w:color="auto"/>
        <w:bottom w:val="none" w:sz="0" w:space="0" w:color="auto"/>
        <w:right w:val="none" w:sz="0" w:space="0" w:color="auto"/>
      </w:divBdr>
    </w:div>
    <w:div w:id="137503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ilis.Haughey@nihrc.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nihrc.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ihrc.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mmittees.parliament.uk/committee/69/european-scrutiny-committee/news/202417/european-scrutiny-committee-discontinued/" TargetMode="External"/><Relationship Id="rId1" Type="http://schemas.openxmlformats.org/officeDocument/2006/relationships/hyperlink" Target="https://committees.parliament.uk/committee/69/european-scrutiny-committee/news/202417/european-scrutiny-committee-discontinu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McCann\OneDrive%20-%20ECNI\Documents\CMcNIHRC\Submissions\Blank%20Su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320E77E35C644A511CBC5C12B0A0B" ma:contentTypeVersion="19" ma:contentTypeDescription="Create a new document." ma:contentTypeScope="" ma:versionID="3de475bbc9da9acda9ac55a07c915356">
  <xsd:schema xmlns:xsd="http://www.w3.org/2001/XMLSchema" xmlns:xs="http://www.w3.org/2001/XMLSchema" xmlns:p="http://schemas.microsoft.com/office/2006/metadata/properties" xmlns:ns2="12479bdc-b58c-44ab-9f0f-fa5baefb3da2" xmlns:ns3="806d6863-a85d-4a14-ba5d-ada9e5b222dd" targetNamespace="http://schemas.microsoft.com/office/2006/metadata/properties" ma:root="true" ma:fieldsID="a362a11f490bf88d5bbd359e1c8a158c" ns2:_="" ns3:_="">
    <xsd:import namespace="12479bdc-b58c-44ab-9f0f-fa5baefb3da2"/>
    <xsd:import namespace="806d6863-a85d-4a14-ba5d-ada9e5b22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ate_x002f_Tim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79bdc-b58c-44ab-9f0f-fa5baefb3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Date_x002f_Time" ma:index="22" nillable="true" ma:displayName="Date/Time" ma:format="DateOnly" ma:internalName="Date_x002f_Tim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d6863-a85d-4a14-ba5d-ada9e5b22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add1eb-4809-467b-a4c7-9f8b25a82955}" ma:internalName="TaxCatchAll" ma:showField="CatchAllData" ma:web="806d6863-a85d-4a14-ba5d-ada9e5b22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479bdc-b58c-44ab-9f0f-fa5baefb3da2">
      <Terms xmlns="http://schemas.microsoft.com/office/infopath/2007/PartnerControls"/>
    </lcf76f155ced4ddcb4097134ff3c332f>
    <TaxCatchAll xmlns="806d6863-a85d-4a14-ba5d-ada9e5b222dd" xsi:nil="true"/>
    <Date_x002f_Time xmlns="12479bdc-b58c-44ab-9f0f-fa5baefb3d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31823-59E5-496D-9065-792F2DEE5EB3}"/>
</file>

<file path=customXml/itemProps2.xml><?xml version="1.0" encoding="utf-8"?>
<ds:datastoreItem xmlns:ds="http://schemas.openxmlformats.org/officeDocument/2006/customXml" ds:itemID="{C9E0F9C0-7429-4633-BB4D-D668288A7DA6}">
  <ds:schemaRefs>
    <ds:schemaRef ds:uri="http://schemas.openxmlformats.org/officeDocument/2006/bibliography"/>
  </ds:schemaRefs>
</ds:datastoreItem>
</file>

<file path=customXml/itemProps3.xml><?xml version="1.0" encoding="utf-8"?>
<ds:datastoreItem xmlns:ds="http://schemas.openxmlformats.org/officeDocument/2006/customXml" ds:itemID="{411FBDF5-C765-479D-8050-7E4649A66170}">
  <ds:schemaRefs>
    <ds:schemaRef ds:uri="http://schemas.microsoft.com/office/2006/metadata/properties"/>
    <ds:schemaRef ds:uri="http://schemas.microsoft.com/office/infopath/2007/PartnerControls"/>
    <ds:schemaRef ds:uri="c003ffd8-70ba-4949-891b-1d147639e9e4"/>
    <ds:schemaRef ds:uri="38b2c85b-e954-425c-a9fe-d2e9404c5012"/>
  </ds:schemaRefs>
</ds:datastoreItem>
</file>

<file path=customXml/itemProps4.xml><?xml version="1.0" encoding="utf-8"?>
<ds:datastoreItem xmlns:ds="http://schemas.openxmlformats.org/officeDocument/2006/customXml" ds:itemID="{C41C3057-1523-45CC-A7CE-1BF3AE68CD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Sub</Template>
  <TotalTime>24</TotalTime>
  <Pages>48</Pages>
  <Words>13211</Words>
  <Characters>70019</Characters>
  <Application>Microsoft Office Word</Application>
  <DocSecurity>0</DocSecurity>
  <Lines>1628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McCann</dc:creator>
  <cp:keywords/>
  <dc:description/>
  <cp:lastModifiedBy>Claire McCann</cp:lastModifiedBy>
  <cp:revision>5</cp:revision>
  <dcterms:created xsi:type="dcterms:W3CDTF">2026-07-16T12:32:00Z</dcterms:created>
  <dcterms:modified xsi:type="dcterms:W3CDTF">2026-07-16T14:26:00Z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0x010100F41320E77E35C644A511CBC5C12B0A0B</vt:lpwstr>
  </property>
</Properties>
</file>