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221E" w14:textId="77777777" w:rsidR="00772E4C" w:rsidRPr="008C7E86" w:rsidRDefault="00772E4C" w:rsidP="00A41384">
      <w:pPr>
        <w:spacing w:before="120" w:after="120"/>
        <w:rPr>
          <w:rFonts w:ascii="Verdana" w:hAnsi="Verdana"/>
          <w:b/>
          <w:u w:val="single"/>
        </w:rPr>
      </w:pPr>
    </w:p>
    <w:p w14:paraId="3D0DC758" w14:textId="77777777" w:rsidR="00772E4C" w:rsidRPr="008C7E86" w:rsidRDefault="00772E4C" w:rsidP="00A41384">
      <w:pPr>
        <w:spacing w:before="120" w:after="120"/>
        <w:rPr>
          <w:rFonts w:ascii="Verdana" w:hAnsi="Verdana"/>
          <w:b/>
          <w:u w:val="single"/>
        </w:rPr>
      </w:pPr>
    </w:p>
    <w:p w14:paraId="54A54AEB" w14:textId="77777777" w:rsidR="00772E4C" w:rsidRPr="008C7E86" w:rsidRDefault="00772E4C" w:rsidP="00A41384">
      <w:pPr>
        <w:spacing w:before="120" w:after="120"/>
        <w:jc w:val="center"/>
        <w:rPr>
          <w:rFonts w:ascii="Verdana" w:hAnsi="Verdana"/>
          <w:b/>
          <w:bCs/>
        </w:rPr>
      </w:pPr>
      <w:r w:rsidRPr="008C7E86">
        <w:rPr>
          <w:rFonts w:ascii="Verdana" w:hAnsi="Verdana"/>
          <w:b/>
          <w:bCs/>
          <w:noProof/>
        </w:rPr>
        <w:drawing>
          <wp:inline distT="0" distB="0" distL="0" distR="0" wp14:anchorId="546302AC" wp14:editId="756A6C4E">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6437EBF1" w14:textId="00D1F1B2" w:rsidR="00772E4C" w:rsidRPr="008C7E86" w:rsidRDefault="00772E4C" w:rsidP="00A41384">
      <w:pPr>
        <w:spacing w:before="120" w:after="120"/>
        <w:jc w:val="center"/>
        <w:rPr>
          <w:rFonts w:ascii="Verdana" w:hAnsi="Verdana"/>
          <w:b/>
          <w:color w:val="77328A"/>
          <w:sz w:val="36"/>
          <w:szCs w:val="36"/>
        </w:rPr>
      </w:pPr>
      <w:r w:rsidRPr="008C7E86">
        <w:rPr>
          <w:rFonts w:ascii="Verdana" w:hAnsi="Verdana"/>
          <w:b/>
          <w:color w:val="77328A"/>
          <w:sz w:val="36"/>
          <w:szCs w:val="36"/>
        </w:rPr>
        <w:t>Submission by the Northern Ireland Human Rights Commission to the UN Human Rights Council’s Universal Periodic Review of the United Kingdom</w:t>
      </w:r>
    </w:p>
    <w:p w14:paraId="50635CD5" w14:textId="77777777" w:rsidR="00772E4C" w:rsidRPr="008C7E86" w:rsidRDefault="00772E4C" w:rsidP="00A41384">
      <w:pPr>
        <w:spacing w:before="120" w:after="120"/>
        <w:jc w:val="center"/>
        <w:rPr>
          <w:rFonts w:ascii="Verdana" w:hAnsi="Verdana"/>
          <w:b/>
          <w:color w:val="77328A"/>
          <w:sz w:val="36"/>
          <w:szCs w:val="36"/>
        </w:rPr>
      </w:pPr>
      <w:r w:rsidRPr="008C7E86">
        <w:rPr>
          <w:rFonts w:ascii="Verdana" w:hAnsi="Verdana"/>
          <w:b/>
          <w:color w:val="77328A"/>
          <w:sz w:val="36"/>
          <w:szCs w:val="36"/>
        </w:rPr>
        <w:t>Mid-term Report</w:t>
      </w:r>
    </w:p>
    <w:p w14:paraId="0EED40E2" w14:textId="77777777" w:rsidR="00772E4C" w:rsidRPr="008C7E86" w:rsidRDefault="00772E4C" w:rsidP="00A41384">
      <w:pPr>
        <w:spacing w:before="120" w:after="120"/>
        <w:jc w:val="center"/>
        <w:rPr>
          <w:rFonts w:ascii="Verdana" w:hAnsi="Verdana"/>
          <w:b/>
          <w:color w:val="77328A"/>
          <w:sz w:val="36"/>
          <w:szCs w:val="36"/>
        </w:rPr>
      </w:pPr>
      <w:r w:rsidRPr="008C7E86">
        <w:rPr>
          <w:rFonts w:ascii="Verdana" w:hAnsi="Verdana"/>
          <w:b/>
          <w:color w:val="77328A"/>
          <w:sz w:val="36"/>
          <w:szCs w:val="36"/>
        </w:rPr>
        <w:t>4</w:t>
      </w:r>
      <w:r w:rsidRPr="008C7E86">
        <w:rPr>
          <w:rFonts w:ascii="Verdana" w:hAnsi="Verdana"/>
          <w:b/>
          <w:color w:val="77328A"/>
          <w:sz w:val="36"/>
          <w:szCs w:val="36"/>
          <w:vertAlign w:val="superscript"/>
        </w:rPr>
        <w:t>th</w:t>
      </w:r>
      <w:r w:rsidRPr="008C7E86">
        <w:rPr>
          <w:rFonts w:ascii="Verdana" w:hAnsi="Verdana"/>
          <w:b/>
          <w:color w:val="77328A"/>
          <w:sz w:val="36"/>
          <w:szCs w:val="36"/>
        </w:rPr>
        <w:t xml:space="preserve"> cycle</w:t>
      </w:r>
    </w:p>
    <w:p w14:paraId="2E4183E6" w14:textId="77777777" w:rsidR="00772E4C" w:rsidRPr="008C7E86" w:rsidRDefault="00772E4C" w:rsidP="00A41384">
      <w:pPr>
        <w:spacing w:before="120" w:after="120"/>
        <w:jc w:val="center"/>
        <w:rPr>
          <w:rFonts w:ascii="Verdana" w:hAnsi="Verdana"/>
          <w:b/>
        </w:rPr>
      </w:pPr>
    </w:p>
    <w:p w14:paraId="691B0EAB" w14:textId="77777777" w:rsidR="00772E4C" w:rsidRPr="008C7E86" w:rsidRDefault="00772E4C" w:rsidP="00A41384">
      <w:pPr>
        <w:spacing w:before="120" w:after="120"/>
        <w:jc w:val="center"/>
        <w:rPr>
          <w:rFonts w:ascii="Verdana" w:hAnsi="Verdana"/>
          <w:b/>
        </w:rPr>
      </w:pPr>
    </w:p>
    <w:p w14:paraId="11F31B13" w14:textId="578A5113" w:rsidR="00772E4C" w:rsidRPr="008C7E86" w:rsidRDefault="007729D3" w:rsidP="00A41384">
      <w:pPr>
        <w:spacing w:before="120" w:after="120"/>
        <w:jc w:val="center"/>
        <w:rPr>
          <w:rFonts w:ascii="Verdana" w:hAnsi="Verdana"/>
          <w:b/>
          <w:sz w:val="36"/>
          <w:szCs w:val="36"/>
        </w:rPr>
      </w:pPr>
      <w:r>
        <w:rPr>
          <w:rFonts w:ascii="Verdana" w:hAnsi="Verdana"/>
          <w:b/>
          <w:sz w:val="36"/>
          <w:szCs w:val="36"/>
        </w:rPr>
        <w:t>December</w:t>
      </w:r>
      <w:r w:rsidRPr="008C7E86">
        <w:rPr>
          <w:rFonts w:ascii="Verdana" w:hAnsi="Verdana"/>
          <w:b/>
          <w:sz w:val="36"/>
          <w:szCs w:val="36"/>
        </w:rPr>
        <w:t xml:space="preserve"> </w:t>
      </w:r>
      <w:r w:rsidR="00772E4C" w:rsidRPr="008C7E86">
        <w:rPr>
          <w:rFonts w:ascii="Verdana" w:hAnsi="Verdana"/>
          <w:b/>
          <w:sz w:val="36"/>
          <w:szCs w:val="36"/>
        </w:rPr>
        <w:t>2025</w:t>
      </w:r>
    </w:p>
    <w:p w14:paraId="5E076C62" w14:textId="77777777" w:rsidR="00772E4C" w:rsidRPr="008C7E86" w:rsidRDefault="00772E4C" w:rsidP="00A41384">
      <w:pPr>
        <w:spacing w:before="120" w:after="120"/>
        <w:jc w:val="center"/>
        <w:rPr>
          <w:rFonts w:ascii="Verdana" w:hAnsi="Verdana"/>
          <w:b/>
          <w:sz w:val="36"/>
          <w:szCs w:val="36"/>
        </w:rPr>
      </w:pPr>
    </w:p>
    <w:sdt>
      <w:sdtPr>
        <w:rPr>
          <w:rFonts w:ascii="Verdana" w:eastAsiaTheme="minorEastAsia" w:hAnsi="Verdana" w:cstheme="minorBidi"/>
          <w:color w:val="auto"/>
          <w:kern w:val="2"/>
          <w:sz w:val="24"/>
          <w:szCs w:val="24"/>
          <w:lang w:val="en-GB"/>
          <w14:ligatures w14:val="standardContextual"/>
        </w:rPr>
        <w:id w:val="-942988897"/>
        <w:docPartObj>
          <w:docPartGallery w:val="Table of Contents"/>
          <w:docPartUnique/>
        </w:docPartObj>
      </w:sdtPr>
      <w:sdtEndPr>
        <w:rPr>
          <w:b/>
          <w:bCs/>
        </w:rPr>
      </w:sdtEndPr>
      <w:sdtContent>
        <w:p w14:paraId="72808963" w14:textId="77777777" w:rsidR="00911563" w:rsidRPr="009A7198" w:rsidRDefault="00911563" w:rsidP="00A41384">
          <w:pPr>
            <w:pStyle w:val="TOCHeading"/>
            <w:spacing w:before="120" w:after="120"/>
            <w:rPr>
              <w:rFonts w:ascii="Verdana" w:eastAsiaTheme="minorEastAsia" w:hAnsi="Verdana" w:cstheme="minorBidi"/>
              <w:color w:val="auto"/>
              <w:kern w:val="2"/>
              <w:sz w:val="24"/>
              <w:szCs w:val="24"/>
              <w:lang w:val="en-GB"/>
              <w14:ligatures w14:val="standardContextual"/>
            </w:rPr>
          </w:pPr>
        </w:p>
        <w:p w14:paraId="26E7EE47" w14:textId="3F63CB71" w:rsidR="00772E4C" w:rsidRPr="009B36F1" w:rsidRDefault="00772E4C" w:rsidP="00A41384">
          <w:pPr>
            <w:pStyle w:val="TOCHeading"/>
            <w:spacing w:before="120" w:after="120"/>
            <w:rPr>
              <w:rFonts w:ascii="Verdana" w:hAnsi="Verdana"/>
              <w:b/>
              <w:color w:val="77328A"/>
              <w:sz w:val="24"/>
              <w:szCs w:val="24"/>
              <w:lang w:val="en-GB"/>
            </w:rPr>
          </w:pPr>
          <w:r w:rsidRPr="009B36F1">
            <w:rPr>
              <w:rFonts w:ascii="Verdana" w:hAnsi="Verdana"/>
              <w:b/>
              <w:color w:val="77328A"/>
              <w:sz w:val="24"/>
              <w:szCs w:val="24"/>
              <w:lang w:val="en-GB"/>
            </w:rPr>
            <w:t>Table of contents</w:t>
          </w:r>
        </w:p>
        <w:p w14:paraId="60E0CA83" w14:textId="51DF741E" w:rsidR="00F83D38" w:rsidRDefault="00772E4C">
          <w:pPr>
            <w:pStyle w:val="TOC1"/>
            <w:tabs>
              <w:tab w:val="left" w:pos="720"/>
              <w:tab w:val="right" w:leader="dot" w:pos="9016"/>
            </w:tabs>
            <w:rPr>
              <w:rFonts w:eastAsiaTheme="minorEastAsia"/>
              <w:noProof/>
              <w:lang w:eastAsia="en-GB"/>
            </w:rPr>
          </w:pPr>
          <w:r w:rsidRPr="009B36F1">
            <w:rPr>
              <w:rFonts w:ascii="Verdana" w:hAnsi="Verdana"/>
            </w:rPr>
            <w:fldChar w:fldCharType="begin"/>
          </w:r>
          <w:r w:rsidRPr="009B36F1">
            <w:rPr>
              <w:rFonts w:ascii="Verdana" w:hAnsi="Verdana"/>
            </w:rPr>
            <w:instrText xml:space="preserve"> TOC \o "1-3" \h \z \u </w:instrText>
          </w:r>
          <w:r w:rsidRPr="009B36F1">
            <w:rPr>
              <w:rFonts w:ascii="Verdana" w:hAnsi="Verdana"/>
            </w:rPr>
            <w:fldChar w:fldCharType="separate"/>
          </w:r>
          <w:hyperlink w:anchor="_Toc215744940" w:history="1">
            <w:r w:rsidR="00F83D38" w:rsidRPr="00C678EE">
              <w:rPr>
                <w:rStyle w:val="Hyperlink"/>
                <w:rFonts w:ascii="Verdana" w:hAnsi="Verdana"/>
                <w:b/>
                <w:bCs/>
                <w:noProof/>
              </w:rPr>
              <w:t>1.0</w:t>
            </w:r>
            <w:r w:rsidR="00F83D38">
              <w:rPr>
                <w:rFonts w:eastAsiaTheme="minorEastAsia"/>
                <w:noProof/>
                <w:lang w:eastAsia="en-GB"/>
              </w:rPr>
              <w:tab/>
            </w:r>
            <w:r w:rsidR="00F83D38" w:rsidRPr="00C678EE">
              <w:rPr>
                <w:rStyle w:val="Hyperlink"/>
                <w:rFonts w:ascii="Verdana" w:hAnsi="Verdana"/>
                <w:b/>
                <w:bCs/>
                <w:noProof/>
              </w:rPr>
              <w:t>Introduction</w:t>
            </w:r>
            <w:r w:rsidR="00F83D38">
              <w:rPr>
                <w:noProof/>
                <w:webHidden/>
              </w:rPr>
              <w:tab/>
            </w:r>
            <w:r w:rsidR="00F83D38">
              <w:rPr>
                <w:noProof/>
                <w:webHidden/>
              </w:rPr>
              <w:fldChar w:fldCharType="begin"/>
            </w:r>
            <w:r w:rsidR="00F83D38">
              <w:rPr>
                <w:noProof/>
                <w:webHidden/>
              </w:rPr>
              <w:instrText xml:space="preserve"> PAGEREF _Toc215744940 \h </w:instrText>
            </w:r>
            <w:r w:rsidR="00F83D38">
              <w:rPr>
                <w:noProof/>
                <w:webHidden/>
              </w:rPr>
            </w:r>
            <w:r w:rsidR="00F83D38">
              <w:rPr>
                <w:noProof/>
                <w:webHidden/>
              </w:rPr>
              <w:fldChar w:fldCharType="separate"/>
            </w:r>
            <w:r w:rsidR="001D2D7C">
              <w:rPr>
                <w:noProof/>
                <w:webHidden/>
              </w:rPr>
              <w:t>3</w:t>
            </w:r>
            <w:r w:rsidR="00F83D38">
              <w:rPr>
                <w:noProof/>
                <w:webHidden/>
              </w:rPr>
              <w:fldChar w:fldCharType="end"/>
            </w:r>
          </w:hyperlink>
        </w:p>
        <w:p w14:paraId="2AC5E8D2" w14:textId="604B00E0" w:rsidR="00F83D38" w:rsidRDefault="00F83D38">
          <w:pPr>
            <w:pStyle w:val="TOC1"/>
            <w:tabs>
              <w:tab w:val="left" w:pos="720"/>
              <w:tab w:val="right" w:leader="dot" w:pos="9016"/>
            </w:tabs>
            <w:rPr>
              <w:rFonts w:eastAsiaTheme="minorEastAsia"/>
              <w:noProof/>
              <w:lang w:eastAsia="en-GB"/>
            </w:rPr>
          </w:pPr>
          <w:hyperlink w:anchor="_Toc215744941" w:history="1">
            <w:r w:rsidRPr="00C678EE">
              <w:rPr>
                <w:rStyle w:val="Hyperlink"/>
                <w:rFonts w:ascii="Verdana" w:hAnsi="Verdana"/>
                <w:b/>
                <w:bCs/>
                <w:noProof/>
              </w:rPr>
              <w:t>2.0</w:t>
            </w:r>
            <w:r>
              <w:rPr>
                <w:rFonts w:eastAsiaTheme="minorEastAsia"/>
                <w:noProof/>
                <w:lang w:eastAsia="en-GB"/>
              </w:rPr>
              <w:tab/>
            </w:r>
            <w:r w:rsidRPr="00C678EE">
              <w:rPr>
                <w:rStyle w:val="Hyperlink"/>
                <w:rFonts w:ascii="Verdana" w:hAnsi="Verdana"/>
                <w:b/>
                <w:bCs/>
                <w:noProof/>
              </w:rPr>
              <w:t>Constitutional framework (Commitment to the ECHR)</w:t>
            </w:r>
            <w:r>
              <w:rPr>
                <w:noProof/>
                <w:webHidden/>
              </w:rPr>
              <w:tab/>
            </w:r>
            <w:r>
              <w:rPr>
                <w:noProof/>
                <w:webHidden/>
              </w:rPr>
              <w:fldChar w:fldCharType="begin"/>
            </w:r>
            <w:r>
              <w:rPr>
                <w:noProof/>
                <w:webHidden/>
              </w:rPr>
              <w:instrText xml:space="preserve"> PAGEREF _Toc215744941 \h </w:instrText>
            </w:r>
            <w:r>
              <w:rPr>
                <w:noProof/>
                <w:webHidden/>
              </w:rPr>
            </w:r>
            <w:r>
              <w:rPr>
                <w:noProof/>
                <w:webHidden/>
              </w:rPr>
              <w:fldChar w:fldCharType="separate"/>
            </w:r>
            <w:r w:rsidR="001D2D7C">
              <w:rPr>
                <w:noProof/>
                <w:webHidden/>
              </w:rPr>
              <w:t>4</w:t>
            </w:r>
            <w:r>
              <w:rPr>
                <w:noProof/>
                <w:webHidden/>
              </w:rPr>
              <w:fldChar w:fldCharType="end"/>
            </w:r>
          </w:hyperlink>
        </w:p>
        <w:p w14:paraId="058182FB" w14:textId="588BD097" w:rsidR="00F83D38" w:rsidRDefault="00F83D38">
          <w:pPr>
            <w:pStyle w:val="TOC1"/>
            <w:tabs>
              <w:tab w:val="left" w:pos="720"/>
              <w:tab w:val="right" w:leader="dot" w:pos="9016"/>
            </w:tabs>
            <w:rPr>
              <w:rFonts w:eastAsiaTheme="minorEastAsia"/>
              <w:noProof/>
              <w:lang w:eastAsia="en-GB"/>
            </w:rPr>
          </w:pPr>
          <w:hyperlink w:anchor="_Toc215744942" w:history="1">
            <w:r w:rsidRPr="00C678EE">
              <w:rPr>
                <w:rStyle w:val="Hyperlink"/>
                <w:rFonts w:ascii="Verdana" w:hAnsi="Verdana"/>
                <w:b/>
                <w:bCs/>
                <w:noProof/>
              </w:rPr>
              <w:t>3.0</w:t>
            </w:r>
            <w:r>
              <w:rPr>
                <w:rFonts w:eastAsiaTheme="minorEastAsia"/>
                <w:noProof/>
                <w:lang w:eastAsia="en-GB"/>
              </w:rPr>
              <w:tab/>
            </w:r>
            <w:r w:rsidRPr="00C678EE">
              <w:rPr>
                <w:rStyle w:val="Hyperlink"/>
                <w:rFonts w:ascii="Verdana" w:hAnsi="Verdana"/>
                <w:b/>
                <w:bCs/>
                <w:noProof/>
              </w:rPr>
              <w:t>Dealing with the legacy of the past</w:t>
            </w:r>
            <w:r>
              <w:rPr>
                <w:noProof/>
                <w:webHidden/>
              </w:rPr>
              <w:tab/>
            </w:r>
            <w:r>
              <w:rPr>
                <w:noProof/>
                <w:webHidden/>
              </w:rPr>
              <w:fldChar w:fldCharType="begin"/>
            </w:r>
            <w:r>
              <w:rPr>
                <w:noProof/>
                <w:webHidden/>
              </w:rPr>
              <w:instrText xml:space="preserve"> PAGEREF _Toc215744942 \h </w:instrText>
            </w:r>
            <w:r>
              <w:rPr>
                <w:noProof/>
                <w:webHidden/>
              </w:rPr>
            </w:r>
            <w:r>
              <w:rPr>
                <w:noProof/>
                <w:webHidden/>
              </w:rPr>
              <w:fldChar w:fldCharType="separate"/>
            </w:r>
            <w:r w:rsidR="001D2D7C">
              <w:rPr>
                <w:noProof/>
                <w:webHidden/>
              </w:rPr>
              <w:t>6</w:t>
            </w:r>
            <w:r>
              <w:rPr>
                <w:noProof/>
                <w:webHidden/>
              </w:rPr>
              <w:fldChar w:fldCharType="end"/>
            </w:r>
          </w:hyperlink>
        </w:p>
        <w:p w14:paraId="548A7D9F" w14:textId="2CEF98A2" w:rsidR="00F83D38" w:rsidRDefault="00F83D38">
          <w:pPr>
            <w:pStyle w:val="TOC1"/>
            <w:tabs>
              <w:tab w:val="left" w:pos="720"/>
              <w:tab w:val="right" w:leader="dot" w:pos="9016"/>
            </w:tabs>
            <w:rPr>
              <w:rFonts w:eastAsiaTheme="minorEastAsia"/>
              <w:noProof/>
              <w:lang w:eastAsia="en-GB"/>
            </w:rPr>
          </w:pPr>
          <w:hyperlink w:anchor="_Toc215744943" w:history="1">
            <w:r w:rsidRPr="00C678EE">
              <w:rPr>
                <w:rStyle w:val="Hyperlink"/>
                <w:rFonts w:ascii="Verdana" w:hAnsi="Verdana"/>
                <w:b/>
                <w:bCs/>
                <w:noProof/>
              </w:rPr>
              <w:t>4.0</w:t>
            </w:r>
            <w:r>
              <w:rPr>
                <w:rFonts w:eastAsiaTheme="minorEastAsia"/>
                <w:noProof/>
                <w:lang w:eastAsia="en-GB"/>
              </w:rPr>
              <w:tab/>
            </w:r>
            <w:r w:rsidRPr="00C678EE">
              <w:rPr>
                <w:rStyle w:val="Hyperlink"/>
                <w:rFonts w:ascii="Verdana" w:hAnsi="Verdana"/>
                <w:b/>
                <w:bCs/>
                <w:noProof/>
              </w:rPr>
              <w:t>Hate crime</w:t>
            </w:r>
            <w:r>
              <w:rPr>
                <w:noProof/>
                <w:webHidden/>
              </w:rPr>
              <w:tab/>
            </w:r>
            <w:r>
              <w:rPr>
                <w:noProof/>
                <w:webHidden/>
              </w:rPr>
              <w:fldChar w:fldCharType="begin"/>
            </w:r>
            <w:r>
              <w:rPr>
                <w:noProof/>
                <w:webHidden/>
              </w:rPr>
              <w:instrText xml:space="preserve"> PAGEREF _Toc215744943 \h </w:instrText>
            </w:r>
            <w:r>
              <w:rPr>
                <w:noProof/>
                <w:webHidden/>
              </w:rPr>
            </w:r>
            <w:r>
              <w:rPr>
                <w:noProof/>
                <w:webHidden/>
              </w:rPr>
              <w:fldChar w:fldCharType="separate"/>
            </w:r>
            <w:r w:rsidR="001D2D7C">
              <w:rPr>
                <w:noProof/>
                <w:webHidden/>
              </w:rPr>
              <w:t>9</w:t>
            </w:r>
            <w:r>
              <w:rPr>
                <w:noProof/>
                <w:webHidden/>
              </w:rPr>
              <w:fldChar w:fldCharType="end"/>
            </w:r>
          </w:hyperlink>
        </w:p>
        <w:p w14:paraId="60021D91" w14:textId="0DC8AF54" w:rsidR="00F83D38" w:rsidRDefault="00F83D38">
          <w:pPr>
            <w:pStyle w:val="TOC1"/>
            <w:tabs>
              <w:tab w:val="left" w:pos="720"/>
              <w:tab w:val="right" w:leader="dot" w:pos="9016"/>
            </w:tabs>
            <w:rPr>
              <w:rFonts w:eastAsiaTheme="minorEastAsia"/>
              <w:noProof/>
              <w:lang w:eastAsia="en-GB"/>
            </w:rPr>
          </w:pPr>
          <w:hyperlink w:anchor="_Toc215744944" w:history="1">
            <w:r w:rsidRPr="00C678EE">
              <w:rPr>
                <w:rStyle w:val="Hyperlink"/>
                <w:rFonts w:ascii="Verdana" w:hAnsi="Verdana"/>
                <w:b/>
                <w:bCs/>
                <w:noProof/>
              </w:rPr>
              <w:t>5.0</w:t>
            </w:r>
            <w:r>
              <w:rPr>
                <w:rFonts w:eastAsiaTheme="minorEastAsia"/>
                <w:noProof/>
                <w:lang w:eastAsia="en-GB"/>
              </w:rPr>
              <w:tab/>
            </w:r>
            <w:r w:rsidRPr="00C678EE">
              <w:rPr>
                <w:rStyle w:val="Hyperlink"/>
                <w:rFonts w:ascii="Verdana" w:hAnsi="Verdana"/>
                <w:b/>
                <w:bCs/>
                <w:noProof/>
              </w:rPr>
              <w:t>Immigration and asylum, refugees and migrants</w:t>
            </w:r>
            <w:r>
              <w:rPr>
                <w:noProof/>
                <w:webHidden/>
              </w:rPr>
              <w:tab/>
            </w:r>
            <w:r>
              <w:rPr>
                <w:noProof/>
                <w:webHidden/>
              </w:rPr>
              <w:fldChar w:fldCharType="begin"/>
            </w:r>
            <w:r>
              <w:rPr>
                <w:noProof/>
                <w:webHidden/>
              </w:rPr>
              <w:instrText xml:space="preserve"> PAGEREF _Toc215744944 \h </w:instrText>
            </w:r>
            <w:r>
              <w:rPr>
                <w:noProof/>
                <w:webHidden/>
              </w:rPr>
            </w:r>
            <w:r>
              <w:rPr>
                <w:noProof/>
                <w:webHidden/>
              </w:rPr>
              <w:fldChar w:fldCharType="separate"/>
            </w:r>
            <w:r w:rsidR="001D2D7C">
              <w:rPr>
                <w:noProof/>
                <w:webHidden/>
              </w:rPr>
              <w:t>11</w:t>
            </w:r>
            <w:r>
              <w:rPr>
                <w:noProof/>
                <w:webHidden/>
              </w:rPr>
              <w:fldChar w:fldCharType="end"/>
            </w:r>
          </w:hyperlink>
        </w:p>
        <w:p w14:paraId="4C353797" w14:textId="4397AFF1" w:rsidR="00F83D38" w:rsidRPr="00F83D38" w:rsidRDefault="00F83D38">
          <w:pPr>
            <w:pStyle w:val="TOC2"/>
            <w:tabs>
              <w:tab w:val="right" w:leader="dot" w:pos="9016"/>
            </w:tabs>
            <w:rPr>
              <w:rFonts w:eastAsiaTheme="minorEastAsia"/>
              <w:noProof/>
              <w:lang w:eastAsia="en-GB"/>
            </w:rPr>
          </w:pPr>
          <w:hyperlink w:anchor="_Toc215744945" w:history="1">
            <w:r w:rsidRPr="00F83D38">
              <w:rPr>
                <w:rStyle w:val="Hyperlink"/>
                <w:rFonts w:ascii="Verdana" w:hAnsi="Verdana"/>
                <w:noProof/>
              </w:rPr>
              <w:t>UK Migration and Asylum Framework</w:t>
            </w:r>
            <w:r w:rsidRPr="00F83D38">
              <w:rPr>
                <w:noProof/>
                <w:webHidden/>
              </w:rPr>
              <w:tab/>
            </w:r>
            <w:r w:rsidRPr="00F83D38">
              <w:rPr>
                <w:noProof/>
                <w:webHidden/>
              </w:rPr>
              <w:fldChar w:fldCharType="begin"/>
            </w:r>
            <w:r w:rsidRPr="00F83D38">
              <w:rPr>
                <w:noProof/>
                <w:webHidden/>
              </w:rPr>
              <w:instrText xml:space="preserve"> PAGEREF _Toc215744945 \h </w:instrText>
            </w:r>
            <w:r w:rsidRPr="00F83D38">
              <w:rPr>
                <w:noProof/>
                <w:webHidden/>
              </w:rPr>
            </w:r>
            <w:r w:rsidRPr="00F83D38">
              <w:rPr>
                <w:noProof/>
                <w:webHidden/>
              </w:rPr>
              <w:fldChar w:fldCharType="separate"/>
            </w:r>
            <w:r w:rsidR="001D2D7C">
              <w:rPr>
                <w:noProof/>
                <w:webHidden/>
              </w:rPr>
              <w:t>11</w:t>
            </w:r>
            <w:r w:rsidRPr="00F83D38">
              <w:rPr>
                <w:noProof/>
                <w:webHidden/>
              </w:rPr>
              <w:fldChar w:fldCharType="end"/>
            </w:r>
          </w:hyperlink>
        </w:p>
        <w:p w14:paraId="30A2759F" w14:textId="603CAB9A" w:rsidR="00F83D38" w:rsidRPr="00F83D38" w:rsidRDefault="00F83D38">
          <w:pPr>
            <w:pStyle w:val="TOC2"/>
            <w:tabs>
              <w:tab w:val="right" w:leader="dot" w:pos="9016"/>
            </w:tabs>
            <w:rPr>
              <w:rFonts w:eastAsiaTheme="minorEastAsia"/>
              <w:noProof/>
              <w:lang w:eastAsia="en-GB"/>
            </w:rPr>
          </w:pPr>
          <w:hyperlink w:anchor="_Toc215744946" w:history="1">
            <w:r w:rsidRPr="00F83D38">
              <w:rPr>
                <w:rStyle w:val="Hyperlink"/>
                <w:rFonts w:ascii="Verdana" w:hAnsi="Verdana"/>
                <w:noProof/>
              </w:rPr>
              <w:t>Working conditions and access to healthcare for migrants</w:t>
            </w:r>
            <w:r w:rsidRPr="00F83D38">
              <w:rPr>
                <w:noProof/>
                <w:webHidden/>
              </w:rPr>
              <w:tab/>
            </w:r>
            <w:r w:rsidRPr="00F83D38">
              <w:rPr>
                <w:noProof/>
                <w:webHidden/>
              </w:rPr>
              <w:fldChar w:fldCharType="begin"/>
            </w:r>
            <w:r w:rsidRPr="00F83D38">
              <w:rPr>
                <w:noProof/>
                <w:webHidden/>
              </w:rPr>
              <w:instrText xml:space="preserve"> PAGEREF _Toc215744946 \h </w:instrText>
            </w:r>
            <w:r w:rsidRPr="00F83D38">
              <w:rPr>
                <w:noProof/>
                <w:webHidden/>
              </w:rPr>
            </w:r>
            <w:r w:rsidRPr="00F83D38">
              <w:rPr>
                <w:noProof/>
                <w:webHidden/>
              </w:rPr>
              <w:fldChar w:fldCharType="separate"/>
            </w:r>
            <w:r w:rsidR="001D2D7C">
              <w:rPr>
                <w:noProof/>
                <w:webHidden/>
              </w:rPr>
              <w:t>17</w:t>
            </w:r>
            <w:r w:rsidRPr="00F83D38">
              <w:rPr>
                <w:noProof/>
                <w:webHidden/>
              </w:rPr>
              <w:fldChar w:fldCharType="end"/>
            </w:r>
          </w:hyperlink>
        </w:p>
        <w:p w14:paraId="63871F77" w14:textId="3D35B673" w:rsidR="00F83D38" w:rsidRDefault="00F83D38">
          <w:pPr>
            <w:pStyle w:val="TOC1"/>
            <w:tabs>
              <w:tab w:val="left" w:pos="720"/>
              <w:tab w:val="right" w:leader="dot" w:pos="9016"/>
            </w:tabs>
            <w:rPr>
              <w:rFonts w:eastAsiaTheme="minorEastAsia"/>
              <w:noProof/>
              <w:lang w:eastAsia="en-GB"/>
            </w:rPr>
          </w:pPr>
          <w:hyperlink w:anchor="_Toc215744947" w:history="1">
            <w:r w:rsidRPr="00C678EE">
              <w:rPr>
                <w:rStyle w:val="Hyperlink"/>
                <w:rFonts w:ascii="Verdana" w:hAnsi="Verdana"/>
                <w:b/>
                <w:bCs/>
                <w:noProof/>
              </w:rPr>
              <w:t>6.0</w:t>
            </w:r>
            <w:r>
              <w:rPr>
                <w:rFonts w:eastAsiaTheme="minorEastAsia"/>
                <w:noProof/>
                <w:lang w:eastAsia="en-GB"/>
              </w:rPr>
              <w:tab/>
            </w:r>
            <w:r w:rsidRPr="00C678EE">
              <w:rPr>
                <w:rStyle w:val="Hyperlink"/>
                <w:rFonts w:ascii="Verdana" w:hAnsi="Verdana"/>
                <w:b/>
                <w:bCs/>
                <w:noProof/>
              </w:rPr>
              <w:t>Anti-poverty strategy</w:t>
            </w:r>
            <w:r>
              <w:rPr>
                <w:noProof/>
                <w:webHidden/>
              </w:rPr>
              <w:tab/>
            </w:r>
            <w:r>
              <w:rPr>
                <w:noProof/>
                <w:webHidden/>
              </w:rPr>
              <w:fldChar w:fldCharType="begin"/>
            </w:r>
            <w:r>
              <w:rPr>
                <w:noProof/>
                <w:webHidden/>
              </w:rPr>
              <w:instrText xml:space="preserve"> PAGEREF _Toc215744947 \h </w:instrText>
            </w:r>
            <w:r>
              <w:rPr>
                <w:noProof/>
                <w:webHidden/>
              </w:rPr>
            </w:r>
            <w:r>
              <w:rPr>
                <w:noProof/>
                <w:webHidden/>
              </w:rPr>
              <w:fldChar w:fldCharType="separate"/>
            </w:r>
            <w:r w:rsidR="001D2D7C">
              <w:rPr>
                <w:noProof/>
                <w:webHidden/>
              </w:rPr>
              <w:t>19</w:t>
            </w:r>
            <w:r>
              <w:rPr>
                <w:noProof/>
                <w:webHidden/>
              </w:rPr>
              <w:fldChar w:fldCharType="end"/>
            </w:r>
          </w:hyperlink>
        </w:p>
        <w:p w14:paraId="51CEF5BD" w14:textId="69EB6666" w:rsidR="00F83D38" w:rsidRDefault="00F83D38">
          <w:pPr>
            <w:pStyle w:val="TOC1"/>
            <w:tabs>
              <w:tab w:val="left" w:pos="720"/>
              <w:tab w:val="right" w:leader="dot" w:pos="9016"/>
            </w:tabs>
            <w:rPr>
              <w:rFonts w:eastAsiaTheme="minorEastAsia"/>
              <w:noProof/>
              <w:lang w:eastAsia="en-GB"/>
            </w:rPr>
          </w:pPr>
          <w:hyperlink w:anchor="_Toc215744948" w:history="1">
            <w:r w:rsidRPr="00C678EE">
              <w:rPr>
                <w:rStyle w:val="Hyperlink"/>
                <w:rFonts w:ascii="Verdana" w:hAnsi="Verdana"/>
                <w:b/>
                <w:bCs/>
                <w:noProof/>
              </w:rPr>
              <w:t>7.0</w:t>
            </w:r>
            <w:r>
              <w:rPr>
                <w:rFonts w:eastAsiaTheme="minorEastAsia"/>
                <w:noProof/>
                <w:lang w:eastAsia="en-GB"/>
              </w:rPr>
              <w:tab/>
            </w:r>
            <w:r w:rsidRPr="00C678EE">
              <w:rPr>
                <w:rStyle w:val="Hyperlink"/>
                <w:rFonts w:ascii="Verdana" w:hAnsi="Verdana"/>
                <w:b/>
                <w:bCs/>
                <w:noProof/>
              </w:rPr>
              <w:t>Conclusion</w:t>
            </w:r>
            <w:r>
              <w:rPr>
                <w:noProof/>
                <w:webHidden/>
              </w:rPr>
              <w:tab/>
            </w:r>
            <w:r>
              <w:rPr>
                <w:noProof/>
                <w:webHidden/>
              </w:rPr>
              <w:fldChar w:fldCharType="begin"/>
            </w:r>
            <w:r>
              <w:rPr>
                <w:noProof/>
                <w:webHidden/>
              </w:rPr>
              <w:instrText xml:space="preserve"> PAGEREF _Toc215744948 \h </w:instrText>
            </w:r>
            <w:r>
              <w:rPr>
                <w:noProof/>
                <w:webHidden/>
              </w:rPr>
            </w:r>
            <w:r>
              <w:rPr>
                <w:noProof/>
                <w:webHidden/>
              </w:rPr>
              <w:fldChar w:fldCharType="separate"/>
            </w:r>
            <w:r w:rsidR="001D2D7C">
              <w:rPr>
                <w:noProof/>
                <w:webHidden/>
              </w:rPr>
              <w:t>20</w:t>
            </w:r>
            <w:r>
              <w:rPr>
                <w:noProof/>
                <w:webHidden/>
              </w:rPr>
              <w:fldChar w:fldCharType="end"/>
            </w:r>
          </w:hyperlink>
        </w:p>
        <w:p w14:paraId="0BB647E1" w14:textId="346E5AFF" w:rsidR="00F83D38" w:rsidRPr="00F83D38" w:rsidRDefault="00F83D38">
          <w:pPr>
            <w:pStyle w:val="TOC2"/>
            <w:tabs>
              <w:tab w:val="right" w:leader="dot" w:pos="9016"/>
            </w:tabs>
            <w:rPr>
              <w:rFonts w:eastAsiaTheme="minorEastAsia"/>
              <w:noProof/>
              <w:lang w:eastAsia="en-GB"/>
            </w:rPr>
          </w:pPr>
          <w:hyperlink w:anchor="_Toc215744949" w:history="1">
            <w:r w:rsidRPr="00F83D38">
              <w:rPr>
                <w:rStyle w:val="Hyperlink"/>
                <w:rFonts w:ascii="Verdana" w:hAnsi="Verdana"/>
                <w:noProof/>
              </w:rPr>
              <w:t>Constitutional framework (Commitment to the ECHR)</w:t>
            </w:r>
            <w:r w:rsidRPr="00F83D38">
              <w:rPr>
                <w:noProof/>
                <w:webHidden/>
              </w:rPr>
              <w:tab/>
            </w:r>
            <w:r w:rsidRPr="00F83D38">
              <w:rPr>
                <w:noProof/>
                <w:webHidden/>
              </w:rPr>
              <w:fldChar w:fldCharType="begin"/>
            </w:r>
            <w:r w:rsidRPr="00F83D38">
              <w:rPr>
                <w:noProof/>
                <w:webHidden/>
              </w:rPr>
              <w:instrText xml:space="preserve"> PAGEREF _Toc215744949 \h </w:instrText>
            </w:r>
            <w:r w:rsidRPr="00F83D38">
              <w:rPr>
                <w:noProof/>
                <w:webHidden/>
              </w:rPr>
            </w:r>
            <w:r w:rsidRPr="00F83D38">
              <w:rPr>
                <w:noProof/>
                <w:webHidden/>
              </w:rPr>
              <w:fldChar w:fldCharType="separate"/>
            </w:r>
            <w:r w:rsidR="001D2D7C">
              <w:rPr>
                <w:noProof/>
                <w:webHidden/>
              </w:rPr>
              <w:t>20</w:t>
            </w:r>
            <w:r w:rsidRPr="00F83D38">
              <w:rPr>
                <w:noProof/>
                <w:webHidden/>
              </w:rPr>
              <w:fldChar w:fldCharType="end"/>
            </w:r>
          </w:hyperlink>
        </w:p>
        <w:p w14:paraId="6AF02BA6" w14:textId="57BB6FAB" w:rsidR="00F83D38" w:rsidRPr="00F83D38" w:rsidRDefault="00F83D38">
          <w:pPr>
            <w:pStyle w:val="TOC2"/>
            <w:tabs>
              <w:tab w:val="right" w:leader="dot" w:pos="9016"/>
            </w:tabs>
            <w:rPr>
              <w:rFonts w:eastAsiaTheme="minorEastAsia"/>
              <w:noProof/>
              <w:lang w:eastAsia="en-GB"/>
            </w:rPr>
          </w:pPr>
          <w:hyperlink w:anchor="_Toc215744950" w:history="1">
            <w:r w:rsidRPr="00F83D38">
              <w:rPr>
                <w:rStyle w:val="Hyperlink"/>
                <w:rFonts w:ascii="Verdana" w:hAnsi="Verdana"/>
                <w:noProof/>
              </w:rPr>
              <w:t>Dealing with the legacy of the past</w:t>
            </w:r>
            <w:r w:rsidRPr="00F83D38">
              <w:rPr>
                <w:noProof/>
                <w:webHidden/>
              </w:rPr>
              <w:tab/>
            </w:r>
            <w:r w:rsidRPr="00F83D38">
              <w:rPr>
                <w:noProof/>
                <w:webHidden/>
              </w:rPr>
              <w:fldChar w:fldCharType="begin"/>
            </w:r>
            <w:r w:rsidRPr="00F83D38">
              <w:rPr>
                <w:noProof/>
                <w:webHidden/>
              </w:rPr>
              <w:instrText xml:space="preserve"> PAGEREF _Toc215744950 \h </w:instrText>
            </w:r>
            <w:r w:rsidRPr="00F83D38">
              <w:rPr>
                <w:noProof/>
                <w:webHidden/>
              </w:rPr>
            </w:r>
            <w:r w:rsidRPr="00F83D38">
              <w:rPr>
                <w:noProof/>
                <w:webHidden/>
              </w:rPr>
              <w:fldChar w:fldCharType="separate"/>
            </w:r>
            <w:r w:rsidR="001D2D7C">
              <w:rPr>
                <w:noProof/>
                <w:webHidden/>
              </w:rPr>
              <w:t>21</w:t>
            </w:r>
            <w:r w:rsidRPr="00F83D38">
              <w:rPr>
                <w:noProof/>
                <w:webHidden/>
              </w:rPr>
              <w:fldChar w:fldCharType="end"/>
            </w:r>
          </w:hyperlink>
        </w:p>
        <w:p w14:paraId="1AC75FE4" w14:textId="421C4C97" w:rsidR="00F83D38" w:rsidRPr="00F83D38" w:rsidRDefault="00F83D38">
          <w:pPr>
            <w:pStyle w:val="TOC2"/>
            <w:tabs>
              <w:tab w:val="right" w:leader="dot" w:pos="9016"/>
            </w:tabs>
            <w:rPr>
              <w:rFonts w:eastAsiaTheme="minorEastAsia"/>
              <w:noProof/>
              <w:lang w:eastAsia="en-GB"/>
            </w:rPr>
          </w:pPr>
          <w:hyperlink w:anchor="_Toc215744951" w:history="1">
            <w:r w:rsidRPr="00F83D38">
              <w:rPr>
                <w:rStyle w:val="Hyperlink"/>
                <w:rFonts w:ascii="Verdana" w:hAnsi="Verdana"/>
                <w:noProof/>
              </w:rPr>
              <w:t>Hate crime</w:t>
            </w:r>
            <w:r w:rsidRPr="00F83D38">
              <w:rPr>
                <w:noProof/>
                <w:webHidden/>
              </w:rPr>
              <w:tab/>
            </w:r>
            <w:r w:rsidRPr="00F83D38">
              <w:rPr>
                <w:noProof/>
                <w:webHidden/>
              </w:rPr>
              <w:fldChar w:fldCharType="begin"/>
            </w:r>
            <w:r w:rsidRPr="00F83D38">
              <w:rPr>
                <w:noProof/>
                <w:webHidden/>
              </w:rPr>
              <w:instrText xml:space="preserve"> PAGEREF _Toc215744951 \h </w:instrText>
            </w:r>
            <w:r w:rsidRPr="00F83D38">
              <w:rPr>
                <w:noProof/>
                <w:webHidden/>
              </w:rPr>
            </w:r>
            <w:r w:rsidRPr="00F83D38">
              <w:rPr>
                <w:noProof/>
                <w:webHidden/>
              </w:rPr>
              <w:fldChar w:fldCharType="separate"/>
            </w:r>
            <w:r w:rsidR="001D2D7C">
              <w:rPr>
                <w:noProof/>
                <w:webHidden/>
              </w:rPr>
              <w:t>21</w:t>
            </w:r>
            <w:r w:rsidRPr="00F83D38">
              <w:rPr>
                <w:noProof/>
                <w:webHidden/>
              </w:rPr>
              <w:fldChar w:fldCharType="end"/>
            </w:r>
          </w:hyperlink>
        </w:p>
        <w:p w14:paraId="6DB6668C" w14:textId="3D12A9F9" w:rsidR="00F83D38" w:rsidRPr="00F83D38" w:rsidRDefault="00F83D38">
          <w:pPr>
            <w:pStyle w:val="TOC2"/>
            <w:tabs>
              <w:tab w:val="right" w:leader="dot" w:pos="9016"/>
            </w:tabs>
            <w:rPr>
              <w:rFonts w:eastAsiaTheme="minorEastAsia"/>
              <w:noProof/>
              <w:lang w:eastAsia="en-GB"/>
            </w:rPr>
          </w:pPr>
          <w:hyperlink w:anchor="_Toc215744952" w:history="1">
            <w:r w:rsidRPr="00F83D38">
              <w:rPr>
                <w:rStyle w:val="Hyperlink"/>
                <w:rFonts w:ascii="Verdana" w:hAnsi="Verdana"/>
                <w:noProof/>
              </w:rPr>
              <w:t>Immigration and asylum, refugees and migrants</w:t>
            </w:r>
            <w:r w:rsidRPr="00F83D38">
              <w:rPr>
                <w:noProof/>
                <w:webHidden/>
              </w:rPr>
              <w:tab/>
            </w:r>
            <w:r w:rsidRPr="00F83D38">
              <w:rPr>
                <w:noProof/>
                <w:webHidden/>
              </w:rPr>
              <w:fldChar w:fldCharType="begin"/>
            </w:r>
            <w:r w:rsidRPr="00F83D38">
              <w:rPr>
                <w:noProof/>
                <w:webHidden/>
              </w:rPr>
              <w:instrText xml:space="preserve"> PAGEREF _Toc215744952 \h </w:instrText>
            </w:r>
            <w:r w:rsidRPr="00F83D38">
              <w:rPr>
                <w:noProof/>
                <w:webHidden/>
              </w:rPr>
            </w:r>
            <w:r w:rsidRPr="00F83D38">
              <w:rPr>
                <w:noProof/>
                <w:webHidden/>
              </w:rPr>
              <w:fldChar w:fldCharType="separate"/>
            </w:r>
            <w:r w:rsidR="001D2D7C">
              <w:rPr>
                <w:noProof/>
                <w:webHidden/>
              </w:rPr>
              <w:t>21</w:t>
            </w:r>
            <w:r w:rsidRPr="00F83D38">
              <w:rPr>
                <w:noProof/>
                <w:webHidden/>
              </w:rPr>
              <w:fldChar w:fldCharType="end"/>
            </w:r>
          </w:hyperlink>
        </w:p>
        <w:p w14:paraId="0988F5F5" w14:textId="3E7239DF" w:rsidR="00F83D38" w:rsidRPr="00F83D38" w:rsidRDefault="00F83D38">
          <w:pPr>
            <w:pStyle w:val="TOC2"/>
            <w:tabs>
              <w:tab w:val="right" w:leader="dot" w:pos="9016"/>
            </w:tabs>
            <w:rPr>
              <w:rFonts w:eastAsiaTheme="minorEastAsia"/>
              <w:noProof/>
              <w:lang w:eastAsia="en-GB"/>
            </w:rPr>
          </w:pPr>
          <w:hyperlink w:anchor="_Toc215744953" w:history="1">
            <w:r w:rsidRPr="00F83D38">
              <w:rPr>
                <w:rStyle w:val="Hyperlink"/>
                <w:rFonts w:ascii="Verdana" w:hAnsi="Verdana"/>
                <w:noProof/>
              </w:rPr>
              <w:t>Anti-poverty strategy</w:t>
            </w:r>
            <w:r w:rsidRPr="00F83D38">
              <w:rPr>
                <w:noProof/>
                <w:webHidden/>
              </w:rPr>
              <w:tab/>
            </w:r>
            <w:r w:rsidRPr="00F83D38">
              <w:rPr>
                <w:noProof/>
                <w:webHidden/>
              </w:rPr>
              <w:fldChar w:fldCharType="begin"/>
            </w:r>
            <w:r w:rsidRPr="00F83D38">
              <w:rPr>
                <w:noProof/>
                <w:webHidden/>
              </w:rPr>
              <w:instrText xml:space="preserve"> PAGEREF _Toc215744953 \h </w:instrText>
            </w:r>
            <w:r w:rsidRPr="00F83D38">
              <w:rPr>
                <w:noProof/>
                <w:webHidden/>
              </w:rPr>
            </w:r>
            <w:r w:rsidRPr="00F83D38">
              <w:rPr>
                <w:noProof/>
                <w:webHidden/>
              </w:rPr>
              <w:fldChar w:fldCharType="separate"/>
            </w:r>
            <w:r w:rsidR="001D2D7C">
              <w:rPr>
                <w:noProof/>
                <w:webHidden/>
              </w:rPr>
              <w:t>23</w:t>
            </w:r>
            <w:r w:rsidRPr="00F83D38">
              <w:rPr>
                <w:noProof/>
                <w:webHidden/>
              </w:rPr>
              <w:fldChar w:fldCharType="end"/>
            </w:r>
          </w:hyperlink>
        </w:p>
        <w:p w14:paraId="2AACEF83" w14:textId="66507D76" w:rsidR="00772E4C" w:rsidRPr="008C7E86" w:rsidRDefault="00772E4C" w:rsidP="00A41384">
          <w:pPr>
            <w:spacing w:before="120" w:after="120"/>
            <w:rPr>
              <w:rFonts w:ascii="Verdana" w:hAnsi="Verdana"/>
            </w:rPr>
          </w:pPr>
          <w:r w:rsidRPr="009B36F1">
            <w:rPr>
              <w:rFonts w:ascii="Verdana" w:hAnsi="Verdana"/>
              <w:b/>
              <w:bCs/>
              <w:noProof/>
            </w:rPr>
            <w:fldChar w:fldCharType="end"/>
          </w:r>
        </w:p>
      </w:sdtContent>
    </w:sdt>
    <w:p w14:paraId="07033700" w14:textId="77777777" w:rsidR="00772E4C" w:rsidRPr="008C7E86" w:rsidRDefault="00772E4C" w:rsidP="00A41384">
      <w:pPr>
        <w:spacing w:before="120" w:after="120"/>
        <w:rPr>
          <w:rFonts w:ascii="Verdana" w:hAnsi="Verdana"/>
          <w:b/>
        </w:rPr>
      </w:pPr>
    </w:p>
    <w:p w14:paraId="2161ABEE" w14:textId="77777777" w:rsidR="00772E4C" w:rsidRPr="008C7E86" w:rsidRDefault="00772E4C" w:rsidP="00A41384">
      <w:pPr>
        <w:spacing w:before="120" w:after="120"/>
        <w:rPr>
          <w:rFonts w:ascii="Verdana" w:hAnsi="Verdana"/>
          <w:b/>
        </w:rPr>
      </w:pPr>
      <w:r w:rsidRPr="008C7E86">
        <w:rPr>
          <w:rFonts w:ascii="Verdana" w:hAnsi="Verdana"/>
          <w:b/>
        </w:rPr>
        <w:br w:type="page"/>
      </w:r>
    </w:p>
    <w:p w14:paraId="02601A85" w14:textId="530BE9C6" w:rsidR="000420CC" w:rsidRPr="000420CC" w:rsidRDefault="00772E4C" w:rsidP="000420CC">
      <w:pPr>
        <w:pStyle w:val="Heading1"/>
        <w:numPr>
          <w:ilvl w:val="0"/>
          <w:numId w:val="1"/>
        </w:numPr>
        <w:spacing w:before="120" w:after="120"/>
        <w:rPr>
          <w:rFonts w:ascii="Verdana" w:hAnsi="Verdana"/>
          <w:b/>
          <w:bCs/>
          <w:color w:val="77328A"/>
          <w:sz w:val="28"/>
          <w:szCs w:val="28"/>
        </w:rPr>
      </w:pPr>
      <w:bookmarkStart w:id="0" w:name="_Toc215744940"/>
      <w:r w:rsidRPr="008C7E86">
        <w:rPr>
          <w:rFonts w:ascii="Verdana" w:hAnsi="Verdana"/>
          <w:b/>
          <w:bCs/>
          <w:color w:val="77328A"/>
          <w:sz w:val="28"/>
          <w:szCs w:val="28"/>
        </w:rPr>
        <w:lastRenderedPageBreak/>
        <w:t>Introduction</w:t>
      </w:r>
      <w:bookmarkEnd w:id="0"/>
      <w:r w:rsidRPr="008C7E86">
        <w:rPr>
          <w:rFonts w:ascii="Verdana" w:hAnsi="Verdana"/>
          <w:b/>
          <w:bCs/>
          <w:color w:val="77328A"/>
          <w:sz w:val="28"/>
          <w:szCs w:val="28"/>
        </w:rPr>
        <w:t xml:space="preserve"> </w:t>
      </w:r>
    </w:p>
    <w:p w14:paraId="0104B7CD" w14:textId="77777777" w:rsidR="000420CC" w:rsidRPr="000420CC" w:rsidRDefault="000420CC" w:rsidP="000420CC">
      <w:pPr>
        <w:pStyle w:val="ListParagraph"/>
        <w:numPr>
          <w:ilvl w:val="0"/>
          <w:numId w:val="0"/>
        </w:numPr>
        <w:spacing w:before="0" w:after="0" w:line="288" w:lineRule="auto"/>
        <w:ind w:left="720"/>
        <w:rPr>
          <w:rFonts w:cs="Times New Roman"/>
        </w:rPr>
      </w:pPr>
    </w:p>
    <w:p w14:paraId="119010C2" w14:textId="77777777" w:rsidR="00E16982" w:rsidRPr="00752D1C" w:rsidRDefault="00772E4C" w:rsidP="00E16982">
      <w:pPr>
        <w:pStyle w:val="ListParagraph"/>
        <w:numPr>
          <w:ilvl w:val="1"/>
          <w:numId w:val="2"/>
        </w:numPr>
        <w:spacing w:before="0" w:after="0" w:line="288" w:lineRule="auto"/>
        <w:rPr>
          <w:rFonts w:cs="Times New Roman"/>
        </w:rPr>
      </w:pPr>
      <w:r w:rsidRPr="4F1A34F7">
        <w:t>The Northern Ireland Human Rights Commission (NIHRC) is a statutory public body established by section 69 of the Northern Ireland Act 1998 to promote and protect human rights in Northern Ireland</w:t>
      </w:r>
      <w:r w:rsidR="00156471">
        <w:t xml:space="preserve"> (NI)</w:t>
      </w:r>
      <w:r w:rsidRPr="4F1A34F7">
        <w:t xml:space="preserve">. </w:t>
      </w:r>
    </w:p>
    <w:p w14:paraId="14921C56" w14:textId="77777777" w:rsidR="00752D1C" w:rsidRPr="00E16982" w:rsidRDefault="00752D1C" w:rsidP="00752D1C">
      <w:pPr>
        <w:pStyle w:val="ListParagraph"/>
        <w:numPr>
          <w:ilvl w:val="0"/>
          <w:numId w:val="0"/>
        </w:numPr>
        <w:spacing w:before="0" w:after="0" w:line="288" w:lineRule="auto"/>
        <w:ind w:left="720"/>
        <w:rPr>
          <w:rFonts w:cs="Times New Roman"/>
        </w:rPr>
      </w:pPr>
    </w:p>
    <w:p w14:paraId="63D04D16" w14:textId="1984AA90" w:rsidR="00B537B9" w:rsidRPr="00E16982" w:rsidRDefault="2B210F20" w:rsidP="00E16982">
      <w:pPr>
        <w:pStyle w:val="ListParagraph"/>
        <w:numPr>
          <w:ilvl w:val="1"/>
          <w:numId w:val="2"/>
        </w:numPr>
        <w:spacing w:before="0" w:after="0" w:line="288" w:lineRule="auto"/>
        <w:rPr>
          <w:rFonts w:cs="Times New Roman"/>
        </w:rPr>
      </w:pPr>
      <w:r>
        <w:t xml:space="preserve">The </w:t>
      </w:r>
      <w:r w:rsidR="00772E4C">
        <w:t xml:space="preserve">NIHRC is one of three A-status National Human Rights Institutions of the United Kingdom (UK). In accordance with the Paris Principles, the NIHRC reviews the adequacy and effectiveness of measures undertaken by the </w:t>
      </w:r>
      <w:r w:rsidR="688401F9">
        <w:t>UK</w:t>
      </w:r>
      <w:r w:rsidR="00772E4C">
        <w:t xml:space="preserve"> Government and </w:t>
      </w:r>
      <w:r w:rsidR="00F643E4">
        <w:t>NI</w:t>
      </w:r>
      <w:r w:rsidR="00772E4C">
        <w:t xml:space="preserve"> Executive to promote and protect human rights, specifically within </w:t>
      </w:r>
      <w:r w:rsidR="00156471">
        <w:t>NI</w:t>
      </w:r>
      <w:r w:rsidR="00772E4C">
        <w:t>.</w:t>
      </w:r>
    </w:p>
    <w:p w14:paraId="0104FF5F" w14:textId="77777777" w:rsidR="00156471" w:rsidRPr="008C7E86" w:rsidRDefault="00156471" w:rsidP="000C64B7">
      <w:pPr>
        <w:spacing w:after="0" w:line="288" w:lineRule="auto"/>
        <w:ind w:left="720"/>
      </w:pPr>
    </w:p>
    <w:p w14:paraId="492A3BC1" w14:textId="37A501BD" w:rsidR="00B537B9" w:rsidRPr="006143F0" w:rsidRDefault="00235F4E" w:rsidP="000C64B7">
      <w:pPr>
        <w:pStyle w:val="ListParagraph"/>
        <w:numPr>
          <w:ilvl w:val="1"/>
          <w:numId w:val="2"/>
        </w:numPr>
        <w:spacing w:before="0" w:after="0" w:line="288" w:lineRule="auto"/>
        <w:rPr>
          <w:rFonts w:cs="Times New Roman"/>
          <w:color w:val="000000"/>
        </w:rPr>
      </w:pPr>
      <w:bookmarkStart w:id="1" w:name="_Hlk213666227"/>
      <w:r w:rsidRPr="00D32514">
        <w:t xml:space="preserve">The NIHRC is also required, under section 78A(1), to monitor the implementation </w:t>
      </w:r>
      <w:bookmarkEnd w:id="1"/>
      <w:r>
        <w:t xml:space="preserve">of </w:t>
      </w:r>
      <w:r w:rsidR="00772E4C" w:rsidRPr="008C7E86">
        <w:t>the UK Government commitment under Article 2(1) of the Windsor Framework to ensure there is no diminution of rights, safeguards and equality of opportunity contained in the relevant chapter of the Belfast (Good Friday) Agreement 1998 as a result of the UK’s withdrawal from the EU.</w:t>
      </w:r>
      <w:r w:rsidRPr="00D32514">
        <w:rPr>
          <w:rStyle w:val="FootnoteReference"/>
        </w:rPr>
        <w:footnoteReference w:id="1"/>
      </w:r>
      <w:r w:rsidR="00772E4C" w:rsidRPr="008C7E86">
        <w:t xml:space="preserve"> </w:t>
      </w:r>
      <w:r w:rsidR="00156471" w:rsidRPr="006143F0">
        <w:t xml:space="preserve">In addition, </w:t>
      </w:r>
      <w:r w:rsidR="006143F0" w:rsidRPr="006143F0">
        <w:t xml:space="preserve">Articles 2 and 13 of the Windsor Framework require NI law to dynamically align with any improvements to </w:t>
      </w:r>
      <w:r w:rsidR="006143F0">
        <w:t xml:space="preserve">EU </w:t>
      </w:r>
      <w:r w:rsidR="006143F0" w:rsidRPr="006143F0">
        <w:t xml:space="preserve">minimum standards of equality protection enshrined in </w:t>
      </w:r>
      <w:r w:rsidR="00156471" w:rsidRPr="006143F0">
        <w:t>the six equality directives listed in Annex 1</w:t>
      </w:r>
      <w:r w:rsidR="00156471" w:rsidRPr="006143F0">
        <w:rPr>
          <w:vertAlign w:val="superscript"/>
        </w:rPr>
        <w:footnoteReference w:id="2"/>
      </w:r>
      <w:r w:rsidR="00156471" w:rsidRPr="006143F0">
        <w:t xml:space="preserve"> after 1 January 2021.</w:t>
      </w:r>
      <w:r w:rsidR="00156471" w:rsidRPr="006143F0">
        <w:rPr>
          <w:vertAlign w:val="superscript"/>
        </w:rPr>
        <w:footnoteReference w:id="3"/>
      </w:r>
    </w:p>
    <w:p w14:paraId="1B192DBB" w14:textId="77777777" w:rsidR="00156471" w:rsidRPr="008C7E86" w:rsidRDefault="00156471" w:rsidP="000C64B7">
      <w:pPr>
        <w:spacing w:after="0" w:line="288" w:lineRule="auto"/>
        <w:ind w:left="720"/>
      </w:pPr>
    </w:p>
    <w:p w14:paraId="230911B5" w14:textId="77777777" w:rsidR="00752D1C" w:rsidRPr="00752D1C" w:rsidRDefault="00833297" w:rsidP="00752D1C">
      <w:pPr>
        <w:pStyle w:val="ListParagraph"/>
        <w:numPr>
          <w:ilvl w:val="1"/>
          <w:numId w:val="2"/>
        </w:numPr>
        <w:spacing w:before="0" w:after="0" w:line="288" w:lineRule="auto"/>
        <w:rPr>
          <w:rFonts w:cs="Times New Roman"/>
          <w:color w:val="000000"/>
        </w:rPr>
      </w:pPr>
      <w:r w:rsidRPr="008C7E86">
        <w:t xml:space="preserve">Following the publication of the UK </w:t>
      </w:r>
      <w:r w:rsidRPr="008C7E86">
        <w:rPr>
          <w:rFonts w:cs="Times New Roman"/>
          <w:color w:val="000000"/>
        </w:rPr>
        <w:t xml:space="preserve">Government’s Mid-Term Report for the </w:t>
      </w:r>
      <w:r w:rsidR="004856F9" w:rsidRPr="008C7E86">
        <w:rPr>
          <w:rFonts w:cs="Times New Roman"/>
          <w:color w:val="000000"/>
        </w:rPr>
        <w:t>4</w:t>
      </w:r>
      <w:r w:rsidR="004856F9" w:rsidRPr="008C7E86">
        <w:rPr>
          <w:rFonts w:cs="Times New Roman"/>
          <w:color w:val="000000"/>
          <w:vertAlign w:val="superscript"/>
        </w:rPr>
        <w:t>th</w:t>
      </w:r>
      <w:r w:rsidR="004856F9" w:rsidRPr="008C7E86">
        <w:rPr>
          <w:rFonts w:cs="Times New Roman"/>
          <w:color w:val="000000"/>
        </w:rPr>
        <w:t xml:space="preserve"> cycle of the </w:t>
      </w:r>
      <w:r w:rsidRPr="008C7E86">
        <w:t>Universal Periodic Review (UPR)</w:t>
      </w:r>
      <w:r w:rsidRPr="008C7E86">
        <w:rPr>
          <w:rFonts w:cs="Times New Roman"/>
          <w:color w:val="000000"/>
        </w:rPr>
        <w:t xml:space="preserve">, this </w:t>
      </w:r>
      <w:r w:rsidRPr="008C7E86">
        <w:t xml:space="preserve">is the </w:t>
      </w:r>
      <w:r w:rsidRPr="008C7E86">
        <w:lastRenderedPageBreak/>
        <w:t xml:space="preserve">NIHRC’s independent assessment </w:t>
      </w:r>
      <w:r w:rsidR="007A1483" w:rsidRPr="008C7E86">
        <w:t>of</w:t>
      </w:r>
      <w:r w:rsidRPr="008C7E86">
        <w:t xml:space="preserve"> the UK’s progress on meeting the UPR recommendations for the UK during the 4</w:t>
      </w:r>
      <w:r w:rsidRPr="008C7E86">
        <w:rPr>
          <w:vertAlign w:val="superscript"/>
        </w:rPr>
        <w:t>th</w:t>
      </w:r>
      <w:r w:rsidRPr="008C7E86">
        <w:t xml:space="preserve"> UPR cycle. </w:t>
      </w:r>
    </w:p>
    <w:p w14:paraId="2DF90F5E" w14:textId="77777777" w:rsidR="00752D1C" w:rsidRPr="00752D1C" w:rsidRDefault="00752D1C" w:rsidP="00752D1C">
      <w:pPr>
        <w:pStyle w:val="ListParagraph"/>
        <w:numPr>
          <w:ilvl w:val="0"/>
          <w:numId w:val="0"/>
        </w:numPr>
        <w:ind w:left="720"/>
        <w:rPr>
          <w:rFonts w:cs="Times New Roman"/>
          <w:color w:val="000000"/>
        </w:rPr>
      </w:pPr>
    </w:p>
    <w:p w14:paraId="50C0ACE8" w14:textId="58CBF1D3" w:rsidR="00772E4C" w:rsidRPr="00752D1C" w:rsidRDefault="00BB67B3" w:rsidP="00752D1C">
      <w:pPr>
        <w:pStyle w:val="ListParagraph"/>
        <w:numPr>
          <w:ilvl w:val="1"/>
          <w:numId w:val="2"/>
        </w:numPr>
        <w:spacing w:before="0" w:after="0" w:line="288" w:lineRule="auto"/>
        <w:rPr>
          <w:rFonts w:cs="Times New Roman"/>
          <w:color w:val="000000"/>
        </w:rPr>
      </w:pPr>
      <w:r w:rsidRPr="00752D1C">
        <w:rPr>
          <w:rFonts w:cs="Times New Roman"/>
          <w:color w:val="000000"/>
        </w:rPr>
        <w:t>In this submission, the NIHRC wishes to focus on five key issues that are particularly urgent:</w:t>
      </w:r>
      <w:r w:rsidR="00833297" w:rsidRPr="008C7E86">
        <w:t xml:space="preserve"> </w:t>
      </w:r>
      <w:r w:rsidR="00F87223" w:rsidRPr="008C7E86">
        <w:t xml:space="preserve">(i) </w:t>
      </w:r>
      <w:r w:rsidR="001F3D82" w:rsidRPr="008C7E86">
        <w:t>c</w:t>
      </w:r>
      <w:r w:rsidR="00833297" w:rsidRPr="008C7E86">
        <w:t>ommitment to the ECHR</w:t>
      </w:r>
      <w:r w:rsidRPr="008C7E86">
        <w:t xml:space="preserve">; </w:t>
      </w:r>
      <w:r w:rsidR="00F87223" w:rsidRPr="008C7E86">
        <w:t xml:space="preserve">(ii) </w:t>
      </w:r>
      <w:r w:rsidRPr="008C7E86">
        <w:t xml:space="preserve">dealing with the </w:t>
      </w:r>
      <w:r w:rsidR="001F3D82" w:rsidRPr="008C7E86">
        <w:t xml:space="preserve">legacy of the </w:t>
      </w:r>
      <w:r w:rsidRPr="008C7E86">
        <w:t xml:space="preserve">past, </w:t>
      </w:r>
      <w:r w:rsidR="00F87223" w:rsidRPr="008C7E86">
        <w:t>(iii)</w:t>
      </w:r>
      <w:r w:rsidRPr="008C7E86">
        <w:t xml:space="preserve"> hate crime</w:t>
      </w:r>
      <w:r w:rsidR="007A1483" w:rsidRPr="008C7E86">
        <w:t xml:space="preserve">, </w:t>
      </w:r>
      <w:r w:rsidR="00F87223" w:rsidRPr="008C7E86">
        <w:t>(iv)</w:t>
      </w:r>
      <w:r w:rsidRPr="008C7E86">
        <w:t xml:space="preserve"> immigration and asylum, refugees and migrants; </w:t>
      </w:r>
      <w:r w:rsidR="007A1483" w:rsidRPr="008C7E86">
        <w:t xml:space="preserve">and </w:t>
      </w:r>
      <w:r w:rsidR="00F87223" w:rsidRPr="008C7E86">
        <w:t xml:space="preserve">(v) </w:t>
      </w:r>
      <w:r w:rsidRPr="008C7E86">
        <w:t xml:space="preserve">anti-poverty strategy. The NIHRC monitors the full range of human rights issues in </w:t>
      </w:r>
      <w:r w:rsidR="00F643E4">
        <w:t>NI</w:t>
      </w:r>
      <w:r w:rsidRPr="008C7E86">
        <w:t xml:space="preserve"> through its Annual Statement.</w:t>
      </w:r>
      <w:r w:rsidRPr="008C7E86">
        <w:rPr>
          <w:rStyle w:val="FootnoteReference"/>
        </w:rPr>
        <w:footnoteReference w:id="4"/>
      </w:r>
      <w:r w:rsidRPr="008C7E86">
        <w:t xml:space="preserve"> </w:t>
      </w:r>
    </w:p>
    <w:p w14:paraId="7F20BDDE" w14:textId="77777777" w:rsidR="00156471" w:rsidRPr="008C7E86" w:rsidRDefault="00156471" w:rsidP="000C64B7">
      <w:pPr>
        <w:spacing w:after="0" w:line="288" w:lineRule="auto"/>
        <w:ind w:left="720"/>
      </w:pPr>
    </w:p>
    <w:p w14:paraId="27FC41D0" w14:textId="187ACE3D" w:rsidR="003E0C59" w:rsidRPr="003E0C59" w:rsidRDefault="00772E4C" w:rsidP="000C64B7">
      <w:pPr>
        <w:pStyle w:val="Heading1"/>
        <w:numPr>
          <w:ilvl w:val="0"/>
          <w:numId w:val="1"/>
        </w:numPr>
        <w:spacing w:before="160" w:line="288" w:lineRule="auto"/>
        <w:ind w:left="720" w:hanging="720"/>
        <w:rPr>
          <w:rFonts w:ascii="Verdana" w:hAnsi="Verdana"/>
          <w:b/>
          <w:bCs/>
          <w:color w:val="77328A"/>
          <w:sz w:val="28"/>
          <w:szCs w:val="28"/>
        </w:rPr>
      </w:pPr>
      <w:bookmarkStart w:id="2" w:name="_Toc215744941"/>
      <w:r w:rsidRPr="008C7E86">
        <w:rPr>
          <w:rFonts w:ascii="Verdana" w:hAnsi="Verdana"/>
          <w:b/>
          <w:bCs/>
          <w:color w:val="77328A"/>
          <w:sz w:val="28"/>
          <w:szCs w:val="28"/>
        </w:rPr>
        <w:t xml:space="preserve">Constitutional framework (Commitment to </w:t>
      </w:r>
      <w:r w:rsidR="00D92285" w:rsidRPr="008C7E86">
        <w:rPr>
          <w:rFonts w:ascii="Verdana" w:hAnsi="Verdana"/>
          <w:b/>
          <w:bCs/>
          <w:color w:val="77328A"/>
          <w:sz w:val="28"/>
          <w:szCs w:val="28"/>
        </w:rPr>
        <w:t xml:space="preserve">the </w:t>
      </w:r>
      <w:r w:rsidRPr="008C7E86">
        <w:rPr>
          <w:rFonts w:ascii="Verdana" w:hAnsi="Verdana"/>
          <w:b/>
          <w:bCs/>
          <w:color w:val="77328A"/>
          <w:sz w:val="28"/>
          <w:szCs w:val="28"/>
        </w:rPr>
        <w:t>ECHR)</w:t>
      </w:r>
      <w:bookmarkEnd w:id="2"/>
      <w:r w:rsidRPr="008C7E86">
        <w:rPr>
          <w:rFonts w:ascii="Verdana" w:hAnsi="Verdana"/>
          <w:b/>
          <w:bCs/>
          <w:color w:val="77328A"/>
          <w:sz w:val="28"/>
          <w:szCs w:val="28"/>
        </w:rPr>
        <w:t xml:space="preserve"> </w:t>
      </w:r>
    </w:p>
    <w:p w14:paraId="0030B732" w14:textId="77777777" w:rsidR="003E0C59" w:rsidRDefault="003E0C59" w:rsidP="00673273">
      <w:pPr>
        <w:spacing w:after="0" w:line="288" w:lineRule="auto"/>
        <w:ind w:left="720"/>
        <w:rPr>
          <w:rFonts w:ascii="Verdana" w:hAnsi="Verdana"/>
          <w:bCs/>
        </w:rPr>
      </w:pPr>
    </w:p>
    <w:p w14:paraId="633C26DE" w14:textId="09B50295" w:rsidR="00772E4C" w:rsidRDefault="00772E4C" w:rsidP="409BA1CF">
      <w:pPr>
        <w:numPr>
          <w:ilvl w:val="1"/>
          <w:numId w:val="1"/>
        </w:numPr>
        <w:spacing w:after="0" w:line="288" w:lineRule="auto"/>
        <w:rPr>
          <w:rFonts w:ascii="Verdana" w:hAnsi="Verdana"/>
        </w:rPr>
      </w:pPr>
      <w:r w:rsidRPr="409BA1CF">
        <w:rPr>
          <w:rFonts w:ascii="Verdana" w:hAnsi="Verdana"/>
        </w:rPr>
        <w:t>4</w:t>
      </w:r>
      <w:r w:rsidRPr="409BA1CF">
        <w:rPr>
          <w:rFonts w:ascii="Verdana" w:hAnsi="Verdana"/>
          <w:vertAlign w:val="superscript"/>
        </w:rPr>
        <w:t>th</w:t>
      </w:r>
      <w:r w:rsidRPr="409BA1CF">
        <w:rPr>
          <w:rFonts w:ascii="Verdana" w:hAnsi="Verdana"/>
        </w:rPr>
        <w:t xml:space="preserve"> cycle recommendations: 43.19; 43.20; 43.21; 43.23; 43.24; 43.25; 43.29; 43.30; 43.31; 43.32; 43.34; 43.40; 43.42; 43.43; 43.44; 43.45; 43.46; 43.48; 43.49; 43.50; 43.114</w:t>
      </w:r>
      <w:r w:rsidR="02B3CA14" w:rsidRPr="409BA1CF">
        <w:rPr>
          <w:rFonts w:ascii="Verdana" w:hAnsi="Verdana"/>
        </w:rPr>
        <w:t>.</w:t>
      </w:r>
    </w:p>
    <w:p w14:paraId="701D6AFC" w14:textId="77777777" w:rsidR="003E0C59" w:rsidRPr="008C7E86" w:rsidRDefault="003E0C59" w:rsidP="00673273">
      <w:pPr>
        <w:spacing w:after="0" w:line="288" w:lineRule="auto"/>
        <w:ind w:left="720"/>
        <w:rPr>
          <w:rFonts w:ascii="Verdana" w:hAnsi="Verdana"/>
          <w:bCs/>
        </w:rPr>
      </w:pPr>
    </w:p>
    <w:p w14:paraId="15AC0391" w14:textId="55669A39" w:rsidR="00772E4C" w:rsidRPr="008C7E86" w:rsidRDefault="3AC103D1" w:rsidP="003E0C59">
      <w:pPr>
        <w:numPr>
          <w:ilvl w:val="1"/>
          <w:numId w:val="1"/>
        </w:numPr>
        <w:spacing w:after="0" w:line="288" w:lineRule="auto"/>
        <w:rPr>
          <w:rFonts w:ascii="Verdana" w:hAnsi="Verdana"/>
        </w:rPr>
      </w:pPr>
      <w:r w:rsidRPr="4F1A34F7">
        <w:rPr>
          <w:rFonts w:ascii="Verdana" w:hAnsi="Verdana"/>
        </w:rPr>
        <w:t>Between 2019 and 2025, several human rights bodies recommended that the UK Government should ensure that there is no regression of human rights in any potential reform of the Human Rights Act 1998.</w:t>
      </w:r>
      <w:r w:rsidR="00772E4C" w:rsidRPr="4F1A34F7">
        <w:rPr>
          <w:rFonts w:ascii="Verdana" w:hAnsi="Verdana"/>
          <w:vertAlign w:val="superscript"/>
        </w:rPr>
        <w:footnoteReference w:id="5"/>
      </w:r>
      <w:r w:rsidRPr="4F1A34F7">
        <w:rPr>
          <w:rFonts w:ascii="Verdana" w:hAnsi="Verdana"/>
        </w:rPr>
        <w:t xml:space="preserve"> </w:t>
      </w:r>
      <w:r w:rsidR="1191B4E0" w:rsidRPr="296298D9">
        <w:rPr>
          <w:rFonts w:ascii="Verdana" w:hAnsi="Verdana"/>
        </w:rPr>
        <w:t xml:space="preserve">Specific to NI, the UK Government committed, through the Belfast (Good Friday) Agreement, to the full incorporation of ECHR rights, including direct access to courts. </w:t>
      </w:r>
      <w:r w:rsidR="1194EA66" w:rsidRPr="296298D9">
        <w:rPr>
          <w:rFonts w:ascii="Verdana" w:hAnsi="Verdana"/>
        </w:rPr>
        <w:t xml:space="preserve">The </w:t>
      </w:r>
      <w:r w:rsidR="1194EA66" w:rsidRPr="296298D9">
        <w:rPr>
          <w:rFonts w:ascii="Verdana" w:hAnsi="Verdana" w:cs="Calibri"/>
        </w:rPr>
        <w:t xml:space="preserve">NI Court of Appeal found that the </w:t>
      </w:r>
      <w:r w:rsidR="1194EA66" w:rsidRPr="296298D9">
        <w:rPr>
          <w:rFonts w:ascii="Verdana" w:hAnsi="Verdana"/>
        </w:rPr>
        <w:t>Rights, Safeguards and Equality of Opportunity</w:t>
      </w:r>
      <w:r w:rsidR="1194EA66" w:rsidRPr="296298D9">
        <w:rPr>
          <w:rFonts w:ascii="Verdana" w:hAnsi="Verdana" w:cs="Calibri"/>
        </w:rPr>
        <w:t xml:space="preserve"> chapter of the Belfast (Good Friday) Agreement consists of a ‘broad suite of rights’.</w:t>
      </w:r>
      <w:r w:rsidR="003E0C59" w:rsidRPr="003E0C59">
        <w:rPr>
          <w:rStyle w:val="FootnoteReference"/>
          <w:rFonts w:ascii="Verdana" w:hAnsi="Verdana" w:cs="Calibri"/>
          <w:szCs w:val="28"/>
        </w:rPr>
        <w:footnoteReference w:id="6"/>
      </w:r>
      <w:r w:rsidR="1194EA66" w:rsidRPr="296298D9">
        <w:rPr>
          <w:rFonts w:ascii="Verdana" w:hAnsi="Verdana" w:cs="Calibri"/>
        </w:rPr>
        <w:t xml:space="preserve"> </w:t>
      </w:r>
      <w:r w:rsidRPr="4F1A34F7">
        <w:rPr>
          <w:rFonts w:ascii="Verdana" w:hAnsi="Verdana"/>
        </w:rPr>
        <w:t xml:space="preserve">Under Windsor Framework Article 2, there can be no diminution of </w:t>
      </w:r>
      <w:r w:rsidR="002D066C">
        <w:rPr>
          <w:rFonts w:ascii="Verdana" w:hAnsi="Verdana"/>
        </w:rPr>
        <w:t>the</w:t>
      </w:r>
      <w:r w:rsidRPr="4F1A34F7">
        <w:rPr>
          <w:rFonts w:ascii="Verdana" w:hAnsi="Verdana"/>
        </w:rPr>
        <w:t xml:space="preserve"> rights </w:t>
      </w:r>
      <w:r w:rsidR="002D066C">
        <w:rPr>
          <w:rFonts w:ascii="Verdana" w:hAnsi="Verdana"/>
        </w:rPr>
        <w:t xml:space="preserve">and safeguards in that chapter, </w:t>
      </w:r>
      <w:r w:rsidRPr="4F1A34F7">
        <w:rPr>
          <w:rFonts w:ascii="Verdana" w:hAnsi="Verdana"/>
        </w:rPr>
        <w:t>which were underpinned by EU law prior to 1 January 2021.</w:t>
      </w:r>
      <w:r w:rsidR="002D066C">
        <w:rPr>
          <w:rFonts w:ascii="Verdana" w:hAnsi="Verdana"/>
        </w:rPr>
        <w:t xml:space="preserve"> These include ECHR rights.</w:t>
      </w:r>
      <w:r w:rsidR="00772E4C" w:rsidRPr="4F1A34F7">
        <w:rPr>
          <w:rFonts w:ascii="Verdana" w:hAnsi="Verdana"/>
          <w:vertAlign w:val="superscript"/>
        </w:rPr>
        <w:footnoteReference w:id="7"/>
      </w:r>
      <w:r w:rsidRPr="4F1A34F7">
        <w:rPr>
          <w:rFonts w:ascii="Verdana" w:hAnsi="Verdana"/>
        </w:rPr>
        <w:t xml:space="preserve"> The </w:t>
      </w:r>
      <w:r w:rsidR="1FD86D84" w:rsidRPr="4F1A34F7">
        <w:rPr>
          <w:rFonts w:ascii="Verdana" w:hAnsi="Verdana"/>
        </w:rPr>
        <w:t>NIHRC</w:t>
      </w:r>
      <w:r w:rsidR="00673273">
        <w:rPr>
          <w:rFonts w:ascii="Verdana" w:hAnsi="Verdana"/>
        </w:rPr>
        <w:t xml:space="preserve"> </w:t>
      </w:r>
      <w:r w:rsidRPr="4F1A34F7">
        <w:rPr>
          <w:rFonts w:ascii="Verdana" w:hAnsi="Verdana"/>
        </w:rPr>
        <w:t xml:space="preserve">has advised the UK </w:t>
      </w:r>
      <w:r w:rsidRPr="4F1A34F7">
        <w:rPr>
          <w:rFonts w:ascii="Verdana" w:hAnsi="Verdana"/>
        </w:rPr>
        <w:lastRenderedPageBreak/>
        <w:t xml:space="preserve">Government that, where required by Windsor Framework Article 2, the EU Charter of Fundamental Rights continues to have relevance in </w:t>
      </w:r>
      <w:r w:rsidR="1194EA66" w:rsidRPr="296298D9">
        <w:rPr>
          <w:rFonts w:ascii="Verdana" w:hAnsi="Verdana"/>
        </w:rPr>
        <w:t>NI</w:t>
      </w:r>
      <w:r w:rsidRPr="4F1A34F7">
        <w:rPr>
          <w:rFonts w:ascii="Verdana" w:hAnsi="Verdana"/>
        </w:rPr>
        <w:t xml:space="preserve"> and highlighted that the link between rights in the EU Charter and the ECHR is well established.</w:t>
      </w:r>
      <w:r w:rsidR="00772E4C" w:rsidRPr="4F1A34F7">
        <w:rPr>
          <w:rFonts w:ascii="Verdana" w:hAnsi="Verdana"/>
          <w:vertAlign w:val="superscript"/>
        </w:rPr>
        <w:footnoteReference w:id="8"/>
      </w:r>
      <w:r w:rsidRPr="4F1A34F7">
        <w:rPr>
          <w:rFonts w:ascii="Verdana" w:hAnsi="Verdana"/>
        </w:rPr>
        <w:t xml:space="preserve"> </w:t>
      </w:r>
      <w:r w:rsidR="1191B4E0" w:rsidRPr="296298D9">
        <w:rPr>
          <w:rFonts w:ascii="Verdana" w:hAnsi="Verdana"/>
        </w:rPr>
        <w:t xml:space="preserve">The NIHRC continues to advise that </w:t>
      </w:r>
      <w:r w:rsidRPr="4F1A34F7">
        <w:rPr>
          <w:rFonts w:ascii="Verdana" w:hAnsi="Verdana"/>
        </w:rPr>
        <w:t>the protections in Windsor Framework Article 2</w:t>
      </w:r>
      <w:r w:rsidR="1191B4E0" w:rsidRPr="296298D9">
        <w:rPr>
          <w:rFonts w:ascii="Verdana" w:hAnsi="Verdana"/>
        </w:rPr>
        <w:t xml:space="preserve">, while </w:t>
      </w:r>
      <w:r w:rsidRPr="4F1A34F7">
        <w:rPr>
          <w:rFonts w:ascii="Verdana" w:hAnsi="Verdana"/>
        </w:rPr>
        <w:t>an important safeguard against the diminution of rights following the UK's withdrawal from the EU, are not a substitute for the comprehensive framework of human rights protections under the Human Rights Act 1998.</w:t>
      </w:r>
    </w:p>
    <w:p w14:paraId="59678D70" w14:textId="35B0A46A" w:rsidR="4F1A34F7" w:rsidRDefault="4F1A34F7" w:rsidP="003E0C59">
      <w:pPr>
        <w:spacing w:after="0" w:line="288" w:lineRule="auto"/>
        <w:rPr>
          <w:rFonts w:ascii="Verdana" w:hAnsi="Verdana"/>
        </w:rPr>
      </w:pPr>
    </w:p>
    <w:p w14:paraId="0311A141" w14:textId="0922CB5E" w:rsidR="00772E4C" w:rsidRPr="008C7E86" w:rsidRDefault="00772E4C" w:rsidP="003E0C59">
      <w:pPr>
        <w:numPr>
          <w:ilvl w:val="1"/>
          <w:numId w:val="1"/>
        </w:numPr>
        <w:spacing w:after="0" w:line="288" w:lineRule="auto"/>
        <w:rPr>
          <w:rFonts w:ascii="Verdana" w:hAnsi="Verdana"/>
        </w:rPr>
      </w:pPr>
      <w:r w:rsidRPr="4F1A34F7">
        <w:rPr>
          <w:rFonts w:ascii="Verdana" w:hAnsi="Verdana"/>
        </w:rPr>
        <w:t xml:space="preserve">The NIHRC welcomes the UK Government's change in position in its </w:t>
      </w:r>
      <w:r w:rsidR="003922CE" w:rsidRPr="4F1A34F7">
        <w:rPr>
          <w:rFonts w:ascii="Verdana" w:hAnsi="Verdana"/>
        </w:rPr>
        <w:t xml:space="preserve">Response </w:t>
      </w:r>
      <w:r w:rsidRPr="4F1A34F7">
        <w:rPr>
          <w:rFonts w:ascii="Verdana" w:hAnsi="Verdana"/>
        </w:rPr>
        <w:t xml:space="preserve">Mid-Term Report </w:t>
      </w:r>
      <w:r w:rsidR="003922CE" w:rsidRPr="4F1A34F7">
        <w:rPr>
          <w:rFonts w:ascii="Verdana" w:hAnsi="Verdana"/>
        </w:rPr>
        <w:t>2025</w:t>
      </w:r>
      <w:r w:rsidR="00F157D3" w:rsidRPr="4F1A34F7">
        <w:rPr>
          <w:rFonts w:ascii="Verdana" w:hAnsi="Verdana"/>
        </w:rPr>
        <w:t xml:space="preserve"> (‘Mid-Term Report’)</w:t>
      </w:r>
      <w:r w:rsidRPr="4F1A34F7">
        <w:rPr>
          <w:rFonts w:ascii="Verdana" w:hAnsi="Verdana"/>
        </w:rPr>
        <w:t xml:space="preserve"> to not proceed with a UK Bill of Rights and maintain the Human Rights Act 1998 as an important part of the UK legal system</w:t>
      </w:r>
      <w:r w:rsidR="00674568">
        <w:rPr>
          <w:rFonts w:ascii="Verdana" w:hAnsi="Verdana"/>
        </w:rPr>
        <w:t>.</w:t>
      </w:r>
      <w:r w:rsidRPr="4F1A34F7">
        <w:rPr>
          <w:rFonts w:ascii="Verdana" w:hAnsi="Verdana"/>
          <w:vertAlign w:val="superscript"/>
        </w:rPr>
        <w:footnoteReference w:id="9"/>
      </w:r>
      <w:r w:rsidRPr="4F1A34F7">
        <w:rPr>
          <w:rFonts w:ascii="Verdana" w:hAnsi="Verdana"/>
        </w:rPr>
        <w:t xml:space="preserve"> The NIHRC welcomes the UK Government's declaration that the “United Kingdom is unequivocally committed to the European Convention on Human Rights”,</w:t>
      </w:r>
      <w:r w:rsidRPr="4F1A34F7">
        <w:rPr>
          <w:rFonts w:ascii="Verdana" w:hAnsi="Verdana"/>
          <w:vertAlign w:val="superscript"/>
        </w:rPr>
        <w:footnoteReference w:id="10"/>
      </w:r>
      <w:r w:rsidRPr="4F1A34F7">
        <w:rPr>
          <w:rFonts w:ascii="Verdana" w:hAnsi="Verdana"/>
        </w:rPr>
        <w:t xml:space="preserve"> and that “The UK Government is committed to the Good Friday Agreement”.</w:t>
      </w:r>
      <w:r w:rsidRPr="4F1A34F7">
        <w:rPr>
          <w:rFonts w:ascii="Verdana" w:hAnsi="Verdana"/>
          <w:vertAlign w:val="superscript"/>
        </w:rPr>
        <w:footnoteReference w:id="11"/>
      </w:r>
    </w:p>
    <w:p w14:paraId="14467884" w14:textId="33A9755C" w:rsidR="4F1A34F7" w:rsidRDefault="4F1A34F7" w:rsidP="003E0C59">
      <w:pPr>
        <w:spacing w:after="0" w:line="288" w:lineRule="auto"/>
        <w:ind w:left="720"/>
        <w:rPr>
          <w:rFonts w:ascii="Verdana" w:hAnsi="Verdana"/>
        </w:rPr>
      </w:pPr>
    </w:p>
    <w:p w14:paraId="5663EA57" w14:textId="0EAA939D" w:rsidR="00772E4C" w:rsidRPr="008C7E86" w:rsidRDefault="00772E4C" w:rsidP="003E0C59">
      <w:pPr>
        <w:numPr>
          <w:ilvl w:val="1"/>
          <w:numId w:val="1"/>
        </w:numPr>
        <w:spacing w:after="0" w:line="288" w:lineRule="auto"/>
      </w:pPr>
      <w:r w:rsidRPr="008C7E86">
        <w:rPr>
          <w:rFonts w:ascii="Verdana" w:hAnsi="Verdana"/>
        </w:rPr>
        <w:t xml:space="preserve">However, the NIHRC is concerned about a recent shift in the new UK Government’s publicly stated positions on upholding the provisions of the European Convention on Human Rights (ECHR) and Human Rights Act 1998. For example, </w:t>
      </w:r>
      <w:r w:rsidR="00E968B2" w:rsidRPr="008C7E86">
        <w:rPr>
          <w:rFonts w:ascii="Verdana" w:hAnsi="Verdana"/>
        </w:rPr>
        <w:t>when speaking to the Co</w:t>
      </w:r>
      <w:r w:rsidR="00883017" w:rsidRPr="008C7E86">
        <w:rPr>
          <w:rFonts w:ascii="Verdana" w:hAnsi="Verdana"/>
        </w:rPr>
        <w:t xml:space="preserve">uncil of </w:t>
      </w:r>
      <w:r w:rsidR="00E968B2" w:rsidRPr="008C7E86">
        <w:rPr>
          <w:rFonts w:ascii="Verdana" w:hAnsi="Verdana"/>
        </w:rPr>
        <w:t>E</w:t>
      </w:r>
      <w:r w:rsidR="00883017" w:rsidRPr="008C7E86">
        <w:rPr>
          <w:rFonts w:ascii="Verdana" w:hAnsi="Verdana"/>
        </w:rPr>
        <w:t>urope (CoE)</w:t>
      </w:r>
      <w:r w:rsidR="00E968B2" w:rsidRPr="008C7E86">
        <w:rPr>
          <w:rFonts w:ascii="Verdana" w:hAnsi="Verdana"/>
        </w:rPr>
        <w:t xml:space="preserve">, </w:t>
      </w:r>
      <w:r w:rsidRPr="008C7E86">
        <w:rPr>
          <w:rFonts w:ascii="Verdana" w:hAnsi="Verdana"/>
        </w:rPr>
        <w:t>the Lord Chancellor, Shabana Mahmood MP, focused on the need to reform the ECHR.</w:t>
      </w:r>
      <w:r w:rsidRPr="008C7E86">
        <w:rPr>
          <w:rFonts w:ascii="Verdana" w:hAnsi="Verdana"/>
          <w:vertAlign w:val="superscript"/>
        </w:rPr>
        <w:footnoteReference w:id="12"/>
      </w:r>
      <w:r w:rsidRPr="008C7E86">
        <w:rPr>
          <w:rFonts w:ascii="Verdana" w:hAnsi="Verdana"/>
        </w:rPr>
        <w:t xml:space="preserve"> The UK Government was also actively exploring options for reform to the Human Rights Act 1998 to address immigration concerns, with a focus on limiting the application of Articles 3 and 8 of the ECHR.</w:t>
      </w:r>
      <w:r w:rsidRPr="008C7E86">
        <w:rPr>
          <w:rFonts w:ascii="Verdana" w:hAnsi="Verdana"/>
          <w:vertAlign w:val="superscript"/>
        </w:rPr>
        <w:footnoteReference w:id="13"/>
      </w:r>
      <w:r w:rsidRPr="008C7E86">
        <w:rPr>
          <w:rFonts w:ascii="Verdana" w:hAnsi="Verdana"/>
        </w:rPr>
        <w:t xml:space="preserve"> It has also been reported that the UK Government supports reforming the ECHR to </w:t>
      </w:r>
      <w:r w:rsidRPr="008C7E86">
        <w:rPr>
          <w:rFonts w:ascii="Verdana" w:hAnsi="Verdana"/>
        </w:rPr>
        <w:lastRenderedPageBreak/>
        <w:t>ease deportations.</w:t>
      </w:r>
      <w:r w:rsidRPr="008C7E86">
        <w:rPr>
          <w:rFonts w:ascii="Verdana" w:hAnsi="Verdana"/>
          <w:vertAlign w:val="superscript"/>
        </w:rPr>
        <w:footnoteReference w:id="14"/>
      </w:r>
      <w:r w:rsidRPr="008C7E86">
        <w:rPr>
          <w:rFonts w:ascii="Verdana" w:hAnsi="Verdana"/>
        </w:rPr>
        <w:t xml:space="preserve"> Additionally, there is growing pressure from political parties, such as the Conservative Party and Reform UK, to leave the ECHR.</w:t>
      </w:r>
      <w:r w:rsidRPr="008C7E86">
        <w:rPr>
          <w:rFonts w:ascii="Verdana" w:hAnsi="Verdana"/>
          <w:vertAlign w:val="superscript"/>
        </w:rPr>
        <w:footnoteReference w:id="15"/>
      </w:r>
      <w:r w:rsidRPr="008C7E86">
        <w:rPr>
          <w:rFonts w:ascii="Verdana" w:hAnsi="Verdana"/>
        </w:rPr>
        <w:t xml:space="preserve"> Several civil society organisations in </w:t>
      </w:r>
      <w:r w:rsidR="003B5730" w:rsidRPr="003B5730">
        <w:rPr>
          <w:rFonts w:ascii="Verdana" w:hAnsi="Verdana"/>
        </w:rPr>
        <w:t>NI</w:t>
      </w:r>
      <w:r w:rsidRPr="008C7E86">
        <w:rPr>
          <w:rFonts w:ascii="Verdana" w:hAnsi="Verdana"/>
        </w:rPr>
        <w:t xml:space="preserve"> have raised concerns regarding the UK leaving the ECHR.</w:t>
      </w:r>
      <w:r w:rsidRPr="008C7E86">
        <w:rPr>
          <w:rFonts w:ascii="Verdana" w:hAnsi="Verdana"/>
          <w:vertAlign w:val="superscript"/>
        </w:rPr>
        <w:footnoteReference w:id="16"/>
      </w:r>
    </w:p>
    <w:p w14:paraId="49641B5A" w14:textId="0FA5F4BD" w:rsidR="4F1A34F7" w:rsidRDefault="4F1A34F7" w:rsidP="003E0C59">
      <w:pPr>
        <w:spacing w:after="0" w:line="288" w:lineRule="auto"/>
        <w:ind w:left="720"/>
        <w:rPr>
          <w:rFonts w:ascii="Verdana" w:hAnsi="Verdana"/>
        </w:rPr>
      </w:pPr>
    </w:p>
    <w:p w14:paraId="5222007F" w14:textId="25CB28FD" w:rsidR="00772E4C" w:rsidRPr="008C7E86" w:rsidRDefault="00772E4C" w:rsidP="003E0C59">
      <w:pPr>
        <w:numPr>
          <w:ilvl w:val="1"/>
          <w:numId w:val="1"/>
        </w:numPr>
        <w:spacing w:after="0" w:line="288" w:lineRule="auto"/>
        <w:rPr>
          <w:rFonts w:ascii="Verdana" w:hAnsi="Verdana"/>
          <w:b/>
          <w:bCs/>
        </w:rPr>
      </w:pPr>
      <w:r w:rsidRPr="4F1A34F7">
        <w:rPr>
          <w:rFonts w:ascii="Verdana" w:hAnsi="Verdana"/>
          <w:b/>
          <w:bCs/>
        </w:rPr>
        <w:t xml:space="preserve">The NIHRC recommends that the UK Government ensure its stated commitment to the ECHR and the Human Rights Act 1998 is effectively reflected in the legal system. The UK Government should actively emphasise the importance of the ECHR and the Human Rights Act 1998 to the Rule of Law in the UK, particularly in relation to the Belfast </w:t>
      </w:r>
      <w:r w:rsidR="001D2D7C">
        <w:rPr>
          <w:rFonts w:ascii="Verdana" w:hAnsi="Verdana"/>
          <w:b/>
          <w:bCs/>
        </w:rPr>
        <w:t>(</w:t>
      </w:r>
      <w:r w:rsidRPr="4F1A34F7">
        <w:rPr>
          <w:rFonts w:ascii="Verdana" w:hAnsi="Verdana"/>
          <w:b/>
          <w:bCs/>
        </w:rPr>
        <w:t>Good Friday</w:t>
      </w:r>
      <w:r w:rsidR="001D2D7C">
        <w:rPr>
          <w:rFonts w:ascii="Verdana" w:hAnsi="Verdana"/>
          <w:b/>
          <w:bCs/>
        </w:rPr>
        <w:t>)</w:t>
      </w:r>
      <w:r w:rsidRPr="4F1A34F7">
        <w:rPr>
          <w:rFonts w:ascii="Verdana" w:hAnsi="Verdana"/>
          <w:b/>
          <w:bCs/>
        </w:rPr>
        <w:t xml:space="preserve"> Agreement and the peace process in </w:t>
      </w:r>
      <w:r w:rsidR="003B5730" w:rsidRPr="003B5730">
        <w:rPr>
          <w:rFonts w:ascii="Verdana" w:hAnsi="Verdana"/>
          <w:b/>
          <w:bCs/>
        </w:rPr>
        <w:t>NI</w:t>
      </w:r>
      <w:r w:rsidRPr="4F1A34F7">
        <w:rPr>
          <w:rFonts w:ascii="Verdana" w:hAnsi="Verdana"/>
          <w:b/>
          <w:bCs/>
        </w:rPr>
        <w:t xml:space="preserve">. </w:t>
      </w:r>
    </w:p>
    <w:p w14:paraId="230D9683" w14:textId="4DA48535" w:rsidR="4F1A34F7" w:rsidRDefault="4F1A34F7" w:rsidP="4F1A34F7">
      <w:pPr>
        <w:spacing w:before="120" w:after="120"/>
        <w:ind w:left="720"/>
        <w:rPr>
          <w:rFonts w:ascii="Verdana" w:hAnsi="Verdana"/>
          <w:b/>
          <w:bCs/>
        </w:rPr>
      </w:pPr>
    </w:p>
    <w:p w14:paraId="7D79E066" w14:textId="163DD395" w:rsidR="00772E4C" w:rsidRPr="008C7E86" w:rsidRDefault="00772E4C" w:rsidP="00A41384">
      <w:pPr>
        <w:pStyle w:val="Heading1"/>
        <w:numPr>
          <w:ilvl w:val="0"/>
          <w:numId w:val="1"/>
        </w:numPr>
        <w:spacing w:before="120" w:after="120"/>
        <w:rPr>
          <w:rFonts w:ascii="Verdana" w:hAnsi="Verdana"/>
          <w:b/>
          <w:bCs/>
          <w:color w:val="77328A"/>
          <w:sz w:val="28"/>
          <w:szCs w:val="28"/>
        </w:rPr>
      </w:pPr>
      <w:bookmarkStart w:id="3" w:name="_Toc215744942"/>
      <w:r w:rsidRPr="008C7E86">
        <w:rPr>
          <w:rFonts w:ascii="Verdana" w:hAnsi="Verdana"/>
          <w:b/>
          <w:bCs/>
          <w:color w:val="77328A"/>
          <w:sz w:val="28"/>
          <w:szCs w:val="28"/>
        </w:rPr>
        <w:t>Dealing with the legacy</w:t>
      </w:r>
      <w:r w:rsidR="00C9307C" w:rsidRPr="008C7E86">
        <w:rPr>
          <w:rFonts w:ascii="Verdana" w:hAnsi="Verdana"/>
          <w:b/>
          <w:bCs/>
          <w:color w:val="77328A"/>
          <w:sz w:val="28"/>
          <w:szCs w:val="28"/>
        </w:rPr>
        <w:t xml:space="preserve"> of the</w:t>
      </w:r>
      <w:r w:rsidRPr="008C7E86">
        <w:rPr>
          <w:rFonts w:ascii="Verdana" w:hAnsi="Verdana"/>
          <w:b/>
          <w:bCs/>
          <w:color w:val="77328A"/>
          <w:sz w:val="28"/>
          <w:szCs w:val="28"/>
        </w:rPr>
        <w:t xml:space="preserve"> past</w:t>
      </w:r>
      <w:bookmarkEnd w:id="3"/>
      <w:r w:rsidRPr="008C7E86">
        <w:rPr>
          <w:rFonts w:ascii="Verdana" w:hAnsi="Verdana"/>
          <w:b/>
          <w:bCs/>
          <w:color w:val="77328A"/>
          <w:sz w:val="28"/>
          <w:szCs w:val="28"/>
        </w:rPr>
        <w:t xml:space="preserve"> </w:t>
      </w:r>
    </w:p>
    <w:p w14:paraId="3871EEF0" w14:textId="77777777" w:rsidR="00EA5FE5" w:rsidRDefault="00EA5FE5" w:rsidP="00EA5FE5">
      <w:pPr>
        <w:spacing w:after="0" w:line="288" w:lineRule="auto"/>
        <w:ind w:left="720"/>
        <w:rPr>
          <w:rFonts w:ascii="Verdana" w:hAnsi="Verdana"/>
        </w:rPr>
      </w:pPr>
    </w:p>
    <w:p w14:paraId="461BDC89" w14:textId="52CA5D81" w:rsidR="00772E4C" w:rsidRPr="008C7E86" w:rsidRDefault="00772E4C" w:rsidP="00D976F2">
      <w:pPr>
        <w:numPr>
          <w:ilvl w:val="1"/>
          <w:numId w:val="1"/>
        </w:numPr>
        <w:spacing w:after="0" w:line="288" w:lineRule="auto"/>
        <w:rPr>
          <w:rFonts w:ascii="Verdana" w:hAnsi="Verdana"/>
        </w:rPr>
      </w:pPr>
      <w:r w:rsidRPr="409BA1CF">
        <w:rPr>
          <w:rFonts w:ascii="Verdana" w:hAnsi="Verdana"/>
        </w:rPr>
        <w:t>4</w:t>
      </w:r>
      <w:r w:rsidRPr="409BA1CF">
        <w:rPr>
          <w:rFonts w:ascii="Verdana" w:hAnsi="Verdana"/>
          <w:vertAlign w:val="superscript"/>
        </w:rPr>
        <w:t>th</w:t>
      </w:r>
      <w:r w:rsidRPr="409BA1CF">
        <w:rPr>
          <w:rFonts w:ascii="Verdana" w:hAnsi="Verdana"/>
        </w:rPr>
        <w:t xml:space="preserve"> cycle recommendations: 43.27; 43.106; 43.107; 43.108; 43.112</w:t>
      </w:r>
      <w:r w:rsidR="423BF56D" w:rsidRPr="409BA1CF">
        <w:rPr>
          <w:rFonts w:ascii="Verdana" w:hAnsi="Verdana"/>
        </w:rPr>
        <w:t>.</w:t>
      </w:r>
    </w:p>
    <w:p w14:paraId="157B0778" w14:textId="11AB9307" w:rsidR="4F1A34F7" w:rsidRDefault="4F1A34F7" w:rsidP="00D976F2">
      <w:pPr>
        <w:spacing w:after="0" w:line="288" w:lineRule="auto"/>
        <w:rPr>
          <w:rFonts w:ascii="Verdana" w:hAnsi="Verdana"/>
        </w:rPr>
      </w:pPr>
    </w:p>
    <w:p w14:paraId="0FCE85B2" w14:textId="085F4788" w:rsidR="00E91DF8" w:rsidRPr="008C7E86" w:rsidRDefault="00F07587" w:rsidP="00D976F2">
      <w:pPr>
        <w:numPr>
          <w:ilvl w:val="1"/>
          <w:numId w:val="1"/>
        </w:numPr>
        <w:spacing w:after="0" w:line="288" w:lineRule="auto"/>
        <w:rPr>
          <w:rFonts w:ascii="Verdana" w:hAnsi="Verdana"/>
          <w:i/>
          <w:iCs/>
        </w:rPr>
      </w:pPr>
      <w:r w:rsidRPr="5DD2F4C6">
        <w:rPr>
          <w:rFonts w:ascii="Verdana" w:hAnsi="Verdana"/>
        </w:rPr>
        <w:t>Between 202</w:t>
      </w:r>
      <w:r w:rsidR="001B7E8F" w:rsidRPr="5DD2F4C6">
        <w:rPr>
          <w:rFonts w:ascii="Verdana" w:hAnsi="Verdana"/>
        </w:rPr>
        <w:t>1</w:t>
      </w:r>
      <w:r w:rsidRPr="5DD2F4C6">
        <w:rPr>
          <w:rFonts w:ascii="Verdana" w:hAnsi="Verdana"/>
        </w:rPr>
        <w:t xml:space="preserve"> and 2025, several human rights bodies recommended that the UK Government </w:t>
      </w:r>
      <w:r w:rsidR="009C3892" w:rsidRPr="5DD2F4C6">
        <w:rPr>
          <w:rFonts w:ascii="Verdana" w:hAnsi="Verdana"/>
        </w:rPr>
        <w:t>repeal and replace the Northern Ireland Troubles (Legacy and Reconciliation) Act 2023</w:t>
      </w:r>
      <w:r w:rsidR="00B87F2C" w:rsidRPr="5DD2F4C6">
        <w:rPr>
          <w:rFonts w:ascii="Verdana" w:hAnsi="Verdana"/>
        </w:rPr>
        <w:t xml:space="preserve">. They emphasised the need for a human rights-compliant mechanism to address the legacy of the past in </w:t>
      </w:r>
      <w:r w:rsidR="003B5730" w:rsidRPr="003B5730">
        <w:rPr>
          <w:rFonts w:ascii="Verdana" w:hAnsi="Verdana"/>
        </w:rPr>
        <w:t>NI</w:t>
      </w:r>
      <w:r w:rsidR="00B87F2C" w:rsidRPr="5DD2F4C6">
        <w:rPr>
          <w:rFonts w:ascii="Verdana" w:hAnsi="Verdana"/>
        </w:rPr>
        <w:t>. This mechanism should guarantee independence, transparency, and genuine investigative power to deliver truth, justice, and effective remedies, including reparations for victims</w:t>
      </w:r>
      <w:r w:rsidRPr="5DD2F4C6">
        <w:rPr>
          <w:rFonts w:ascii="Verdana" w:hAnsi="Verdana"/>
        </w:rPr>
        <w:t>.</w:t>
      </w:r>
      <w:r w:rsidR="009C3892" w:rsidRPr="5DD2F4C6">
        <w:rPr>
          <w:rStyle w:val="FootnoteReference"/>
          <w:rFonts w:ascii="Verdana" w:hAnsi="Verdana"/>
        </w:rPr>
        <w:footnoteReference w:id="17"/>
      </w:r>
      <w:r w:rsidR="009C3892" w:rsidRPr="5DD2F4C6">
        <w:rPr>
          <w:rFonts w:ascii="Verdana" w:hAnsi="Verdana"/>
        </w:rPr>
        <w:t xml:space="preserve"> </w:t>
      </w:r>
    </w:p>
    <w:p w14:paraId="02A6E01E" w14:textId="72097625" w:rsidR="5DD2F4C6" w:rsidRDefault="5DD2F4C6" w:rsidP="00D976F2">
      <w:pPr>
        <w:spacing w:after="0" w:line="288" w:lineRule="auto"/>
        <w:ind w:left="720"/>
        <w:rPr>
          <w:rFonts w:ascii="Verdana" w:hAnsi="Verdana"/>
          <w:i/>
          <w:iCs/>
        </w:rPr>
      </w:pPr>
    </w:p>
    <w:p w14:paraId="226E548B" w14:textId="103C4AAE" w:rsidR="00040FCA" w:rsidRDefault="00772E4C" w:rsidP="00D976F2">
      <w:pPr>
        <w:numPr>
          <w:ilvl w:val="1"/>
          <w:numId w:val="1"/>
        </w:numPr>
        <w:spacing w:after="0" w:line="288" w:lineRule="auto"/>
        <w:rPr>
          <w:rFonts w:ascii="Verdana" w:hAnsi="Verdana"/>
        </w:rPr>
      </w:pPr>
      <w:r w:rsidRPr="4F1A34F7">
        <w:rPr>
          <w:rFonts w:ascii="Verdana" w:hAnsi="Verdana"/>
        </w:rPr>
        <w:t xml:space="preserve">The NIHRC welcomes the UK Government's change in position, as </w:t>
      </w:r>
      <w:r w:rsidR="008A4FFD" w:rsidRPr="4F1A34F7">
        <w:rPr>
          <w:rFonts w:ascii="Verdana" w:hAnsi="Verdana"/>
        </w:rPr>
        <w:t>reflected</w:t>
      </w:r>
      <w:r w:rsidRPr="4F1A34F7">
        <w:rPr>
          <w:rFonts w:ascii="Verdana" w:hAnsi="Verdana"/>
        </w:rPr>
        <w:t xml:space="preserve"> in its Mid-Term Report</w:t>
      </w:r>
      <w:r w:rsidR="00A0410B" w:rsidRPr="4F1A34F7">
        <w:rPr>
          <w:rFonts w:ascii="Verdana" w:hAnsi="Verdana"/>
        </w:rPr>
        <w:t>, which</w:t>
      </w:r>
      <w:r w:rsidR="008C7859" w:rsidRPr="4F1A34F7">
        <w:rPr>
          <w:rFonts w:ascii="Verdana" w:hAnsi="Verdana"/>
        </w:rPr>
        <w:t xml:space="preserve"> includes a commitment to repeal and replace the Northern Ireland Troubles (Legacy and Reconciliation) Act 2023.</w:t>
      </w:r>
      <w:r w:rsidR="00683068" w:rsidRPr="4F1A34F7">
        <w:rPr>
          <w:rStyle w:val="FootnoteReference"/>
          <w:rFonts w:ascii="Verdana" w:hAnsi="Verdana"/>
        </w:rPr>
        <w:footnoteReference w:id="18"/>
      </w:r>
      <w:r w:rsidRPr="4F1A34F7">
        <w:rPr>
          <w:rFonts w:ascii="Verdana" w:hAnsi="Verdana"/>
        </w:rPr>
        <w:t xml:space="preserve"> Particularly welcomed is the UK Government statement that </w:t>
      </w:r>
      <w:r w:rsidR="00A820DF" w:rsidRPr="4F1A34F7">
        <w:rPr>
          <w:rFonts w:ascii="Verdana" w:hAnsi="Verdana"/>
        </w:rPr>
        <w:t xml:space="preserve">it </w:t>
      </w:r>
      <w:r w:rsidRPr="4F1A34F7">
        <w:rPr>
          <w:rFonts w:ascii="Verdana" w:hAnsi="Verdana"/>
        </w:rPr>
        <w:t>“is committed to an approach to Northern Ireland legacy issues that complies with the United Kingdom’s human rights obligations”.</w:t>
      </w:r>
      <w:r w:rsidR="00683068" w:rsidRPr="4F1A34F7">
        <w:rPr>
          <w:rStyle w:val="FootnoteReference"/>
          <w:rFonts w:ascii="Verdana" w:hAnsi="Verdana"/>
        </w:rPr>
        <w:footnoteReference w:id="19"/>
      </w:r>
    </w:p>
    <w:p w14:paraId="312BFE86" w14:textId="77777777" w:rsidR="00D976F2" w:rsidRPr="00D976F2" w:rsidRDefault="00D976F2" w:rsidP="00D976F2">
      <w:pPr>
        <w:pStyle w:val="ListParagraph"/>
        <w:numPr>
          <w:ilvl w:val="0"/>
          <w:numId w:val="0"/>
        </w:numPr>
        <w:spacing w:before="0" w:after="0"/>
        <w:ind w:left="720"/>
        <w:contextualSpacing w:val="0"/>
      </w:pPr>
    </w:p>
    <w:p w14:paraId="7DAE243F" w14:textId="5AF1AA7B" w:rsidR="00040FCA" w:rsidRPr="008C7E86" w:rsidRDefault="00B6756B" w:rsidP="00D976F2">
      <w:pPr>
        <w:numPr>
          <w:ilvl w:val="1"/>
          <w:numId w:val="1"/>
        </w:numPr>
        <w:spacing w:after="0" w:line="288" w:lineRule="auto"/>
        <w:rPr>
          <w:rFonts w:ascii="Verdana" w:hAnsi="Verdana"/>
        </w:rPr>
      </w:pPr>
      <w:r>
        <w:rPr>
          <w:rFonts w:ascii="Verdana" w:hAnsi="Verdana"/>
        </w:rPr>
        <w:t xml:space="preserve">Following legal challenges against </w:t>
      </w:r>
      <w:r w:rsidRPr="5DD2F4C6">
        <w:rPr>
          <w:rFonts w:ascii="Verdana" w:hAnsi="Verdana"/>
        </w:rPr>
        <w:t>the Northern Ireland Troubles (Legacy and Reconciliation) 2023 Act</w:t>
      </w:r>
      <w:r w:rsidR="005427E8">
        <w:rPr>
          <w:rFonts w:ascii="Verdana" w:hAnsi="Verdana"/>
        </w:rPr>
        <w:t>,</w:t>
      </w:r>
      <w:r w:rsidR="00493FDB" w:rsidRPr="001E3B91">
        <w:rPr>
          <w:rStyle w:val="FootnoteReference"/>
          <w:rFonts w:ascii="Verdana" w:hAnsi="Verdana"/>
        </w:rPr>
        <w:footnoteReference w:id="20"/>
      </w:r>
      <w:r w:rsidR="005427E8">
        <w:rPr>
          <w:rFonts w:ascii="Verdana" w:hAnsi="Verdana"/>
        </w:rPr>
        <w:t xml:space="preserve"> i</w:t>
      </w:r>
      <w:r w:rsidR="00040FCA" w:rsidRPr="5DD2F4C6">
        <w:rPr>
          <w:rFonts w:ascii="Verdana" w:hAnsi="Verdana"/>
        </w:rPr>
        <w:t xml:space="preserve">n September 2025, the UK Government and the Government of Ireland </w:t>
      </w:r>
      <w:r w:rsidR="005427E8">
        <w:rPr>
          <w:rFonts w:ascii="Verdana" w:hAnsi="Verdana"/>
        </w:rPr>
        <w:t>published</w:t>
      </w:r>
      <w:r w:rsidR="00040FCA" w:rsidRPr="5DD2F4C6">
        <w:rPr>
          <w:rFonts w:ascii="Verdana" w:hAnsi="Verdana"/>
        </w:rPr>
        <w:t xml:space="preserve"> a Joint Framework Agreement </w:t>
      </w:r>
      <w:r w:rsidR="005427E8">
        <w:rPr>
          <w:rFonts w:ascii="Verdana" w:hAnsi="Verdana"/>
        </w:rPr>
        <w:t>with</w:t>
      </w:r>
      <w:r w:rsidR="00040FCA" w:rsidRPr="5DD2F4C6">
        <w:rPr>
          <w:rFonts w:ascii="Verdana" w:hAnsi="Verdana"/>
        </w:rPr>
        <w:t xml:space="preserve"> a new package of measures addressing legacy issues.</w:t>
      </w:r>
      <w:r w:rsidR="00040FCA" w:rsidRPr="5DD2F4C6">
        <w:rPr>
          <w:rFonts w:ascii="Verdana" w:hAnsi="Verdana"/>
          <w:vertAlign w:val="superscript"/>
        </w:rPr>
        <w:footnoteReference w:id="21"/>
      </w:r>
      <w:r w:rsidR="00040FCA" w:rsidRPr="5DD2F4C6">
        <w:rPr>
          <w:rFonts w:ascii="Verdana" w:hAnsi="Verdana"/>
        </w:rPr>
        <w:t xml:space="preserve"> The NIHRC welcomed the framework, recognising that clear progress had been made.</w:t>
      </w:r>
      <w:r w:rsidR="00040FCA" w:rsidRPr="5DD2F4C6">
        <w:rPr>
          <w:rFonts w:ascii="Verdana" w:hAnsi="Verdana"/>
          <w:vertAlign w:val="superscript"/>
        </w:rPr>
        <w:footnoteReference w:id="22"/>
      </w:r>
      <w:r w:rsidR="00040FCA" w:rsidRPr="5DD2F4C6">
        <w:rPr>
          <w:rFonts w:ascii="Verdana" w:hAnsi="Verdana"/>
        </w:rPr>
        <w:t xml:space="preserve"> </w:t>
      </w:r>
    </w:p>
    <w:p w14:paraId="1CB1773B" w14:textId="77777777" w:rsidR="00040FCA" w:rsidRDefault="00040FCA" w:rsidP="00D976F2">
      <w:pPr>
        <w:spacing w:after="0" w:line="288" w:lineRule="auto"/>
        <w:ind w:left="720"/>
        <w:rPr>
          <w:rFonts w:ascii="Verdana" w:hAnsi="Verdana"/>
        </w:rPr>
      </w:pPr>
    </w:p>
    <w:p w14:paraId="5F37CD1A" w14:textId="0C3C015F" w:rsidR="00040FCA" w:rsidRPr="008C7E86" w:rsidRDefault="00040FCA" w:rsidP="00D976F2">
      <w:pPr>
        <w:numPr>
          <w:ilvl w:val="1"/>
          <w:numId w:val="1"/>
        </w:numPr>
        <w:spacing w:after="0" w:line="288" w:lineRule="auto"/>
        <w:rPr>
          <w:rFonts w:ascii="Verdana" w:hAnsi="Verdana"/>
        </w:rPr>
      </w:pPr>
      <w:r w:rsidRPr="5DD2F4C6">
        <w:rPr>
          <w:rFonts w:ascii="Verdana" w:hAnsi="Verdana"/>
        </w:rPr>
        <w:t xml:space="preserve">In October 2025, the UK Government introduced the Northern Ireland Troubles Bill in the House of Commons. The Bill </w:t>
      </w:r>
      <w:r>
        <w:rPr>
          <w:rFonts w:ascii="Verdana" w:hAnsi="Verdana"/>
        </w:rPr>
        <w:t>amends most provisions of the NI Troubles (Legacy and Reconciliation) Act 2023, transforming</w:t>
      </w:r>
      <w:r w:rsidRPr="5DD2F4C6">
        <w:rPr>
          <w:rFonts w:ascii="Verdana" w:hAnsi="Verdana"/>
        </w:rPr>
        <w:t xml:space="preserve"> the Independent Commission for Reconciliation and Information Recovery </w:t>
      </w:r>
      <w:r>
        <w:rPr>
          <w:rFonts w:ascii="Verdana" w:hAnsi="Verdana"/>
        </w:rPr>
        <w:t>into</w:t>
      </w:r>
      <w:r w:rsidRPr="5DD2F4C6">
        <w:rPr>
          <w:rFonts w:ascii="Verdana" w:hAnsi="Verdana"/>
        </w:rPr>
        <w:t xml:space="preserve"> </w:t>
      </w:r>
      <w:r>
        <w:rPr>
          <w:rFonts w:ascii="Verdana" w:hAnsi="Verdana"/>
        </w:rPr>
        <w:t>the</w:t>
      </w:r>
      <w:r w:rsidRPr="5DD2F4C6">
        <w:rPr>
          <w:rFonts w:ascii="Verdana" w:hAnsi="Verdana"/>
        </w:rPr>
        <w:t xml:space="preserve"> new </w:t>
      </w:r>
      <w:r>
        <w:rPr>
          <w:rFonts w:ascii="Verdana" w:hAnsi="Verdana"/>
        </w:rPr>
        <w:t>‘</w:t>
      </w:r>
      <w:r w:rsidRPr="5DD2F4C6">
        <w:rPr>
          <w:rFonts w:ascii="Verdana" w:hAnsi="Verdana"/>
        </w:rPr>
        <w:t>Legacy Commission</w:t>
      </w:r>
      <w:r>
        <w:rPr>
          <w:rFonts w:ascii="Verdana" w:hAnsi="Verdana"/>
        </w:rPr>
        <w:t>’</w:t>
      </w:r>
      <w:r w:rsidRPr="5DD2F4C6">
        <w:rPr>
          <w:rFonts w:ascii="Verdana" w:hAnsi="Verdana"/>
        </w:rPr>
        <w:t>.</w:t>
      </w:r>
      <w:r w:rsidRPr="5DD2F4C6">
        <w:rPr>
          <w:rFonts w:ascii="Verdana" w:hAnsi="Verdana"/>
          <w:vertAlign w:val="superscript"/>
        </w:rPr>
        <w:footnoteReference w:id="23"/>
      </w:r>
      <w:r w:rsidRPr="5DD2F4C6">
        <w:rPr>
          <w:rFonts w:ascii="Verdana" w:hAnsi="Verdana"/>
        </w:rPr>
        <w:t xml:space="preserve"> Additionally, the UK Government presented the Northern Ireland </w:t>
      </w:r>
      <w:r w:rsidRPr="5DD2F4C6">
        <w:rPr>
          <w:rFonts w:ascii="Verdana" w:hAnsi="Verdana"/>
        </w:rPr>
        <w:lastRenderedPageBreak/>
        <w:t xml:space="preserve">Troubles (Legacy and Reconciliation) Act 2023 (Remedial) Order 2025 to Parliament, which aims to repeal the conditional immunity scheme and reinstate </w:t>
      </w:r>
      <w:r>
        <w:rPr>
          <w:rFonts w:ascii="Verdana" w:hAnsi="Verdana"/>
        </w:rPr>
        <w:t>civil actions related to the Troubles</w:t>
      </w:r>
      <w:r w:rsidRPr="5DD2F4C6">
        <w:rPr>
          <w:rFonts w:ascii="Verdana" w:hAnsi="Verdana"/>
        </w:rPr>
        <w:t>.</w:t>
      </w:r>
      <w:r w:rsidRPr="5DD2F4C6">
        <w:rPr>
          <w:rFonts w:ascii="Verdana" w:hAnsi="Verdana"/>
          <w:vertAlign w:val="superscript"/>
        </w:rPr>
        <w:footnoteReference w:id="24"/>
      </w:r>
      <w:r w:rsidRPr="5DD2F4C6">
        <w:rPr>
          <w:rFonts w:ascii="Verdana" w:hAnsi="Verdana"/>
        </w:rPr>
        <w:t xml:space="preserve"> </w:t>
      </w:r>
    </w:p>
    <w:p w14:paraId="7AC440E6" w14:textId="77777777" w:rsidR="00040FCA" w:rsidRDefault="00040FCA" w:rsidP="00D976F2">
      <w:pPr>
        <w:spacing w:after="0" w:line="288" w:lineRule="auto"/>
        <w:ind w:left="720"/>
        <w:rPr>
          <w:rFonts w:ascii="Verdana" w:hAnsi="Verdana"/>
        </w:rPr>
      </w:pPr>
    </w:p>
    <w:p w14:paraId="6E508795" w14:textId="07E4B134" w:rsidR="00040FCA" w:rsidRPr="00040FCA" w:rsidRDefault="00040FCA" w:rsidP="00D976F2">
      <w:pPr>
        <w:numPr>
          <w:ilvl w:val="1"/>
          <w:numId w:val="1"/>
        </w:numPr>
        <w:spacing w:after="0" w:line="288" w:lineRule="auto"/>
        <w:rPr>
          <w:rFonts w:ascii="Verdana" w:hAnsi="Verdana"/>
        </w:rPr>
      </w:pPr>
      <w:r w:rsidRPr="5DD2F4C6">
        <w:rPr>
          <w:rFonts w:ascii="Verdana" w:hAnsi="Verdana"/>
        </w:rPr>
        <w:t xml:space="preserve">The Northern Ireland Troubles Bill proposes reforms to </w:t>
      </w:r>
      <w:r>
        <w:rPr>
          <w:rFonts w:ascii="Verdana" w:hAnsi="Verdana"/>
        </w:rPr>
        <w:t>improve the structure and governance of the Legacy Commission, the body established to investigate legacy cases</w:t>
      </w:r>
      <w:r w:rsidRPr="5DD2F4C6">
        <w:rPr>
          <w:rFonts w:ascii="Verdana" w:hAnsi="Verdana"/>
        </w:rPr>
        <w:t>.</w:t>
      </w:r>
      <w:r w:rsidRPr="5DD2F4C6">
        <w:rPr>
          <w:rFonts w:ascii="Verdana" w:hAnsi="Verdana"/>
          <w:vertAlign w:val="superscript"/>
        </w:rPr>
        <w:footnoteReference w:id="25"/>
      </w:r>
      <w:r w:rsidRPr="5DD2F4C6">
        <w:rPr>
          <w:rFonts w:ascii="Verdana" w:hAnsi="Verdana"/>
        </w:rPr>
        <w:t xml:space="preserve"> It also seeks to implement a procedure for investigating conflict-related deaths and to restore inquests that had been initiated but were halted by the Northern Ireland Troubles (Legacy and Reconciliation) 2023 Act. Furthermore, the Bill proposes the establishment of the Independent Commission on Information Retrieval, a new body created in collaboration with the Government</w:t>
      </w:r>
      <w:r>
        <w:rPr>
          <w:rFonts w:ascii="Verdana" w:hAnsi="Verdana"/>
        </w:rPr>
        <w:t xml:space="preserve"> of Ireland</w:t>
      </w:r>
      <w:r w:rsidRPr="5DD2F4C6">
        <w:rPr>
          <w:rFonts w:ascii="Verdana" w:hAnsi="Verdana"/>
        </w:rPr>
        <w:t>, designed to provide families with additional means to retrieve information about the deaths of their loved ones.</w:t>
      </w:r>
      <w:r w:rsidRPr="5DD2F4C6">
        <w:rPr>
          <w:rStyle w:val="FootnoteReference"/>
          <w:rFonts w:ascii="Verdana" w:hAnsi="Verdana"/>
        </w:rPr>
        <w:footnoteReference w:id="26"/>
      </w:r>
    </w:p>
    <w:p w14:paraId="104BB524" w14:textId="77777777" w:rsidR="00CE5D69" w:rsidRPr="4F1A34F7" w:rsidRDefault="00CE5D69" w:rsidP="00EA1A42">
      <w:pPr>
        <w:spacing w:after="0" w:line="288" w:lineRule="auto"/>
        <w:rPr>
          <w:rFonts w:ascii="Verdana" w:hAnsi="Verdana"/>
        </w:rPr>
      </w:pPr>
    </w:p>
    <w:p w14:paraId="3F046652" w14:textId="6646EAD4" w:rsidR="4F1A34F7" w:rsidRPr="00645102" w:rsidRDefault="00CE5D69" w:rsidP="00645102">
      <w:pPr>
        <w:numPr>
          <w:ilvl w:val="1"/>
          <w:numId w:val="1"/>
        </w:numPr>
        <w:spacing w:after="0" w:line="288" w:lineRule="auto"/>
        <w:rPr>
          <w:rFonts w:ascii="Verdana" w:hAnsi="Verdana"/>
        </w:rPr>
      </w:pPr>
      <w:r>
        <w:rPr>
          <w:rFonts w:ascii="Verdana" w:hAnsi="Verdana"/>
        </w:rPr>
        <w:t>I</w:t>
      </w:r>
      <w:r w:rsidR="00EA4267" w:rsidRPr="4F1A34F7">
        <w:rPr>
          <w:rFonts w:ascii="Verdana" w:hAnsi="Verdana"/>
        </w:rPr>
        <w:t xml:space="preserve">n 2024, the Government of Ireland filed an </w:t>
      </w:r>
      <w:r w:rsidR="003F3BF0" w:rsidRPr="4F1A34F7">
        <w:rPr>
          <w:rFonts w:ascii="Verdana" w:hAnsi="Verdana"/>
        </w:rPr>
        <w:t>inter-state</w:t>
      </w:r>
      <w:r w:rsidR="00EA4267" w:rsidRPr="4F1A34F7">
        <w:rPr>
          <w:rFonts w:ascii="Verdana" w:hAnsi="Verdana"/>
        </w:rPr>
        <w:t xml:space="preserve"> application against the UK with the European Court of Human Rights (ECtHR)</w:t>
      </w:r>
      <w:r w:rsidR="0001046D" w:rsidRPr="4F1A34F7">
        <w:rPr>
          <w:rFonts w:ascii="Verdana" w:hAnsi="Verdana"/>
        </w:rPr>
        <w:t>.</w:t>
      </w:r>
      <w:r w:rsidR="0001046D" w:rsidRPr="4F1A34F7">
        <w:rPr>
          <w:rFonts w:ascii="Verdana" w:hAnsi="Verdana"/>
          <w:vertAlign w:val="superscript"/>
        </w:rPr>
        <w:footnoteReference w:id="27"/>
      </w:r>
      <w:r w:rsidR="0001046D" w:rsidRPr="4F1A34F7">
        <w:rPr>
          <w:rFonts w:ascii="Verdana" w:hAnsi="Verdana"/>
        </w:rPr>
        <w:t xml:space="preserve"> I</w:t>
      </w:r>
      <w:r w:rsidR="006E7090" w:rsidRPr="4F1A34F7">
        <w:rPr>
          <w:rFonts w:ascii="Verdana" w:hAnsi="Verdana"/>
        </w:rPr>
        <w:t xml:space="preserve">n July 2025, the ECtHR adjourned the inter-State case while awaiting the decision in the domestic case of </w:t>
      </w:r>
      <w:r w:rsidR="0001046D" w:rsidRPr="4F1A34F7">
        <w:rPr>
          <w:rFonts w:ascii="Verdana" w:hAnsi="Verdana"/>
          <w:i/>
          <w:iCs/>
        </w:rPr>
        <w:t>Dillon and Others</w:t>
      </w:r>
      <w:r w:rsidR="0001046D" w:rsidRPr="4F1A34F7">
        <w:rPr>
          <w:rFonts w:ascii="Verdana" w:hAnsi="Verdana"/>
        </w:rPr>
        <w:t>”.</w:t>
      </w:r>
      <w:r w:rsidR="0001046D" w:rsidRPr="4F1A34F7">
        <w:rPr>
          <w:rFonts w:ascii="Verdana" w:hAnsi="Verdana"/>
          <w:vertAlign w:val="superscript"/>
        </w:rPr>
        <w:footnoteReference w:id="28"/>
      </w:r>
      <w:r w:rsidR="00AC0C81">
        <w:rPr>
          <w:rFonts w:ascii="Verdana" w:hAnsi="Verdana"/>
        </w:rPr>
        <w:t xml:space="preserve"> </w:t>
      </w:r>
      <w:r w:rsidR="00AC0C81" w:rsidRPr="00AC0C81">
        <w:rPr>
          <w:rFonts w:ascii="Verdana" w:hAnsi="Verdana"/>
        </w:rPr>
        <w:t xml:space="preserve">In September 2025, the Government of Ireland expressed </w:t>
      </w:r>
      <w:r w:rsidR="00AC0C81">
        <w:rPr>
          <w:rFonts w:ascii="Verdana" w:hAnsi="Verdana"/>
        </w:rPr>
        <w:t>its intention</w:t>
      </w:r>
      <w:r w:rsidR="00AC0C81" w:rsidRPr="00AC0C81">
        <w:rPr>
          <w:rFonts w:ascii="Verdana" w:hAnsi="Verdana"/>
        </w:rPr>
        <w:t xml:space="preserve"> to drop the inter-State case once it was satisfied that the Northern Ireland Troubles Bill adhered to the Joint Framework </w:t>
      </w:r>
      <w:r w:rsidR="00AC0C81">
        <w:rPr>
          <w:rFonts w:ascii="Verdana" w:hAnsi="Verdana"/>
        </w:rPr>
        <w:t>A</w:t>
      </w:r>
      <w:r w:rsidR="00AC0C81" w:rsidRPr="00AC0C81">
        <w:rPr>
          <w:rFonts w:ascii="Verdana" w:hAnsi="Verdana"/>
        </w:rPr>
        <w:t>greement.</w:t>
      </w:r>
      <w:r w:rsidR="00AC0C81">
        <w:rPr>
          <w:rStyle w:val="FootnoteReference"/>
          <w:rFonts w:ascii="Verdana" w:hAnsi="Verdana"/>
        </w:rPr>
        <w:footnoteReference w:id="29"/>
      </w:r>
    </w:p>
    <w:p w14:paraId="162186F0" w14:textId="021B8A98" w:rsidR="5DD2F4C6" w:rsidRDefault="5DD2F4C6" w:rsidP="00D976F2">
      <w:pPr>
        <w:spacing w:after="0" w:line="288" w:lineRule="auto"/>
        <w:ind w:left="720"/>
        <w:rPr>
          <w:rFonts w:ascii="Verdana" w:hAnsi="Verdana"/>
        </w:rPr>
      </w:pPr>
    </w:p>
    <w:p w14:paraId="3D473565" w14:textId="52393AD9" w:rsidR="00FB33FA" w:rsidRPr="008C7E86" w:rsidRDefault="00D07698" w:rsidP="00D976F2">
      <w:pPr>
        <w:numPr>
          <w:ilvl w:val="1"/>
          <w:numId w:val="1"/>
        </w:numPr>
        <w:spacing w:after="0" w:line="288" w:lineRule="auto"/>
        <w:rPr>
          <w:rFonts w:ascii="Verdana" w:hAnsi="Verdana"/>
          <w:b/>
          <w:bCs/>
        </w:rPr>
      </w:pPr>
      <w:r w:rsidRPr="409BA1CF">
        <w:rPr>
          <w:rFonts w:ascii="Verdana" w:hAnsi="Verdana"/>
          <w:b/>
          <w:bCs/>
        </w:rPr>
        <w:t>The NIHRC</w:t>
      </w:r>
      <w:r w:rsidR="72914764" w:rsidRPr="409BA1CF">
        <w:rPr>
          <w:rFonts w:ascii="Verdana" w:hAnsi="Verdana"/>
          <w:b/>
          <w:bCs/>
        </w:rPr>
        <w:t xml:space="preserve"> recommends that the UK Government ensures that the Northern Ireland Troubles Bill is victim-centred</w:t>
      </w:r>
      <w:r w:rsidR="638B6F0D" w:rsidRPr="409BA1CF">
        <w:rPr>
          <w:rFonts w:ascii="Verdana" w:hAnsi="Verdana"/>
          <w:b/>
          <w:bCs/>
        </w:rPr>
        <w:t xml:space="preserve">. It should </w:t>
      </w:r>
      <w:r w:rsidR="72914764" w:rsidRPr="409BA1CF">
        <w:rPr>
          <w:rFonts w:ascii="Verdana" w:hAnsi="Verdana"/>
          <w:b/>
          <w:bCs/>
        </w:rPr>
        <w:t xml:space="preserve">ensure </w:t>
      </w:r>
      <w:r w:rsidR="6046F309" w:rsidRPr="409BA1CF">
        <w:rPr>
          <w:rFonts w:ascii="Verdana" w:hAnsi="Verdana"/>
          <w:b/>
          <w:bCs/>
        </w:rPr>
        <w:t xml:space="preserve">effective investigations and prosecutions of alleged unlawful killings and serious injuries. Additionally, the </w:t>
      </w:r>
      <w:r w:rsidR="5B4AEBA4" w:rsidRPr="409BA1CF">
        <w:rPr>
          <w:rFonts w:ascii="Verdana" w:hAnsi="Verdana"/>
          <w:b/>
          <w:bCs/>
        </w:rPr>
        <w:t>B</w:t>
      </w:r>
      <w:r w:rsidR="6046F309" w:rsidRPr="409BA1CF">
        <w:rPr>
          <w:rFonts w:ascii="Verdana" w:hAnsi="Verdana"/>
          <w:b/>
          <w:bCs/>
        </w:rPr>
        <w:t>ill must comply with Articles 2 (right to life) and 3 (freedom from torture) of the ECHR</w:t>
      </w:r>
      <w:r w:rsidR="72C64312" w:rsidRPr="409BA1CF">
        <w:rPr>
          <w:rFonts w:ascii="Verdana" w:hAnsi="Verdana"/>
          <w:b/>
          <w:bCs/>
        </w:rPr>
        <w:t>.</w:t>
      </w:r>
      <w:r w:rsidR="6046F309" w:rsidRPr="409BA1CF">
        <w:rPr>
          <w:rFonts w:ascii="Verdana" w:hAnsi="Verdana"/>
          <w:b/>
          <w:bCs/>
        </w:rPr>
        <w:t xml:space="preserve"> </w:t>
      </w:r>
      <w:r w:rsidR="0CC9F159" w:rsidRPr="409BA1CF">
        <w:rPr>
          <w:rFonts w:ascii="Verdana" w:hAnsi="Verdana"/>
          <w:b/>
          <w:bCs/>
        </w:rPr>
        <w:t xml:space="preserve">Compliance </w:t>
      </w:r>
      <w:r w:rsidR="3D9E8114" w:rsidRPr="409BA1CF">
        <w:rPr>
          <w:rFonts w:ascii="Verdana" w:hAnsi="Verdana"/>
          <w:b/>
          <w:bCs/>
        </w:rPr>
        <w:t xml:space="preserve">with Windsor Framework Article 2, taking into account the </w:t>
      </w:r>
      <w:r w:rsidR="3D9E8114" w:rsidRPr="409BA1CF">
        <w:rPr>
          <w:rFonts w:ascii="Verdana" w:hAnsi="Verdana"/>
          <w:b/>
          <w:bCs/>
        </w:rPr>
        <w:lastRenderedPageBreak/>
        <w:t xml:space="preserve">minimum standards in the EU Victims’ </w:t>
      </w:r>
      <w:r w:rsidR="004A7CE0" w:rsidRPr="409BA1CF">
        <w:rPr>
          <w:rFonts w:ascii="Verdana" w:hAnsi="Verdana"/>
          <w:b/>
          <w:bCs/>
        </w:rPr>
        <w:t>Directive</w:t>
      </w:r>
      <w:r w:rsidR="70C2D40E" w:rsidRPr="409BA1CF">
        <w:rPr>
          <w:rFonts w:ascii="Verdana" w:hAnsi="Verdana"/>
          <w:b/>
          <w:bCs/>
        </w:rPr>
        <w:t xml:space="preserve"> should also be ensured</w:t>
      </w:r>
      <w:r w:rsidR="004A7CE0" w:rsidRPr="409BA1CF">
        <w:rPr>
          <w:rFonts w:ascii="Verdana" w:hAnsi="Verdana"/>
          <w:b/>
          <w:bCs/>
        </w:rPr>
        <w:t>.</w:t>
      </w:r>
    </w:p>
    <w:p w14:paraId="6E301D45" w14:textId="6BF8077A" w:rsidR="5DD2F4C6" w:rsidRDefault="5DD2F4C6" w:rsidP="00D976F2">
      <w:pPr>
        <w:spacing w:after="0"/>
        <w:ind w:left="720"/>
        <w:rPr>
          <w:rFonts w:ascii="Verdana" w:hAnsi="Verdana"/>
          <w:b/>
          <w:bCs/>
        </w:rPr>
      </w:pPr>
    </w:p>
    <w:p w14:paraId="2C764BE7" w14:textId="5AA4E54F" w:rsidR="007F496B" w:rsidRPr="008C7E86" w:rsidRDefault="00772E4C" w:rsidP="00A41384">
      <w:pPr>
        <w:pStyle w:val="Heading1"/>
        <w:numPr>
          <w:ilvl w:val="0"/>
          <w:numId w:val="10"/>
        </w:numPr>
        <w:spacing w:before="120" w:after="120"/>
        <w:rPr>
          <w:rFonts w:ascii="Verdana" w:hAnsi="Verdana"/>
          <w:b/>
          <w:bCs/>
          <w:color w:val="77328A"/>
          <w:sz w:val="28"/>
          <w:szCs w:val="28"/>
        </w:rPr>
      </w:pPr>
      <w:bookmarkStart w:id="4" w:name="_Toc215744943"/>
      <w:r w:rsidRPr="008C7E86">
        <w:rPr>
          <w:rFonts w:ascii="Verdana" w:hAnsi="Verdana"/>
          <w:b/>
          <w:bCs/>
          <w:color w:val="77328A"/>
          <w:sz w:val="28"/>
          <w:szCs w:val="28"/>
        </w:rPr>
        <w:t xml:space="preserve">Hate </w:t>
      </w:r>
      <w:r w:rsidR="00BB67B3" w:rsidRPr="008C7E86">
        <w:rPr>
          <w:rFonts w:ascii="Verdana" w:hAnsi="Verdana"/>
          <w:b/>
          <w:bCs/>
          <w:color w:val="77328A"/>
          <w:sz w:val="28"/>
          <w:szCs w:val="28"/>
        </w:rPr>
        <w:t>c</w:t>
      </w:r>
      <w:r w:rsidRPr="008C7E86">
        <w:rPr>
          <w:rFonts w:ascii="Verdana" w:hAnsi="Verdana"/>
          <w:b/>
          <w:bCs/>
          <w:color w:val="77328A"/>
          <w:sz w:val="28"/>
          <w:szCs w:val="28"/>
        </w:rPr>
        <w:t>rime</w:t>
      </w:r>
      <w:bookmarkEnd w:id="4"/>
    </w:p>
    <w:p w14:paraId="5628395D" w14:textId="77777777" w:rsidR="00804154" w:rsidRDefault="00804154" w:rsidP="00804154">
      <w:pPr>
        <w:pStyle w:val="ListParagraph"/>
        <w:numPr>
          <w:ilvl w:val="0"/>
          <w:numId w:val="0"/>
        </w:numPr>
        <w:ind w:left="720"/>
      </w:pPr>
    </w:p>
    <w:p w14:paraId="236D9A8A" w14:textId="71BF623A" w:rsidR="007F496B" w:rsidRPr="008C7E86" w:rsidRDefault="4BF1EBEB" w:rsidP="00FB291C">
      <w:pPr>
        <w:pStyle w:val="ListParagraph"/>
      </w:pPr>
      <w:r w:rsidRPr="5DD2F4C6">
        <w:t>4</w:t>
      </w:r>
      <w:r w:rsidRPr="5DD2F4C6">
        <w:rPr>
          <w:vertAlign w:val="superscript"/>
        </w:rPr>
        <w:t>th</w:t>
      </w:r>
      <w:r w:rsidRPr="5DD2F4C6">
        <w:t xml:space="preserve"> cycle recommendations: 43.51, 43.53, 43.54, 43.55, 43.56, 43.57, 43.58, 43.59, 43.60, 43.61, 43.62, 43.63, 43.64, 43.65, 43.66, 43.67, 43.68, 43.69, 43.70, 43.71, 43.73, 43.74, 43.75, 43.76, 43.77, 43.78, 43.79, 43.80, 43.81, 43.82, 43.83, 43.84, 43.85, 43.95, 43.96, 43.113, 43.116, 43.166, 43.272</w:t>
      </w:r>
    </w:p>
    <w:p w14:paraId="3DE01936" w14:textId="452DF58E" w:rsidR="5DD2F4C6" w:rsidRDefault="5DD2F4C6" w:rsidP="00B35462">
      <w:pPr>
        <w:pStyle w:val="ListParagraph"/>
        <w:numPr>
          <w:ilvl w:val="0"/>
          <w:numId w:val="0"/>
        </w:numPr>
        <w:ind w:left="720"/>
      </w:pPr>
    </w:p>
    <w:p w14:paraId="4EDD9121" w14:textId="63778851" w:rsidR="001A30F8" w:rsidRPr="008420BB" w:rsidRDefault="24FA24EE" w:rsidP="008D3431">
      <w:pPr>
        <w:pStyle w:val="ListParagraph"/>
      </w:pPr>
      <w:r w:rsidRPr="008C7E86">
        <w:t>Between 2021 and 2025, several huma</w:t>
      </w:r>
      <w:r w:rsidR="28B12F5F" w:rsidRPr="008C7E86">
        <w:t xml:space="preserve">n rights </w:t>
      </w:r>
      <w:r w:rsidRPr="008C7E86">
        <w:t xml:space="preserve">bodies </w:t>
      </w:r>
      <w:r w:rsidR="2B0C89A2" w:rsidRPr="008C7E86">
        <w:t>recommended that the UK Government strengthen efforts to prevent and combat hate crime and hate speech, including by adopting a comprehensive legal framework covering all protected groups, enhancing training for law enforcement and judicial actors, collecting disaggregated data, and ensure effective investigation, prosecution and remedies for victims</w:t>
      </w:r>
      <w:r w:rsidR="2B0C89A2" w:rsidRPr="008420BB">
        <w:t>.</w:t>
      </w:r>
      <w:r w:rsidR="000A51DC" w:rsidRPr="008420BB">
        <w:rPr>
          <w:rStyle w:val="FootnoteReference"/>
        </w:rPr>
        <w:footnoteReference w:id="30"/>
      </w:r>
      <w:r w:rsidR="2B0C89A2" w:rsidRPr="008420BB">
        <w:t xml:space="preserve"> </w:t>
      </w:r>
      <w:bookmarkStart w:id="5" w:name="_Hlk207706340"/>
      <w:r w:rsidR="1583284C" w:rsidRPr="008420BB">
        <w:rPr>
          <w:color w:val="000000"/>
        </w:rPr>
        <w:t>The NI Court of Appeal has confirmed that the rights of victims of crime are within the scope of the relevant chapter in the Belfast (Good Friday) Agreement; are underpinned by the EU Victims’ Directive;</w:t>
      </w:r>
      <w:r w:rsidR="008420BB" w:rsidRPr="008420BB">
        <w:rPr>
          <w:rStyle w:val="FootnoteReference"/>
        </w:rPr>
        <w:footnoteReference w:id="31"/>
      </w:r>
      <w:r w:rsidR="1583284C" w:rsidRPr="008420BB">
        <w:t xml:space="preserve"> and are therefore protected by Windsor Framework Article 2</w:t>
      </w:r>
      <w:r w:rsidR="1583284C" w:rsidRPr="008420BB">
        <w:rPr>
          <w:color w:val="000000"/>
        </w:rPr>
        <w:t>.</w:t>
      </w:r>
      <w:r w:rsidR="008420BB" w:rsidRPr="008420BB">
        <w:rPr>
          <w:color w:val="000000"/>
          <w:vertAlign w:val="superscript"/>
        </w:rPr>
        <w:footnoteReference w:id="32"/>
      </w:r>
      <w:bookmarkEnd w:id="5"/>
      <w:r w:rsidR="1583284C" w:rsidRPr="008420BB">
        <w:rPr>
          <w:color w:val="000000"/>
        </w:rPr>
        <w:t xml:space="preserve"> The EU Victims’ Directive recognises that victims of hate crime are at a high risk of secondary and repeat victimisation and, as such, there should be a strong presumption that victims will benefit from special protection measures during criminal proceedings.</w:t>
      </w:r>
      <w:r w:rsidR="008420BB" w:rsidRPr="008420BB">
        <w:rPr>
          <w:rStyle w:val="FootnoteReference"/>
        </w:rPr>
        <w:footnoteReference w:id="33"/>
      </w:r>
    </w:p>
    <w:p w14:paraId="628DBBBE" w14:textId="763AFE07" w:rsidR="5DD2F4C6" w:rsidRDefault="5DD2F4C6" w:rsidP="00847CFD">
      <w:pPr>
        <w:pStyle w:val="ListParagraph"/>
        <w:numPr>
          <w:ilvl w:val="0"/>
          <w:numId w:val="0"/>
        </w:numPr>
        <w:ind w:left="720"/>
      </w:pPr>
    </w:p>
    <w:p w14:paraId="17AAC9AC" w14:textId="28C64758" w:rsidR="000A51DC" w:rsidRPr="008C7E86" w:rsidRDefault="00BD2431" w:rsidP="008D3431">
      <w:pPr>
        <w:pStyle w:val="ListParagraph"/>
      </w:pPr>
      <w:r w:rsidRPr="008C7E86">
        <w:lastRenderedPageBreak/>
        <w:t xml:space="preserve">Hate crime remains a persistent issue in </w:t>
      </w:r>
      <w:r w:rsidR="00DE31D5" w:rsidRPr="003B5730">
        <w:t>NI</w:t>
      </w:r>
      <w:r w:rsidR="00442DDE" w:rsidRPr="008C7E86">
        <w:t xml:space="preserve">. In 2025, there was an overall rise in reported hate-motivated incidents, particularly racially motivated </w:t>
      </w:r>
      <w:r w:rsidR="00080916" w:rsidRPr="008C7E86">
        <w:t>offences,</w:t>
      </w:r>
      <w:r w:rsidR="00217A29" w:rsidRPr="008C7E86">
        <w:t xml:space="preserve"> </w:t>
      </w:r>
      <w:r w:rsidR="00080916" w:rsidRPr="008C7E86">
        <w:t>reaching their highest level since the recording of these motivations began in 2004/2005</w:t>
      </w:r>
      <w:r w:rsidR="00217A29" w:rsidRPr="008C7E86">
        <w:t>.</w:t>
      </w:r>
      <w:r w:rsidR="00217A29" w:rsidRPr="008C7E86">
        <w:rPr>
          <w:rStyle w:val="FootnoteReference"/>
        </w:rPr>
        <w:footnoteReference w:id="34"/>
      </w:r>
      <w:r w:rsidR="00080916" w:rsidRPr="008C7E86">
        <w:t xml:space="preserve"> </w:t>
      </w:r>
      <w:r w:rsidR="0034402C" w:rsidRPr="008C7E86">
        <w:t>Reports in 2025 highlighted continued presence of organised hate crime, and the growing impact of online hate</w:t>
      </w:r>
      <w:r w:rsidR="00B57020" w:rsidRPr="008C7E86">
        <w:t>, disinformation and algorithmic bias in spreading racist narratives.</w:t>
      </w:r>
      <w:r w:rsidR="00B57020" w:rsidRPr="008C7E86">
        <w:rPr>
          <w:rStyle w:val="FootnoteReference"/>
        </w:rPr>
        <w:footnoteReference w:id="35"/>
      </w:r>
    </w:p>
    <w:p w14:paraId="13F9FB03" w14:textId="604E45E8" w:rsidR="5DD2F4C6" w:rsidRDefault="5DD2F4C6" w:rsidP="00847CFD">
      <w:pPr>
        <w:pStyle w:val="ListParagraph"/>
        <w:numPr>
          <w:ilvl w:val="0"/>
          <w:numId w:val="0"/>
        </w:numPr>
        <w:ind w:left="720"/>
      </w:pPr>
    </w:p>
    <w:p w14:paraId="61E6CD9D" w14:textId="4F5A882D" w:rsidR="001A30F8" w:rsidRPr="008C7E86" w:rsidRDefault="648AD98E" w:rsidP="008D3431">
      <w:pPr>
        <w:pStyle w:val="ListParagraph"/>
      </w:pPr>
      <w:r w:rsidRPr="008C7E86">
        <w:t xml:space="preserve">In </w:t>
      </w:r>
      <w:r w:rsidR="4DA75AA1" w:rsidRPr="008C7E86">
        <w:t xml:space="preserve">2021, </w:t>
      </w:r>
      <w:r w:rsidR="797E2129" w:rsidRPr="008C7E86">
        <w:t xml:space="preserve">an independent review </w:t>
      </w:r>
      <w:r w:rsidR="698603A0" w:rsidRPr="008C7E86">
        <w:t xml:space="preserve">of hate crime legislation in </w:t>
      </w:r>
      <w:r w:rsidR="3134C41A" w:rsidRPr="003B5730">
        <w:t>NI</w:t>
      </w:r>
      <w:r w:rsidR="698603A0" w:rsidRPr="008C7E86">
        <w:t xml:space="preserve"> (</w:t>
      </w:r>
      <w:r w:rsidR="4DA75AA1" w:rsidRPr="008C7E86">
        <w:t>the Marrinan Review</w:t>
      </w:r>
      <w:r w:rsidR="698603A0" w:rsidRPr="008C7E86">
        <w:t>)</w:t>
      </w:r>
      <w:r w:rsidR="4DA75AA1" w:rsidRPr="008C7E86">
        <w:t xml:space="preserve"> </w:t>
      </w:r>
      <w:r w:rsidR="26E041E2" w:rsidRPr="008C7E86">
        <w:t>set out recommendations to moderni</w:t>
      </w:r>
      <w:r w:rsidR="26798696" w:rsidRPr="008C7E86">
        <w:t>s</w:t>
      </w:r>
      <w:r w:rsidR="26E041E2" w:rsidRPr="008C7E86">
        <w:t>e hate crime law</w:t>
      </w:r>
      <w:r w:rsidR="33C52EDE" w:rsidRPr="008C7E86">
        <w:t xml:space="preserve">, in the absence of stand-alone hate crime legislation in </w:t>
      </w:r>
      <w:r w:rsidR="3134C41A" w:rsidRPr="003B5730">
        <w:t>NI</w:t>
      </w:r>
      <w:r w:rsidR="33C52EDE" w:rsidRPr="008C7E86">
        <w:t>.</w:t>
      </w:r>
      <w:r w:rsidR="00AC538C" w:rsidRPr="008C7E86">
        <w:rPr>
          <w:rStyle w:val="FootnoteReference"/>
        </w:rPr>
        <w:footnoteReference w:id="36"/>
      </w:r>
      <w:r w:rsidRPr="008C7E86">
        <w:t xml:space="preserve"> T</w:t>
      </w:r>
      <w:r w:rsidR="676844EA" w:rsidRPr="008C7E86">
        <w:t xml:space="preserve">he Department of Justice established </w:t>
      </w:r>
      <w:r w:rsidR="793BC091" w:rsidRPr="008C7E86">
        <w:t xml:space="preserve">a dedicated Hate Crime Branch to take forward </w:t>
      </w:r>
      <w:r w:rsidR="5FB9D6F6" w:rsidRPr="008C7E86">
        <w:t xml:space="preserve">the </w:t>
      </w:r>
      <w:r w:rsidR="793BC091" w:rsidRPr="008C7E86">
        <w:t xml:space="preserve">Independent Review’s </w:t>
      </w:r>
      <w:r w:rsidR="793BC091" w:rsidRPr="001A30F8">
        <w:t>recommendation</w:t>
      </w:r>
      <w:r w:rsidR="5FB9D6F6" w:rsidRPr="001A30F8">
        <w:t>s</w:t>
      </w:r>
      <w:r w:rsidR="54D92979" w:rsidRPr="008C7E86">
        <w:t xml:space="preserve">, </w:t>
      </w:r>
      <w:r w:rsidR="78B86839" w:rsidRPr="008C7E86">
        <w:t xml:space="preserve">however due to the </w:t>
      </w:r>
      <w:r w:rsidR="2F93AD9F" w:rsidRPr="008C7E86">
        <w:t xml:space="preserve">lack of functioning </w:t>
      </w:r>
      <w:r w:rsidR="3134C41A" w:rsidRPr="003B5730">
        <w:t>NI</w:t>
      </w:r>
      <w:r w:rsidR="4686B479" w:rsidRPr="008C7E86">
        <w:t xml:space="preserve"> </w:t>
      </w:r>
      <w:r w:rsidR="2F93AD9F" w:rsidRPr="008C7E86">
        <w:t xml:space="preserve">Assembly between February 2022 and February 2024 and a general lack of resources, </w:t>
      </w:r>
      <w:r w:rsidR="237AA7B7" w:rsidRPr="008C7E86">
        <w:t xml:space="preserve">this has </w:t>
      </w:r>
      <w:r w:rsidR="35AE1D58" w:rsidRPr="008C7E86">
        <w:t>affected</w:t>
      </w:r>
      <w:r w:rsidR="237AA7B7" w:rsidRPr="008C7E86">
        <w:t xml:space="preserve"> implementation.</w:t>
      </w:r>
      <w:r w:rsidR="008420BB">
        <w:rPr>
          <w:rStyle w:val="FootnoteReference"/>
        </w:rPr>
        <w:footnoteReference w:id="37"/>
      </w:r>
      <w:r w:rsidR="237AA7B7" w:rsidRPr="008C7E86">
        <w:t xml:space="preserve"> </w:t>
      </w:r>
      <w:r w:rsidR="26EF432E" w:rsidRPr="008C7E86">
        <w:t xml:space="preserve">The Department of Justice </w:t>
      </w:r>
      <w:r w:rsidR="47A3C5CE" w:rsidRPr="008C7E86">
        <w:t>intended</w:t>
      </w:r>
      <w:r w:rsidR="26EF432E" w:rsidRPr="008C7E86">
        <w:t xml:space="preserve"> to bring forward a stand-alone Hate Crime Bill for </w:t>
      </w:r>
      <w:r w:rsidR="3134C41A" w:rsidRPr="003B5730">
        <w:t>NI</w:t>
      </w:r>
      <w:r w:rsidR="47A3C5CE" w:rsidRPr="008C7E86">
        <w:t>, however</w:t>
      </w:r>
      <w:r w:rsidR="26EF432E" w:rsidRPr="008C7E86">
        <w:t xml:space="preserve"> </w:t>
      </w:r>
      <w:r w:rsidR="4357ACB9" w:rsidRPr="008C7E86">
        <w:t>due to</w:t>
      </w:r>
      <w:r w:rsidR="26EF432E" w:rsidRPr="008C7E86">
        <w:t xml:space="preserve"> the prolonged suspension of the </w:t>
      </w:r>
      <w:r w:rsidR="3134C41A" w:rsidRPr="003B5730">
        <w:t>NI</w:t>
      </w:r>
      <w:r w:rsidR="4686B479" w:rsidRPr="008C7E86">
        <w:t xml:space="preserve"> </w:t>
      </w:r>
      <w:r w:rsidR="26EF432E" w:rsidRPr="008C7E86">
        <w:t>Assembly</w:t>
      </w:r>
      <w:r w:rsidR="72AF8833" w:rsidRPr="008C7E86">
        <w:t>,</w:t>
      </w:r>
      <w:r w:rsidR="00B82082" w:rsidRPr="008C7E86">
        <w:rPr>
          <w:rStyle w:val="FootnoteReference"/>
        </w:rPr>
        <w:footnoteReference w:id="38"/>
      </w:r>
      <w:r w:rsidR="26EF432E" w:rsidRPr="008C7E86">
        <w:t xml:space="preserve"> </w:t>
      </w:r>
      <w:r w:rsidR="72AF8833" w:rsidRPr="008C7E86">
        <w:t>i</w:t>
      </w:r>
      <w:r w:rsidR="26EF432E" w:rsidRPr="008C7E86">
        <w:t xml:space="preserve">t instead plans to introduce a statutory aggravation model for hate crime offences </w:t>
      </w:r>
      <w:r w:rsidR="2D3CD737" w:rsidRPr="008C7E86">
        <w:t>in a Sentencing Bill and provisions to address the impact of hate crime on victims through a Victims Bill.</w:t>
      </w:r>
      <w:r w:rsidR="00B82082" w:rsidRPr="008C7E86">
        <w:rPr>
          <w:rStyle w:val="FootnoteReference"/>
        </w:rPr>
        <w:footnoteReference w:id="39"/>
      </w:r>
      <w:r w:rsidR="399F1A2A">
        <w:t xml:space="preserve">  </w:t>
      </w:r>
      <w:r w:rsidR="5603017A">
        <w:t xml:space="preserve">The introduction of both the Sentencing Bill and the Victims Bill </w:t>
      </w:r>
      <w:r w:rsidR="45EB93AC">
        <w:t>to</w:t>
      </w:r>
      <w:r w:rsidR="5603017A">
        <w:t xml:space="preserve"> the </w:t>
      </w:r>
      <w:r w:rsidR="3134C41A" w:rsidRPr="003B5730">
        <w:t>NI</w:t>
      </w:r>
      <w:r w:rsidR="5603017A">
        <w:t xml:space="preserve"> Assembly</w:t>
      </w:r>
      <w:r w:rsidR="4A683DDA">
        <w:t xml:space="preserve"> is still awaited</w:t>
      </w:r>
      <w:r w:rsidR="5603017A">
        <w:t xml:space="preserve">. </w:t>
      </w:r>
      <w:r w:rsidR="2D3CD737" w:rsidRPr="008C7E86">
        <w:t xml:space="preserve"> </w:t>
      </w:r>
    </w:p>
    <w:p w14:paraId="1FE966F0" w14:textId="06669253" w:rsidR="5DD2F4C6" w:rsidRDefault="5DD2F4C6" w:rsidP="296298D9">
      <w:pPr>
        <w:pStyle w:val="ListParagraph"/>
        <w:numPr>
          <w:ilvl w:val="0"/>
          <w:numId w:val="0"/>
        </w:numPr>
        <w:ind w:left="720"/>
      </w:pPr>
    </w:p>
    <w:p w14:paraId="6B7936D5" w14:textId="3046BFB3" w:rsidR="00390485" w:rsidRPr="008C7E86" w:rsidRDefault="5416B0F1" w:rsidP="296298D9">
      <w:pPr>
        <w:pStyle w:val="ListParagraph"/>
        <w:rPr>
          <w:b/>
          <w:bCs/>
        </w:rPr>
      </w:pPr>
      <w:r w:rsidRPr="296298D9">
        <w:rPr>
          <w:b/>
          <w:bCs/>
        </w:rPr>
        <w:t xml:space="preserve">The </w:t>
      </w:r>
      <w:r w:rsidR="309F0D03" w:rsidRPr="296298D9">
        <w:rPr>
          <w:b/>
          <w:bCs/>
        </w:rPr>
        <w:t xml:space="preserve">NIHRC </w:t>
      </w:r>
      <w:r w:rsidRPr="296298D9">
        <w:rPr>
          <w:b/>
          <w:bCs/>
        </w:rPr>
        <w:t xml:space="preserve">recommends that the </w:t>
      </w:r>
      <w:r w:rsidR="00DE31D5" w:rsidRPr="00DE31D5">
        <w:rPr>
          <w:b/>
          <w:bCs/>
        </w:rPr>
        <w:t>NI</w:t>
      </w:r>
      <w:r w:rsidRPr="296298D9">
        <w:rPr>
          <w:b/>
          <w:bCs/>
        </w:rPr>
        <w:t xml:space="preserve"> Executive, </w:t>
      </w:r>
      <w:r w:rsidR="32B2571C" w:rsidRPr="296298D9">
        <w:rPr>
          <w:b/>
          <w:bCs/>
        </w:rPr>
        <w:t xml:space="preserve">prioritises </w:t>
      </w:r>
      <w:r w:rsidRPr="296298D9">
        <w:rPr>
          <w:b/>
          <w:bCs/>
        </w:rPr>
        <w:t xml:space="preserve">the introduction of </w:t>
      </w:r>
      <w:r w:rsidR="01D26CF3" w:rsidRPr="296298D9">
        <w:rPr>
          <w:b/>
          <w:bCs/>
        </w:rPr>
        <w:t>comprehensive</w:t>
      </w:r>
      <w:r w:rsidRPr="296298D9">
        <w:rPr>
          <w:b/>
          <w:bCs/>
        </w:rPr>
        <w:t xml:space="preserve"> and consolidated hate crime </w:t>
      </w:r>
      <w:r w:rsidR="74EC782E" w:rsidRPr="296298D9">
        <w:rPr>
          <w:b/>
          <w:bCs/>
        </w:rPr>
        <w:t>legislation</w:t>
      </w:r>
      <w:r w:rsidRPr="296298D9">
        <w:rPr>
          <w:b/>
          <w:bCs/>
        </w:rPr>
        <w:t xml:space="preserve">, in line with the Marrinan Review </w:t>
      </w:r>
      <w:r w:rsidR="32B2571C" w:rsidRPr="296298D9">
        <w:rPr>
          <w:b/>
          <w:bCs/>
        </w:rPr>
        <w:t xml:space="preserve">recommendations </w:t>
      </w:r>
      <w:r w:rsidRPr="296298D9">
        <w:rPr>
          <w:b/>
          <w:bCs/>
        </w:rPr>
        <w:t xml:space="preserve">and ongoing consultation outcomes. The </w:t>
      </w:r>
      <w:r w:rsidR="6334C2E8" w:rsidRPr="296298D9">
        <w:rPr>
          <w:b/>
          <w:bCs/>
        </w:rPr>
        <w:t>legislation</w:t>
      </w:r>
      <w:r w:rsidRPr="296298D9">
        <w:rPr>
          <w:b/>
          <w:bCs/>
        </w:rPr>
        <w:t xml:space="preserve"> should ensure full compliance with Windsor Framework Article 2 and relevant international </w:t>
      </w:r>
      <w:r w:rsidR="77E7FD06" w:rsidRPr="296298D9">
        <w:rPr>
          <w:b/>
          <w:bCs/>
        </w:rPr>
        <w:t>obligations</w:t>
      </w:r>
      <w:r w:rsidR="68E1D28D" w:rsidRPr="296298D9">
        <w:rPr>
          <w:b/>
          <w:bCs/>
        </w:rPr>
        <w:t>, including the EU Victims’ Directive,</w:t>
      </w:r>
      <w:r w:rsidR="4510C87D" w:rsidRPr="5DD2F4C6">
        <w:rPr>
          <w:rStyle w:val="FootnoteReference"/>
          <w:b/>
          <w:bCs/>
        </w:rPr>
        <w:footnoteReference w:id="40"/>
      </w:r>
      <w:r w:rsidR="68E1D28D" w:rsidRPr="296298D9">
        <w:rPr>
          <w:b/>
          <w:bCs/>
        </w:rPr>
        <w:t xml:space="preserve"> and adopt a victim-</w:t>
      </w:r>
      <w:r w:rsidR="4AA25E28" w:rsidRPr="296298D9">
        <w:rPr>
          <w:b/>
          <w:bCs/>
        </w:rPr>
        <w:t>centred</w:t>
      </w:r>
      <w:r w:rsidR="68E1D28D" w:rsidRPr="296298D9">
        <w:rPr>
          <w:b/>
          <w:bCs/>
        </w:rPr>
        <w:t xml:space="preserve">, </w:t>
      </w:r>
      <w:r w:rsidR="3838A26F" w:rsidRPr="296298D9">
        <w:rPr>
          <w:b/>
          <w:bCs/>
        </w:rPr>
        <w:t>rights-based</w:t>
      </w:r>
      <w:r w:rsidR="68E1D28D" w:rsidRPr="296298D9">
        <w:rPr>
          <w:b/>
          <w:bCs/>
        </w:rPr>
        <w:t xml:space="preserve"> approach to addressing hate crime. </w:t>
      </w:r>
    </w:p>
    <w:p w14:paraId="4FAA7EF4" w14:textId="115BA6DD" w:rsidR="5DD2F4C6" w:rsidRDefault="5DD2F4C6" w:rsidP="00342C19">
      <w:pPr>
        <w:pStyle w:val="ListParagraph"/>
        <w:numPr>
          <w:ilvl w:val="0"/>
          <w:numId w:val="0"/>
        </w:numPr>
        <w:ind w:left="720"/>
      </w:pPr>
    </w:p>
    <w:p w14:paraId="7FBCB90C" w14:textId="72EFAF5F" w:rsidR="00772E4C" w:rsidRPr="008C7E86" w:rsidRDefault="00772E4C" w:rsidP="00A41384">
      <w:pPr>
        <w:pStyle w:val="Heading1"/>
        <w:numPr>
          <w:ilvl w:val="0"/>
          <w:numId w:val="15"/>
        </w:numPr>
        <w:spacing w:before="120" w:after="120"/>
        <w:rPr>
          <w:rFonts w:ascii="Verdana" w:hAnsi="Verdana"/>
          <w:b/>
          <w:bCs/>
          <w:color w:val="77328A"/>
          <w:sz w:val="28"/>
          <w:szCs w:val="28"/>
        </w:rPr>
      </w:pPr>
      <w:bookmarkStart w:id="6" w:name="_Toc215744944"/>
      <w:r w:rsidRPr="008C7E86">
        <w:rPr>
          <w:rFonts w:ascii="Verdana" w:hAnsi="Verdana"/>
          <w:b/>
          <w:bCs/>
          <w:color w:val="77328A"/>
          <w:sz w:val="28"/>
          <w:szCs w:val="28"/>
        </w:rPr>
        <w:t xml:space="preserve">Immigration and </w:t>
      </w:r>
      <w:r w:rsidR="00BB67B3" w:rsidRPr="008C7E86">
        <w:rPr>
          <w:rFonts w:ascii="Verdana" w:hAnsi="Verdana"/>
          <w:b/>
          <w:bCs/>
          <w:color w:val="77328A"/>
          <w:sz w:val="28"/>
          <w:szCs w:val="28"/>
        </w:rPr>
        <w:t>a</w:t>
      </w:r>
      <w:r w:rsidRPr="008C7E86">
        <w:rPr>
          <w:rFonts w:ascii="Verdana" w:hAnsi="Verdana"/>
          <w:b/>
          <w:bCs/>
          <w:color w:val="77328A"/>
          <w:sz w:val="28"/>
          <w:szCs w:val="28"/>
        </w:rPr>
        <w:t>sylum, refugees and migrants</w:t>
      </w:r>
      <w:bookmarkEnd w:id="6"/>
    </w:p>
    <w:p w14:paraId="5BCAE1E9" w14:textId="77777777" w:rsidR="008D3431" w:rsidRPr="008D3431" w:rsidRDefault="008D3431" w:rsidP="008D3431">
      <w:pPr>
        <w:pStyle w:val="ListParagraph"/>
        <w:numPr>
          <w:ilvl w:val="0"/>
          <w:numId w:val="14"/>
        </w:numPr>
        <w:rPr>
          <w:vanish/>
        </w:rPr>
      </w:pPr>
    </w:p>
    <w:p w14:paraId="4E8778F7" w14:textId="77777777" w:rsidR="00804154" w:rsidRDefault="00804154" w:rsidP="00804154">
      <w:pPr>
        <w:pStyle w:val="ListParagraph"/>
        <w:numPr>
          <w:ilvl w:val="0"/>
          <w:numId w:val="0"/>
        </w:numPr>
        <w:ind w:left="720"/>
      </w:pPr>
    </w:p>
    <w:p w14:paraId="21272A23" w14:textId="602D8D02" w:rsidR="00BC1587" w:rsidRPr="008C7E86" w:rsidRDefault="00BC1587" w:rsidP="00342C19">
      <w:pPr>
        <w:pStyle w:val="ListParagraph"/>
      </w:pPr>
      <w:r w:rsidRPr="5DD2F4C6">
        <w:t>4</w:t>
      </w:r>
      <w:r w:rsidRPr="5DD2F4C6">
        <w:rPr>
          <w:vertAlign w:val="superscript"/>
        </w:rPr>
        <w:t>th</w:t>
      </w:r>
      <w:r w:rsidRPr="5DD2F4C6">
        <w:t xml:space="preserve"> cycle recommendations:</w:t>
      </w:r>
      <w:r w:rsidR="008908B3" w:rsidRPr="5DD2F4C6">
        <w:t xml:space="preserve"> </w:t>
      </w:r>
      <w:r w:rsidR="00033FDC" w:rsidRPr="5DD2F4C6">
        <w:t>43.</w:t>
      </w:r>
      <w:r w:rsidR="001D08BD" w:rsidRPr="5DD2F4C6">
        <w:t xml:space="preserve">1; </w:t>
      </w:r>
      <w:r w:rsidR="00033FDC" w:rsidRPr="5DD2F4C6">
        <w:t>43.50;</w:t>
      </w:r>
      <w:r w:rsidR="00727484" w:rsidRPr="5DD2F4C6">
        <w:t xml:space="preserve"> </w:t>
      </w:r>
      <w:r w:rsidR="00033FDC" w:rsidRPr="5DD2F4C6">
        <w:t>43.226;</w:t>
      </w:r>
      <w:r w:rsidR="00727484" w:rsidRPr="5DD2F4C6">
        <w:t xml:space="preserve"> </w:t>
      </w:r>
      <w:r w:rsidR="00033FDC" w:rsidRPr="5DD2F4C6">
        <w:t>43.273;</w:t>
      </w:r>
      <w:r w:rsidR="00727484" w:rsidRPr="5DD2F4C6">
        <w:t xml:space="preserve"> </w:t>
      </w:r>
      <w:r w:rsidR="00033FDC" w:rsidRPr="5DD2F4C6">
        <w:t>43.274;</w:t>
      </w:r>
      <w:r w:rsidR="00727484" w:rsidRPr="5DD2F4C6">
        <w:t xml:space="preserve"> </w:t>
      </w:r>
      <w:r w:rsidR="00033FDC" w:rsidRPr="5DD2F4C6">
        <w:t>43.275;</w:t>
      </w:r>
      <w:r w:rsidR="00727484" w:rsidRPr="5DD2F4C6">
        <w:t xml:space="preserve"> </w:t>
      </w:r>
      <w:r w:rsidR="00033FDC" w:rsidRPr="5DD2F4C6">
        <w:t>43.277;43.278;</w:t>
      </w:r>
      <w:r w:rsidR="00727484" w:rsidRPr="5DD2F4C6">
        <w:t xml:space="preserve"> </w:t>
      </w:r>
      <w:r w:rsidR="00033FDC" w:rsidRPr="5DD2F4C6">
        <w:t>43.280; 43.281;</w:t>
      </w:r>
      <w:r w:rsidR="00727484" w:rsidRPr="5DD2F4C6">
        <w:t xml:space="preserve"> </w:t>
      </w:r>
      <w:r w:rsidR="00033FDC" w:rsidRPr="5DD2F4C6">
        <w:t>43.282;</w:t>
      </w:r>
      <w:r w:rsidR="00727484" w:rsidRPr="5DD2F4C6">
        <w:t xml:space="preserve"> </w:t>
      </w:r>
      <w:r w:rsidR="00033FDC" w:rsidRPr="5DD2F4C6">
        <w:t>43.284;</w:t>
      </w:r>
      <w:r w:rsidR="00727484" w:rsidRPr="5DD2F4C6">
        <w:t xml:space="preserve"> </w:t>
      </w:r>
      <w:r w:rsidR="00033FDC" w:rsidRPr="5DD2F4C6">
        <w:t>43.285;</w:t>
      </w:r>
      <w:r w:rsidR="00727484" w:rsidRPr="5DD2F4C6">
        <w:t xml:space="preserve"> </w:t>
      </w:r>
      <w:r w:rsidR="00033FDC" w:rsidRPr="5DD2F4C6">
        <w:t>43.286;</w:t>
      </w:r>
      <w:r w:rsidR="00727484" w:rsidRPr="5DD2F4C6">
        <w:t xml:space="preserve"> </w:t>
      </w:r>
      <w:r w:rsidR="00033FDC" w:rsidRPr="5DD2F4C6">
        <w:t>43.287;</w:t>
      </w:r>
      <w:r w:rsidR="00727484" w:rsidRPr="5DD2F4C6">
        <w:t xml:space="preserve"> </w:t>
      </w:r>
      <w:r w:rsidR="00033FDC" w:rsidRPr="5DD2F4C6">
        <w:t>43.288;</w:t>
      </w:r>
      <w:r w:rsidR="00727484" w:rsidRPr="5DD2F4C6">
        <w:t xml:space="preserve"> </w:t>
      </w:r>
      <w:r w:rsidR="00033FDC" w:rsidRPr="5DD2F4C6">
        <w:t>43.289;</w:t>
      </w:r>
      <w:r w:rsidR="00727484" w:rsidRPr="5DD2F4C6">
        <w:t xml:space="preserve"> </w:t>
      </w:r>
      <w:r w:rsidR="00033FDC" w:rsidRPr="5DD2F4C6">
        <w:t>43.290;</w:t>
      </w:r>
      <w:r w:rsidR="00727484" w:rsidRPr="5DD2F4C6">
        <w:t xml:space="preserve"> </w:t>
      </w:r>
      <w:r w:rsidR="00033FDC" w:rsidRPr="5DD2F4C6">
        <w:t>43.291;</w:t>
      </w:r>
      <w:r w:rsidR="00727484" w:rsidRPr="5DD2F4C6">
        <w:t xml:space="preserve"> </w:t>
      </w:r>
      <w:r w:rsidR="00033FDC" w:rsidRPr="5DD2F4C6">
        <w:t>43.292;</w:t>
      </w:r>
      <w:r w:rsidR="00727484" w:rsidRPr="5DD2F4C6">
        <w:t xml:space="preserve"> </w:t>
      </w:r>
      <w:r w:rsidR="00033FDC" w:rsidRPr="5DD2F4C6">
        <w:t>43.293;</w:t>
      </w:r>
      <w:r w:rsidR="00727484" w:rsidRPr="5DD2F4C6">
        <w:t xml:space="preserve"> </w:t>
      </w:r>
      <w:r w:rsidR="00033FDC" w:rsidRPr="5DD2F4C6">
        <w:t>43.294; 43.295;</w:t>
      </w:r>
      <w:r w:rsidR="00727484" w:rsidRPr="5DD2F4C6">
        <w:t xml:space="preserve"> </w:t>
      </w:r>
      <w:r w:rsidR="00033FDC" w:rsidRPr="5DD2F4C6">
        <w:t>43.296;</w:t>
      </w:r>
      <w:r w:rsidR="00727484" w:rsidRPr="5DD2F4C6">
        <w:t xml:space="preserve"> </w:t>
      </w:r>
      <w:r w:rsidR="00033FDC" w:rsidRPr="5DD2F4C6">
        <w:t>43.297;</w:t>
      </w:r>
      <w:r w:rsidR="00727484" w:rsidRPr="5DD2F4C6">
        <w:t xml:space="preserve"> </w:t>
      </w:r>
      <w:r w:rsidR="00033FDC" w:rsidRPr="5DD2F4C6">
        <w:t>43.298;</w:t>
      </w:r>
      <w:r w:rsidR="00727484" w:rsidRPr="5DD2F4C6">
        <w:t xml:space="preserve"> </w:t>
      </w:r>
      <w:r w:rsidR="00033FDC" w:rsidRPr="5DD2F4C6">
        <w:t>43.299;</w:t>
      </w:r>
      <w:r w:rsidR="00727484" w:rsidRPr="5DD2F4C6">
        <w:t xml:space="preserve"> </w:t>
      </w:r>
      <w:r w:rsidR="00033FDC" w:rsidRPr="5DD2F4C6">
        <w:t>43.300;</w:t>
      </w:r>
      <w:r w:rsidR="00727484" w:rsidRPr="5DD2F4C6">
        <w:t xml:space="preserve"> </w:t>
      </w:r>
      <w:r w:rsidR="00591109" w:rsidRPr="5DD2F4C6">
        <w:t>43.301; 43.302</w:t>
      </w:r>
      <w:r w:rsidR="004A48C1" w:rsidRPr="5DD2F4C6">
        <w:t>.</w:t>
      </w:r>
      <w:r w:rsidR="00726511" w:rsidRPr="5DD2F4C6">
        <w:rPr>
          <w:i/>
          <w:iCs/>
        </w:rPr>
        <w:t xml:space="preserve"> </w:t>
      </w:r>
    </w:p>
    <w:p w14:paraId="293F6A07" w14:textId="455900EC" w:rsidR="5DD2F4C6" w:rsidRDefault="5DD2F4C6" w:rsidP="00342C19">
      <w:pPr>
        <w:pStyle w:val="ListParagraph"/>
        <w:numPr>
          <w:ilvl w:val="0"/>
          <w:numId w:val="0"/>
        </w:numPr>
        <w:ind w:left="720"/>
      </w:pPr>
    </w:p>
    <w:p w14:paraId="157490F7" w14:textId="77777777" w:rsidR="00BD0AC9" w:rsidRPr="009B59E0" w:rsidRDefault="00BD0AC9" w:rsidP="001C377F">
      <w:pPr>
        <w:pStyle w:val="Heading2"/>
        <w:spacing w:before="120" w:after="120"/>
        <w:rPr>
          <w:rFonts w:ascii="Verdana" w:hAnsi="Verdana"/>
          <w:b/>
          <w:bCs/>
          <w:color w:val="auto"/>
          <w:sz w:val="24"/>
          <w:szCs w:val="24"/>
        </w:rPr>
      </w:pPr>
      <w:bookmarkStart w:id="7" w:name="_Toc215744945"/>
      <w:r w:rsidRPr="009B59E0">
        <w:rPr>
          <w:rFonts w:ascii="Verdana" w:hAnsi="Verdana"/>
          <w:b/>
          <w:bCs/>
          <w:color w:val="auto"/>
          <w:sz w:val="24"/>
          <w:szCs w:val="24"/>
        </w:rPr>
        <w:t>UK Migration and Asylum Framework</w:t>
      </w:r>
      <w:bookmarkEnd w:id="7"/>
    </w:p>
    <w:p w14:paraId="25FD63F8" w14:textId="55AAF386" w:rsidR="006639D7" w:rsidRPr="008D3431" w:rsidRDefault="006639D7" w:rsidP="001C377F">
      <w:pPr>
        <w:numPr>
          <w:ilvl w:val="1"/>
          <w:numId w:val="14"/>
        </w:numPr>
        <w:spacing w:before="120" w:after="120" w:line="288" w:lineRule="auto"/>
        <w:rPr>
          <w:rFonts w:ascii="Verdana" w:hAnsi="Verdana"/>
        </w:rPr>
      </w:pPr>
      <w:r w:rsidRPr="008D3431">
        <w:rPr>
          <w:rFonts w:ascii="Verdana" w:hAnsi="Verdana"/>
        </w:rPr>
        <w:t xml:space="preserve">Several human rights bodies have raised concerns </w:t>
      </w:r>
      <w:r w:rsidR="00C6553C" w:rsidRPr="008D3431">
        <w:rPr>
          <w:rFonts w:ascii="Verdana" w:hAnsi="Verdana"/>
        </w:rPr>
        <w:t xml:space="preserve">about the UK </w:t>
      </w:r>
      <w:r w:rsidR="000846F1">
        <w:rPr>
          <w:rFonts w:ascii="Verdana" w:hAnsi="Verdana"/>
        </w:rPr>
        <w:t>M</w:t>
      </w:r>
      <w:r w:rsidR="00C6553C" w:rsidRPr="008D3431">
        <w:rPr>
          <w:rFonts w:ascii="Verdana" w:hAnsi="Verdana"/>
        </w:rPr>
        <w:t xml:space="preserve">igration and </w:t>
      </w:r>
      <w:r w:rsidR="000846F1">
        <w:rPr>
          <w:rFonts w:ascii="Verdana" w:hAnsi="Verdana"/>
        </w:rPr>
        <w:t>A</w:t>
      </w:r>
      <w:r w:rsidR="00C6553C" w:rsidRPr="008D3431">
        <w:rPr>
          <w:rFonts w:ascii="Verdana" w:hAnsi="Verdana"/>
        </w:rPr>
        <w:t xml:space="preserve">sylum </w:t>
      </w:r>
      <w:r w:rsidR="000846F1">
        <w:rPr>
          <w:rFonts w:ascii="Verdana" w:hAnsi="Verdana"/>
        </w:rPr>
        <w:t>F</w:t>
      </w:r>
      <w:r w:rsidR="00C6553C" w:rsidRPr="008D3431">
        <w:rPr>
          <w:rFonts w:ascii="Verdana" w:hAnsi="Verdana"/>
        </w:rPr>
        <w:t xml:space="preserve">ramework in </w:t>
      </w:r>
      <w:r w:rsidR="0049080B" w:rsidRPr="008D3431">
        <w:rPr>
          <w:rFonts w:ascii="Verdana" w:hAnsi="Verdana"/>
        </w:rPr>
        <w:t>recent years.</w:t>
      </w:r>
      <w:r w:rsidR="0049080B" w:rsidRPr="008D3431">
        <w:rPr>
          <w:rStyle w:val="FootnoteReference"/>
          <w:rFonts w:ascii="Verdana" w:hAnsi="Verdana"/>
        </w:rPr>
        <w:footnoteReference w:id="41"/>
      </w:r>
      <w:r w:rsidR="00434182" w:rsidRPr="008D3431">
        <w:rPr>
          <w:rFonts w:ascii="Verdana" w:hAnsi="Verdana"/>
        </w:rPr>
        <w:t xml:space="preserve"> In addition to</w:t>
      </w:r>
      <w:r w:rsidR="007B71AD" w:rsidRPr="008D3431">
        <w:rPr>
          <w:rFonts w:ascii="Verdana" w:hAnsi="Verdana"/>
        </w:rPr>
        <w:t xml:space="preserve"> the protections </w:t>
      </w:r>
      <w:r w:rsidR="00012A67" w:rsidRPr="008D3431">
        <w:rPr>
          <w:rFonts w:ascii="Verdana" w:hAnsi="Verdana"/>
        </w:rPr>
        <w:t xml:space="preserve">afforded to migrants, asylum seekers, and refugees by the international human rights treaties ratified by the UK, the </w:t>
      </w:r>
      <w:r w:rsidR="00C600CC" w:rsidRPr="008D3431">
        <w:rPr>
          <w:rFonts w:ascii="Verdana" w:hAnsi="Verdana"/>
        </w:rPr>
        <w:t xml:space="preserve">NI High Court considered the personal scope of </w:t>
      </w:r>
      <w:r w:rsidR="00C600CC" w:rsidRPr="008D3431">
        <w:rPr>
          <w:rFonts w:ascii="Verdana" w:hAnsi="Verdana" w:cs="Calibri"/>
          <w:szCs w:val="28"/>
        </w:rPr>
        <w:t xml:space="preserve">Windsor Framework </w:t>
      </w:r>
      <w:r w:rsidR="00C600CC" w:rsidRPr="008D3431">
        <w:rPr>
          <w:rFonts w:ascii="Verdana" w:hAnsi="Verdana"/>
        </w:rPr>
        <w:t xml:space="preserve">Article 2 and </w:t>
      </w:r>
      <w:r w:rsidR="00675662" w:rsidRPr="008D3431">
        <w:rPr>
          <w:rFonts w:ascii="Verdana" w:hAnsi="Verdana"/>
        </w:rPr>
        <w:t>confirmed that people seeking asylum and victims of human trafficking, as individuals, are included in the “wide compass of ‘everyone in the community’” and are therefore protected by Windsor Framework Article 2</w:t>
      </w:r>
      <w:r w:rsidR="00792425" w:rsidRPr="008D3431">
        <w:rPr>
          <w:rFonts w:ascii="Verdana" w:hAnsi="Verdana"/>
        </w:rPr>
        <w:t>.</w:t>
      </w:r>
      <w:r w:rsidR="00020A35" w:rsidRPr="008D3431">
        <w:rPr>
          <w:rStyle w:val="FootnoteReference"/>
          <w:rFonts w:ascii="Verdana" w:hAnsi="Verdana"/>
        </w:rPr>
        <w:footnoteReference w:id="42"/>
      </w:r>
      <w:r w:rsidR="00B62079" w:rsidRPr="008D3431">
        <w:rPr>
          <w:rFonts w:ascii="Verdana" w:hAnsi="Verdana"/>
        </w:rPr>
        <w:t xml:space="preserve"> </w:t>
      </w:r>
      <w:r w:rsidR="00020A35" w:rsidRPr="008D3431">
        <w:rPr>
          <w:rFonts w:ascii="Verdana" w:hAnsi="Verdana"/>
        </w:rPr>
        <w:t>The UK Government recognises that Windsor Framework Article 2 applies to “everyone who is subject to [</w:t>
      </w:r>
      <w:r w:rsidR="00073CBA" w:rsidRPr="008D3431">
        <w:rPr>
          <w:rFonts w:ascii="Verdana" w:hAnsi="Verdana"/>
        </w:rPr>
        <w:t>Northern Ireland</w:t>
      </w:r>
      <w:r w:rsidR="00020A35" w:rsidRPr="008D3431">
        <w:rPr>
          <w:rFonts w:ascii="Verdana" w:hAnsi="Verdana"/>
        </w:rPr>
        <w:t>]… law”.</w:t>
      </w:r>
      <w:r w:rsidR="00020A35" w:rsidRPr="008D3431">
        <w:rPr>
          <w:rFonts w:ascii="Verdana" w:hAnsi="Verdana"/>
          <w:vertAlign w:val="superscript"/>
        </w:rPr>
        <w:footnoteReference w:id="43"/>
      </w:r>
      <w:r w:rsidR="00020A35" w:rsidRPr="008D3431">
        <w:rPr>
          <w:rFonts w:ascii="Verdana" w:hAnsi="Verdana"/>
        </w:rPr>
        <w:t xml:space="preserve"> </w:t>
      </w:r>
      <w:r w:rsidR="00C600CC" w:rsidRPr="008D3431">
        <w:rPr>
          <w:rFonts w:ascii="Verdana" w:hAnsi="Verdana"/>
        </w:rPr>
        <w:t xml:space="preserve">The </w:t>
      </w:r>
      <w:r w:rsidR="002F744A">
        <w:rPr>
          <w:rFonts w:ascii="Verdana" w:hAnsi="Verdana"/>
        </w:rPr>
        <w:t xml:space="preserve">NI </w:t>
      </w:r>
      <w:r w:rsidR="00C600CC" w:rsidRPr="008D3431">
        <w:rPr>
          <w:rFonts w:ascii="Verdana" w:hAnsi="Verdana"/>
        </w:rPr>
        <w:t xml:space="preserve">High Court further found that the rights related to asylum fall within the definition of ‘civil rights’ in </w:t>
      </w:r>
      <w:r w:rsidR="00C600CC" w:rsidRPr="008D3431">
        <w:rPr>
          <w:rFonts w:ascii="Verdana" w:hAnsi="Verdana"/>
        </w:rPr>
        <w:lastRenderedPageBreak/>
        <w:t>the 1998 Agreement.</w:t>
      </w:r>
      <w:r w:rsidR="00C600CC" w:rsidRPr="008D3431">
        <w:rPr>
          <w:rStyle w:val="FootnoteReference"/>
          <w:rFonts w:ascii="Verdana" w:hAnsi="Verdana"/>
        </w:rPr>
        <w:footnoteReference w:id="44"/>
      </w:r>
      <w:r w:rsidR="00C600CC" w:rsidRPr="008D3431">
        <w:rPr>
          <w:rStyle w:val="FootnoteReference"/>
          <w:rFonts w:ascii="Verdana" w:hAnsi="Verdana"/>
        </w:rPr>
        <w:t xml:space="preserve"> </w:t>
      </w:r>
      <w:r w:rsidR="00C600CC" w:rsidRPr="008D3431">
        <w:rPr>
          <w:rFonts w:ascii="Verdana" w:hAnsi="Verdana"/>
        </w:rPr>
        <w:t>The Court also found that a number of EU measures</w:t>
      </w:r>
      <w:r w:rsidR="001F17C9" w:rsidRPr="001F17C9">
        <w:rPr>
          <w:rFonts w:ascii="Verdana" w:hAnsi="Verdana"/>
        </w:rPr>
        <w:t>, including the EU Procedures Directive, EU Reception Directive, EU Qualification Directive and the Dublin III Regulation,</w:t>
      </w:r>
      <w:r w:rsidR="00C600CC" w:rsidRPr="008D3431">
        <w:rPr>
          <w:rStyle w:val="FootnoteReference"/>
          <w:rFonts w:ascii="Verdana" w:hAnsi="Verdana"/>
        </w:rPr>
        <w:footnoteReference w:id="45"/>
      </w:r>
      <w:r w:rsidR="00C600CC" w:rsidRPr="008D3431">
        <w:rPr>
          <w:rFonts w:ascii="Verdana" w:hAnsi="Verdana"/>
        </w:rPr>
        <w:t xml:space="preserve"> continue to set minimum standards in NI and must be interpreted in line with the EU Charter of Fundamental Rights.</w:t>
      </w:r>
      <w:bookmarkStart w:id="8" w:name="_Hlk176539055"/>
      <w:r w:rsidR="00C600CC" w:rsidRPr="008D3431">
        <w:rPr>
          <w:rStyle w:val="FootnoteReference"/>
          <w:rFonts w:ascii="Verdana" w:hAnsi="Verdana"/>
        </w:rPr>
        <w:footnoteReference w:id="46"/>
      </w:r>
      <w:r w:rsidR="00C600CC" w:rsidRPr="008D3431">
        <w:rPr>
          <w:rFonts w:ascii="Verdana" w:hAnsi="Verdana"/>
        </w:rPr>
        <w:t xml:space="preserve"> </w:t>
      </w:r>
      <w:bookmarkEnd w:id="8"/>
    </w:p>
    <w:p w14:paraId="6191F5CD" w14:textId="3916A739" w:rsidR="5DD2F4C6" w:rsidRDefault="5DD2F4C6" w:rsidP="008B085E">
      <w:pPr>
        <w:spacing w:after="0" w:line="288" w:lineRule="auto"/>
        <w:ind w:left="720"/>
        <w:rPr>
          <w:rFonts w:ascii="Verdana" w:hAnsi="Verdana"/>
        </w:rPr>
      </w:pPr>
    </w:p>
    <w:p w14:paraId="5D4D4467" w14:textId="745B9A1F" w:rsidR="00A16F2C" w:rsidRPr="008C7E86" w:rsidRDefault="00A16F2C" w:rsidP="008B085E">
      <w:pPr>
        <w:numPr>
          <w:ilvl w:val="1"/>
          <w:numId w:val="14"/>
        </w:numPr>
        <w:spacing w:after="0" w:line="288" w:lineRule="auto"/>
        <w:rPr>
          <w:rFonts w:ascii="Verdana" w:hAnsi="Verdana"/>
        </w:rPr>
      </w:pPr>
      <w:r w:rsidRPr="5DD2F4C6">
        <w:rPr>
          <w:rFonts w:ascii="Verdana" w:hAnsi="Verdana"/>
        </w:rPr>
        <w:t xml:space="preserve">The NIHRC welcomes the UK Government's decision to end </w:t>
      </w:r>
      <w:r w:rsidR="001717A5" w:rsidRPr="5DD2F4C6">
        <w:rPr>
          <w:rFonts w:ascii="Verdana" w:hAnsi="Verdana"/>
        </w:rPr>
        <w:t>the Migration and</w:t>
      </w:r>
      <w:r w:rsidR="007602CE" w:rsidRPr="5DD2F4C6">
        <w:rPr>
          <w:rFonts w:ascii="Verdana" w:hAnsi="Verdana"/>
        </w:rPr>
        <w:t xml:space="preserve"> </w:t>
      </w:r>
      <w:r w:rsidR="001717A5" w:rsidRPr="5DD2F4C6">
        <w:rPr>
          <w:rFonts w:ascii="Verdana" w:hAnsi="Verdana"/>
        </w:rPr>
        <w:t>Economic Development Partnership with</w:t>
      </w:r>
      <w:r w:rsidR="007602CE" w:rsidRPr="5DD2F4C6">
        <w:rPr>
          <w:rFonts w:ascii="Verdana" w:hAnsi="Verdana"/>
        </w:rPr>
        <w:t xml:space="preserve"> </w:t>
      </w:r>
      <w:r w:rsidR="001717A5" w:rsidRPr="5DD2F4C6">
        <w:rPr>
          <w:rFonts w:ascii="Verdana" w:hAnsi="Verdana"/>
        </w:rPr>
        <w:t>Rwanda</w:t>
      </w:r>
      <w:r w:rsidR="0093072A" w:rsidRPr="5DD2F4C6">
        <w:rPr>
          <w:rFonts w:ascii="Verdana" w:hAnsi="Verdana"/>
        </w:rPr>
        <w:t>,</w:t>
      </w:r>
      <w:r w:rsidR="0093072A" w:rsidRPr="5DD2F4C6">
        <w:rPr>
          <w:rStyle w:val="FootnoteReference"/>
          <w:rFonts w:ascii="Verdana" w:hAnsi="Verdana"/>
        </w:rPr>
        <w:footnoteReference w:id="47"/>
      </w:r>
      <w:r w:rsidRPr="5DD2F4C6">
        <w:rPr>
          <w:rFonts w:ascii="Verdana" w:hAnsi="Verdana"/>
        </w:rPr>
        <w:t xml:space="preserve"> </w:t>
      </w:r>
      <w:r w:rsidR="005E39DE" w:rsidRPr="5DD2F4C6">
        <w:rPr>
          <w:rFonts w:ascii="Verdana" w:hAnsi="Verdana"/>
        </w:rPr>
        <w:t xml:space="preserve">as well as to </w:t>
      </w:r>
      <w:r w:rsidRPr="5DD2F4C6">
        <w:rPr>
          <w:rFonts w:ascii="Verdana" w:hAnsi="Verdana"/>
        </w:rPr>
        <w:t>repeal the Safety of Rwanda (Asylum and Immigration) Act 2024 and most provisions of the Illegal Migration Act 2023 through the Border Security, Asylum, and Immigration Bill.</w:t>
      </w:r>
      <w:r w:rsidR="00094ED4" w:rsidRPr="5DD2F4C6">
        <w:rPr>
          <w:rStyle w:val="FootnoteReference"/>
          <w:rFonts w:ascii="Verdana" w:hAnsi="Verdana"/>
        </w:rPr>
        <w:footnoteReference w:id="48"/>
      </w:r>
      <w:r w:rsidRPr="5DD2F4C6">
        <w:rPr>
          <w:rFonts w:ascii="Verdana" w:hAnsi="Verdana"/>
        </w:rPr>
        <w:t xml:space="preserve"> However, </w:t>
      </w:r>
      <w:r w:rsidR="000739EF" w:rsidRPr="5DD2F4C6">
        <w:rPr>
          <w:rFonts w:ascii="Verdana" w:hAnsi="Verdana"/>
        </w:rPr>
        <w:t>the NIHRC</w:t>
      </w:r>
      <w:r w:rsidRPr="5DD2F4C6">
        <w:rPr>
          <w:rFonts w:ascii="Verdana" w:hAnsi="Verdana"/>
        </w:rPr>
        <w:t xml:space="preserve"> remains concerned about the </w:t>
      </w:r>
      <w:r w:rsidR="00A066B2">
        <w:rPr>
          <w:rFonts w:ascii="Verdana" w:hAnsi="Verdana"/>
        </w:rPr>
        <w:t xml:space="preserve">compliance of the </w:t>
      </w:r>
      <w:r w:rsidR="003A5D24" w:rsidRPr="003A5D24">
        <w:rPr>
          <w:rFonts w:ascii="Verdana" w:hAnsi="Verdana"/>
        </w:rPr>
        <w:t>UK Migration and Asylum Framework</w:t>
      </w:r>
      <w:r w:rsidRPr="5DD2F4C6">
        <w:rPr>
          <w:rFonts w:ascii="Verdana" w:hAnsi="Verdana"/>
        </w:rPr>
        <w:t xml:space="preserve"> with </w:t>
      </w:r>
      <w:r w:rsidR="00874E3B" w:rsidRPr="5DD2F4C6">
        <w:rPr>
          <w:rFonts w:ascii="Verdana" w:hAnsi="Verdana"/>
        </w:rPr>
        <w:t>its</w:t>
      </w:r>
      <w:r w:rsidRPr="5DD2F4C6">
        <w:rPr>
          <w:rFonts w:ascii="Verdana" w:hAnsi="Verdana"/>
        </w:rPr>
        <w:t xml:space="preserve"> human rights obligations, particularly </w:t>
      </w:r>
      <w:r w:rsidR="00C610B8" w:rsidRPr="5DD2F4C6">
        <w:rPr>
          <w:rFonts w:ascii="Verdana" w:hAnsi="Verdana"/>
        </w:rPr>
        <w:t>regarding the retention of provisions from the Nationality and Borders Act 2022 and part</w:t>
      </w:r>
      <w:r w:rsidR="00874E3B" w:rsidRPr="5DD2F4C6">
        <w:rPr>
          <w:rFonts w:ascii="Verdana" w:hAnsi="Verdana"/>
        </w:rPr>
        <w:t>s</w:t>
      </w:r>
      <w:r w:rsidR="00C610B8" w:rsidRPr="5DD2F4C6">
        <w:rPr>
          <w:rFonts w:ascii="Verdana" w:hAnsi="Verdana"/>
        </w:rPr>
        <w:t xml:space="preserve"> of the Illegal Migration Act 2023</w:t>
      </w:r>
      <w:r w:rsidRPr="5DD2F4C6">
        <w:rPr>
          <w:rFonts w:ascii="Verdana" w:hAnsi="Verdana"/>
        </w:rPr>
        <w:t>.</w:t>
      </w:r>
    </w:p>
    <w:p w14:paraId="0926D476" w14:textId="1BE97E62" w:rsidR="5DD2F4C6" w:rsidRDefault="5DD2F4C6" w:rsidP="008B085E">
      <w:pPr>
        <w:spacing w:after="0" w:line="288" w:lineRule="auto"/>
        <w:ind w:left="720"/>
        <w:rPr>
          <w:rFonts w:ascii="Verdana" w:hAnsi="Verdana"/>
        </w:rPr>
      </w:pPr>
    </w:p>
    <w:p w14:paraId="47871C26" w14:textId="77777777" w:rsidR="00B56C4E" w:rsidRPr="008C7E86" w:rsidRDefault="00191DA3" w:rsidP="008B085E">
      <w:pPr>
        <w:numPr>
          <w:ilvl w:val="1"/>
          <w:numId w:val="14"/>
        </w:numPr>
        <w:spacing w:after="0" w:line="288" w:lineRule="auto"/>
        <w:rPr>
          <w:rFonts w:ascii="Verdana" w:hAnsi="Verdana"/>
        </w:rPr>
      </w:pPr>
      <w:r w:rsidRPr="5DD2F4C6">
        <w:rPr>
          <w:rFonts w:ascii="Verdana" w:hAnsi="Verdana"/>
        </w:rPr>
        <w:t>People seeking to come to the UK for humanitarian protection have few safe and regular routes available. There is no ‘asylum visa’ to the UK, and access must be granted prior to arrival.</w:t>
      </w:r>
      <w:r w:rsidRPr="5DD2F4C6">
        <w:rPr>
          <w:rFonts w:ascii="Verdana" w:hAnsi="Verdana"/>
          <w:vertAlign w:val="superscript"/>
        </w:rPr>
        <w:footnoteReference w:id="49"/>
      </w:r>
      <w:r w:rsidR="0050479B" w:rsidRPr="5DD2F4C6">
        <w:rPr>
          <w:rFonts w:ascii="Verdana" w:hAnsi="Verdana"/>
        </w:rPr>
        <w:t xml:space="preserve"> </w:t>
      </w:r>
    </w:p>
    <w:p w14:paraId="2A3E6E30" w14:textId="01556D1B" w:rsidR="5DD2F4C6" w:rsidRDefault="5DD2F4C6" w:rsidP="008B085E">
      <w:pPr>
        <w:spacing w:after="0" w:line="288" w:lineRule="auto"/>
        <w:ind w:left="720"/>
        <w:rPr>
          <w:rFonts w:ascii="Verdana" w:hAnsi="Verdana"/>
        </w:rPr>
      </w:pPr>
    </w:p>
    <w:p w14:paraId="22CCB473" w14:textId="1324D955" w:rsidR="00F95ACA" w:rsidRDefault="4CD66521" w:rsidP="008D3431">
      <w:pPr>
        <w:pStyle w:val="ListParagraph"/>
        <w:spacing w:before="0" w:after="0" w:line="288" w:lineRule="auto"/>
      </w:pPr>
      <w:bookmarkStart w:id="9" w:name="_Hlk175923898"/>
      <w:bookmarkStart w:id="10" w:name="_Hlk175923874"/>
      <w:r>
        <w:t xml:space="preserve">In 2024, ruling on a judicial review issued by the </w:t>
      </w:r>
      <w:r w:rsidR="0FC19E1A">
        <w:t xml:space="preserve">NIHRC </w:t>
      </w:r>
      <w:r>
        <w:t xml:space="preserve">and an unaccompanied minor seeking asylum, the NI High Court found that the </w:t>
      </w:r>
      <w:r w:rsidR="00153903" w:rsidRPr="5DD2F4C6">
        <w:t>Illegal Migration Act 2023</w:t>
      </w:r>
      <w:r>
        <w:t xml:space="preserve"> violated Articles 3 (freedom from torture), 4 (freedom from slavery and forced labour) and 8 (right to respect for family and private life) of the ECHR. Consequently, a declaration of incompatibility was made regarding the </w:t>
      </w:r>
      <w:r w:rsidR="00153903" w:rsidRPr="5DD2F4C6">
        <w:t>Illegal Migration Act 2023</w:t>
      </w:r>
      <w:r>
        <w:t xml:space="preserve">’s provisions relevant to the ECHR, awaiting </w:t>
      </w:r>
      <w:r>
        <w:lastRenderedPageBreak/>
        <w:t>further action from the UK Parliament.</w:t>
      </w:r>
      <w:r w:rsidR="00F95ACA">
        <w:rPr>
          <w:rStyle w:val="FootnoteReference"/>
        </w:rPr>
        <w:footnoteReference w:id="50"/>
      </w:r>
      <w:r>
        <w:t xml:space="preserve"> In addition, the </w:t>
      </w:r>
      <w:r w:rsidR="003D6852">
        <w:t xml:space="preserve">NI </w:t>
      </w:r>
      <w:r>
        <w:t xml:space="preserve">High Court found that several provisions of the </w:t>
      </w:r>
      <w:r w:rsidR="00FD183F" w:rsidRPr="5DD2F4C6">
        <w:t>Illegal Migration Act 2023</w:t>
      </w:r>
      <w:r>
        <w:t xml:space="preserve"> breached Windsor Framework Article 2 by diminishing rights below EU minimum standards on effective examination of an asylum claim,</w:t>
      </w:r>
      <w:r w:rsidR="00F95ACA">
        <w:rPr>
          <w:rStyle w:val="FootnoteReference"/>
        </w:rPr>
        <w:footnoteReference w:id="51"/>
      </w:r>
      <w:r>
        <w:t xml:space="preserve"> lack of an effective remedy,</w:t>
      </w:r>
      <w:r w:rsidR="00F95ACA">
        <w:rPr>
          <w:rStyle w:val="FootnoteReference"/>
        </w:rPr>
        <w:footnoteReference w:id="52"/>
      </w:r>
      <w:r>
        <w:t xml:space="preserve"> removal,</w:t>
      </w:r>
      <w:r w:rsidR="00F95ACA">
        <w:rPr>
          <w:rStyle w:val="FootnoteReference"/>
        </w:rPr>
        <w:footnoteReference w:id="53"/>
      </w:r>
      <w:r>
        <w:t xml:space="preserve"> non-refoulement,</w:t>
      </w:r>
      <w:r w:rsidR="00F95ACA">
        <w:rPr>
          <w:rStyle w:val="FootnoteReference"/>
        </w:rPr>
        <w:footnoteReference w:id="54"/>
      </w:r>
      <w:r>
        <w:t xml:space="preserve"> detention,</w:t>
      </w:r>
      <w:r w:rsidR="00F95ACA">
        <w:rPr>
          <w:rStyle w:val="FootnoteReference"/>
        </w:rPr>
        <w:footnoteReference w:id="55"/>
      </w:r>
      <w:r>
        <w:t xml:space="preserve"> trafficking,</w:t>
      </w:r>
      <w:r w:rsidR="00F95ACA">
        <w:rPr>
          <w:rStyle w:val="FootnoteReference"/>
        </w:rPr>
        <w:footnoteReference w:id="56"/>
      </w:r>
      <w:r>
        <w:t xml:space="preserve"> and children</w:t>
      </w:r>
      <w:r w:rsidR="00FD183F">
        <w:t>.</w:t>
      </w:r>
      <w:r w:rsidR="00F95ACA">
        <w:rPr>
          <w:rStyle w:val="FootnoteReference"/>
        </w:rPr>
        <w:footnoteReference w:id="57"/>
      </w:r>
      <w:r>
        <w:t xml:space="preserve"> Those provisions of the 2023 Act were disapplied in respect of NI.</w:t>
      </w:r>
      <w:r w:rsidR="00F95ACA">
        <w:rPr>
          <w:rStyle w:val="FootnoteReference"/>
        </w:rPr>
        <w:footnoteReference w:id="58"/>
      </w:r>
      <w:r>
        <w:t xml:space="preserve"> In 2025, the UK Government sought to appeal the decision. However, the </w:t>
      </w:r>
      <w:r w:rsidR="003D6852">
        <w:t xml:space="preserve">NI </w:t>
      </w:r>
      <w:r>
        <w:t>Court of Appeal stayed the appeal.</w:t>
      </w:r>
      <w:r w:rsidR="00083E58">
        <w:rPr>
          <w:rStyle w:val="FootnoteReference"/>
        </w:rPr>
        <w:footnoteReference w:id="59"/>
      </w:r>
      <w:r>
        <w:t xml:space="preserve"> This was due to developments such as the introduction of the Border Security, Asylum and Immigration Bill.</w:t>
      </w:r>
      <w:r w:rsidR="00F95ACA" w:rsidRPr="001B1F24">
        <w:rPr>
          <w:rStyle w:val="FootnoteReference"/>
        </w:rPr>
        <w:footnoteReference w:id="60"/>
      </w:r>
      <w:bookmarkStart w:id="11" w:name="_Hlk175671070"/>
      <w:bookmarkEnd w:id="9"/>
      <w:bookmarkEnd w:id="10"/>
    </w:p>
    <w:p w14:paraId="0C62DC9F" w14:textId="77777777" w:rsidR="008D3431" w:rsidRDefault="008D3431" w:rsidP="008D3431">
      <w:pPr>
        <w:pStyle w:val="ListParagraph"/>
        <w:numPr>
          <w:ilvl w:val="0"/>
          <w:numId w:val="0"/>
        </w:numPr>
        <w:spacing w:before="0" w:after="0" w:line="288" w:lineRule="auto"/>
        <w:ind w:left="720"/>
      </w:pPr>
    </w:p>
    <w:bookmarkEnd w:id="11"/>
    <w:p w14:paraId="078B141E" w14:textId="0FD82D0A" w:rsidR="00A017DC" w:rsidRPr="008C7E86" w:rsidRDefault="00A02149" w:rsidP="00901849">
      <w:pPr>
        <w:numPr>
          <w:ilvl w:val="1"/>
          <w:numId w:val="14"/>
        </w:numPr>
        <w:spacing w:after="0" w:line="288" w:lineRule="auto"/>
        <w:rPr>
          <w:rFonts w:ascii="Verdana" w:hAnsi="Verdana"/>
        </w:rPr>
      </w:pPr>
      <w:r>
        <w:rPr>
          <w:rFonts w:ascii="Verdana" w:hAnsi="Verdana"/>
        </w:rPr>
        <w:t xml:space="preserve">Throughout its passage through Parliament, </w:t>
      </w:r>
      <w:r w:rsidRPr="5DD2F4C6">
        <w:rPr>
          <w:rFonts w:ascii="Verdana" w:hAnsi="Verdana"/>
        </w:rPr>
        <w:t xml:space="preserve">the </w:t>
      </w:r>
      <w:r w:rsidR="0050479B" w:rsidRPr="5DD2F4C6">
        <w:rPr>
          <w:rFonts w:ascii="Verdana" w:hAnsi="Verdana"/>
        </w:rPr>
        <w:t>NIHRC raised concerns about the Illegal Migration Act 2023's compliance with human rights obligations and Windsor Framework</w:t>
      </w:r>
      <w:r w:rsidR="00B1278C">
        <w:rPr>
          <w:rFonts w:ascii="Verdana" w:hAnsi="Verdana"/>
        </w:rPr>
        <w:t xml:space="preserve"> </w:t>
      </w:r>
      <w:r w:rsidR="00B1278C" w:rsidRPr="5DD2F4C6">
        <w:rPr>
          <w:rFonts w:ascii="Verdana" w:hAnsi="Verdana"/>
        </w:rPr>
        <w:t>Article 2</w:t>
      </w:r>
      <w:r w:rsidR="0050479B" w:rsidRPr="5DD2F4C6">
        <w:rPr>
          <w:rFonts w:ascii="Verdana" w:hAnsi="Verdana"/>
        </w:rPr>
        <w:t xml:space="preserve">. Key issues include limitations on judicial oversight, the removal of support for victims of modern slavery and human </w:t>
      </w:r>
      <w:r w:rsidR="000317A9" w:rsidRPr="5DD2F4C6">
        <w:rPr>
          <w:rFonts w:ascii="Verdana" w:hAnsi="Verdana"/>
        </w:rPr>
        <w:t>trafficking and</w:t>
      </w:r>
      <w:r w:rsidR="0050479B" w:rsidRPr="5DD2F4C6">
        <w:rPr>
          <w:rFonts w:ascii="Verdana" w:hAnsi="Verdana"/>
        </w:rPr>
        <w:t xml:space="preserve"> weakened child protection.</w:t>
      </w:r>
      <w:r w:rsidR="000317A9" w:rsidRPr="5DD2F4C6">
        <w:rPr>
          <w:rStyle w:val="FootnoteReference"/>
          <w:rFonts w:ascii="Verdana" w:hAnsi="Verdana"/>
        </w:rPr>
        <w:footnoteReference w:id="61"/>
      </w:r>
    </w:p>
    <w:p w14:paraId="2B0CE677" w14:textId="3F311921" w:rsidR="5DD2F4C6" w:rsidRDefault="5DD2F4C6" w:rsidP="00AF1B3E">
      <w:pPr>
        <w:spacing w:after="0" w:line="288" w:lineRule="auto"/>
        <w:ind w:left="720"/>
        <w:rPr>
          <w:rFonts w:ascii="Verdana" w:hAnsi="Verdana"/>
        </w:rPr>
      </w:pPr>
    </w:p>
    <w:p w14:paraId="1D018074" w14:textId="072EBE11" w:rsidR="00694737" w:rsidRPr="008C7E86" w:rsidRDefault="007C1A8F" w:rsidP="00AF1B3E">
      <w:pPr>
        <w:numPr>
          <w:ilvl w:val="1"/>
          <w:numId w:val="14"/>
        </w:numPr>
        <w:spacing w:after="0" w:line="288" w:lineRule="auto"/>
        <w:rPr>
          <w:rFonts w:ascii="Verdana" w:hAnsi="Verdana"/>
        </w:rPr>
      </w:pPr>
      <w:r w:rsidRPr="5DD2F4C6">
        <w:rPr>
          <w:rFonts w:ascii="Verdana" w:hAnsi="Verdana"/>
        </w:rPr>
        <w:lastRenderedPageBreak/>
        <w:t>In January 2025, the UK Government introduced the Border Security, Asylum, and Immigration Bill in Parliament.</w:t>
      </w:r>
      <w:r w:rsidR="002125A0" w:rsidRPr="5DD2F4C6">
        <w:rPr>
          <w:rStyle w:val="FootnoteReference"/>
          <w:rFonts w:ascii="Verdana" w:hAnsi="Verdana"/>
        </w:rPr>
        <w:footnoteReference w:id="62"/>
      </w:r>
      <w:r w:rsidRPr="5DD2F4C6">
        <w:rPr>
          <w:rFonts w:ascii="Verdana" w:hAnsi="Verdana"/>
        </w:rPr>
        <w:t xml:space="preserve"> The Bill repeal</w:t>
      </w:r>
      <w:r w:rsidR="00E50E51" w:rsidRPr="5DD2F4C6">
        <w:rPr>
          <w:rFonts w:ascii="Verdana" w:hAnsi="Verdana"/>
        </w:rPr>
        <w:t xml:space="preserve">s </w:t>
      </w:r>
      <w:r w:rsidRPr="5DD2F4C6">
        <w:rPr>
          <w:rFonts w:ascii="Verdana" w:hAnsi="Verdana"/>
        </w:rPr>
        <w:t xml:space="preserve">the Safety of Rwanda (Asylum and Immigration) Act 2024 and most provisions of the Illegal Migration Act 2023, a </w:t>
      </w:r>
      <w:r w:rsidR="00FF611D" w:rsidRPr="5DD2F4C6">
        <w:rPr>
          <w:rFonts w:ascii="Verdana" w:hAnsi="Verdana"/>
        </w:rPr>
        <w:t>step</w:t>
      </w:r>
      <w:r w:rsidRPr="5DD2F4C6">
        <w:rPr>
          <w:rFonts w:ascii="Verdana" w:hAnsi="Verdana"/>
        </w:rPr>
        <w:t xml:space="preserve"> welcomed by the NIHRC.</w:t>
      </w:r>
      <w:r w:rsidR="00CB545A" w:rsidRPr="5DD2F4C6">
        <w:rPr>
          <w:rStyle w:val="FootnoteReference"/>
          <w:rFonts w:ascii="Verdana" w:hAnsi="Verdana"/>
        </w:rPr>
        <w:footnoteReference w:id="63"/>
      </w:r>
      <w:r w:rsidRPr="5DD2F4C6">
        <w:rPr>
          <w:rFonts w:ascii="Verdana" w:hAnsi="Verdana"/>
        </w:rPr>
        <w:t xml:space="preserve"> However, </w:t>
      </w:r>
      <w:r w:rsidR="008E617A" w:rsidRPr="5DD2F4C6">
        <w:rPr>
          <w:rFonts w:ascii="Verdana" w:hAnsi="Verdana"/>
        </w:rPr>
        <w:t>the Bill</w:t>
      </w:r>
      <w:r w:rsidRPr="5DD2F4C6">
        <w:rPr>
          <w:rFonts w:ascii="Verdana" w:hAnsi="Verdana"/>
        </w:rPr>
        <w:t xml:space="preserve"> introduces new criminal </w:t>
      </w:r>
      <w:r w:rsidR="00FF611D" w:rsidRPr="5DD2F4C6">
        <w:rPr>
          <w:rFonts w:ascii="Verdana" w:hAnsi="Verdana"/>
        </w:rPr>
        <w:t>offences</w:t>
      </w:r>
      <w:r w:rsidRPr="5DD2F4C6">
        <w:rPr>
          <w:rFonts w:ascii="Verdana" w:hAnsi="Verdana"/>
        </w:rPr>
        <w:t xml:space="preserve"> and expands the Home Secretary's powers to impose strict restrictions on </w:t>
      </w:r>
      <w:r w:rsidR="00F2742B" w:rsidRPr="5DD2F4C6">
        <w:rPr>
          <w:rFonts w:ascii="Verdana" w:hAnsi="Verdana"/>
        </w:rPr>
        <w:t>migrants who have entered the UK irregularly.</w:t>
      </w:r>
      <w:r w:rsidR="00F2742B" w:rsidRPr="5DD2F4C6">
        <w:rPr>
          <w:rFonts w:ascii="Verdana" w:hAnsi="Verdana"/>
          <w:vertAlign w:val="superscript"/>
        </w:rPr>
        <w:footnoteReference w:id="64"/>
      </w:r>
      <w:r w:rsidR="00F2742B" w:rsidRPr="5DD2F4C6">
        <w:rPr>
          <w:rFonts w:ascii="Verdana" w:hAnsi="Verdana"/>
        </w:rPr>
        <w:t xml:space="preserve"> </w:t>
      </w:r>
    </w:p>
    <w:p w14:paraId="20480CF1" w14:textId="6DB19884" w:rsidR="5DD2F4C6" w:rsidRDefault="5DD2F4C6" w:rsidP="00AF1B3E">
      <w:pPr>
        <w:spacing w:after="0" w:line="288" w:lineRule="auto"/>
        <w:ind w:left="720"/>
        <w:rPr>
          <w:rFonts w:ascii="Verdana" w:hAnsi="Verdana"/>
        </w:rPr>
      </w:pPr>
    </w:p>
    <w:p w14:paraId="0B30A618" w14:textId="6C945E20" w:rsidR="0044577E" w:rsidRPr="008C7E86" w:rsidRDefault="32034797" w:rsidP="008C2B7D">
      <w:pPr>
        <w:numPr>
          <w:ilvl w:val="1"/>
          <w:numId w:val="14"/>
        </w:numPr>
        <w:spacing w:after="0" w:line="288" w:lineRule="auto"/>
        <w:rPr>
          <w:rFonts w:ascii="Verdana" w:hAnsi="Verdana"/>
        </w:rPr>
      </w:pPr>
      <w:r w:rsidRPr="5DD2F4C6">
        <w:rPr>
          <w:rFonts w:ascii="Verdana" w:hAnsi="Verdana"/>
        </w:rPr>
        <w:t>The NIHRC raised concerns over these provisions, particularly regarding the lack of safeguards for victims of modern slavery, human trafficking, and children.</w:t>
      </w:r>
      <w:r w:rsidR="00001320" w:rsidRPr="5DD2F4C6">
        <w:rPr>
          <w:rStyle w:val="FootnoteReference"/>
          <w:rFonts w:ascii="Verdana" w:hAnsi="Verdana"/>
        </w:rPr>
        <w:footnoteReference w:id="65"/>
      </w:r>
      <w:r w:rsidRPr="5DD2F4C6">
        <w:rPr>
          <w:rFonts w:ascii="Verdana" w:hAnsi="Verdana"/>
        </w:rPr>
        <w:t xml:space="preserve"> </w:t>
      </w:r>
      <w:r w:rsidR="02F7A905" w:rsidRPr="5DD2F4C6">
        <w:rPr>
          <w:rFonts w:ascii="Verdana" w:hAnsi="Verdana"/>
        </w:rPr>
        <w:t xml:space="preserve">Particularly </w:t>
      </w:r>
      <w:r w:rsidR="6558DE0B" w:rsidRPr="5DD2F4C6">
        <w:rPr>
          <w:rFonts w:ascii="Verdana" w:hAnsi="Verdana"/>
        </w:rPr>
        <w:t>worrying</w:t>
      </w:r>
      <w:r w:rsidR="02F7A905" w:rsidRPr="5DD2F4C6">
        <w:rPr>
          <w:rFonts w:ascii="Verdana" w:hAnsi="Verdana"/>
        </w:rPr>
        <w:t xml:space="preserve"> are the retained</w:t>
      </w:r>
      <w:r w:rsidRPr="5DD2F4C6">
        <w:rPr>
          <w:rFonts w:ascii="Verdana" w:hAnsi="Verdana"/>
        </w:rPr>
        <w:t xml:space="preserve"> sections of the Illegal Migration Act </w:t>
      </w:r>
      <w:r w:rsidR="511865A6" w:rsidRPr="5DD2F4C6">
        <w:rPr>
          <w:rFonts w:ascii="Verdana" w:hAnsi="Verdana"/>
        </w:rPr>
        <w:t xml:space="preserve">2023 </w:t>
      </w:r>
      <w:r w:rsidRPr="5DD2F4C6">
        <w:rPr>
          <w:rFonts w:ascii="Verdana" w:hAnsi="Verdana"/>
        </w:rPr>
        <w:t>that may lead to arbitrary detention of refugees, limit access to protections for modern slavery victims, and increase the risk of refoulement for individuals from countries deemed 'safe' without proper assessments.</w:t>
      </w:r>
      <w:r w:rsidR="00A92928" w:rsidRPr="5DD2F4C6">
        <w:rPr>
          <w:rStyle w:val="FootnoteReference"/>
          <w:rFonts w:ascii="Verdana" w:hAnsi="Verdana"/>
        </w:rPr>
        <w:footnoteReference w:id="66"/>
      </w:r>
      <w:r w:rsidRPr="5DD2F4C6">
        <w:rPr>
          <w:rFonts w:ascii="Verdana" w:hAnsi="Verdana"/>
        </w:rPr>
        <w:t xml:space="preserve"> Additionally, the </w:t>
      </w:r>
      <w:r w:rsidR="184332E2" w:rsidRPr="5DD2F4C6">
        <w:rPr>
          <w:rFonts w:ascii="Verdana" w:hAnsi="Verdana"/>
        </w:rPr>
        <w:t xml:space="preserve">NIHRC </w:t>
      </w:r>
      <w:r w:rsidRPr="5DD2F4C6">
        <w:rPr>
          <w:rFonts w:ascii="Verdana" w:hAnsi="Verdana"/>
        </w:rPr>
        <w:t xml:space="preserve">is </w:t>
      </w:r>
      <w:r w:rsidR="462374C6" w:rsidRPr="5DD2F4C6">
        <w:rPr>
          <w:rFonts w:ascii="Verdana" w:hAnsi="Verdana"/>
        </w:rPr>
        <w:t xml:space="preserve">concerned about the </w:t>
      </w:r>
      <w:r w:rsidR="4CD66521" w:rsidRPr="296298D9">
        <w:rPr>
          <w:rFonts w:ascii="Verdana" w:hAnsi="Verdana"/>
        </w:rPr>
        <w:t xml:space="preserve">proposed </w:t>
      </w:r>
      <w:r w:rsidR="462374C6" w:rsidRPr="5DD2F4C6">
        <w:rPr>
          <w:rFonts w:ascii="Verdana" w:hAnsi="Verdana"/>
        </w:rPr>
        <w:t>retention of related elements of the Nationality and Borders Act 2022, which continue to undermine the UK's human rights obligations, including EU standards under the Windsor Framework Article 2, as well as its</w:t>
      </w:r>
      <w:r w:rsidR="6375056F" w:rsidRPr="5DD2F4C6">
        <w:rPr>
          <w:rFonts w:ascii="Verdana" w:hAnsi="Verdana"/>
        </w:rPr>
        <w:t xml:space="preserve"> humanitarian responsibilities.</w:t>
      </w:r>
      <w:r w:rsidR="00AB04BF" w:rsidRPr="5DD2F4C6">
        <w:rPr>
          <w:rFonts w:ascii="Verdana" w:hAnsi="Verdana"/>
          <w:vertAlign w:val="superscript"/>
        </w:rPr>
        <w:footnoteReference w:id="67"/>
      </w:r>
    </w:p>
    <w:p w14:paraId="6E8BA2B8" w14:textId="2C11C2C4" w:rsidR="5DD2F4C6" w:rsidRDefault="5DD2F4C6" w:rsidP="006E7C84">
      <w:pPr>
        <w:spacing w:after="0" w:line="288" w:lineRule="auto"/>
        <w:ind w:left="720"/>
        <w:rPr>
          <w:rFonts w:ascii="Verdana" w:hAnsi="Verdana"/>
        </w:rPr>
      </w:pPr>
    </w:p>
    <w:p w14:paraId="5E975083" w14:textId="389D6069" w:rsidR="00D02958" w:rsidRPr="008C7E86" w:rsidRDefault="007E2A1F" w:rsidP="006E7C84">
      <w:pPr>
        <w:numPr>
          <w:ilvl w:val="1"/>
          <w:numId w:val="14"/>
        </w:numPr>
        <w:spacing w:after="0" w:line="288" w:lineRule="auto"/>
        <w:rPr>
          <w:rFonts w:ascii="Verdana" w:hAnsi="Verdana"/>
        </w:rPr>
      </w:pPr>
      <w:r w:rsidRPr="5DD2F4C6">
        <w:rPr>
          <w:rFonts w:ascii="Verdana" w:hAnsi="Verdana"/>
        </w:rPr>
        <w:t xml:space="preserve">Regarding </w:t>
      </w:r>
      <w:r w:rsidR="00FF0275" w:rsidRPr="5DD2F4C6">
        <w:rPr>
          <w:rFonts w:ascii="Verdana" w:hAnsi="Verdana"/>
        </w:rPr>
        <w:t xml:space="preserve">unaccompanied children seeking asylum, </w:t>
      </w:r>
      <w:r w:rsidR="00C817A3" w:rsidRPr="5DD2F4C6">
        <w:rPr>
          <w:rFonts w:ascii="Verdana" w:hAnsi="Verdana"/>
        </w:rPr>
        <w:t xml:space="preserve">UK immigration law normally allows refugees to sponsor family members for reunification. However, in September 2025, the UK Government </w:t>
      </w:r>
      <w:r w:rsidR="00C817A3" w:rsidRPr="5DD2F4C6">
        <w:rPr>
          <w:rFonts w:ascii="Verdana" w:hAnsi="Verdana"/>
        </w:rPr>
        <w:lastRenderedPageBreak/>
        <w:t>suspended new applications for this program</w:t>
      </w:r>
      <w:r w:rsidR="000E64AF" w:rsidRPr="5DD2F4C6">
        <w:rPr>
          <w:rFonts w:ascii="Verdana" w:hAnsi="Verdana"/>
        </w:rPr>
        <w:t>. U</w:t>
      </w:r>
      <w:r w:rsidR="00C817A3" w:rsidRPr="5DD2F4C6">
        <w:rPr>
          <w:rFonts w:ascii="Verdana" w:hAnsi="Verdana"/>
        </w:rPr>
        <w:t>naccompanied children cannot sponsor family members to join them in the UK.</w:t>
      </w:r>
      <w:r w:rsidR="000E64AF" w:rsidRPr="5DD2F4C6">
        <w:rPr>
          <w:rStyle w:val="FootnoteReference"/>
          <w:rFonts w:ascii="Verdana" w:hAnsi="Verdana"/>
        </w:rPr>
        <w:footnoteReference w:id="68"/>
      </w:r>
    </w:p>
    <w:p w14:paraId="07FBED03" w14:textId="06A7344E" w:rsidR="5DD2F4C6" w:rsidRDefault="5DD2F4C6" w:rsidP="006E7C84">
      <w:pPr>
        <w:spacing w:after="0" w:line="288" w:lineRule="auto"/>
        <w:ind w:left="720"/>
        <w:rPr>
          <w:rFonts w:ascii="Verdana" w:hAnsi="Verdana"/>
        </w:rPr>
      </w:pPr>
    </w:p>
    <w:p w14:paraId="0916F245" w14:textId="252A5C7D" w:rsidR="00FF0275" w:rsidRPr="008C7E86" w:rsidRDefault="007B7F27" w:rsidP="006E7C84">
      <w:pPr>
        <w:numPr>
          <w:ilvl w:val="1"/>
          <w:numId w:val="14"/>
        </w:numPr>
        <w:spacing w:after="0" w:line="288" w:lineRule="auto"/>
        <w:rPr>
          <w:rFonts w:ascii="Verdana" w:hAnsi="Verdana"/>
        </w:rPr>
      </w:pPr>
      <w:r w:rsidRPr="5DD2F4C6">
        <w:rPr>
          <w:rFonts w:ascii="Verdana" w:hAnsi="Verdana"/>
        </w:rPr>
        <w:t>The Nationality and Borders Act 2022 introduced provisions to allow the Home Office to conduct age assessments through “scientific methods”.</w:t>
      </w:r>
      <w:r w:rsidRPr="5DD2F4C6">
        <w:rPr>
          <w:rFonts w:ascii="Verdana" w:hAnsi="Verdana"/>
          <w:vertAlign w:val="superscript"/>
        </w:rPr>
        <w:footnoteReference w:id="69"/>
      </w:r>
      <w:r w:rsidRPr="5DD2F4C6">
        <w:rPr>
          <w:rFonts w:ascii="Verdana" w:hAnsi="Verdana"/>
        </w:rPr>
        <w:t xml:space="preserve"> The Illegal Migration Act 2023 removed the right to appeal an age assessment decision.</w:t>
      </w:r>
      <w:r w:rsidRPr="5DD2F4C6">
        <w:rPr>
          <w:rFonts w:ascii="Verdana" w:hAnsi="Verdana"/>
          <w:vertAlign w:val="superscript"/>
        </w:rPr>
        <w:footnoteReference w:id="70"/>
      </w:r>
      <w:r w:rsidRPr="5DD2F4C6">
        <w:rPr>
          <w:rFonts w:ascii="Verdana" w:hAnsi="Verdana"/>
        </w:rPr>
        <w:t xml:space="preserve"> </w:t>
      </w:r>
      <w:bookmarkStart w:id="12" w:name="_Hlk178871272"/>
      <w:r w:rsidRPr="5DD2F4C6">
        <w:rPr>
          <w:rFonts w:ascii="Verdana" w:hAnsi="Verdana"/>
        </w:rPr>
        <w:t xml:space="preserve">In 2024, the </w:t>
      </w:r>
      <w:r w:rsidR="00083E58">
        <w:rPr>
          <w:rFonts w:ascii="Verdana" w:hAnsi="Verdana"/>
        </w:rPr>
        <w:t>NI</w:t>
      </w:r>
      <w:r w:rsidR="00073CBA" w:rsidRPr="008C7E86">
        <w:rPr>
          <w:rFonts w:ascii="Verdana" w:hAnsi="Verdana"/>
        </w:rPr>
        <w:t xml:space="preserve"> </w:t>
      </w:r>
      <w:r w:rsidRPr="5DD2F4C6">
        <w:rPr>
          <w:rFonts w:ascii="Verdana" w:hAnsi="Verdana"/>
        </w:rPr>
        <w:t xml:space="preserve">High Court </w:t>
      </w:r>
      <w:r w:rsidR="00C5355E" w:rsidRPr="5DD2F4C6">
        <w:rPr>
          <w:rFonts w:ascii="Verdana" w:hAnsi="Verdana"/>
        </w:rPr>
        <w:t xml:space="preserve">ruled that the removal of a </w:t>
      </w:r>
      <w:r w:rsidRPr="5DD2F4C6">
        <w:rPr>
          <w:rFonts w:ascii="Verdana" w:hAnsi="Verdana"/>
        </w:rPr>
        <w:t xml:space="preserve">fact-based judicial review challenge to age assessment in the </w:t>
      </w:r>
      <w:r w:rsidR="00C5355E" w:rsidRPr="5DD2F4C6">
        <w:rPr>
          <w:rFonts w:ascii="Verdana" w:hAnsi="Verdana"/>
        </w:rPr>
        <w:t>Illegal Migration Act 2023</w:t>
      </w:r>
      <w:r w:rsidRPr="5DD2F4C6">
        <w:rPr>
          <w:rFonts w:ascii="Verdana" w:hAnsi="Verdana"/>
        </w:rPr>
        <w:t xml:space="preserve"> would </w:t>
      </w:r>
      <w:r w:rsidR="00C5355E" w:rsidRPr="5DD2F4C6">
        <w:rPr>
          <w:rFonts w:ascii="Verdana" w:hAnsi="Verdana"/>
        </w:rPr>
        <w:t>be</w:t>
      </w:r>
      <w:r w:rsidRPr="5DD2F4C6">
        <w:rPr>
          <w:rFonts w:ascii="Verdana" w:hAnsi="Verdana"/>
        </w:rPr>
        <w:t xml:space="preserve"> a diminution of rights contrary to Windsor Framework Article 2</w:t>
      </w:r>
      <w:r w:rsidR="00F95ACA">
        <w:rPr>
          <w:rFonts w:ascii="Verdana" w:hAnsi="Verdana"/>
        </w:rPr>
        <w:t>, and</w:t>
      </w:r>
      <w:r w:rsidR="00C5355E" w:rsidRPr="5DD2F4C6">
        <w:rPr>
          <w:rFonts w:ascii="Verdana" w:hAnsi="Verdana"/>
        </w:rPr>
        <w:t xml:space="preserve"> </w:t>
      </w:r>
      <w:r w:rsidR="00E36A87">
        <w:rPr>
          <w:rFonts w:ascii="Verdana" w:hAnsi="Verdana"/>
        </w:rPr>
        <w:t>t</w:t>
      </w:r>
      <w:r w:rsidR="00C5355E" w:rsidRPr="5DD2F4C6">
        <w:rPr>
          <w:rFonts w:ascii="Verdana" w:hAnsi="Verdana"/>
        </w:rPr>
        <w:t>herefore</w:t>
      </w:r>
      <w:r w:rsidRPr="5DD2F4C6">
        <w:rPr>
          <w:rFonts w:ascii="Verdana" w:hAnsi="Verdana"/>
        </w:rPr>
        <w:t xml:space="preserve"> the relevant provision is now disapplied in </w:t>
      </w:r>
      <w:r w:rsidR="0068024A" w:rsidRPr="003B5730">
        <w:rPr>
          <w:rFonts w:ascii="Verdana" w:hAnsi="Verdana"/>
        </w:rPr>
        <w:t>NI</w:t>
      </w:r>
      <w:r w:rsidRPr="5DD2F4C6">
        <w:rPr>
          <w:rFonts w:ascii="Verdana" w:hAnsi="Verdana"/>
        </w:rPr>
        <w:t>.</w:t>
      </w:r>
      <w:r w:rsidRPr="5DD2F4C6">
        <w:rPr>
          <w:rFonts w:ascii="Verdana" w:hAnsi="Verdana"/>
          <w:vertAlign w:val="superscript"/>
        </w:rPr>
        <w:footnoteReference w:id="71"/>
      </w:r>
      <w:r w:rsidRPr="5DD2F4C6">
        <w:rPr>
          <w:rFonts w:ascii="Verdana" w:hAnsi="Verdana"/>
        </w:rPr>
        <w:t xml:space="preserve"> </w:t>
      </w:r>
      <w:bookmarkEnd w:id="12"/>
      <w:r w:rsidR="004F514C" w:rsidRPr="5DD2F4C6">
        <w:rPr>
          <w:rFonts w:ascii="Verdana" w:hAnsi="Verdana"/>
        </w:rPr>
        <w:t xml:space="preserve">The NIHRC </w:t>
      </w:r>
      <w:r w:rsidR="001E1536">
        <w:rPr>
          <w:rFonts w:ascii="Verdana" w:hAnsi="Verdana"/>
        </w:rPr>
        <w:t xml:space="preserve">has </w:t>
      </w:r>
      <w:r w:rsidR="004F514C" w:rsidRPr="5DD2F4C6">
        <w:rPr>
          <w:rFonts w:ascii="Verdana" w:hAnsi="Verdana"/>
        </w:rPr>
        <w:t>raised concerns about the</w:t>
      </w:r>
      <w:r w:rsidR="00A679D5" w:rsidRPr="5DD2F4C6">
        <w:rPr>
          <w:rFonts w:ascii="Verdana" w:hAnsi="Verdana"/>
        </w:rPr>
        <w:t xml:space="preserve"> compliance of these</w:t>
      </w:r>
      <w:r w:rsidR="004F514C" w:rsidRPr="5DD2F4C6">
        <w:rPr>
          <w:rFonts w:ascii="Verdana" w:hAnsi="Verdana"/>
        </w:rPr>
        <w:t xml:space="preserve"> provisions with human rights obligations.</w:t>
      </w:r>
      <w:r w:rsidR="004F514C" w:rsidRPr="5DD2F4C6">
        <w:rPr>
          <w:rFonts w:ascii="Verdana" w:hAnsi="Verdana"/>
          <w:vertAlign w:val="superscript"/>
        </w:rPr>
        <w:footnoteReference w:id="72"/>
      </w:r>
      <w:r w:rsidR="008F67A5" w:rsidRPr="5DD2F4C6">
        <w:rPr>
          <w:rFonts w:ascii="Verdana" w:hAnsi="Verdana"/>
        </w:rPr>
        <w:t xml:space="preserve"> </w:t>
      </w:r>
      <w:r w:rsidR="00083E58">
        <w:rPr>
          <w:rFonts w:ascii="Verdana" w:hAnsi="Verdana"/>
        </w:rPr>
        <w:t>T</w:t>
      </w:r>
      <w:r w:rsidR="00BC638A" w:rsidRPr="5DD2F4C6">
        <w:rPr>
          <w:rFonts w:ascii="Verdana" w:hAnsi="Verdana"/>
        </w:rPr>
        <w:t xml:space="preserve">he Border Security, Asylum and Immigration Bill aimed to repeal the age assessment provisions in the Illegal Migration Act 2023; however, the foundational provisions in the Nationality and Borders Act 2022 </w:t>
      </w:r>
      <w:r w:rsidR="00983FC2">
        <w:rPr>
          <w:rFonts w:ascii="Verdana" w:hAnsi="Verdana"/>
        </w:rPr>
        <w:t>would</w:t>
      </w:r>
      <w:r w:rsidR="00BC638A" w:rsidRPr="5DD2F4C6">
        <w:rPr>
          <w:rFonts w:ascii="Verdana" w:hAnsi="Verdana"/>
        </w:rPr>
        <w:t xml:space="preserve"> be retained.</w:t>
      </w:r>
      <w:r w:rsidR="00BC638A" w:rsidRPr="5DD2F4C6">
        <w:rPr>
          <w:rFonts w:ascii="Verdana" w:hAnsi="Verdana"/>
          <w:vertAlign w:val="superscript"/>
        </w:rPr>
        <w:footnoteReference w:id="73"/>
      </w:r>
      <w:r w:rsidR="001A1F62" w:rsidRPr="5DD2F4C6">
        <w:rPr>
          <w:rFonts w:ascii="Verdana" w:hAnsi="Verdana"/>
        </w:rPr>
        <w:t xml:space="preserve"> The Home Office </w:t>
      </w:r>
      <w:r w:rsidR="003532F3" w:rsidRPr="5DD2F4C6">
        <w:rPr>
          <w:rFonts w:ascii="Verdana" w:hAnsi="Verdana"/>
        </w:rPr>
        <w:t>started</w:t>
      </w:r>
      <w:r w:rsidR="001A1F62" w:rsidRPr="5DD2F4C6">
        <w:rPr>
          <w:rFonts w:ascii="Verdana" w:hAnsi="Verdana"/>
        </w:rPr>
        <w:t xml:space="preserve"> testing artificial intelligence-driven Facial Age Estimation technology for assessing the age of people seeking asylum.</w:t>
      </w:r>
      <w:r w:rsidR="001A1F62" w:rsidRPr="5DD2F4C6">
        <w:rPr>
          <w:rFonts w:ascii="Verdana" w:hAnsi="Verdana"/>
          <w:vertAlign w:val="superscript"/>
        </w:rPr>
        <w:footnoteReference w:id="74"/>
      </w:r>
      <w:r w:rsidR="001A1F62" w:rsidRPr="5DD2F4C6">
        <w:rPr>
          <w:rFonts w:ascii="Verdana" w:hAnsi="Verdana"/>
        </w:rPr>
        <w:t xml:space="preserve"> </w:t>
      </w:r>
    </w:p>
    <w:p w14:paraId="606A4429" w14:textId="4B511D9F" w:rsidR="5DD2F4C6" w:rsidRDefault="5DD2F4C6" w:rsidP="006E7C84">
      <w:pPr>
        <w:spacing w:after="0" w:line="288" w:lineRule="auto"/>
        <w:ind w:left="720"/>
        <w:rPr>
          <w:rFonts w:ascii="Verdana" w:hAnsi="Verdana"/>
        </w:rPr>
      </w:pPr>
    </w:p>
    <w:p w14:paraId="6E8AE608" w14:textId="6185108D" w:rsidR="008C4309" w:rsidRPr="008C7E86" w:rsidRDefault="00AF17BF" w:rsidP="006E7C84">
      <w:pPr>
        <w:numPr>
          <w:ilvl w:val="1"/>
          <w:numId w:val="14"/>
        </w:numPr>
        <w:spacing w:after="0" w:line="288" w:lineRule="auto"/>
        <w:rPr>
          <w:rFonts w:ascii="Verdana" w:hAnsi="Verdana"/>
        </w:rPr>
      </w:pPr>
      <w:r w:rsidRPr="5DD2F4C6">
        <w:rPr>
          <w:rFonts w:ascii="Verdana" w:hAnsi="Verdana"/>
        </w:rPr>
        <w:t>In August 2025, a UK-France agreement aimed at preventing dangerous sea journeys for asylum seekers came into effect.</w:t>
      </w:r>
      <w:r w:rsidR="003F06F9" w:rsidRPr="5DD2F4C6">
        <w:rPr>
          <w:rStyle w:val="FootnoteReference"/>
          <w:rFonts w:ascii="Verdana" w:hAnsi="Verdana"/>
        </w:rPr>
        <w:footnoteReference w:id="75"/>
      </w:r>
      <w:r w:rsidRPr="5DD2F4C6">
        <w:rPr>
          <w:rFonts w:ascii="Verdana" w:hAnsi="Verdana"/>
        </w:rPr>
        <w:t xml:space="preserve"> Under this agreement, any adult arriving in the UK on a small boat can be detained and returned to France if their asylum claim is deemed inadmissible.</w:t>
      </w:r>
      <w:r w:rsidR="003D07DA" w:rsidRPr="5DD2F4C6">
        <w:rPr>
          <w:rStyle w:val="FootnoteReference"/>
          <w:rFonts w:ascii="Verdana" w:hAnsi="Verdana"/>
        </w:rPr>
        <w:footnoteReference w:id="76"/>
      </w:r>
      <w:r w:rsidR="008C4309" w:rsidRPr="5DD2F4C6">
        <w:rPr>
          <w:rFonts w:ascii="Verdana" w:hAnsi="Verdana"/>
        </w:rPr>
        <w:t xml:space="preserve"> The UK Government confirmed that “returns to other countries and immigration enforcement work will continue alongside the [agreement]”.</w:t>
      </w:r>
      <w:r w:rsidR="008C4309" w:rsidRPr="5DD2F4C6">
        <w:rPr>
          <w:rFonts w:ascii="Verdana" w:hAnsi="Verdana"/>
          <w:vertAlign w:val="superscript"/>
        </w:rPr>
        <w:footnoteReference w:id="77"/>
      </w:r>
      <w:r w:rsidR="00FC0568" w:rsidRPr="5DD2F4C6">
        <w:rPr>
          <w:rFonts w:ascii="Verdana" w:hAnsi="Verdana"/>
        </w:rPr>
        <w:t xml:space="preserve"> </w:t>
      </w:r>
    </w:p>
    <w:p w14:paraId="15217EDE" w14:textId="08E475A0" w:rsidR="5DD2F4C6" w:rsidRDefault="5DD2F4C6" w:rsidP="006E7C84">
      <w:pPr>
        <w:spacing w:after="0" w:line="288" w:lineRule="auto"/>
        <w:ind w:left="720"/>
        <w:rPr>
          <w:rFonts w:ascii="Verdana" w:hAnsi="Verdana"/>
        </w:rPr>
      </w:pPr>
    </w:p>
    <w:p w14:paraId="1950957D" w14:textId="0E5E5C72" w:rsidR="00107AE8" w:rsidRPr="008C7E86" w:rsidRDefault="00107AE8" w:rsidP="006E7C84">
      <w:pPr>
        <w:numPr>
          <w:ilvl w:val="1"/>
          <w:numId w:val="14"/>
        </w:numPr>
        <w:spacing w:after="0" w:line="288" w:lineRule="auto"/>
        <w:rPr>
          <w:rFonts w:ascii="Verdana" w:hAnsi="Verdana"/>
          <w:b/>
          <w:bCs/>
        </w:rPr>
      </w:pPr>
      <w:r w:rsidRPr="5DD2F4C6">
        <w:rPr>
          <w:rFonts w:ascii="Verdana" w:hAnsi="Verdana"/>
          <w:b/>
          <w:bCs/>
        </w:rPr>
        <w:lastRenderedPageBreak/>
        <w:t xml:space="preserve">The </w:t>
      </w:r>
      <w:r w:rsidR="00A448F6" w:rsidRPr="5DD2F4C6">
        <w:rPr>
          <w:rFonts w:ascii="Verdana" w:hAnsi="Verdana"/>
          <w:b/>
          <w:bCs/>
        </w:rPr>
        <w:t>NIHRC</w:t>
      </w:r>
      <w:r w:rsidRPr="5DD2F4C6">
        <w:rPr>
          <w:rFonts w:ascii="Verdana" w:hAnsi="Verdana"/>
          <w:b/>
          <w:bCs/>
        </w:rPr>
        <w:t xml:space="preserve"> recommends that the </w:t>
      </w:r>
      <w:r w:rsidR="00B8198E" w:rsidRPr="5DD2F4C6">
        <w:rPr>
          <w:rFonts w:ascii="Verdana" w:hAnsi="Verdana"/>
          <w:b/>
          <w:bCs/>
        </w:rPr>
        <w:t>UK Government</w:t>
      </w:r>
      <w:r w:rsidRPr="5DD2F4C6">
        <w:rPr>
          <w:rFonts w:ascii="Verdana" w:hAnsi="Verdana"/>
          <w:b/>
          <w:bCs/>
        </w:rPr>
        <w:t xml:space="preserve"> repeal all legal provisions that discriminate against migrants and limit the rights of asylum seekers, refugees, and migrants, specifically those in the Illegal Migration Act 2023 and the Nationality and Borders Act 2022. All asylum </w:t>
      </w:r>
      <w:r w:rsidR="00715DAC">
        <w:rPr>
          <w:rFonts w:ascii="Verdana" w:hAnsi="Verdana"/>
          <w:b/>
          <w:bCs/>
        </w:rPr>
        <w:t>applications</w:t>
      </w:r>
      <w:r w:rsidRPr="5DD2F4C6">
        <w:rPr>
          <w:rFonts w:ascii="Verdana" w:hAnsi="Verdana"/>
          <w:b/>
          <w:bCs/>
        </w:rPr>
        <w:t xml:space="preserve"> in the UK, including </w:t>
      </w:r>
      <w:r w:rsidR="00083E58">
        <w:rPr>
          <w:rFonts w:ascii="Verdana" w:hAnsi="Verdana"/>
          <w:b/>
          <w:bCs/>
        </w:rPr>
        <w:t>NI</w:t>
      </w:r>
      <w:r w:rsidRPr="5DD2F4C6">
        <w:rPr>
          <w:rFonts w:ascii="Verdana" w:hAnsi="Verdana"/>
          <w:b/>
          <w:bCs/>
        </w:rPr>
        <w:t>, should be processed in compliance with international human rights and Windsor Framework</w:t>
      </w:r>
      <w:r w:rsidR="00343A08" w:rsidRPr="5DD2F4C6">
        <w:rPr>
          <w:rFonts w:ascii="Verdana" w:hAnsi="Verdana"/>
          <w:b/>
          <w:bCs/>
        </w:rPr>
        <w:t xml:space="preserve"> Article 2</w:t>
      </w:r>
      <w:r w:rsidR="00C65564" w:rsidRPr="5DD2F4C6">
        <w:rPr>
          <w:rFonts w:ascii="Verdana" w:hAnsi="Verdana"/>
          <w:b/>
          <w:bCs/>
        </w:rPr>
        <w:t xml:space="preserve"> standards</w:t>
      </w:r>
      <w:r w:rsidRPr="5DD2F4C6">
        <w:rPr>
          <w:rFonts w:ascii="Verdana" w:hAnsi="Verdana"/>
          <w:b/>
          <w:bCs/>
        </w:rPr>
        <w:t xml:space="preserve">, </w:t>
      </w:r>
      <w:r w:rsidR="00BF3ED9" w:rsidRPr="5DD2F4C6">
        <w:rPr>
          <w:rFonts w:ascii="Verdana" w:hAnsi="Verdana"/>
          <w:b/>
          <w:bCs/>
        </w:rPr>
        <w:t xml:space="preserve">particularly </w:t>
      </w:r>
      <w:r w:rsidRPr="5DD2F4C6">
        <w:rPr>
          <w:rFonts w:ascii="Verdana" w:hAnsi="Verdana"/>
          <w:b/>
          <w:bCs/>
        </w:rPr>
        <w:t xml:space="preserve">considering the trauma many </w:t>
      </w:r>
      <w:r w:rsidR="00C03C91" w:rsidRPr="5DD2F4C6">
        <w:rPr>
          <w:rFonts w:ascii="Verdana" w:hAnsi="Verdana"/>
          <w:b/>
          <w:bCs/>
        </w:rPr>
        <w:t>asylum</w:t>
      </w:r>
      <w:r w:rsidR="00C03C91">
        <w:rPr>
          <w:rFonts w:ascii="Verdana" w:hAnsi="Verdana"/>
          <w:b/>
          <w:bCs/>
        </w:rPr>
        <w:t xml:space="preserve"> seekers </w:t>
      </w:r>
      <w:r w:rsidRPr="5DD2F4C6">
        <w:rPr>
          <w:rFonts w:ascii="Verdana" w:hAnsi="Verdana"/>
          <w:b/>
          <w:bCs/>
        </w:rPr>
        <w:t>face before arriving</w:t>
      </w:r>
      <w:r w:rsidR="005A260C" w:rsidRPr="5DD2F4C6">
        <w:rPr>
          <w:rFonts w:ascii="Verdana" w:hAnsi="Verdana"/>
          <w:b/>
          <w:bCs/>
        </w:rPr>
        <w:t xml:space="preserve"> </w:t>
      </w:r>
      <w:r w:rsidR="00B06E5A" w:rsidRPr="5DD2F4C6">
        <w:rPr>
          <w:rFonts w:ascii="Verdana" w:hAnsi="Verdana"/>
          <w:b/>
          <w:bCs/>
        </w:rPr>
        <w:t>in</w:t>
      </w:r>
      <w:r w:rsidR="005A260C" w:rsidRPr="5DD2F4C6">
        <w:rPr>
          <w:rFonts w:ascii="Verdana" w:hAnsi="Verdana"/>
          <w:b/>
          <w:bCs/>
        </w:rPr>
        <w:t xml:space="preserve"> the UK</w:t>
      </w:r>
      <w:r w:rsidRPr="5DD2F4C6">
        <w:rPr>
          <w:rFonts w:ascii="Verdana" w:hAnsi="Verdana"/>
          <w:b/>
          <w:bCs/>
        </w:rPr>
        <w:t>.</w:t>
      </w:r>
    </w:p>
    <w:p w14:paraId="3F090D9C" w14:textId="376EE95F" w:rsidR="5DD2F4C6" w:rsidRDefault="5DD2F4C6" w:rsidP="006E7C84">
      <w:pPr>
        <w:spacing w:after="0" w:line="288" w:lineRule="auto"/>
        <w:ind w:left="720"/>
        <w:rPr>
          <w:rFonts w:ascii="Verdana" w:hAnsi="Verdana"/>
          <w:b/>
          <w:bCs/>
        </w:rPr>
      </w:pPr>
    </w:p>
    <w:p w14:paraId="49FCB3CC" w14:textId="601A14CC" w:rsidR="00AF17BF" w:rsidRPr="008C7E86" w:rsidRDefault="009D5D26" w:rsidP="006E7C84">
      <w:pPr>
        <w:numPr>
          <w:ilvl w:val="1"/>
          <w:numId w:val="14"/>
        </w:numPr>
        <w:spacing w:after="0" w:line="288" w:lineRule="auto"/>
        <w:rPr>
          <w:rFonts w:ascii="Verdana" w:hAnsi="Verdana"/>
          <w:b/>
          <w:bCs/>
        </w:rPr>
      </w:pPr>
      <w:r w:rsidRPr="5DD2F4C6">
        <w:rPr>
          <w:rFonts w:ascii="Verdana" w:hAnsi="Verdana"/>
          <w:b/>
          <w:bCs/>
        </w:rPr>
        <w:t xml:space="preserve">The </w:t>
      </w:r>
      <w:r w:rsidR="00A448F6" w:rsidRPr="5DD2F4C6">
        <w:rPr>
          <w:rFonts w:ascii="Verdana" w:hAnsi="Verdana"/>
          <w:b/>
          <w:bCs/>
        </w:rPr>
        <w:t>NIHRC</w:t>
      </w:r>
      <w:r w:rsidRPr="5DD2F4C6">
        <w:rPr>
          <w:rFonts w:ascii="Verdana" w:hAnsi="Verdana"/>
          <w:b/>
          <w:bCs/>
        </w:rPr>
        <w:t xml:space="preserve"> </w:t>
      </w:r>
      <w:r w:rsidR="00DE3192" w:rsidRPr="5DD2F4C6">
        <w:rPr>
          <w:rFonts w:ascii="Verdana" w:hAnsi="Verdana"/>
          <w:b/>
          <w:bCs/>
        </w:rPr>
        <w:t xml:space="preserve">recommends that </w:t>
      </w:r>
      <w:r w:rsidRPr="5DD2F4C6">
        <w:rPr>
          <w:rFonts w:ascii="Verdana" w:hAnsi="Verdana"/>
          <w:b/>
          <w:bCs/>
        </w:rPr>
        <w:t xml:space="preserve">the </w:t>
      </w:r>
      <w:r w:rsidR="00083E58">
        <w:rPr>
          <w:rFonts w:ascii="Verdana" w:hAnsi="Verdana"/>
          <w:b/>
          <w:bCs/>
        </w:rPr>
        <w:t>NI</w:t>
      </w:r>
      <w:r w:rsidRPr="5DD2F4C6">
        <w:rPr>
          <w:rFonts w:ascii="Verdana" w:hAnsi="Verdana"/>
          <w:b/>
          <w:bCs/>
        </w:rPr>
        <w:t xml:space="preserve"> Executive quickly </w:t>
      </w:r>
      <w:r w:rsidR="002A29A1" w:rsidRPr="5DD2F4C6">
        <w:rPr>
          <w:rFonts w:ascii="Verdana" w:hAnsi="Verdana"/>
          <w:b/>
          <w:bCs/>
        </w:rPr>
        <w:t>introduce</w:t>
      </w:r>
      <w:r w:rsidRPr="5DD2F4C6">
        <w:rPr>
          <w:rFonts w:ascii="Verdana" w:hAnsi="Verdana"/>
          <w:b/>
          <w:bCs/>
        </w:rPr>
        <w:t xml:space="preserve"> regulations to ensure these laws do not weaken protections for refugees and asylum seekers</w:t>
      </w:r>
      <w:r w:rsidR="00A95C4C" w:rsidRPr="5DD2F4C6">
        <w:rPr>
          <w:rFonts w:ascii="Verdana" w:hAnsi="Verdana"/>
          <w:b/>
          <w:bCs/>
        </w:rPr>
        <w:t xml:space="preserve"> in </w:t>
      </w:r>
      <w:r w:rsidR="00A77464">
        <w:rPr>
          <w:rFonts w:ascii="Verdana" w:hAnsi="Verdana"/>
          <w:b/>
          <w:bCs/>
        </w:rPr>
        <w:t xml:space="preserve">NI </w:t>
      </w:r>
      <w:r w:rsidR="00A77464" w:rsidRPr="5DD2F4C6">
        <w:rPr>
          <w:rFonts w:ascii="Verdana" w:hAnsi="Verdana"/>
          <w:b/>
          <w:bCs/>
        </w:rPr>
        <w:t>in</w:t>
      </w:r>
      <w:r w:rsidRPr="5DD2F4C6">
        <w:rPr>
          <w:rFonts w:ascii="Verdana" w:hAnsi="Verdana"/>
          <w:b/>
          <w:bCs/>
        </w:rPr>
        <w:t xml:space="preserve"> areas such as child welfare, age assessments, and support for unaccompanied children and victims of modern slavery.</w:t>
      </w:r>
    </w:p>
    <w:p w14:paraId="1A128334" w14:textId="34723A9B" w:rsidR="5DD2F4C6" w:rsidRDefault="5DD2F4C6" w:rsidP="006E7C84">
      <w:pPr>
        <w:spacing w:after="0" w:line="288" w:lineRule="auto"/>
        <w:ind w:left="720"/>
        <w:rPr>
          <w:rFonts w:ascii="Verdana" w:hAnsi="Verdana"/>
          <w:b/>
          <w:bCs/>
        </w:rPr>
      </w:pPr>
    </w:p>
    <w:p w14:paraId="182ADB6E" w14:textId="71A0AE12" w:rsidR="00B06E5A" w:rsidRPr="008C7E86" w:rsidRDefault="001F39D1" w:rsidP="006E7C84">
      <w:pPr>
        <w:numPr>
          <w:ilvl w:val="1"/>
          <w:numId w:val="14"/>
        </w:numPr>
        <w:spacing w:after="0" w:line="288" w:lineRule="auto"/>
        <w:rPr>
          <w:rFonts w:ascii="Verdana" w:hAnsi="Verdana"/>
          <w:b/>
        </w:rPr>
      </w:pPr>
      <w:r w:rsidRPr="5DD2F4C6">
        <w:rPr>
          <w:rFonts w:ascii="Verdana" w:hAnsi="Verdana"/>
          <w:b/>
          <w:bCs/>
        </w:rPr>
        <w:t xml:space="preserve">Furthermore, the </w:t>
      </w:r>
      <w:r w:rsidR="00A448F6" w:rsidRPr="5DD2F4C6">
        <w:rPr>
          <w:rFonts w:ascii="Verdana" w:hAnsi="Verdana"/>
          <w:b/>
          <w:bCs/>
        </w:rPr>
        <w:t>NIHRC</w:t>
      </w:r>
      <w:r w:rsidRPr="5DD2F4C6">
        <w:rPr>
          <w:rFonts w:ascii="Verdana" w:hAnsi="Verdana"/>
          <w:b/>
          <w:bCs/>
        </w:rPr>
        <w:t xml:space="preserve"> recommends that the </w:t>
      </w:r>
      <w:r w:rsidR="000B6B3F" w:rsidRPr="5DD2F4C6">
        <w:rPr>
          <w:rFonts w:ascii="Verdana" w:hAnsi="Verdana"/>
          <w:b/>
          <w:bCs/>
        </w:rPr>
        <w:t>UK Government</w:t>
      </w:r>
      <w:r w:rsidRPr="5DD2F4C6">
        <w:rPr>
          <w:rFonts w:ascii="Verdana" w:hAnsi="Verdana"/>
          <w:b/>
          <w:bCs/>
        </w:rPr>
        <w:t xml:space="preserve"> </w:t>
      </w:r>
      <w:r w:rsidR="00935EDF" w:rsidRPr="5DD2F4C6">
        <w:rPr>
          <w:rFonts w:ascii="Verdana" w:hAnsi="Verdana"/>
          <w:b/>
          <w:bCs/>
        </w:rPr>
        <w:t xml:space="preserve">ensures that any proposed reform of the UK Migration and Asylum Framework, through the Border Security, Asylum and Immigration Bill, </w:t>
      </w:r>
      <w:r w:rsidR="00672C96">
        <w:rPr>
          <w:rFonts w:ascii="Verdana" w:hAnsi="Verdana"/>
          <w:b/>
          <w:bCs/>
        </w:rPr>
        <w:t>complies</w:t>
      </w:r>
      <w:r w:rsidR="00935EDF" w:rsidRPr="5DD2F4C6">
        <w:rPr>
          <w:rFonts w:ascii="Verdana" w:hAnsi="Verdana"/>
          <w:b/>
          <w:bCs/>
        </w:rPr>
        <w:t xml:space="preserve"> with the UK's international human rights obligations and Windsor Framework Article 2</w:t>
      </w:r>
      <w:r w:rsidR="00672C96">
        <w:rPr>
          <w:rFonts w:ascii="Verdana" w:hAnsi="Verdana"/>
          <w:b/>
          <w:bCs/>
        </w:rPr>
        <w:t>,</w:t>
      </w:r>
      <w:r w:rsidR="00083E58" w:rsidRPr="00A02149">
        <w:rPr>
          <w:rFonts w:ascii="Verdana" w:hAnsi="Verdana"/>
          <w:b/>
          <w:bCs/>
        </w:rPr>
        <w:t xml:space="preserve"> and </w:t>
      </w:r>
      <w:r w:rsidR="00083E58" w:rsidRPr="007444FE">
        <w:rPr>
          <w:rFonts w:ascii="Verdana" w:hAnsi="Verdana"/>
          <w:b/>
          <w:bCs/>
        </w:rPr>
        <w:t>there is no diminution of protections for refugees and people seeking asylum in NI</w:t>
      </w:r>
      <w:r w:rsidRPr="5DD2F4C6">
        <w:rPr>
          <w:rFonts w:ascii="Verdana" w:hAnsi="Verdana"/>
          <w:b/>
          <w:bCs/>
        </w:rPr>
        <w:t>.</w:t>
      </w:r>
    </w:p>
    <w:p w14:paraId="67C1AFB3" w14:textId="796DFDD5" w:rsidR="5DD2F4C6" w:rsidRDefault="5DD2F4C6" w:rsidP="006E7C84">
      <w:pPr>
        <w:spacing w:after="0" w:line="288" w:lineRule="auto"/>
        <w:ind w:left="720"/>
        <w:rPr>
          <w:rFonts w:ascii="Verdana" w:hAnsi="Verdana"/>
          <w:b/>
          <w:bCs/>
        </w:rPr>
      </w:pPr>
    </w:p>
    <w:p w14:paraId="0B2FF64E" w14:textId="7DCD0D17" w:rsidR="00A448F6" w:rsidRDefault="00A448F6" w:rsidP="006E7C84">
      <w:pPr>
        <w:numPr>
          <w:ilvl w:val="1"/>
          <w:numId w:val="14"/>
        </w:numPr>
        <w:spacing w:after="0" w:line="288" w:lineRule="auto"/>
        <w:rPr>
          <w:rFonts w:ascii="Verdana" w:hAnsi="Verdana"/>
          <w:b/>
        </w:rPr>
      </w:pPr>
      <w:r w:rsidRPr="5DD2F4C6">
        <w:rPr>
          <w:rFonts w:ascii="Verdana" w:hAnsi="Verdana"/>
          <w:b/>
          <w:bCs/>
        </w:rPr>
        <w:t xml:space="preserve">The NIHRC recommends that the </w:t>
      </w:r>
      <w:r w:rsidR="00935EDF" w:rsidRPr="5DD2F4C6">
        <w:rPr>
          <w:rFonts w:ascii="Verdana" w:hAnsi="Verdana"/>
          <w:b/>
          <w:bCs/>
        </w:rPr>
        <w:t>UK Government</w:t>
      </w:r>
      <w:r w:rsidRPr="5DD2F4C6">
        <w:rPr>
          <w:rFonts w:ascii="Verdana" w:hAnsi="Verdana"/>
          <w:b/>
          <w:bCs/>
        </w:rPr>
        <w:t xml:space="preserve"> amends the </w:t>
      </w:r>
      <w:r w:rsidR="0070151E" w:rsidRPr="5DD2F4C6">
        <w:rPr>
          <w:rFonts w:ascii="Verdana" w:hAnsi="Verdana"/>
          <w:b/>
          <w:bCs/>
        </w:rPr>
        <w:t>UK Migration and Asylum Framework</w:t>
      </w:r>
      <w:r w:rsidRPr="5DD2F4C6">
        <w:rPr>
          <w:rFonts w:ascii="Verdana" w:hAnsi="Verdana"/>
          <w:b/>
          <w:bCs/>
        </w:rPr>
        <w:t xml:space="preserve"> to ensure that asylum applications are considered using a consistent, expeditious and child rights-based approach, including that the best interests of the child are a primary consideration, and that unaccompanied children have an unqualified right to apply for family reunification.</w:t>
      </w:r>
    </w:p>
    <w:p w14:paraId="5A73D020" w14:textId="35B47CF0" w:rsidR="5DD2F4C6" w:rsidRDefault="5DD2F4C6" w:rsidP="006E7C84">
      <w:pPr>
        <w:spacing w:after="0" w:line="288" w:lineRule="auto"/>
        <w:ind w:left="720"/>
        <w:rPr>
          <w:rFonts w:ascii="Verdana" w:hAnsi="Verdana"/>
          <w:b/>
          <w:bCs/>
        </w:rPr>
      </w:pPr>
    </w:p>
    <w:p w14:paraId="48D6E759" w14:textId="00E7A262" w:rsidR="00DD0F82" w:rsidRPr="002E05E0" w:rsidRDefault="65B3E78C" w:rsidP="006E7C84">
      <w:pPr>
        <w:numPr>
          <w:ilvl w:val="1"/>
          <w:numId w:val="14"/>
        </w:numPr>
        <w:spacing w:after="0" w:line="288" w:lineRule="auto"/>
        <w:rPr>
          <w:rFonts w:ascii="Verdana" w:hAnsi="Verdana"/>
        </w:rPr>
      </w:pPr>
      <w:r w:rsidRPr="002E05E0">
        <w:rPr>
          <w:rFonts w:ascii="Verdana" w:hAnsi="Verdana"/>
        </w:rPr>
        <w:t>The UK has international human rights obligations to prevent and combat discrimination, racism, stereotypes and inequalities towards migrants, refugees and asylum-seekers.</w:t>
      </w:r>
      <w:r w:rsidR="00921A8A" w:rsidRPr="5DD2F4C6">
        <w:rPr>
          <w:rStyle w:val="FootnoteReference"/>
          <w:rFonts w:ascii="Verdana" w:hAnsi="Verdana"/>
        </w:rPr>
        <w:footnoteReference w:id="78"/>
      </w:r>
      <w:r>
        <w:rPr>
          <w:rFonts w:ascii="Verdana" w:hAnsi="Verdana"/>
        </w:rPr>
        <w:t xml:space="preserve"> </w:t>
      </w:r>
      <w:r w:rsidR="30B7B6E4" w:rsidRPr="5DD2F4C6">
        <w:rPr>
          <w:rFonts w:ascii="Verdana" w:hAnsi="Verdana"/>
        </w:rPr>
        <w:t>The</w:t>
      </w:r>
      <w:r w:rsidR="3D1D9A1B" w:rsidRPr="5DD2F4C6">
        <w:rPr>
          <w:rFonts w:ascii="Verdana" w:hAnsi="Verdana"/>
        </w:rPr>
        <w:t xml:space="preserve"> NIHRC is concerned </w:t>
      </w:r>
      <w:r w:rsidR="3D1D9A1B" w:rsidRPr="5DD2F4C6">
        <w:rPr>
          <w:rFonts w:ascii="Verdana" w:hAnsi="Verdana"/>
        </w:rPr>
        <w:lastRenderedPageBreak/>
        <w:t xml:space="preserve">about the </w:t>
      </w:r>
      <w:r w:rsidR="786A86F2" w:rsidRPr="5DD2F4C6">
        <w:rPr>
          <w:rFonts w:ascii="Verdana" w:hAnsi="Verdana"/>
        </w:rPr>
        <w:t>growing anti</w:t>
      </w:r>
      <w:r w:rsidR="5CC00402" w:rsidRPr="5DD2F4C6">
        <w:rPr>
          <w:rFonts w:ascii="Verdana" w:hAnsi="Verdana"/>
        </w:rPr>
        <w:t>-migrant rhetoric in the UK</w:t>
      </w:r>
      <w:r w:rsidR="7E159697" w:rsidRPr="5DD2F4C6">
        <w:rPr>
          <w:rFonts w:ascii="Verdana" w:hAnsi="Verdana"/>
        </w:rPr>
        <w:t>,</w:t>
      </w:r>
      <w:r w:rsidR="077A7556" w:rsidRPr="5DD2F4C6">
        <w:rPr>
          <w:rFonts w:ascii="Verdana" w:hAnsi="Verdana"/>
        </w:rPr>
        <w:t xml:space="preserve"> increasing the risk of racial abuse, intimidation, and threats towards</w:t>
      </w:r>
      <w:r w:rsidR="091F1EDF" w:rsidRPr="5DD2F4C6">
        <w:rPr>
          <w:rFonts w:ascii="Verdana" w:hAnsi="Verdana"/>
        </w:rPr>
        <w:t xml:space="preserve"> </w:t>
      </w:r>
      <w:r w:rsidR="077A7556" w:rsidRPr="5DD2F4C6">
        <w:rPr>
          <w:rFonts w:ascii="Verdana" w:hAnsi="Verdana"/>
        </w:rPr>
        <w:t>ethnic minority communities.</w:t>
      </w:r>
      <w:r w:rsidR="00084780" w:rsidRPr="5DD2F4C6">
        <w:rPr>
          <w:rStyle w:val="FootnoteReference"/>
          <w:rFonts w:ascii="Verdana" w:hAnsi="Verdana"/>
        </w:rPr>
        <w:footnoteReference w:id="79"/>
      </w:r>
      <w:r w:rsidR="73E7AEB9" w:rsidRPr="5DD2F4C6">
        <w:rPr>
          <w:rFonts w:ascii="Verdana" w:hAnsi="Verdana"/>
        </w:rPr>
        <w:t xml:space="preserve"> Charities in the UK report </w:t>
      </w:r>
      <w:r w:rsidR="3FA4EC54" w:rsidRPr="5DD2F4C6">
        <w:rPr>
          <w:rFonts w:ascii="Verdana" w:hAnsi="Verdana"/>
        </w:rPr>
        <w:t xml:space="preserve">that the spread of inflammatory political and social media rhetoric around immigrants and </w:t>
      </w:r>
      <w:r w:rsidR="17C3C4FE">
        <w:rPr>
          <w:rFonts w:ascii="Verdana" w:hAnsi="Verdana"/>
        </w:rPr>
        <w:t>‘</w:t>
      </w:r>
      <w:r w:rsidR="3FA4EC54" w:rsidRPr="5DD2F4C6">
        <w:rPr>
          <w:rFonts w:ascii="Verdana" w:hAnsi="Verdana"/>
        </w:rPr>
        <w:t>small boats</w:t>
      </w:r>
      <w:r w:rsidR="17C3C4FE">
        <w:rPr>
          <w:rFonts w:ascii="Verdana" w:hAnsi="Verdana"/>
        </w:rPr>
        <w:t>’</w:t>
      </w:r>
      <w:r w:rsidR="3FA4EC54" w:rsidRPr="5DD2F4C6">
        <w:rPr>
          <w:rFonts w:ascii="Verdana" w:hAnsi="Verdana"/>
        </w:rPr>
        <w:t xml:space="preserve"> has </w:t>
      </w:r>
      <w:r w:rsidR="30C8C04B" w:rsidRPr="5DD2F4C6">
        <w:rPr>
          <w:rFonts w:ascii="Verdana" w:hAnsi="Verdana"/>
        </w:rPr>
        <w:t>fuelled</w:t>
      </w:r>
      <w:r w:rsidR="390E9A51" w:rsidRPr="5DD2F4C6">
        <w:rPr>
          <w:rFonts w:ascii="Verdana" w:hAnsi="Verdana"/>
        </w:rPr>
        <w:t xml:space="preserve"> </w:t>
      </w:r>
      <w:r w:rsidR="30C8C04B" w:rsidRPr="5DD2F4C6">
        <w:rPr>
          <w:rFonts w:ascii="Verdana" w:hAnsi="Verdana"/>
        </w:rPr>
        <w:t>threats</w:t>
      </w:r>
      <w:r w:rsidR="390E9A51" w:rsidRPr="5DD2F4C6">
        <w:rPr>
          <w:rFonts w:ascii="Verdana" w:hAnsi="Verdana"/>
        </w:rPr>
        <w:t xml:space="preserve"> and </w:t>
      </w:r>
      <w:r w:rsidR="2E17D062" w:rsidRPr="5DD2F4C6">
        <w:rPr>
          <w:rFonts w:ascii="Verdana" w:hAnsi="Verdana"/>
        </w:rPr>
        <w:t>abuse that has become ‘</w:t>
      </w:r>
      <w:r w:rsidR="30C8C04B" w:rsidRPr="5DD2F4C6">
        <w:rPr>
          <w:rFonts w:ascii="Verdana" w:hAnsi="Verdana"/>
        </w:rPr>
        <w:t>more extreme and uninhibited in the way it is expressed or enacted, both on and offline</w:t>
      </w:r>
      <w:r w:rsidR="2E17D062" w:rsidRPr="5DD2F4C6">
        <w:rPr>
          <w:rFonts w:ascii="Verdana" w:hAnsi="Verdana"/>
        </w:rPr>
        <w:t>’</w:t>
      </w:r>
      <w:r w:rsidR="30C8C04B" w:rsidRPr="5DD2F4C6">
        <w:rPr>
          <w:rFonts w:ascii="Verdana" w:hAnsi="Verdana"/>
        </w:rPr>
        <w:t>.</w:t>
      </w:r>
      <w:r w:rsidR="00F713D5" w:rsidRPr="5DD2F4C6">
        <w:rPr>
          <w:rStyle w:val="FootnoteReference"/>
          <w:rFonts w:ascii="Verdana" w:hAnsi="Verdana"/>
        </w:rPr>
        <w:footnoteReference w:id="80"/>
      </w:r>
      <w:r w:rsidR="1A6FCEE9" w:rsidRPr="5DD2F4C6">
        <w:rPr>
          <w:rFonts w:ascii="Verdana" w:hAnsi="Verdana"/>
        </w:rPr>
        <w:t xml:space="preserve"> </w:t>
      </w:r>
      <w:r w:rsidR="000B1F58" w:rsidRPr="0044528B">
        <w:rPr>
          <w:rFonts w:ascii="Verdana" w:hAnsi="Verdana"/>
        </w:rPr>
        <w:t xml:space="preserve">The NIHRC has raised concerns that online misinformation and disinformation threaten the human rights of racial and ethnic minorities in </w:t>
      </w:r>
      <w:r w:rsidR="1D06331D">
        <w:rPr>
          <w:rFonts w:ascii="Verdana" w:hAnsi="Verdana"/>
        </w:rPr>
        <w:t>NI</w:t>
      </w:r>
      <w:r w:rsidR="000B1F58" w:rsidRPr="0044528B">
        <w:rPr>
          <w:rFonts w:ascii="Verdana" w:hAnsi="Verdana"/>
        </w:rPr>
        <w:t>.</w:t>
      </w:r>
      <w:r w:rsidR="0787E527">
        <w:rPr>
          <w:rFonts w:ascii="Verdana" w:hAnsi="Verdana"/>
        </w:rPr>
        <w:t xml:space="preserve"> </w:t>
      </w:r>
      <w:r w:rsidR="000B1F58">
        <w:rPr>
          <w:rFonts w:ascii="Verdana" w:hAnsi="Verdana"/>
        </w:rPr>
        <w:t>U</w:t>
      </w:r>
      <w:r w:rsidR="3638982E" w:rsidRPr="00DC7485">
        <w:rPr>
          <w:rFonts w:ascii="Verdana" w:hAnsi="Verdana"/>
        </w:rPr>
        <w:t>rgent, coordinated action is needed to address these harms.</w:t>
      </w:r>
      <w:r w:rsidR="009320C2">
        <w:rPr>
          <w:rStyle w:val="FootnoteReference"/>
          <w:rFonts w:ascii="Verdana" w:hAnsi="Verdana"/>
        </w:rPr>
        <w:footnoteReference w:id="81"/>
      </w:r>
      <w:r w:rsidR="7522258B">
        <w:rPr>
          <w:rFonts w:ascii="Verdana" w:hAnsi="Verdana"/>
        </w:rPr>
        <w:t xml:space="preserve"> </w:t>
      </w:r>
    </w:p>
    <w:p w14:paraId="4E4E885F" w14:textId="46D821D0" w:rsidR="5DD2F4C6" w:rsidRDefault="5DD2F4C6" w:rsidP="006E7C84">
      <w:pPr>
        <w:spacing w:after="0" w:line="288" w:lineRule="auto"/>
        <w:ind w:left="720"/>
        <w:rPr>
          <w:rFonts w:ascii="Verdana" w:hAnsi="Verdana"/>
        </w:rPr>
      </w:pPr>
    </w:p>
    <w:p w14:paraId="7DAA194F" w14:textId="2AB81830" w:rsidR="0088281C" w:rsidRPr="0017417D" w:rsidRDefault="0088281C" w:rsidP="006E7C84">
      <w:pPr>
        <w:numPr>
          <w:ilvl w:val="1"/>
          <w:numId w:val="14"/>
        </w:numPr>
        <w:spacing w:after="0" w:line="288" w:lineRule="auto"/>
        <w:rPr>
          <w:rFonts w:ascii="Verdana" w:hAnsi="Verdana"/>
          <w:b/>
        </w:rPr>
      </w:pPr>
      <w:r w:rsidRPr="5DD2F4C6">
        <w:rPr>
          <w:rFonts w:ascii="Verdana" w:hAnsi="Verdana"/>
          <w:b/>
          <w:bCs/>
        </w:rPr>
        <w:t xml:space="preserve">The NIHRC calls </w:t>
      </w:r>
      <w:r w:rsidR="00DB477D" w:rsidRPr="5DD2F4C6">
        <w:rPr>
          <w:rFonts w:ascii="Verdana" w:hAnsi="Verdana"/>
          <w:b/>
          <w:bCs/>
        </w:rPr>
        <w:t xml:space="preserve">on </w:t>
      </w:r>
      <w:r w:rsidRPr="5DD2F4C6">
        <w:rPr>
          <w:rFonts w:ascii="Verdana" w:hAnsi="Verdana"/>
          <w:b/>
          <w:bCs/>
        </w:rPr>
        <w:t xml:space="preserve">the UK Government to </w:t>
      </w:r>
      <w:r w:rsidR="00DB477D" w:rsidRPr="5DD2F4C6">
        <w:rPr>
          <w:rFonts w:ascii="Verdana" w:hAnsi="Verdana"/>
          <w:b/>
          <w:bCs/>
        </w:rPr>
        <w:t xml:space="preserve">engage in </w:t>
      </w:r>
      <w:r w:rsidR="00063493" w:rsidRPr="5DD2F4C6">
        <w:rPr>
          <w:rFonts w:ascii="Verdana" w:hAnsi="Verdana"/>
          <w:b/>
          <w:bCs/>
        </w:rPr>
        <w:t>evidence-based</w:t>
      </w:r>
      <w:r w:rsidR="00DB477D" w:rsidRPr="5DD2F4C6">
        <w:rPr>
          <w:rFonts w:ascii="Verdana" w:hAnsi="Verdana"/>
          <w:b/>
          <w:bCs/>
        </w:rPr>
        <w:t xml:space="preserve"> dialogue </w:t>
      </w:r>
      <w:r w:rsidR="000B0B7D" w:rsidRPr="5DD2F4C6">
        <w:rPr>
          <w:rFonts w:ascii="Verdana" w:hAnsi="Verdana"/>
          <w:b/>
          <w:bCs/>
        </w:rPr>
        <w:t>on immigration</w:t>
      </w:r>
      <w:r w:rsidR="0017417D" w:rsidRPr="5DD2F4C6">
        <w:rPr>
          <w:rFonts w:ascii="Verdana" w:hAnsi="Verdana"/>
          <w:b/>
          <w:bCs/>
        </w:rPr>
        <w:t xml:space="preserve">, actively promote a climate of mutual respect and intercultural dialogue, </w:t>
      </w:r>
      <w:r w:rsidR="00BE3AFF" w:rsidRPr="5DD2F4C6">
        <w:rPr>
          <w:rFonts w:ascii="Verdana" w:hAnsi="Verdana"/>
          <w:b/>
          <w:bCs/>
        </w:rPr>
        <w:t xml:space="preserve">and publicly </w:t>
      </w:r>
      <w:r w:rsidR="0017417D" w:rsidRPr="5DD2F4C6">
        <w:rPr>
          <w:rFonts w:ascii="Verdana" w:hAnsi="Verdana"/>
          <w:b/>
          <w:bCs/>
        </w:rPr>
        <w:t>condemn</w:t>
      </w:r>
      <w:r w:rsidR="00BE3AFF" w:rsidRPr="5DD2F4C6">
        <w:rPr>
          <w:rFonts w:ascii="Verdana" w:hAnsi="Verdana"/>
          <w:b/>
          <w:bCs/>
        </w:rPr>
        <w:t xml:space="preserve"> </w:t>
      </w:r>
      <w:r w:rsidR="0017417D" w:rsidRPr="5DD2F4C6">
        <w:rPr>
          <w:rFonts w:ascii="Verdana" w:hAnsi="Verdana"/>
          <w:b/>
          <w:bCs/>
        </w:rPr>
        <w:t>instances of hate speech in public and political discourse</w:t>
      </w:r>
      <w:r w:rsidR="00CA69F0">
        <w:rPr>
          <w:rFonts w:ascii="Verdana" w:hAnsi="Verdana"/>
          <w:b/>
          <w:bCs/>
        </w:rPr>
        <w:t>, including online</w:t>
      </w:r>
      <w:r w:rsidR="00705909" w:rsidRPr="5DD2F4C6">
        <w:rPr>
          <w:rFonts w:ascii="Verdana" w:hAnsi="Verdana"/>
          <w:b/>
          <w:bCs/>
        </w:rPr>
        <w:t>.</w:t>
      </w:r>
      <w:r w:rsidR="000B0B7D" w:rsidRPr="5DD2F4C6">
        <w:rPr>
          <w:rFonts w:ascii="Verdana" w:hAnsi="Verdana"/>
          <w:b/>
          <w:bCs/>
        </w:rPr>
        <w:t xml:space="preserve"> </w:t>
      </w:r>
      <w:r w:rsidR="00477EAF" w:rsidRPr="5DD2F4C6">
        <w:rPr>
          <w:rFonts w:ascii="Verdana" w:hAnsi="Verdana"/>
          <w:b/>
          <w:bCs/>
        </w:rPr>
        <w:t xml:space="preserve">The NIHRC </w:t>
      </w:r>
      <w:r w:rsidR="00705909" w:rsidRPr="5DD2F4C6">
        <w:rPr>
          <w:rFonts w:ascii="Verdana" w:hAnsi="Verdana"/>
          <w:b/>
          <w:bCs/>
        </w:rPr>
        <w:t>also calls for the development and implementation of awareness campaigns that highlight the benefits of migration, as well as the challenges faced by refugees and asylum seekers. These efforts aim to address fear, stigma, and discrimination, ensuring that all individuals can fully enjoy their human rights without facing discrimination based on national origin, race, or nationality</w:t>
      </w:r>
      <w:r w:rsidR="00984BA0" w:rsidRPr="5DD2F4C6">
        <w:rPr>
          <w:rFonts w:ascii="Verdana" w:hAnsi="Verdana"/>
          <w:b/>
          <w:bCs/>
        </w:rPr>
        <w:t>.</w:t>
      </w:r>
    </w:p>
    <w:p w14:paraId="05694365" w14:textId="573C6470" w:rsidR="5DD2F4C6" w:rsidRPr="00E8776A" w:rsidRDefault="5DD2F4C6" w:rsidP="5DD2F4C6">
      <w:pPr>
        <w:spacing w:before="120" w:after="120"/>
        <w:ind w:left="720"/>
        <w:rPr>
          <w:rFonts w:ascii="Verdana" w:hAnsi="Verdana"/>
          <w:b/>
          <w:bCs/>
        </w:rPr>
      </w:pPr>
    </w:p>
    <w:p w14:paraId="43103370" w14:textId="20740A84" w:rsidR="00BF4B6B" w:rsidRPr="001248AB" w:rsidRDefault="5D5BD36E" w:rsidP="001C377F">
      <w:pPr>
        <w:pStyle w:val="Heading2"/>
        <w:spacing w:before="120" w:after="120"/>
        <w:rPr>
          <w:rFonts w:ascii="Verdana" w:hAnsi="Verdana"/>
          <w:b/>
          <w:bCs/>
          <w:color w:val="auto"/>
          <w:sz w:val="24"/>
          <w:szCs w:val="24"/>
        </w:rPr>
      </w:pPr>
      <w:bookmarkStart w:id="13" w:name="_Toc215744946"/>
      <w:r w:rsidRPr="001248AB">
        <w:rPr>
          <w:rFonts w:ascii="Verdana" w:hAnsi="Verdana"/>
          <w:b/>
          <w:bCs/>
          <w:color w:val="auto"/>
          <w:sz w:val="24"/>
          <w:szCs w:val="24"/>
        </w:rPr>
        <w:t xml:space="preserve">Working conditions </w:t>
      </w:r>
      <w:r w:rsidR="508B09AD" w:rsidRPr="001248AB">
        <w:rPr>
          <w:rFonts w:ascii="Verdana" w:hAnsi="Verdana"/>
          <w:b/>
          <w:bCs/>
          <w:color w:val="auto"/>
          <w:sz w:val="24"/>
          <w:szCs w:val="24"/>
        </w:rPr>
        <w:t>and access to healthcare for migrants</w:t>
      </w:r>
      <w:bookmarkEnd w:id="13"/>
    </w:p>
    <w:p w14:paraId="73E9C54E" w14:textId="781334B7" w:rsidR="00CC3426" w:rsidRPr="00E8776A" w:rsidRDefault="002C6577" w:rsidP="001C377F">
      <w:pPr>
        <w:numPr>
          <w:ilvl w:val="1"/>
          <w:numId w:val="14"/>
        </w:numPr>
        <w:spacing w:before="120" w:after="120" w:line="288" w:lineRule="auto"/>
        <w:rPr>
          <w:rFonts w:ascii="Verdana" w:hAnsi="Verdana"/>
        </w:rPr>
      </w:pPr>
      <w:r w:rsidRPr="00E8776A">
        <w:rPr>
          <w:rFonts w:ascii="Verdana" w:hAnsi="Verdana"/>
        </w:rPr>
        <w:t xml:space="preserve">In 2025, migrant workers in </w:t>
      </w:r>
      <w:r w:rsidR="0068024A" w:rsidRPr="003B5730">
        <w:rPr>
          <w:rFonts w:ascii="Verdana" w:hAnsi="Verdana"/>
        </w:rPr>
        <w:t>NI</w:t>
      </w:r>
      <w:r w:rsidR="00073CBA" w:rsidRPr="00E8776A">
        <w:rPr>
          <w:rFonts w:ascii="Verdana" w:hAnsi="Verdana"/>
        </w:rPr>
        <w:t xml:space="preserve"> </w:t>
      </w:r>
      <w:r w:rsidRPr="00E8776A">
        <w:rPr>
          <w:rFonts w:ascii="Verdana" w:hAnsi="Verdana"/>
        </w:rPr>
        <w:t>continue to be at high risk of exploitation, including by being unaware of their employment rights.</w:t>
      </w:r>
      <w:r w:rsidRPr="00E8776A">
        <w:rPr>
          <w:rFonts w:ascii="Verdana" w:hAnsi="Verdana"/>
          <w:vertAlign w:val="superscript"/>
        </w:rPr>
        <w:footnoteReference w:id="82"/>
      </w:r>
      <w:r w:rsidRPr="00E8776A">
        <w:rPr>
          <w:rFonts w:ascii="Verdana" w:hAnsi="Verdana"/>
        </w:rPr>
        <w:t xml:space="preserve"> It has been reported that individuals who rely on sponsorship visas are at particular risk, including being charged by their employer if they try to leave before their contract is finished.</w:t>
      </w:r>
      <w:r w:rsidRPr="00E8776A">
        <w:rPr>
          <w:rFonts w:ascii="Verdana" w:hAnsi="Verdana"/>
          <w:vertAlign w:val="superscript"/>
        </w:rPr>
        <w:footnoteReference w:id="83"/>
      </w:r>
      <w:r w:rsidRPr="00E8776A">
        <w:rPr>
          <w:rFonts w:ascii="Verdana" w:hAnsi="Verdana"/>
        </w:rPr>
        <w:t xml:space="preserve"> </w:t>
      </w:r>
      <w:r w:rsidRPr="00E8776A">
        <w:rPr>
          <w:rFonts w:ascii="Verdana" w:hAnsi="Verdana"/>
        </w:rPr>
        <w:lastRenderedPageBreak/>
        <w:t>This is a particular issue regarding non-unionised sectors, agriculture, the care home sector, and zero-hour contract employers.</w:t>
      </w:r>
      <w:r w:rsidRPr="00E8776A">
        <w:rPr>
          <w:rFonts w:ascii="Verdana" w:hAnsi="Verdana"/>
          <w:vertAlign w:val="superscript"/>
        </w:rPr>
        <w:footnoteReference w:id="84"/>
      </w:r>
      <w:r w:rsidR="00CC3426" w:rsidRPr="00E8776A">
        <w:rPr>
          <w:rFonts w:ascii="Verdana" w:hAnsi="Verdana"/>
        </w:rPr>
        <w:t xml:space="preserve"> The NIHRC is </w:t>
      </w:r>
      <w:r w:rsidR="00257359" w:rsidRPr="00E8776A">
        <w:rPr>
          <w:rFonts w:ascii="Verdana" w:hAnsi="Verdana"/>
        </w:rPr>
        <w:t xml:space="preserve">disappointed </w:t>
      </w:r>
      <w:r w:rsidR="008C736E">
        <w:rPr>
          <w:rFonts w:ascii="Verdana" w:hAnsi="Verdana"/>
        </w:rPr>
        <w:t>with the UK Government's continued position of not ratifying the UN Convention on the Protection of the Rights of All Migrant Workers and Members of Their</w:t>
      </w:r>
      <w:r w:rsidR="005961DE" w:rsidRPr="00E8776A">
        <w:rPr>
          <w:rFonts w:ascii="Verdana" w:hAnsi="Verdana"/>
        </w:rPr>
        <w:t xml:space="preserve"> Families</w:t>
      </w:r>
      <w:r w:rsidR="00981066" w:rsidRPr="00E8776A">
        <w:rPr>
          <w:rFonts w:ascii="Verdana" w:hAnsi="Verdana"/>
        </w:rPr>
        <w:t>, as stated in their Mid-Term Report.</w:t>
      </w:r>
      <w:r w:rsidR="00981066" w:rsidRPr="00E8776A">
        <w:rPr>
          <w:rStyle w:val="FootnoteReference"/>
          <w:rFonts w:ascii="Verdana" w:hAnsi="Verdana"/>
        </w:rPr>
        <w:footnoteReference w:id="85"/>
      </w:r>
    </w:p>
    <w:p w14:paraId="71E9324E" w14:textId="0C7905D4" w:rsidR="5DD2F4C6" w:rsidRDefault="5DD2F4C6" w:rsidP="00E8776A">
      <w:pPr>
        <w:spacing w:after="0" w:line="288" w:lineRule="auto"/>
        <w:ind w:left="720"/>
        <w:rPr>
          <w:rFonts w:ascii="Verdana" w:hAnsi="Verdana"/>
        </w:rPr>
      </w:pPr>
    </w:p>
    <w:p w14:paraId="5FBE92D8" w14:textId="170A4DA3" w:rsidR="00F57F31" w:rsidRPr="008C7E86" w:rsidRDefault="00F57F31" w:rsidP="00E8776A">
      <w:pPr>
        <w:numPr>
          <w:ilvl w:val="1"/>
          <w:numId w:val="14"/>
        </w:numPr>
        <w:spacing w:after="0" w:line="288" w:lineRule="auto"/>
        <w:rPr>
          <w:rFonts w:ascii="Verdana" w:hAnsi="Verdana"/>
          <w:b/>
          <w:bCs/>
        </w:rPr>
      </w:pPr>
      <w:r w:rsidRPr="5DD2F4C6">
        <w:rPr>
          <w:rFonts w:ascii="Verdana" w:hAnsi="Verdana"/>
          <w:b/>
          <w:bCs/>
        </w:rPr>
        <w:t xml:space="preserve">The </w:t>
      </w:r>
      <w:r w:rsidR="00704556" w:rsidRPr="5DD2F4C6">
        <w:rPr>
          <w:rFonts w:ascii="Verdana" w:hAnsi="Verdana"/>
          <w:b/>
          <w:bCs/>
        </w:rPr>
        <w:t>NIHRC</w:t>
      </w:r>
      <w:r w:rsidRPr="5DD2F4C6">
        <w:rPr>
          <w:rFonts w:ascii="Verdana" w:hAnsi="Verdana"/>
          <w:b/>
          <w:bCs/>
        </w:rPr>
        <w:t xml:space="preserve"> recommends that the UK Government ratifies the International Convention on the Protection of the Rights of All Migrant Workers and Members of </w:t>
      </w:r>
      <w:r w:rsidR="00DA114F" w:rsidRPr="5DD2F4C6">
        <w:rPr>
          <w:rFonts w:ascii="Verdana" w:hAnsi="Verdana"/>
          <w:b/>
          <w:bCs/>
        </w:rPr>
        <w:t>t</w:t>
      </w:r>
      <w:r w:rsidRPr="5DD2F4C6">
        <w:rPr>
          <w:rFonts w:ascii="Verdana" w:hAnsi="Verdana"/>
          <w:b/>
          <w:bCs/>
        </w:rPr>
        <w:t>heir Families.</w:t>
      </w:r>
    </w:p>
    <w:p w14:paraId="6553C013" w14:textId="363F77B8" w:rsidR="5DD2F4C6" w:rsidRDefault="5DD2F4C6" w:rsidP="00E8776A">
      <w:pPr>
        <w:spacing w:after="0" w:line="288" w:lineRule="auto"/>
        <w:ind w:left="720"/>
        <w:rPr>
          <w:rFonts w:ascii="Verdana" w:hAnsi="Verdana"/>
          <w:b/>
          <w:bCs/>
        </w:rPr>
      </w:pPr>
    </w:p>
    <w:p w14:paraId="08C64486" w14:textId="2B031349" w:rsidR="002330E1" w:rsidRPr="008C7E86" w:rsidRDefault="002330E1" w:rsidP="00E8776A">
      <w:pPr>
        <w:numPr>
          <w:ilvl w:val="1"/>
          <w:numId w:val="14"/>
        </w:numPr>
        <w:spacing w:after="0" w:line="288" w:lineRule="auto"/>
        <w:rPr>
          <w:rFonts w:ascii="Verdana" w:hAnsi="Verdana"/>
          <w:b/>
          <w:bCs/>
        </w:rPr>
      </w:pPr>
      <w:r w:rsidRPr="5DD2F4C6">
        <w:rPr>
          <w:rFonts w:ascii="Verdana" w:hAnsi="Verdana"/>
          <w:b/>
          <w:bCs/>
        </w:rPr>
        <w:t xml:space="preserve">The </w:t>
      </w:r>
      <w:r w:rsidR="00704556" w:rsidRPr="5DD2F4C6">
        <w:rPr>
          <w:rFonts w:ascii="Verdana" w:hAnsi="Verdana"/>
          <w:b/>
          <w:bCs/>
        </w:rPr>
        <w:t xml:space="preserve">NIHRC </w:t>
      </w:r>
      <w:r w:rsidRPr="5DD2F4C6">
        <w:rPr>
          <w:rFonts w:ascii="Verdana" w:hAnsi="Verdana"/>
          <w:b/>
          <w:bCs/>
        </w:rPr>
        <w:t xml:space="preserve">recommends that the </w:t>
      </w:r>
      <w:r w:rsidR="0068024A" w:rsidRPr="0068024A">
        <w:rPr>
          <w:rFonts w:ascii="Verdana" w:hAnsi="Verdana"/>
          <w:b/>
          <w:bCs/>
        </w:rPr>
        <w:t>NI</w:t>
      </w:r>
      <w:r w:rsidR="007A2143" w:rsidRPr="5DD2F4C6">
        <w:rPr>
          <w:rFonts w:ascii="Verdana" w:hAnsi="Verdana"/>
          <w:b/>
          <w:bCs/>
        </w:rPr>
        <w:t xml:space="preserve"> </w:t>
      </w:r>
      <w:r w:rsidR="00B97CCE" w:rsidRPr="5DD2F4C6">
        <w:rPr>
          <w:rFonts w:ascii="Verdana" w:hAnsi="Verdana"/>
          <w:b/>
          <w:bCs/>
        </w:rPr>
        <w:t>Executive</w:t>
      </w:r>
      <w:r w:rsidRPr="5DD2F4C6">
        <w:rPr>
          <w:rFonts w:ascii="Verdana" w:hAnsi="Verdana"/>
          <w:b/>
          <w:bCs/>
        </w:rPr>
        <w:t xml:space="preserve"> take steps to protect migrant workers from exploitation and abuse.</w:t>
      </w:r>
      <w:r w:rsidR="00693C82" w:rsidRPr="5DD2F4C6">
        <w:rPr>
          <w:rFonts w:ascii="Verdana" w:hAnsi="Verdana"/>
          <w:b/>
          <w:bCs/>
        </w:rPr>
        <w:t xml:space="preserve"> This includes ensuring they have the same rights as other workers in </w:t>
      </w:r>
      <w:r w:rsidR="003A0DE1" w:rsidRPr="003A0DE1">
        <w:rPr>
          <w:rFonts w:ascii="Verdana" w:hAnsi="Verdana"/>
          <w:b/>
          <w:bCs/>
        </w:rPr>
        <w:t>NI</w:t>
      </w:r>
      <w:r w:rsidR="00693C82" w:rsidRPr="5DD2F4C6">
        <w:rPr>
          <w:rFonts w:ascii="Verdana" w:hAnsi="Verdana"/>
          <w:b/>
          <w:bCs/>
        </w:rPr>
        <w:t xml:space="preserve">, access to complaint mechanisms with interpretation services, and legal assistance. Migrant workers should also be able to seek remedies without fear of reprisal, deportation, or detention. Additionally, the Department should regularly monitor </w:t>
      </w:r>
      <w:r w:rsidR="007A2143" w:rsidRPr="5DD2F4C6">
        <w:rPr>
          <w:rFonts w:ascii="Verdana" w:hAnsi="Verdana"/>
          <w:b/>
          <w:bCs/>
        </w:rPr>
        <w:t>the conditions of migrant workers</w:t>
      </w:r>
      <w:r w:rsidR="00693C82" w:rsidRPr="5DD2F4C6">
        <w:rPr>
          <w:rFonts w:ascii="Verdana" w:hAnsi="Verdana"/>
          <w:b/>
          <w:bCs/>
        </w:rPr>
        <w:t xml:space="preserve"> by collecting and sharing relevant, disaggregated data.</w:t>
      </w:r>
    </w:p>
    <w:p w14:paraId="22B5122B" w14:textId="1190A316" w:rsidR="5DD2F4C6" w:rsidRDefault="5DD2F4C6" w:rsidP="00E8776A">
      <w:pPr>
        <w:spacing w:after="0" w:line="288" w:lineRule="auto"/>
        <w:ind w:left="720"/>
        <w:rPr>
          <w:rFonts w:ascii="Verdana" w:hAnsi="Verdana"/>
          <w:b/>
          <w:bCs/>
        </w:rPr>
      </w:pPr>
    </w:p>
    <w:p w14:paraId="704F5C16" w14:textId="32AD72F6" w:rsidR="00FC43CF" w:rsidRPr="008C7E86" w:rsidRDefault="00FC43CF" w:rsidP="00E8776A">
      <w:pPr>
        <w:numPr>
          <w:ilvl w:val="1"/>
          <w:numId w:val="14"/>
        </w:numPr>
        <w:spacing w:after="0" w:line="288" w:lineRule="auto"/>
        <w:rPr>
          <w:rFonts w:ascii="Verdana" w:hAnsi="Verdana"/>
        </w:rPr>
      </w:pPr>
      <w:r w:rsidRPr="5DD2F4C6">
        <w:rPr>
          <w:rFonts w:ascii="Verdana" w:hAnsi="Verdana"/>
        </w:rPr>
        <w:t xml:space="preserve">Migrants in </w:t>
      </w:r>
      <w:r w:rsidR="003A0DE1" w:rsidRPr="003A0DE1">
        <w:rPr>
          <w:rFonts w:ascii="Verdana" w:hAnsi="Verdana"/>
        </w:rPr>
        <w:t>NI</w:t>
      </w:r>
      <w:r w:rsidRPr="5DD2F4C6">
        <w:rPr>
          <w:rFonts w:ascii="Verdana" w:hAnsi="Verdana"/>
        </w:rPr>
        <w:t xml:space="preserve"> face several barriers to accessing healthcare. There is a lack of accurate information and insufficient translation services,</w:t>
      </w:r>
      <w:r w:rsidR="009E1919" w:rsidRPr="5DD2F4C6">
        <w:rPr>
          <w:rStyle w:val="FootnoteReference"/>
          <w:rFonts w:ascii="Verdana" w:hAnsi="Verdana"/>
        </w:rPr>
        <w:footnoteReference w:id="86"/>
      </w:r>
      <w:r w:rsidRPr="5DD2F4C6">
        <w:rPr>
          <w:rFonts w:ascii="Verdana" w:hAnsi="Verdana"/>
        </w:rPr>
        <w:t xml:space="preserve"> along with delays in receiving asylum registration cards and HC2 certificates.</w:t>
      </w:r>
      <w:r w:rsidR="002D3909" w:rsidRPr="5DD2F4C6">
        <w:rPr>
          <w:rStyle w:val="FootnoteReference"/>
          <w:rFonts w:ascii="Verdana" w:hAnsi="Verdana"/>
        </w:rPr>
        <w:footnoteReference w:id="87"/>
      </w:r>
      <w:r w:rsidRPr="5DD2F4C6">
        <w:rPr>
          <w:rFonts w:ascii="Verdana" w:hAnsi="Verdana"/>
        </w:rPr>
        <w:t xml:space="preserve"> </w:t>
      </w:r>
      <w:r w:rsidR="00767814" w:rsidRPr="5DD2F4C6">
        <w:rPr>
          <w:rFonts w:ascii="Verdana" w:hAnsi="Verdana"/>
        </w:rPr>
        <w:t xml:space="preserve">Individuals in temporary hotel accommodations often lack access to healthcare information, and there are inadequate provisions for addressing medical needs and conducting </w:t>
      </w:r>
      <w:r w:rsidRPr="5DD2F4C6">
        <w:rPr>
          <w:rFonts w:ascii="Verdana" w:hAnsi="Verdana"/>
        </w:rPr>
        <w:t xml:space="preserve">health </w:t>
      </w:r>
      <w:r w:rsidRPr="5DD2F4C6">
        <w:rPr>
          <w:rFonts w:ascii="Verdana" w:hAnsi="Verdana"/>
        </w:rPr>
        <w:lastRenderedPageBreak/>
        <w:t>assessments.</w:t>
      </w:r>
      <w:r w:rsidR="00B55553" w:rsidRPr="5DD2F4C6">
        <w:rPr>
          <w:rStyle w:val="FootnoteReference"/>
          <w:rFonts w:ascii="Verdana" w:hAnsi="Verdana"/>
        </w:rPr>
        <w:footnoteReference w:id="88"/>
      </w:r>
      <w:r w:rsidRPr="5DD2F4C6">
        <w:rPr>
          <w:rFonts w:ascii="Verdana" w:hAnsi="Verdana"/>
        </w:rPr>
        <w:t xml:space="preserve"> Migrants with trauma or complex needs struggle to find appropriate care,</w:t>
      </w:r>
      <w:r w:rsidR="00717646" w:rsidRPr="5DD2F4C6">
        <w:rPr>
          <w:rStyle w:val="FootnoteReference"/>
          <w:rFonts w:ascii="Verdana" w:hAnsi="Verdana"/>
        </w:rPr>
        <w:footnoteReference w:id="89"/>
      </w:r>
      <w:r w:rsidRPr="5DD2F4C6">
        <w:rPr>
          <w:rFonts w:ascii="Verdana" w:hAnsi="Verdana"/>
        </w:rPr>
        <w:t xml:space="preserve"> and mental health services are also difficult to access, leading to declining mental health among d/Deaf and disabled migrants.</w:t>
      </w:r>
      <w:r w:rsidR="00343EC8" w:rsidRPr="5DD2F4C6">
        <w:rPr>
          <w:rStyle w:val="FootnoteReference"/>
          <w:rFonts w:ascii="Verdana" w:hAnsi="Verdana"/>
        </w:rPr>
        <w:footnoteReference w:id="90"/>
      </w:r>
      <w:r w:rsidRPr="5DD2F4C6">
        <w:rPr>
          <w:rFonts w:ascii="Verdana" w:hAnsi="Verdana"/>
        </w:rPr>
        <w:t xml:space="preserve"> Additionally, some migrants have been questioned about their immigration status when seeking health services.</w:t>
      </w:r>
      <w:r w:rsidR="0017278D" w:rsidRPr="5DD2F4C6">
        <w:rPr>
          <w:rStyle w:val="FootnoteReference"/>
          <w:rFonts w:ascii="Verdana" w:hAnsi="Verdana"/>
        </w:rPr>
        <w:footnoteReference w:id="91"/>
      </w:r>
    </w:p>
    <w:p w14:paraId="3348A092" w14:textId="2195B695" w:rsidR="5DD2F4C6" w:rsidRDefault="5DD2F4C6" w:rsidP="00E8776A">
      <w:pPr>
        <w:spacing w:after="0" w:line="288" w:lineRule="auto"/>
        <w:ind w:left="720"/>
        <w:rPr>
          <w:rFonts w:ascii="Verdana" w:hAnsi="Verdana"/>
        </w:rPr>
      </w:pPr>
    </w:p>
    <w:p w14:paraId="098D5B62" w14:textId="2A7DC374" w:rsidR="00BC1587" w:rsidRPr="008C7E86" w:rsidRDefault="09BC7320" w:rsidP="00E8776A">
      <w:pPr>
        <w:numPr>
          <w:ilvl w:val="1"/>
          <w:numId w:val="14"/>
        </w:numPr>
        <w:spacing w:after="0" w:line="288" w:lineRule="auto"/>
        <w:rPr>
          <w:rFonts w:ascii="Verdana" w:hAnsi="Verdana"/>
          <w:b/>
          <w:bCs/>
        </w:rPr>
      </w:pPr>
      <w:r w:rsidRPr="409BA1CF">
        <w:rPr>
          <w:rFonts w:ascii="Verdana" w:hAnsi="Verdana"/>
          <w:b/>
          <w:bCs/>
        </w:rPr>
        <w:t xml:space="preserve">The </w:t>
      </w:r>
      <w:r w:rsidR="00704556" w:rsidRPr="409BA1CF">
        <w:rPr>
          <w:rFonts w:ascii="Verdana" w:hAnsi="Verdana"/>
          <w:b/>
          <w:bCs/>
        </w:rPr>
        <w:t xml:space="preserve">NIHRC </w:t>
      </w:r>
      <w:r w:rsidRPr="409BA1CF">
        <w:rPr>
          <w:rFonts w:ascii="Verdana" w:hAnsi="Verdana"/>
          <w:b/>
          <w:bCs/>
        </w:rPr>
        <w:t xml:space="preserve">recommends that the </w:t>
      </w:r>
      <w:r w:rsidR="003A0DE1" w:rsidRPr="409BA1CF">
        <w:rPr>
          <w:rFonts w:ascii="Verdana" w:hAnsi="Verdana"/>
          <w:b/>
          <w:bCs/>
        </w:rPr>
        <w:t>NI</w:t>
      </w:r>
      <w:r w:rsidRPr="409BA1CF">
        <w:rPr>
          <w:rFonts w:ascii="Verdana" w:hAnsi="Verdana"/>
          <w:b/>
          <w:bCs/>
        </w:rPr>
        <w:t xml:space="preserve"> Executive </w:t>
      </w:r>
      <w:r w:rsidR="04F3FDA5" w:rsidRPr="409BA1CF">
        <w:rPr>
          <w:rFonts w:ascii="Verdana" w:hAnsi="Verdana"/>
          <w:b/>
          <w:bCs/>
        </w:rPr>
        <w:t xml:space="preserve">implement measures </w:t>
      </w:r>
      <w:r w:rsidR="07099ABD" w:rsidRPr="409BA1CF">
        <w:rPr>
          <w:rFonts w:ascii="Verdana" w:hAnsi="Verdana"/>
          <w:b/>
          <w:bCs/>
        </w:rPr>
        <w:t>to address inequalities and discrimination affecting migrants' access to</w:t>
      </w:r>
      <w:r w:rsidR="04F3FDA5" w:rsidRPr="409BA1CF">
        <w:rPr>
          <w:rFonts w:ascii="Verdana" w:hAnsi="Verdana"/>
          <w:b/>
          <w:bCs/>
        </w:rPr>
        <w:t xml:space="preserve"> healthcare in </w:t>
      </w:r>
      <w:r w:rsidR="003A0DE1" w:rsidRPr="409BA1CF">
        <w:rPr>
          <w:rFonts w:ascii="Verdana" w:hAnsi="Verdana"/>
          <w:b/>
          <w:bCs/>
        </w:rPr>
        <w:t>NI</w:t>
      </w:r>
      <w:r w:rsidR="04F3FDA5" w:rsidRPr="409BA1CF">
        <w:rPr>
          <w:rFonts w:ascii="Verdana" w:hAnsi="Verdana"/>
          <w:b/>
          <w:bCs/>
        </w:rPr>
        <w:t>. This includes training healthcare professionals to provide accessible, culturally appropriate, and non-discriminatory care for all, including refugees and asylum seekers.</w:t>
      </w:r>
    </w:p>
    <w:p w14:paraId="76CAF195" w14:textId="6FF96B99" w:rsidR="5DD2F4C6" w:rsidRDefault="5DD2F4C6" w:rsidP="5DD2F4C6">
      <w:pPr>
        <w:spacing w:before="120" w:after="120"/>
        <w:ind w:left="720"/>
        <w:rPr>
          <w:rFonts w:ascii="Verdana" w:hAnsi="Verdana"/>
          <w:b/>
          <w:bCs/>
        </w:rPr>
      </w:pPr>
    </w:p>
    <w:p w14:paraId="06140E27" w14:textId="7D5D6F48" w:rsidR="00772E4C" w:rsidRPr="008C7E86" w:rsidRDefault="00772E4C" w:rsidP="00A41384">
      <w:pPr>
        <w:pStyle w:val="Heading1"/>
        <w:numPr>
          <w:ilvl w:val="0"/>
          <w:numId w:val="15"/>
        </w:numPr>
        <w:spacing w:before="120" w:after="120"/>
        <w:rPr>
          <w:rFonts w:ascii="Verdana" w:hAnsi="Verdana"/>
          <w:b/>
          <w:bCs/>
          <w:color w:val="77328A"/>
          <w:sz w:val="28"/>
          <w:szCs w:val="28"/>
        </w:rPr>
      </w:pPr>
      <w:bookmarkStart w:id="14" w:name="_Toc215744947"/>
      <w:r w:rsidRPr="008C7E86">
        <w:rPr>
          <w:rFonts w:ascii="Verdana" w:hAnsi="Verdana"/>
          <w:b/>
          <w:bCs/>
          <w:color w:val="77328A"/>
          <w:sz w:val="28"/>
          <w:szCs w:val="28"/>
        </w:rPr>
        <w:t xml:space="preserve">Anti-poverty </w:t>
      </w:r>
      <w:r w:rsidR="00BB67B3" w:rsidRPr="008C7E86">
        <w:rPr>
          <w:rFonts w:ascii="Verdana" w:hAnsi="Verdana"/>
          <w:b/>
          <w:bCs/>
          <w:color w:val="77328A"/>
          <w:sz w:val="28"/>
          <w:szCs w:val="28"/>
        </w:rPr>
        <w:t>s</w:t>
      </w:r>
      <w:r w:rsidRPr="008C7E86">
        <w:rPr>
          <w:rFonts w:ascii="Verdana" w:hAnsi="Verdana"/>
          <w:b/>
          <w:bCs/>
          <w:color w:val="77328A"/>
          <w:sz w:val="28"/>
          <w:szCs w:val="28"/>
        </w:rPr>
        <w:t>trategy</w:t>
      </w:r>
      <w:bookmarkEnd w:id="14"/>
    </w:p>
    <w:p w14:paraId="73DDABAA" w14:textId="77777777" w:rsidR="002246B3" w:rsidRDefault="002246B3" w:rsidP="002246B3">
      <w:pPr>
        <w:pStyle w:val="ListParagraph"/>
        <w:numPr>
          <w:ilvl w:val="0"/>
          <w:numId w:val="0"/>
        </w:numPr>
        <w:spacing w:before="0" w:after="0"/>
        <w:ind w:left="720"/>
        <w:contextualSpacing w:val="0"/>
      </w:pPr>
    </w:p>
    <w:p w14:paraId="31188E05" w14:textId="776EE1E9" w:rsidR="00150D4D" w:rsidRPr="008C7E86" w:rsidRDefault="00150D4D" w:rsidP="000B4DF8">
      <w:pPr>
        <w:pStyle w:val="ListParagraph"/>
        <w:numPr>
          <w:ilvl w:val="1"/>
          <w:numId w:val="16"/>
        </w:numPr>
        <w:spacing w:before="0" w:after="0"/>
        <w:contextualSpacing w:val="0"/>
      </w:pPr>
      <w:r w:rsidRPr="5DD2F4C6">
        <w:t>4</w:t>
      </w:r>
      <w:r w:rsidRPr="5DD2F4C6">
        <w:rPr>
          <w:vertAlign w:val="superscript"/>
        </w:rPr>
        <w:t>th</w:t>
      </w:r>
      <w:r w:rsidRPr="5DD2F4C6">
        <w:t xml:space="preserve"> cycle recommendations: </w:t>
      </w:r>
      <w:r w:rsidR="720206E5" w:rsidRPr="00E74D0B">
        <w:t>43.143, 43.144, 43.147, 43.214, 43.218, 43.237</w:t>
      </w:r>
      <w:r w:rsidR="722A65AB" w:rsidRPr="5DD2F4C6">
        <w:t>.</w:t>
      </w:r>
    </w:p>
    <w:p w14:paraId="26134724" w14:textId="35132AEA" w:rsidR="5DD2F4C6" w:rsidRDefault="5DD2F4C6" w:rsidP="000B4DF8">
      <w:pPr>
        <w:pStyle w:val="ListParagraph"/>
        <w:numPr>
          <w:ilvl w:val="0"/>
          <w:numId w:val="0"/>
        </w:numPr>
        <w:spacing w:before="0" w:after="0"/>
        <w:ind w:left="720"/>
        <w:contextualSpacing w:val="0"/>
      </w:pPr>
    </w:p>
    <w:p w14:paraId="160D3487" w14:textId="1A0F9B10" w:rsidR="00150D4D" w:rsidRPr="008C7E86" w:rsidRDefault="1813CA68" w:rsidP="000B4DF8">
      <w:pPr>
        <w:numPr>
          <w:ilvl w:val="1"/>
          <w:numId w:val="16"/>
        </w:numPr>
        <w:spacing w:after="0"/>
        <w:rPr>
          <w:rFonts w:ascii="Verdana" w:hAnsi="Verdana"/>
        </w:rPr>
      </w:pPr>
      <w:r w:rsidRPr="008C7E86">
        <w:rPr>
          <w:rFonts w:ascii="Verdana" w:hAnsi="Verdana"/>
        </w:rPr>
        <w:t xml:space="preserve">Between </w:t>
      </w:r>
      <w:r w:rsidR="0ADF9A3B" w:rsidRPr="008C7E86">
        <w:rPr>
          <w:rFonts w:ascii="Verdana" w:hAnsi="Verdana"/>
        </w:rPr>
        <w:t>202</w:t>
      </w:r>
      <w:r w:rsidR="7E0B5DDF" w:rsidRPr="008C7E86">
        <w:rPr>
          <w:rFonts w:ascii="Verdana" w:hAnsi="Verdana"/>
        </w:rPr>
        <w:t>3</w:t>
      </w:r>
      <w:r w:rsidR="0ADF9A3B" w:rsidRPr="008C7E86">
        <w:rPr>
          <w:rFonts w:ascii="Verdana" w:hAnsi="Verdana"/>
        </w:rPr>
        <w:t xml:space="preserve"> </w:t>
      </w:r>
      <w:r w:rsidRPr="008C7E86">
        <w:rPr>
          <w:rFonts w:ascii="Verdana" w:hAnsi="Verdana"/>
        </w:rPr>
        <w:t xml:space="preserve">and 2025, several human rights bodies have recommended that the UK Government </w:t>
      </w:r>
      <w:r w:rsidR="1B9558EE" w:rsidRPr="008C7E86">
        <w:rPr>
          <w:rFonts w:ascii="Verdana" w:hAnsi="Verdana"/>
        </w:rPr>
        <w:t>take urgent and coordinated action to address child poverty, including through increased budget allocations, fiscal reforms, and strengthened social protection systems</w:t>
      </w:r>
      <w:r w:rsidR="002246B3">
        <w:rPr>
          <w:rFonts w:ascii="Verdana" w:hAnsi="Verdana"/>
        </w:rPr>
        <w:t>,</w:t>
      </w:r>
      <w:r w:rsidR="1B9558EE" w:rsidRPr="008C7E86">
        <w:rPr>
          <w:rFonts w:ascii="Verdana" w:hAnsi="Verdana"/>
        </w:rPr>
        <w:t xml:space="preserve"> while ensuring that all measures follow a child rights-based approach.</w:t>
      </w:r>
      <w:r w:rsidR="009B3720" w:rsidRPr="008C7E86">
        <w:rPr>
          <w:rStyle w:val="FootnoteReference"/>
          <w:rFonts w:ascii="Verdana" w:hAnsi="Verdana"/>
        </w:rPr>
        <w:footnoteReference w:id="92"/>
      </w:r>
    </w:p>
    <w:p w14:paraId="6E1F61CB" w14:textId="5DA3ED63" w:rsidR="5DD2F4C6" w:rsidRDefault="5DD2F4C6" w:rsidP="000B4DF8">
      <w:pPr>
        <w:spacing w:after="0"/>
        <w:ind w:left="720"/>
        <w:rPr>
          <w:rFonts w:ascii="Verdana" w:hAnsi="Verdana"/>
        </w:rPr>
      </w:pPr>
    </w:p>
    <w:p w14:paraId="25ADA805" w14:textId="59B64F27" w:rsidR="003C03B7" w:rsidRPr="008C7E86" w:rsidRDefault="00A16970" w:rsidP="000B4DF8">
      <w:pPr>
        <w:numPr>
          <w:ilvl w:val="1"/>
          <w:numId w:val="16"/>
        </w:numPr>
        <w:spacing w:after="0"/>
        <w:rPr>
          <w:rFonts w:ascii="Verdana" w:hAnsi="Verdana"/>
        </w:rPr>
      </w:pPr>
      <w:r w:rsidRPr="008C7E86">
        <w:rPr>
          <w:rFonts w:ascii="Verdana" w:hAnsi="Verdana"/>
        </w:rPr>
        <w:t xml:space="preserve">The NIHRC notes that the UK Government has </w:t>
      </w:r>
      <w:r w:rsidR="00F61CEF" w:rsidRPr="008C7E86">
        <w:rPr>
          <w:rFonts w:ascii="Verdana" w:hAnsi="Verdana"/>
        </w:rPr>
        <w:t>re</w:t>
      </w:r>
      <w:r w:rsidR="007924B1" w:rsidRPr="008C7E86">
        <w:rPr>
          <w:rFonts w:ascii="Verdana" w:hAnsi="Verdana"/>
        </w:rPr>
        <w:t xml:space="preserve">affirmed </w:t>
      </w:r>
      <w:r w:rsidR="00465681" w:rsidRPr="008C7E86">
        <w:rPr>
          <w:rFonts w:ascii="Verdana" w:hAnsi="Verdana"/>
        </w:rPr>
        <w:t xml:space="preserve">its commitment to tackling child poverty across </w:t>
      </w:r>
      <w:r w:rsidR="003E2378" w:rsidRPr="008C7E86">
        <w:rPr>
          <w:rFonts w:ascii="Verdana" w:hAnsi="Verdana"/>
        </w:rPr>
        <w:t>the UK</w:t>
      </w:r>
      <w:r w:rsidR="00DA3055" w:rsidRPr="008C7E86">
        <w:rPr>
          <w:rFonts w:ascii="Verdana" w:hAnsi="Verdana"/>
        </w:rPr>
        <w:t xml:space="preserve"> as </w:t>
      </w:r>
      <w:r w:rsidR="00DA3055" w:rsidRPr="5DD2F4C6">
        <w:rPr>
          <w:rFonts w:ascii="Verdana" w:hAnsi="Verdana"/>
        </w:rPr>
        <w:t>reflected in its Mid-Term Report</w:t>
      </w:r>
      <w:r w:rsidR="00A635E5" w:rsidRPr="5DD2F4C6">
        <w:rPr>
          <w:rStyle w:val="FootnoteReference"/>
          <w:rFonts w:ascii="Verdana" w:hAnsi="Verdana"/>
        </w:rPr>
        <w:footnoteReference w:id="93"/>
      </w:r>
      <w:r w:rsidR="00784875" w:rsidRPr="008C7E86">
        <w:rPr>
          <w:rFonts w:ascii="Verdana" w:hAnsi="Verdana"/>
        </w:rPr>
        <w:t xml:space="preserve">, including </w:t>
      </w:r>
      <w:r w:rsidR="003C03B7" w:rsidRPr="008C7E86">
        <w:rPr>
          <w:rFonts w:ascii="Verdana" w:hAnsi="Verdana"/>
        </w:rPr>
        <w:t xml:space="preserve">its plans to publish a Child Poverty Strategy and </w:t>
      </w:r>
      <w:r w:rsidR="00A3523A" w:rsidRPr="008C7E86">
        <w:rPr>
          <w:rFonts w:ascii="Verdana" w:hAnsi="Verdana"/>
        </w:rPr>
        <w:t xml:space="preserve">the </w:t>
      </w:r>
      <w:r w:rsidR="003C03B7" w:rsidRPr="008C7E86">
        <w:rPr>
          <w:rFonts w:ascii="Verdana" w:hAnsi="Verdana"/>
        </w:rPr>
        <w:t xml:space="preserve">establishment of a Ministerial Child Poverty </w:t>
      </w:r>
      <w:r w:rsidR="003C03B7" w:rsidRPr="008C7E86">
        <w:rPr>
          <w:rFonts w:ascii="Verdana" w:hAnsi="Verdana"/>
        </w:rPr>
        <w:lastRenderedPageBreak/>
        <w:t>Taskforce.</w:t>
      </w:r>
      <w:r w:rsidR="00995CF1" w:rsidRPr="008C7E86">
        <w:rPr>
          <w:rStyle w:val="FootnoteReference"/>
          <w:rFonts w:ascii="Verdana" w:hAnsi="Verdana"/>
        </w:rPr>
        <w:footnoteReference w:id="94"/>
      </w:r>
      <w:r w:rsidR="003C03B7" w:rsidRPr="008C7E86">
        <w:rPr>
          <w:rFonts w:ascii="Verdana" w:hAnsi="Verdana"/>
        </w:rPr>
        <w:t xml:space="preserve"> </w:t>
      </w:r>
      <w:r w:rsidR="00DA46C6" w:rsidRPr="008C7E86">
        <w:rPr>
          <w:rFonts w:ascii="Verdana" w:hAnsi="Verdana"/>
        </w:rPr>
        <w:t xml:space="preserve">Despite </w:t>
      </w:r>
      <w:r w:rsidR="00962E04" w:rsidRPr="008C7E86">
        <w:rPr>
          <w:rFonts w:ascii="Verdana" w:hAnsi="Verdana"/>
        </w:rPr>
        <w:t xml:space="preserve">ongoing commitments at the national level, there remains no dedicated anti-poverty strategy for </w:t>
      </w:r>
      <w:r w:rsidR="008637CA" w:rsidRPr="003B5730">
        <w:rPr>
          <w:rFonts w:ascii="Verdana" w:hAnsi="Verdana"/>
        </w:rPr>
        <w:t>NI</w:t>
      </w:r>
      <w:r w:rsidR="00962E04" w:rsidRPr="008C7E86">
        <w:rPr>
          <w:rFonts w:ascii="Verdana" w:hAnsi="Verdana"/>
        </w:rPr>
        <w:t>.</w:t>
      </w:r>
    </w:p>
    <w:p w14:paraId="25950DE2" w14:textId="087E5842" w:rsidR="5DD2F4C6" w:rsidRDefault="5DD2F4C6" w:rsidP="000B4DF8">
      <w:pPr>
        <w:spacing w:after="0"/>
        <w:ind w:left="720"/>
        <w:rPr>
          <w:rFonts w:ascii="Verdana" w:hAnsi="Verdana"/>
        </w:rPr>
      </w:pPr>
    </w:p>
    <w:p w14:paraId="38ED07FE" w14:textId="29EF180E" w:rsidR="009809BB" w:rsidRPr="008C7E86" w:rsidRDefault="006428CA" w:rsidP="000B4DF8">
      <w:pPr>
        <w:numPr>
          <w:ilvl w:val="1"/>
          <w:numId w:val="16"/>
        </w:numPr>
        <w:spacing w:after="0"/>
        <w:rPr>
          <w:rFonts w:ascii="Verdana" w:hAnsi="Verdana"/>
        </w:rPr>
      </w:pPr>
      <w:r w:rsidRPr="008C7E86">
        <w:rPr>
          <w:rFonts w:ascii="Verdana" w:hAnsi="Verdana"/>
        </w:rPr>
        <w:t xml:space="preserve">The NIHRC notes that while the </w:t>
      </w:r>
      <w:r w:rsidR="008637CA" w:rsidRPr="003B5730">
        <w:rPr>
          <w:rFonts w:ascii="Verdana" w:hAnsi="Verdana"/>
        </w:rPr>
        <w:t>NI</w:t>
      </w:r>
      <w:r w:rsidRPr="008C7E86">
        <w:rPr>
          <w:rFonts w:ascii="Verdana" w:hAnsi="Verdana"/>
        </w:rPr>
        <w:t xml:space="preserve"> Executive previously committed to publishing a new Child Poverty </w:t>
      </w:r>
      <w:r w:rsidR="007369AF" w:rsidRPr="008C7E86">
        <w:rPr>
          <w:rFonts w:ascii="Verdana" w:hAnsi="Verdana"/>
        </w:rPr>
        <w:t>Strategy</w:t>
      </w:r>
      <w:r w:rsidRPr="008C7E86">
        <w:rPr>
          <w:rFonts w:ascii="Verdana" w:hAnsi="Verdana"/>
        </w:rPr>
        <w:t xml:space="preserve">, </w:t>
      </w:r>
      <w:r w:rsidR="00E17E99" w:rsidRPr="008C7E86">
        <w:rPr>
          <w:rFonts w:ascii="Verdana" w:hAnsi="Verdana"/>
        </w:rPr>
        <w:t>it</w:t>
      </w:r>
      <w:r w:rsidRPr="008C7E86">
        <w:rPr>
          <w:rFonts w:ascii="Verdana" w:hAnsi="Verdana"/>
        </w:rPr>
        <w:t xml:space="preserve"> has been </w:t>
      </w:r>
      <w:r w:rsidR="001D339D" w:rsidRPr="008C7E86">
        <w:rPr>
          <w:rFonts w:ascii="Verdana" w:hAnsi="Verdana"/>
        </w:rPr>
        <w:t>replaced</w:t>
      </w:r>
      <w:r w:rsidRPr="008C7E86">
        <w:rPr>
          <w:rFonts w:ascii="Verdana" w:hAnsi="Verdana"/>
        </w:rPr>
        <w:t xml:space="preserve"> by plans to address child poverty through a </w:t>
      </w:r>
      <w:r w:rsidR="00CF26F5" w:rsidRPr="008C7E86">
        <w:rPr>
          <w:rFonts w:ascii="Verdana" w:hAnsi="Verdana"/>
        </w:rPr>
        <w:t>broader Anti-Poverty Strategy.</w:t>
      </w:r>
      <w:r w:rsidR="00DF46B9" w:rsidRPr="008C7E86">
        <w:rPr>
          <w:rStyle w:val="FootnoteReference"/>
          <w:rFonts w:ascii="Verdana" w:hAnsi="Verdana"/>
        </w:rPr>
        <w:footnoteReference w:id="95"/>
      </w:r>
      <w:r w:rsidR="00CF26F5" w:rsidRPr="008C7E86">
        <w:rPr>
          <w:rFonts w:ascii="Verdana" w:hAnsi="Verdana"/>
        </w:rPr>
        <w:t xml:space="preserve"> Th</w:t>
      </w:r>
      <w:r w:rsidR="00F22ED6" w:rsidRPr="008C7E86">
        <w:rPr>
          <w:rFonts w:ascii="Verdana" w:hAnsi="Verdana"/>
        </w:rPr>
        <w:t xml:space="preserve">e 2024 </w:t>
      </w:r>
      <w:r w:rsidR="008637CA" w:rsidRPr="003B5730">
        <w:rPr>
          <w:rFonts w:ascii="Verdana" w:hAnsi="Verdana"/>
        </w:rPr>
        <w:t>NI</w:t>
      </w:r>
      <w:r w:rsidR="00F22ED6" w:rsidRPr="008C7E86">
        <w:rPr>
          <w:rFonts w:ascii="Verdana" w:hAnsi="Verdana"/>
        </w:rPr>
        <w:t xml:space="preserve"> Audit Office report highlighted limited progress on key poverty indicators</w:t>
      </w:r>
      <w:r w:rsidR="00385865" w:rsidRPr="008C7E86">
        <w:rPr>
          <w:rFonts w:ascii="Verdana" w:hAnsi="Verdana"/>
        </w:rPr>
        <w:t xml:space="preserve"> on outcomes for children in NI</w:t>
      </w:r>
      <w:r w:rsidR="00F22ED6" w:rsidRPr="008C7E86">
        <w:rPr>
          <w:rFonts w:ascii="Verdana" w:hAnsi="Verdana"/>
        </w:rPr>
        <w:t>, identifying gaps in accountability, coordination and delivery.</w:t>
      </w:r>
      <w:r w:rsidR="0077756C" w:rsidRPr="008C7E86">
        <w:rPr>
          <w:rStyle w:val="FootnoteReference"/>
          <w:rFonts w:ascii="Verdana" w:hAnsi="Verdana"/>
        </w:rPr>
        <w:footnoteReference w:id="96"/>
      </w:r>
      <w:r w:rsidR="00F22ED6" w:rsidRPr="008C7E86">
        <w:rPr>
          <w:rFonts w:ascii="Verdana" w:hAnsi="Verdana"/>
        </w:rPr>
        <w:t xml:space="preserve"> </w:t>
      </w:r>
    </w:p>
    <w:p w14:paraId="6BC0D2C7" w14:textId="014C3798" w:rsidR="5DD2F4C6" w:rsidRDefault="5DD2F4C6" w:rsidP="000B4DF8">
      <w:pPr>
        <w:spacing w:after="0"/>
        <w:ind w:left="720"/>
        <w:rPr>
          <w:rFonts w:ascii="Verdana" w:hAnsi="Verdana"/>
        </w:rPr>
      </w:pPr>
    </w:p>
    <w:p w14:paraId="290A4E3F" w14:textId="5B292F92" w:rsidR="59EAEF53" w:rsidRPr="008C7E86" w:rsidRDefault="002E107D" w:rsidP="000B4DF8">
      <w:pPr>
        <w:numPr>
          <w:ilvl w:val="1"/>
          <w:numId w:val="16"/>
        </w:numPr>
        <w:spacing w:after="0"/>
        <w:rPr>
          <w:rFonts w:ascii="Verdana" w:hAnsi="Verdana"/>
        </w:rPr>
      </w:pPr>
      <w:r>
        <w:rPr>
          <w:rFonts w:ascii="Verdana" w:hAnsi="Verdana"/>
        </w:rPr>
        <w:t>The proposed Anti-Poverty Strategy consulted on in 2025 was heavily criti</w:t>
      </w:r>
      <w:r w:rsidR="00D57D4C">
        <w:rPr>
          <w:rFonts w:ascii="Verdana" w:hAnsi="Verdana"/>
        </w:rPr>
        <w:t xml:space="preserve">cised for lacking a human-rights based approach, failing to reflect the outcomes of the co-design process and omitting actions to address child poverty. </w:t>
      </w:r>
      <w:r w:rsidR="00B77ED7">
        <w:rPr>
          <w:rFonts w:ascii="Verdana" w:hAnsi="Verdana"/>
        </w:rPr>
        <w:t xml:space="preserve">Civil Society </w:t>
      </w:r>
      <w:r w:rsidR="007208DE">
        <w:rPr>
          <w:rFonts w:ascii="Verdana" w:hAnsi="Verdana"/>
        </w:rPr>
        <w:t>Organisations called for the Strategy’s withdrawal.</w:t>
      </w:r>
      <w:r w:rsidR="001F4A79">
        <w:rPr>
          <w:rStyle w:val="FootnoteReference"/>
          <w:rFonts w:ascii="Verdana" w:hAnsi="Verdana"/>
        </w:rPr>
        <w:footnoteReference w:id="97"/>
      </w:r>
    </w:p>
    <w:p w14:paraId="118D771D" w14:textId="521B8066" w:rsidR="5DD2F4C6" w:rsidRDefault="5DD2F4C6" w:rsidP="000B4DF8">
      <w:pPr>
        <w:spacing w:after="0"/>
        <w:ind w:left="720"/>
        <w:rPr>
          <w:rFonts w:ascii="Verdana" w:hAnsi="Verdana"/>
        </w:rPr>
      </w:pPr>
    </w:p>
    <w:p w14:paraId="76E953C2" w14:textId="77B5056A" w:rsidR="00B6766B" w:rsidRPr="008C7E86" w:rsidRDefault="00B6766B" w:rsidP="000B4DF8">
      <w:pPr>
        <w:numPr>
          <w:ilvl w:val="1"/>
          <w:numId w:val="16"/>
        </w:numPr>
        <w:spacing w:after="0"/>
        <w:rPr>
          <w:rFonts w:ascii="Verdana" w:hAnsi="Verdana"/>
        </w:rPr>
      </w:pPr>
      <w:r w:rsidRPr="008C7E86">
        <w:rPr>
          <w:rFonts w:ascii="Verdana" w:hAnsi="Verdana"/>
        </w:rPr>
        <w:t xml:space="preserve">The NIHRC remains concerned that the continued absence of a comprehensive, </w:t>
      </w:r>
      <w:r w:rsidR="0007361F">
        <w:rPr>
          <w:rFonts w:ascii="Verdana" w:hAnsi="Verdana"/>
        </w:rPr>
        <w:t>human-</w:t>
      </w:r>
      <w:r w:rsidRPr="008C7E86">
        <w:rPr>
          <w:rFonts w:ascii="Verdana" w:hAnsi="Verdana"/>
        </w:rPr>
        <w:t xml:space="preserve">rights based anti-poverty strategy undermines efforts to address child poverty and related inequalities in </w:t>
      </w:r>
      <w:r w:rsidR="008637CA" w:rsidRPr="003B5730">
        <w:rPr>
          <w:rFonts w:ascii="Verdana" w:hAnsi="Verdana"/>
        </w:rPr>
        <w:t>NI</w:t>
      </w:r>
      <w:r w:rsidRPr="008C7E86">
        <w:rPr>
          <w:rFonts w:ascii="Verdana" w:hAnsi="Verdana"/>
        </w:rPr>
        <w:t xml:space="preserve"> contrary to the UK’s obligations under the International Covenant on Economic, Social and Cultural Rights.</w:t>
      </w:r>
      <w:r w:rsidR="0007036B" w:rsidRPr="008C7E86">
        <w:rPr>
          <w:rStyle w:val="FootnoteReference"/>
          <w:rFonts w:ascii="Verdana" w:hAnsi="Verdana"/>
        </w:rPr>
        <w:footnoteReference w:id="98"/>
      </w:r>
      <w:r w:rsidRPr="008C7E86">
        <w:rPr>
          <w:rFonts w:ascii="Verdana" w:hAnsi="Verdana"/>
        </w:rPr>
        <w:t xml:space="preserve"> </w:t>
      </w:r>
    </w:p>
    <w:p w14:paraId="35612D84" w14:textId="497E5524" w:rsidR="5DD2F4C6" w:rsidRDefault="5DD2F4C6" w:rsidP="000B4DF8">
      <w:pPr>
        <w:spacing w:after="0"/>
        <w:ind w:left="720"/>
        <w:rPr>
          <w:rFonts w:ascii="Verdana" w:hAnsi="Verdana"/>
        </w:rPr>
      </w:pPr>
    </w:p>
    <w:p w14:paraId="20EDFC1A" w14:textId="73FE4A50" w:rsidR="00F066A0" w:rsidRPr="008C7E86" w:rsidRDefault="00F066A0" w:rsidP="000B4DF8">
      <w:pPr>
        <w:numPr>
          <w:ilvl w:val="1"/>
          <w:numId w:val="16"/>
        </w:numPr>
        <w:spacing w:after="0"/>
        <w:rPr>
          <w:rFonts w:ascii="Verdana" w:hAnsi="Verdana"/>
        </w:rPr>
      </w:pPr>
      <w:r w:rsidRPr="008C7E86">
        <w:rPr>
          <w:rFonts w:ascii="Verdana" w:hAnsi="Verdana"/>
          <w:b/>
          <w:bCs/>
        </w:rPr>
        <w:t xml:space="preserve">The NIHRC </w:t>
      </w:r>
      <w:r w:rsidR="00DA2207" w:rsidRPr="008C7E86">
        <w:rPr>
          <w:rFonts w:ascii="Verdana" w:hAnsi="Verdana"/>
          <w:b/>
          <w:bCs/>
        </w:rPr>
        <w:t xml:space="preserve">reiterates its call for the </w:t>
      </w:r>
      <w:r w:rsidR="008637CA" w:rsidRPr="008637CA">
        <w:rPr>
          <w:rFonts w:ascii="Verdana" w:hAnsi="Verdana"/>
          <w:b/>
          <w:bCs/>
        </w:rPr>
        <w:t>NI</w:t>
      </w:r>
      <w:r w:rsidR="00DA2207" w:rsidRPr="008C7E86">
        <w:rPr>
          <w:rFonts w:ascii="Verdana" w:hAnsi="Verdana"/>
          <w:b/>
          <w:bCs/>
        </w:rPr>
        <w:t xml:space="preserve"> Executive, to adopt and implement a comprehensive, rights based anti-poverty strategy for </w:t>
      </w:r>
      <w:r w:rsidR="008637CA" w:rsidRPr="008637CA">
        <w:rPr>
          <w:rFonts w:ascii="Verdana" w:hAnsi="Verdana"/>
          <w:b/>
          <w:bCs/>
        </w:rPr>
        <w:t>NI</w:t>
      </w:r>
      <w:r w:rsidR="00DA2207" w:rsidRPr="008C7E86">
        <w:rPr>
          <w:rFonts w:ascii="Verdana" w:hAnsi="Verdana"/>
          <w:b/>
          <w:bCs/>
        </w:rPr>
        <w:t xml:space="preserve">, with clear targets, indicators and monitoring </w:t>
      </w:r>
      <w:r w:rsidR="00355F05" w:rsidRPr="008C7E86">
        <w:rPr>
          <w:rFonts w:ascii="Verdana" w:hAnsi="Verdana"/>
          <w:b/>
          <w:bCs/>
        </w:rPr>
        <w:t xml:space="preserve">mechanisms. </w:t>
      </w:r>
    </w:p>
    <w:p w14:paraId="57F72A59" w14:textId="77777777" w:rsidR="00150D4D" w:rsidRPr="008C7E86" w:rsidRDefault="00150D4D" w:rsidP="00A41384">
      <w:pPr>
        <w:spacing w:before="120" w:after="120"/>
        <w:rPr>
          <w:rFonts w:ascii="Verdana" w:hAnsi="Verdana"/>
        </w:rPr>
      </w:pPr>
    </w:p>
    <w:p w14:paraId="58015C5C" w14:textId="3E96C0E1" w:rsidR="003E57A4" w:rsidRDefault="00772E4C" w:rsidP="00362747">
      <w:pPr>
        <w:pStyle w:val="Heading1"/>
        <w:numPr>
          <w:ilvl w:val="0"/>
          <w:numId w:val="17"/>
        </w:numPr>
        <w:spacing w:before="120" w:after="120"/>
        <w:rPr>
          <w:rFonts w:ascii="Verdana" w:hAnsi="Verdana"/>
          <w:b/>
          <w:bCs/>
          <w:color w:val="77328A"/>
          <w:sz w:val="28"/>
          <w:szCs w:val="28"/>
        </w:rPr>
      </w:pPr>
      <w:bookmarkStart w:id="15" w:name="_Toc215744948"/>
      <w:r w:rsidRPr="008C7E86">
        <w:rPr>
          <w:rFonts w:ascii="Verdana" w:hAnsi="Verdana"/>
          <w:b/>
          <w:bCs/>
          <w:color w:val="77328A"/>
          <w:sz w:val="28"/>
          <w:szCs w:val="28"/>
        </w:rPr>
        <w:t>Conclusion</w:t>
      </w:r>
      <w:bookmarkEnd w:id="15"/>
    </w:p>
    <w:p w14:paraId="63AFBDFE" w14:textId="77777777" w:rsidR="00AD0018" w:rsidRPr="00AD0018" w:rsidRDefault="00AD0018" w:rsidP="00AD0018"/>
    <w:p w14:paraId="39597470" w14:textId="6E5E0A89" w:rsidR="00772E4C" w:rsidRPr="00FB442C" w:rsidRDefault="00FB442C" w:rsidP="00AD0018">
      <w:pPr>
        <w:pStyle w:val="Heading2"/>
        <w:spacing w:before="120" w:after="120"/>
        <w:rPr>
          <w:rFonts w:ascii="Verdana" w:hAnsi="Verdana"/>
          <w:b/>
          <w:bCs/>
          <w:sz w:val="24"/>
          <w:szCs w:val="24"/>
        </w:rPr>
      </w:pPr>
      <w:bookmarkStart w:id="16" w:name="_Toc215744949"/>
      <w:r w:rsidRPr="00FB442C">
        <w:rPr>
          <w:rFonts w:ascii="Verdana" w:hAnsi="Verdana"/>
          <w:b/>
          <w:bCs/>
          <w:color w:val="auto"/>
          <w:sz w:val="24"/>
          <w:szCs w:val="24"/>
        </w:rPr>
        <w:t>Constitutional framework (Commitment to the ECHR)</w:t>
      </w:r>
      <w:bookmarkEnd w:id="16"/>
      <w:r w:rsidRPr="00FB442C">
        <w:rPr>
          <w:rFonts w:ascii="Verdana" w:hAnsi="Verdana"/>
          <w:b/>
          <w:bCs/>
          <w:sz w:val="24"/>
          <w:szCs w:val="24"/>
        </w:rPr>
        <w:t xml:space="preserve"> </w:t>
      </w:r>
    </w:p>
    <w:p w14:paraId="66ED68A4" w14:textId="77777777" w:rsidR="00D74F95" w:rsidRPr="00D74F95" w:rsidRDefault="00D74F95" w:rsidP="00AD0018">
      <w:pPr>
        <w:pStyle w:val="ListParagraph"/>
        <w:numPr>
          <w:ilvl w:val="0"/>
          <w:numId w:val="16"/>
        </w:numPr>
        <w:contextualSpacing w:val="0"/>
        <w:rPr>
          <w:rFonts w:eastAsiaTheme="minorHAnsi" w:cstheme="minorBidi"/>
          <w:bCs/>
          <w:vanish/>
          <w:color w:val="auto"/>
        </w:rPr>
      </w:pPr>
    </w:p>
    <w:p w14:paraId="3B47019B" w14:textId="1F62A394" w:rsidR="00D10ACF" w:rsidRPr="00FB442C" w:rsidRDefault="000A6611" w:rsidP="00AD0018">
      <w:pPr>
        <w:pStyle w:val="ListParagraph"/>
        <w:numPr>
          <w:ilvl w:val="1"/>
          <w:numId w:val="16"/>
        </w:numPr>
        <w:contextualSpacing w:val="0"/>
        <w:rPr>
          <w:rFonts w:eastAsiaTheme="minorHAnsi" w:cstheme="minorBidi"/>
          <w:bCs/>
          <w:color w:val="auto"/>
        </w:rPr>
      </w:pPr>
      <w:r w:rsidRPr="00FB442C">
        <w:rPr>
          <w:bCs/>
        </w:rPr>
        <w:t xml:space="preserve">The NIHRC recommends that the UK Government ensure its stated commitment to the ECHR and the Human Rights Act 1998 is </w:t>
      </w:r>
      <w:r w:rsidRPr="00FB442C">
        <w:rPr>
          <w:bCs/>
        </w:rPr>
        <w:lastRenderedPageBreak/>
        <w:t xml:space="preserve">effectively reflected in the legal system. The UK Government should actively emphasise the importance of the ECHR and the Human Rights Act 1998 to the Rule of Law in the UK, particularly in relation to the Belfast </w:t>
      </w:r>
      <w:r w:rsidR="00256E6D">
        <w:rPr>
          <w:bCs/>
        </w:rPr>
        <w:t>(</w:t>
      </w:r>
      <w:r w:rsidRPr="00FB442C">
        <w:rPr>
          <w:bCs/>
        </w:rPr>
        <w:t>Good Friday</w:t>
      </w:r>
      <w:r w:rsidR="00256E6D">
        <w:rPr>
          <w:bCs/>
        </w:rPr>
        <w:t>)</w:t>
      </w:r>
      <w:r w:rsidRPr="00FB442C">
        <w:rPr>
          <w:bCs/>
        </w:rPr>
        <w:t xml:space="preserve"> Agreement and the peace process in NI.</w:t>
      </w:r>
    </w:p>
    <w:p w14:paraId="2BD4C11C" w14:textId="77777777" w:rsidR="00FB442C" w:rsidRPr="00FB442C" w:rsidRDefault="00FB442C" w:rsidP="005F7BA1">
      <w:pPr>
        <w:pStyle w:val="ListParagraph"/>
        <w:numPr>
          <w:ilvl w:val="0"/>
          <w:numId w:val="0"/>
        </w:numPr>
        <w:spacing w:before="0" w:after="0"/>
        <w:ind w:left="720"/>
        <w:contextualSpacing w:val="0"/>
        <w:rPr>
          <w:rFonts w:eastAsiaTheme="minorHAnsi" w:cstheme="minorBidi"/>
          <w:bCs/>
          <w:color w:val="auto"/>
        </w:rPr>
      </w:pPr>
    </w:p>
    <w:p w14:paraId="38A8E47B" w14:textId="1AD794ED" w:rsidR="000A6611" w:rsidRPr="00FB442C" w:rsidRDefault="00D10ACF" w:rsidP="00AD0018">
      <w:pPr>
        <w:pStyle w:val="Heading2"/>
        <w:spacing w:before="120" w:after="120"/>
        <w:rPr>
          <w:rFonts w:ascii="Verdana" w:hAnsi="Verdana"/>
          <w:b/>
          <w:bCs/>
          <w:color w:val="auto"/>
          <w:sz w:val="24"/>
          <w:szCs w:val="24"/>
        </w:rPr>
      </w:pPr>
      <w:bookmarkStart w:id="17" w:name="_Toc215744950"/>
      <w:r w:rsidRPr="00FB442C">
        <w:rPr>
          <w:rFonts w:ascii="Verdana" w:hAnsi="Verdana"/>
          <w:b/>
          <w:bCs/>
          <w:color w:val="auto"/>
          <w:sz w:val="24"/>
          <w:szCs w:val="24"/>
        </w:rPr>
        <w:t>Dealing with the legacy of the past</w:t>
      </w:r>
      <w:bookmarkEnd w:id="17"/>
      <w:r w:rsidR="000A6611" w:rsidRPr="00FB442C">
        <w:rPr>
          <w:rFonts w:ascii="Verdana" w:hAnsi="Verdana"/>
          <w:b/>
          <w:bCs/>
          <w:color w:val="auto"/>
          <w:sz w:val="24"/>
          <w:szCs w:val="24"/>
        </w:rPr>
        <w:t xml:space="preserve"> </w:t>
      </w:r>
    </w:p>
    <w:p w14:paraId="0ED1C983" w14:textId="77777777" w:rsidR="007F6B64" w:rsidRDefault="007F6B64" w:rsidP="00AD0018">
      <w:pPr>
        <w:pStyle w:val="ListParagraph"/>
        <w:numPr>
          <w:ilvl w:val="1"/>
          <w:numId w:val="16"/>
        </w:numPr>
        <w:contextualSpacing w:val="0"/>
        <w:rPr>
          <w:rFonts w:eastAsiaTheme="minorHAnsi" w:cstheme="minorBidi"/>
          <w:bCs/>
          <w:color w:val="auto"/>
        </w:rPr>
      </w:pPr>
      <w:r w:rsidRPr="007F6B64">
        <w:rPr>
          <w:rFonts w:eastAsiaTheme="minorHAnsi" w:cstheme="minorBidi"/>
          <w:bCs/>
          <w:color w:val="auto"/>
        </w:rPr>
        <w:t>The NIHRC recommends that the UK Government ensures that the Northern Ireland Troubles Bill is victim-centred. It should ensure effective investigations and prosecutions of alleged unlawful killings and serious injuries. Additionally, the Bill must comply with Articles 2 (right to life) and 3 (freedom from torture) of the ECHR. Compliance with Windsor Framework Article 2, taking into account the minimum standards in the EU Victims’ Directive should also be ensured.</w:t>
      </w:r>
    </w:p>
    <w:p w14:paraId="25FAC890" w14:textId="77777777" w:rsidR="00FB442C" w:rsidRDefault="00FB442C" w:rsidP="005F7BA1">
      <w:pPr>
        <w:pStyle w:val="ListParagraph"/>
        <w:numPr>
          <w:ilvl w:val="0"/>
          <w:numId w:val="0"/>
        </w:numPr>
        <w:spacing w:before="0" w:after="0"/>
        <w:ind w:left="720"/>
        <w:contextualSpacing w:val="0"/>
        <w:rPr>
          <w:rFonts w:eastAsiaTheme="minorHAnsi" w:cstheme="minorBidi"/>
          <w:bCs/>
          <w:color w:val="auto"/>
        </w:rPr>
      </w:pPr>
    </w:p>
    <w:p w14:paraId="02946A75" w14:textId="77777777" w:rsidR="00D10ACF" w:rsidRPr="00FB442C" w:rsidRDefault="00D10ACF" w:rsidP="00AD0018">
      <w:pPr>
        <w:pStyle w:val="Heading2"/>
        <w:spacing w:before="120" w:after="120"/>
        <w:rPr>
          <w:rFonts w:ascii="Verdana" w:hAnsi="Verdana"/>
          <w:b/>
          <w:bCs/>
          <w:color w:val="auto"/>
          <w:sz w:val="24"/>
          <w:szCs w:val="24"/>
        </w:rPr>
      </w:pPr>
      <w:bookmarkStart w:id="18" w:name="_Toc215744951"/>
      <w:r w:rsidRPr="00FB442C">
        <w:rPr>
          <w:rFonts w:ascii="Verdana" w:hAnsi="Verdana"/>
          <w:b/>
          <w:bCs/>
          <w:color w:val="auto"/>
          <w:sz w:val="24"/>
          <w:szCs w:val="24"/>
        </w:rPr>
        <w:t>Hate crime</w:t>
      </w:r>
      <w:bookmarkEnd w:id="18"/>
    </w:p>
    <w:p w14:paraId="59A4AD0F" w14:textId="2DB6CDBE" w:rsidR="007F496B" w:rsidRPr="00FB442C" w:rsidRDefault="00E47B04" w:rsidP="00AD0018">
      <w:pPr>
        <w:pStyle w:val="ListParagraph"/>
        <w:numPr>
          <w:ilvl w:val="1"/>
          <w:numId w:val="16"/>
        </w:numPr>
        <w:contextualSpacing w:val="0"/>
        <w:rPr>
          <w:rFonts w:eastAsiaTheme="minorHAnsi" w:cstheme="minorBidi"/>
          <w:bCs/>
          <w:color w:val="auto"/>
        </w:rPr>
      </w:pPr>
      <w:r w:rsidRPr="00FB442C">
        <w:rPr>
          <w:bCs/>
        </w:rPr>
        <w:t>The NIHRC recommends that the NI Executive, prioritises the introduction of comprehensive and consolidated hate crime legislation, in line with the Marrinan Review recommendations and ongoing consultation outcomes. The legislation should ensure full compliance with Windsor Framework Article 2 and relevant international obligations, including the EU Victims’ Directive,  and adopt a victim-centred, rights-based approach to addressing hate crime.</w:t>
      </w:r>
    </w:p>
    <w:p w14:paraId="5110F8A1" w14:textId="77777777" w:rsidR="00FB442C" w:rsidRPr="00FB442C" w:rsidRDefault="00FB442C" w:rsidP="005F7BA1">
      <w:pPr>
        <w:pStyle w:val="ListParagraph"/>
        <w:numPr>
          <w:ilvl w:val="0"/>
          <w:numId w:val="0"/>
        </w:numPr>
        <w:spacing w:before="0" w:after="0"/>
        <w:ind w:left="720"/>
        <w:contextualSpacing w:val="0"/>
        <w:rPr>
          <w:rFonts w:eastAsiaTheme="minorHAnsi" w:cstheme="minorBidi"/>
          <w:bCs/>
          <w:color w:val="auto"/>
        </w:rPr>
      </w:pPr>
    </w:p>
    <w:p w14:paraId="0EB9A71B" w14:textId="77777777" w:rsidR="00D10ACF" w:rsidRPr="00FB442C" w:rsidRDefault="00D10ACF" w:rsidP="00AD0018">
      <w:pPr>
        <w:pStyle w:val="Heading2"/>
        <w:spacing w:before="120" w:after="120"/>
        <w:rPr>
          <w:rFonts w:ascii="Verdana" w:hAnsi="Verdana"/>
          <w:b/>
          <w:bCs/>
          <w:color w:val="auto"/>
          <w:sz w:val="24"/>
          <w:szCs w:val="24"/>
        </w:rPr>
      </w:pPr>
      <w:bookmarkStart w:id="19" w:name="_Toc215744952"/>
      <w:r w:rsidRPr="00FB442C">
        <w:rPr>
          <w:rFonts w:ascii="Verdana" w:hAnsi="Verdana"/>
          <w:b/>
          <w:bCs/>
          <w:color w:val="auto"/>
          <w:sz w:val="24"/>
          <w:szCs w:val="24"/>
        </w:rPr>
        <w:t>Immigration and asylum, refugees and migrants</w:t>
      </w:r>
      <w:bookmarkEnd w:id="19"/>
    </w:p>
    <w:p w14:paraId="675ED609" w14:textId="77777777" w:rsidR="00606C18" w:rsidRPr="00FB442C" w:rsidRDefault="00606C18" w:rsidP="00AD0018">
      <w:pPr>
        <w:numPr>
          <w:ilvl w:val="1"/>
          <w:numId w:val="16"/>
        </w:numPr>
        <w:spacing w:before="120" w:after="120"/>
        <w:rPr>
          <w:rFonts w:ascii="Verdana" w:hAnsi="Verdana"/>
          <w:bCs/>
        </w:rPr>
      </w:pPr>
      <w:r w:rsidRPr="00FB442C">
        <w:rPr>
          <w:rFonts w:ascii="Verdana" w:hAnsi="Verdana"/>
          <w:bCs/>
        </w:rPr>
        <w:t>The NIHRC recommends that the UK Government repeal all legal provisions that discriminate against migrants and limit the rights of asylum seekers, refugees, and migrants, specifically those in the Illegal Migration Act 2023 and the Nationality and Borders Act 2022. All asylum applications in the UK, including NI, should be processed in compliance with international human rights and Windsor Framework Article 2 standards, particularly considering the trauma many asylum seekers face before arriving in the UK.</w:t>
      </w:r>
    </w:p>
    <w:p w14:paraId="3C460D95" w14:textId="77777777" w:rsidR="00606C18" w:rsidRPr="00606C18" w:rsidRDefault="00606C18" w:rsidP="005F7BA1">
      <w:pPr>
        <w:spacing w:after="0"/>
        <w:rPr>
          <w:rFonts w:ascii="Verdana" w:hAnsi="Verdana"/>
          <w:bCs/>
        </w:rPr>
      </w:pPr>
    </w:p>
    <w:p w14:paraId="6683DFB3" w14:textId="77777777" w:rsidR="00606C18" w:rsidRPr="00606C18" w:rsidRDefault="00606C18" w:rsidP="005F7BA1">
      <w:pPr>
        <w:numPr>
          <w:ilvl w:val="1"/>
          <w:numId w:val="16"/>
        </w:numPr>
        <w:spacing w:after="0"/>
        <w:rPr>
          <w:rFonts w:ascii="Verdana" w:hAnsi="Verdana"/>
          <w:bCs/>
        </w:rPr>
      </w:pPr>
      <w:r w:rsidRPr="00606C18">
        <w:rPr>
          <w:rFonts w:ascii="Verdana" w:hAnsi="Verdana"/>
          <w:bCs/>
        </w:rPr>
        <w:lastRenderedPageBreak/>
        <w:t>The NIHRC recommends that the NI Executive quickly introduce regulations to ensure these laws do not weaken protections for refugees and asylum seekers in NI in areas such as child welfare, age assessments, and support for unaccompanied children and victims of modern slavery.</w:t>
      </w:r>
    </w:p>
    <w:p w14:paraId="6C29B64F" w14:textId="77777777" w:rsidR="00606C18" w:rsidRPr="00606C18" w:rsidRDefault="00606C18" w:rsidP="005F7BA1">
      <w:pPr>
        <w:spacing w:after="0"/>
        <w:ind w:left="720"/>
        <w:rPr>
          <w:rFonts w:ascii="Verdana" w:hAnsi="Verdana"/>
          <w:bCs/>
        </w:rPr>
      </w:pPr>
    </w:p>
    <w:p w14:paraId="1743DE33" w14:textId="77777777" w:rsidR="00606C18" w:rsidRPr="00606C18" w:rsidRDefault="00606C18" w:rsidP="005F7BA1">
      <w:pPr>
        <w:numPr>
          <w:ilvl w:val="1"/>
          <w:numId w:val="16"/>
        </w:numPr>
        <w:spacing w:after="0"/>
        <w:rPr>
          <w:rFonts w:ascii="Verdana" w:hAnsi="Verdana"/>
          <w:bCs/>
        </w:rPr>
      </w:pPr>
      <w:r w:rsidRPr="00606C18">
        <w:rPr>
          <w:rFonts w:ascii="Verdana" w:hAnsi="Verdana"/>
          <w:bCs/>
        </w:rPr>
        <w:t>Furthermore, the NIHRC recommends that the UK Government ensures that any proposed reform of the UK Migration and Asylum Framework, through the Border Security, Asylum and Immigration Bill, complies with the UK's international human rights obligations and Windsor Framework Article 2, and there is no diminution of protections for refugees and people seeking asylum in NI.</w:t>
      </w:r>
    </w:p>
    <w:p w14:paraId="21B01AC7" w14:textId="77777777" w:rsidR="00606C18" w:rsidRPr="00606C18" w:rsidRDefault="00606C18" w:rsidP="005F7BA1">
      <w:pPr>
        <w:spacing w:after="0"/>
        <w:ind w:left="720"/>
        <w:rPr>
          <w:rFonts w:ascii="Verdana" w:hAnsi="Verdana"/>
          <w:bCs/>
        </w:rPr>
      </w:pPr>
    </w:p>
    <w:p w14:paraId="7C000C5F" w14:textId="77777777" w:rsidR="00606C18" w:rsidRDefault="00606C18" w:rsidP="005F7BA1">
      <w:pPr>
        <w:numPr>
          <w:ilvl w:val="1"/>
          <w:numId w:val="16"/>
        </w:numPr>
        <w:spacing w:after="0"/>
        <w:rPr>
          <w:rFonts w:ascii="Verdana" w:hAnsi="Verdana"/>
          <w:bCs/>
        </w:rPr>
      </w:pPr>
      <w:r w:rsidRPr="00606C18">
        <w:rPr>
          <w:rFonts w:ascii="Verdana" w:hAnsi="Verdana"/>
          <w:bCs/>
        </w:rPr>
        <w:t>The NIHRC recommends that the UK Government amends the UK Migration and Asylum Framework to ensure that asylum applications are considered using a consistent, expeditious and child rights-based approach, including that the best interests of the child are a primary consideration, and that unaccompanied children have an unqualified right to apply for family reunification.</w:t>
      </w:r>
    </w:p>
    <w:p w14:paraId="73FDB411" w14:textId="77777777" w:rsidR="001E1DFE" w:rsidRPr="001E1DFE" w:rsidRDefault="001E1DFE" w:rsidP="005F7BA1">
      <w:pPr>
        <w:pStyle w:val="ListParagraph"/>
        <w:numPr>
          <w:ilvl w:val="0"/>
          <w:numId w:val="0"/>
        </w:numPr>
        <w:spacing w:before="0" w:after="0"/>
        <w:ind w:left="720"/>
        <w:contextualSpacing w:val="0"/>
        <w:rPr>
          <w:bCs/>
        </w:rPr>
      </w:pPr>
    </w:p>
    <w:p w14:paraId="59D42809" w14:textId="77777777" w:rsidR="00606C18" w:rsidRDefault="00606C18" w:rsidP="005F7BA1">
      <w:pPr>
        <w:pStyle w:val="ListParagraph"/>
        <w:numPr>
          <w:ilvl w:val="1"/>
          <w:numId w:val="16"/>
        </w:numPr>
        <w:spacing w:before="0" w:after="0"/>
        <w:contextualSpacing w:val="0"/>
        <w:rPr>
          <w:rFonts w:eastAsiaTheme="minorHAnsi" w:cstheme="minorBidi"/>
          <w:bCs/>
          <w:color w:val="auto"/>
        </w:rPr>
      </w:pPr>
      <w:r w:rsidRPr="00606C18">
        <w:rPr>
          <w:rFonts w:eastAsiaTheme="minorHAnsi" w:cstheme="minorBidi"/>
          <w:bCs/>
          <w:color w:val="auto"/>
        </w:rPr>
        <w:t>The NIHRC calls on the UK Government to engage in evidence-based dialogue on immigration, actively promote a climate of mutual respect and intercultural dialogue, and publicly condemn instances of hate speech in public and political discourse, including online. The NIHRC also calls for the development and implementation of awareness campaigns that highlight the benefits of migration, as well as the challenges faced by refugees and asylum seekers. These efforts aim to address fear, stigma, and discrimination, ensuring that all individuals can fully enjoy their human rights without facing discrimination based on national origin, race, or nationality.</w:t>
      </w:r>
    </w:p>
    <w:p w14:paraId="02E42939" w14:textId="77777777" w:rsidR="001E1DFE" w:rsidRPr="001E1DFE" w:rsidRDefault="001E1DFE" w:rsidP="005F7BA1">
      <w:pPr>
        <w:pStyle w:val="ListParagraph"/>
        <w:numPr>
          <w:ilvl w:val="0"/>
          <w:numId w:val="0"/>
        </w:numPr>
        <w:spacing w:before="0" w:after="0"/>
        <w:ind w:left="720"/>
        <w:contextualSpacing w:val="0"/>
        <w:rPr>
          <w:rFonts w:eastAsiaTheme="minorHAnsi" w:cstheme="minorBidi"/>
          <w:bCs/>
          <w:color w:val="auto"/>
        </w:rPr>
      </w:pPr>
    </w:p>
    <w:p w14:paraId="4F78F9FA" w14:textId="77777777" w:rsidR="0094308B" w:rsidRPr="0094308B" w:rsidRDefault="0094308B" w:rsidP="005F7BA1">
      <w:pPr>
        <w:numPr>
          <w:ilvl w:val="1"/>
          <w:numId w:val="16"/>
        </w:numPr>
        <w:spacing w:after="0"/>
        <w:rPr>
          <w:rFonts w:ascii="Verdana" w:hAnsi="Verdana"/>
          <w:bCs/>
        </w:rPr>
      </w:pPr>
      <w:r w:rsidRPr="0094308B">
        <w:rPr>
          <w:rFonts w:ascii="Verdana" w:hAnsi="Verdana"/>
          <w:bCs/>
        </w:rPr>
        <w:t>The NIHRC recommends that the UK Government ratifies the International Convention on the Protection of the Rights of All Migrant Workers and Members of their Families.</w:t>
      </w:r>
    </w:p>
    <w:p w14:paraId="6F1AC38F" w14:textId="77777777" w:rsidR="0094308B" w:rsidRPr="0094308B" w:rsidRDefault="0094308B" w:rsidP="005F7BA1">
      <w:pPr>
        <w:spacing w:after="0"/>
        <w:ind w:left="720"/>
        <w:rPr>
          <w:rFonts w:ascii="Verdana" w:hAnsi="Verdana"/>
          <w:bCs/>
        </w:rPr>
      </w:pPr>
    </w:p>
    <w:p w14:paraId="70CD39AF" w14:textId="77777777" w:rsidR="0094308B" w:rsidRDefault="0094308B" w:rsidP="005F7BA1">
      <w:pPr>
        <w:numPr>
          <w:ilvl w:val="1"/>
          <w:numId w:val="16"/>
        </w:numPr>
        <w:spacing w:after="0"/>
        <w:rPr>
          <w:rFonts w:ascii="Verdana" w:hAnsi="Verdana"/>
          <w:bCs/>
        </w:rPr>
      </w:pPr>
      <w:r w:rsidRPr="0094308B">
        <w:rPr>
          <w:rFonts w:ascii="Verdana" w:hAnsi="Verdana"/>
          <w:bCs/>
        </w:rPr>
        <w:t xml:space="preserve">The NIHRC recommends that the NI Executive take steps to protect migrant workers from exploitation and abuse. This includes ensuring they have the same rights as other workers in NI, access to complaint mechanisms with interpretation services, and legal assistance. Migrant workers should also be able to seek remedies </w:t>
      </w:r>
      <w:r w:rsidRPr="0094308B">
        <w:rPr>
          <w:rFonts w:ascii="Verdana" w:hAnsi="Verdana"/>
          <w:bCs/>
        </w:rPr>
        <w:lastRenderedPageBreak/>
        <w:t>without fear of reprisal, deportation, or detention. Additionally, the Department should regularly monitor the conditions of migrant workers by collecting and sharing relevant, disaggregated data.</w:t>
      </w:r>
    </w:p>
    <w:p w14:paraId="07BACD69" w14:textId="77777777" w:rsidR="005F7BA1" w:rsidRPr="005F7BA1" w:rsidRDefault="005F7BA1" w:rsidP="005F7BA1">
      <w:pPr>
        <w:pStyle w:val="ListParagraph"/>
        <w:numPr>
          <w:ilvl w:val="0"/>
          <w:numId w:val="0"/>
        </w:numPr>
        <w:spacing w:before="0" w:after="0"/>
        <w:ind w:left="720"/>
        <w:contextualSpacing w:val="0"/>
        <w:rPr>
          <w:bCs/>
        </w:rPr>
      </w:pPr>
    </w:p>
    <w:p w14:paraId="08E59A05" w14:textId="77777777" w:rsidR="0094308B" w:rsidRDefault="0094308B" w:rsidP="005F7BA1">
      <w:pPr>
        <w:pStyle w:val="ListParagraph"/>
        <w:numPr>
          <w:ilvl w:val="1"/>
          <w:numId w:val="16"/>
        </w:numPr>
        <w:spacing w:before="0" w:after="0"/>
        <w:contextualSpacing w:val="0"/>
        <w:rPr>
          <w:rFonts w:eastAsiaTheme="minorHAnsi" w:cstheme="minorBidi"/>
          <w:bCs/>
          <w:color w:val="auto"/>
        </w:rPr>
      </w:pPr>
      <w:r w:rsidRPr="0094308B">
        <w:rPr>
          <w:rFonts w:eastAsiaTheme="minorHAnsi" w:cstheme="minorBidi"/>
          <w:bCs/>
          <w:color w:val="auto"/>
        </w:rPr>
        <w:t>The NIHRC recommends that the NI Executive implement measures to address inequalities and discrimination affecting migrants' access to healthcare in NI. This includes training healthcare professionals to provide accessible, culturally appropriate, and non-discriminatory care for all, including refugees and asylum seekers.</w:t>
      </w:r>
    </w:p>
    <w:p w14:paraId="2549F608" w14:textId="77777777" w:rsidR="005F7BA1" w:rsidRPr="005F7BA1" w:rsidRDefault="005F7BA1" w:rsidP="005F7BA1">
      <w:pPr>
        <w:pStyle w:val="ListParagraph"/>
        <w:numPr>
          <w:ilvl w:val="0"/>
          <w:numId w:val="0"/>
        </w:numPr>
        <w:spacing w:before="0" w:after="0"/>
        <w:ind w:left="720"/>
        <w:contextualSpacing w:val="0"/>
        <w:rPr>
          <w:rFonts w:eastAsiaTheme="minorHAnsi" w:cstheme="minorBidi"/>
          <w:bCs/>
          <w:color w:val="auto"/>
        </w:rPr>
      </w:pPr>
    </w:p>
    <w:p w14:paraId="3C7E5015" w14:textId="77777777" w:rsidR="00D10ACF" w:rsidRPr="005F7BA1" w:rsidRDefault="00D10ACF" w:rsidP="00AD0018">
      <w:pPr>
        <w:pStyle w:val="Heading2"/>
        <w:spacing w:before="120" w:after="120"/>
        <w:rPr>
          <w:rFonts w:ascii="Verdana" w:hAnsi="Verdana"/>
          <w:b/>
          <w:bCs/>
          <w:color w:val="auto"/>
          <w:sz w:val="24"/>
          <w:szCs w:val="24"/>
        </w:rPr>
      </w:pPr>
      <w:bookmarkStart w:id="20" w:name="_Toc215744953"/>
      <w:r w:rsidRPr="005F7BA1">
        <w:rPr>
          <w:rFonts w:ascii="Verdana" w:hAnsi="Verdana"/>
          <w:b/>
          <w:bCs/>
          <w:color w:val="auto"/>
          <w:sz w:val="24"/>
          <w:szCs w:val="24"/>
        </w:rPr>
        <w:t>Anti-poverty strategy</w:t>
      </w:r>
      <w:bookmarkEnd w:id="20"/>
    </w:p>
    <w:p w14:paraId="2370B380" w14:textId="77777777" w:rsidR="0094308B" w:rsidRPr="005F7BA1" w:rsidRDefault="0094308B" w:rsidP="00AD0018">
      <w:pPr>
        <w:pStyle w:val="ListParagraph"/>
        <w:numPr>
          <w:ilvl w:val="1"/>
          <w:numId w:val="16"/>
        </w:numPr>
        <w:contextualSpacing w:val="0"/>
        <w:rPr>
          <w:rFonts w:eastAsiaTheme="minorHAnsi" w:cstheme="minorBidi"/>
          <w:bCs/>
          <w:color w:val="auto"/>
        </w:rPr>
      </w:pPr>
      <w:r w:rsidRPr="005F7BA1">
        <w:rPr>
          <w:bCs/>
        </w:rPr>
        <w:t xml:space="preserve">The NIHRC reiterates its call for the NI Executive, to adopt and implement a comprehensive, rights based anti-poverty strategy for NI, with clear targets, indicators and monitoring mechanisms. </w:t>
      </w:r>
    </w:p>
    <w:p w14:paraId="1D8FF1FE" w14:textId="6A3EC912" w:rsidR="007F496B" w:rsidRPr="008C7E86" w:rsidRDefault="007F496B" w:rsidP="005F7BA1">
      <w:pPr>
        <w:spacing w:before="120" w:after="120"/>
        <w:ind w:left="720"/>
        <w:rPr>
          <w:rFonts w:ascii="Verdana" w:hAnsi="Verdana"/>
          <w:bCs/>
        </w:rPr>
      </w:pPr>
    </w:p>
    <w:p w14:paraId="22E08C3E" w14:textId="09C89079" w:rsidR="00772E4C" w:rsidRDefault="00772E4C" w:rsidP="00A41384">
      <w:pPr>
        <w:spacing w:before="120" w:after="120"/>
        <w:rPr>
          <w:rFonts w:ascii="Verdana" w:hAnsi="Verdana"/>
          <w:b/>
        </w:rPr>
      </w:pPr>
    </w:p>
    <w:p w14:paraId="393E671E" w14:textId="77777777" w:rsidR="00D05521" w:rsidRDefault="00D05521" w:rsidP="00A41384">
      <w:pPr>
        <w:spacing w:before="120" w:after="120"/>
        <w:rPr>
          <w:rFonts w:ascii="Verdana" w:hAnsi="Verdana"/>
          <w:b/>
        </w:rPr>
      </w:pPr>
    </w:p>
    <w:p w14:paraId="5D655FCD" w14:textId="77777777" w:rsidR="00D05521" w:rsidRDefault="00D05521" w:rsidP="00A41384">
      <w:pPr>
        <w:spacing w:before="120" w:after="120"/>
        <w:rPr>
          <w:rFonts w:ascii="Verdana" w:hAnsi="Verdana"/>
          <w:b/>
        </w:rPr>
      </w:pPr>
    </w:p>
    <w:p w14:paraId="7FF15D1C" w14:textId="77777777" w:rsidR="00D05521" w:rsidRDefault="00D05521" w:rsidP="00A41384">
      <w:pPr>
        <w:spacing w:before="120" w:after="120"/>
        <w:rPr>
          <w:rFonts w:ascii="Verdana" w:hAnsi="Verdana"/>
          <w:b/>
        </w:rPr>
      </w:pPr>
    </w:p>
    <w:p w14:paraId="042E4371" w14:textId="77777777" w:rsidR="00D05521" w:rsidRDefault="00D05521" w:rsidP="00A41384">
      <w:pPr>
        <w:spacing w:before="120" w:after="120"/>
        <w:rPr>
          <w:rFonts w:ascii="Verdana" w:hAnsi="Verdana"/>
          <w:b/>
        </w:rPr>
      </w:pPr>
    </w:p>
    <w:p w14:paraId="45677C7C" w14:textId="77777777" w:rsidR="00D05521" w:rsidRDefault="00D05521" w:rsidP="00A41384">
      <w:pPr>
        <w:spacing w:before="120" w:after="120"/>
        <w:rPr>
          <w:rFonts w:ascii="Verdana" w:hAnsi="Verdana"/>
          <w:b/>
        </w:rPr>
      </w:pPr>
    </w:p>
    <w:p w14:paraId="0A079923" w14:textId="77777777" w:rsidR="00D05521" w:rsidRDefault="00D05521" w:rsidP="00A41384">
      <w:pPr>
        <w:spacing w:before="120" w:after="120"/>
        <w:rPr>
          <w:rFonts w:ascii="Verdana" w:hAnsi="Verdana"/>
          <w:b/>
        </w:rPr>
      </w:pPr>
    </w:p>
    <w:p w14:paraId="4079518E" w14:textId="77777777" w:rsidR="00D05521" w:rsidRDefault="00D05521" w:rsidP="00A41384">
      <w:pPr>
        <w:spacing w:before="120" w:after="120"/>
        <w:rPr>
          <w:rFonts w:ascii="Verdana" w:hAnsi="Verdana"/>
          <w:b/>
        </w:rPr>
      </w:pPr>
    </w:p>
    <w:p w14:paraId="265FBE4E" w14:textId="77777777" w:rsidR="00D05521" w:rsidRDefault="00D05521" w:rsidP="00A41384">
      <w:pPr>
        <w:spacing w:before="120" w:after="120"/>
        <w:rPr>
          <w:rFonts w:ascii="Verdana" w:hAnsi="Verdana"/>
          <w:b/>
        </w:rPr>
      </w:pPr>
    </w:p>
    <w:p w14:paraId="290BAA1C" w14:textId="77777777" w:rsidR="00D05521" w:rsidRDefault="00D05521" w:rsidP="00A41384">
      <w:pPr>
        <w:spacing w:before="120" w:after="120"/>
        <w:rPr>
          <w:rFonts w:ascii="Verdana" w:hAnsi="Verdana"/>
          <w:b/>
        </w:rPr>
      </w:pPr>
    </w:p>
    <w:p w14:paraId="210DC4AA" w14:textId="77777777" w:rsidR="00D05521" w:rsidRDefault="00D05521" w:rsidP="00A41384">
      <w:pPr>
        <w:spacing w:before="120" w:after="120"/>
        <w:rPr>
          <w:rFonts w:ascii="Verdana" w:hAnsi="Verdana"/>
          <w:b/>
        </w:rPr>
      </w:pPr>
    </w:p>
    <w:p w14:paraId="00B417F7" w14:textId="77777777" w:rsidR="00D05521" w:rsidRDefault="00D05521" w:rsidP="00A41384">
      <w:pPr>
        <w:spacing w:before="120" w:after="120"/>
        <w:rPr>
          <w:rFonts w:ascii="Verdana" w:hAnsi="Verdana"/>
          <w:b/>
        </w:rPr>
      </w:pPr>
    </w:p>
    <w:p w14:paraId="0AD7341A" w14:textId="77777777" w:rsidR="00D05521" w:rsidRDefault="00D05521" w:rsidP="00A41384">
      <w:pPr>
        <w:spacing w:before="120" w:after="120"/>
        <w:rPr>
          <w:rFonts w:ascii="Verdana" w:hAnsi="Verdana"/>
          <w:b/>
        </w:rPr>
      </w:pPr>
    </w:p>
    <w:p w14:paraId="153361B8" w14:textId="77777777" w:rsidR="00D05521" w:rsidRDefault="00D05521" w:rsidP="00A41384">
      <w:pPr>
        <w:spacing w:before="120" w:after="120"/>
        <w:rPr>
          <w:rFonts w:ascii="Verdana" w:hAnsi="Verdana"/>
          <w:b/>
        </w:rPr>
      </w:pPr>
    </w:p>
    <w:p w14:paraId="662F712A" w14:textId="77777777" w:rsidR="00D05521" w:rsidRDefault="00D05521" w:rsidP="00A41384">
      <w:pPr>
        <w:spacing w:before="120" w:after="120"/>
        <w:rPr>
          <w:rFonts w:ascii="Verdana" w:hAnsi="Verdana"/>
          <w:b/>
        </w:rPr>
      </w:pPr>
    </w:p>
    <w:p w14:paraId="5E70FE3A" w14:textId="77777777" w:rsidR="00D05521" w:rsidRDefault="00D05521" w:rsidP="00A41384">
      <w:pPr>
        <w:spacing w:before="120" w:after="120"/>
        <w:rPr>
          <w:rFonts w:ascii="Verdana" w:hAnsi="Verdana"/>
          <w:b/>
        </w:rPr>
      </w:pPr>
    </w:p>
    <w:p w14:paraId="3CD85CFC" w14:textId="77777777" w:rsidR="00D05521" w:rsidRDefault="00D05521" w:rsidP="00A41384">
      <w:pPr>
        <w:spacing w:before="120" w:after="120"/>
        <w:rPr>
          <w:rFonts w:ascii="Verdana" w:hAnsi="Verdana"/>
          <w:b/>
        </w:rPr>
      </w:pPr>
    </w:p>
    <w:p w14:paraId="23B6025E" w14:textId="77777777" w:rsidR="00D05521" w:rsidRDefault="00D05521" w:rsidP="00A41384">
      <w:pPr>
        <w:spacing w:before="120" w:after="120"/>
        <w:rPr>
          <w:rFonts w:ascii="Verdana" w:hAnsi="Verdana"/>
          <w:b/>
        </w:rPr>
      </w:pPr>
    </w:p>
    <w:p w14:paraId="554B2078" w14:textId="77777777" w:rsidR="00D05521" w:rsidRDefault="00D05521" w:rsidP="00A41384">
      <w:pPr>
        <w:spacing w:before="120" w:after="120"/>
        <w:rPr>
          <w:rFonts w:ascii="Verdana" w:hAnsi="Verdana"/>
          <w:b/>
        </w:rPr>
      </w:pPr>
    </w:p>
    <w:p w14:paraId="57DB7160" w14:textId="77777777" w:rsidR="00D05521" w:rsidRDefault="00D05521" w:rsidP="00A41384">
      <w:pPr>
        <w:spacing w:before="120" w:after="120"/>
        <w:rPr>
          <w:rFonts w:ascii="Verdana" w:hAnsi="Verdana"/>
          <w:b/>
        </w:rPr>
      </w:pPr>
    </w:p>
    <w:p w14:paraId="4B910472" w14:textId="77777777" w:rsidR="00D05521" w:rsidRPr="009A7198" w:rsidRDefault="00D05521" w:rsidP="00A41384">
      <w:pPr>
        <w:spacing w:before="120" w:after="120"/>
        <w:rPr>
          <w:rFonts w:ascii="Verdana" w:hAnsi="Verdana"/>
          <w:b/>
        </w:rPr>
      </w:pPr>
    </w:p>
    <w:p w14:paraId="1B70D954" w14:textId="731C424A" w:rsidR="00772E4C" w:rsidRPr="008C7E86" w:rsidRDefault="00772E4C" w:rsidP="00A41384">
      <w:pPr>
        <w:spacing w:before="120" w:after="120"/>
        <w:jc w:val="center"/>
        <w:rPr>
          <w:rFonts w:ascii="Verdana" w:hAnsi="Verdana"/>
          <w:b/>
          <w:bCs/>
          <w:sz w:val="28"/>
          <w:szCs w:val="28"/>
        </w:rPr>
      </w:pPr>
      <w:r w:rsidRPr="008C7E86">
        <w:rPr>
          <w:rFonts w:ascii="Verdana" w:hAnsi="Verdana"/>
          <w:b/>
          <w:bCs/>
          <w:sz w:val="28"/>
          <w:szCs w:val="28"/>
        </w:rPr>
        <w:t>Contact us</w:t>
      </w:r>
    </w:p>
    <w:p w14:paraId="534E24D6" w14:textId="77777777" w:rsidR="00772E4C" w:rsidRPr="008C7E86" w:rsidRDefault="00772E4C" w:rsidP="00A41384">
      <w:pPr>
        <w:spacing w:before="120" w:after="120"/>
        <w:jc w:val="center"/>
        <w:rPr>
          <w:rFonts w:ascii="Verdana" w:hAnsi="Verdana"/>
          <w:b/>
          <w:sz w:val="28"/>
          <w:szCs w:val="28"/>
        </w:rPr>
      </w:pPr>
    </w:p>
    <w:p w14:paraId="77E7FDDB" w14:textId="78007454" w:rsidR="00772E4C" w:rsidRPr="008C7E86" w:rsidRDefault="00772E4C" w:rsidP="409BA1CF">
      <w:pPr>
        <w:spacing w:before="120" w:after="120"/>
        <w:jc w:val="center"/>
        <w:rPr>
          <w:rFonts w:ascii="Verdana" w:hAnsi="Verdana"/>
          <w:b/>
          <w:bCs/>
          <w:sz w:val="28"/>
          <w:szCs w:val="28"/>
        </w:rPr>
      </w:pPr>
      <w:r w:rsidRPr="409BA1CF">
        <w:rPr>
          <w:rFonts w:ascii="Verdana" w:hAnsi="Verdana"/>
          <w:b/>
          <w:bCs/>
          <w:sz w:val="28"/>
          <w:szCs w:val="28"/>
        </w:rPr>
        <w:t xml:space="preserve">Please send any queries to </w:t>
      </w:r>
      <w:hyperlink r:id="rId12">
        <w:r w:rsidRPr="409BA1CF">
          <w:rPr>
            <w:rStyle w:val="Hyperlink"/>
            <w:rFonts w:ascii="Verdana" w:hAnsi="Verdana"/>
            <w:b/>
            <w:bCs/>
            <w:sz w:val="28"/>
            <w:szCs w:val="28"/>
          </w:rPr>
          <w:t>Colin.Caughey@nihrc.org</w:t>
        </w:r>
      </w:hyperlink>
      <w:r w:rsidRPr="409BA1CF">
        <w:rPr>
          <w:rFonts w:ascii="Verdana" w:hAnsi="Verdana"/>
          <w:b/>
          <w:bCs/>
          <w:sz w:val="28"/>
          <w:szCs w:val="28"/>
        </w:rPr>
        <w:t xml:space="preserve">  </w:t>
      </w:r>
    </w:p>
    <w:p w14:paraId="1A02ABC7" w14:textId="77777777" w:rsidR="00772E4C" w:rsidRPr="008C7E86" w:rsidRDefault="00772E4C" w:rsidP="00A41384">
      <w:pPr>
        <w:spacing w:before="120" w:after="120"/>
        <w:jc w:val="center"/>
        <w:rPr>
          <w:rFonts w:ascii="Verdana" w:hAnsi="Verdana"/>
          <w:b/>
          <w:sz w:val="28"/>
          <w:szCs w:val="28"/>
        </w:rPr>
      </w:pPr>
    </w:p>
    <w:p w14:paraId="7384B673" w14:textId="77777777" w:rsidR="00772E4C" w:rsidRPr="008C7E86" w:rsidRDefault="00772E4C" w:rsidP="00A41384">
      <w:pPr>
        <w:spacing w:before="120" w:after="120"/>
        <w:jc w:val="center"/>
        <w:rPr>
          <w:rFonts w:ascii="Verdana" w:hAnsi="Verdana"/>
          <w:b/>
          <w:sz w:val="28"/>
          <w:szCs w:val="28"/>
        </w:rPr>
      </w:pPr>
    </w:p>
    <w:p w14:paraId="45584CB8" w14:textId="77777777" w:rsidR="00772E4C" w:rsidRPr="008C7E86" w:rsidRDefault="00772E4C" w:rsidP="00A41384">
      <w:pPr>
        <w:spacing w:before="120" w:after="120"/>
        <w:jc w:val="center"/>
        <w:rPr>
          <w:rFonts w:ascii="Verdana" w:hAnsi="Verdana"/>
          <w:sz w:val="28"/>
          <w:szCs w:val="28"/>
        </w:rPr>
      </w:pPr>
      <w:hyperlink r:id="rId13" w:history="1">
        <w:r w:rsidRPr="008C7E86">
          <w:rPr>
            <w:rStyle w:val="Hyperlink"/>
            <w:rFonts w:ascii="Verdana" w:hAnsi="Verdana"/>
            <w:sz w:val="28"/>
            <w:szCs w:val="28"/>
          </w:rPr>
          <w:t>www.nihrc.org</w:t>
        </w:r>
      </w:hyperlink>
      <w:r w:rsidRPr="008C7E86">
        <w:rPr>
          <w:rFonts w:ascii="Verdana" w:hAnsi="Verdana"/>
          <w:sz w:val="28"/>
          <w:szCs w:val="28"/>
        </w:rPr>
        <w:t xml:space="preserve">  |  </w:t>
      </w:r>
      <w:hyperlink r:id="rId14" w:history="1">
        <w:r w:rsidRPr="008C7E86">
          <w:rPr>
            <w:rStyle w:val="Hyperlink"/>
            <w:rFonts w:ascii="Verdana" w:hAnsi="Verdana"/>
            <w:sz w:val="28"/>
            <w:szCs w:val="28"/>
          </w:rPr>
          <w:t>info@nihrc.org</w:t>
        </w:r>
      </w:hyperlink>
      <w:r w:rsidRPr="008C7E86">
        <w:rPr>
          <w:rFonts w:ascii="Verdana" w:hAnsi="Verdana"/>
          <w:sz w:val="28"/>
          <w:szCs w:val="28"/>
        </w:rPr>
        <w:t xml:space="preserve">  |  +44 (0)28 9024 3987</w:t>
      </w:r>
    </w:p>
    <w:p w14:paraId="6783FAE5" w14:textId="77777777" w:rsidR="00772E4C" w:rsidRPr="008C7E86" w:rsidRDefault="00772E4C" w:rsidP="00A41384">
      <w:pPr>
        <w:spacing w:before="120" w:after="120"/>
        <w:jc w:val="center"/>
        <w:rPr>
          <w:rFonts w:ascii="Verdana" w:hAnsi="Verdana"/>
          <w:sz w:val="28"/>
          <w:szCs w:val="28"/>
        </w:rPr>
      </w:pPr>
      <w:r w:rsidRPr="008C7E86">
        <w:rPr>
          <w:rFonts w:ascii="Verdana" w:hAnsi="Verdana"/>
          <w:sz w:val="28"/>
          <w:szCs w:val="28"/>
        </w:rPr>
        <w:t>4</w:t>
      </w:r>
      <w:r w:rsidRPr="008C7E86">
        <w:rPr>
          <w:rFonts w:ascii="Verdana" w:hAnsi="Verdana"/>
          <w:sz w:val="28"/>
          <w:szCs w:val="28"/>
          <w:vertAlign w:val="superscript"/>
        </w:rPr>
        <w:t>th</w:t>
      </w:r>
      <w:r w:rsidRPr="008C7E86">
        <w:rPr>
          <w:rFonts w:ascii="Verdana" w:hAnsi="Verdana"/>
          <w:sz w:val="28"/>
          <w:szCs w:val="28"/>
        </w:rPr>
        <w:t xml:space="preserve"> Floor, Alfred House, 19-21 Alfred Street, Belfast, BT2 8ED</w:t>
      </w:r>
    </w:p>
    <w:p w14:paraId="4D3D0B0B" w14:textId="77777777" w:rsidR="00772E4C" w:rsidRPr="008C7E86" w:rsidRDefault="00772E4C" w:rsidP="00A41384">
      <w:pPr>
        <w:spacing w:before="120" w:after="120"/>
        <w:rPr>
          <w:rFonts w:ascii="Verdana" w:hAnsi="Verdana"/>
          <w:b/>
        </w:rPr>
      </w:pPr>
    </w:p>
    <w:p w14:paraId="39DD7565" w14:textId="77777777" w:rsidR="00772E4C" w:rsidRPr="008C7E86" w:rsidRDefault="00772E4C" w:rsidP="00A41384">
      <w:pPr>
        <w:spacing w:before="120" w:after="120"/>
        <w:rPr>
          <w:rFonts w:ascii="Verdana" w:hAnsi="Verdana"/>
        </w:rPr>
      </w:pPr>
    </w:p>
    <w:p w14:paraId="7FED79B5" w14:textId="77777777" w:rsidR="00772E4C" w:rsidRPr="008C7E86" w:rsidRDefault="00772E4C" w:rsidP="00A41384">
      <w:pPr>
        <w:spacing w:before="120" w:after="120"/>
        <w:rPr>
          <w:rFonts w:ascii="Verdana" w:hAnsi="Verdana"/>
        </w:rPr>
      </w:pPr>
      <w:r w:rsidRPr="008C7E86">
        <w:rPr>
          <w:rFonts w:ascii="Verdana" w:hAnsi="Verdana"/>
          <w:noProof/>
        </w:rPr>
        <w:drawing>
          <wp:anchor distT="0" distB="0" distL="114300" distR="114300" simplePos="0" relativeHeight="251658240" behindDoc="0" locked="0" layoutInCell="1" allowOverlap="1" wp14:anchorId="0EC9D4CA" wp14:editId="6FF504F3">
            <wp:simplePos x="0" y="0"/>
            <wp:positionH relativeFrom="margin">
              <wp:posOffset>1598930</wp:posOffset>
            </wp:positionH>
            <wp:positionV relativeFrom="paragraph">
              <wp:posOffset>6350</wp:posOffset>
            </wp:positionV>
            <wp:extent cx="409575" cy="409575"/>
            <wp:effectExtent l="0" t="0" r="9525" b="9525"/>
            <wp:wrapSquare wrapText="bothSides"/>
            <wp:docPr id="1787713473" name="Picture 1" descr="A white letter f in a black circle&#10;&#10;AI-generated content may be incorrec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3473" name="Picture 1" descr="A white letter f in a black circle&#10;&#10;AI-generated content may be incorrect.">
                      <a:hlinkClick r:id="rId15"/>
                    </pic:cNvPr>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rFonts w:ascii="Verdana" w:hAnsi="Verdana"/>
          <w:noProof/>
        </w:rPr>
        <w:drawing>
          <wp:anchor distT="0" distB="0" distL="114300" distR="114300" simplePos="0" relativeHeight="251658241" behindDoc="0" locked="0" layoutInCell="1" allowOverlap="1" wp14:anchorId="25CBC7A1" wp14:editId="15B62DF4">
            <wp:simplePos x="0" y="0"/>
            <wp:positionH relativeFrom="margin">
              <wp:posOffset>2127250</wp:posOffset>
            </wp:positionH>
            <wp:positionV relativeFrom="paragraph">
              <wp:posOffset>9525</wp:posOffset>
            </wp:positionV>
            <wp:extent cx="412115" cy="412115"/>
            <wp:effectExtent l="0" t="0" r="6985" b="6985"/>
            <wp:wrapSquare wrapText="bothSides"/>
            <wp:docPr id="303816568" name="Picture 2" descr="A black circle with white x in it&#10;&#10;AI-generated content may be incorrec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16568" name="Picture 2" descr="A black circle with white x in it&#10;&#10;AI-generated content may be incorrec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rFonts w:ascii="Verdana" w:hAnsi="Verdana"/>
          <w:noProof/>
        </w:rPr>
        <w:drawing>
          <wp:anchor distT="0" distB="0" distL="114300" distR="114300" simplePos="0" relativeHeight="251658243" behindDoc="0" locked="0" layoutInCell="1" allowOverlap="1" wp14:anchorId="090DA18A" wp14:editId="6AFAF1F0">
            <wp:simplePos x="0" y="0"/>
            <wp:positionH relativeFrom="column">
              <wp:posOffset>2657475</wp:posOffset>
            </wp:positionH>
            <wp:positionV relativeFrom="paragraph">
              <wp:posOffset>9525</wp:posOffset>
            </wp:positionV>
            <wp:extent cx="415290" cy="415290"/>
            <wp:effectExtent l="0" t="0" r="3810" b="3810"/>
            <wp:wrapSquare wrapText="bothSides"/>
            <wp:docPr id="709469383" name="Picture 5" descr="A black circle with white text&#10;&#10;AI-generated content may be incorre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69383" name="Picture 5" descr="A black circle with white text&#10;&#10;AI-generated content may be incorrect.">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529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rFonts w:ascii="Verdana" w:hAnsi="Verdana"/>
          <w:noProof/>
        </w:rPr>
        <w:drawing>
          <wp:anchor distT="0" distB="0" distL="114300" distR="114300" simplePos="0" relativeHeight="251658245" behindDoc="0" locked="0" layoutInCell="1" allowOverlap="1" wp14:anchorId="382076FA" wp14:editId="50813926">
            <wp:simplePos x="0" y="0"/>
            <wp:positionH relativeFrom="column">
              <wp:posOffset>3189605</wp:posOffset>
            </wp:positionH>
            <wp:positionV relativeFrom="paragraph">
              <wp:posOffset>12700</wp:posOffset>
            </wp:positionV>
            <wp:extent cx="410210" cy="410210"/>
            <wp:effectExtent l="0" t="0" r="8890" b="8890"/>
            <wp:wrapSquare wrapText="bothSides"/>
            <wp:docPr id="1863549998" name="Picture 7" descr="A white butterfly in a black circle&#10;&#10;AI-generated content may be incorrec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49998" name="Picture 7" descr="A white butterfly in a black circle&#10;&#10;AI-generated content may be incorrect.">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rFonts w:ascii="Verdana" w:hAnsi="Verdana"/>
          <w:noProof/>
        </w:rPr>
        <w:drawing>
          <wp:anchor distT="0" distB="0" distL="114300" distR="114300" simplePos="0" relativeHeight="251658244" behindDoc="0" locked="0" layoutInCell="1" allowOverlap="1" wp14:anchorId="087A48F7" wp14:editId="564DDD42">
            <wp:simplePos x="0" y="0"/>
            <wp:positionH relativeFrom="margin">
              <wp:posOffset>3712845</wp:posOffset>
            </wp:positionH>
            <wp:positionV relativeFrom="paragraph">
              <wp:posOffset>9525</wp:posOffset>
            </wp:positionV>
            <wp:extent cx="418465" cy="418465"/>
            <wp:effectExtent l="0" t="0" r="635" b="635"/>
            <wp:wrapSquare wrapText="bothSides"/>
            <wp:docPr id="1586956942" name="Picture 6" descr="A black circle with white lines in it&#10;&#10;AI-generated content may be incorrec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56942" name="Picture 6" descr="A black circle with white lines in it&#10;&#10;AI-generated content may be incorrect.">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8465" cy="41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rFonts w:ascii="Verdana" w:hAnsi="Verdana"/>
          <w:noProof/>
        </w:rPr>
        <w:drawing>
          <wp:anchor distT="0" distB="0" distL="114300" distR="114300" simplePos="0" relativeHeight="251658242" behindDoc="0" locked="0" layoutInCell="1" allowOverlap="1" wp14:anchorId="042E094B" wp14:editId="75272D54">
            <wp:simplePos x="0" y="0"/>
            <wp:positionH relativeFrom="margin">
              <wp:posOffset>4246734</wp:posOffset>
            </wp:positionH>
            <wp:positionV relativeFrom="paragraph">
              <wp:posOffset>9574</wp:posOffset>
            </wp:positionV>
            <wp:extent cx="408940" cy="408940"/>
            <wp:effectExtent l="0" t="0" r="0" b="0"/>
            <wp:wrapSquare wrapText="bothSides"/>
            <wp:docPr id="1068331475" name="Picture 4" descr="A black circle with a white play button&#10;&#10;AI-generated content may be incorrec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31475" name="Picture 4" descr="A black circle with a white play button&#10;&#10;AI-generated content may be incorrect.">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8940"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C7E86">
        <w:rPr>
          <w:rFonts w:ascii="Verdana" w:hAnsi="Verdana"/>
        </w:rPr>
        <w:br/>
      </w:r>
    </w:p>
    <w:p w14:paraId="0F6D73A4" w14:textId="77777777" w:rsidR="002E427C" w:rsidRPr="008C7E86" w:rsidRDefault="002E427C" w:rsidP="00A41384">
      <w:pPr>
        <w:spacing w:before="120" w:after="120"/>
        <w:rPr>
          <w:rFonts w:ascii="Verdana" w:hAnsi="Verdana"/>
        </w:rPr>
      </w:pPr>
    </w:p>
    <w:sectPr w:rsidR="002E427C" w:rsidRPr="008C7E86" w:rsidSect="00585EFB">
      <w:headerReference w:type="default" r:id="rId27"/>
      <w:footerReference w:type="defaul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954C" w14:textId="77777777" w:rsidR="00AA5368" w:rsidRDefault="00AA5368" w:rsidP="00772E4C">
      <w:pPr>
        <w:spacing w:after="0" w:line="240" w:lineRule="auto"/>
      </w:pPr>
      <w:r>
        <w:separator/>
      </w:r>
    </w:p>
  </w:endnote>
  <w:endnote w:type="continuationSeparator" w:id="0">
    <w:p w14:paraId="12DB7912" w14:textId="77777777" w:rsidR="00AA5368" w:rsidRDefault="00AA5368" w:rsidP="0077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385530506"/>
      <w:docPartObj>
        <w:docPartGallery w:val="Page Numbers (Bottom of Page)"/>
        <w:docPartUnique/>
      </w:docPartObj>
    </w:sdtPr>
    <w:sdtEndPr>
      <w:rPr>
        <w:noProof/>
      </w:rPr>
    </w:sdtEndPr>
    <w:sdtContent>
      <w:p w14:paraId="506F48F4" w14:textId="1AE98417" w:rsidR="00FB33FA" w:rsidRPr="00FB33FA" w:rsidRDefault="00FB33FA">
        <w:pPr>
          <w:pStyle w:val="Footer"/>
          <w:jc w:val="center"/>
          <w:rPr>
            <w:rFonts w:ascii="Verdana" w:hAnsi="Verdana"/>
            <w:sz w:val="20"/>
            <w:szCs w:val="20"/>
          </w:rPr>
        </w:pPr>
        <w:r w:rsidRPr="00FB33FA">
          <w:rPr>
            <w:rFonts w:ascii="Verdana" w:hAnsi="Verdana"/>
            <w:sz w:val="20"/>
            <w:szCs w:val="20"/>
          </w:rPr>
          <w:fldChar w:fldCharType="begin"/>
        </w:r>
        <w:r w:rsidRPr="00FB33FA">
          <w:rPr>
            <w:rFonts w:ascii="Verdana" w:hAnsi="Verdana"/>
            <w:sz w:val="20"/>
            <w:szCs w:val="20"/>
          </w:rPr>
          <w:instrText xml:space="preserve"> PAGE   \* MERGEFORMAT </w:instrText>
        </w:r>
        <w:r w:rsidRPr="00FB33FA">
          <w:rPr>
            <w:rFonts w:ascii="Verdana" w:hAnsi="Verdana"/>
            <w:sz w:val="20"/>
            <w:szCs w:val="20"/>
          </w:rPr>
          <w:fldChar w:fldCharType="separate"/>
        </w:r>
        <w:r w:rsidRPr="00FB33FA">
          <w:rPr>
            <w:rFonts w:ascii="Verdana" w:hAnsi="Verdana"/>
            <w:noProof/>
            <w:sz w:val="20"/>
            <w:szCs w:val="20"/>
          </w:rPr>
          <w:t>2</w:t>
        </w:r>
        <w:r w:rsidRPr="00FB33FA">
          <w:rPr>
            <w:rFonts w:ascii="Verdana" w:hAnsi="Verdana"/>
            <w:noProof/>
            <w:sz w:val="20"/>
            <w:szCs w:val="20"/>
          </w:rPr>
          <w:fldChar w:fldCharType="end"/>
        </w:r>
      </w:p>
    </w:sdtContent>
  </w:sdt>
  <w:p w14:paraId="10C1B14E" w14:textId="77777777" w:rsidR="00FB33FA" w:rsidRPr="00FB33FA" w:rsidRDefault="00FB33FA">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6E90" w14:textId="77777777" w:rsidR="00AA5368" w:rsidRDefault="00AA5368" w:rsidP="00772E4C">
      <w:pPr>
        <w:spacing w:after="0" w:line="240" w:lineRule="auto"/>
      </w:pPr>
      <w:r>
        <w:separator/>
      </w:r>
    </w:p>
  </w:footnote>
  <w:footnote w:type="continuationSeparator" w:id="0">
    <w:p w14:paraId="49A8DB79" w14:textId="77777777" w:rsidR="00AA5368" w:rsidRDefault="00AA5368" w:rsidP="00772E4C">
      <w:pPr>
        <w:spacing w:after="0" w:line="240" w:lineRule="auto"/>
      </w:pPr>
      <w:r>
        <w:continuationSeparator/>
      </w:r>
    </w:p>
  </w:footnote>
  <w:footnote w:id="1">
    <w:p w14:paraId="11F1AC77" w14:textId="77777777" w:rsidR="00235F4E" w:rsidRPr="008D3431" w:rsidRDefault="00235F4E"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The Windsor Framework was formerly known as the Protocol on Ireland/Northern Ireland to the to the Agreement on the Withdrawal of the UK of Great Britain and NI from the EU and the EAEC, 24 January 2020 (UK-EU Withdrawal Agreement).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  This is given effect in UK law by section 7A of the EU (Withdrawal) Act 2018.</w:t>
      </w:r>
    </w:p>
  </w:footnote>
  <w:footnote w:id="2">
    <w:p w14:paraId="28D4EDE8" w14:textId="77777777" w:rsidR="00156471" w:rsidRPr="008D3431" w:rsidRDefault="00156471" w:rsidP="00C62C46">
      <w:pPr>
        <w:pStyle w:val="NIHRCFootnotes"/>
        <w:spacing w:after="0"/>
        <w:contextualSpacing/>
        <w:jc w:val="left"/>
        <w:rPr>
          <w:rFonts w:cstheme="minorHAnsi"/>
        </w:rPr>
      </w:pPr>
      <w:r w:rsidRPr="008D3431">
        <w:rPr>
          <w:rStyle w:val="FootnoteReference"/>
          <w:rFonts w:cstheme="minorHAnsi"/>
        </w:rPr>
        <w:footnoteRef/>
      </w:r>
      <w:r w:rsidRPr="008D3431">
        <w:rPr>
          <w:rFonts w:cstheme="minorHAnsi"/>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3">
    <w:p w14:paraId="0BB7A9DD" w14:textId="77777777" w:rsidR="00156471" w:rsidRPr="008D3431" w:rsidRDefault="00156471" w:rsidP="00C62C46">
      <w:pPr>
        <w:pStyle w:val="NIHRCFootnotes"/>
        <w:spacing w:after="0"/>
        <w:contextualSpacing/>
        <w:jc w:val="left"/>
        <w:rPr>
          <w:rFonts w:cstheme="minorHAnsi"/>
        </w:rPr>
      </w:pPr>
      <w:r w:rsidRPr="008D3431">
        <w:rPr>
          <w:rStyle w:val="FootnoteReference"/>
          <w:rFonts w:cstheme="minorHAnsi"/>
        </w:rPr>
        <w:footnoteRef/>
      </w:r>
      <w:r w:rsidRPr="008D3431">
        <w:rPr>
          <w:rFonts w:cstheme="minorHAnsi"/>
        </w:rPr>
        <w:t xml:space="preserve"> Article 13, Windsor Framework to the UK-EU Withdrawal Agreement.</w:t>
      </w:r>
    </w:p>
  </w:footnote>
  <w:footnote w:id="4">
    <w:p w14:paraId="4AB4814B" w14:textId="5E6FCCC7" w:rsidR="00BB67B3" w:rsidRPr="008D3431" w:rsidRDefault="00BB67B3"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0C6E12" w:rsidRPr="008D3431">
        <w:rPr>
          <w:rFonts w:ascii="Verdana" w:hAnsi="Verdana" w:cs="Calibri"/>
          <w:color w:val="77328A"/>
          <w:sz w:val="16"/>
          <w:szCs w:val="16"/>
        </w:rPr>
        <w:t>NI Human Rights Commission</w:t>
      </w:r>
      <w:r w:rsidR="005F09F8" w:rsidRPr="008D3431">
        <w:rPr>
          <w:rFonts w:ascii="Verdana" w:hAnsi="Verdana"/>
          <w:color w:val="77328A"/>
          <w:sz w:val="16"/>
          <w:szCs w:val="16"/>
        </w:rPr>
        <w:t>, ‘Annual Statement’. Available at:</w:t>
      </w:r>
      <w:r w:rsidR="0072237C" w:rsidRPr="008D3431">
        <w:rPr>
          <w:rFonts w:ascii="Verdana" w:hAnsi="Verdana"/>
          <w:color w:val="77328A"/>
          <w:sz w:val="16"/>
          <w:szCs w:val="16"/>
        </w:rPr>
        <w:t xml:space="preserve"> </w:t>
      </w:r>
      <w:hyperlink r:id="rId1" w:history="1">
        <w:r w:rsidRPr="008D3431">
          <w:rPr>
            <w:rStyle w:val="Hyperlink"/>
            <w:rFonts w:ascii="Verdana" w:hAnsi="Verdana"/>
            <w:color w:val="77328A"/>
            <w:sz w:val="16"/>
            <w:szCs w:val="16"/>
          </w:rPr>
          <w:t>Publications - Annual statements | Northern Ireland Human Rights Commission</w:t>
        </w:r>
      </w:hyperlink>
      <w:r w:rsidR="0072237C" w:rsidRPr="008D3431">
        <w:rPr>
          <w:rFonts w:ascii="Verdana" w:hAnsi="Verdana"/>
          <w:color w:val="77328A"/>
          <w:sz w:val="16"/>
          <w:szCs w:val="16"/>
        </w:rPr>
        <w:t>.</w:t>
      </w:r>
    </w:p>
  </w:footnote>
  <w:footnote w:id="5">
    <w:p w14:paraId="06D2E74A" w14:textId="77777777" w:rsidR="00772E4C" w:rsidRPr="008D3431" w:rsidRDefault="00772E4C"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E/C.12/GBR/CO/7, ‘UN ICESCR Committee Concluding Observations on the Seventh Periodic Report of the UK of Great Britain and NI’, 28 February 2025, at para 6(b); CERD/C/GBR/CO/24-26, ‘UN CERD Committee Concluding Observations on the Combined Twenty-fourth to Twenty-sixth Periodic Reports of the UK of Great Britain and NI’, 23 August 2024, at para 12; CCPR/C/GBR/CO/8, ‘UN Human Rights Committee Concluding Observations on the Eighth Periodic Report of UK of Great Britain and NI’, 28 March 2024; A/HRC/52/10, ‘Report of the Working Group on the Universal Periodic Review: UK of Great Britain and NI’, 9 January 2023, at paras 43.21; 43.23; 43.29; 43.30; 43.31; 43.32; 43.34; 43.40; 43.42; 43.44; 43.46; 43.48; 43.49 and 43.50; CAT/C/GBR/CO/6, 'UN CAT Committee Concluding Observations on the Sixth Periodic Report of the UK of Great Britain and NI', 7 June 2019, at para 11; CoE Commissioner for Human Rights, 'Press Release: UK - backsliding on human rights must be prevented', 4 July 2022.</w:t>
      </w:r>
    </w:p>
  </w:footnote>
  <w:footnote w:id="6">
    <w:p w14:paraId="4BCADB00" w14:textId="21B46ADE" w:rsidR="003E0C59" w:rsidRPr="008D3431" w:rsidRDefault="003E0C59" w:rsidP="00C62C46">
      <w:pPr>
        <w:pStyle w:val="FootnoteText"/>
        <w:contextualSpacing/>
        <w:rPr>
          <w:rFonts w:ascii="Verdana" w:hAnsi="Verdana" w:cstheme="minorHAnsi"/>
          <w:color w:val="77328A"/>
          <w:sz w:val="16"/>
          <w:szCs w:val="16"/>
        </w:rPr>
      </w:pPr>
      <w:r w:rsidRPr="008D3431">
        <w:rPr>
          <w:rStyle w:val="FootnoteReference"/>
          <w:rFonts w:ascii="Verdana" w:hAnsi="Verdana" w:cstheme="minorHAnsi"/>
          <w:color w:val="77328A"/>
          <w:sz w:val="16"/>
          <w:szCs w:val="16"/>
        </w:rPr>
        <w:footnoteRef/>
      </w:r>
      <w:r w:rsidRPr="008D3431">
        <w:rPr>
          <w:rFonts w:ascii="Verdana" w:hAnsi="Verdana" w:cstheme="minorHAnsi"/>
          <w:color w:val="77328A"/>
          <w:sz w:val="16"/>
          <w:szCs w:val="16"/>
        </w:rPr>
        <w:t xml:space="preserve"> </w:t>
      </w:r>
      <w:hyperlink r:id="rId2" w:history="1">
        <w:r w:rsidRPr="00DE2EBD">
          <w:rPr>
            <w:rStyle w:val="Hyperlink"/>
            <w:rFonts w:ascii="Verdana" w:hAnsi="Verdana" w:cstheme="minorHAnsi"/>
            <w:i/>
            <w:color w:val="77328A"/>
            <w:sz w:val="16"/>
            <w:szCs w:val="16"/>
            <w:u w:val="none"/>
          </w:rPr>
          <w:t>Dillon &amp; Ors v SSNI</w:t>
        </w:r>
        <w:r w:rsidRPr="00DE2EBD">
          <w:rPr>
            <w:rStyle w:val="Hyperlink"/>
            <w:rFonts w:ascii="Verdana" w:hAnsi="Verdana" w:cstheme="minorHAnsi"/>
            <w:color w:val="77328A"/>
            <w:sz w:val="16"/>
            <w:szCs w:val="16"/>
            <w:u w:val="none"/>
          </w:rPr>
          <w:t xml:space="preserve"> [2024] NICA 59</w:t>
        </w:r>
      </w:hyperlink>
      <w:r w:rsidRPr="00DE2EBD">
        <w:rPr>
          <w:rStyle w:val="Hyperlink"/>
          <w:rFonts w:ascii="Verdana" w:hAnsi="Verdana" w:cstheme="minorHAnsi"/>
          <w:color w:val="77328A"/>
          <w:sz w:val="16"/>
          <w:szCs w:val="16"/>
          <w:u w:val="none"/>
        </w:rPr>
        <w:t xml:space="preserve"> at </w:t>
      </w:r>
      <w:r w:rsidR="00161348" w:rsidRPr="00DE2EBD">
        <w:rPr>
          <w:rStyle w:val="Hyperlink"/>
          <w:rFonts w:ascii="Verdana" w:hAnsi="Verdana" w:cstheme="minorHAnsi"/>
          <w:color w:val="77328A"/>
          <w:sz w:val="16"/>
          <w:szCs w:val="16"/>
          <w:u w:val="none"/>
        </w:rPr>
        <w:t xml:space="preserve">para </w:t>
      </w:r>
      <w:r w:rsidRPr="00DE2EBD">
        <w:rPr>
          <w:rStyle w:val="Hyperlink"/>
          <w:rFonts w:ascii="Verdana" w:hAnsi="Verdana" w:cstheme="minorHAnsi"/>
          <w:color w:val="77328A"/>
          <w:sz w:val="16"/>
          <w:szCs w:val="16"/>
          <w:u w:val="none"/>
        </w:rPr>
        <w:t>115.</w:t>
      </w:r>
    </w:p>
  </w:footnote>
  <w:footnote w:id="7">
    <w:p w14:paraId="63FFC82A" w14:textId="77777777" w:rsidR="00772E4C" w:rsidRPr="008D3431" w:rsidRDefault="00772E4C" w:rsidP="00C62C46">
      <w:pPr>
        <w:spacing w:after="0" w:line="240" w:lineRule="auto"/>
        <w:contextualSpacing/>
        <w:rPr>
          <w:rFonts w:ascii="Verdana" w:hAnsi="Verdana" w:cs="Calibri"/>
          <w:color w:val="77328A"/>
          <w:sz w:val="16"/>
          <w:szCs w:val="16"/>
        </w:rPr>
      </w:pPr>
      <w:r w:rsidRPr="008D3431">
        <w:rPr>
          <w:rStyle w:val="FootnoteReference"/>
          <w:rFonts w:ascii="Verdana" w:eastAsiaTheme="majorEastAsia" w:hAnsi="Verdana" w:cs="Calibri"/>
          <w:color w:val="77328A"/>
          <w:sz w:val="16"/>
          <w:szCs w:val="16"/>
        </w:rPr>
        <w:footnoteRef/>
      </w:r>
      <w:r w:rsidRPr="008D3431">
        <w:rPr>
          <w:rFonts w:ascii="Verdana" w:hAnsi="Verdana" w:cs="Calibri"/>
          <w:color w:val="77328A"/>
          <w:sz w:val="16"/>
          <w:szCs w:val="16"/>
        </w:rPr>
        <w:t xml:space="preserve"> </w:t>
      </w:r>
      <w:r w:rsidRPr="008D3431">
        <w:rPr>
          <w:rFonts w:ascii="Verdana" w:hAnsi="Verdana" w:cstheme="minorHAnsi"/>
          <w:i/>
          <w:color w:val="77328A"/>
          <w:sz w:val="16"/>
          <w:szCs w:val="16"/>
        </w:rPr>
        <w:t xml:space="preserve">Martina Dillon and Others v Secretary of State for NI </w:t>
      </w:r>
      <w:r w:rsidRPr="008D3431">
        <w:rPr>
          <w:rFonts w:ascii="Verdana" w:hAnsi="Verdana" w:cstheme="minorHAnsi"/>
          <w:color w:val="77328A"/>
          <w:sz w:val="16"/>
          <w:szCs w:val="16"/>
        </w:rPr>
        <w:t xml:space="preserve">[2024] NICA 59, at para 117; </w:t>
      </w:r>
      <w:r w:rsidRPr="008D3431">
        <w:rPr>
          <w:rFonts w:ascii="Verdana" w:hAnsi="Verdana" w:cs="Calibri"/>
          <w:color w:val="77328A"/>
          <w:sz w:val="16"/>
          <w:szCs w:val="16"/>
        </w:rPr>
        <w:t xml:space="preserve">NI Human Rights Commission, ‘Advice on the Bill of Rights Bill’, (NIHRC, 2022); NI Human Rights Commission, ‘Response to the Consultation on Human Rights Act Reform: A Modern Bill of Rights’ (NIHRC, 2022). </w:t>
      </w:r>
    </w:p>
  </w:footnote>
  <w:footnote w:id="8">
    <w:p w14:paraId="66AEDBA2" w14:textId="77777777" w:rsidR="00772E4C" w:rsidRPr="008D3431" w:rsidRDefault="00772E4C" w:rsidP="00C62C46">
      <w:pPr>
        <w:spacing w:after="0" w:line="240" w:lineRule="auto"/>
        <w:contextualSpacing/>
        <w:rPr>
          <w:rFonts w:ascii="Verdana" w:hAnsi="Verdana" w:cs="Calibri"/>
          <w:color w:val="77328A"/>
          <w:sz w:val="16"/>
          <w:szCs w:val="16"/>
        </w:rPr>
      </w:pPr>
      <w:r w:rsidRPr="008D3431">
        <w:rPr>
          <w:rStyle w:val="FootnoteReference"/>
          <w:rFonts w:ascii="Verdana" w:eastAsiaTheme="majorEastAsia" w:hAnsi="Verdana" w:cs="Calibri"/>
          <w:color w:val="77328A"/>
          <w:sz w:val="16"/>
          <w:szCs w:val="16"/>
        </w:rPr>
        <w:footnoteRef/>
      </w:r>
      <w:r w:rsidRPr="008D3431">
        <w:rPr>
          <w:rFonts w:ascii="Verdana" w:hAnsi="Verdana" w:cs="Calibri"/>
          <w:color w:val="77328A"/>
          <w:sz w:val="16"/>
          <w:szCs w:val="16"/>
        </w:rPr>
        <w:t xml:space="preserve"> </w:t>
      </w:r>
      <w:r w:rsidRPr="008D3431">
        <w:rPr>
          <w:rFonts w:ascii="Verdana" w:hAnsi="Verdana" w:cstheme="minorHAnsi"/>
          <w:i/>
          <w:color w:val="77328A"/>
          <w:sz w:val="16"/>
          <w:szCs w:val="16"/>
        </w:rPr>
        <w:t xml:space="preserve">Martina Dillon and Others v Secretary of State for NI </w:t>
      </w:r>
      <w:r w:rsidRPr="008D3431">
        <w:rPr>
          <w:rFonts w:ascii="Verdana" w:hAnsi="Verdana" w:cstheme="minorHAnsi"/>
          <w:color w:val="77328A"/>
          <w:sz w:val="16"/>
          <w:szCs w:val="16"/>
        </w:rPr>
        <w:t xml:space="preserve">[2024] NICA 59, at paras 117, 120 and 126. See also </w:t>
      </w:r>
      <w:r w:rsidRPr="008D3431">
        <w:rPr>
          <w:rFonts w:ascii="Verdana" w:hAnsi="Verdana"/>
          <w:i/>
          <w:color w:val="77328A"/>
          <w:sz w:val="16"/>
          <w:szCs w:val="16"/>
        </w:rPr>
        <w:t>Secretary of State for Work and Pensions v AT</w:t>
      </w:r>
      <w:r w:rsidRPr="008D3431">
        <w:rPr>
          <w:rFonts w:ascii="Verdana" w:hAnsi="Verdana"/>
          <w:color w:val="77328A"/>
          <w:sz w:val="16"/>
          <w:szCs w:val="16"/>
        </w:rPr>
        <w:t xml:space="preserve"> [2023] EW CA Civ 1307, at para 92; Tobias Lock et al, ‘The Interaction Between the EU Charter of Fundamental Rights and General Principles with the Windsor Framework’ (NIHRC, 2024); </w:t>
      </w:r>
      <w:r w:rsidRPr="008D3431">
        <w:rPr>
          <w:rFonts w:ascii="Verdana" w:hAnsi="Verdana" w:cs="Calibri"/>
          <w:color w:val="77328A"/>
          <w:sz w:val="16"/>
          <w:szCs w:val="16"/>
        </w:rPr>
        <w:t>NI Human Rights Commission, ‘Advice on the Bill of Rights Bill’, (NIHRC, 2022); NI Human Rights Commission, ‘Response to the Consultation on Human Rights Act Reform: A Modern Bill of Rights’ (NIHRC, 2022).</w:t>
      </w:r>
    </w:p>
  </w:footnote>
  <w:footnote w:id="9">
    <w:p w14:paraId="5D2CB0AA" w14:textId="56DA0CBC" w:rsidR="00772E4C" w:rsidRPr="008D3431" w:rsidRDefault="00772E4C"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9132A3" w:rsidRPr="008D3431">
        <w:rPr>
          <w:rFonts w:ascii="Verdana" w:hAnsi="Verdana"/>
          <w:color w:val="77328A"/>
          <w:sz w:val="16"/>
          <w:szCs w:val="16"/>
        </w:rPr>
        <w:t>United Kingdom, British Overseas Territories and Crown Dependencies</w:t>
      </w:r>
      <w:r w:rsidR="00F803D4" w:rsidRPr="008D3431">
        <w:rPr>
          <w:rFonts w:ascii="Verdana" w:hAnsi="Verdana"/>
          <w:color w:val="77328A"/>
          <w:sz w:val="16"/>
          <w:szCs w:val="16"/>
        </w:rPr>
        <w:t>, ‘</w:t>
      </w:r>
      <w:r w:rsidR="009132A3" w:rsidRPr="008D3431">
        <w:rPr>
          <w:rFonts w:ascii="Verdana" w:hAnsi="Verdana"/>
          <w:color w:val="77328A"/>
          <w:sz w:val="16"/>
          <w:szCs w:val="16"/>
        </w:rPr>
        <w:t>Universal Periodic Review</w:t>
      </w:r>
      <w:r w:rsidR="00F803D4" w:rsidRPr="008D3431">
        <w:rPr>
          <w:rFonts w:ascii="Verdana" w:hAnsi="Verdana"/>
          <w:color w:val="77328A"/>
          <w:sz w:val="16"/>
          <w:szCs w:val="16"/>
        </w:rPr>
        <w:t xml:space="preserve">: </w:t>
      </w:r>
      <w:r w:rsidR="009132A3" w:rsidRPr="008D3431">
        <w:rPr>
          <w:rFonts w:ascii="Verdana" w:hAnsi="Verdana"/>
          <w:color w:val="77328A"/>
          <w:sz w:val="16"/>
          <w:szCs w:val="16"/>
        </w:rPr>
        <w:t>UK Response Mid-Term Report 2025’</w:t>
      </w:r>
      <w:r w:rsidR="005B197C" w:rsidRPr="008D3431">
        <w:rPr>
          <w:rFonts w:ascii="Verdana" w:hAnsi="Verdana"/>
          <w:color w:val="77328A"/>
          <w:sz w:val="16"/>
          <w:szCs w:val="16"/>
        </w:rPr>
        <w:t xml:space="preserve"> (G</w:t>
      </w:r>
      <w:r w:rsidR="003922CE" w:rsidRPr="008D3431">
        <w:rPr>
          <w:rFonts w:ascii="Verdana" w:hAnsi="Verdana"/>
          <w:color w:val="77328A"/>
          <w:sz w:val="16"/>
          <w:szCs w:val="16"/>
        </w:rPr>
        <w:t>OV</w:t>
      </w:r>
      <w:r w:rsidR="005B197C" w:rsidRPr="008D3431">
        <w:rPr>
          <w:rFonts w:ascii="Verdana" w:hAnsi="Verdana"/>
          <w:color w:val="77328A"/>
          <w:sz w:val="16"/>
          <w:szCs w:val="16"/>
        </w:rPr>
        <w:t>.UK, 2025)</w:t>
      </w:r>
      <w:r w:rsidR="00F803D4" w:rsidRPr="008D3431">
        <w:rPr>
          <w:rFonts w:ascii="Verdana" w:hAnsi="Verdana"/>
          <w:color w:val="77328A"/>
          <w:sz w:val="16"/>
          <w:szCs w:val="16"/>
        </w:rPr>
        <w:t>, at</w:t>
      </w:r>
      <w:r w:rsidRPr="008D3431">
        <w:rPr>
          <w:rFonts w:ascii="Verdana" w:hAnsi="Verdana"/>
          <w:color w:val="77328A"/>
          <w:sz w:val="16"/>
          <w:szCs w:val="16"/>
        </w:rPr>
        <w:t xml:space="preserve"> 10</w:t>
      </w:r>
      <w:r w:rsidR="00E40088" w:rsidRPr="008D3431">
        <w:rPr>
          <w:rFonts w:ascii="Verdana" w:hAnsi="Verdana"/>
          <w:color w:val="77328A"/>
          <w:sz w:val="16"/>
          <w:szCs w:val="16"/>
        </w:rPr>
        <w:t>-</w:t>
      </w:r>
      <w:r w:rsidRPr="008D3431">
        <w:rPr>
          <w:rFonts w:ascii="Verdana" w:hAnsi="Verdana"/>
          <w:color w:val="77328A"/>
          <w:sz w:val="16"/>
          <w:szCs w:val="16"/>
        </w:rPr>
        <w:t>11.</w:t>
      </w:r>
    </w:p>
  </w:footnote>
  <w:footnote w:id="10">
    <w:p w14:paraId="1682494B" w14:textId="27ED7A79" w:rsidR="00772E4C" w:rsidRPr="008D3431" w:rsidRDefault="00772E4C"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E44B03" w:rsidRPr="008D3431">
        <w:rPr>
          <w:rFonts w:ascii="Verdana" w:hAnsi="Verdana"/>
          <w:color w:val="77328A"/>
          <w:sz w:val="16"/>
          <w:szCs w:val="16"/>
        </w:rPr>
        <w:t>United Kingdom, British Overseas Territories and Crown Dependencies, ‘Universal Periodic Review: UK Response Mid-Term Report 2025’ (GOV.UK, 2025), at 10.</w:t>
      </w:r>
    </w:p>
  </w:footnote>
  <w:footnote w:id="11">
    <w:p w14:paraId="1F428C6D" w14:textId="70243BAD" w:rsidR="00772E4C" w:rsidRPr="008D3431" w:rsidRDefault="00772E4C"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E44B03" w:rsidRPr="008D3431">
        <w:rPr>
          <w:rFonts w:ascii="Verdana" w:hAnsi="Verdana"/>
          <w:color w:val="77328A"/>
          <w:sz w:val="16"/>
          <w:szCs w:val="16"/>
        </w:rPr>
        <w:t>United Kingdom, British Overseas Territories and Crown Dependencies, ‘Universal Periodic Review: UK Response Mid-Term Report 2025’ (GOV.UK, 2025), at 11 and 13.</w:t>
      </w:r>
    </w:p>
  </w:footnote>
  <w:footnote w:id="12">
    <w:p w14:paraId="571204B1" w14:textId="77777777" w:rsidR="00772E4C" w:rsidRPr="008D3431" w:rsidRDefault="00772E4C"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hAnsi="Verdana" w:cs="Times New Roman"/>
          <w:color w:val="77328A"/>
          <w:sz w:val="16"/>
          <w:szCs w:val="16"/>
        </w:rPr>
        <w:t>Government/Speeches, ‘Lord Chancellor speech at the Council of Europe’, 18 June 2025</w:t>
      </w:r>
      <w:r w:rsidRPr="008D3431">
        <w:rPr>
          <w:rFonts w:ascii="Verdana" w:hAnsi="Verdana"/>
          <w:color w:val="77328A"/>
          <w:sz w:val="16"/>
          <w:szCs w:val="16"/>
        </w:rPr>
        <w:t xml:space="preserve">; </w:t>
      </w:r>
      <w:r w:rsidRPr="008D3431">
        <w:rPr>
          <w:rFonts w:ascii="Verdana" w:hAnsi="Verdana" w:cs="Times New Roman"/>
          <w:color w:val="77328A"/>
          <w:sz w:val="16"/>
          <w:szCs w:val="16"/>
        </w:rPr>
        <w:t xml:space="preserve">Matt Dathan, ‘ECHR erodes public trust because it protects criminals, say Labour’, </w:t>
      </w:r>
      <w:r w:rsidRPr="008D3431">
        <w:rPr>
          <w:rFonts w:ascii="Verdana" w:hAnsi="Verdana" w:cs="Times New Roman"/>
          <w:i/>
          <w:iCs/>
          <w:color w:val="77328A"/>
          <w:sz w:val="16"/>
          <w:szCs w:val="16"/>
        </w:rPr>
        <w:t>The Times</w:t>
      </w:r>
      <w:r w:rsidRPr="008D3431">
        <w:rPr>
          <w:rFonts w:ascii="Verdana" w:hAnsi="Verdana" w:cs="Times New Roman"/>
          <w:color w:val="77328A"/>
          <w:sz w:val="16"/>
          <w:szCs w:val="16"/>
        </w:rPr>
        <w:t xml:space="preserve">, 18 June 2025; Max Kendix, Matt Dathan, ‘Foreign criminals must prove torture threat to avoid deportation’, </w:t>
      </w:r>
      <w:r w:rsidRPr="008D3431">
        <w:rPr>
          <w:rFonts w:ascii="Verdana" w:hAnsi="Verdana" w:cs="Times New Roman"/>
          <w:i/>
          <w:iCs/>
          <w:color w:val="77328A"/>
          <w:sz w:val="16"/>
          <w:szCs w:val="16"/>
        </w:rPr>
        <w:t>The Times</w:t>
      </w:r>
      <w:r w:rsidRPr="008D3431">
        <w:rPr>
          <w:rFonts w:ascii="Verdana" w:hAnsi="Verdana" w:cs="Times New Roman"/>
          <w:color w:val="77328A"/>
          <w:sz w:val="16"/>
          <w:szCs w:val="16"/>
        </w:rPr>
        <w:t>, 13 June 2025</w:t>
      </w:r>
      <w:r w:rsidRPr="008D3431">
        <w:rPr>
          <w:rFonts w:ascii="Verdana" w:hAnsi="Verdana"/>
          <w:color w:val="77328A"/>
          <w:sz w:val="16"/>
          <w:szCs w:val="16"/>
        </w:rPr>
        <w:t>.</w:t>
      </w:r>
    </w:p>
  </w:footnote>
  <w:footnote w:id="13">
    <w:p w14:paraId="694AE4FF" w14:textId="77777777" w:rsidR="00772E4C" w:rsidRPr="008D3431" w:rsidRDefault="00772E4C"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hAnsi="Verdana" w:cs="Times New Roman"/>
          <w:color w:val="77328A"/>
          <w:sz w:val="16"/>
          <w:szCs w:val="16"/>
        </w:rPr>
        <w:t>Home Office, ‘Restoring Control Over the Immigration System White Paper’</w:t>
      </w:r>
      <w:r w:rsidRPr="008D3431">
        <w:rPr>
          <w:rFonts w:ascii="Verdana" w:hAnsi="Verdana"/>
          <w:color w:val="77328A"/>
          <w:sz w:val="16"/>
          <w:szCs w:val="16"/>
        </w:rPr>
        <w:t xml:space="preserve"> (HO, </w:t>
      </w:r>
      <w:r w:rsidRPr="008D3431">
        <w:rPr>
          <w:rFonts w:ascii="Verdana" w:hAnsi="Verdana" w:cs="Times New Roman"/>
          <w:color w:val="77328A"/>
          <w:sz w:val="16"/>
          <w:szCs w:val="16"/>
        </w:rPr>
        <w:t>2025</w:t>
      </w:r>
      <w:r w:rsidRPr="008D3431">
        <w:rPr>
          <w:rFonts w:ascii="Verdana" w:hAnsi="Verdana"/>
          <w:color w:val="77328A"/>
          <w:sz w:val="16"/>
          <w:szCs w:val="16"/>
        </w:rPr>
        <w:t xml:space="preserve">). </w:t>
      </w:r>
    </w:p>
  </w:footnote>
  <w:footnote w:id="14">
    <w:p w14:paraId="793FFDA6" w14:textId="77777777" w:rsidR="00772E4C" w:rsidRPr="008D3431" w:rsidRDefault="00772E4C"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Daisy Eastlake, ‘More than a dozen countries back UK on reforming ECHR to ease deportations’, </w:t>
      </w:r>
      <w:r w:rsidRPr="008D3431">
        <w:rPr>
          <w:rFonts w:ascii="Verdana" w:hAnsi="Verdana"/>
          <w:i/>
          <w:iCs/>
          <w:color w:val="77328A"/>
          <w:sz w:val="16"/>
          <w:szCs w:val="16"/>
        </w:rPr>
        <w:t>The Times</w:t>
      </w:r>
      <w:r w:rsidRPr="008D3431">
        <w:rPr>
          <w:rFonts w:ascii="Verdana" w:hAnsi="Verdana"/>
          <w:color w:val="77328A"/>
          <w:sz w:val="16"/>
          <w:szCs w:val="16"/>
        </w:rPr>
        <w:t>, October 2025.</w:t>
      </w:r>
    </w:p>
  </w:footnote>
  <w:footnote w:id="15">
    <w:p w14:paraId="26F2C28A" w14:textId="77777777" w:rsidR="00772E4C" w:rsidRPr="008D3431" w:rsidRDefault="00772E4C"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hAnsi="Verdana" w:cs="Times New Roman"/>
          <w:color w:val="77328A"/>
          <w:sz w:val="16"/>
          <w:szCs w:val="16"/>
        </w:rPr>
        <w:t>Conservatives, ‘Press Release: Kemi Badenoch exposes the laws and treaties holding Britain back’, 6 June 2025</w:t>
      </w:r>
      <w:r w:rsidRPr="008D3431">
        <w:rPr>
          <w:rFonts w:ascii="Verdana" w:hAnsi="Verdana"/>
          <w:color w:val="77328A"/>
          <w:sz w:val="16"/>
          <w:szCs w:val="16"/>
        </w:rPr>
        <w:t xml:space="preserve">; </w:t>
      </w:r>
      <w:r w:rsidRPr="008D3431">
        <w:rPr>
          <w:rFonts w:ascii="Verdana" w:hAnsi="Verdana" w:cs="Times New Roman"/>
          <w:color w:val="77328A"/>
          <w:sz w:val="16"/>
          <w:szCs w:val="16"/>
        </w:rPr>
        <w:t xml:space="preserve">David Lynch, ‘Badenoch lays out ‘tests’ for Britain to leave ECHR in new Tory probe’, </w:t>
      </w:r>
      <w:r w:rsidRPr="008D3431">
        <w:rPr>
          <w:rFonts w:ascii="Verdana" w:hAnsi="Verdana" w:cs="Times New Roman"/>
          <w:i/>
          <w:iCs/>
          <w:color w:val="77328A"/>
          <w:sz w:val="16"/>
          <w:szCs w:val="16"/>
        </w:rPr>
        <w:t>The Independent</w:t>
      </w:r>
      <w:r w:rsidRPr="008D3431">
        <w:rPr>
          <w:rFonts w:ascii="Verdana" w:hAnsi="Verdana" w:cs="Times New Roman"/>
          <w:color w:val="77328A"/>
          <w:sz w:val="16"/>
          <w:szCs w:val="16"/>
        </w:rPr>
        <w:t>, 6 June 2025</w:t>
      </w:r>
      <w:r w:rsidRPr="008D3431">
        <w:rPr>
          <w:rFonts w:ascii="Verdana" w:hAnsi="Verdana"/>
          <w:color w:val="77328A"/>
          <w:sz w:val="16"/>
          <w:szCs w:val="16"/>
        </w:rPr>
        <w:t xml:space="preserve">; </w:t>
      </w:r>
      <w:r w:rsidRPr="008D3431">
        <w:rPr>
          <w:rFonts w:ascii="Verdana" w:hAnsi="Verdana" w:cs="Times New Roman"/>
          <w:color w:val="77328A"/>
          <w:sz w:val="16"/>
          <w:szCs w:val="16"/>
        </w:rPr>
        <w:t>Reform UK, ‘Our Contract With You’, 2024, at pages 8, 13, 21</w:t>
      </w:r>
      <w:r w:rsidRPr="008D3431">
        <w:rPr>
          <w:rFonts w:ascii="Verdana" w:hAnsi="Verdana"/>
          <w:color w:val="77328A"/>
          <w:sz w:val="16"/>
          <w:szCs w:val="16"/>
        </w:rPr>
        <w:t xml:space="preserve">; Matt Dathan, ‘Watch—in the Channel with Nigel Farage: “We’re witnessing a crime”’, </w:t>
      </w:r>
      <w:r w:rsidRPr="008D3431">
        <w:rPr>
          <w:rFonts w:ascii="Verdana" w:hAnsi="Verdana"/>
          <w:i/>
          <w:iCs/>
          <w:color w:val="77328A"/>
          <w:sz w:val="16"/>
          <w:szCs w:val="16"/>
        </w:rPr>
        <w:t>The Times</w:t>
      </w:r>
      <w:r w:rsidRPr="008D3431">
        <w:rPr>
          <w:rFonts w:ascii="Verdana" w:hAnsi="Verdana"/>
          <w:color w:val="77328A"/>
          <w:sz w:val="16"/>
          <w:szCs w:val="16"/>
        </w:rPr>
        <w:t>, 10 July 2025.</w:t>
      </w:r>
    </w:p>
  </w:footnote>
  <w:footnote w:id="16">
    <w:p w14:paraId="4A1DFE13" w14:textId="77777777" w:rsidR="00772E4C" w:rsidRPr="008D3431" w:rsidRDefault="00772E4C"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Committee on the Administration of Justice et al, ‘Press Release: Joint Statement by the Committee on the Administration of Justice, Participation and Practice of Rights, and Human Rights Consortium on the Proposal for the UK to Withdraw from the ECHR’, 1 September 2025.</w:t>
      </w:r>
    </w:p>
  </w:footnote>
  <w:footnote w:id="17">
    <w:p w14:paraId="326F19C5" w14:textId="3E15AC14" w:rsidR="009C3892" w:rsidRPr="008D3431" w:rsidRDefault="009C3892"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D7793B" w:rsidRPr="008D3431">
        <w:rPr>
          <w:rFonts w:ascii="Verdana" w:hAnsi="Verdana"/>
          <w:color w:val="77328A"/>
          <w:sz w:val="16"/>
          <w:szCs w:val="16"/>
        </w:rPr>
        <w:t xml:space="preserve">E/C.12/GBR/CO/7, ‘UN ICESCR Committee Concluding Observations on the Concluding Observations on the Seventh Periodic Report of the UK of Great Britain and NI’, 28 February 2025, at para 61; </w:t>
      </w:r>
      <w:r w:rsidR="00BD2013" w:rsidRPr="008D3431">
        <w:rPr>
          <w:rFonts w:ascii="Verdana" w:hAnsi="Verdana"/>
          <w:color w:val="77328A"/>
          <w:sz w:val="16"/>
          <w:szCs w:val="16"/>
        </w:rPr>
        <w:t>CCPR/C/GBR/CO/8, ‘UN Human Rights Committee Concluding Observations on the Eighth Periodic Report of the UK of Great Britain and NI’, 3 May 2024, at para 11</w:t>
      </w:r>
      <w:r w:rsidR="00EA00F5" w:rsidRPr="008D3431">
        <w:rPr>
          <w:rFonts w:ascii="Verdana" w:hAnsi="Verdana"/>
          <w:color w:val="77328A"/>
          <w:sz w:val="16"/>
          <w:szCs w:val="16"/>
        </w:rPr>
        <w:t>; CM/Del/Dec(2024)1501/H46-40, ‘CoE Committee of Ministers McKerr Group v UK (Application No 28883/95)’, 14 June 2024, at para 5</w:t>
      </w:r>
      <w:r w:rsidR="00ED5F5E" w:rsidRPr="008D3431">
        <w:rPr>
          <w:rFonts w:ascii="Verdana" w:hAnsi="Verdana"/>
          <w:color w:val="77328A"/>
          <w:sz w:val="16"/>
          <w:szCs w:val="16"/>
        </w:rPr>
        <w:t>; Office of the UN High Commissioner for Human Rights, 'Press Release: UN experts voice concern at proposed blanket immunity to address the legacy of "the Troubles" in NI', 10 August 2021; Letter from CoE Commissioner for Human Rights, Dunja Mijatovic, to Secretary of State for NI, Brandon Lewis, 13 September 2021; CoE, ‘Submission by the CoE Commissioner for Human Rights Under Rule 9.4 of the Rules of the CoE Committee of Ministers for the Supervision of the Execution of Judgments and of the Terms of Friendly Settlements in the Cases of McKerr v UK, Finucane v UK, Kelly and Others v UK, Shanaghan v UK, McCaughey and Others v UK’ (CoE, 2022), at para 28; CM/Notes/1443H46-32, ‘CoE Committee of Ministers McKerr Group v UK (Application No 28883/95) Supervision of the Execution of the ECtHR’s Judgments’, 22 September 2022, at para 8; CoE Parliamentary Assembly, ‘Resolution 2464(2002) – The Impact of Brexit on Human Rights on the Island of Ireland’, 31 October 2022, at paras 8 and 9; CommDH(2022)27, ‘CoE Commissioner for Human Rights, Dunja Mijatovic: Report Following Visit to UK From 27 June to 1 July 2022’, 18 November 2022, at 37-40; A/HRC/52/10,’Report of the UN Working Group on the Universal Periodic Review: UK of Great Britain and NI’, 9 January 2023, at paras 43.27, 43.106 and 43.112; CM/Del/Dec(2023)1459/H46-35, ‘McKerr Group v UK (Application No 28883/95 Supervision of the Execution of the European Court’s Judgments), 9 March 2023, at para 5; CM/ResDH(2023)148, ‘CoE Committee of Ministers Interim Resolution: McKerr and Four Cases Against the UK’, 7 June 2023.</w:t>
      </w:r>
    </w:p>
  </w:footnote>
  <w:footnote w:id="18">
    <w:p w14:paraId="618A5707" w14:textId="00816CF8" w:rsidR="00683068" w:rsidRPr="008D3431" w:rsidRDefault="00683068"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BD44A8" w:rsidRPr="008D3431">
        <w:rPr>
          <w:rFonts w:ascii="Verdana" w:hAnsi="Verdana"/>
          <w:color w:val="77328A"/>
          <w:sz w:val="16"/>
          <w:szCs w:val="16"/>
        </w:rPr>
        <w:t>United Kingdom, British Overseas Territories and Crown Dependencies, ‘Universal Periodic Review: UK Response Mid-Term Report 2025’ (GOV.UK, 2025),</w:t>
      </w:r>
      <w:r w:rsidR="00E773D3" w:rsidRPr="008D3431">
        <w:rPr>
          <w:rFonts w:ascii="Verdana" w:hAnsi="Verdana"/>
          <w:color w:val="77328A"/>
          <w:sz w:val="16"/>
          <w:szCs w:val="16"/>
        </w:rPr>
        <w:t xml:space="preserve"> at 14.</w:t>
      </w:r>
    </w:p>
  </w:footnote>
  <w:footnote w:id="19">
    <w:p w14:paraId="74CECAE7" w14:textId="5FA4CDC7" w:rsidR="00683068" w:rsidRPr="008D3431" w:rsidRDefault="00683068"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BD44A8" w:rsidRPr="008D3431">
        <w:rPr>
          <w:rFonts w:ascii="Verdana" w:hAnsi="Verdana"/>
          <w:color w:val="77328A"/>
          <w:sz w:val="16"/>
          <w:szCs w:val="16"/>
        </w:rPr>
        <w:t>United Kingdom, British Overseas Territories and Crown Dependencies, ‘Universal Periodic Review: UK Response Mid-Term Report 2025’ (GOV.UK, 2025),</w:t>
      </w:r>
      <w:r w:rsidR="00B41B6D" w:rsidRPr="008D3431">
        <w:rPr>
          <w:rFonts w:ascii="Verdana" w:hAnsi="Verdana"/>
          <w:color w:val="77328A"/>
          <w:sz w:val="16"/>
          <w:szCs w:val="16"/>
        </w:rPr>
        <w:t xml:space="preserve"> at 43.</w:t>
      </w:r>
    </w:p>
  </w:footnote>
  <w:footnote w:id="20">
    <w:p w14:paraId="775B3DD1" w14:textId="1E8837E3" w:rsidR="00493FDB" w:rsidRDefault="00493FDB">
      <w:pPr>
        <w:pStyle w:val="FootnoteText"/>
        <w:contextualSpacing/>
      </w:pPr>
      <w:r w:rsidRPr="003A24E8">
        <w:rPr>
          <w:rFonts w:ascii="Verdana" w:hAnsi="Verdana"/>
          <w:color w:val="77328A"/>
          <w:sz w:val="16"/>
          <w:szCs w:val="16"/>
          <w:vertAlign w:val="superscript"/>
        </w:rPr>
        <w:footnoteRef/>
      </w:r>
      <w:r w:rsidRPr="003A24E8">
        <w:rPr>
          <w:rFonts w:ascii="Verdana" w:hAnsi="Verdana"/>
          <w:color w:val="77328A"/>
          <w:sz w:val="16"/>
          <w:szCs w:val="16"/>
        </w:rPr>
        <w:t xml:space="preserve"> </w:t>
      </w:r>
      <w:r w:rsidR="003A24E8" w:rsidRPr="003A24E8">
        <w:rPr>
          <w:rFonts w:ascii="Verdana" w:hAnsi="Verdana"/>
          <w:color w:val="77328A"/>
          <w:sz w:val="16"/>
          <w:szCs w:val="16"/>
        </w:rPr>
        <w:t xml:space="preserve">Between 2023 and 2025, the Northern Ireland Troubles (Legacy and Reconciliation) Act 2023 faced legal challenges before the NI Courts, which found several human rights violations that led to declarations of incompatibility with the ECHR and the disapplication of certain provisions of the 2023 Act in respect of NI pursuant to breaches of Windsor Framework Article 2. In particular, the NI Courts found that the conditional immunity scheme of the 2023 Act breached Articles 2 and 3 of the ECHR. The NI Court of Appeal ruled that the participation of next of kin and the Secretary of State's role in disclosure were incompatible with the ECHR. Furthermore, the Court determined that the 2023 Act restricts civil actions in violation of the ECHR and removes the possibility of prosecution, breaching the EU Victims’ Directive and Article 2 of the Windsor Framework. See: In the Matter of an Application by Martina Dillon and Others for Judicial Review [2024] NIKB </w:t>
      </w:r>
      <w:r w:rsidR="003A24E8" w:rsidRPr="003A24E8" w:rsidDel="000A2E6F">
        <w:rPr>
          <w:rFonts w:ascii="Verdana" w:hAnsi="Verdana"/>
          <w:color w:val="77328A"/>
          <w:sz w:val="16"/>
          <w:szCs w:val="16"/>
        </w:rPr>
        <w:t>11</w:t>
      </w:r>
      <w:r w:rsidR="003A24E8" w:rsidRPr="003A24E8">
        <w:rPr>
          <w:rFonts w:ascii="Verdana" w:hAnsi="Verdana"/>
          <w:color w:val="77328A"/>
          <w:sz w:val="16"/>
          <w:szCs w:val="16"/>
        </w:rPr>
        <w:t>; In the Matter of an Application by Martina Dillon and Others [2024] NICA 59. This judgment is subject to appeal to the UK Supreme Court. In October 2025, the hearing took place before the UK Supreme Court, which included an intervention from the NIHRC. The UK Supreme Court’s judgment is awaited.</w:t>
      </w:r>
    </w:p>
  </w:footnote>
  <w:footnote w:id="21">
    <w:p w14:paraId="0C8B34B2" w14:textId="77777777" w:rsidR="00040FCA" w:rsidRPr="008D3431" w:rsidRDefault="00040FCA" w:rsidP="00040FCA">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Government and Government of Ireland, ‘The Legacy of the Troubles: A Joint Framework Between the Government of the UK of Great Britain and NI and the Government of Ireland’ (NIO, 2025).</w:t>
      </w:r>
    </w:p>
  </w:footnote>
  <w:footnote w:id="22">
    <w:p w14:paraId="53714437" w14:textId="77777777" w:rsidR="00040FCA" w:rsidRPr="008D3431" w:rsidRDefault="00040FCA" w:rsidP="00040FCA">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NIHRC, ‘Press release: Human Rights Commission Responds to Joint Legacy Framework’, 19 September 2025.</w:t>
      </w:r>
    </w:p>
  </w:footnote>
  <w:footnote w:id="23">
    <w:p w14:paraId="3B52CA9F" w14:textId="77777777" w:rsidR="00040FCA" w:rsidRPr="008D3431" w:rsidRDefault="00040FCA" w:rsidP="00040FCA">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Parliament, ‘Northern Ireland Troubles Bill’. Available at: </w:t>
      </w:r>
      <w:hyperlink r:id="rId3" w:history="1">
        <w:r w:rsidRPr="008D3431">
          <w:rPr>
            <w:rFonts w:ascii="Verdana" w:hAnsi="Verdana"/>
            <w:color w:val="77328A"/>
            <w:sz w:val="16"/>
            <w:szCs w:val="16"/>
          </w:rPr>
          <w:t>https://bills.parliament.uk/bills/4022</w:t>
        </w:r>
      </w:hyperlink>
      <w:r w:rsidRPr="008D3431">
        <w:rPr>
          <w:rFonts w:ascii="Verdana" w:hAnsi="Verdana"/>
          <w:color w:val="77328A"/>
          <w:sz w:val="16"/>
          <w:szCs w:val="16"/>
        </w:rPr>
        <w:t xml:space="preserve">. </w:t>
      </w:r>
    </w:p>
  </w:footnote>
  <w:footnote w:id="24">
    <w:p w14:paraId="72340B07" w14:textId="77777777" w:rsidR="00040FCA" w:rsidRPr="008D3431" w:rsidRDefault="00040FCA" w:rsidP="00040FCA">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Northern Ireland Office, ‘The Government Response to the first report from the Joint Committee on Human Rights, Session 2024-25 (HC 569, HL paper 88): Proposal for a Draft Northern Ireland Troubles (Legacy and Reconciliation) Act 2023 (Remedial) Order 2024’ (NIO, 2025).</w:t>
      </w:r>
    </w:p>
  </w:footnote>
  <w:footnote w:id="25">
    <w:p w14:paraId="51980081" w14:textId="77777777" w:rsidR="00040FCA" w:rsidRPr="008D3431" w:rsidRDefault="00040FCA" w:rsidP="00040FCA">
      <w:pPr>
        <w:spacing w:after="0" w:line="240" w:lineRule="auto"/>
        <w:contextualSpacing/>
        <w:rPr>
          <w:rFonts w:ascii="Verdana" w:eastAsia="Times New Roman" w:hAnsi="Verdana"/>
          <w:color w:val="77328A"/>
          <w:sz w:val="16"/>
          <w:szCs w:val="16"/>
          <w:lang w:eastAsia="en-GB"/>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eastAsia="Times New Roman" w:hAnsi="Verdana"/>
          <w:color w:val="77328A"/>
          <w:sz w:val="16"/>
          <w:szCs w:val="16"/>
          <w:lang w:eastAsia="en-GB"/>
        </w:rPr>
        <w:t xml:space="preserve">UK Parliament, ‘Northern Ireland Troubles Bill Explanatory Notes’. Available at: </w:t>
      </w:r>
      <w:hyperlink r:id="rId4" w:history="1">
        <w:r w:rsidRPr="008D3431">
          <w:rPr>
            <w:rFonts w:ascii="Verdana" w:eastAsia="Times New Roman" w:hAnsi="Verdana"/>
            <w:color w:val="77328A"/>
            <w:sz w:val="16"/>
            <w:szCs w:val="16"/>
            <w:lang w:eastAsia="en-GB"/>
          </w:rPr>
          <w:t>https://publications.parliament.uk/pa/bills/cbill/59-01/0310/NITroublesECHRMemorandum.pdf</w:t>
        </w:r>
      </w:hyperlink>
      <w:r w:rsidRPr="008D3431">
        <w:rPr>
          <w:rFonts w:ascii="Verdana" w:eastAsia="Times New Roman" w:hAnsi="Verdana"/>
          <w:color w:val="77328A"/>
          <w:sz w:val="16"/>
          <w:szCs w:val="16"/>
          <w:lang w:eastAsia="en-GB"/>
        </w:rPr>
        <w:t xml:space="preserve">.  </w:t>
      </w:r>
    </w:p>
  </w:footnote>
  <w:footnote w:id="26">
    <w:p w14:paraId="4F584388" w14:textId="77777777" w:rsidR="00040FCA" w:rsidRPr="008D3431" w:rsidRDefault="00040FCA" w:rsidP="00040FCA">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Parliament, ‘Northern Ireland Troubles Bill’. Available at: </w:t>
      </w:r>
      <w:hyperlink r:id="rId5" w:history="1">
        <w:r w:rsidRPr="008D3431">
          <w:rPr>
            <w:rFonts w:ascii="Verdana" w:hAnsi="Verdana"/>
            <w:color w:val="77328A"/>
            <w:sz w:val="16"/>
            <w:szCs w:val="16"/>
          </w:rPr>
          <w:t>https://bills.parliament.uk/bills/4022</w:t>
        </w:r>
      </w:hyperlink>
      <w:r w:rsidRPr="008D3431">
        <w:rPr>
          <w:rFonts w:ascii="Verdana" w:hAnsi="Verdana"/>
          <w:color w:val="77328A"/>
          <w:sz w:val="16"/>
          <w:szCs w:val="16"/>
        </w:rPr>
        <w:t>.</w:t>
      </w:r>
    </w:p>
  </w:footnote>
  <w:footnote w:id="27">
    <w:p w14:paraId="0DFA04A2" w14:textId="77777777" w:rsidR="0001046D" w:rsidRPr="008D3431" w:rsidRDefault="0001046D"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European Court of Human Rights, ‘Press Release: New inter-State application brought by Ireland against the UK’, 19 January 2024.</w:t>
      </w:r>
    </w:p>
  </w:footnote>
  <w:footnote w:id="28">
    <w:p w14:paraId="4B907D03" w14:textId="0258C793" w:rsidR="0001046D" w:rsidRPr="008D3431" w:rsidRDefault="0001046D"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Letter from </w:t>
      </w:r>
      <w:r w:rsidR="00870C07">
        <w:rPr>
          <w:rFonts w:ascii="Verdana" w:hAnsi="Verdana"/>
          <w:color w:val="77328A"/>
          <w:sz w:val="16"/>
          <w:szCs w:val="16"/>
        </w:rPr>
        <w:t xml:space="preserve">the </w:t>
      </w:r>
      <w:r w:rsidRPr="008D3431">
        <w:rPr>
          <w:rFonts w:ascii="Verdana" w:hAnsi="Verdana"/>
          <w:color w:val="77328A"/>
          <w:sz w:val="16"/>
          <w:szCs w:val="16"/>
        </w:rPr>
        <w:t>ECtHR to NI Human Rights Commission, 11 July 2025.</w:t>
      </w:r>
    </w:p>
  </w:footnote>
  <w:footnote w:id="29">
    <w:p w14:paraId="49ABA2F4" w14:textId="6AFC5F6E" w:rsidR="00AC0C81" w:rsidRPr="00980952" w:rsidRDefault="00AC0C81">
      <w:pPr>
        <w:pStyle w:val="FootnoteText"/>
        <w:rPr>
          <w:rFonts w:ascii="Verdana" w:hAnsi="Verdana"/>
          <w:sz w:val="16"/>
          <w:szCs w:val="16"/>
        </w:rPr>
      </w:pPr>
      <w:r w:rsidRPr="00980952">
        <w:rPr>
          <w:rStyle w:val="FootnoteReference"/>
          <w:rFonts w:ascii="Verdana" w:hAnsi="Verdana"/>
          <w:color w:val="77328A"/>
          <w:sz w:val="16"/>
          <w:szCs w:val="16"/>
        </w:rPr>
        <w:footnoteRef/>
      </w:r>
      <w:r w:rsidRPr="00980952">
        <w:rPr>
          <w:rFonts w:ascii="Verdana" w:hAnsi="Verdana"/>
          <w:color w:val="77328A"/>
          <w:sz w:val="16"/>
          <w:szCs w:val="16"/>
        </w:rPr>
        <w:t xml:space="preserve"> </w:t>
      </w:r>
      <w:r w:rsidR="005601B7" w:rsidRPr="00980952">
        <w:rPr>
          <w:rFonts w:ascii="Verdana" w:hAnsi="Verdana"/>
          <w:color w:val="77328A"/>
          <w:sz w:val="16"/>
          <w:szCs w:val="16"/>
        </w:rPr>
        <w:t xml:space="preserve">‘Dropping interstate case against UK ‘on the agenda’, Taoiseach says’, </w:t>
      </w:r>
      <w:r w:rsidR="00980952" w:rsidRPr="00980952">
        <w:rPr>
          <w:rFonts w:ascii="Verdana" w:hAnsi="Verdana"/>
          <w:i/>
          <w:iCs/>
          <w:color w:val="77328A"/>
          <w:sz w:val="16"/>
          <w:szCs w:val="16"/>
        </w:rPr>
        <w:t>The Irish Times</w:t>
      </w:r>
      <w:r w:rsidR="00980952" w:rsidRPr="00980952">
        <w:rPr>
          <w:rFonts w:ascii="Verdana" w:hAnsi="Verdana"/>
          <w:color w:val="77328A"/>
          <w:sz w:val="16"/>
          <w:szCs w:val="16"/>
        </w:rPr>
        <w:t>, 17 October 2025;</w:t>
      </w:r>
      <w:r w:rsidR="005601B7" w:rsidRPr="00980952">
        <w:rPr>
          <w:rFonts w:ascii="Verdana" w:hAnsi="Verdana"/>
          <w:color w:val="77328A"/>
          <w:sz w:val="16"/>
          <w:szCs w:val="16"/>
        </w:rPr>
        <w:t xml:space="preserve"> </w:t>
      </w:r>
      <w:r w:rsidR="003F6A5B" w:rsidRPr="00980952">
        <w:rPr>
          <w:rFonts w:ascii="Verdana" w:hAnsi="Verdana"/>
          <w:color w:val="77328A"/>
          <w:sz w:val="16"/>
          <w:szCs w:val="16"/>
        </w:rPr>
        <w:t>Press Conference Announcing the Joint Framework Between the Government of the UK of Great Britain and NI and the Government of Ireland, Hillsborough Castle, 19 September 2025.</w:t>
      </w:r>
    </w:p>
  </w:footnote>
  <w:footnote w:id="30">
    <w:p w14:paraId="19B56A72" w14:textId="21EA7A98" w:rsidR="000A51DC" w:rsidRPr="008D3431" w:rsidRDefault="000A51DC"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eastAsia="Verdana" w:hAnsi="Verdana" w:cs="Verdana"/>
          <w:color w:val="77328A"/>
          <w:sz w:val="16"/>
          <w:szCs w:val="16"/>
        </w:rPr>
        <w:t>E/C.12/GBR/CO/7, ‘UN ICESCR Committee Concluding Observations on the Seventh Periodic Report of the UK of Great Britain and NI’, 28 February 2025, at para 25c;  CERD/C/GBR/CO/24-26, ‘UN CERD Committee Concluding Observations on the Combined Twenty-fourth to Twenty-sixth Periodic Reports of the UK of Great Britain and NI’, 23 August 2024, at paras 20(a)-20(h); CCRP/C/GBR/CO/8, ‘UN Human Rights Committee Concluding Observations on the Eighth Periodic Report of the UK of Great Britain and NI’, 3 May 2024, at para 17; CRC/C/GBR/CO/6-7, ‘Concluding Observations on the Combined Sixth and Seventh Reports of the UK of Great Britain and NI’, 2 June 2023, at para 20(d); A/HRC/56/49/Add.1, ‘Report of the Independent Expert on Protection against Violence and Discrimination Based on Sexual Orientation and Gender Identity: Visit to the UK of Great Britain and NI’, 11 April 2024, at para 90(a); CoE European Commission Against Racism and Intolerance, ‘Report on the UK (Sixth Monitoring Cycle)’ (ECRI, 2024), at para 62; CoE European Commission Against Racism and Intolerance, ‘Report on the UK (Sixth Monitoring Cycle)’ (ECRI, 2024), at para 69; CoE European Commission Against Racism and Intolerance, ‘Report on the UK (Sixth Monitoring Cycle)’ (ECRI, 2024), at para 73; ACFC/OP/V, ‘CoE Advisory Committee on the Framework Convention for the Protection of National Minorities: Fifth Opinion on the UK’, 25 May 2023, at para 25; ACFC/OP/V, ‘CoE Advisory Committee on the Framework Convention for the Protection of National Minorities: Fifth Opinion on the UK’, 25 May 2023, at para 25.</w:t>
      </w:r>
    </w:p>
  </w:footnote>
  <w:footnote w:id="31">
    <w:p w14:paraId="719751DF" w14:textId="77777777" w:rsidR="008420BB" w:rsidRPr="008D3431" w:rsidRDefault="008420BB" w:rsidP="00C62C46">
      <w:pPr>
        <w:pStyle w:val="NIHRCFootnotes"/>
        <w:spacing w:after="0"/>
        <w:contextualSpacing/>
        <w:jc w:val="left"/>
      </w:pPr>
      <w:r w:rsidRPr="008D3431">
        <w:rPr>
          <w:rStyle w:val="FootnoteReference"/>
        </w:rPr>
        <w:footnoteRef/>
      </w:r>
      <w:r w:rsidRPr="008D3431">
        <w:t xml:space="preserve"> Directive 2012/29/EU, ‘EU Directive of the European Parliament and of the Council Establishing Minimum Standards on the Rights, Support and Protection of Victims of Crime', 25 October 2012. </w:t>
      </w:r>
    </w:p>
  </w:footnote>
  <w:footnote w:id="32">
    <w:p w14:paraId="552CC794" w14:textId="77777777" w:rsidR="008420BB" w:rsidRPr="008D3431" w:rsidRDefault="008420BB" w:rsidP="00C62C46">
      <w:pPr>
        <w:pStyle w:val="NIHRCFootnotes"/>
        <w:spacing w:after="0"/>
        <w:contextualSpacing/>
        <w:jc w:val="left"/>
        <w:rPr>
          <w:rFonts w:cstheme="minorHAnsi"/>
        </w:rPr>
      </w:pPr>
      <w:r w:rsidRPr="008D3431">
        <w:rPr>
          <w:rStyle w:val="FootnoteReference"/>
          <w:rFonts w:cstheme="minorHAnsi"/>
        </w:rPr>
        <w:footnoteRef/>
      </w:r>
      <w:r w:rsidRPr="008D3431">
        <w:rPr>
          <w:rFonts w:cstheme="minorHAnsi"/>
        </w:rPr>
        <w:t xml:space="preserve"> </w:t>
      </w:r>
      <w:r w:rsidRPr="008D3431">
        <w:rPr>
          <w:rFonts w:cstheme="minorHAnsi"/>
          <w:i/>
        </w:rPr>
        <w:t>In the Matter of an Application by Martina Dillon and Others for Judicial Review</w:t>
      </w:r>
      <w:r w:rsidRPr="008D3431">
        <w:rPr>
          <w:rFonts w:cstheme="minorHAnsi"/>
        </w:rPr>
        <w:t xml:space="preserve"> [2024] NICA 59, at para 117. </w:t>
      </w:r>
    </w:p>
  </w:footnote>
  <w:footnote w:id="33">
    <w:p w14:paraId="7BB5748C" w14:textId="77777777" w:rsidR="008420BB" w:rsidRPr="008D3431" w:rsidRDefault="008420BB" w:rsidP="00C62C46">
      <w:pPr>
        <w:pStyle w:val="NIHRCFootnotes"/>
        <w:spacing w:after="0"/>
        <w:contextualSpacing/>
        <w:jc w:val="left"/>
      </w:pPr>
      <w:r w:rsidRPr="008D3431">
        <w:rPr>
          <w:rStyle w:val="FootnoteReference"/>
        </w:rPr>
        <w:footnoteRef/>
      </w:r>
      <w:r w:rsidRPr="008D3431">
        <w:t xml:space="preserve"> Article 8 and Recitals 56-58, Directive 2012/29/EU, ‘European Parliament and of the Council Establishing Minimum Standards on the Rights, Support and Protection of Victims of Crime’, 25 October 2012.</w:t>
      </w:r>
    </w:p>
  </w:footnote>
  <w:footnote w:id="34">
    <w:p w14:paraId="481C60B0" w14:textId="3147F6AC" w:rsidR="00217A29" w:rsidRPr="008D3431" w:rsidRDefault="00217A29"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Police Service of NI, ‘Incidents and Crimes with a Hate Motivation Recorded by the Police in NI. Update to 31 March 2025’ (PSNI, 2025).</w:t>
      </w:r>
    </w:p>
  </w:footnote>
  <w:footnote w:id="35">
    <w:p w14:paraId="038BBE53" w14:textId="5D6073D6" w:rsidR="00B57020" w:rsidRPr="008D3431" w:rsidRDefault="00B57020"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D51F95" w:rsidRPr="008D3431">
        <w:rPr>
          <w:rFonts w:ascii="Verdana" w:hAnsi="Verdana"/>
          <w:color w:val="77328A"/>
          <w:sz w:val="16"/>
          <w:szCs w:val="16"/>
        </w:rPr>
        <w:t>Amnesty International UK, ‘UK: Technical Explainer on X’s Recommender System and the 2024 Racist Riots’ (AI, 2025).</w:t>
      </w:r>
    </w:p>
  </w:footnote>
  <w:footnote w:id="36">
    <w:p w14:paraId="56063FA9" w14:textId="096620B4" w:rsidR="00AC538C" w:rsidRPr="008D3431" w:rsidRDefault="00AC538C"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eastAsia="Verdana" w:hAnsi="Verdana" w:cs="Verdana"/>
          <w:color w:val="77328A"/>
          <w:sz w:val="16"/>
          <w:szCs w:val="16"/>
        </w:rPr>
        <w:t>Desmond Marrinan, 'Hate Crime Legislation in NI: An Independent Review - Consultation Paper' (IHCRT, 2020).</w:t>
      </w:r>
    </w:p>
  </w:footnote>
  <w:footnote w:id="37">
    <w:p w14:paraId="13F16D00" w14:textId="6525E508" w:rsidR="008420BB" w:rsidRPr="008D3431" w:rsidRDefault="008420BB"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The </w:t>
      </w:r>
      <w:r w:rsidR="00A84447">
        <w:rPr>
          <w:rFonts w:ascii="Verdana" w:hAnsi="Verdana"/>
          <w:color w:val="77328A"/>
          <w:sz w:val="16"/>
          <w:szCs w:val="16"/>
        </w:rPr>
        <w:t>NIHRC</w:t>
      </w:r>
      <w:r w:rsidRPr="008D3431">
        <w:rPr>
          <w:rFonts w:ascii="Verdana" w:hAnsi="Verdana"/>
          <w:color w:val="77328A"/>
          <w:sz w:val="16"/>
          <w:szCs w:val="16"/>
        </w:rPr>
        <w:t xml:space="preserve"> submitted a response to phase one of this consultation process highlighting the importance of carefully considering the provisions of the EU Victims’ Directive within the context of Windsor Framework Article 2 in the development of hate crime legislation.  </w:t>
      </w:r>
      <w:r w:rsidRPr="008D3431">
        <w:rPr>
          <w:rFonts w:ascii="Verdana" w:hAnsi="Verdana" w:cstheme="minorHAnsi"/>
          <w:color w:val="77328A"/>
          <w:sz w:val="16"/>
          <w:szCs w:val="16"/>
        </w:rPr>
        <w:t>NI Human Rights Commission, ‘Response to Public Consultation on Improving the Effectiveness of Hate Crime Legislation in NI’ (NIHRC, 2022), at para 5.18.</w:t>
      </w:r>
    </w:p>
  </w:footnote>
  <w:footnote w:id="38">
    <w:p w14:paraId="6B8208AD" w14:textId="4FA09B98" w:rsidR="00B82082" w:rsidRPr="008D3431" w:rsidRDefault="00B82082"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5A565C" w:rsidRPr="008D3431">
        <w:rPr>
          <w:rFonts w:ascii="Verdana" w:hAnsi="Verdana"/>
          <w:color w:val="77328A"/>
          <w:sz w:val="16"/>
          <w:szCs w:val="16"/>
        </w:rPr>
        <w:t>Email correspondence from the Department of Justice to the NI Human Rights Commission, 10 July 2024. </w:t>
      </w:r>
    </w:p>
  </w:footnote>
  <w:footnote w:id="39">
    <w:p w14:paraId="092373B5" w14:textId="185C3EBA" w:rsidR="00B82082" w:rsidRPr="008D3431" w:rsidRDefault="00B82082"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5A565C" w:rsidRPr="008D3431">
        <w:rPr>
          <w:rFonts w:ascii="Verdana" w:hAnsi="Verdana"/>
          <w:color w:val="77328A"/>
          <w:sz w:val="16"/>
          <w:szCs w:val="16"/>
        </w:rPr>
        <w:t>Email correspondence from the Department of Justice to the NI Human Rights Commission, 10 July 2024. </w:t>
      </w:r>
    </w:p>
  </w:footnote>
  <w:footnote w:id="40">
    <w:p w14:paraId="1E431B43" w14:textId="51F75FAE" w:rsidR="268C3E43" w:rsidRPr="008D3431" w:rsidRDefault="268C3E43"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62998F1E" w:rsidRPr="008D3431">
        <w:rPr>
          <w:rFonts w:ascii="Verdana" w:hAnsi="Verdana"/>
          <w:color w:val="77328A"/>
          <w:sz w:val="16"/>
          <w:szCs w:val="16"/>
        </w:rPr>
        <w:t xml:space="preserve"> </w:t>
      </w:r>
      <w:r w:rsidR="62998F1E" w:rsidRPr="008D3431">
        <w:rPr>
          <w:rFonts w:ascii="Verdana" w:eastAsia="Verdana" w:hAnsi="Verdana" w:cs="Verdana"/>
          <w:i/>
          <w:iCs/>
          <w:color w:val="77328A"/>
          <w:sz w:val="16"/>
          <w:szCs w:val="16"/>
        </w:rPr>
        <w:t>In the Matter of an Application by Martina Dillon and Others for Judicial Review</w:t>
      </w:r>
      <w:r w:rsidR="62998F1E" w:rsidRPr="008D3431">
        <w:rPr>
          <w:rFonts w:ascii="Verdana" w:eastAsia="Verdana" w:hAnsi="Verdana" w:cs="Verdana"/>
          <w:color w:val="77328A"/>
          <w:sz w:val="16"/>
          <w:szCs w:val="16"/>
        </w:rPr>
        <w:t xml:space="preserve"> [2024] NICA 59, at para 117, the </w:t>
      </w:r>
      <w:r w:rsidR="002F744A">
        <w:rPr>
          <w:rFonts w:ascii="Verdana" w:eastAsia="Verdana" w:hAnsi="Verdana" w:cs="Verdana"/>
          <w:color w:val="77328A"/>
          <w:sz w:val="16"/>
          <w:szCs w:val="16"/>
        </w:rPr>
        <w:t xml:space="preserve">NI </w:t>
      </w:r>
      <w:r w:rsidR="62998F1E" w:rsidRPr="008D3431">
        <w:rPr>
          <w:rFonts w:ascii="Verdana" w:eastAsia="Verdana" w:hAnsi="Verdana" w:cs="Verdana"/>
          <w:color w:val="77328A"/>
          <w:sz w:val="16"/>
          <w:szCs w:val="16"/>
        </w:rPr>
        <w:t>Court of Appeal confirmed that the rights of victims of crime are within the scope of the relevant chapter in the Belfast (Good Friday) Agreement; are underpinned by the EU Victims’ Directive; and are therefore protected by Windsor Framework Article 2.</w:t>
      </w:r>
      <w:r w:rsidR="56F7771C" w:rsidRPr="008D3431">
        <w:rPr>
          <w:rFonts w:ascii="Verdana" w:eastAsia="Verdana" w:hAnsi="Verdana" w:cs="Verdana"/>
          <w:color w:val="77328A"/>
          <w:sz w:val="16"/>
          <w:szCs w:val="16"/>
        </w:rPr>
        <w:t xml:space="preserve"> </w:t>
      </w:r>
      <w:r w:rsidR="62998F1E" w:rsidRPr="008D3431">
        <w:rPr>
          <w:rFonts w:ascii="Verdana" w:eastAsia="Verdana" w:hAnsi="Verdana" w:cs="Verdana"/>
          <w:color w:val="77328A"/>
          <w:sz w:val="16"/>
          <w:szCs w:val="16"/>
        </w:rPr>
        <w:t xml:space="preserve">The </w:t>
      </w:r>
      <w:r w:rsidR="002F744A">
        <w:rPr>
          <w:rFonts w:ascii="Verdana" w:eastAsia="Verdana" w:hAnsi="Verdana" w:cs="Verdana"/>
          <w:color w:val="77328A"/>
          <w:sz w:val="16"/>
          <w:szCs w:val="16"/>
        </w:rPr>
        <w:t xml:space="preserve">NI </w:t>
      </w:r>
      <w:r w:rsidR="62998F1E" w:rsidRPr="008D3431">
        <w:rPr>
          <w:rFonts w:ascii="Verdana" w:eastAsia="Verdana" w:hAnsi="Verdana" w:cs="Verdana"/>
          <w:color w:val="77328A"/>
          <w:sz w:val="16"/>
          <w:szCs w:val="16"/>
        </w:rPr>
        <w:t>Court of Appeal also confirmed that the EU Victims’ Directive is to be “interpreted in accordance with the EU Charter of Fundamental Rights and general principles of EU law”. The EU Victims’ Directive recognises that victims of hate crime are at a high risk of secondary and repeat victimisation and, as such, there should be a strong presumption that victims will benefit from special protection measures during criminal proceedings.</w:t>
      </w:r>
    </w:p>
  </w:footnote>
  <w:footnote w:id="41">
    <w:p w14:paraId="1639BDA0" w14:textId="4BC5DD61" w:rsidR="0049080B" w:rsidRPr="008D3431" w:rsidRDefault="0049080B"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CE4671" w:rsidRPr="008D3431">
        <w:rPr>
          <w:rFonts w:ascii="Verdana" w:hAnsi="Verdana"/>
          <w:color w:val="77328A"/>
          <w:sz w:val="16"/>
          <w:szCs w:val="16"/>
        </w:rPr>
        <w:t xml:space="preserve">E/C.12/GBR/CO/7, ‘UN ICESCR Committee Concluding Observations on the Seventh Periodic Report of the UK of Great Britain and NI’, 28 February 2025, at paras 27(a) and 27(b); </w:t>
      </w:r>
      <w:r w:rsidR="000F3F46" w:rsidRPr="008D3431">
        <w:rPr>
          <w:rFonts w:ascii="Verdana" w:hAnsi="Verdana"/>
          <w:color w:val="77328A"/>
          <w:sz w:val="16"/>
          <w:szCs w:val="16"/>
        </w:rPr>
        <w:t xml:space="preserve">CERD/C/GBR/CO/24-26, ‘UN CERD Committee Concluding Observations on the Combined Twenty-fourth to Twenty-sixth Periodic Reports of the UK of Great Britain and NI’, 23 August 2024, at para 48; </w:t>
      </w:r>
      <w:r w:rsidR="001B0328" w:rsidRPr="008D3431">
        <w:rPr>
          <w:rStyle w:val="ui-provider"/>
          <w:rFonts w:ascii="Verdana" w:hAnsi="Verdana"/>
          <w:color w:val="77328A"/>
          <w:sz w:val="16"/>
          <w:szCs w:val="16"/>
        </w:rPr>
        <w:t>CCPR/C/GBR/CO/8, ‘UN Human Rights Committee Concluding Observations on the Eighth Periodic Report of the UK of Great Britain and NI’, 3 May 2024</w:t>
      </w:r>
      <w:r w:rsidR="001B0328" w:rsidRPr="008D3431">
        <w:rPr>
          <w:rStyle w:val="ui-provider"/>
          <w:rFonts w:ascii="Verdana" w:eastAsia="Yu Gothic Light" w:hAnsi="Verdana"/>
          <w:color w:val="77328A"/>
          <w:sz w:val="16"/>
          <w:szCs w:val="16"/>
        </w:rPr>
        <w:t xml:space="preserve">, at para 41; </w:t>
      </w:r>
      <w:r w:rsidR="005C2EE5" w:rsidRPr="008D3431">
        <w:rPr>
          <w:rStyle w:val="normaltextrun"/>
          <w:rFonts w:ascii="Verdana" w:eastAsia="Yu Gothic Light" w:hAnsi="Verdana"/>
          <w:color w:val="77328A"/>
          <w:sz w:val="16"/>
          <w:szCs w:val="16"/>
          <w:shd w:val="clear" w:color="auto" w:fill="FFFFFF"/>
        </w:rPr>
        <w:t>CRC/C/GBR/CO/6-7, ‘UN CRC Committee Concluding Observations on the Sixth and Seventh Periodic Reports of the UK of Great Britain and NI’, 2 June 2023, at paras 50(a)-50(</w:t>
      </w:r>
      <w:r w:rsidR="00755E25" w:rsidRPr="008D3431">
        <w:rPr>
          <w:rStyle w:val="normaltextrun"/>
          <w:rFonts w:ascii="Verdana" w:eastAsia="Yu Gothic Light" w:hAnsi="Verdana"/>
          <w:color w:val="77328A"/>
          <w:sz w:val="16"/>
          <w:szCs w:val="16"/>
          <w:shd w:val="clear" w:color="auto" w:fill="FFFFFF"/>
        </w:rPr>
        <w:t>h</w:t>
      </w:r>
      <w:r w:rsidR="005C2EE5" w:rsidRPr="008D3431">
        <w:rPr>
          <w:rStyle w:val="normaltextrun"/>
          <w:rFonts w:ascii="Verdana" w:eastAsia="Yu Gothic Light" w:hAnsi="Verdana"/>
          <w:color w:val="77328A"/>
          <w:sz w:val="16"/>
          <w:szCs w:val="16"/>
          <w:shd w:val="clear" w:color="auto" w:fill="FFFFFF"/>
        </w:rPr>
        <w:t xml:space="preserve">); </w:t>
      </w:r>
      <w:r w:rsidR="00107A2F" w:rsidRPr="008D3431">
        <w:rPr>
          <w:rFonts w:ascii="Verdana" w:hAnsi="Verdana"/>
          <w:color w:val="77328A"/>
          <w:sz w:val="16"/>
          <w:szCs w:val="16"/>
        </w:rPr>
        <w:t xml:space="preserve">A/HRC/59/47/Add.1, ‘Report of the UN Special Rapporteur on Violence Against Women and Girls, Its Causes and Consequences, Reem Alsalem’, 20 June 2025, at para 88(d); </w:t>
      </w:r>
      <w:r w:rsidR="00192229" w:rsidRPr="008D3431">
        <w:rPr>
          <w:rFonts w:ascii="Verdana" w:hAnsi="Verdana"/>
          <w:color w:val="77328A"/>
          <w:sz w:val="16"/>
          <w:szCs w:val="16"/>
        </w:rPr>
        <w:t xml:space="preserve">UN Refugee Agency, ‘Press Release: UK Illegal Migration Bill: UN Refugee Agency and UN Human Rights Office warn of profound impact on human rights and international refugee protection system’, 18 July 2023; </w:t>
      </w:r>
      <w:r w:rsidR="00434182" w:rsidRPr="008D3431">
        <w:rPr>
          <w:rFonts w:ascii="Verdana" w:hAnsi="Verdana"/>
          <w:color w:val="77328A"/>
          <w:sz w:val="16"/>
          <w:szCs w:val="16"/>
        </w:rPr>
        <w:t xml:space="preserve"> CoE Group of Experts on Action Against Violence Against Women and Domestic Violence, ‘Baseline Evaluation Report on Legislative and Other Measures Giving Effect to the Provisions of the CoE Convention on Preventing and Combating Violence Against Women and Domestic Violence (Istanbul Convention): UK’ (CoE, 2025), at para 463.</w:t>
      </w:r>
    </w:p>
  </w:footnote>
  <w:footnote w:id="42">
    <w:p w14:paraId="3E549BB3" w14:textId="724F6740" w:rsidR="00020A35" w:rsidRPr="008D3431" w:rsidRDefault="00020A35"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0226E0" w:rsidRPr="008D3431">
        <w:rPr>
          <w:rFonts w:ascii="Verdana" w:hAnsi="Verdana"/>
          <w:i/>
          <w:color w:val="77328A"/>
          <w:sz w:val="16"/>
          <w:szCs w:val="16"/>
        </w:rPr>
        <w:t>In the Matter of an Application by the NI Human Rights Commission for Judicial Review</w:t>
      </w:r>
      <w:r w:rsidR="000226E0" w:rsidRPr="008D3431">
        <w:rPr>
          <w:rFonts w:ascii="Verdana" w:hAnsi="Verdana"/>
          <w:color w:val="77328A"/>
          <w:sz w:val="16"/>
          <w:szCs w:val="16"/>
        </w:rPr>
        <w:t xml:space="preserve"> [2024] NIKB 35, at para </w:t>
      </w:r>
      <w:r w:rsidR="001F3D70" w:rsidRPr="008D3431">
        <w:rPr>
          <w:rFonts w:ascii="Verdana" w:hAnsi="Verdana"/>
          <w:color w:val="77328A"/>
          <w:sz w:val="16"/>
          <w:szCs w:val="16"/>
        </w:rPr>
        <w:t>68-</w:t>
      </w:r>
      <w:r w:rsidR="000226E0" w:rsidRPr="008D3431">
        <w:rPr>
          <w:rFonts w:ascii="Verdana" w:hAnsi="Verdana"/>
          <w:color w:val="77328A"/>
          <w:sz w:val="16"/>
          <w:szCs w:val="16"/>
        </w:rPr>
        <w:t xml:space="preserve">69; </w:t>
      </w:r>
      <w:r w:rsidR="00300B6F" w:rsidRPr="008D3431">
        <w:rPr>
          <w:rFonts w:ascii="Verdana" w:hAnsi="Verdana"/>
          <w:i/>
          <w:color w:val="77328A"/>
          <w:sz w:val="16"/>
          <w:szCs w:val="16"/>
        </w:rPr>
        <w:t>In the Matter of an Application by the NI Human Rights Commission for Judicial Review</w:t>
      </w:r>
      <w:r w:rsidR="00300B6F" w:rsidRPr="008D3431">
        <w:rPr>
          <w:rFonts w:ascii="Verdana" w:hAnsi="Verdana"/>
          <w:color w:val="77328A"/>
          <w:sz w:val="16"/>
          <w:szCs w:val="16"/>
        </w:rPr>
        <w:t xml:space="preserve"> [2024] NIKB 35, at para 70; </w:t>
      </w:r>
      <w:r w:rsidR="0032086F" w:rsidRPr="008D3431">
        <w:rPr>
          <w:rFonts w:ascii="Verdana" w:hAnsi="Verdana"/>
          <w:i/>
          <w:color w:val="77328A"/>
          <w:sz w:val="16"/>
          <w:szCs w:val="16"/>
        </w:rPr>
        <w:t>In the Matter of an Application by the NI Human Rights Commission for Judicial Review</w:t>
      </w:r>
      <w:r w:rsidR="0032086F" w:rsidRPr="008D3431">
        <w:rPr>
          <w:rFonts w:ascii="Verdana" w:hAnsi="Verdana"/>
          <w:color w:val="77328A"/>
          <w:sz w:val="16"/>
          <w:szCs w:val="16"/>
        </w:rPr>
        <w:t xml:space="preserve"> [2024] NIKB 35, at para 175. See also </w:t>
      </w:r>
      <w:r w:rsidR="0032086F" w:rsidRPr="008D3431">
        <w:rPr>
          <w:rFonts w:ascii="Verdana" w:hAnsi="Verdana"/>
          <w:i/>
          <w:iCs/>
          <w:color w:val="77328A"/>
          <w:sz w:val="16"/>
          <w:szCs w:val="16"/>
        </w:rPr>
        <w:t xml:space="preserve">In the Matter of an Application by Aman Angesom for Judicial Review </w:t>
      </w:r>
      <w:r w:rsidR="0032086F" w:rsidRPr="008D3431">
        <w:rPr>
          <w:rFonts w:ascii="Verdana" w:hAnsi="Verdana"/>
          <w:color w:val="77328A"/>
          <w:sz w:val="16"/>
          <w:szCs w:val="16"/>
        </w:rPr>
        <w:t>[2023] NIKB 102, at para 94.</w:t>
      </w:r>
    </w:p>
  </w:footnote>
  <w:footnote w:id="43">
    <w:p w14:paraId="13C6F4E3" w14:textId="77777777" w:rsidR="00020A35" w:rsidRPr="008D3431" w:rsidRDefault="00020A35" w:rsidP="00C62C46">
      <w:pPr>
        <w:spacing w:after="0" w:line="240" w:lineRule="auto"/>
        <w:contextualSpacing/>
        <w:rPr>
          <w:rFonts w:ascii="Verdana" w:hAnsi="Verdana" w:cs="Calibri"/>
          <w:color w:val="77328A"/>
          <w:sz w:val="16"/>
          <w:szCs w:val="16"/>
        </w:rPr>
      </w:pPr>
      <w:r w:rsidRPr="008D3431">
        <w:rPr>
          <w:rStyle w:val="FootnoteReference"/>
          <w:rFonts w:ascii="Verdana" w:hAnsi="Verdana" w:cs="Calibri"/>
          <w:color w:val="77328A"/>
          <w:sz w:val="16"/>
          <w:szCs w:val="16"/>
        </w:rPr>
        <w:footnoteRef/>
      </w:r>
      <w:r w:rsidRPr="008D3431">
        <w:rPr>
          <w:rFonts w:ascii="Verdana" w:hAnsi="Verdana" w:cs="Calibri"/>
          <w:color w:val="77328A"/>
          <w:sz w:val="16"/>
          <w:szCs w:val="16"/>
        </w:rPr>
        <w:t xml:space="preserve"> NI Office, ‘UK Government Commitment To “No Diminution of Rights, Safeguards and Equality of Opportunity” In NI: What Does It Mean and How Will It Be Implemented?’ (NIO, 2020), at para 8.</w:t>
      </w:r>
    </w:p>
  </w:footnote>
  <w:footnote w:id="44">
    <w:p w14:paraId="12DEB211" w14:textId="7ECB1025" w:rsidR="00C600CC" w:rsidRPr="008D3431" w:rsidRDefault="00C600CC" w:rsidP="00C62C46">
      <w:pPr>
        <w:pStyle w:val="NIHRCFootnotes"/>
        <w:spacing w:after="0"/>
        <w:contextualSpacing/>
        <w:jc w:val="left"/>
      </w:pPr>
      <w:r w:rsidRPr="008D3431">
        <w:rPr>
          <w:rStyle w:val="FootnoteReference"/>
        </w:rPr>
        <w:footnoteRef/>
      </w:r>
      <w:r w:rsidRPr="008D3431">
        <w:t xml:space="preserve"> </w:t>
      </w:r>
      <w:r w:rsidR="00A02149" w:rsidRPr="008D3431">
        <w:rPr>
          <w:i/>
        </w:rPr>
        <w:t>In the Matter of an Application by the NI Human Rights Commission for Judicial Review</w:t>
      </w:r>
      <w:r w:rsidR="00A02149" w:rsidRPr="008D3431">
        <w:t xml:space="preserve"> [2024] NIKB 35, at para </w:t>
      </w:r>
      <w:r w:rsidRPr="008D3431">
        <w:t xml:space="preserve">70. </w:t>
      </w:r>
    </w:p>
  </w:footnote>
  <w:footnote w:id="45">
    <w:p w14:paraId="0C2307E2" w14:textId="77777777" w:rsidR="00C600CC" w:rsidRPr="008D3431" w:rsidRDefault="00C600CC" w:rsidP="00C62C46">
      <w:pPr>
        <w:pStyle w:val="NIHRCFootnotes"/>
        <w:spacing w:after="0"/>
        <w:contextualSpacing/>
        <w:jc w:val="left"/>
        <w:rPr>
          <w:rFonts w:cstheme="minorHAnsi"/>
        </w:rPr>
      </w:pPr>
      <w:r w:rsidRPr="008D3431">
        <w:rPr>
          <w:rStyle w:val="FootnoteReference"/>
          <w:rFonts w:cstheme="minorHAnsi"/>
        </w:rPr>
        <w:footnoteRef/>
      </w:r>
      <w:r w:rsidRPr="008D3431">
        <w:rPr>
          <w:rFonts w:cstheme="minorHAnsi"/>
        </w:rPr>
        <w:t xml:space="preserve"> Regulation 2013/604/EU, ‘EU Parliament and Council Regulation Establishing the Criteria and Mechanisms for Determining the Member State Responsible for Examining an Application for International Protection Lodged in One of the Member States by a Third-country National or a Stateless Person’, 26 June 2013.</w:t>
      </w:r>
    </w:p>
  </w:footnote>
  <w:footnote w:id="46">
    <w:p w14:paraId="36F2281E" w14:textId="1752E249" w:rsidR="00C600CC" w:rsidRPr="008D3431" w:rsidRDefault="00C600CC" w:rsidP="00C62C46">
      <w:pPr>
        <w:pStyle w:val="NIHRCFootnotes"/>
        <w:spacing w:after="0"/>
        <w:contextualSpacing/>
        <w:jc w:val="left"/>
      </w:pPr>
      <w:r w:rsidRPr="008D3431">
        <w:rPr>
          <w:rStyle w:val="FootnoteReference"/>
        </w:rPr>
        <w:footnoteRef/>
      </w:r>
      <w:r w:rsidRPr="008D3431">
        <w:rPr>
          <w:rFonts w:cstheme="minorHAnsi"/>
        </w:rPr>
        <w:t xml:space="preserve"> </w:t>
      </w:r>
      <w:r w:rsidRPr="008D3431">
        <w:rPr>
          <w:i/>
        </w:rPr>
        <w:t>In the Matter of an Application by the NI Human Rights Commission for Judicial Review</w:t>
      </w:r>
      <w:r w:rsidRPr="008D3431">
        <w:t xml:space="preserve"> [2024] NIKB 35, at para 175. See also </w:t>
      </w:r>
      <w:r w:rsidRPr="008D3431">
        <w:rPr>
          <w:i/>
          <w:iCs/>
        </w:rPr>
        <w:t xml:space="preserve">In the Matter of an Application by Aman Angesom for Judicial Review </w:t>
      </w:r>
      <w:r w:rsidRPr="008D3431">
        <w:t xml:space="preserve">[2023] NIKB 102, at para 94.  </w:t>
      </w:r>
      <w:r w:rsidRPr="008D3431">
        <w:rPr>
          <w:i/>
        </w:rPr>
        <w:t xml:space="preserve">In the Matter of an Application by </w:t>
      </w:r>
      <w:r w:rsidRPr="008D3431">
        <w:rPr>
          <w:rFonts w:cstheme="minorHAnsi"/>
          <w:i/>
        </w:rPr>
        <w:t>Martina Dillon and Others for Judicial Review</w:t>
      </w:r>
      <w:r w:rsidRPr="008D3431">
        <w:rPr>
          <w:rFonts w:cstheme="minorHAnsi"/>
        </w:rPr>
        <w:t xml:space="preserve"> [2024] NICA 59, at para 126. See also </w:t>
      </w:r>
      <w:r w:rsidRPr="008D3431">
        <w:rPr>
          <w:i/>
          <w:iCs/>
        </w:rPr>
        <w:t>Secretary of State for Work and Pensions v AT</w:t>
      </w:r>
      <w:r w:rsidRPr="008D3431">
        <w:t xml:space="preserve"> [2023] EW CA Civ 1307, at para 92; Tobias Lock et al, ‘The Interaction Between the EU Charter of Fundamental Rights and General Principles with the Windsor Framework’ (NIHRC, 2024).</w:t>
      </w:r>
    </w:p>
  </w:footnote>
  <w:footnote w:id="47">
    <w:p w14:paraId="198AF30F" w14:textId="7E71E753" w:rsidR="0093072A" w:rsidRPr="008D3431" w:rsidRDefault="0093072A"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955FC0" w:rsidRPr="008D3431">
        <w:rPr>
          <w:rFonts w:ascii="Verdana" w:hAnsi="Verdana"/>
          <w:color w:val="77328A"/>
          <w:sz w:val="16"/>
          <w:szCs w:val="16"/>
        </w:rPr>
        <w:t>United Kingdom, British Overseas Territories and Crown Dependencies, ‘Universal Periodic Review: UK Response Mid-Term Report 2025’ (GOV.UK, 2025), at</w:t>
      </w:r>
      <w:r w:rsidRPr="008D3431">
        <w:rPr>
          <w:rFonts w:ascii="Verdana" w:hAnsi="Verdana"/>
          <w:color w:val="77328A"/>
          <w:sz w:val="16"/>
          <w:szCs w:val="16"/>
        </w:rPr>
        <w:t xml:space="preserve"> 1</w:t>
      </w:r>
      <w:r w:rsidR="007602CE" w:rsidRPr="008D3431">
        <w:rPr>
          <w:rFonts w:ascii="Verdana" w:hAnsi="Verdana"/>
          <w:color w:val="77328A"/>
          <w:sz w:val="16"/>
          <w:szCs w:val="16"/>
        </w:rPr>
        <w:t>15</w:t>
      </w:r>
      <w:r w:rsidRPr="008D3431">
        <w:rPr>
          <w:rFonts w:ascii="Verdana" w:hAnsi="Verdana"/>
          <w:color w:val="77328A"/>
          <w:sz w:val="16"/>
          <w:szCs w:val="16"/>
        </w:rPr>
        <w:t>.</w:t>
      </w:r>
    </w:p>
  </w:footnote>
  <w:footnote w:id="48">
    <w:p w14:paraId="198B6F52" w14:textId="19B57388" w:rsidR="00094ED4" w:rsidRPr="008D3431" w:rsidRDefault="00094ED4"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Parliament, ‘House of Commons: Border Security, Asylum and Immigration Bill - Bill 173 2024-25’ (UK Parliament, 2025).</w:t>
      </w:r>
    </w:p>
  </w:footnote>
  <w:footnote w:id="49">
    <w:p w14:paraId="5FF23CDF" w14:textId="77777777" w:rsidR="00191DA3" w:rsidRPr="008D3431" w:rsidRDefault="00191DA3"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UN Refugee Agency, ‘Fact Sheet on Safe and Regular Routes to the UK for Refugees and Asylum-Seekers’. Available at: </w:t>
      </w:r>
      <w:hyperlink r:id="rId6" w:anchor=":~:text=The%20legislation%2C%20if%20passed%2C%20would,compelling%20their%20claim%20may%20be." w:history="1">
        <w:r w:rsidRPr="008D3431">
          <w:rPr>
            <w:rFonts w:ascii="Verdana" w:hAnsi="Verdana"/>
            <w:color w:val="77328A"/>
            <w:sz w:val="16"/>
            <w:szCs w:val="16"/>
          </w:rPr>
          <w:t>UK Asylum and Policy and the Illegal Migration Bill | UNHCR UK</w:t>
        </w:r>
      </w:hyperlink>
    </w:p>
  </w:footnote>
  <w:footnote w:id="50">
    <w:p w14:paraId="2233652A"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w:t>
      </w:r>
      <w:r w:rsidRPr="008D3431">
        <w:rPr>
          <w:rStyle w:val="ui-provider"/>
          <w:i/>
          <w:iCs/>
        </w:rPr>
        <w:t>Re NI Human Rights Commission and Illegal Migration Act</w:t>
      </w:r>
      <w:r w:rsidRPr="008D3431">
        <w:rPr>
          <w:rStyle w:val="ui-provider"/>
        </w:rPr>
        <w:t xml:space="preserve"> [2024] NIKB 35</w:t>
      </w:r>
      <w:r w:rsidRPr="008D3431">
        <w:t>, at para 206.</w:t>
      </w:r>
    </w:p>
  </w:footnote>
  <w:footnote w:id="51">
    <w:p w14:paraId="28BCB761"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Article 8(2), </w:t>
      </w:r>
      <w:r w:rsidRPr="008D3431">
        <w:rPr>
          <w:rFonts w:cstheme="minorHAnsi"/>
        </w:rPr>
        <w:t xml:space="preserve">Directive 2005/85/EC, ‘Council of the EU Directive on Minimum Standards on Procedures in Member States for Granting and Withdrawing Refugee Status’, 1 December 2005; </w:t>
      </w:r>
      <w:r w:rsidRPr="008D3431">
        <w:t xml:space="preserve">Articles 4(3), 13 and 18, </w:t>
      </w:r>
      <w:r w:rsidRPr="008D3431">
        <w:rPr>
          <w:rFonts w:cstheme="minorHAnsi"/>
        </w:rPr>
        <w:t>Directive 2004/83/EC, ‘EU Council Directive on Minimum Standards for the Qualification and Status of Third Country Nationals or Stateless Persons as Refugees or as Persons who Otherwise Need International Protection and the Content of the Protection Granted’, 29 April 2004.</w:t>
      </w:r>
    </w:p>
  </w:footnote>
  <w:footnote w:id="52">
    <w:p w14:paraId="6AD3C3C6"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Article 39, </w:t>
      </w:r>
      <w:r w:rsidRPr="008D3431">
        <w:rPr>
          <w:rFonts w:cstheme="minorHAnsi"/>
        </w:rPr>
        <w:t xml:space="preserve">Directive 2005/85/EC, ‘Council of the EU Directive on Minimum Standards on Procedures in Member States for Granting and Withdrawing Refugee Status’, 1 December 2005; Article 47, EU Charter of Fundamental Rights. </w:t>
      </w:r>
    </w:p>
  </w:footnote>
  <w:footnote w:id="53">
    <w:p w14:paraId="590A8454"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Article 7(1), </w:t>
      </w:r>
      <w:r w:rsidRPr="008D3431">
        <w:rPr>
          <w:rFonts w:cstheme="minorHAnsi"/>
        </w:rPr>
        <w:t>Directive 2005/85/EC, ‘Council of the EU Directive on Minimum Standards on Procedures in Member States for Granting and Withdrawing Refugee Status’, 1 December 2005.</w:t>
      </w:r>
    </w:p>
  </w:footnote>
  <w:footnote w:id="54">
    <w:p w14:paraId="03837F08"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Article 21, </w:t>
      </w:r>
      <w:r w:rsidRPr="008D3431">
        <w:rPr>
          <w:rFonts w:cstheme="minorHAnsi"/>
        </w:rPr>
        <w:t>Directive 2004/83/EC, ‘EU Council Directive on Minimum Standards for the Qualification and Status of Third Country Nationals or Stateless Persons as Refugees or as Persons who Otherwise Need International Protection and the Content of the Protection Granted’, 29 April 2004.</w:t>
      </w:r>
    </w:p>
  </w:footnote>
  <w:footnote w:id="55">
    <w:p w14:paraId="66AD1AB0"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Ibid, at Article 18.</w:t>
      </w:r>
    </w:p>
  </w:footnote>
  <w:footnote w:id="56">
    <w:p w14:paraId="19E5C867"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Article 11, Directive 2011/36/EU, ‘Council Directive on Preventing and Combating Trafficking in Human Beings and Protecting its Victims’, 5 April 2011.</w:t>
      </w:r>
    </w:p>
  </w:footnote>
  <w:footnote w:id="57">
    <w:p w14:paraId="1F45D191"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Article 20, </w:t>
      </w:r>
      <w:r w:rsidRPr="008D3431">
        <w:rPr>
          <w:rFonts w:cstheme="minorHAnsi"/>
        </w:rPr>
        <w:t xml:space="preserve">Directive 2004/83/EC, ‘EU Council Directive on Minimum Standards for the Qualification and Status of Third Country Nationals or Stateless Persons as Refugees or as Persons who Otherwise Need International Protection and the Content of the Protection Granted’, 29 April 2004; </w:t>
      </w:r>
      <w:r w:rsidRPr="008D3431">
        <w:t xml:space="preserve">Article 24 of the EU Charter of Fundamental Rights; Articles 6 and 8, </w:t>
      </w:r>
      <w:r w:rsidRPr="008D3431">
        <w:rPr>
          <w:rFonts w:cstheme="minorHAnsi"/>
        </w:rPr>
        <w:t>Regulation 2013/604/EU, ‘EU Parliament and Council Regulation Establishing the Criteria and Mechanisms for Determining the Member State Responsible for Examining an Application for International Protection Lodged in One of the Member States by a Third-country National or a Stateless Person’, 26 June 2013</w:t>
      </w:r>
      <w:r w:rsidRPr="008D3431">
        <w:t>.</w:t>
      </w:r>
    </w:p>
  </w:footnote>
  <w:footnote w:id="58">
    <w:p w14:paraId="5485595A"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w:t>
      </w:r>
      <w:r w:rsidRPr="008D3431">
        <w:rPr>
          <w:i/>
        </w:rPr>
        <w:t>In the Matter of an Application by the NI Human Rights Commission for Judicial Review</w:t>
      </w:r>
      <w:r w:rsidRPr="008D3431">
        <w:t xml:space="preserve"> </w:t>
      </w:r>
      <w:r w:rsidRPr="008D3431">
        <w:rPr>
          <w:rStyle w:val="ui-provider"/>
        </w:rPr>
        <w:t>[2024] NIKB 35</w:t>
      </w:r>
      <w:r w:rsidRPr="008D3431">
        <w:t>, at para 182.</w:t>
      </w:r>
    </w:p>
  </w:footnote>
  <w:footnote w:id="59">
    <w:p w14:paraId="6EF7FF1A" w14:textId="4B7FFA5D" w:rsidR="00083E58" w:rsidRPr="008D3431" w:rsidRDefault="00083E58"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In July 2025, the UK Supreme Court refused the UK Government permission to appeal the stay of the Court of Appeal in NI. </w:t>
      </w:r>
      <w:r w:rsidRPr="008D3431">
        <w:rPr>
          <w:rFonts w:ascii="Verdana" w:hAnsi="Verdana"/>
          <w:i/>
          <w:iCs/>
          <w:color w:val="77328A"/>
          <w:sz w:val="16"/>
          <w:szCs w:val="16"/>
        </w:rPr>
        <w:t>In the Matter of an Application by JR295 for Judicial Review</w:t>
      </w:r>
      <w:r w:rsidRPr="008D3431">
        <w:rPr>
          <w:rFonts w:ascii="Verdana" w:hAnsi="Verdana"/>
          <w:color w:val="77328A"/>
          <w:sz w:val="16"/>
          <w:szCs w:val="16"/>
        </w:rPr>
        <w:t xml:space="preserve"> [2025] UKSC 84.</w:t>
      </w:r>
    </w:p>
  </w:footnote>
  <w:footnote w:id="60">
    <w:p w14:paraId="1AC1BBF2" w14:textId="77777777" w:rsidR="00F95ACA" w:rsidRPr="008D3431" w:rsidRDefault="00F95ACA" w:rsidP="00C62C46">
      <w:pPr>
        <w:pStyle w:val="NIHRCFootnotes"/>
        <w:spacing w:after="0"/>
        <w:contextualSpacing/>
        <w:jc w:val="left"/>
      </w:pPr>
      <w:r w:rsidRPr="008D3431">
        <w:rPr>
          <w:rStyle w:val="FootnoteReference"/>
        </w:rPr>
        <w:footnoteRef/>
      </w:r>
      <w:r w:rsidRPr="008D3431">
        <w:t xml:space="preserve"> </w:t>
      </w:r>
      <w:r w:rsidRPr="008D3431">
        <w:rPr>
          <w:i/>
          <w:iCs/>
        </w:rPr>
        <w:t>In the Matter of an Application by JR295 for Judicial Review</w:t>
      </w:r>
      <w:r w:rsidRPr="008D3431">
        <w:t xml:space="preserve"> [2025] NICA, 18 February 2025.</w:t>
      </w:r>
    </w:p>
  </w:footnote>
  <w:footnote w:id="61">
    <w:p w14:paraId="7689107B" w14:textId="1DC72E73" w:rsidR="000317A9" w:rsidRPr="008D3431" w:rsidRDefault="000317A9"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 Human Rights Commission, ‘Submission to the House of Lords on the Illegal Migration Bill’ (NIHRC, 2023).</w:t>
      </w:r>
    </w:p>
  </w:footnote>
  <w:footnote w:id="62">
    <w:p w14:paraId="76E5AB6C" w14:textId="4C11A266" w:rsidR="002125A0" w:rsidRPr="008D3431" w:rsidRDefault="002125A0"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Parliament, ‘House of Commons: Border Security, Asylum and Immigration Bill - Bill 173 2024-25’ (UK Parliament, 2025).</w:t>
      </w:r>
    </w:p>
  </w:footnote>
  <w:footnote w:id="63">
    <w:p w14:paraId="2036BB40" w14:textId="392B6AFA" w:rsidR="00CB545A" w:rsidRPr="008D3431" w:rsidRDefault="00CB545A"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 Human Rights Commission, ‘Submission to House of Lords on the Border Security, Asylum and Immigration Bill’ (NIHRC, 2025). </w:t>
      </w:r>
    </w:p>
  </w:footnote>
  <w:footnote w:id="64">
    <w:p w14:paraId="27F8762A" w14:textId="77777777" w:rsidR="00F2742B" w:rsidRPr="008D3431" w:rsidRDefault="00F2742B"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Parliament, ‘House of Commons: Border Security, Asylum and Immigration Bill - Bill 173 2024-25’ (UK Parliament, 2025).</w:t>
      </w:r>
    </w:p>
  </w:footnote>
  <w:footnote w:id="65">
    <w:p w14:paraId="620A14E1" w14:textId="16F1D701" w:rsidR="00001320" w:rsidRPr="008D3431" w:rsidRDefault="00001320"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 Human Rights Commission, ‘Submission to House of Lords on the Border Security, Asylum and Immigration Bill’ (NIHRC, 2025). </w:t>
      </w:r>
    </w:p>
  </w:footnote>
  <w:footnote w:id="66">
    <w:p w14:paraId="2F99D7FE" w14:textId="12E97446" w:rsidR="00A92928" w:rsidRPr="008D3431" w:rsidRDefault="00A92928"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EF1F63" w:rsidRPr="008D3431">
        <w:rPr>
          <w:rFonts w:ascii="Verdana" w:hAnsi="Verdana"/>
          <w:color w:val="77328A"/>
          <w:sz w:val="16"/>
          <w:szCs w:val="16"/>
        </w:rPr>
        <w:t xml:space="preserve">Sections 12, 29 and 59 of the </w:t>
      </w:r>
      <w:r w:rsidR="00194FA6" w:rsidRPr="008D3431">
        <w:rPr>
          <w:rFonts w:ascii="Verdana" w:hAnsi="Verdana"/>
          <w:color w:val="77328A"/>
          <w:sz w:val="16"/>
          <w:szCs w:val="16"/>
        </w:rPr>
        <w:t>Illegal Migration Act 2023.</w:t>
      </w:r>
      <w:r w:rsidR="001A7B56" w:rsidRPr="008D3431">
        <w:rPr>
          <w:rFonts w:ascii="Verdana" w:hAnsi="Verdana"/>
          <w:color w:val="77328A"/>
          <w:sz w:val="16"/>
          <w:szCs w:val="16"/>
        </w:rPr>
        <w:t xml:space="preserve"> Section 12 of the Illegal Migration Act 2023 diverts certain powers to authorise detention from Judges to the Secretary of State for the Home Department. Section 29 of the Illegal Migration Act 2023 prevents some people from accessing modern slavery protections. Section 59 of the Illegal Migration Act 2023 renders asylum and human rights claims inadmissible if they are made from certain countries. See NI Human Rights Commission, ‘Submission to House of Lords on the Border Security, Asylum and Immigration Bill’ (NIHRC, 2025).</w:t>
      </w:r>
    </w:p>
  </w:footnote>
  <w:footnote w:id="67">
    <w:p w14:paraId="27FA3599" w14:textId="77777777" w:rsidR="00AB04BF" w:rsidRPr="008D3431" w:rsidRDefault="00AB04BF"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UN Refugee Agency, ‘UN High Commission for Refugees Updated Observations on the Nationality and Borders Bill’ (UNHCR, 2021); UN Refugee Agency, ‘UN High Commission for Refugees Legal Observations on the Illegal Migration Bill’ (UNHCR, 2023); CCPR/C/GBR/CO/8, ‘UN Human Rights Committee Concluding Observations on the Eighth Periodic Report of the UK of Great Britain and NI’, 3 May 2024, at para 39 and 41; CRC/C/GBR/CO/6-7, ‘UN CRC Committee Concluding Observations on the Combined Sixth and Seventh Reports of the UK of Great Britain and NI’, 2 June 2023, at para 24(b); CRC/C/GBR/CO/6-7, ‘UN CRC Committee Concluding Observations on the Sixth and Seventh Periodic Reports of the UK of Great Britain and NI’, 2 June 2023, at paras 50(a)-50(c); Letter from the UN Special Rapporteur on trafficking in persons, especially women and children, Siobhán Mullally; UN Special Rapporteur on the human rights of migrants, Felipe González Morales; UN Special Rapporteur on contemporary forms of slavery, including its causes and consequences, Tomoya Obokata; and UN Special Rapporteur on the promotion and protection of human rights and fundamental freedoms while countering terrorism, Fionnuala Ní Aoláin to the UK Government, 5 November 2021.</w:t>
      </w:r>
    </w:p>
  </w:footnote>
  <w:footnote w:id="68">
    <w:p w14:paraId="061C7A5E" w14:textId="2F870872" w:rsidR="000E64AF" w:rsidRPr="008D3431" w:rsidRDefault="000E64AF"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7E2A1F" w:rsidRPr="008D3431">
        <w:rPr>
          <w:rFonts w:ascii="Verdana" w:hAnsi="Verdana"/>
          <w:color w:val="77328A"/>
          <w:sz w:val="16"/>
          <w:szCs w:val="16"/>
        </w:rPr>
        <w:t xml:space="preserve">Sam Francis, ‘UK suspends refugee family reunion applications’, </w:t>
      </w:r>
      <w:r w:rsidR="007E2A1F" w:rsidRPr="008D3431">
        <w:rPr>
          <w:rFonts w:ascii="Verdana" w:hAnsi="Verdana"/>
          <w:i/>
          <w:iCs/>
          <w:color w:val="77328A"/>
          <w:sz w:val="16"/>
          <w:szCs w:val="16"/>
        </w:rPr>
        <w:t>BBC News</w:t>
      </w:r>
      <w:r w:rsidR="007E2A1F" w:rsidRPr="008D3431">
        <w:rPr>
          <w:rFonts w:ascii="Verdana" w:hAnsi="Verdana"/>
          <w:color w:val="77328A"/>
          <w:sz w:val="16"/>
          <w:szCs w:val="16"/>
        </w:rPr>
        <w:t>, 1 September 2025.</w:t>
      </w:r>
    </w:p>
  </w:footnote>
  <w:footnote w:id="69">
    <w:p w14:paraId="11440384" w14:textId="77777777" w:rsidR="007B7F27" w:rsidRPr="008D3431" w:rsidRDefault="007B7F27"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Sections 50 and 51, Nationality and Borders Act 2022.</w:t>
      </w:r>
    </w:p>
  </w:footnote>
  <w:footnote w:id="70">
    <w:p w14:paraId="7947A36F" w14:textId="77777777" w:rsidR="007B7F27" w:rsidRPr="008D3431" w:rsidRDefault="007B7F27"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Section 57, Illegal Migration Act 2023. </w:t>
      </w:r>
    </w:p>
  </w:footnote>
  <w:footnote w:id="71">
    <w:p w14:paraId="4C55DA46" w14:textId="6412FD69" w:rsidR="007B7F27" w:rsidRPr="008D3431" w:rsidRDefault="007B7F27"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hAnsi="Verdana"/>
          <w:i/>
          <w:iCs/>
          <w:color w:val="77328A"/>
          <w:sz w:val="16"/>
          <w:szCs w:val="16"/>
        </w:rPr>
        <w:t>Re NI Human Rights Commission and Illegal Migration Act</w:t>
      </w:r>
      <w:r w:rsidRPr="008D3431">
        <w:rPr>
          <w:rFonts w:ascii="Verdana" w:hAnsi="Verdana"/>
          <w:color w:val="77328A"/>
          <w:sz w:val="16"/>
          <w:szCs w:val="16"/>
        </w:rPr>
        <w:t xml:space="preserve"> [2024] NIKB 35, at paras 169-176 and 182.</w:t>
      </w:r>
    </w:p>
  </w:footnote>
  <w:footnote w:id="72">
    <w:p w14:paraId="1C8DDD17" w14:textId="77777777" w:rsidR="004F514C" w:rsidRPr="008D3431" w:rsidRDefault="004F514C"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 Human Rights Commission, ‘Submission to the House of Lords on the Illegal Migration Bill’ (NIHRC, 2023).</w:t>
      </w:r>
    </w:p>
  </w:footnote>
  <w:footnote w:id="73">
    <w:p w14:paraId="6A128ECC" w14:textId="77777777" w:rsidR="00BC638A" w:rsidRPr="008D3431" w:rsidRDefault="00BC638A"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Parliament, ‘House of Commons: Border Security, Asylum and Immigration Bill - Bill 173 2024-25’ (UK Parliament, 2025).</w:t>
      </w:r>
    </w:p>
  </w:footnote>
  <w:footnote w:id="74">
    <w:p w14:paraId="77F4DB59" w14:textId="77777777" w:rsidR="001A1F62" w:rsidRPr="008D3431" w:rsidRDefault="001A1F62"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UK Parliament Hansard, ‘Written Statement by the Minister of State for Border Security and Asylum, Dame Angela Eagle MP - Age Assessment Checks – Independent Chief Inspector of Borders and Immigration Report’, 22 July 2025.</w:t>
      </w:r>
    </w:p>
  </w:footnote>
  <w:footnote w:id="75">
    <w:p w14:paraId="1A78DD99" w14:textId="4A2311CA" w:rsidR="003F06F9" w:rsidRPr="008D3431" w:rsidRDefault="003F06F9"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Home Office, ‘Press Release: UK-France treaty targeting illegal crossings comes into force’, 4 August 2025.</w:t>
      </w:r>
    </w:p>
  </w:footnote>
  <w:footnote w:id="76">
    <w:p w14:paraId="19AD8873" w14:textId="4061D80A" w:rsidR="003D07DA" w:rsidRPr="008D3431" w:rsidRDefault="003D07DA"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Home Office, ‘Press Release: UK-France treaty targeting illegal crossings comes into force’, 4 August 2025.</w:t>
      </w:r>
      <w:r w:rsidR="00137BE6" w:rsidRPr="008D3431">
        <w:rPr>
          <w:rFonts w:ascii="Verdana" w:hAnsi="Verdana"/>
          <w:color w:val="77328A"/>
          <w:sz w:val="16"/>
          <w:szCs w:val="16"/>
        </w:rPr>
        <w:t xml:space="preserve"> In September 2025, deportation flights under the new policy began, but at least three individuals had their flights to France cancelled due to legal actions. The High Court of England and Wales ruled that they needed more time to provide evidence for their claims of being victims of human trafficking or being under 18 years old. </w:t>
      </w:r>
      <w:r w:rsidR="00903C89" w:rsidRPr="008D3431">
        <w:rPr>
          <w:rFonts w:ascii="Verdana" w:hAnsi="Verdana"/>
          <w:color w:val="77328A"/>
          <w:sz w:val="16"/>
          <w:szCs w:val="16"/>
        </w:rPr>
        <w:t xml:space="preserve">Diane Taylor, ‘First person removed to France under “one in, one out” asylum deal, says UK’, </w:t>
      </w:r>
      <w:r w:rsidR="00903C89" w:rsidRPr="008D3431">
        <w:rPr>
          <w:rFonts w:ascii="Verdana" w:hAnsi="Verdana"/>
          <w:i/>
          <w:iCs/>
          <w:color w:val="77328A"/>
          <w:sz w:val="16"/>
          <w:szCs w:val="16"/>
        </w:rPr>
        <w:t>The Guardian</w:t>
      </w:r>
      <w:r w:rsidR="00903C89" w:rsidRPr="008D3431">
        <w:rPr>
          <w:rFonts w:ascii="Verdana" w:hAnsi="Verdana"/>
          <w:color w:val="77328A"/>
          <w:sz w:val="16"/>
          <w:szCs w:val="16"/>
        </w:rPr>
        <w:t>, 18 September 2025.</w:t>
      </w:r>
    </w:p>
  </w:footnote>
  <w:footnote w:id="77">
    <w:p w14:paraId="78EDA044" w14:textId="77777777" w:rsidR="008C4309" w:rsidRPr="008D3431" w:rsidRDefault="008C4309"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Home Office, ‘Press Release: UK-France treaty targeting illegal crossings comes into force’, 4 August 2025.</w:t>
      </w:r>
    </w:p>
  </w:footnote>
  <w:footnote w:id="78">
    <w:p w14:paraId="78727FBF" w14:textId="77777777" w:rsidR="00921A8A" w:rsidRPr="008D3431" w:rsidRDefault="00921A8A"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E/C.12/GBR/CO/7, ‘UN ICESCR Committee Concluding Observations on the Seventh Periodic Report of the UK of Great Britain and NI’, 28 February 2025, at para 25(c); CERD/C/GBR/CO/24-26, ‘UN CERD Committee Concluding Observations on the Combined Twenty-fourth to Twenty-sixth Periodic Reports of the UK of Great Britain and NI’, 23 August 2024, at para 48; </w:t>
      </w:r>
      <w:r w:rsidRPr="008D3431">
        <w:rPr>
          <w:rStyle w:val="ui-provider"/>
          <w:rFonts w:ascii="Verdana" w:hAnsi="Verdana"/>
          <w:color w:val="77328A"/>
          <w:sz w:val="16"/>
          <w:szCs w:val="16"/>
        </w:rPr>
        <w:t>CCPR/C/GBR/CO/8, ‘UN Human Rights Committee Concluding Observations on the Eighth Periodic Report of the UK of Great Britain and NI’, 3 May 2024</w:t>
      </w:r>
      <w:r w:rsidRPr="008D3431">
        <w:rPr>
          <w:rStyle w:val="ui-provider"/>
          <w:rFonts w:ascii="Verdana" w:eastAsia="Yu Gothic Light" w:hAnsi="Verdana"/>
          <w:color w:val="77328A"/>
          <w:sz w:val="16"/>
          <w:szCs w:val="16"/>
        </w:rPr>
        <w:t xml:space="preserve">, at para 41; </w:t>
      </w:r>
      <w:r w:rsidRPr="008D3431">
        <w:rPr>
          <w:rFonts w:ascii="Verdana" w:hAnsi="Verdana"/>
          <w:color w:val="77328A"/>
          <w:sz w:val="16"/>
          <w:szCs w:val="16"/>
        </w:rPr>
        <w:t>CoE European Commission Against Racism and Intolerance, ‘Report on the UK (Sixth Monitoring Cycle)’ (ECRI, 2024), at para 62; CoE European Commission Against Racism and Intolerance, ‘Report on the UK (Sixth Monitoring Cycle)’ (ECRI, 2024), at para 69; ACFC/OP/V, ‘CoE Advisory Committee on the Framework Convention for the Protection of National Minorities: Fifth Opinion on the UK’, 25 May 2023, at para 25.</w:t>
      </w:r>
    </w:p>
  </w:footnote>
  <w:footnote w:id="79">
    <w:p w14:paraId="08E4B62F" w14:textId="13493AC5" w:rsidR="00084780" w:rsidRPr="008D3431" w:rsidRDefault="00084780" w:rsidP="00C62C46">
      <w:pPr>
        <w:pStyle w:val="FootnoteText"/>
        <w:contextualSpacing/>
        <w:rPr>
          <w:rFonts w:ascii="Verdana" w:hAnsi="Verdana"/>
          <w:b/>
          <w:bCs/>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Patrick Butler, ‘UK charities say toxic immigration rhetoric leading to threats against staff’, </w:t>
      </w:r>
      <w:r w:rsidRPr="008D3431">
        <w:rPr>
          <w:rFonts w:ascii="Verdana" w:hAnsi="Verdana"/>
          <w:i/>
          <w:iCs/>
          <w:color w:val="77328A"/>
          <w:sz w:val="16"/>
          <w:szCs w:val="16"/>
        </w:rPr>
        <w:t>The Guardian</w:t>
      </w:r>
      <w:r w:rsidRPr="008D3431">
        <w:rPr>
          <w:rFonts w:ascii="Verdana" w:hAnsi="Verdana"/>
          <w:color w:val="77328A"/>
          <w:sz w:val="16"/>
          <w:szCs w:val="16"/>
        </w:rPr>
        <w:t>, 13 Oct</w:t>
      </w:r>
      <w:r w:rsidR="00CB1ACA" w:rsidRPr="008D3431">
        <w:rPr>
          <w:rFonts w:ascii="Verdana" w:hAnsi="Verdana"/>
          <w:color w:val="77328A"/>
          <w:sz w:val="16"/>
          <w:szCs w:val="16"/>
        </w:rPr>
        <w:t>ober</w:t>
      </w:r>
      <w:r w:rsidRPr="008D3431">
        <w:rPr>
          <w:rFonts w:ascii="Verdana" w:hAnsi="Verdana"/>
          <w:color w:val="77328A"/>
          <w:sz w:val="16"/>
          <w:szCs w:val="16"/>
        </w:rPr>
        <w:t xml:space="preserve"> 2025</w:t>
      </w:r>
      <w:r w:rsidR="00B80865" w:rsidRPr="008D3431">
        <w:rPr>
          <w:rFonts w:ascii="Verdana" w:hAnsi="Verdana"/>
          <w:color w:val="77328A"/>
          <w:sz w:val="16"/>
          <w:szCs w:val="16"/>
        </w:rPr>
        <w:t>; Geneva Abdul, ‘</w:t>
      </w:r>
      <w:r w:rsidR="000A423D" w:rsidRPr="008D3431">
        <w:rPr>
          <w:rFonts w:ascii="Verdana" w:hAnsi="Verdana"/>
          <w:color w:val="77328A"/>
          <w:sz w:val="16"/>
          <w:szCs w:val="16"/>
        </w:rPr>
        <w:t>UK lawyers warn of ‘race to the bottom’ after Tory MP issues deportation threat</w:t>
      </w:r>
      <w:r w:rsidR="00B80865" w:rsidRPr="008D3431">
        <w:rPr>
          <w:rFonts w:ascii="Verdana" w:hAnsi="Verdana"/>
          <w:color w:val="77328A"/>
          <w:sz w:val="16"/>
          <w:szCs w:val="16"/>
        </w:rPr>
        <w:t>’</w:t>
      </w:r>
      <w:r w:rsidR="000A423D" w:rsidRPr="008D3431">
        <w:rPr>
          <w:rFonts w:ascii="Verdana" w:hAnsi="Verdana"/>
          <w:color w:val="77328A"/>
          <w:sz w:val="16"/>
          <w:szCs w:val="16"/>
        </w:rPr>
        <w:t xml:space="preserve">, </w:t>
      </w:r>
      <w:r w:rsidR="000A423D" w:rsidRPr="008D3431">
        <w:rPr>
          <w:rFonts w:ascii="Verdana" w:hAnsi="Verdana"/>
          <w:i/>
          <w:iCs/>
          <w:color w:val="77328A"/>
          <w:sz w:val="16"/>
          <w:szCs w:val="16"/>
        </w:rPr>
        <w:t>The Guardian</w:t>
      </w:r>
      <w:r w:rsidR="000A423D" w:rsidRPr="008D3431">
        <w:rPr>
          <w:rFonts w:ascii="Verdana" w:hAnsi="Verdana"/>
          <w:color w:val="77328A"/>
          <w:sz w:val="16"/>
          <w:szCs w:val="16"/>
        </w:rPr>
        <w:t xml:space="preserve">, </w:t>
      </w:r>
      <w:r w:rsidR="00CB1ACA" w:rsidRPr="008D3431">
        <w:rPr>
          <w:rFonts w:ascii="Verdana" w:hAnsi="Verdana"/>
          <w:color w:val="77328A"/>
          <w:sz w:val="16"/>
          <w:szCs w:val="16"/>
        </w:rPr>
        <w:t>4 November 2025.</w:t>
      </w:r>
    </w:p>
  </w:footnote>
  <w:footnote w:id="80">
    <w:p w14:paraId="18B80946" w14:textId="1280966E" w:rsidR="00F713D5" w:rsidRPr="008D3431" w:rsidRDefault="00F713D5"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916531" w:rsidRPr="008D3431">
        <w:rPr>
          <w:rFonts w:ascii="Verdana" w:hAnsi="Verdana"/>
          <w:color w:val="77328A"/>
          <w:sz w:val="16"/>
          <w:szCs w:val="16"/>
        </w:rPr>
        <w:t>Patrick Butler, ‘</w:t>
      </w:r>
      <w:r w:rsidR="009B1AF8" w:rsidRPr="008D3431">
        <w:rPr>
          <w:rFonts w:ascii="Verdana" w:hAnsi="Verdana"/>
          <w:color w:val="77328A"/>
          <w:sz w:val="16"/>
          <w:szCs w:val="16"/>
        </w:rPr>
        <w:t>UK charities say toxic immigration rhetoric leading to threats against staff</w:t>
      </w:r>
      <w:r w:rsidR="00916531" w:rsidRPr="008D3431">
        <w:rPr>
          <w:rFonts w:ascii="Verdana" w:hAnsi="Verdana"/>
          <w:color w:val="77328A"/>
          <w:sz w:val="16"/>
          <w:szCs w:val="16"/>
        </w:rPr>
        <w:t>’</w:t>
      </w:r>
      <w:r w:rsidR="009B1AF8" w:rsidRPr="008D3431">
        <w:rPr>
          <w:rFonts w:ascii="Verdana" w:hAnsi="Verdana"/>
          <w:color w:val="77328A"/>
          <w:sz w:val="16"/>
          <w:szCs w:val="16"/>
        </w:rPr>
        <w:t xml:space="preserve">, </w:t>
      </w:r>
      <w:r w:rsidR="009B1AF8" w:rsidRPr="008D3431">
        <w:rPr>
          <w:rFonts w:ascii="Verdana" w:hAnsi="Verdana"/>
          <w:i/>
          <w:iCs/>
          <w:color w:val="77328A"/>
          <w:sz w:val="16"/>
          <w:szCs w:val="16"/>
        </w:rPr>
        <w:t>The Guardian</w:t>
      </w:r>
      <w:r w:rsidR="009B1AF8" w:rsidRPr="008D3431">
        <w:rPr>
          <w:rFonts w:ascii="Verdana" w:hAnsi="Verdana"/>
          <w:color w:val="77328A"/>
          <w:sz w:val="16"/>
          <w:szCs w:val="16"/>
        </w:rPr>
        <w:t xml:space="preserve">, </w:t>
      </w:r>
      <w:r w:rsidR="00EC2CD5" w:rsidRPr="008D3431">
        <w:rPr>
          <w:rFonts w:ascii="Verdana" w:hAnsi="Verdana"/>
          <w:color w:val="77328A"/>
          <w:sz w:val="16"/>
          <w:szCs w:val="16"/>
        </w:rPr>
        <w:t>13 Oct</w:t>
      </w:r>
      <w:r w:rsidR="00CB1ACA" w:rsidRPr="008D3431">
        <w:rPr>
          <w:rFonts w:ascii="Verdana" w:hAnsi="Verdana"/>
          <w:color w:val="77328A"/>
          <w:sz w:val="16"/>
          <w:szCs w:val="16"/>
        </w:rPr>
        <w:t>ober</w:t>
      </w:r>
      <w:r w:rsidR="00EC2CD5" w:rsidRPr="008D3431">
        <w:rPr>
          <w:rFonts w:ascii="Verdana" w:hAnsi="Verdana"/>
          <w:color w:val="77328A"/>
          <w:sz w:val="16"/>
          <w:szCs w:val="16"/>
        </w:rPr>
        <w:t xml:space="preserve"> 2025.</w:t>
      </w:r>
    </w:p>
  </w:footnote>
  <w:footnote w:id="81">
    <w:p w14:paraId="4D154C41" w14:textId="0751AD32" w:rsidR="009320C2" w:rsidRPr="008D3431" w:rsidRDefault="009320C2"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7375AC" w:rsidRPr="008D3431">
        <w:rPr>
          <w:rFonts w:ascii="Verdana" w:hAnsi="Verdana"/>
          <w:color w:val="77328A"/>
          <w:sz w:val="16"/>
          <w:szCs w:val="16"/>
        </w:rPr>
        <w:t>NI Human Rights Commission, ‘Briefing Paper: Racial and Ethnic Minority Rights and Online Misinformation and Disinformation’ (NIHRC, 2025).</w:t>
      </w:r>
    </w:p>
  </w:footnote>
  <w:footnote w:id="82">
    <w:p w14:paraId="110B9F82" w14:textId="77777777" w:rsidR="002C6577" w:rsidRPr="008D3431" w:rsidRDefault="002C6577"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Irish Congress of Trade Union, ‘Migrant Workers and Their Families in NI: A Trade Union Response’ (ICTU, 2023), at 46; Law Centre NI, ‘Law Centre NI publishes 'Guide to Employment Rights for Migrant Workers in the Health and Social Care Sector' (LCNI, 2025).</w:t>
      </w:r>
    </w:p>
  </w:footnote>
  <w:footnote w:id="83">
    <w:p w14:paraId="05F2E8B7" w14:textId="77777777" w:rsidR="002C6577" w:rsidRPr="008D3431" w:rsidRDefault="002C6577"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Jane Starling, ‘‘‘If you want a reference, pay up”: How UK care homes are exploiting overseas nurses’, </w:t>
      </w:r>
      <w:r w:rsidRPr="008D3431">
        <w:rPr>
          <w:rFonts w:ascii="Verdana" w:hAnsi="Verdana"/>
          <w:i/>
          <w:color w:val="77328A"/>
          <w:sz w:val="16"/>
          <w:szCs w:val="16"/>
        </w:rPr>
        <w:t>UNISON Magazine</w:t>
      </w:r>
      <w:r w:rsidRPr="008D3431">
        <w:rPr>
          <w:rFonts w:ascii="Verdana" w:hAnsi="Verdana"/>
          <w:color w:val="77328A"/>
          <w:sz w:val="16"/>
          <w:szCs w:val="16"/>
        </w:rPr>
        <w:t>, 24 February 2022; NI Human Rights Commission, ‘Submission to the UN ICESCR Committee: Parallel Report for the List of Issues in Relation to the Seventh Periodic Report of the UK’ (NIHRC, 2022).</w:t>
      </w:r>
    </w:p>
  </w:footnote>
  <w:footnote w:id="84">
    <w:p w14:paraId="52D66795" w14:textId="77777777" w:rsidR="002C6577" w:rsidRPr="008D3431" w:rsidRDefault="002C6577" w:rsidP="00C62C46">
      <w:pPr>
        <w:spacing w:after="0" w:line="240" w:lineRule="auto"/>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 Human Rights Commission, ‘Submission to the UN ICESCR Committee: Parallel Report for the List of Issues in Relation to the Seventh Periodic Report of the UK’ (NIHRC, 2022).</w:t>
      </w:r>
    </w:p>
  </w:footnote>
  <w:footnote w:id="85">
    <w:p w14:paraId="052495C3" w14:textId="54580295" w:rsidR="00981066" w:rsidRPr="008D3431" w:rsidRDefault="00981066"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D27922" w:rsidRPr="008D3431">
        <w:rPr>
          <w:rFonts w:ascii="Verdana" w:hAnsi="Verdana"/>
          <w:color w:val="77328A"/>
          <w:sz w:val="16"/>
          <w:szCs w:val="16"/>
        </w:rPr>
        <w:t>United Kingdom, British Overseas Territories and Crown Dependencies, ‘Universal Periodic Review: UK Response Mid-Term Report 2025’ (GOV.UK, 2025), at 2</w:t>
      </w:r>
      <w:r w:rsidR="00F54AE2" w:rsidRPr="008D3431">
        <w:rPr>
          <w:rFonts w:ascii="Verdana" w:hAnsi="Verdana"/>
          <w:color w:val="77328A"/>
          <w:sz w:val="16"/>
          <w:szCs w:val="16"/>
        </w:rPr>
        <w:t>-3</w:t>
      </w:r>
      <w:r w:rsidR="00DA50FE" w:rsidRPr="008D3431">
        <w:rPr>
          <w:rFonts w:ascii="Verdana" w:hAnsi="Verdana"/>
          <w:color w:val="77328A"/>
          <w:sz w:val="16"/>
          <w:szCs w:val="16"/>
        </w:rPr>
        <w:t>.</w:t>
      </w:r>
    </w:p>
  </w:footnote>
  <w:footnote w:id="86">
    <w:p w14:paraId="04B315DF" w14:textId="4022E801" w:rsidR="009E1919" w:rsidRPr="008D3431" w:rsidRDefault="009E1919"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39028E" w:rsidRPr="008D3431">
        <w:rPr>
          <w:rFonts w:ascii="Verdana" w:hAnsi="Verdana"/>
          <w:color w:val="77328A"/>
          <w:sz w:val="16"/>
          <w:szCs w:val="16"/>
        </w:rPr>
        <w:t>N</w:t>
      </w:r>
      <w:r w:rsidRPr="008D3431">
        <w:rPr>
          <w:rFonts w:ascii="Verdana" w:hAnsi="Verdana"/>
          <w:color w:val="77328A"/>
          <w:sz w:val="16"/>
          <w:szCs w:val="16"/>
        </w:rPr>
        <w:t>I Human Rights Commission, ‘Submission to the House of Commons NI Affairs Committee Inquiry into the Experience of Minority Ethnic and Migrant People in NI’ (NIHRC, 2021); Equality Commissions for NI, ‘Shadow Report from the Equality Commission for NI to the CoE Advisory Committee for the Framework Convention for the Protection of National Minorities on the Fifth Monitoring Report of the UK’ (ECNI, 2022); Law Centre NI, ‘Safeguarding Migrant Survivors of Domestic Abuse Through Healthcare - Recommendations for Reform in NI’ (LCNI, 2024).</w:t>
      </w:r>
    </w:p>
  </w:footnote>
  <w:footnote w:id="87">
    <w:p w14:paraId="1018B90A" w14:textId="674EA726" w:rsidR="002D3909" w:rsidRPr="008D3431" w:rsidRDefault="002D3909" w:rsidP="00C62C46">
      <w:pPr>
        <w:pStyle w:val="NIHRCFootnotes"/>
        <w:spacing w:after="0"/>
        <w:contextualSpacing/>
        <w:jc w:val="left"/>
      </w:pPr>
      <w:r w:rsidRPr="008D3431">
        <w:rPr>
          <w:rStyle w:val="FootnoteReference"/>
        </w:rPr>
        <w:footnoteRef/>
      </w:r>
      <w:r w:rsidRPr="008D3431">
        <w:t xml:space="preserve"> </w:t>
      </w:r>
      <w:r w:rsidR="00C37998" w:rsidRPr="008D3431">
        <w:t>HC2 certificates provide full help with health costs and are issued to successful applicants to the National Health Service Low Income Scheme. See House of Commons NI Affairs Committee, ‘Inquiry into the Experience of Minority Ethnic and Migrant People in NI - Oral Evidence', 8 September 2021, at Question 22; Home Office, ‘Guidance to Support HC2 Applications for Asylum Seekers’ (HO, 2022).</w:t>
      </w:r>
    </w:p>
  </w:footnote>
  <w:footnote w:id="88">
    <w:p w14:paraId="1FF09D6D" w14:textId="22A5BA55" w:rsidR="00B55553" w:rsidRPr="008D3431" w:rsidRDefault="00B55553"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Children’s Law Centre and South Tyrone Empowerment Programme, ‘Joint Submission to CoE Framework Convention for the Protection of National Minorities Advisory Committee: Rights of Asylum Seeker Children Living in Contingency Accommodation (Hotel Buildings) in NI, Run by Mears Group PLC’ (CLC and STEP, 2022).</w:t>
      </w:r>
    </w:p>
  </w:footnote>
  <w:footnote w:id="89">
    <w:p w14:paraId="30E1C8C7" w14:textId="46A4C9FC" w:rsidR="00717646" w:rsidRPr="008D3431" w:rsidRDefault="00717646" w:rsidP="00C62C46">
      <w:pPr>
        <w:pStyle w:val="NIHRCFootnotes"/>
        <w:spacing w:after="0"/>
        <w:contextualSpacing/>
        <w:jc w:val="left"/>
      </w:pPr>
      <w:r w:rsidRPr="008D3431">
        <w:rPr>
          <w:rStyle w:val="FootnoteReference"/>
        </w:rPr>
        <w:footnoteRef/>
      </w:r>
      <w:r w:rsidRPr="008D3431">
        <w:t xml:space="preserve"> House of Commons NI Affairs Committee, ‘Inquiry into the Experience of Minority Ethnic and Migrant People in NI - Oral Evidence', 8 September 2021, at Question 19; Law Centre NI, ‘Safeguarding Migrant Survivors of Domestic Abuse Through Healthcare - Recommendations for Reform in NI’ (LCNI, 2024).</w:t>
      </w:r>
    </w:p>
  </w:footnote>
  <w:footnote w:id="90">
    <w:p w14:paraId="45E4CA2D" w14:textId="1993773E" w:rsidR="00343EC8" w:rsidRPr="008D3431" w:rsidRDefault="00343EC8"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1175B6" w:rsidRPr="008D3431">
        <w:rPr>
          <w:rFonts w:ascii="Verdana" w:hAnsi="Verdana"/>
          <w:color w:val="77328A"/>
          <w:sz w:val="16"/>
          <w:szCs w:val="16"/>
        </w:rPr>
        <w:t>Independent Mechanism in NI Disability Forum Meeting, 2 August 2022.</w:t>
      </w:r>
    </w:p>
  </w:footnote>
  <w:footnote w:id="91">
    <w:p w14:paraId="5053FEA2" w14:textId="67C57DAB" w:rsidR="0017278D" w:rsidRPr="008D3431" w:rsidRDefault="0017278D"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Roundtable on Access to Healthcare and Protocol Article 2 hosted by the NI Human Rights Commission, 6 June 2022; Law Centre NI, ‘Safeguarding Migrant Survivors of Domestic Abuse Through Healthcare - Recommendations for Reform in NI’ (LCNI, 2024).</w:t>
      </w:r>
    </w:p>
  </w:footnote>
  <w:footnote w:id="92">
    <w:p w14:paraId="5E023914" w14:textId="3996922A" w:rsidR="009B3720" w:rsidRPr="008D3431" w:rsidRDefault="009B3720"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Pr="008D3431">
        <w:rPr>
          <w:rFonts w:ascii="Verdana" w:eastAsia="Verdana" w:hAnsi="Verdana" w:cs="Verdana"/>
          <w:color w:val="77328A"/>
          <w:sz w:val="16"/>
          <w:szCs w:val="16"/>
        </w:rPr>
        <w:t xml:space="preserve">E/C.12/GBR/CO/7, ‘UN ICESCR Committee Concluding Observations on the Seventh Periodic Report of the UK of Great Britain and NI’, 28 February 2025; CRC/C/GBR/CO/6-7, ‘UN CRC Committee on the Sixth and Seventh Reports of the UK of Great Britain and NI’, 2 June 2023. </w:t>
      </w:r>
    </w:p>
  </w:footnote>
  <w:footnote w:id="93">
    <w:p w14:paraId="0699F109" w14:textId="7FAAD463" w:rsidR="00A635E5" w:rsidRPr="008D3431" w:rsidRDefault="00A635E5"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United Kingdom, British Overseas Territories and Crown Dependencies, ‘Universal Periodic Review: UK Response Mid-Term Report 2025’ (GOV.UK, 2025), at </w:t>
      </w:r>
      <w:r w:rsidR="00995CF1" w:rsidRPr="008D3431">
        <w:rPr>
          <w:rFonts w:ascii="Verdana" w:hAnsi="Verdana"/>
          <w:color w:val="77328A"/>
          <w:sz w:val="16"/>
          <w:szCs w:val="16"/>
        </w:rPr>
        <w:t xml:space="preserve">page </w:t>
      </w:r>
      <w:r w:rsidRPr="008D3431">
        <w:rPr>
          <w:rFonts w:ascii="Verdana" w:hAnsi="Verdana"/>
          <w:color w:val="77328A"/>
          <w:sz w:val="16"/>
          <w:szCs w:val="16"/>
        </w:rPr>
        <w:t>107</w:t>
      </w:r>
      <w:r w:rsidR="00995CF1" w:rsidRPr="008D3431">
        <w:rPr>
          <w:rFonts w:ascii="Verdana" w:hAnsi="Verdana"/>
          <w:color w:val="77328A"/>
          <w:sz w:val="16"/>
          <w:szCs w:val="16"/>
        </w:rPr>
        <w:t>.</w:t>
      </w:r>
      <w:r w:rsidRPr="008D3431">
        <w:rPr>
          <w:rFonts w:ascii="Verdana" w:hAnsi="Verdana"/>
          <w:color w:val="77328A"/>
          <w:sz w:val="16"/>
          <w:szCs w:val="16"/>
        </w:rPr>
        <w:t xml:space="preserve"> </w:t>
      </w:r>
    </w:p>
  </w:footnote>
  <w:footnote w:id="94">
    <w:p w14:paraId="605CBC5D" w14:textId="72173721" w:rsidR="00995CF1" w:rsidRPr="008D3431" w:rsidRDefault="00995CF1"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United Kingdom, British Overseas Territories and Crown Dependencies, ‘Universal Periodic Review: UK Response Mid-Term Report 2025’ (GOV.UK, 2025), at page 61.</w:t>
      </w:r>
    </w:p>
  </w:footnote>
  <w:footnote w:id="95">
    <w:p w14:paraId="2B790DBA" w14:textId="190834C2" w:rsidR="00DF46B9" w:rsidRPr="008D3431" w:rsidRDefault="00DF46B9"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w:t>
      </w:r>
      <w:r w:rsidR="003A6F3A" w:rsidRPr="008D3431">
        <w:rPr>
          <w:rFonts w:ascii="Verdana" w:hAnsi="Verdana"/>
          <w:color w:val="77328A"/>
          <w:sz w:val="16"/>
          <w:szCs w:val="16"/>
        </w:rPr>
        <w:t>NI Assembly Hansard, ‘Written Question: New Child Poverty Strategy – Nick Mathison MLA - AQW 9773/22-27’, 22 April 2024. </w:t>
      </w:r>
    </w:p>
  </w:footnote>
  <w:footnote w:id="96">
    <w:p w14:paraId="2B7A866B" w14:textId="4D9E5BB5" w:rsidR="0077756C" w:rsidRPr="008D3431" w:rsidRDefault="0077756C"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 Audit Office, ‘Child Poverty in NI’ (NIAO, 2024).</w:t>
      </w:r>
    </w:p>
  </w:footnote>
  <w:footnote w:id="97">
    <w:p w14:paraId="69FA5E4D" w14:textId="61383CD1" w:rsidR="001F4A79" w:rsidRPr="008D3431" w:rsidRDefault="001F4A79"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Jayne McCormack, ‘Charities call for executive to drop harmful anti-poverty strategy’, </w:t>
      </w:r>
      <w:r w:rsidRPr="008D3431">
        <w:rPr>
          <w:rFonts w:ascii="Verdana" w:hAnsi="Verdana"/>
          <w:i/>
          <w:iCs/>
          <w:color w:val="77328A"/>
          <w:sz w:val="16"/>
          <w:szCs w:val="16"/>
        </w:rPr>
        <w:t>BBC News</w:t>
      </w:r>
      <w:r w:rsidRPr="008D3431">
        <w:rPr>
          <w:rFonts w:ascii="Verdana" w:hAnsi="Verdana"/>
          <w:color w:val="77328A"/>
          <w:sz w:val="16"/>
          <w:szCs w:val="16"/>
        </w:rPr>
        <w:t xml:space="preserve">, 30 June 2025; NI Human Rights Commission, ‘Submission to the Department for Communities’ Consultation on the NI Executive’s Anti-Poverty Strategy’ (NIHRC, 2025). </w:t>
      </w:r>
    </w:p>
  </w:footnote>
  <w:footnote w:id="98">
    <w:p w14:paraId="0F3E7F30" w14:textId="3C9523C4" w:rsidR="0007036B" w:rsidRPr="008D3431" w:rsidRDefault="0007036B" w:rsidP="00C62C46">
      <w:pPr>
        <w:pStyle w:val="FootnoteText"/>
        <w:contextualSpacing/>
        <w:rPr>
          <w:rFonts w:ascii="Verdana" w:hAnsi="Verdana"/>
          <w:color w:val="77328A"/>
          <w:sz w:val="16"/>
          <w:szCs w:val="16"/>
        </w:rPr>
      </w:pPr>
      <w:r w:rsidRPr="008D3431">
        <w:rPr>
          <w:rStyle w:val="FootnoteReference"/>
          <w:rFonts w:ascii="Verdana" w:hAnsi="Verdana"/>
          <w:color w:val="77328A"/>
          <w:sz w:val="16"/>
          <w:szCs w:val="16"/>
        </w:rPr>
        <w:footnoteRef/>
      </w:r>
      <w:r w:rsidRPr="008D3431">
        <w:rPr>
          <w:rFonts w:ascii="Verdana" w:hAnsi="Verdana"/>
          <w:color w:val="77328A"/>
          <w:sz w:val="16"/>
          <w:szCs w:val="16"/>
        </w:rPr>
        <w:t xml:space="preserve"> NI Human Rights Commission, ‘Submission to the Department for Communities’ Consultation on the NI Executive’s Anti-Poverty Strategy’ (NIHRC,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6A0" w:firstRow="1" w:lastRow="0" w:firstColumn="1" w:lastColumn="0" w:noHBand="1" w:noVBand="1"/>
    </w:tblPr>
    <w:tblGrid>
      <w:gridCol w:w="3005"/>
      <w:gridCol w:w="3005"/>
      <w:gridCol w:w="3005"/>
    </w:tblGrid>
    <w:tr w:rsidR="32C32174" w14:paraId="5434A88A" w14:textId="77777777" w:rsidTr="32C32174">
      <w:trPr>
        <w:trHeight w:val="300"/>
      </w:trPr>
      <w:tc>
        <w:tcPr>
          <w:tcW w:w="3005" w:type="dxa"/>
        </w:tcPr>
        <w:p w14:paraId="1E147081" w14:textId="7A3A8D60" w:rsidR="32C32174" w:rsidRDefault="32C32174" w:rsidP="32C32174">
          <w:pPr>
            <w:pStyle w:val="Header"/>
            <w:ind w:left="-115"/>
          </w:pPr>
        </w:p>
      </w:tc>
      <w:tc>
        <w:tcPr>
          <w:tcW w:w="3005" w:type="dxa"/>
        </w:tcPr>
        <w:p w14:paraId="78523B6C" w14:textId="2508F2D3" w:rsidR="32C32174" w:rsidRDefault="32C32174" w:rsidP="32C32174">
          <w:pPr>
            <w:pStyle w:val="Header"/>
            <w:jc w:val="center"/>
          </w:pPr>
        </w:p>
      </w:tc>
      <w:tc>
        <w:tcPr>
          <w:tcW w:w="3005" w:type="dxa"/>
        </w:tcPr>
        <w:p w14:paraId="65D27A7B" w14:textId="5575E59B" w:rsidR="32C32174" w:rsidRDefault="32C32174" w:rsidP="32C32174">
          <w:pPr>
            <w:pStyle w:val="Header"/>
            <w:ind w:right="-115"/>
            <w:jc w:val="right"/>
          </w:pPr>
        </w:p>
      </w:tc>
    </w:tr>
  </w:tbl>
  <w:p w14:paraId="7FF1909A" w14:textId="04F6283A" w:rsidR="00F46A51" w:rsidRDefault="00F46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0E86"/>
    <w:multiLevelType w:val="multilevel"/>
    <w:tmpl w:val="BE380232"/>
    <w:lvl w:ilvl="0">
      <w:start w:val="3"/>
      <w:numFmt w:val="decimal"/>
      <w:lvlText w:val="%1.0"/>
      <w:lvlJc w:val="left"/>
      <w:pPr>
        <w:ind w:left="360" w:hanging="360"/>
      </w:pPr>
      <w:rPr>
        <w:rFonts w:hint="default"/>
        <w:sz w:val="28"/>
        <w:szCs w:val="28"/>
      </w:rPr>
    </w:lvl>
    <w:lvl w:ilvl="1">
      <w:start w:val="4"/>
      <w:numFmt w:val="decimal"/>
      <w:lvlText w:val="%1.%2."/>
      <w:lvlJc w:val="left"/>
      <w:pPr>
        <w:ind w:left="720" w:hanging="720"/>
      </w:pPr>
      <w:rPr>
        <w:rFonts w:hint="default"/>
        <w:b w:val="0"/>
        <w:bCs w:val="0"/>
        <w:i w:val="0"/>
        <w:i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7B63377"/>
    <w:multiLevelType w:val="hybridMultilevel"/>
    <w:tmpl w:val="FFFFFFFF"/>
    <w:lvl w:ilvl="0" w:tplc="5C22026C">
      <w:start w:val="4"/>
      <w:numFmt w:val="decimal"/>
      <w:lvlText w:val="%1.0"/>
      <w:lvlJc w:val="left"/>
      <w:pPr>
        <w:ind w:left="360" w:hanging="360"/>
      </w:pPr>
    </w:lvl>
    <w:lvl w:ilvl="1" w:tplc="213ED02C">
      <w:start w:val="1"/>
      <w:numFmt w:val="lowerLetter"/>
      <w:lvlText w:val="%2."/>
      <w:lvlJc w:val="left"/>
      <w:pPr>
        <w:ind w:left="720" w:hanging="360"/>
      </w:pPr>
    </w:lvl>
    <w:lvl w:ilvl="2" w:tplc="B3788510">
      <w:start w:val="1"/>
      <w:numFmt w:val="lowerRoman"/>
      <w:lvlText w:val="%3."/>
      <w:lvlJc w:val="right"/>
      <w:pPr>
        <w:ind w:left="1080" w:hanging="180"/>
      </w:pPr>
    </w:lvl>
    <w:lvl w:ilvl="3" w:tplc="3DD44F56">
      <w:start w:val="1"/>
      <w:numFmt w:val="decimal"/>
      <w:lvlText w:val="%4."/>
      <w:lvlJc w:val="left"/>
      <w:pPr>
        <w:ind w:left="1440" w:hanging="360"/>
      </w:pPr>
    </w:lvl>
    <w:lvl w:ilvl="4" w:tplc="199A9BF0">
      <w:start w:val="1"/>
      <w:numFmt w:val="lowerLetter"/>
      <w:lvlText w:val="%5."/>
      <w:lvlJc w:val="left"/>
      <w:pPr>
        <w:ind w:left="1440" w:hanging="360"/>
      </w:pPr>
    </w:lvl>
    <w:lvl w:ilvl="5" w:tplc="D29E84D2">
      <w:start w:val="1"/>
      <w:numFmt w:val="lowerRoman"/>
      <w:lvlText w:val="%6."/>
      <w:lvlJc w:val="right"/>
      <w:pPr>
        <w:ind w:left="1800" w:hanging="180"/>
      </w:pPr>
    </w:lvl>
    <w:lvl w:ilvl="6" w:tplc="0DD0372E">
      <w:start w:val="1"/>
      <w:numFmt w:val="decimal"/>
      <w:lvlText w:val="%7."/>
      <w:lvlJc w:val="left"/>
      <w:pPr>
        <w:ind w:left="2160" w:hanging="360"/>
      </w:pPr>
    </w:lvl>
    <w:lvl w:ilvl="7" w:tplc="2BBC3054">
      <w:start w:val="1"/>
      <w:numFmt w:val="lowerLetter"/>
      <w:lvlText w:val="%8."/>
      <w:lvlJc w:val="left"/>
      <w:pPr>
        <w:ind w:left="2520" w:hanging="360"/>
      </w:pPr>
    </w:lvl>
    <w:lvl w:ilvl="8" w:tplc="82C08AB8">
      <w:start w:val="1"/>
      <w:numFmt w:val="lowerRoman"/>
      <w:lvlText w:val="%9."/>
      <w:lvlJc w:val="right"/>
      <w:pPr>
        <w:ind w:left="2880" w:hanging="180"/>
      </w:pPr>
    </w:lvl>
  </w:abstractNum>
  <w:abstractNum w:abstractNumId="2" w15:restartNumberingAfterBreak="0">
    <w:nsid w:val="1CD477CA"/>
    <w:multiLevelType w:val="hybridMultilevel"/>
    <w:tmpl w:val="FFFFFFFF"/>
    <w:lvl w:ilvl="0" w:tplc="6E066FE0">
      <w:start w:val="4"/>
      <w:numFmt w:val="decimal"/>
      <w:lvlText w:val="%1.0"/>
      <w:lvlJc w:val="left"/>
      <w:pPr>
        <w:ind w:left="360" w:hanging="360"/>
      </w:pPr>
    </w:lvl>
    <w:lvl w:ilvl="1" w:tplc="695A0AC8">
      <w:start w:val="1"/>
      <w:numFmt w:val="lowerLetter"/>
      <w:lvlText w:val="%2."/>
      <w:lvlJc w:val="left"/>
      <w:pPr>
        <w:ind w:left="720" w:hanging="360"/>
      </w:pPr>
    </w:lvl>
    <w:lvl w:ilvl="2" w:tplc="05DC2AF8">
      <w:start w:val="1"/>
      <w:numFmt w:val="lowerRoman"/>
      <w:lvlText w:val="%3."/>
      <w:lvlJc w:val="right"/>
      <w:pPr>
        <w:ind w:left="1080" w:hanging="180"/>
      </w:pPr>
    </w:lvl>
    <w:lvl w:ilvl="3" w:tplc="D4C07312">
      <w:start w:val="1"/>
      <w:numFmt w:val="decimal"/>
      <w:lvlText w:val="%4."/>
      <w:lvlJc w:val="left"/>
      <w:pPr>
        <w:ind w:left="1440" w:hanging="360"/>
      </w:pPr>
    </w:lvl>
    <w:lvl w:ilvl="4" w:tplc="DB5E6370">
      <w:start w:val="1"/>
      <w:numFmt w:val="lowerLetter"/>
      <w:lvlText w:val="%5."/>
      <w:lvlJc w:val="left"/>
      <w:pPr>
        <w:ind w:left="1440" w:hanging="360"/>
      </w:pPr>
    </w:lvl>
    <w:lvl w:ilvl="5" w:tplc="14BE05A0">
      <w:start w:val="1"/>
      <w:numFmt w:val="lowerRoman"/>
      <w:lvlText w:val="%6."/>
      <w:lvlJc w:val="right"/>
      <w:pPr>
        <w:ind w:left="1800" w:hanging="180"/>
      </w:pPr>
    </w:lvl>
    <w:lvl w:ilvl="6" w:tplc="3ED84FDE">
      <w:start w:val="1"/>
      <w:numFmt w:val="decimal"/>
      <w:lvlText w:val="%7."/>
      <w:lvlJc w:val="left"/>
      <w:pPr>
        <w:ind w:left="2160" w:hanging="360"/>
      </w:pPr>
    </w:lvl>
    <w:lvl w:ilvl="7" w:tplc="8CC866CE">
      <w:start w:val="1"/>
      <w:numFmt w:val="lowerLetter"/>
      <w:lvlText w:val="%8."/>
      <w:lvlJc w:val="left"/>
      <w:pPr>
        <w:ind w:left="2520" w:hanging="360"/>
      </w:pPr>
    </w:lvl>
    <w:lvl w:ilvl="8" w:tplc="5594952C">
      <w:start w:val="1"/>
      <w:numFmt w:val="lowerRoman"/>
      <w:lvlText w:val="%9."/>
      <w:lvlJc w:val="right"/>
      <w:pPr>
        <w:ind w:left="2880" w:hanging="180"/>
      </w:pPr>
    </w:lvl>
  </w:abstractNum>
  <w:abstractNum w:abstractNumId="3" w15:restartNumberingAfterBreak="0">
    <w:nsid w:val="20AF1DCC"/>
    <w:multiLevelType w:val="multilevel"/>
    <w:tmpl w:val="9BBCFB74"/>
    <w:lvl w:ilvl="0">
      <w:start w:val="1"/>
      <w:numFmt w:val="decimal"/>
      <w:lvlText w:val="%1.0"/>
      <w:lvlJc w:val="left"/>
      <w:pPr>
        <w:ind w:left="360" w:hanging="360"/>
      </w:pPr>
      <w:rPr>
        <w:sz w:val="28"/>
        <w:szCs w:val="28"/>
      </w:rPr>
    </w:lvl>
    <w:lvl w:ilvl="1">
      <w:start w:val="1"/>
      <w:numFmt w:val="decimal"/>
      <w:lvlText w:val="%1.%2."/>
      <w:lvlJc w:val="left"/>
      <w:pPr>
        <w:ind w:left="720" w:hanging="720"/>
      </w:pPr>
      <w:rPr>
        <w:b w:val="0"/>
        <w:bCs w:val="0"/>
        <w:i w:val="0"/>
        <w:iCs w:val="0"/>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4" w15:restartNumberingAfterBreak="0">
    <w:nsid w:val="21C418FE"/>
    <w:multiLevelType w:val="multilevel"/>
    <w:tmpl w:val="59046040"/>
    <w:lvl w:ilvl="0">
      <w:start w:val="4"/>
      <w:numFmt w:val="decimal"/>
      <w:lvlText w:val="%1."/>
      <w:lvlJc w:val="left"/>
      <w:pPr>
        <w:ind w:left="480" w:hanging="480"/>
      </w:pPr>
      <w:rPr>
        <w:rFonts w:hint="default"/>
      </w:rPr>
    </w:lvl>
    <w:lvl w:ilvl="1">
      <w:start w:val="1"/>
      <w:numFmt w:val="decimal"/>
      <w:pStyle w:val="ListParagraph"/>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25EF6318"/>
    <w:multiLevelType w:val="hybridMultilevel"/>
    <w:tmpl w:val="FFFFFFFF"/>
    <w:lvl w:ilvl="0" w:tplc="F2544456">
      <w:start w:val="4"/>
      <w:numFmt w:val="decimal"/>
      <w:lvlText w:val="%1.0"/>
      <w:lvlJc w:val="left"/>
      <w:pPr>
        <w:ind w:left="360" w:hanging="360"/>
      </w:pPr>
    </w:lvl>
    <w:lvl w:ilvl="1" w:tplc="2DF09A38">
      <w:start w:val="1"/>
      <w:numFmt w:val="lowerLetter"/>
      <w:lvlText w:val="%2."/>
      <w:lvlJc w:val="left"/>
      <w:pPr>
        <w:ind w:left="720" w:hanging="360"/>
      </w:pPr>
    </w:lvl>
    <w:lvl w:ilvl="2" w:tplc="FC52687E">
      <w:start w:val="1"/>
      <w:numFmt w:val="lowerRoman"/>
      <w:lvlText w:val="%3."/>
      <w:lvlJc w:val="right"/>
      <w:pPr>
        <w:ind w:left="1080" w:hanging="180"/>
      </w:pPr>
    </w:lvl>
    <w:lvl w:ilvl="3" w:tplc="084A5050">
      <w:start w:val="1"/>
      <w:numFmt w:val="decimal"/>
      <w:lvlText w:val="%4."/>
      <w:lvlJc w:val="left"/>
      <w:pPr>
        <w:ind w:left="1440" w:hanging="360"/>
      </w:pPr>
    </w:lvl>
    <w:lvl w:ilvl="4" w:tplc="63B6BDF0">
      <w:start w:val="1"/>
      <w:numFmt w:val="lowerLetter"/>
      <w:lvlText w:val="%5."/>
      <w:lvlJc w:val="left"/>
      <w:pPr>
        <w:ind w:left="1440" w:hanging="360"/>
      </w:pPr>
    </w:lvl>
    <w:lvl w:ilvl="5" w:tplc="313C2900">
      <w:start w:val="1"/>
      <w:numFmt w:val="lowerRoman"/>
      <w:lvlText w:val="%6."/>
      <w:lvlJc w:val="right"/>
      <w:pPr>
        <w:ind w:left="1800" w:hanging="180"/>
      </w:pPr>
    </w:lvl>
    <w:lvl w:ilvl="6" w:tplc="6016941C">
      <w:start w:val="1"/>
      <w:numFmt w:val="decimal"/>
      <w:lvlText w:val="%7."/>
      <w:lvlJc w:val="left"/>
      <w:pPr>
        <w:ind w:left="2160" w:hanging="360"/>
      </w:pPr>
    </w:lvl>
    <w:lvl w:ilvl="7" w:tplc="8842AFD8">
      <w:start w:val="1"/>
      <w:numFmt w:val="lowerLetter"/>
      <w:lvlText w:val="%8."/>
      <w:lvlJc w:val="left"/>
      <w:pPr>
        <w:ind w:left="2520" w:hanging="360"/>
      </w:pPr>
    </w:lvl>
    <w:lvl w:ilvl="8" w:tplc="5E60153C">
      <w:start w:val="1"/>
      <w:numFmt w:val="lowerRoman"/>
      <w:lvlText w:val="%9."/>
      <w:lvlJc w:val="right"/>
      <w:pPr>
        <w:ind w:left="2880" w:hanging="180"/>
      </w:pPr>
    </w:lvl>
  </w:abstractNum>
  <w:abstractNum w:abstractNumId="6" w15:restartNumberingAfterBreak="0">
    <w:nsid w:val="2EE7BE7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0A0976D"/>
    <w:multiLevelType w:val="hybridMultilevel"/>
    <w:tmpl w:val="FFFFFFFF"/>
    <w:lvl w:ilvl="0" w:tplc="F8C4281C">
      <w:start w:val="1"/>
      <w:numFmt w:val="decimal"/>
      <w:lvlText w:val="%1.0"/>
      <w:lvlJc w:val="left"/>
      <w:pPr>
        <w:ind w:left="360" w:hanging="360"/>
      </w:pPr>
    </w:lvl>
    <w:lvl w:ilvl="1" w:tplc="14D824EE">
      <w:start w:val="1"/>
      <w:numFmt w:val="lowerLetter"/>
      <w:lvlText w:val="%2."/>
      <w:lvlJc w:val="left"/>
      <w:pPr>
        <w:ind w:left="720" w:hanging="360"/>
      </w:pPr>
    </w:lvl>
    <w:lvl w:ilvl="2" w:tplc="1BC488F2">
      <w:start w:val="1"/>
      <w:numFmt w:val="lowerRoman"/>
      <w:lvlText w:val="%3."/>
      <w:lvlJc w:val="right"/>
      <w:pPr>
        <w:ind w:left="1080" w:hanging="180"/>
      </w:pPr>
    </w:lvl>
    <w:lvl w:ilvl="3" w:tplc="54A226A8">
      <w:start w:val="1"/>
      <w:numFmt w:val="decimal"/>
      <w:lvlText w:val="%4."/>
      <w:lvlJc w:val="left"/>
      <w:pPr>
        <w:ind w:left="1440" w:hanging="360"/>
      </w:pPr>
    </w:lvl>
    <w:lvl w:ilvl="4" w:tplc="3F82CEB4">
      <w:start w:val="1"/>
      <w:numFmt w:val="lowerLetter"/>
      <w:lvlText w:val="%5."/>
      <w:lvlJc w:val="left"/>
      <w:pPr>
        <w:ind w:left="1440" w:hanging="360"/>
      </w:pPr>
    </w:lvl>
    <w:lvl w:ilvl="5" w:tplc="894EEF60">
      <w:start w:val="1"/>
      <w:numFmt w:val="lowerRoman"/>
      <w:lvlText w:val="%6."/>
      <w:lvlJc w:val="right"/>
      <w:pPr>
        <w:ind w:left="1800" w:hanging="180"/>
      </w:pPr>
    </w:lvl>
    <w:lvl w:ilvl="6" w:tplc="BFB63386">
      <w:start w:val="1"/>
      <w:numFmt w:val="decimal"/>
      <w:lvlText w:val="%7."/>
      <w:lvlJc w:val="left"/>
      <w:pPr>
        <w:ind w:left="2160" w:hanging="360"/>
      </w:pPr>
    </w:lvl>
    <w:lvl w:ilvl="7" w:tplc="E4DEAC30">
      <w:start w:val="1"/>
      <w:numFmt w:val="lowerLetter"/>
      <w:lvlText w:val="%8."/>
      <w:lvlJc w:val="left"/>
      <w:pPr>
        <w:ind w:left="2520" w:hanging="360"/>
      </w:pPr>
    </w:lvl>
    <w:lvl w:ilvl="8" w:tplc="1F542B8E">
      <w:start w:val="1"/>
      <w:numFmt w:val="lowerRoman"/>
      <w:lvlText w:val="%9."/>
      <w:lvlJc w:val="right"/>
      <w:pPr>
        <w:ind w:left="2880" w:hanging="180"/>
      </w:pPr>
    </w:lvl>
  </w:abstractNum>
  <w:abstractNum w:abstractNumId="8" w15:restartNumberingAfterBreak="0">
    <w:nsid w:val="30E73AD7"/>
    <w:multiLevelType w:val="multilevel"/>
    <w:tmpl w:val="283A87D8"/>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385ECE74"/>
    <w:multiLevelType w:val="hybridMultilevel"/>
    <w:tmpl w:val="FFFFFFFF"/>
    <w:lvl w:ilvl="0" w:tplc="46C8BEB4">
      <w:start w:val="4"/>
      <w:numFmt w:val="decimal"/>
      <w:lvlText w:val="%1.0"/>
      <w:lvlJc w:val="left"/>
      <w:pPr>
        <w:ind w:left="360" w:hanging="360"/>
      </w:pPr>
    </w:lvl>
    <w:lvl w:ilvl="1" w:tplc="6F68574C">
      <w:start w:val="1"/>
      <w:numFmt w:val="lowerLetter"/>
      <w:lvlText w:val="%2."/>
      <w:lvlJc w:val="left"/>
      <w:pPr>
        <w:ind w:left="720" w:hanging="360"/>
      </w:pPr>
    </w:lvl>
    <w:lvl w:ilvl="2" w:tplc="5E2C3896">
      <w:start w:val="1"/>
      <w:numFmt w:val="lowerRoman"/>
      <w:lvlText w:val="%3."/>
      <w:lvlJc w:val="right"/>
      <w:pPr>
        <w:ind w:left="1080" w:hanging="180"/>
      </w:pPr>
    </w:lvl>
    <w:lvl w:ilvl="3" w:tplc="529A511E">
      <w:start w:val="1"/>
      <w:numFmt w:val="decimal"/>
      <w:lvlText w:val="%4."/>
      <w:lvlJc w:val="left"/>
      <w:pPr>
        <w:ind w:left="1440" w:hanging="360"/>
      </w:pPr>
    </w:lvl>
    <w:lvl w:ilvl="4" w:tplc="3F90F7A0">
      <w:start w:val="1"/>
      <w:numFmt w:val="lowerLetter"/>
      <w:lvlText w:val="%5."/>
      <w:lvlJc w:val="left"/>
      <w:pPr>
        <w:ind w:left="1440" w:hanging="360"/>
      </w:pPr>
    </w:lvl>
    <w:lvl w:ilvl="5" w:tplc="3A06538C">
      <w:start w:val="1"/>
      <w:numFmt w:val="lowerRoman"/>
      <w:lvlText w:val="%6."/>
      <w:lvlJc w:val="right"/>
      <w:pPr>
        <w:ind w:left="1800" w:hanging="180"/>
      </w:pPr>
    </w:lvl>
    <w:lvl w:ilvl="6" w:tplc="7592074E">
      <w:start w:val="1"/>
      <w:numFmt w:val="decimal"/>
      <w:lvlText w:val="%7."/>
      <w:lvlJc w:val="left"/>
      <w:pPr>
        <w:ind w:left="2160" w:hanging="360"/>
      </w:pPr>
    </w:lvl>
    <w:lvl w:ilvl="7" w:tplc="A8462A26">
      <w:start w:val="1"/>
      <w:numFmt w:val="lowerLetter"/>
      <w:lvlText w:val="%8."/>
      <w:lvlJc w:val="left"/>
      <w:pPr>
        <w:ind w:left="2520" w:hanging="360"/>
      </w:pPr>
    </w:lvl>
    <w:lvl w:ilvl="8" w:tplc="3C307382">
      <w:start w:val="1"/>
      <w:numFmt w:val="lowerRoman"/>
      <w:lvlText w:val="%9."/>
      <w:lvlJc w:val="right"/>
      <w:pPr>
        <w:ind w:left="2880" w:hanging="180"/>
      </w:pPr>
    </w:lvl>
  </w:abstractNum>
  <w:abstractNum w:abstractNumId="10" w15:restartNumberingAfterBreak="0">
    <w:nsid w:val="47B951EA"/>
    <w:multiLevelType w:val="multilevel"/>
    <w:tmpl w:val="E570A7E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54A74346"/>
    <w:multiLevelType w:val="multilevel"/>
    <w:tmpl w:val="D9E2588C"/>
    <w:lvl w:ilvl="0">
      <w:start w:val="5"/>
      <w:numFmt w:val="decimal"/>
      <w:lvlText w:val="%1.0"/>
      <w:lvlJc w:val="left"/>
      <w:pPr>
        <w:ind w:left="360" w:hanging="360"/>
      </w:pPr>
      <w:rPr>
        <w:rFonts w:hint="default"/>
        <w:sz w:val="28"/>
        <w:szCs w:val="28"/>
      </w:rPr>
    </w:lvl>
    <w:lvl w:ilvl="1">
      <w:start w:val="4"/>
      <w:numFmt w:val="decimal"/>
      <w:lvlText w:val="%1.%2."/>
      <w:lvlJc w:val="left"/>
      <w:pPr>
        <w:ind w:left="720" w:hanging="720"/>
      </w:pPr>
      <w:rPr>
        <w:rFonts w:hint="default"/>
        <w:b w:val="0"/>
        <w:bCs w:val="0"/>
        <w:i w:val="0"/>
        <w:i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5668D228"/>
    <w:multiLevelType w:val="multilevel"/>
    <w:tmpl w:val="FFFFFFFF"/>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5C057BF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00E546F"/>
    <w:multiLevelType w:val="multilevel"/>
    <w:tmpl w:val="95FA021E"/>
    <w:lvl w:ilvl="0">
      <w:start w:val="1"/>
      <w:numFmt w:val="decimal"/>
      <w:lvlText w:val="%1.0"/>
      <w:lvlJc w:val="left"/>
      <w:pPr>
        <w:ind w:left="360" w:hanging="360"/>
      </w:pPr>
      <w:rPr>
        <w:sz w:val="28"/>
        <w:szCs w:val="28"/>
      </w:rPr>
    </w:lvl>
    <w:lvl w:ilvl="1">
      <w:start w:val="1"/>
      <w:numFmt w:val="decimal"/>
      <w:lvlText w:val="%1.%2."/>
      <w:lvlJc w:val="left"/>
      <w:pPr>
        <w:ind w:left="720" w:hanging="720"/>
      </w:pPr>
      <w:rPr>
        <w:rFonts w:ascii="Verdana" w:hAnsi="Verdana" w:hint="default"/>
        <w:b w:val="0"/>
        <w:bCs w:val="0"/>
        <w:i w:val="0"/>
        <w:iCs w:val="0"/>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5" w15:restartNumberingAfterBreak="0">
    <w:nsid w:val="678D5FE5"/>
    <w:multiLevelType w:val="multilevel"/>
    <w:tmpl w:val="325EC6B2"/>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7EC672F4"/>
    <w:multiLevelType w:val="hybridMultilevel"/>
    <w:tmpl w:val="FFFFFFFF"/>
    <w:lvl w:ilvl="0" w:tplc="231EB75C">
      <w:start w:val="4"/>
      <w:numFmt w:val="decimal"/>
      <w:lvlText w:val="%1.0"/>
      <w:lvlJc w:val="left"/>
      <w:pPr>
        <w:ind w:left="360" w:hanging="360"/>
      </w:pPr>
    </w:lvl>
    <w:lvl w:ilvl="1" w:tplc="D20C94CE">
      <w:start w:val="1"/>
      <w:numFmt w:val="lowerLetter"/>
      <w:lvlText w:val="%2."/>
      <w:lvlJc w:val="left"/>
      <w:pPr>
        <w:ind w:left="720" w:hanging="360"/>
      </w:pPr>
    </w:lvl>
    <w:lvl w:ilvl="2" w:tplc="4EAEFF02">
      <w:start w:val="1"/>
      <w:numFmt w:val="lowerRoman"/>
      <w:lvlText w:val="%3."/>
      <w:lvlJc w:val="right"/>
      <w:pPr>
        <w:ind w:left="1080" w:hanging="180"/>
      </w:pPr>
    </w:lvl>
    <w:lvl w:ilvl="3" w:tplc="A150F2C6">
      <w:start w:val="1"/>
      <w:numFmt w:val="decimal"/>
      <w:lvlText w:val="%4."/>
      <w:lvlJc w:val="left"/>
      <w:pPr>
        <w:ind w:left="1440" w:hanging="360"/>
      </w:pPr>
    </w:lvl>
    <w:lvl w:ilvl="4" w:tplc="3800CF26">
      <w:start w:val="1"/>
      <w:numFmt w:val="lowerLetter"/>
      <w:lvlText w:val="%5."/>
      <w:lvlJc w:val="left"/>
      <w:pPr>
        <w:ind w:left="1440" w:hanging="360"/>
      </w:pPr>
    </w:lvl>
    <w:lvl w:ilvl="5" w:tplc="69241D74">
      <w:start w:val="1"/>
      <w:numFmt w:val="lowerRoman"/>
      <w:lvlText w:val="%6."/>
      <w:lvlJc w:val="right"/>
      <w:pPr>
        <w:ind w:left="1800" w:hanging="180"/>
      </w:pPr>
    </w:lvl>
    <w:lvl w:ilvl="6" w:tplc="6FAEE470">
      <w:start w:val="1"/>
      <w:numFmt w:val="decimal"/>
      <w:lvlText w:val="%7."/>
      <w:lvlJc w:val="left"/>
      <w:pPr>
        <w:ind w:left="2160" w:hanging="360"/>
      </w:pPr>
    </w:lvl>
    <w:lvl w:ilvl="7" w:tplc="3C12CFEC">
      <w:start w:val="1"/>
      <w:numFmt w:val="lowerLetter"/>
      <w:lvlText w:val="%8."/>
      <w:lvlJc w:val="left"/>
      <w:pPr>
        <w:ind w:left="2520" w:hanging="360"/>
      </w:pPr>
    </w:lvl>
    <w:lvl w:ilvl="8" w:tplc="427CF770">
      <w:start w:val="1"/>
      <w:numFmt w:val="lowerRoman"/>
      <w:lvlText w:val="%9."/>
      <w:lvlJc w:val="right"/>
      <w:pPr>
        <w:ind w:left="2880" w:hanging="180"/>
      </w:pPr>
    </w:lvl>
  </w:abstractNum>
  <w:num w:numId="1" w16cid:durableId="1126462955">
    <w:abstractNumId w:val="14"/>
  </w:num>
  <w:num w:numId="2" w16cid:durableId="162739960">
    <w:abstractNumId w:val="10"/>
  </w:num>
  <w:num w:numId="3" w16cid:durableId="93986944">
    <w:abstractNumId w:val="12"/>
  </w:num>
  <w:num w:numId="4" w16cid:durableId="1776946682">
    <w:abstractNumId w:val="6"/>
  </w:num>
  <w:num w:numId="5" w16cid:durableId="833495074">
    <w:abstractNumId w:val="7"/>
  </w:num>
  <w:num w:numId="6" w16cid:durableId="420493866">
    <w:abstractNumId w:val="13"/>
  </w:num>
  <w:num w:numId="7" w16cid:durableId="268245531">
    <w:abstractNumId w:val="1"/>
  </w:num>
  <w:num w:numId="8" w16cid:durableId="64225823">
    <w:abstractNumId w:val="5"/>
  </w:num>
  <w:num w:numId="9" w16cid:durableId="1365213085">
    <w:abstractNumId w:val="9"/>
  </w:num>
  <w:num w:numId="10" w16cid:durableId="1114179672">
    <w:abstractNumId w:val="16"/>
  </w:num>
  <w:num w:numId="11" w16cid:durableId="540484882">
    <w:abstractNumId w:val="2"/>
  </w:num>
  <w:num w:numId="12" w16cid:durableId="1588268603">
    <w:abstractNumId w:val="3"/>
  </w:num>
  <w:num w:numId="13" w16cid:durableId="1332365453">
    <w:abstractNumId w:val="0"/>
  </w:num>
  <w:num w:numId="14" w16cid:durableId="612859015">
    <w:abstractNumId w:val="4"/>
  </w:num>
  <w:num w:numId="15" w16cid:durableId="475684636">
    <w:abstractNumId w:val="11"/>
  </w:num>
  <w:num w:numId="16" w16cid:durableId="595749426">
    <w:abstractNumId w:val="15"/>
  </w:num>
  <w:num w:numId="17" w16cid:durableId="1816725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4C"/>
    <w:rsid w:val="00001320"/>
    <w:rsid w:val="000015D7"/>
    <w:rsid w:val="00001E26"/>
    <w:rsid w:val="000058F1"/>
    <w:rsid w:val="0001046D"/>
    <w:rsid w:val="000119B2"/>
    <w:rsid w:val="00012A67"/>
    <w:rsid w:val="00013199"/>
    <w:rsid w:val="000133DF"/>
    <w:rsid w:val="00020802"/>
    <w:rsid w:val="00020A35"/>
    <w:rsid w:val="00022508"/>
    <w:rsid w:val="000226E0"/>
    <w:rsid w:val="0002285C"/>
    <w:rsid w:val="000235BA"/>
    <w:rsid w:val="000256FD"/>
    <w:rsid w:val="000295D0"/>
    <w:rsid w:val="000317A9"/>
    <w:rsid w:val="000324A0"/>
    <w:rsid w:val="00033FDC"/>
    <w:rsid w:val="00040621"/>
    <w:rsid w:val="00040DEB"/>
    <w:rsid w:val="00040FCA"/>
    <w:rsid w:val="000420CC"/>
    <w:rsid w:val="000421FE"/>
    <w:rsid w:val="00042880"/>
    <w:rsid w:val="00043951"/>
    <w:rsid w:val="00044CEC"/>
    <w:rsid w:val="000451CF"/>
    <w:rsid w:val="00046FE4"/>
    <w:rsid w:val="00050103"/>
    <w:rsid w:val="00051DEC"/>
    <w:rsid w:val="00053702"/>
    <w:rsid w:val="000542C1"/>
    <w:rsid w:val="00055482"/>
    <w:rsid w:val="0005647A"/>
    <w:rsid w:val="00057382"/>
    <w:rsid w:val="0005782F"/>
    <w:rsid w:val="00060AFA"/>
    <w:rsid w:val="00062AEF"/>
    <w:rsid w:val="00063493"/>
    <w:rsid w:val="00064A6D"/>
    <w:rsid w:val="00066BFF"/>
    <w:rsid w:val="000700A7"/>
    <w:rsid w:val="00070298"/>
    <w:rsid w:val="0007036B"/>
    <w:rsid w:val="00072A05"/>
    <w:rsid w:val="00073411"/>
    <w:rsid w:val="0007361F"/>
    <w:rsid w:val="000739EF"/>
    <w:rsid w:val="00073BE1"/>
    <w:rsid w:val="00073CBA"/>
    <w:rsid w:val="000748C7"/>
    <w:rsid w:val="00075028"/>
    <w:rsid w:val="00075E98"/>
    <w:rsid w:val="00080916"/>
    <w:rsid w:val="00081550"/>
    <w:rsid w:val="00081D44"/>
    <w:rsid w:val="00082846"/>
    <w:rsid w:val="00083401"/>
    <w:rsid w:val="00083E58"/>
    <w:rsid w:val="000846F1"/>
    <w:rsid w:val="00084780"/>
    <w:rsid w:val="00091D16"/>
    <w:rsid w:val="00093F94"/>
    <w:rsid w:val="00094ED4"/>
    <w:rsid w:val="00094F1F"/>
    <w:rsid w:val="000956A8"/>
    <w:rsid w:val="00097CE3"/>
    <w:rsid w:val="00097ECF"/>
    <w:rsid w:val="000A0B55"/>
    <w:rsid w:val="000A19C5"/>
    <w:rsid w:val="000A423D"/>
    <w:rsid w:val="000A4F3A"/>
    <w:rsid w:val="000A51DC"/>
    <w:rsid w:val="000A6611"/>
    <w:rsid w:val="000A6820"/>
    <w:rsid w:val="000A7A1E"/>
    <w:rsid w:val="000A7F9B"/>
    <w:rsid w:val="000B0B7D"/>
    <w:rsid w:val="000B1076"/>
    <w:rsid w:val="000B1F58"/>
    <w:rsid w:val="000B2445"/>
    <w:rsid w:val="000B2FDB"/>
    <w:rsid w:val="000B4DF8"/>
    <w:rsid w:val="000B5005"/>
    <w:rsid w:val="000B6B3F"/>
    <w:rsid w:val="000B74A0"/>
    <w:rsid w:val="000B7E54"/>
    <w:rsid w:val="000C0A2C"/>
    <w:rsid w:val="000C13C4"/>
    <w:rsid w:val="000C16E1"/>
    <w:rsid w:val="000C6063"/>
    <w:rsid w:val="000C64B7"/>
    <w:rsid w:val="000C6E12"/>
    <w:rsid w:val="000D02DD"/>
    <w:rsid w:val="000D033D"/>
    <w:rsid w:val="000D0B45"/>
    <w:rsid w:val="000D0D7B"/>
    <w:rsid w:val="000D0F39"/>
    <w:rsid w:val="000D3BF8"/>
    <w:rsid w:val="000D6548"/>
    <w:rsid w:val="000D6DE6"/>
    <w:rsid w:val="000E18B7"/>
    <w:rsid w:val="000E211D"/>
    <w:rsid w:val="000E36E3"/>
    <w:rsid w:val="000E4761"/>
    <w:rsid w:val="000E490D"/>
    <w:rsid w:val="000E5714"/>
    <w:rsid w:val="000E64AF"/>
    <w:rsid w:val="000E6523"/>
    <w:rsid w:val="000E74D5"/>
    <w:rsid w:val="000F1E3B"/>
    <w:rsid w:val="000F29EC"/>
    <w:rsid w:val="000F2BAF"/>
    <w:rsid w:val="000F33D5"/>
    <w:rsid w:val="000F3F46"/>
    <w:rsid w:val="000F4325"/>
    <w:rsid w:val="000F4B1F"/>
    <w:rsid w:val="000F671A"/>
    <w:rsid w:val="0010788B"/>
    <w:rsid w:val="00107A2F"/>
    <w:rsid w:val="00107AE8"/>
    <w:rsid w:val="00107FB0"/>
    <w:rsid w:val="00110F3F"/>
    <w:rsid w:val="00111768"/>
    <w:rsid w:val="00113BB0"/>
    <w:rsid w:val="00113F80"/>
    <w:rsid w:val="00114452"/>
    <w:rsid w:val="00116727"/>
    <w:rsid w:val="001175B6"/>
    <w:rsid w:val="00121969"/>
    <w:rsid w:val="00122B82"/>
    <w:rsid w:val="00122D96"/>
    <w:rsid w:val="0012424C"/>
    <w:rsid w:val="001248AB"/>
    <w:rsid w:val="001252C1"/>
    <w:rsid w:val="00125A5C"/>
    <w:rsid w:val="00125A73"/>
    <w:rsid w:val="001260B5"/>
    <w:rsid w:val="001276FB"/>
    <w:rsid w:val="001326B2"/>
    <w:rsid w:val="00133980"/>
    <w:rsid w:val="00133E00"/>
    <w:rsid w:val="00134FDB"/>
    <w:rsid w:val="00135B2E"/>
    <w:rsid w:val="001363C0"/>
    <w:rsid w:val="001373C3"/>
    <w:rsid w:val="00137BE6"/>
    <w:rsid w:val="0014096D"/>
    <w:rsid w:val="00141DA2"/>
    <w:rsid w:val="001428BD"/>
    <w:rsid w:val="00142D95"/>
    <w:rsid w:val="00144F09"/>
    <w:rsid w:val="00150D4D"/>
    <w:rsid w:val="001535B7"/>
    <w:rsid w:val="00153903"/>
    <w:rsid w:val="001543E4"/>
    <w:rsid w:val="00155391"/>
    <w:rsid w:val="00156471"/>
    <w:rsid w:val="00156D6C"/>
    <w:rsid w:val="001577E0"/>
    <w:rsid w:val="00160742"/>
    <w:rsid w:val="00161348"/>
    <w:rsid w:val="00161DAB"/>
    <w:rsid w:val="0016373E"/>
    <w:rsid w:val="00163BEF"/>
    <w:rsid w:val="00164AF9"/>
    <w:rsid w:val="00167143"/>
    <w:rsid w:val="001704AC"/>
    <w:rsid w:val="00171787"/>
    <w:rsid w:val="001717A5"/>
    <w:rsid w:val="00171D52"/>
    <w:rsid w:val="0017278D"/>
    <w:rsid w:val="00173521"/>
    <w:rsid w:val="0017417D"/>
    <w:rsid w:val="00174B55"/>
    <w:rsid w:val="001755E7"/>
    <w:rsid w:val="00176F02"/>
    <w:rsid w:val="00182651"/>
    <w:rsid w:val="001830EA"/>
    <w:rsid w:val="00186F95"/>
    <w:rsid w:val="00187222"/>
    <w:rsid w:val="00191DA3"/>
    <w:rsid w:val="00192229"/>
    <w:rsid w:val="00194FA6"/>
    <w:rsid w:val="00196228"/>
    <w:rsid w:val="00196A79"/>
    <w:rsid w:val="001A1520"/>
    <w:rsid w:val="001A1F62"/>
    <w:rsid w:val="001A3045"/>
    <w:rsid w:val="001A30F8"/>
    <w:rsid w:val="001A4623"/>
    <w:rsid w:val="001A7B56"/>
    <w:rsid w:val="001B0328"/>
    <w:rsid w:val="001B0E47"/>
    <w:rsid w:val="001B10A9"/>
    <w:rsid w:val="001B16C1"/>
    <w:rsid w:val="001B7867"/>
    <w:rsid w:val="001B7B1E"/>
    <w:rsid w:val="001B7E8F"/>
    <w:rsid w:val="001B7F4B"/>
    <w:rsid w:val="001C06E7"/>
    <w:rsid w:val="001C2D14"/>
    <w:rsid w:val="001C377F"/>
    <w:rsid w:val="001C3A65"/>
    <w:rsid w:val="001C55D5"/>
    <w:rsid w:val="001C57BD"/>
    <w:rsid w:val="001C6043"/>
    <w:rsid w:val="001D08BD"/>
    <w:rsid w:val="001D10FC"/>
    <w:rsid w:val="001D15F9"/>
    <w:rsid w:val="001D2D7C"/>
    <w:rsid w:val="001D339D"/>
    <w:rsid w:val="001D614B"/>
    <w:rsid w:val="001E1536"/>
    <w:rsid w:val="001E1DFE"/>
    <w:rsid w:val="001E1F0A"/>
    <w:rsid w:val="001E289D"/>
    <w:rsid w:val="001E33EA"/>
    <w:rsid w:val="001E370C"/>
    <w:rsid w:val="001E3B91"/>
    <w:rsid w:val="001E5301"/>
    <w:rsid w:val="001E6E34"/>
    <w:rsid w:val="001E7489"/>
    <w:rsid w:val="001F17C9"/>
    <w:rsid w:val="001F2744"/>
    <w:rsid w:val="001F39D1"/>
    <w:rsid w:val="001F3C45"/>
    <w:rsid w:val="001F3D70"/>
    <w:rsid w:val="001F3D82"/>
    <w:rsid w:val="001F446B"/>
    <w:rsid w:val="001F458C"/>
    <w:rsid w:val="001F4A79"/>
    <w:rsid w:val="001F56C4"/>
    <w:rsid w:val="001F6006"/>
    <w:rsid w:val="001F6389"/>
    <w:rsid w:val="00201781"/>
    <w:rsid w:val="002025A1"/>
    <w:rsid w:val="00203926"/>
    <w:rsid w:val="002045A6"/>
    <w:rsid w:val="0020461F"/>
    <w:rsid w:val="00204CA2"/>
    <w:rsid w:val="0020639B"/>
    <w:rsid w:val="002075DE"/>
    <w:rsid w:val="00207A18"/>
    <w:rsid w:val="002125A0"/>
    <w:rsid w:val="0021343A"/>
    <w:rsid w:val="00217A29"/>
    <w:rsid w:val="00220D92"/>
    <w:rsid w:val="00222CC9"/>
    <w:rsid w:val="00223C87"/>
    <w:rsid w:val="002246B3"/>
    <w:rsid w:val="002330E1"/>
    <w:rsid w:val="00233A64"/>
    <w:rsid w:val="00235F4E"/>
    <w:rsid w:val="00236537"/>
    <w:rsid w:val="00236945"/>
    <w:rsid w:val="00237004"/>
    <w:rsid w:val="00240E63"/>
    <w:rsid w:val="0024106C"/>
    <w:rsid w:val="00241C43"/>
    <w:rsid w:val="00243B14"/>
    <w:rsid w:val="00244D1B"/>
    <w:rsid w:val="00250B3E"/>
    <w:rsid w:val="00251CE7"/>
    <w:rsid w:val="00254A57"/>
    <w:rsid w:val="0025570D"/>
    <w:rsid w:val="002568F4"/>
    <w:rsid w:val="00256E6D"/>
    <w:rsid w:val="002572F9"/>
    <w:rsid w:val="00257359"/>
    <w:rsid w:val="0026000D"/>
    <w:rsid w:val="0026059E"/>
    <w:rsid w:val="002607D0"/>
    <w:rsid w:val="00261D26"/>
    <w:rsid w:val="0026278D"/>
    <w:rsid w:val="0026289A"/>
    <w:rsid w:val="002647E3"/>
    <w:rsid w:val="00264AAD"/>
    <w:rsid w:val="002702D5"/>
    <w:rsid w:val="002711CD"/>
    <w:rsid w:val="002723A7"/>
    <w:rsid w:val="00272F21"/>
    <w:rsid w:val="00273C64"/>
    <w:rsid w:val="00276AD6"/>
    <w:rsid w:val="00277175"/>
    <w:rsid w:val="002772A6"/>
    <w:rsid w:val="002813CF"/>
    <w:rsid w:val="00290690"/>
    <w:rsid w:val="002957EA"/>
    <w:rsid w:val="002963E8"/>
    <w:rsid w:val="002969DF"/>
    <w:rsid w:val="00296C44"/>
    <w:rsid w:val="002A1B76"/>
    <w:rsid w:val="002A1C0A"/>
    <w:rsid w:val="002A1E49"/>
    <w:rsid w:val="002A29A1"/>
    <w:rsid w:val="002A2B85"/>
    <w:rsid w:val="002A2C08"/>
    <w:rsid w:val="002A5457"/>
    <w:rsid w:val="002A69E2"/>
    <w:rsid w:val="002B0BCE"/>
    <w:rsid w:val="002B3104"/>
    <w:rsid w:val="002B4AC2"/>
    <w:rsid w:val="002B7F7A"/>
    <w:rsid w:val="002C066A"/>
    <w:rsid w:val="002C09DA"/>
    <w:rsid w:val="002C173C"/>
    <w:rsid w:val="002C448B"/>
    <w:rsid w:val="002C6577"/>
    <w:rsid w:val="002D066C"/>
    <w:rsid w:val="002D3909"/>
    <w:rsid w:val="002D5C8B"/>
    <w:rsid w:val="002D5DDC"/>
    <w:rsid w:val="002D5F6E"/>
    <w:rsid w:val="002D6005"/>
    <w:rsid w:val="002D7C83"/>
    <w:rsid w:val="002D7CF6"/>
    <w:rsid w:val="002E056A"/>
    <w:rsid w:val="002E05E0"/>
    <w:rsid w:val="002E107D"/>
    <w:rsid w:val="002E1DF0"/>
    <w:rsid w:val="002E427C"/>
    <w:rsid w:val="002F186F"/>
    <w:rsid w:val="002F3D1D"/>
    <w:rsid w:val="002F4080"/>
    <w:rsid w:val="002F5E16"/>
    <w:rsid w:val="002F744A"/>
    <w:rsid w:val="00300B6F"/>
    <w:rsid w:val="003017CA"/>
    <w:rsid w:val="003023C1"/>
    <w:rsid w:val="003035F3"/>
    <w:rsid w:val="003125F6"/>
    <w:rsid w:val="00312AB1"/>
    <w:rsid w:val="003131A5"/>
    <w:rsid w:val="0031430B"/>
    <w:rsid w:val="00317506"/>
    <w:rsid w:val="0032086F"/>
    <w:rsid w:val="00322126"/>
    <w:rsid w:val="003229AF"/>
    <w:rsid w:val="00322E83"/>
    <w:rsid w:val="0032635F"/>
    <w:rsid w:val="003357FA"/>
    <w:rsid w:val="00335AD8"/>
    <w:rsid w:val="00337A13"/>
    <w:rsid w:val="003408F6"/>
    <w:rsid w:val="003421FD"/>
    <w:rsid w:val="00342217"/>
    <w:rsid w:val="00342C19"/>
    <w:rsid w:val="00343A08"/>
    <w:rsid w:val="00343EC8"/>
    <w:rsid w:val="0034402C"/>
    <w:rsid w:val="00345D94"/>
    <w:rsid w:val="003464F8"/>
    <w:rsid w:val="003532F3"/>
    <w:rsid w:val="00355F05"/>
    <w:rsid w:val="003561C9"/>
    <w:rsid w:val="00356C57"/>
    <w:rsid w:val="00360C38"/>
    <w:rsid w:val="00362747"/>
    <w:rsid w:val="003635ED"/>
    <w:rsid w:val="00363E9B"/>
    <w:rsid w:val="0036497D"/>
    <w:rsid w:val="003652E4"/>
    <w:rsid w:val="00366401"/>
    <w:rsid w:val="003679DA"/>
    <w:rsid w:val="003709F2"/>
    <w:rsid w:val="00372B2C"/>
    <w:rsid w:val="00372F6D"/>
    <w:rsid w:val="003739F7"/>
    <w:rsid w:val="0037500F"/>
    <w:rsid w:val="00375F22"/>
    <w:rsid w:val="00376B20"/>
    <w:rsid w:val="0038094B"/>
    <w:rsid w:val="0038143C"/>
    <w:rsid w:val="0038231D"/>
    <w:rsid w:val="003842E1"/>
    <w:rsid w:val="003853C6"/>
    <w:rsid w:val="00385865"/>
    <w:rsid w:val="00385893"/>
    <w:rsid w:val="0039028E"/>
    <w:rsid w:val="0039038C"/>
    <w:rsid w:val="00390485"/>
    <w:rsid w:val="003907C1"/>
    <w:rsid w:val="00391622"/>
    <w:rsid w:val="003922CE"/>
    <w:rsid w:val="00392B7C"/>
    <w:rsid w:val="00392C15"/>
    <w:rsid w:val="003935DE"/>
    <w:rsid w:val="003938FD"/>
    <w:rsid w:val="003939A7"/>
    <w:rsid w:val="00393A5D"/>
    <w:rsid w:val="003946C5"/>
    <w:rsid w:val="00394A46"/>
    <w:rsid w:val="0039700A"/>
    <w:rsid w:val="003A0DE1"/>
    <w:rsid w:val="003A10D3"/>
    <w:rsid w:val="003A24E8"/>
    <w:rsid w:val="003A3CB4"/>
    <w:rsid w:val="003A5D24"/>
    <w:rsid w:val="003A64B6"/>
    <w:rsid w:val="003A6651"/>
    <w:rsid w:val="003A6AAD"/>
    <w:rsid w:val="003A6BA4"/>
    <w:rsid w:val="003A6F3A"/>
    <w:rsid w:val="003B0DE4"/>
    <w:rsid w:val="003B4BEA"/>
    <w:rsid w:val="003B4E2D"/>
    <w:rsid w:val="003B50A8"/>
    <w:rsid w:val="003B5730"/>
    <w:rsid w:val="003B6442"/>
    <w:rsid w:val="003B6A1C"/>
    <w:rsid w:val="003C00DB"/>
    <w:rsid w:val="003C03B7"/>
    <w:rsid w:val="003C500D"/>
    <w:rsid w:val="003D06FE"/>
    <w:rsid w:val="003D07DA"/>
    <w:rsid w:val="003D07F7"/>
    <w:rsid w:val="003D2C8B"/>
    <w:rsid w:val="003D3DE6"/>
    <w:rsid w:val="003D5911"/>
    <w:rsid w:val="003D5BE1"/>
    <w:rsid w:val="003D6852"/>
    <w:rsid w:val="003D6DF8"/>
    <w:rsid w:val="003D7ABF"/>
    <w:rsid w:val="003E0C59"/>
    <w:rsid w:val="003E187D"/>
    <w:rsid w:val="003E2378"/>
    <w:rsid w:val="003E2909"/>
    <w:rsid w:val="003E2947"/>
    <w:rsid w:val="003E4CA2"/>
    <w:rsid w:val="003E57A4"/>
    <w:rsid w:val="003E7820"/>
    <w:rsid w:val="003E7F61"/>
    <w:rsid w:val="003F06BE"/>
    <w:rsid w:val="003F06F9"/>
    <w:rsid w:val="003F2A4C"/>
    <w:rsid w:val="003F2C2D"/>
    <w:rsid w:val="003F3448"/>
    <w:rsid w:val="003F3BF0"/>
    <w:rsid w:val="003F4545"/>
    <w:rsid w:val="003F501F"/>
    <w:rsid w:val="003F6A5B"/>
    <w:rsid w:val="003F76EC"/>
    <w:rsid w:val="00400701"/>
    <w:rsid w:val="00400983"/>
    <w:rsid w:val="00401B00"/>
    <w:rsid w:val="00402646"/>
    <w:rsid w:val="004028F2"/>
    <w:rsid w:val="004049AF"/>
    <w:rsid w:val="00404A8F"/>
    <w:rsid w:val="00405203"/>
    <w:rsid w:val="00405E0A"/>
    <w:rsid w:val="00405ECE"/>
    <w:rsid w:val="00406D78"/>
    <w:rsid w:val="00407124"/>
    <w:rsid w:val="004103CC"/>
    <w:rsid w:val="00411B62"/>
    <w:rsid w:val="0041388F"/>
    <w:rsid w:val="00413B0A"/>
    <w:rsid w:val="00414114"/>
    <w:rsid w:val="00416D56"/>
    <w:rsid w:val="00417B79"/>
    <w:rsid w:val="00417B82"/>
    <w:rsid w:val="00420421"/>
    <w:rsid w:val="00421E4E"/>
    <w:rsid w:val="0042373C"/>
    <w:rsid w:val="00424475"/>
    <w:rsid w:val="00424DD0"/>
    <w:rsid w:val="00425523"/>
    <w:rsid w:val="00427D43"/>
    <w:rsid w:val="0043043C"/>
    <w:rsid w:val="0043060F"/>
    <w:rsid w:val="00430DBB"/>
    <w:rsid w:val="00431287"/>
    <w:rsid w:val="0043396A"/>
    <w:rsid w:val="00433B61"/>
    <w:rsid w:val="00434182"/>
    <w:rsid w:val="004341A4"/>
    <w:rsid w:val="00435142"/>
    <w:rsid w:val="00437DE5"/>
    <w:rsid w:val="004424B5"/>
    <w:rsid w:val="00442DDE"/>
    <w:rsid w:val="0044528B"/>
    <w:rsid w:val="0044577E"/>
    <w:rsid w:val="00445FFE"/>
    <w:rsid w:val="00446456"/>
    <w:rsid w:val="0044715E"/>
    <w:rsid w:val="004527D0"/>
    <w:rsid w:val="004569C2"/>
    <w:rsid w:val="00460A41"/>
    <w:rsid w:val="00460FD7"/>
    <w:rsid w:val="00464BA3"/>
    <w:rsid w:val="00465681"/>
    <w:rsid w:val="00467A70"/>
    <w:rsid w:val="00467D27"/>
    <w:rsid w:val="0047082B"/>
    <w:rsid w:val="00474894"/>
    <w:rsid w:val="004764FD"/>
    <w:rsid w:val="00476BE3"/>
    <w:rsid w:val="00477EAF"/>
    <w:rsid w:val="00477FBC"/>
    <w:rsid w:val="004845DA"/>
    <w:rsid w:val="004856F9"/>
    <w:rsid w:val="00485A99"/>
    <w:rsid w:val="00485D65"/>
    <w:rsid w:val="00487FAA"/>
    <w:rsid w:val="0049080B"/>
    <w:rsid w:val="00491E41"/>
    <w:rsid w:val="00491EB7"/>
    <w:rsid w:val="00492257"/>
    <w:rsid w:val="00493FDB"/>
    <w:rsid w:val="00494636"/>
    <w:rsid w:val="00496C54"/>
    <w:rsid w:val="004974B3"/>
    <w:rsid w:val="004A1791"/>
    <w:rsid w:val="004A48C1"/>
    <w:rsid w:val="004A4B52"/>
    <w:rsid w:val="004A7CE0"/>
    <w:rsid w:val="004B0783"/>
    <w:rsid w:val="004B11F7"/>
    <w:rsid w:val="004B2879"/>
    <w:rsid w:val="004B2C17"/>
    <w:rsid w:val="004B2E6A"/>
    <w:rsid w:val="004B3243"/>
    <w:rsid w:val="004B382B"/>
    <w:rsid w:val="004B41A8"/>
    <w:rsid w:val="004B4A3A"/>
    <w:rsid w:val="004B5123"/>
    <w:rsid w:val="004B7438"/>
    <w:rsid w:val="004C068C"/>
    <w:rsid w:val="004C0842"/>
    <w:rsid w:val="004C0A95"/>
    <w:rsid w:val="004C3587"/>
    <w:rsid w:val="004C3BAA"/>
    <w:rsid w:val="004C3F21"/>
    <w:rsid w:val="004C795A"/>
    <w:rsid w:val="004C7F43"/>
    <w:rsid w:val="004D39A3"/>
    <w:rsid w:val="004D4A49"/>
    <w:rsid w:val="004D4C28"/>
    <w:rsid w:val="004D6AB1"/>
    <w:rsid w:val="004E30E6"/>
    <w:rsid w:val="004E3698"/>
    <w:rsid w:val="004F0451"/>
    <w:rsid w:val="004F2806"/>
    <w:rsid w:val="004F4657"/>
    <w:rsid w:val="004F514C"/>
    <w:rsid w:val="005029BF"/>
    <w:rsid w:val="00502ED7"/>
    <w:rsid w:val="0050479B"/>
    <w:rsid w:val="005050AF"/>
    <w:rsid w:val="00505424"/>
    <w:rsid w:val="005056EF"/>
    <w:rsid w:val="00510542"/>
    <w:rsid w:val="00511300"/>
    <w:rsid w:val="00513589"/>
    <w:rsid w:val="00513D0A"/>
    <w:rsid w:val="00514373"/>
    <w:rsid w:val="00515E28"/>
    <w:rsid w:val="00517714"/>
    <w:rsid w:val="005235EA"/>
    <w:rsid w:val="00523AAF"/>
    <w:rsid w:val="00525195"/>
    <w:rsid w:val="00526889"/>
    <w:rsid w:val="00526BE9"/>
    <w:rsid w:val="005305FB"/>
    <w:rsid w:val="00531C78"/>
    <w:rsid w:val="0053636E"/>
    <w:rsid w:val="00536823"/>
    <w:rsid w:val="005371C5"/>
    <w:rsid w:val="00537D42"/>
    <w:rsid w:val="00541631"/>
    <w:rsid w:val="00541684"/>
    <w:rsid w:val="005427E8"/>
    <w:rsid w:val="00543D8E"/>
    <w:rsid w:val="00546B89"/>
    <w:rsid w:val="0055042A"/>
    <w:rsid w:val="0055356E"/>
    <w:rsid w:val="005544CB"/>
    <w:rsid w:val="005601B7"/>
    <w:rsid w:val="00560F7F"/>
    <w:rsid w:val="005620E1"/>
    <w:rsid w:val="005628F0"/>
    <w:rsid w:val="00562972"/>
    <w:rsid w:val="00563128"/>
    <w:rsid w:val="005636C9"/>
    <w:rsid w:val="0056509F"/>
    <w:rsid w:val="0056673E"/>
    <w:rsid w:val="0056747A"/>
    <w:rsid w:val="00570711"/>
    <w:rsid w:val="00574213"/>
    <w:rsid w:val="00575F56"/>
    <w:rsid w:val="00576784"/>
    <w:rsid w:val="00577289"/>
    <w:rsid w:val="005779A3"/>
    <w:rsid w:val="00581AD1"/>
    <w:rsid w:val="00582045"/>
    <w:rsid w:val="00583F32"/>
    <w:rsid w:val="00585EFB"/>
    <w:rsid w:val="00586C42"/>
    <w:rsid w:val="0058701E"/>
    <w:rsid w:val="00591109"/>
    <w:rsid w:val="005953FB"/>
    <w:rsid w:val="005961DE"/>
    <w:rsid w:val="00596769"/>
    <w:rsid w:val="005A260C"/>
    <w:rsid w:val="005A29C4"/>
    <w:rsid w:val="005A30E6"/>
    <w:rsid w:val="005A4D19"/>
    <w:rsid w:val="005A565C"/>
    <w:rsid w:val="005A5719"/>
    <w:rsid w:val="005A6505"/>
    <w:rsid w:val="005A68F7"/>
    <w:rsid w:val="005A6B59"/>
    <w:rsid w:val="005A716D"/>
    <w:rsid w:val="005A77AA"/>
    <w:rsid w:val="005B0239"/>
    <w:rsid w:val="005B0D86"/>
    <w:rsid w:val="005B166B"/>
    <w:rsid w:val="005B197C"/>
    <w:rsid w:val="005B1DD0"/>
    <w:rsid w:val="005B37B3"/>
    <w:rsid w:val="005B539E"/>
    <w:rsid w:val="005B5974"/>
    <w:rsid w:val="005C1184"/>
    <w:rsid w:val="005C1D72"/>
    <w:rsid w:val="005C2596"/>
    <w:rsid w:val="005C2EE5"/>
    <w:rsid w:val="005C3FC1"/>
    <w:rsid w:val="005C7710"/>
    <w:rsid w:val="005D01E5"/>
    <w:rsid w:val="005D18CA"/>
    <w:rsid w:val="005D2D3A"/>
    <w:rsid w:val="005D2D5E"/>
    <w:rsid w:val="005D3176"/>
    <w:rsid w:val="005D3A45"/>
    <w:rsid w:val="005D4939"/>
    <w:rsid w:val="005D4D61"/>
    <w:rsid w:val="005D5105"/>
    <w:rsid w:val="005D5192"/>
    <w:rsid w:val="005D67BC"/>
    <w:rsid w:val="005E070A"/>
    <w:rsid w:val="005E0D35"/>
    <w:rsid w:val="005E2D8D"/>
    <w:rsid w:val="005E39DE"/>
    <w:rsid w:val="005E3BB3"/>
    <w:rsid w:val="005E5666"/>
    <w:rsid w:val="005E5703"/>
    <w:rsid w:val="005E5C00"/>
    <w:rsid w:val="005E6F92"/>
    <w:rsid w:val="005E70F8"/>
    <w:rsid w:val="005F087B"/>
    <w:rsid w:val="005F09F8"/>
    <w:rsid w:val="005F0F0D"/>
    <w:rsid w:val="005F1C79"/>
    <w:rsid w:val="005F20BE"/>
    <w:rsid w:val="005F2FC7"/>
    <w:rsid w:val="005F3D80"/>
    <w:rsid w:val="005F4FB7"/>
    <w:rsid w:val="005F5A4D"/>
    <w:rsid w:val="005F7BA1"/>
    <w:rsid w:val="005F7D2F"/>
    <w:rsid w:val="00603045"/>
    <w:rsid w:val="00603269"/>
    <w:rsid w:val="00603271"/>
    <w:rsid w:val="00603359"/>
    <w:rsid w:val="006035DA"/>
    <w:rsid w:val="006053C8"/>
    <w:rsid w:val="00606C18"/>
    <w:rsid w:val="00606F4C"/>
    <w:rsid w:val="006079B0"/>
    <w:rsid w:val="006143F0"/>
    <w:rsid w:val="0061614D"/>
    <w:rsid w:val="00617EB0"/>
    <w:rsid w:val="00625365"/>
    <w:rsid w:val="006304C1"/>
    <w:rsid w:val="0063125A"/>
    <w:rsid w:val="00632838"/>
    <w:rsid w:val="00632F79"/>
    <w:rsid w:val="0063627D"/>
    <w:rsid w:val="00636A13"/>
    <w:rsid w:val="0063747A"/>
    <w:rsid w:val="006428CA"/>
    <w:rsid w:val="00642B1B"/>
    <w:rsid w:val="0064408E"/>
    <w:rsid w:val="00644946"/>
    <w:rsid w:val="00645102"/>
    <w:rsid w:val="00646459"/>
    <w:rsid w:val="006467EA"/>
    <w:rsid w:val="00647E69"/>
    <w:rsid w:val="00647F20"/>
    <w:rsid w:val="00652CB8"/>
    <w:rsid w:val="00656E09"/>
    <w:rsid w:val="006571E9"/>
    <w:rsid w:val="00660EB6"/>
    <w:rsid w:val="00661778"/>
    <w:rsid w:val="0066244D"/>
    <w:rsid w:val="006634CA"/>
    <w:rsid w:val="006639D7"/>
    <w:rsid w:val="0066431A"/>
    <w:rsid w:val="00664493"/>
    <w:rsid w:val="0066662E"/>
    <w:rsid w:val="0066719C"/>
    <w:rsid w:val="006722E6"/>
    <w:rsid w:val="00672978"/>
    <w:rsid w:val="00672C96"/>
    <w:rsid w:val="00673273"/>
    <w:rsid w:val="00674568"/>
    <w:rsid w:val="00674A48"/>
    <w:rsid w:val="00675662"/>
    <w:rsid w:val="00675CE1"/>
    <w:rsid w:val="00677253"/>
    <w:rsid w:val="0068024A"/>
    <w:rsid w:val="006817C3"/>
    <w:rsid w:val="00681E36"/>
    <w:rsid w:val="0068281C"/>
    <w:rsid w:val="00683068"/>
    <w:rsid w:val="006839E3"/>
    <w:rsid w:val="00684BC8"/>
    <w:rsid w:val="00685EC8"/>
    <w:rsid w:val="006860B4"/>
    <w:rsid w:val="00691C22"/>
    <w:rsid w:val="00691FAA"/>
    <w:rsid w:val="00693C82"/>
    <w:rsid w:val="00693D6F"/>
    <w:rsid w:val="00694737"/>
    <w:rsid w:val="006952AC"/>
    <w:rsid w:val="00696411"/>
    <w:rsid w:val="00697B7B"/>
    <w:rsid w:val="00697CDF"/>
    <w:rsid w:val="006A1163"/>
    <w:rsid w:val="006A1A97"/>
    <w:rsid w:val="006A34BC"/>
    <w:rsid w:val="006A4ECA"/>
    <w:rsid w:val="006A5361"/>
    <w:rsid w:val="006B1370"/>
    <w:rsid w:val="006B1D4F"/>
    <w:rsid w:val="006B3024"/>
    <w:rsid w:val="006B5128"/>
    <w:rsid w:val="006B5A4A"/>
    <w:rsid w:val="006B7A2D"/>
    <w:rsid w:val="006C26D9"/>
    <w:rsid w:val="006C446C"/>
    <w:rsid w:val="006D1306"/>
    <w:rsid w:val="006D2B97"/>
    <w:rsid w:val="006D48A7"/>
    <w:rsid w:val="006D6500"/>
    <w:rsid w:val="006D68AE"/>
    <w:rsid w:val="006D6CB8"/>
    <w:rsid w:val="006D6DC6"/>
    <w:rsid w:val="006E0BC4"/>
    <w:rsid w:val="006E14BF"/>
    <w:rsid w:val="006E1C61"/>
    <w:rsid w:val="006E4C09"/>
    <w:rsid w:val="006E6BAB"/>
    <w:rsid w:val="006E6CEF"/>
    <w:rsid w:val="006E7090"/>
    <w:rsid w:val="006E7AB5"/>
    <w:rsid w:val="006E7C84"/>
    <w:rsid w:val="006F0B4D"/>
    <w:rsid w:val="006F0C24"/>
    <w:rsid w:val="006F3449"/>
    <w:rsid w:val="006F4E61"/>
    <w:rsid w:val="006F5830"/>
    <w:rsid w:val="006F5838"/>
    <w:rsid w:val="006F7337"/>
    <w:rsid w:val="006F7CC1"/>
    <w:rsid w:val="00700B7F"/>
    <w:rsid w:val="007012AC"/>
    <w:rsid w:val="0070151E"/>
    <w:rsid w:val="007021BD"/>
    <w:rsid w:val="00703305"/>
    <w:rsid w:val="00703B13"/>
    <w:rsid w:val="00704556"/>
    <w:rsid w:val="007047A9"/>
    <w:rsid w:val="00705909"/>
    <w:rsid w:val="007065EB"/>
    <w:rsid w:val="0070666B"/>
    <w:rsid w:val="007125B5"/>
    <w:rsid w:val="00714321"/>
    <w:rsid w:val="0071438D"/>
    <w:rsid w:val="00715DAC"/>
    <w:rsid w:val="007165FB"/>
    <w:rsid w:val="007169DF"/>
    <w:rsid w:val="00717646"/>
    <w:rsid w:val="007208DE"/>
    <w:rsid w:val="0072237C"/>
    <w:rsid w:val="00722DD0"/>
    <w:rsid w:val="00725637"/>
    <w:rsid w:val="00725727"/>
    <w:rsid w:val="00726511"/>
    <w:rsid w:val="00727484"/>
    <w:rsid w:val="007301A0"/>
    <w:rsid w:val="00730C26"/>
    <w:rsid w:val="007315F7"/>
    <w:rsid w:val="00731A68"/>
    <w:rsid w:val="00731ACE"/>
    <w:rsid w:val="00731CAF"/>
    <w:rsid w:val="00732895"/>
    <w:rsid w:val="007333FE"/>
    <w:rsid w:val="007357A9"/>
    <w:rsid w:val="00735C37"/>
    <w:rsid w:val="007364CA"/>
    <w:rsid w:val="007369AF"/>
    <w:rsid w:val="00736C8A"/>
    <w:rsid w:val="0073752B"/>
    <w:rsid w:val="007375AC"/>
    <w:rsid w:val="00737CFE"/>
    <w:rsid w:val="007444FE"/>
    <w:rsid w:val="0074702A"/>
    <w:rsid w:val="00752D1C"/>
    <w:rsid w:val="0075321D"/>
    <w:rsid w:val="00755E25"/>
    <w:rsid w:val="00755EF7"/>
    <w:rsid w:val="007602CE"/>
    <w:rsid w:val="007612AD"/>
    <w:rsid w:val="00761598"/>
    <w:rsid w:val="00761994"/>
    <w:rsid w:val="007619F1"/>
    <w:rsid w:val="00762FDA"/>
    <w:rsid w:val="00765132"/>
    <w:rsid w:val="00767814"/>
    <w:rsid w:val="00767F9F"/>
    <w:rsid w:val="0077004D"/>
    <w:rsid w:val="007708F6"/>
    <w:rsid w:val="00770A0A"/>
    <w:rsid w:val="007712E6"/>
    <w:rsid w:val="0077278D"/>
    <w:rsid w:val="007729D3"/>
    <w:rsid w:val="00772E4C"/>
    <w:rsid w:val="007742D2"/>
    <w:rsid w:val="0077756C"/>
    <w:rsid w:val="00777C17"/>
    <w:rsid w:val="00777C28"/>
    <w:rsid w:val="00777D17"/>
    <w:rsid w:val="00780545"/>
    <w:rsid w:val="00781E25"/>
    <w:rsid w:val="00784875"/>
    <w:rsid w:val="007858B3"/>
    <w:rsid w:val="00786ACD"/>
    <w:rsid w:val="0078733F"/>
    <w:rsid w:val="00792425"/>
    <w:rsid w:val="007924B1"/>
    <w:rsid w:val="00795939"/>
    <w:rsid w:val="007968E5"/>
    <w:rsid w:val="00797643"/>
    <w:rsid w:val="007A0120"/>
    <w:rsid w:val="007A1483"/>
    <w:rsid w:val="007A2143"/>
    <w:rsid w:val="007A2C21"/>
    <w:rsid w:val="007A36A6"/>
    <w:rsid w:val="007A5C20"/>
    <w:rsid w:val="007A5F14"/>
    <w:rsid w:val="007A65BF"/>
    <w:rsid w:val="007B0088"/>
    <w:rsid w:val="007B1BF0"/>
    <w:rsid w:val="007B4999"/>
    <w:rsid w:val="007B71AD"/>
    <w:rsid w:val="007B7B34"/>
    <w:rsid w:val="007B7F27"/>
    <w:rsid w:val="007C1A8F"/>
    <w:rsid w:val="007C3226"/>
    <w:rsid w:val="007C576C"/>
    <w:rsid w:val="007C6FBD"/>
    <w:rsid w:val="007D087D"/>
    <w:rsid w:val="007D0F91"/>
    <w:rsid w:val="007D2389"/>
    <w:rsid w:val="007D2C9F"/>
    <w:rsid w:val="007D3B4F"/>
    <w:rsid w:val="007D4427"/>
    <w:rsid w:val="007D59FE"/>
    <w:rsid w:val="007D7CFC"/>
    <w:rsid w:val="007E036B"/>
    <w:rsid w:val="007E2A1F"/>
    <w:rsid w:val="007E5970"/>
    <w:rsid w:val="007E67C3"/>
    <w:rsid w:val="007E7201"/>
    <w:rsid w:val="007E7566"/>
    <w:rsid w:val="007F13FB"/>
    <w:rsid w:val="007F3BE6"/>
    <w:rsid w:val="007F496B"/>
    <w:rsid w:val="007F6B64"/>
    <w:rsid w:val="00801822"/>
    <w:rsid w:val="00801F43"/>
    <w:rsid w:val="00802B1F"/>
    <w:rsid w:val="00802C1D"/>
    <w:rsid w:val="008038B8"/>
    <w:rsid w:val="00804154"/>
    <w:rsid w:val="00810510"/>
    <w:rsid w:val="008106F4"/>
    <w:rsid w:val="00812BCD"/>
    <w:rsid w:val="008148C6"/>
    <w:rsid w:val="00814C54"/>
    <w:rsid w:val="00814DAD"/>
    <w:rsid w:val="00815F2D"/>
    <w:rsid w:val="0081643C"/>
    <w:rsid w:val="0081656D"/>
    <w:rsid w:val="00816BC7"/>
    <w:rsid w:val="0082005E"/>
    <w:rsid w:val="00820387"/>
    <w:rsid w:val="0082067B"/>
    <w:rsid w:val="0082519B"/>
    <w:rsid w:val="00825B2C"/>
    <w:rsid w:val="008300D5"/>
    <w:rsid w:val="00833297"/>
    <w:rsid w:val="00834033"/>
    <w:rsid w:val="008360A9"/>
    <w:rsid w:val="008420BB"/>
    <w:rsid w:val="00842E64"/>
    <w:rsid w:val="008432CB"/>
    <w:rsid w:val="00843F47"/>
    <w:rsid w:val="00847CFD"/>
    <w:rsid w:val="008515F7"/>
    <w:rsid w:val="00852130"/>
    <w:rsid w:val="0085240E"/>
    <w:rsid w:val="00852FD4"/>
    <w:rsid w:val="00855B4F"/>
    <w:rsid w:val="008637CA"/>
    <w:rsid w:val="00863FB5"/>
    <w:rsid w:val="00865F87"/>
    <w:rsid w:val="008673C0"/>
    <w:rsid w:val="0086755B"/>
    <w:rsid w:val="00870C07"/>
    <w:rsid w:val="00871A1F"/>
    <w:rsid w:val="00871CF5"/>
    <w:rsid w:val="00873725"/>
    <w:rsid w:val="00873AF6"/>
    <w:rsid w:val="0087466A"/>
    <w:rsid w:val="00874E3B"/>
    <w:rsid w:val="008757F7"/>
    <w:rsid w:val="00875F16"/>
    <w:rsid w:val="0087661D"/>
    <w:rsid w:val="00880ED6"/>
    <w:rsid w:val="00881C19"/>
    <w:rsid w:val="00881FA5"/>
    <w:rsid w:val="0088281C"/>
    <w:rsid w:val="00883017"/>
    <w:rsid w:val="00883D68"/>
    <w:rsid w:val="00884480"/>
    <w:rsid w:val="00885DA5"/>
    <w:rsid w:val="00886F99"/>
    <w:rsid w:val="00890591"/>
    <w:rsid w:val="008908B3"/>
    <w:rsid w:val="00895313"/>
    <w:rsid w:val="00896121"/>
    <w:rsid w:val="008967BF"/>
    <w:rsid w:val="0089F176"/>
    <w:rsid w:val="008A1302"/>
    <w:rsid w:val="008A4FFD"/>
    <w:rsid w:val="008A6314"/>
    <w:rsid w:val="008A72C9"/>
    <w:rsid w:val="008B00D5"/>
    <w:rsid w:val="008B02B5"/>
    <w:rsid w:val="008B085E"/>
    <w:rsid w:val="008B1D0F"/>
    <w:rsid w:val="008B29EB"/>
    <w:rsid w:val="008B41CA"/>
    <w:rsid w:val="008B6B8D"/>
    <w:rsid w:val="008B7B5D"/>
    <w:rsid w:val="008C0661"/>
    <w:rsid w:val="008C2549"/>
    <w:rsid w:val="008C2840"/>
    <w:rsid w:val="008C2B7D"/>
    <w:rsid w:val="008C30DE"/>
    <w:rsid w:val="008C3B74"/>
    <w:rsid w:val="008C4309"/>
    <w:rsid w:val="008C46EC"/>
    <w:rsid w:val="008C736E"/>
    <w:rsid w:val="008C7859"/>
    <w:rsid w:val="008C7E86"/>
    <w:rsid w:val="008D239F"/>
    <w:rsid w:val="008D3431"/>
    <w:rsid w:val="008D425B"/>
    <w:rsid w:val="008D4679"/>
    <w:rsid w:val="008E0B4D"/>
    <w:rsid w:val="008E0B5D"/>
    <w:rsid w:val="008E164A"/>
    <w:rsid w:val="008E18BC"/>
    <w:rsid w:val="008E26FA"/>
    <w:rsid w:val="008E2E94"/>
    <w:rsid w:val="008E45B8"/>
    <w:rsid w:val="008E51F6"/>
    <w:rsid w:val="008E5D46"/>
    <w:rsid w:val="008E617A"/>
    <w:rsid w:val="008E7509"/>
    <w:rsid w:val="008E7E23"/>
    <w:rsid w:val="008F05B9"/>
    <w:rsid w:val="008F12A7"/>
    <w:rsid w:val="008F153A"/>
    <w:rsid w:val="008F3FE8"/>
    <w:rsid w:val="008F5977"/>
    <w:rsid w:val="008F5E97"/>
    <w:rsid w:val="008F67A5"/>
    <w:rsid w:val="00901849"/>
    <w:rsid w:val="009027F1"/>
    <w:rsid w:val="009027F4"/>
    <w:rsid w:val="0090357B"/>
    <w:rsid w:val="00903C89"/>
    <w:rsid w:val="00906128"/>
    <w:rsid w:val="009067F2"/>
    <w:rsid w:val="00911563"/>
    <w:rsid w:val="00913236"/>
    <w:rsid w:val="009132A3"/>
    <w:rsid w:val="00916531"/>
    <w:rsid w:val="009175EB"/>
    <w:rsid w:val="009203F2"/>
    <w:rsid w:val="0092094A"/>
    <w:rsid w:val="00921A8A"/>
    <w:rsid w:val="00921C6F"/>
    <w:rsid w:val="00923A53"/>
    <w:rsid w:val="00924D70"/>
    <w:rsid w:val="0093072A"/>
    <w:rsid w:val="00931528"/>
    <w:rsid w:val="00931FD3"/>
    <w:rsid w:val="009320C2"/>
    <w:rsid w:val="00932E1D"/>
    <w:rsid w:val="00935EDF"/>
    <w:rsid w:val="00937676"/>
    <w:rsid w:val="00937E37"/>
    <w:rsid w:val="00940946"/>
    <w:rsid w:val="00942BD7"/>
    <w:rsid w:val="00942CD1"/>
    <w:rsid w:val="00942D3B"/>
    <w:rsid w:val="0094308B"/>
    <w:rsid w:val="00944295"/>
    <w:rsid w:val="009471D7"/>
    <w:rsid w:val="0094744D"/>
    <w:rsid w:val="00950FDA"/>
    <w:rsid w:val="00951E16"/>
    <w:rsid w:val="00952425"/>
    <w:rsid w:val="00952EB6"/>
    <w:rsid w:val="009547AA"/>
    <w:rsid w:val="00955FC0"/>
    <w:rsid w:val="0095686A"/>
    <w:rsid w:val="00960DA9"/>
    <w:rsid w:val="00960F26"/>
    <w:rsid w:val="00962E04"/>
    <w:rsid w:val="00964E6B"/>
    <w:rsid w:val="00964E8E"/>
    <w:rsid w:val="0096585C"/>
    <w:rsid w:val="00967270"/>
    <w:rsid w:val="0097208B"/>
    <w:rsid w:val="00973646"/>
    <w:rsid w:val="00974E6D"/>
    <w:rsid w:val="009762C8"/>
    <w:rsid w:val="00976F1E"/>
    <w:rsid w:val="00977DF0"/>
    <w:rsid w:val="00980811"/>
    <w:rsid w:val="00980952"/>
    <w:rsid w:val="009809BB"/>
    <w:rsid w:val="00981066"/>
    <w:rsid w:val="00981974"/>
    <w:rsid w:val="00981C33"/>
    <w:rsid w:val="009825C8"/>
    <w:rsid w:val="0098392C"/>
    <w:rsid w:val="00983FC2"/>
    <w:rsid w:val="00984248"/>
    <w:rsid w:val="00984BA0"/>
    <w:rsid w:val="00987E54"/>
    <w:rsid w:val="00991A79"/>
    <w:rsid w:val="00995CF1"/>
    <w:rsid w:val="009961FC"/>
    <w:rsid w:val="009969BB"/>
    <w:rsid w:val="009A11F9"/>
    <w:rsid w:val="009A3EBE"/>
    <w:rsid w:val="009A5E34"/>
    <w:rsid w:val="009A7198"/>
    <w:rsid w:val="009A796A"/>
    <w:rsid w:val="009B0609"/>
    <w:rsid w:val="009B1AF8"/>
    <w:rsid w:val="009B227F"/>
    <w:rsid w:val="009B36F1"/>
    <w:rsid w:val="009B3720"/>
    <w:rsid w:val="009B52ED"/>
    <w:rsid w:val="009B59E0"/>
    <w:rsid w:val="009B61EF"/>
    <w:rsid w:val="009B7C0D"/>
    <w:rsid w:val="009C12EF"/>
    <w:rsid w:val="009C333D"/>
    <w:rsid w:val="009C377E"/>
    <w:rsid w:val="009C3892"/>
    <w:rsid w:val="009C75A8"/>
    <w:rsid w:val="009D1C3C"/>
    <w:rsid w:val="009D30E3"/>
    <w:rsid w:val="009D3900"/>
    <w:rsid w:val="009D5BA9"/>
    <w:rsid w:val="009D5D26"/>
    <w:rsid w:val="009E00C2"/>
    <w:rsid w:val="009E1919"/>
    <w:rsid w:val="009E1DE6"/>
    <w:rsid w:val="009E2766"/>
    <w:rsid w:val="009E285E"/>
    <w:rsid w:val="009E2BD6"/>
    <w:rsid w:val="009E2FB0"/>
    <w:rsid w:val="009E41AF"/>
    <w:rsid w:val="009E6820"/>
    <w:rsid w:val="009E6928"/>
    <w:rsid w:val="009F0C7B"/>
    <w:rsid w:val="009F55EB"/>
    <w:rsid w:val="009F59EA"/>
    <w:rsid w:val="009F6B22"/>
    <w:rsid w:val="00A00779"/>
    <w:rsid w:val="00A017DC"/>
    <w:rsid w:val="00A02149"/>
    <w:rsid w:val="00A02DFC"/>
    <w:rsid w:val="00A038F5"/>
    <w:rsid w:val="00A0410B"/>
    <w:rsid w:val="00A04FE4"/>
    <w:rsid w:val="00A066B2"/>
    <w:rsid w:val="00A07347"/>
    <w:rsid w:val="00A107D6"/>
    <w:rsid w:val="00A10D35"/>
    <w:rsid w:val="00A1101B"/>
    <w:rsid w:val="00A110FD"/>
    <w:rsid w:val="00A113D0"/>
    <w:rsid w:val="00A1238F"/>
    <w:rsid w:val="00A12C82"/>
    <w:rsid w:val="00A134B6"/>
    <w:rsid w:val="00A13549"/>
    <w:rsid w:val="00A137B5"/>
    <w:rsid w:val="00A16970"/>
    <w:rsid w:val="00A16F2C"/>
    <w:rsid w:val="00A20733"/>
    <w:rsid w:val="00A20A6C"/>
    <w:rsid w:val="00A21C35"/>
    <w:rsid w:val="00A22EA3"/>
    <w:rsid w:val="00A24BFD"/>
    <w:rsid w:val="00A26648"/>
    <w:rsid w:val="00A278AE"/>
    <w:rsid w:val="00A30A33"/>
    <w:rsid w:val="00A31B94"/>
    <w:rsid w:val="00A31C8F"/>
    <w:rsid w:val="00A33108"/>
    <w:rsid w:val="00A3523A"/>
    <w:rsid w:val="00A35D4B"/>
    <w:rsid w:val="00A3708E"/>
    <w:rsid w:val="00A37ABA"/>
    <w:rsid w:val="00A37CE0"/>
    <w:rsid w:val="00A41384"/>
    <w:rsid w:val="00A418D5"/>
    <w:rsid w:val="00A44847"/>
    <w:rsid w:val="00A448F6"/>
    <w:rsid w:val="00A45403"/>
    <w:rsid w:val="00A4565D"/>
    <w:rsid w:val="00A46CF6"/>
    <w:rsid w:val="00A50427"/>
    <w:rsid w:val="00A526BF"/>
    <w:rsid w:val="00A5283C"/>
    <w:rsid w:val="00A52B8A"/>
    <w:rsid w:val="00A6055B"/>
    <w:rsid w:val="00A6284A"/>
    <w:rsid w:val="00A62BFD"/>
    <w:rsid w:val="00A635E5"/>
    <w:rsid w:val="00A668BD"/>
    <w:rsid w:val="00A67807"/>
    <w:rsid w:val="00A679D5"/>
    <w:rsid w:val="00A67EFB"/>
    <w:rsid w:val="00A72129"/>
    <w:rsid w:val="00A73370"/>
    <w:rsid w:val="00A74111"/>
    <w:rsid w:val="00A74875"/>
    <w:rsid w:val="00A7588B"/>
    <w:rsid w:val="00A759C1"/>
    <w:rsid w:val="00A77464"/>
    <w:rsid w:val="00A81CED"/>
    <w:rsid w:val="00A820DF"/>
    <w:rsid w:val="00A825C2"/>
    <w:rsid w:val="00A84447"/>
    <w:rsid w:val="00A859E7"/>
    <w:rsid w:val="00A86869"/>
    <w:rsid w:val="00A92928"/>
    <w:rsid w:val="00A95C4C"/>
    <w:rsid w:val="00AA13DB"/>
    <w:rsid w:val="00AA415F"/>
    <w:rsid w:val="00AA5368"/>
    <w:rsid w:val="00AB03FA"/>
    <w:rsid w:val="00AB04BF"/>
    <w:rsid w:val="00AB181E"/>
    <w:rsid w:val="00AB31D4"/>
    <w:rsid w:val="00AB347A"/>
    <w:rsid w:val="00AB6D7B"/>
    <w:rsid w:val="00AC0C81"/>
    <w:rsid w:val="00AC0E42"/>
    <w:rsid w:val="00AC12F5"/>
    <w:rsid w:val="00AC1A04"/>
    <w:rsid w:val="00AC276F"/>
    <w:rsid w:val="00AC39FA"/>
    <w:rsid w:val="00AC3F33"/>
    <w:rsid w:val="00AC48F7"/>
    <w:rsid w:val="00AC4B1B"/>
    <w:rsid w:val="00AC538C"/>
    <w:rsid w:val="00AC7229"/>
    <w:rsid w:val="00AC72D8"/>
    <w:rsid w:val="00AC72EA"/>
    <w:rsid w:val="00AC7996"/>
    <w:rsid w:val="00AC7D7B"/>
    <w:rsid w:val="00AD0018"/>
    <w:rsid w:val="00AD0630"/>
    <w:rsid w:val="00AD1622"/>
    <w:rsid w:val="00AD1851"/>
    <w:rsid w:val="00AD36F4"/>
    <w:rsid w:val="00AE333C"/>
    <w:rsid w:val="00AE4118"/>
    <w:rsid w:val="00AE4CE0"/>
    <w:rsid w:val="00AE51D5"/>
    <w:rsid w:val="00AE5A1B"/>
    <w:rsid w:val="00AF0C31"/>
    <w:rsid w:val="00AF12A0"/>
    <w:rsid w:val="00AF12D2"/>
    <w:rsid w:val="00AF17BF"/>
    <w:rsid w:val="00AF1B3E"/>
    <w:rsid w:val="00AF1BD5"/>
    <w:rsid w:val="00AF1D22"/>
    <w:rsid w:val="00AF20A1"/>
    <w:rsid w:val="00AF22FF"/>
    <w:rsid w:val="00AF47FB"/>
    <w:rsid w:val="00AF7B00"/>
    <w:rsid w:val="00B00A23"/>
    <w:rsid w:val="00B00F0E"/>
    <w:rsid w:val="00B01BCD"/>
    <w:rsid w:val="00B04B18"/>
    <w:rsid w:val="00B05663"/>
    <w:rsid w:val="00B06349"/>
    <w:rsid w:val="00B06584"/>
    <w:rsid w:val="00B069F2"/>
    <w:rsid w:val="00B06E5A"/>
    <w:rsid w:val="00B10D09"/>
    <w:rsid w:val="00B11CE7"/>
    <w:rsid w:val="00B1278C"/>
    <w:rsid w:val="00B12D51"/>
    <w:rsid w:val="00B13D15"/>
    <w:rsid w:val="00B1430B"/>
    <w:rsid w:val="00B14D3C"/>
    <w:rsid w:val="00B16CD4"/>
    <w:rsid w:val="00B170FA"/>
    <w:rsid w:val="00B224DC"/>
    <w:rsid w:val="00B225C2"/>
    <w:rsid w:val="00B22E34"/>
    <w:rsid w:val="00B236E0"/>
    <w:rsid w:val="00B23E41"/>
    <w:rsid w:val="00B26E1B"/>
    <w:rsid w:val="00B27124"/>
    <w:rsid w:val="00B27126"/>
    <w:rsid w:val="00B30981"/>
    <w:rsid w:val="00B31CE0"/>
    <w:rsid w:val="00B32B4F"/>
    <w:rsid w:val="00B3423C"/>
    <w:rsid w:val="00B3445D"/>
    <w:rsid w:val="00B35462"/>
    <w:rsid w:val="00B359AF"/>
    <w:rsid w:val="00B37831"/>
    <w:rsid w:val="00B41B6D"/>
    <w:rsid w:val="00B4286F"/>
    <w:rsid w:val="00B42B9C"/>
    <w:rsid w:val="00B4616E"/>
    <w:rsid w:val="00B46C22"/>
    <w:rsid w:val="00B53029"/>
    <w:rsid w:val="00B532C9"/>
    <w:rsid w:val="00B537B9"/>
    <w:rsid w:val="00B55553"/>
    <w:rsid w:val="00B56C4E"/>
    <w:rsid w:val="00B57020"/>
    <w:rsid w:val="00B57D21"/>
    <w:rsid w:val="00B6091A"/>
    <w:rsid w:val="00B62079"/>
    <w:rsid w:val="00B626D8"/>
    <w:rsid w:val="00B6756B"/>
    <w:rsid w:val="00B6766B"/>
    <w:rsid w:val="00B67884"/>
    <w:rsid w:val="00B70627"/>
    <w:rsid w:val="00B7070B"/>
    <w:rsid w:val="00B73469"/>
    <w:rsid w:val="00B74435"/>
    <w:rsid w:val="00B74ACD"/>
    <w:rsid w:val="00B77053"/>
    <w:rsid w:val="00B77E67"/>
    <w:rsid w:val="00B77ED7"/>
    <w:rsid w:val="00B80429"/>
    <w:rsid w:val="00B80865"/>
    <w:rsid w:val="00B8198E"/>
    <w:rsid w:val="00B82011"/>
    <w:rsid w:val="00B82082"/>
    <w:rsid w:val="00B82E22"/>
    <w:rsid w:val="00B83421"/>
    <w:rsid w:val="00B83A1E"/>
    <w:rsid w:val="00B85F99"/>
    <w:rsid w:val="00B87F2C"/>
    <w:rsid w:val="00B94044"/>
    <w:rsid w:val="00B95C25"/>
    <w:rsid w:val="00B97CCE"/>
    <w:rsid w:val="00BA175C"/>
    <w:rsid w:val="00BA461A"/>
    <w:rsid w:val="00BA55F9"/>
    <w:rsid w:val="00BA57CB"/>
    <w:rsid w:val="00BA586E"/>
    <w:rsid w:val="00BA7C17"/>
    <w:rsid w:val="00BB0BD6"/>
    <w:rsid w:val="00BB16AB"/>
    <w:rsid w:val="00BB18E1"/>
    <w:rsid w:val="00BB1D7B"/>
    <w:rsid w:val="00BB2262"/>
    <w:rsid w:val="00BB2275"/>
    <w:rsid w:val="00BB3F44"/>
    <w:rsid w:val="00BB5EAE"/>
    <w:rsid w:val="00BB6014"/>
    <w:rsid w:val="00BB67B3"/>
    <w:rsid w:val="00BB75AB"/>
    <w:rsid w:val="00BC10C8"/>
    <w:rsid w:val="00BC1461"/>
    <w:rsid w:val="00BC1587"/>
    <w:rsid w:val="00BC1BFF"/>
    <w:rsid w:val="00BC638A"/>
    <w:rsid w:val="00BC6A83"/>
    <w:rsid w:val="00BC6C34"/>
    <w:rsid w:val="00BD0AC9"/>
    <w:rsid w:val="00BD2013"/>
    <w:rsid w:val="00BD2431"/>
    <w:rsid w:val="00BD31D3"/>
    <w:rsid w:val="00BD44A8"/>
    <w:rsid w:val="00BD5EA8"/>
    <w:rsid w:val="00BD7B3C"/>
    <w:rsid w:val="00BE05B2"/>
    <w:rsid w:val="00BE3A74"/>
    <w:rsid w:val="00BE3AFF"/>
    <w:rsid w:val="00BE4189"/>
    <w:rsid w:val="00BE525F"/>
    <w:rsid w:val="00BE56A6"/>
    <w:rsid w:val="00BE59F4"/>
    <w:rsid w:val="00BE5C61"/>
    <w:rsid w:val="00BE62DF"/>
    <w:rsid w:val="00BE66BB"/>
    <w:rsid w:val="00BF2A30"/>
    <w:rsid w:val="00BF2CC7"/>
    <w:rsid w:val="00BF3ED9"/>
    <w:rsid w:val="00BF4B6B"/>
    <w:rsid w:val="00BF5DCE"/>
    <w:rsid w:val="00BF60EF"/>
    <w:rsid w:val="00C002C3"/>
    <w:rsid w:val="00C03C91"/>
    <w:rsid w:val="00C04CCD"/>
    <w:rsid w:val="00C0695B"/>
    <w:rsid w:val="00C06C67"/>
    <w:rsid w:val="00C107EF"/>
    <w:rsid w:val="00C1217A"/>
    <w:rsid w:val="00C13BBD"/>
    <w:rsid w:val="00C14067"/>
    <w:rsid w:val="00C146BE"/>
    <w:rsid w:val="00C230C8"/>
    <w:rsid w:val="00C2321A"/>
    <w:rsid w:val="00C232F7"/>
    <w:rsid w:val="00C242A3"/>
    <w:rsid w:val="00C254CB"/>
    <w:rsid w:val="00C26888"/>
    <w:rsid w:val="00C31C65"/>
    <w:rsid w:val="00C329F7"/>
    <w:rsid w:val="00C32AAC"/>
    <w:rsid w:val="00C33443"/>
    <w:rsid w:val="00C34CF8"/>
    <w:rsid w:val="00C37998"/>
    <w:rsid w:val="00C4119B"/>
    <w:rsid w:val="00C41EAB"/>
    <w:rsid w:val="00C41FC4"/>
    <w:rsid w:val="00C42653"/>
    <w:rsid w:val="00C4333B"/>
    <w:rsid w:val="00C439E0"/>
    <w:rsid w:val="00C44C93"/>
    <w:rsid w:val="00C45BE7"/>
    <w:rsid w:val="00C46A69"/>
    <w:rsid w:val="00C51400"/>
    <w:rsid w:val="00C52E4F"/>
    <w:rsid w:val="00C5355E"/>
    <w:rsid w:val="00C53F99"/>
    <w:rsid w:val="00C5554A"/>
    <w:rsid w:val="00C56FCE"/>
    <w:rsid w:val="00C600CC"/>
    <w:rsid w:val="00C610B8"/>
    <w:rsid w:val="00C6228B"/>
    <w:rsid w:val="00C62C46"/>
    <w:rsid w:val="00C64805"/>
    <w:rsid w:val="00C64BC8"/>
    <w:rsid w:val="00C654B3"/>
    <w:rsid w:val="00C6553C"/>
    <w:rsid w:val="00C65564"/>
    <w:rsid w:val="00C66E24"/>
    <w:rsid w:val="00C7107F"/>
    <w:rsid w:val="00C72AB1"/>
    <w:rsid w:val="00C75EEF"/>
    <w:rsid w:val="00C77303"/>
    <w:rsid w:val="00C80227"/>
    <w:rsid w:val="00C804E7"/>
    <w:rsid w:val="00C817A3"/>
    <w:rsid w:val="00C84080"/>
    <w:rsid w:val="00C846BC"/>
    <w:rsid w:val="00C90C77"/>
    <w:rsid w:val="00C9307C"/>
    <w:rsid w:val="00C949F3"/>
    <w:rsid w:val="00C94B57"/>
    <w:rsid w:val="00C96076"/>
    <w:rsid w:val="00CA0BA7"/>
    <w:rsid w:val="00CA0BF3"/>
    <w:rsid w:val="00CA1073"/>
    <w:rsid w:val="00CA69F0"/>
    <w:rsid w:val="00CA7DD7"/>
    <w:rsid w:val="00CB0076"/>
    <w:rsid w:val="00CB05CE"/>
    <w:rsid w:val="00CB1ACA"/>
    <w:rsid w:val="00CB4DAF"/>
    <w:rsid w:val="00CB545A"/>
    <w:rsid w:val="00CB74E0"/>
    <w:rsid w:val="00CC2EA1"/>
    <w:rsid w:val="00CC3426"/>
    <w:rsid w:val="00CC48E4"/>
    <w:rsid w:val="00CC4B4F"/>
    <w:rsid w:val="00CD2322"/>
    <w:rsid w:val="00CD28B8"/>
    <w:rsid w:val="00CD2E5D"/>
    <w:rsid w:val="00CD46C7"/>
    <w:rsid w:val="00CD6773"/>
    <w:rsid w:val="00CD7DC7"/>
    <w:rsid w:val="00CD7FF9"/>
    <w:rsid w:val="00CE07C0"/>
    <w:rsid w:val="00CE181B"/>
    <w:rsid w:val="00CE2B32"/>
    <w:rsid w:val="00CE357D"/>
    <w:rsid w:val="00CE4419"/>
    <w:rsid w:val="00CE4671"/>
    <w:rsid w:val="00CE5133"/>
    <w:rsid w:val="00CE5D69"/>
    <w:rsid w:val="00CE70E1"/>
    <w:rsid w:val="00CE784F"/>
    <w:rsid w:val="00CF190C"/>
    <w:rsid w:val="00CF2616"/>
    <w:rsid w:val="00CF26F5"/>
    <w:rsid w:val="00CF2D8E"/>
    <w:rsid w:val="00CF468F"/>
    <w:rsid w:val="00D01D58"/>
    <w:rsid w:val="00D0236C"/>
    <w:rsid w:val="00D02958"/>
    <w:rsid w:val="00D02969"/>
    <w:rsid w:val="00D038CD"/>
    <w:rsid w:val="00D03A04"/>
    <w:rsid w:val="00D05521"/>
    <w:rsid w:val="00D07698"/>
    <w:rsid w:val="00D10ACF"/>
    <w:rsid w:val="00D117A4"/>
    <w:rsid w:val="00D1383F"/>
    <w:rsid w:val="00D1569C"/>
    <w:rsid w:val="00D158FF"/>
    <w:rsid w:val="00D16D08"/>
    <w:rsid w:val="00D203AC"/>
    <w:rsid w:val="00D268E5"/>
    <w:rsid w:val="00D27922"/>
    <w:rsid w:val="00D32849"/>
    <w:rsid w:val="00D32B90"/>
    <w:rsid w:val="00D33B94"/>
    <w:rsid w:val="00D33C5C"/>
    <w:rsid w:val="00D33CA9"/>
    <w:rsid w:val="00D342DB"/>
    <w:rsid w:val="00D3433F"/>
    <w:rsid w:val="00D35E0E"/>
    <w:rsid w:val="00D36A3E"/>
    <w:rsid w:val="00D36B70"/>
    <w:rsid w:val="00D374F6"/>
    <w:rsid w:val="00D378DD"/>
    <w:rsid w:val="00D40B4D"/>
    <w:rsid w:val="00D435BD"/>
    <w:rsid w:val="00D43ED9"/>
    <w:rsid w:val="00D460F7"/>
    <w:rsid w:val="00D47F3D"/>
    <w:rsid w:val="00D5004F"/>
    <w:rsid w:val="00D51F95"/>
    <w:rsid w:val="00D56AE6"/>
    <w:rsid w:val="00D57D4C"/>
    <w:rsid w:val="00D6107D"/>
    <w:rsid w:val="00D6243E"/>
    <w:rsid w:val="00D639F5"/>
    <w:rsid w:val="00D64551"/>
    <w:rsid w:val="00D646CF"/>
    <w:rsid w:val="00D658B6"/>
    <w:rsid w:val="00D65EC9"/>
    <w:rsid w:val="00D67219"/>
    <w:rsid w:val="00D67B9D"/>
    <w:rsid w:val="00D72333"/>
    <w:rsid w:val="00D74F95"/>
    <w:rsid w:val="00D7510D"/>
    <w:rsid w:val="00D776B1"/>
    <w:rsid w:val="00D7793B"/>
    <w:rsid w:val="00D811ED"/>
    <w:rsid w:val="00D82183"/>
    <w:rsid w:val="00D8358D"/>
    <w:rsid w:val="00D86CB2"/>
    <w:rsid w:val="00D86F38"/>
    <w:rsid w:val="00D878F7"/>
    <w:rsid w:val="00D87EBA"/>
    <w:rsid w:val="00D90985"/>
    <w:rsid w:val="00D90B1D"/>
    <w:rsid w:val="00D92285"/>
    <w:rsid w:val="00D92711"/>
    <w:rsid w:val="00D951BC"/>
    <w:rsid w:val="00D951D8"/>
    <w:rsid w:val="00D95CF4"/>
    <w:rsid w:val="00D976F2"/>
    <w:rsid w:val="00DA02D2"/>
    <w:rsid w:val="00DA114F"/>
    <w:rsid w:val="00DA1B15"/>
    <w:rsid w:val="00DA1DDC"/>
    <w:rsid w:val="00DA2207"/>
    <w:rsid w:val="00DA2413"/>
    <w:rsid w:val="00DA2776"/>
    <w:rsid w:val="00DA3055"/>
    <w:rsid w:val="00DA46C6"/>
    <w:rsid w:val="00DA50FE"/>
    <w:rsid w:val="00DA5E6C"/>
    <w:rsid w:val="00DA6E30"/>
    <w:rsid w:val="00DA76A1"/>
    <w:rsid w:val="00DB08D7"/>
    <w:rsid w:val="00DB0DA9"/>
    <w:rsid w:val="00DB1714"/>
    <w:rsid w:val="00DB1C8D"/>
    <w:rsid w:val="00DB477D"/>
    <w:rsid w:val="00DB4F6D"/>
    <w:rsid w:val="00DB65DF"/>
    <w:rsid w:val="00DC24FD"/>
    <w:rsid w:val="00DC4119"/>
    <w:rsid w:val="00DC423E"/>
    <w:rsid w:val="00DC452C"/>
    <w:rsid w:val="00DC7485"/>
    <w:rsid w:val="00DC79C3"/>
    <w:rsid w:val="00DD07E9"/>
    <w:rsid w:val="00DD0F82"/>
    <w:rsid w:val="00DD502D"/>
    <w:rsid w:val="00DD62A1"/>
    <w:rsid w:val="00DD659D"/>
    <w:rsid w:val="00DD7C72"/>
    <w:rsid w:val="00DE09FF"/>
    <w:rsid w:val="00DE1C55"/>
    <w:rsid w:val="00DE2EBD"/>
    <w:rsid w:val="00DE3192"/>
    <w:rsid w:val="00DE31D5"/>
    <w:rsid w:val="00DE3828"/>
    <w:rsid w:val="00DE3AEB"/>
    <w:rsid w:val="00DE3D7E"/>
    <w:rsid w:val="00DE4B68"/>
    <w:rsid w:val="00DE4EF0"/>
    <w:rsid w:val="00DE69D3"/>
    <w:rsid w:val="00DE6A4A"/>
    <w:rsid w:val="00DF2823"/>
    <w:rsid w:val="00DF2C5B"/>
    <w:rsid w:val="00DF2E5F"/>
    <w:rsid w:val="00DF314C"/>
    <w:rsid w:val="00DF435D"/>
    <w:rsid w:val="00DF46B9"/>
    <w:rsid w:val="00DF4D23"/>
    <w:rsid w:val="00DF5711"/>
    <w:rsid w:val="00DF5B66"/>
    <w:rsid w:val="00DF64AC"/>
    <w:rsid w:val="00E03639"/>
    <w:rsid w:val="00E052A7"/>
    <w:rsid w:val="00E0625E"/>
    <w:rsid w:val="00E11B7C"/>
    <w:rsid w:val="00E11FD4"/>
    <w:rsid w:val="00E16982"/>
    <w:rsid w:val="00E17E99"/>
    <w:rsid w:val="00E203F4"/>
    <w:rsid w:val="00E20A09"/>
    <w:rsid w:val="00E20B13"/>
    <w:rsid w:val="00E20B5F"/>
    <w:rsid w:val="00E236F4"/>
    <w:rsid w:val="00E2463B"/>
    <w:rsid w:val="00E25AE7"/>
    <w:rsid w:val="00E351A7"/>
    <w:rsid w:val="00E36205"/>
    <w:rsid w:val="00E3695E"/>
    <w:rsid w:val="00E36A87"/>
    <w:rsid w:val="00E40088"/>
    <w:rsid w:val="00E422CF"/>
    <w:rsid w:val="00E423F8"/>
    <w:rsid w:val="00E43BFD"/>
    <w:rsid w:val="00E44B03"/>
    <w:rsid w:val="00E47B04"/>
    <w:rsid w:val="00E47CFF"/>
    <w:rsid w:val="00E50642"/>
    <w:rsid w:val="00E50E51"/>
    <w:rsid w:val="00E53DC0"/>
    <w:rsid w:val="00E57EA8"/>
    <w:rsid w:val="00E60B5D"/>
    <w:rsid w:val="00E613A6"/>
    <w:rsid w:val="00E6169A"/>
    <w:rsid w:val="00E63928"/>
    <w:rsid w:val="00E6470C"/>
    <w:rsid w:val="00E64A0B"/>
    <w:rsid w:val="00E64A9F"/>
    <w:rsid w:val="00E6527F"/>
    <w:rsid w:val="00E66D5A"/>
    <w:rsid w:val="00E702CB"/>
    <w:rsid w:val="00E70D6F"/>
    <w:rsid w:val="00E7281E"/>
    <w:rsid w:val="00E735AA"/>
    <w:rsid w:val="00E740B0"/>
    <w:rsid w:val="00E74D0B"/>
    <w:rsid w:val="00E761CF"/>
    <w:rsid w:val="00E76924"/>
    <w:rsid w:val="00E773D3"/>
    <w:rsid w:val="00E80AE2"/>
    <w:rsid w:val="00E8203E"/>
    <w:rsid w:val="00E84C9C"/>
    <w:rsid w:val="00E84C9E"/>
    <w:rsid w:val="00E8588C"/>
    <w:rsid w:val="00E8776A"/>
    <w:rsid w:val="00E913D3"/>
    <w:rsid w:val="00E916AD"/>
    <w:rsid w:val="00E91DF8"/>
    <w:rsid w:val="00E968B2"/>
    <w:rsid w:val="00E96B65"/>
    <w:rsid w:val="00EA00F5"/>
    <w:rsid w:val="00EA1A42"/>
    <w:rsid w:val="00EA27D2"/>
    <w:rsid w:val="00EA4267"/>
    <w:rsid w:val="00EA4377"/>
    <w:rsid w:val="00EA4801"/>
    <w:rsid w:val="00EA49BB"/>
    <w:rsid w:val="00EA5FE5"/>
    <w:rsid w:val="00EA7159"/>
    <w:rsid w:val="00EB4E56"/>
    <w:rsid w:val="00EB7BDE"/>
    <w:rsid w:val="00EC2CD5"/>
    <w:rsid w:val="00EC5102"/>
    <w:rsid w:val="00ED09D2"/>
    <w:rsid w:val="00ED0BA1"/>
    <w:rsid w:val="00ED0BF4"/>
    <w:rsid w:val="00ED2F91"/>
    <w:rsid w:val="00ED5F5E"/>
    <w:rsid w:val="00ED6B5D"/>
    <w:rsid w:val="00ED73B2"/>
    <w:rsid w:val="00EE03BF"/>
    <w:rsid w:val="00EE0C3B"/>
    <w:rsid w:val="00EE16A1"/>
    <w:rsid w:val="00EE3257"/>
    <w:rsid w:val="00EE573B"/>
    <w:rsid w:val="00EE59B1"/>
    <w:rsid w:val="00EE5C93"/>
    <w:rsid w:val="00EF1056"/>
    <w:rsid w:val="00EF1B04"/>
    <w:rsid w:val="00EF1F63"/>
    <w:rsid w:val="00EF353A"/>
    <w:rsid w:val="00EF3887"/>
    <w:rsid w:val="00EF4E62"/>
    <w:rsid w:val="00EF50A1"/>
    <w:rsid w:val="00EF5FE9"/>
    <w:rsid w:val="00EF7499"/>
    <w:rsid w:val="00EF74C2"/>
    <w:rsid w:val="00F0027F"/>
    <w:rsid w:val="00F00F73"/>
    <w:rsid w:val="00F019D9"/>
    <w:rsid w:val="00F0204C"/>
    <w:rsid w:val="00F0291F"/>
    <w:rsid w:val="00F02F3B"/>
    <w:rsid w:val="00F032D7"/>
    <w:rsid w:val="00F033F6"/>
    <w:rsid w:val="00F041AE"/>
    <w:rsid w:val="00F066A0"/>
    <w:rsid w:val="00F07587"/>
    <w:rsid w:val="00F076ED"/>
    <w:rsid w:val="00F117E9"/>
    <w:rsid w:val="00F11AC9"/>
    <w:rsid w:val="00F157D3"/>
    <w:rsid w:val="00F17233"/>
    <w:rsid w:val="00F1749A"/>
    <w:rsid w:val="00F17CF5"/>
    <w:rsid w:val="00F2259E"/>
    <w:rsid w:val="00F22ED6"/>
    <w:rsid w:val="00F2323B"/>
    <w:rsid w:val="00F23763"/>
    <w:rsid w:val="00F2491C"/>
    <w:rsid w:val="00F262E3"/>
    <w:rsid w:val="00F2742B"/>
    <w:rsid w:val="00F27E59"/>
    <w:rsid w:val="00F303A3"/>
    <w:rsid w:val="00F30513"/>
    <w:rsid w:val="00F3473E"/>
    <w:rsid w:val="00F34D73"/>
    <w:rsid w:val="00F35B73"/>
    <w:rsid w:val="00F4089F"/>
    <w:rsid w:val="00F46A51"/>
    <w:rsid w:val="00F47509"/>
    <w:rsid w:val="00F47A2E"/>
    <w:rsid w:val="00F47DDA"/>
    <w:rsid w:val="00F51B81"/>
    <w:rsid w:val="00F51FD7"/>
    <w:rsid w:val="00F52D7E"/>
    <w:rsid w:val="00F54AE2"/>
    <w:rsid w:val="00F54D3A"/>
    <w:rsid w:val="00F57F31"/>
    <w:rsid w:val="00F61CEF"/>
    <w:rsid w:val="00F643E4"/>
    <w:rsid w:val="00F64CD1"/>
    <w:rsid w:val="00F64D0C"/>
    <w:rsid w:val="00F67590"/>
    <w:rsid w:val="00F679AC"/>
    <w:rsid w:val="00F70BED"/>
    <w:rsid w:val="00F713D5"/>
    <w:rsid w:val="00F71E94"/>
    <w:rsid w:val="00F723AC"/>
    <w:rsid w:val="00F723D2"/>
    <w:rsid w:val="00F732F8"/>
    <w:rsid w:val="00F75640"/>
    <w:rsid w:val="00F803D4"/>
    <w:rsid w:val="00F83D38"/>
    <w:rsid w:val="00F8475A"/>
    <w:rsid w:val="00F853AF"/>
    <w:rsid w:val="00F855F7"/>
    <w:rsid w:val="00F857B6"/>
    <w:rsid w:val="00F861F7"/>
    <w:rsid w:val="00F8622F"/>
    <w:rsid w:val="00F87223"/>
    <w:rsid w:val="00F8722D"/>
    <w:rsid w:val="00F9044E"/>
    <w:rsid w:val="00F93463"/>
    <w:rsid w:val="00F95129"/>
    <w:rsid w:val="00F95ACA"/>
    <w:rsid w:val="00F97DF8"/>
    <w:rsid w:val="00FA7545"/>
    <w:rsid w:val="00FB01EC"/>
    <w:rsid w:val="00FB1715"/>
    <w:rsid w:val="00FB181D"/>
    <w:rsid w:val="00FB291C"/>
    <w:rsid w:val="00FB29EC"/>
    <w:rsid w:val="00FB33FA"/>
    <w:rsid w:val="00FB442C"/>
    <w:rsid w:val="00FB4BAE"/>
    <w:rsid w:val="00FB5AA9"/>
    <w:rsid w:val="00FC0568"/>
    <w:rsid w:val="00FC1FB9"/>
    <w:rsid w:val="00FC2BAB"/>
    <w:rsid w:val="00FC43CF"/>
    <w:rsid w:val="00FC4ADE"/>
    <w:rsid w:val="00FC557D"/>
    <w:rsid w:val="00FC5E94"/>
    <w:rsid w:val="00FD067C"/>
    <w:rsid w:val="00FD183F"/>
    <w:rsid w:val="00FD27BB"/>
    <w:rsid w:val="00FD2AAE"/>
    <w:rsid w:val="00FD4B0E"/>
    <w:rsid w:val="00FD5208"/>
    <w:rsid w:val="00FD60E4"/>
    <w:rsid w:val="00FD6D77"/>
    <w:rsid w:val="00FE08F8"/>
    <w:rsid w:val="00FE1BED"/>
    <w:rsid w:val="00FE3825"/>
    <w:rsid w:val="00FE3E54"/>
    <w:rsid w:val="00FE6464"/>
    <w:rsid w:val="00FE6E02"/>
    <w:rsid w:val="00FF0275"/>
    <w:rsid w:val="00FF0D7F"/>
    <w:rsid w:val="00FF234C"/>
    <w:rsid w:val="00FF3243"/>
    <w:rsid w:val="00FF3DF5"/>
    <w:rsid w:val="00FF41E9"/>
    <w:rsid w:val="00FF42A4"/>
    <w:rsid w:val="00FF611D"/>
    <w:rsid w:val="00FF648C"/>
    <w:rsid w:val="00FF7338"/>
    <w:rsid w:val="01D26CF3"/>
    <w:rsid w:val="021EA9AD"/>
    <w:rsid w:val="02B3CA14"/>
    <w:rsid w:val="02F7A905"/>
    <w:rsid w:val="030674FD"/>
    <w:rsid w:val="03CC63AD"/>
    <w:rsid w:val="04C1D58B"/>
    <w:rsid w:val="04CC9339"/>
    <w:rsid w:val="04F3FDA5"/>
    <w:rsid w:val="051BF219"/>
    <w:rsid w:val="069E425F"/>
    <w:rsid w:val="06B1810E"/>
    <w:rsid w:val="06BD353E"/>
    <w:rsid w:val="07099ABD"/>
    <w:rsid w:val="0721C72D"/>
    <w:rsid w:val="077A7556"/>
    <w:rsid w:val="0787E527"/>
    <w:rsid w:val="07B2F58A"/>
    <w:rsid w:val="07BE0A91"/>
    <w:rsid w:val="07C46A95"/>
    <w:rsid w:val="08E1B11C"/>
    <w:rsid w:val="091F1EDF"/>
    <w:rsid w:val="091FD56D"/>
    <w:rsid w:val="09BC7320"/>
    <w:rsid w:val="09CA0A9C"/>
    <w:rsid w:val="0A32B1CE"/>
    <w:rsid w:val="0A5C17F7"/>
    <w:rsid w:val="0A90FB31"/>
    <w:rsid w:val="0ACD43DA"/>
    <w:rsid w:val="0ADF9A3B"/>
    <w:rsid w:val="0B56319A"/>
    <w:rsid w:val="0B63B00D"/>
    <w:rsid w:val="0CC9F159"/>
    <w:rsid w:val="0CF55170"/>
    <w:rsid w:val="0D01C695"/>
    <w:rsid w:val="0D1E07FD"/>
    <w:rsid w:val="0D2AD440"/>
    <w:rsid w:val="0D5D8289"/>
    <w:rsid w:val="0D84AB8B"/>
    <w:rsid w:val="0DC068BA"/>
    <w:rsid w:val="0F8A2011"/>
    <w:rsid w:val="0FC19E1A"/>
    <w:rsid w:val="101136C7"/>
    <w:rsid w:val="104B7F1D"/>
    <w:rsid w:val="1064DCFA"/>
    <w:rsid w:val="10861351"/>
    <w:rsid w:val="1167E08B"/>
    <w:rsid w:val="1191B4E0"/>
    <w:rsid w:val="1194EA66"/>
    <w:rsid w:val="1205E79E"/>
    <w:rsid w:val="1210CC86"/>
    <w:rsid w:val="1268D562"/>
    <w:rsid w:val="12E4AAD0"/>
    <w:rsid w:val="12EF4096"/>
    <w:rsid w:val="13759BAF"/>
    <w:rsid w:val="13AF014E"/>
    <w:rsid w:val="13F5D330"/>
    <w:rsid w:val="1408F428"/>
    <w:rsid w:val="140C61AF"/>
    <w:rsid w:val="1493887B"/>
    <w:rsid w:val="14C65CAF"/>
    <w:rsid w:val="15108EB4"/>
    <w:rsid w:val="15821BEC"/>
    <w:rsid w:val="1583284C"/>
    <w:rsid w:val="15953D90"/>
    <w:rsid w:val="159ADFDB"/>
    <w:rsid w:val="161768A2"/>
    <w:rsid w:val="16609BB6"/>
    <w:rsid w:val="166D5DBB"/>
    <w:rsid w:val="1746ADFB"/>
    <w:rsid w:val="17585222"/>
    <w:rsid w:val="17C3C4FE"/>
    <w:rsid w:val="1813CA68"/>
    <w:rsid w:val="184332E2"/>
    <w:rsid w:val="18613AA4"/>
    <w:rsid w:val="18A401B2"/>
    <w:rsid w:val="18A9AA2B"/>
    <w:rsid w:val="18ED377C"/>
    <w:rsid w:val="1A04DC46"/>
    <w:rsid w:val="1A2F9CA4"/>
    <w:rsid w:val="1A6FCEE9"/>
    <w:rsid w:val="1A8B9416"/>
    <w:rsid w:val="1B9558EE"/>
    <w:rsid w:val="1BF03F4D"/>
    <w:rsid w:val="1C084E5A"/>
    <w:rsid w:val="1C8BA8F1"/>
    <w:rsid w:val="1D06331D"/>
    <w:rsid w:val="1DDBA6C1"/>
    <w:rsid w:val="1E52F242"/>
    <w:rsid w:val="1E809678"/>
    <w:rsid w:val="1ED91D26"/>
    <w:rsid w:val="1FAE379D"/>
    <w:rsid w:val="1FB42CDA"/>
    <w:rsid w:val="1FD3DE3A"/>
    <w:rsid w:val="1FD86D84"/>
    <w:rsid w:val="204F24D3"/>
    <w:rsid w:val="20CB0696"/>
    <w:rsid w:val="20E13473"/>
    <w:rsid w:val="21076692"/>
    <w:rsid w:val="21B134C8"/>
    <w:rsid w:val="2203706E"/>
    <w:rsid w:val="22503175"/>
    <w:rsid w:val="237AA7B7"/>
    <w:rsid w:val="240FC8E4"/>
    <w:rsid w:val="244D5147"/>
    <w:rsid w:val="24A7A21F"/>
    <w:rsid w:val="24FA1E5F"/>
    <w:rsid w:val="24FA24EE"/>
    <w:rsid w:val="25BB50F0"/>
    <w:rsid w:val="26798696"/>
    <w:rsid w:val="268C3E43"/>
    <w:rsid w:val="26975BEA"/>
    <w:rsid w:val="26E041E2"/>
    <w:rsid w:val="26EF432E"/>
    <w:rsid w:val="26F3A863"/>
    <w:rsid w:val="283693B6"/>
    <w:rsid w:val="285DBDC0"/>
    <w:rsid w:val="28B12F5F"/>
    <w:rsid w:val="29051DCD"/>
    <w:rsid w:val="291B5714"/>
    <w:rsid w:val="293CE845"/>
    <w:rsid w:val="296298D9"/>
    <w:rsid w:val="29B2EE25"/>
    <w:rsid w:val="2A3F624E"/>
    <w:rsid w:val="2AA65F3C"/>
    <w:rsid w:val="2AB51664"/>
    <w:rsid w:val="2B0C89A2"/>
    <w:rsid w:val="2B210F20"/>
    <w:rsid w:val="2B66978B"/>
    <w:rsid w:val="2C80BF21"/>
    <w:rsid w:val="2D13DB9A"/>
    <w:rsid w:val="2D3CD737"/>
    <w:rsid w:val="2D55EDE0"/>
    <w:rsid w:val="2E17D062"/>
    <w:rsid w:val="2E332F50"/>
    <w:rsid w:val="2E783C73"/>
    <w:rsid w:val="2EE3FDCE"/>
    <w:rsid w:val="2EFE5869"/>
    <w:rsid w:val="2F93AD9F"/>
    <w:rsid w:val="2F9F4C1D"/>
    <w:rsid w:val="2FF9CF56"/>
    <w:rsid w:val="2FFFD05A"/>
    <w:rsid w:val="309F0D03"/>
    <w:rsid w:val="30B7B6E4"/>
    <w:rsid w:val="30C8C04B"/>
    <w:rsid w:val="3134C41A"/>
    <w:rsid w:val="31A29305"/>
    <w:rsid w:val="31AFCDEB"/>
    <w:rsid w:val="31D4C8D1"/>
    <w:rsid w:val="32034797"/>
    <w:rsid w:val="320BAB98"/>
    <w:rsid w:val="3248424C"/>
    <w:rsid w:val="328E1735"/>
    <w:rsid w:val="32B2571C"/>
    <w:rsid w:val="32C32174"/>
    <w:rsid w:val="32C57A0E"/>
    <w:rsid w:val="32D82EC2"/>
    <w:rsid w:val="335F0090"/>
    <w:rsid w:val="336E92E1"/>
    <w:rsid w:val="338FFBD5"/>
    <w:rsid w:val="3391545F"/>
    <w:rsid w:val="33AE42A7"/>
    <w:rsid w:val="33C52EDE"/>
    <w:rsid w:val="34A51B66"/>
    <w:rsid w:val="351107AB"/>
    <w:rsid w:val="35AE1D58"/>
    <w:rsid w:val="3608742F"/>
    <w:rsid w:val="3638982E"/>
    <w:rsid w:val="375A349C"/>
    <w:rsid w:val="37F309F0"/>
    <w:rsid w:val="3838A26F"/>
    <w:rsid w:val="38942759"/>
    <w:rsid w:val="390E9A51"/>
    <w:rsid w:val="396D56E9"/>
    <w:rsid w:val="399F1A2A"/>
    <w:rsid w:val="3AC103D1"/>
    <w:rsid w:val="3BA2EB7D"/>
    <w:rsid w:val="3BB2C2F9"/>
    <w:rsid w:val="3C9B6009"/>
    <w:rsid w:val="3D14C782"/>
    <w:rsid w:val="3D1D9A1B"/>
    <w:rsid w:val="3D3909AD"/>
    <w:rsid w:val="3D83FC2C"/>
    <w:rsid w:val="3D9E8114"/>
    <w:rsid w:val="3EBE3A53"/>
    <w:rsid w:val="3FA4EC54"/>
    <w:rsid w:val="4041C831"/>
    <w:rsid w:val="409BA1CF"/>
    <w:rsid w:val="40C5951A"/>
    <w:rsid w:val="40F1665E"/>
    <w:rsid w:val="4111CFC4"/>
    <w:rsid w:val="413B9817"/>
    <w:rsid w:val="41764352"/>
    <w:rsid w:val="418C734C"/>
    <w:rsid w:val="42028EB2"/>
    <w:rsid w:val="420DFCAB"/>
    <w:rsid w:val="423BF56D"/>
    <w:rsid w:val="434F1CA9"/>
    <w:rsid w:val="4357ACB9"/>
    <w:rsid w:val="43AAB638"/>
    <w:rsid w:val="43EAA570"/>
    <w:rsid w:val="44635CFA"/>
    <w:rsid w:val="4510C87D"/>
    <w:rsid w:val="45C11A7C"/>
    <w:rsid w:val="45D22886"/>
    <w:rsid w:val="45EB93AC"/>
    <w:rsid w:val="462374C6"/>
    <w:rsid w:val="4686B479"/>
    <w:rsid w:val="46950AF8"/>
    <w:rsid w:val="46A649E0"/>
    <w:rsid w:val="46B94E53"/>
    <w:rsid w:val="4714EA2B"/>
    <w:rsid w:val="47A3C5CE"/>
    <w:rsid w:val="48C3934D"/>
    <w:rsid w:val="491E8628"/>
    <w:rsid w:val="497AA5FF"/>
    <w:rsid w:val="4990EDD7"/>
    <w:rsid w:val="49E8BC4E"/>
    <w:rsid w:val="4A03C91B"/>
    <w:rsid w:val="4A683DDA"/>
    <w:rsid w:val="4AA25E28"/>
    <w:rsid w:val="4B4D8490"/>
    <w:rsid w:val="4B75A2BE"/>
    <w:rsid w:val="4BDBDD05"/>
    <w:rsid w:val="4BF0181F"/>
    <w:rsid w:val="4BF1EBEB"/>
    <w:rsid w:val="4C0BD04F"/>
    <w:rsid w:val="4C118119"/>
    <w:rsid w:val="4C782EE1"/>
    <w:rsid w:val="4CD66521"/>
    <w:rsid w:val="4DA75AA1"/>
    <w:rsid w:val="4F1A34F7"/>
    <w:rsid w:val="4F59CD4C"/>
    <w:rsid w:val="4F6EF131"/>
    <w:rsid w:val="4F959F3B"/>
    <w:rsid w:val="4F9CCB8F"/>
    <w:rsid w:val="4FA7A441"/>
    <w:rsid w:val="4FE4367B"/>
    <w:rsid w:val="50330549"/>
    <w:rsid w:val="505EBE86"/>
    <w:rsid w:val="50704E22"/>
    <w:rsid w:val="508B09AD"/>
    <w:rsid w:val="50AB8358"/>
    <w:rsid w:val="51137FB5"/>
    <w:rsid w:val="511865A6"/>
    <w:rsid w:val="512BE929"/>
    <w:rsid w:val="5216602F"/>
    <w:rsid w:val="52AADE00"/>
    <w:rsid w:val="52D3CADC"/>
    <w:rsid w:val="5350D77C"/>
    <w:rsid w:val="53B955C4"/>
    <w:rsid w:val="5416B0F1"/>
    <w:rsid w:val="54D92979"/>
    <w:rsid w:val="555D2693"/>
    <w:rsid w:val="5562E451"/>
    <w:rsid w:val="55CA5B54"/>
    <w:rsid w:val="5603017A"/>
    <w:rsid w:val="560AA658"/>
    <w:rsid w:val="56F7771C"/>
    <w:rsid w:val="571DA3AC"/>
    <w:rsid w:val="577F6724"/>
    <w:rsid w:val="57CB0581"/>
    <w:rsid w:val="5870B007"/>
    <w:rsid w:val="588DCD11"/>
    <w:rsid w:val="58CBA6E6"/>
    <w:rsid w:val="59625CFF"/>
    <w:rsid w:val="5966B4E7"/>
    <w:rsid w:val="597E8B4F"/>
    <w:rsid w:val="59EAEF53"/>
    <w:rsid w:val="5A34B6BE"/>
    <w:rsid w:val="5A66671D"/>
    <w:rsid w:val="5A9A0B69"/>
    <w:rsid w:val="5AB72098"/>
    <w:rsid w:val="5AFD1FD8"/>
    <w:rsid w:val="5B0A7461"/>
    <w:rsid w:val="5B3C6369"/>
    <w:rsid w:val="5B4AEBA4"/>
    <w:rsid w:val="5C05EBD3"/>
    <w:rsid w:val="5C48A965"/>
    <w:rsid w:val="5CC00402"/>
    <w:rsid w:val="5CC6883E"/>
    <w:rsid w:val="5CFC6BCE"/>
    <w:rsid w:val="5D5BD36E"/>
    <w:rsid w:val="5DA55048"/>
    <w:rsid w:val="5DC459FD"/>
    <w:rsid w:val="5DD2F4C6"/>
    <w:rsid w:val="5DDC5CC4"/>
    <w:rsid w:val="5E22ED45"/>
    <w:rsid w:val="5E8001C7"/>
    <w:rsid w:val="5FB9D6F6"/>
    <w:rsid w:val="5FD62CE7"/>
    <w:rsid w:val="5FE731EF"/>
    <w:rsid w:val="5FF29E0E"/>
    <w:rsid w:val="6046F309"/>
    <w:rsid w:val="60A6FFA5"/>
    <w:rsid w:val="60ECF5A5"/>
    <w:rsid w:val="6142F6CE"/>
    <w:rsid w:val="614F9978"/>
    <w:rsid w:val="619C2DE4"/>
    <w:rsid w:val="623C818D"/>
    <w:rsid w:val="62998F1E"/>
    <w:rsid w:val="62E8248E"/>
    <w:rsid w:val="63265FF4"/>
    <w:rsid w:val="6334C2E8"/>
    <w:rsid w:val="635D646F"/>
    <w:rsid w:val="6375056F"/>
    <w:rsid w:val="638B6F0D"/>
    <w:rsid w:val="63AAFFBE"/>
    <w:rsid w:val="648AD98E"/>
    <w:rsid w:val="64D958A9"/>
    <w:rsid w:val="64F6EA13"/>
    <w:rsid w:val="6554D0EB"/>
    <w:rsid w:val="6558DE0B"/>
    <w:rsid w:val="65B3E78C"/>
    <w:rsid w:val="6653492E"/>
    <w:rsid w:val="66E291C9"/>
    <w:rsid w:val="674D0B12"/>
    <w:rsid w:val="676844EA"/>
    <w:rsid w:val="679EDF7F"/>
    <w:rsid w:val="67A744E7"/>
    <w:rsid w:val="67B40298"/>
    <w:rsid w:val="67D5F0AC"/>
    <w:rsid w:val="67E97F69"/>
    <w:rsid w:val="68196583"/>
    <w:rsid w:val="688401F9"/>
    <w:rsid w:val="68B89EA0"/>
    <w:rsid w:val="68CB105A"/>
    <w:rsid w:val="68E1D28D"/>
    <w:rsid w:val="697540DD"/>
    <w:rsid w:val="698603A0"/>
    <w:rsid w:val="69995F2B"/>
    <w:rsid w:val="69A50424"/>
    <w:rsid w:val="6A6A4E60"/>
    <w:rsid w:val="6B05DFAE"/>
    <w:rsid w:val="6B5D440A"/>
    <w:rsid w:val="6B7A8B14"/>
    <w:rsid w:val="6B95C5BE"/>
    <w:rsid w:val="6BD9717B"/>
    <w:rsid w:val="6BEE1428"/>
    <w:rsid w:val="6CE143E7"/>
    <w:rsid w:val="6D532621"/>
    <w:rsid w:val="6D8E3C06"/>
    <w:rsid w:val="6E7D0EFF"/>
    <w:rsid w:val="6F0BCB1D"/>
    <w:rsid w:val="6F4AC33E"/>
    <w:rsid w:val="6F8D8851"/>
    <w:rsid w:val="6FA73C34"/>
    <w:rsid w:val="6FD9D247"/>
    <w:rsid w:val="7019E187"/>
    <w:rsid w:val="702433ED"/>
    <w:rsid w:val="7047C2D5"/>
    <w:rsid w:val="70807A22"/>
    <w:rsid w:val="708DEE2E"/>
    <w:rsid w:val="70A2B1E8"/>
    <w:rsid w:val="70BBAAE2"/>
    <w:rsid w:val="70C2D40E"/>
    <w:rsid w:val="711927AE"/>
    <w:rsid w:val="7189E78B"/>
    <w:rsid w:val="720206E5"/>
    <w:rsid w:val="722A65AB"/>
    <w:rsid w:val="722B9884"/>
    <w:rsid w:val="727575ED"/>
    <w:rsid w:val="72914764"/>
    <w:rsid w:val="729DB837"/>
    <w:rsid w:val="72AF8833"/>
    <w:rsid w:val="72C64312"/>
    <w:rsid w:val="73116E1F"/>
    <w:rsid w:val="73421E7A"/>
    <w:rsid w:val="73B5077D"/>
    <w:rsid w:val="73E7AEB9"/>
    <w:rsid w:val="745B08FA"/>
    <w:rsid w:val="74EC782E"/>
    <w:rsid w:val="75194A92"/>
    <w:rsid w:val="7522258B"/>
    <w:rsid w:val="7587F00F"/>
    <w:rsid w:val="764F1DEA"/>
    <w:rsid w:val="77E7FD06"/>
    <w:rsid w:val="786A86F2"/>
    <w:rsid w:val="78B86839"/>
    <w:rsid w:val="78C7977B"/>
    <w:rsid w:val="793BC091"/>
    <w:rsid w:val="795E0818"/>
    <w:rsid w:val="797E2129"/>
    <w:rsid w:val="79DC8C71"/>
    <w:rsid w:val="79EF17E6"/>
    <w:rsid w:val="79F2E3B6"/>
    <w:rsid w:val="7A3D944A"/>
    <w:rsid w:val="7A64ECDE"/>
    <w:rsid w:val="7AB3E048"/>
    <w:rsid w:val="7B087B9F"/>
    <w:rsid w:val="7B416D9A"/>
    <w:rsid w:val="7B756136"/>
    <w:rsid w:val="7BE63862"/>
    <w:rsid w:val="7C0B59FB"/>
    <w:rsid w:val="7C56BA44"/>
    <w:rsid w:val="7E0B5DDF"/>
    <w:rsid w:val="7E159697"/>
    <w:rsid w:val="7F342119"/>
    <w:rsid w:val="7F54FBCF"/>
    <w:rsid w:val="7F74ADC3"/>
    <w:rsid w:val="7FDA6183"/>
    <w:rsid w:val="7FF2F5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85994"/>
  <w15:chartTrackingRefBased/>
  <w15:docId w15:val="{8361412D-BA45-4D16-880A-84869BF7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2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2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E4C"/>
    <w:rPr>
      <w:rFonts w:eastAsiaTheme="majorEastAsia" w:cstheme="majorBidi"/>
      <w:color w:val="272727" w:themeColor="text1" w:themeTint="D8"/>
    </w:rPr>
  </w:style>
  <w:style w:type="paragraph" w:styleId="Title">
    <w:name w:val="Title"/>
    <w:basedOn w:val="Normal"/>
    <w:next w:val="Normal"/>
    <w:link w:val="TitleChar"/>
    <w:uiPriority w:val="10"/>
    <w:qFormat/>
    <w:rsid w:val="00772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E4C"/>
    <w:pPr>
      <w:spacing w:before="160"/>
      <w:jc w:val="center"/>
    </w:pPr>
    <w:rPr>
      <w:i/>
      <w:iCs/>
      <w:color w:val="404040" w:themeColor="text1" w:themeTint="BF"/>
    </w:rPr>
  </w:style>
  <w:style w:type="character" w:customStyle="1" w:styleId="QuoteChar">
    <w:name w:val="Quote Char"/>
    <w:basedOn w:val="DefaultParagraphFont"/>
    <w:link w:val="Quote"/>
    <w:uiPriority w:val="29"/>
    <w:rsid w:val="00772E4C"/>
    <w:rPr>
      <w:i/>
      <w:iCs/>
      <w:color w:val="404040" w:themeColor="text1" w:themeTint="BF"/>
    </w:rPr>
  </w:style>
  <w:style w:type="paragraph" w:styleId="ListParagraph">
    <w:name w:val="List Paragraph"/>
    <w:basedOn w:val="Normal"/>
    <w:uiPriority w:val="34"/>
    <w:qFormat/>
    <w:rsid w:val="008D3431"/>
    <w:pPr>
      <w:numPr>
        <w:ilvl w:val="1"/>
        <w:numId w:val="14"/>
      </w:numPr>
      <w:spacing w:before="120" w:after="120"/>
      <w:contextualSpacing/>
    </w:pPr>
    <w:rPr>
      <w:rFonts w:ascii="Verdana" w:eastAsia="Aptos" w:hAnsi="Verdana" w:cs="Aptos"/>
      <w:color w:val="000000" w:themeColor="text1"/>
    </w:rPr>
  </w:style>
  <w:style w:type="character" w:styleId="IntenseEmphasis">
    <w:name w:val="Intense Emphasis"/>
    <w:basedOn w:val="DefaultParagraphFont"/>
    <w:uiPriority w:val="21"/>
    <w:qFormat/>
    <w:rsid w:val="00772E4C"/>
    <w:rPr>
      <w:i/>
      <w:iCs/>
      <w:color w:val="0F4761" w:themeColor="accent1" w:themeShade="BF"/>
    </w:rPr>
  </w:style>
  <w:style w:type="paragraph" w:styleId="IntenseQuote">
    <w:name w:val="Intense Quote"/>
    <w:basedOn w:val="Normal"/>
    <w:next w:val="Normal"/>
    <w:link w:val="IntenseQuoteChar"/>
    <w:uiPriority w:val="30"/>
    <w:qFormat/>
    <w:rsid w:val="00772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E4C"/>
    <w:rPr>
      <w:i/>
      <w:iCs/>
      <w:color w:val="0F4761" w:themeColor="accent1" w:themeShade="BF"/>
    </w:rPr>
  </w:style>
  <w:style w:type="character" w:styleId="IntenseReference">
    <w:name w:val="Intense Reference"/>
    <w:basedOn w:val="DefaultParagraphFont"/>
    <w:uiPriority w:val="32"/>
    <w:qFormat/>
    <w:rsid w:val="00772E4C"/>
    <w:rPr>
      <w:b/>
      <w:bCs/>
      <w:smallCaps/>
      <w:color w:val="0F4761" w:themeColor="accent1" w:themeShade="BF"/>
      <w:spacing w:val="5"/>
    </w:rPr>
  </w:style>
  <w:style w:type="character" w:styleId="CommentReference">
    <w:name w:val="annotation reference"/>
    <w:basedOn w:val="DefaultParagraphFont"/>
    <w:uiPriority w:val="99"/>
    <w:unhideWhenUsed/>
    <w:rsid w:val="00772E4C"/>
    <w:rPr>
      <w:sz w:val="16"/>
      <w:szCs w:val="16"/>
    </w:rPr>
  </w:style>
  <w:style w:type="paragraph" w:styleId="CommentText">
    <w:name w:val="annotation text"/>
    <w:basedOn w:val="Normal"/>
    <w:link w:val="CommentTextChar"/>
    <w:unhideWhenUsed/>
    <w:rsid w:val="00772E4C"/>
    <w:pPr>
      <w:spacing w:line="240" w:lineRule="auto"/>
    </w:pPr>
    <w:rPr>
      <w:kern w:val="0"/>
      <w:sz w:val="20"/>
      <w:szCs w:val="20"/>
      <w14:ligatures w14:val="none"/>
    </w:rPr>
  </w:style>
  <w:style w:type="character" w:customStyle="1" w:styleId="CommentTextChar">
    <w:name w:val="Comment Text Char"/>
    <w:basedOn w:val="DefaultParagraphFont"/>
    <w:link w:val="CommentText"/>
    <w:rsid w:val="00772E4C"/>
    <w:rPr>
      <w:kern w:val="0"/>
      <w:sz w:val="20"/>
      <w:szCs w:val="20"/>
      <w14:ligatures w14:val="none"/>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qFormat/>
    <w:rsid w:val="00772E4C"/>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unhideWhenUsed/>
    <w:qFormat/>
    <w:rsid w:val="00772E4C"/>
    <w:pPr>
      <w:spacing w:after="0" w:line="240" w:lineRule="auto"/>
    </w:pPr>
    <w:rPr>
      <w:kern w:val="0"/>
      <w:sz w:val="20"/>
      <w:szCs w:val="20"/>
      <w14:ligatures w14:val="none"/>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772E4C"/>
    <w:rPr>
      <w:kern w:val="0"/>
      <w:sz w:val="20"/>
      <w:szCs w:val="20"/>
      <w14:ligatures w14:val="none"/>
    </w:rPr>
  </w:style>
  <w:style w:type="character" w:styleId="Hyperlink">
    <w:name w:val="Hyperlink"/>
    <w:basedOn w:val="DefaultParagraphFont"/>
    <w:uiPriority w:val="99"/>
    <w:unhideWhenUsed/>
    <w:rsid w:val="00772E4C"/>
    <w:rPr>
      <w:color w:val="467886" w:themeColor="hyperlink"/>
      <w:u w:val="single"/>
    </w:rPr>
  </w:style>
  <w:style w:type="character" w:styleId="UnresolvedMention">
    <w:name w:val="Unresolved Mention"/>
    <w:basedOn w:val="DefaultParagraphFont"/>
    <w:uiPriority w:val="99"/>
    <w:semiHidden/>
    <w:unhideWhenUsed/>
    <w:rsid w:val="00772E4C"/>
    <w:rPr>
      <w:color w:val="605E5C"/>
      <w:shd w:val="clear" w:color="auto" w:fill="E1DFDD"/>
    </w:rPr>
  </w:style>
  <w:style w:type="paragraph" w:styleId="TOCHeading">
    <w:name w:val="TOC Heading"/>
    <w:basedOn w:val="Heading1"/>
    <w:next w:val="Normal"/>
    <w:uiPriority w:val="39"/>
    <w:unhideWhenUsed/>
    <w:qFormat/>
    <w:rsid w:val="00772E4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72E4C"/>
    <w:pPr>
      <w:spacing w:after="100"/>
    </w:pPr>
  </w:style>
  <w:style w:type="character" w:styleId="Mention">
    <w:name w:val="Mention"/>
    <w:basedOn w:val="DefaultParagraphFont"/>
    <w:uiPriority w:val="99"/>
    <w:unhideWhenUsed/>
    <w:rsid w:val="00B10D09"/>
    <w:rPr>
      <w:color w:val="2B579A"/>
      <w:shd w:val="clear" w:color="auto" w:fill="E1DFDD"/>
    </w:rPr>
  </w:style>
  <w:style w:type="paragraph" w:styleId="Header">
    <w:name w:val="header"/>
    <w:basedOn w:val="Normal"/>
    <w:link w:val="HeaderChar"/>
    <w:uiPriority w:val="99"/>
    <w:unhideWhenUsed/>
    <w:rsid w:val="00FB3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3FA"/>
  </w:style>
  <w:style w:type="paragraph" w:styleId="Footer">
    <w:name w:val="footer"/>
    <w:basedOn w:val="Normal"/>
    <w:link w:val="FooterChar"/>
    <w:uiPriority w:val="99"/>
    <w:unhideWhenUsed/>
    <w:rsid w:val="00FB3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3FA"/>
  </w:style>
  <w:style w:type="paragraph" w:styleId="CommentSubject">
    <w:name w:val="annotation subject"/>
    <w:basedOn w:val="CommentText"/>
    <w:next w:val="CommentText"/>
    <w:link w:val="CommentSubjectChar"/>
    <w:uiPriority w:val="99"/>
    <w:semiHidden/>
    <w:unhideWhenUsed/>
    <w:rsid w:val="002772A6"/>
    <w:rPr>
      <w:b/>
      <w:bCs/>
      <w:kern w:val="2"/>
      <w14:ligatures w14:val="standardContextual"/>
    </w:rPr>
  </w:style>
  <w:style w:type="character" w:customStyle="1" w:styleId="CommentSubjectChar">
    <w:name w:val="Comment Subject Char"/>
    <w:basedOn w:val="CommentTextChar"/>
    <w:link w:val="CommentSubject"/>
    <w:uiPriority w:val="99"/>
    <w:semiHidden/>
    <w:rsid w:val="002772A6"/>
    <w:rPr>
      <w:b/>
      <w:bCs/>
      <w:kern w:val="0"/>
      <w:sz w:val="20"/>
      <w:szCs w:val="20"/>
      <w14:ligatures w14:val="none"/>
    </w:rPr>
  </w:style>
  <w:style w:type="table" w:styleId="TableGrid">
    <w:name w:val="Table Grid"/>
    <w:basedOn w:val="TableNormal"/>
    <w:uiPriority w:val="59"/>
    <w:rsid w:val="00F46A51"/>
    <w:pPr>
      <w:spacing w:after="0" w:line="240" w:lineRule="auto"/>
    </w:pPr>
    <w:tblPr>
      <w:tblInd w:w="0" w:type="nil"/>
      <w:tblCellMar>
        <w:left w:w="0" w:type="dxa"/>
        <w:right w:w="0" w:type="dxa"/>
      </w:tblCellMar>
    </w:tblPr>
  </w:style>
  <w:style w:type="paragraph" w:customStyle="1" w:styleId="NIHRCFootnotes">
    <w:name w:val="NIHRC Footnotes"/>
    <w:basedOn w:val="Normal"/>
    <w:qFormat/>
    <w:rsid w:val="59EAEF53"/>
    <w:pPr>
      <w:tabs>
        <w:tab w:val="left" w:pos="284"/>
      </w:tabs>
      <w:spacing w:line="240" w:lineRule="auto"/>
      <w:jc w:val="both"/>
    </w:pPr>
    <w:rPr>
      <w:rFonts w:ascii="Verdana" w:eastAsiaTheme="minorEastAsia" w:hAnsi="Verdana" w:cs="Arial"/>
      <w:color w:val="77328A"/>
      <w:sz w:val="16"/>
      <w:szCs w:val="16"/>
    </w:rPr>
  </w:style>
  <w:style w:type="character" w:customStyle="1" w:styleId="ui-provider">
    <w:name w:val="ui-provider"/>
    <w:basedOn w:val="DefaultParagraphFont"/>
    <w:rsid w:val="00C107EF"/>
  </w:style>
  <w:style w:type="character" w:customStyle="1" w:styleId="normaltextrun">
    <w:name w:val="normaltextrun"/>
    <w:basedOn w:val="DefaultParagraphFont"/>
    <w:rsid w:val="00C107EF"/>
  </w:style>
  <w:style w:type="paragraph" w:styleId="Revision">
    <w:name w:val="Revision"/>
    <w:hidden/>
    <w:uiPriority w:val="99"/>
    <w:semiHidden/>
    <w:rsid w:val="00C107EF"/>
    <w:pPr>
      <w:spacing w:after="0" w:line="240" w:lineRule="auto"/>
    </w:p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235F4E"/>
    <w:pPr>
      <w:spacing w:after="0" w:line="240" w:lineRule="exact"/>
      <w:jc w:val="both"/>
    </w:pPr>
    <w:rPr>
      <w:vertAlign w:val="superscript"/>
    </w:rPr>
  </w:style>
  <w:style w:type="paragraph" w:styleId="TOC2">
    <w:name w:val="toc 2"/>
    <w:basedOn w:val="Normal"/>
    <w:next w:val="Normal"/>
    <w:autoRedefine/>
    <w:uiPriority w:val="39"/>
    <w:unhideWhenUsed/>
    <w:rsid w:val="009B36F1"/>
    <w:pPr>
      <w:spacing w:after="100"/>
      <w:ind w:left="240"/>
    </w:pPr>
  </w:style>
  <w:style w:type="paragraph" w:styleId="TOC3">
    <w:name w:val="toc 3"/>
    <w:basedOn w:val="Normal"/>
    <w:next w:val="Normal"/>
    <w:autoRedefine/>
    <w:uiPriority w:val="39"/>
    <w:unhideWhenUsed/>
    <w:rsid w:val="000E18B7"/>
    <w:pPr>
      <w:spacing w:after="100" w:line="259" w:lineRule="auto"/>
      <w:ind w:left="440"/>
    </w:pPr>
    <w:rPr>
      <w:rFonts w:eastAsiaTheme="minorEastAsia"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288767">
      <w:bodyDiv w:val="1"/>
      <w:marLeft w:val="0"/>
      <w:marRight w:val="0"/>
      <w:marTop w:val="0"/>
      <w:marBottom w:val="0"/>
      <w:divBdr>
        <w:top w:val="none" w:sz="0" w:space="0" w:color="auto"/>
        <w:left w:val="none" w:sz="0" w:space="0" w:color="auto"/>
        <w:bottom w:val="none" w:sz="0" w:space="0" w:color="auto"/>
        <w:right w:val="none" w:sz="0" w:space="0" w:color="auto"/>
      </w:divBdr>
    </w:div>
    <w:div w:id="20906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bsky.app/profile/nihrc.bsky.social" TargetMode="Externa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hyperlink" Target="https://x.com/nihrc" TargetMode="External"/><Relationship Id="rId25" Type="http://schemas.openxmlformats.org/officeDocument/2006/relationships/hyperlink" Target="https://www.youtube.com/user/nihrc"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facebook.com/nihrc" TargetMode="External"/><Relationship Id="rId23" Type="http://schemas.openxmlformats.org/officeDocument/2006/relationships/hyperlink" Target="https://open.spotify.com/show/6hKE25u2Le69Rj302LPgwD?si=c85336ceaf2d403e&amp;nd=1&amp;dlsi=a5016d9da52c4bb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5554204/admin/dash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ills.parliament.uk/bills/4022" TargetMode="External"/><Relationship Id="rId2" Type="http://schemas.openxmlformats.org/officeDocument/2006/relationships/hyperlink" Target="https://www.judiciaryni.uk/files/judiciaryni/2024-09/%5B2024%5D%20NICA%2059.pdf" TargetMode="External"/><Relationship Id="rId1" Type="http://schemas.openxmlformats.org/officeDocument/2006/relationships/hyperlink" Target="https://nihrc.org/publication/category/Annual-statements" TargetMode="External"/><Relationship Id="rId6" Type="http://schemas.openxmlformats.org/officeDocument/2006/relationships/hyperlink" Target="https://www.unhcr.org/uk/what-we-do/uk-asylum-and-policy/uk-asylum-and-policy-and-illegal-migration-bill" TargetMode="External"/><Relationship Id="rId5" Type="http://schemas.openxmlformats.org/officeDocument/2006/relationships/hyperlink" Target="https://bills.parliament.uk/bills/4022" TargetMode="External"/><Relationship Id="rId4" Type="http://schemas.openxmlformats.org/officeDocument/2006/relationships/hyperlink" Target="https://publications.parliament.uk/pa/bills/cbill/59-01/0310/NITroublesECHRMemorand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064f8652e6ce957a6a8ac677a11514ae">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3c7ca2b1683d86788ee354e013ba562"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A060C269-5349-4C4F-84D2-0CAC396847E1}">
  <ds:schemaRefs>
    <ds:schemaRef ds:uri="http://schemas.openxmlformats.org/officeDocument/2006/bibliography"/>
  </ds:schemaRefs>
</ds:datastoreItem>
</file>

<file path=customXml/itemProps2.xml><?xml version="1.0" encoding="utf-8"?>
<ds:datastoreItem xmlns:ds="http://schemas.openxmlformats.org/officeDocument/2006/customXml" ds:itemID="{2D1C6C2B-0EF0-41D2-9961-02B917012739}">
  <ds:schemaRefs>
    <ds:schemaRef ds:uri="http://schemas.microsoft.com/sharepoint/v3/contenttype/forms"/>
  </ds:schemaRefs>
</ds:datastoreItem>
</file>

<file path=customXml/itemProps3.xml><?xml version="1.0" encoding="utf-8"?>
<ds:datastoreItem xmlns:ds="http://schemas.openxmlformats.org/officeDocument/2006/customXml" ds:itemID="{D512B64F-BF39-4EE6-B2E7-6EDEAE234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B2972-64E0-4963-AEE7-2A94A3DAED8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4849</Words>
  <Characters>27689</Characters>
  <Application>Microsoft Office Word</Application>
  <DocSecurity>0</DocSecurity>
  <Lines>1977</Lines>
  <Paragraphs>1162</Paragraphs>
  <ScaleCrop>false</ScaleCrop>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Hermosilla</dc:creator>
  <cp:keywords/>
  <dc:description/>
  <cp:lastModifiedBy>Fernanda Hermosilla</cp:lastModifiedBy>
  <cp:revision>20</cp:revision>
  <cp:lastPrinted>2025-12-04T12:49:00Z</cp:lastPrinted>
  <dcterms:created xsi:type="dcterms:W3CDTF">2025-11-19T12:29:00Z</dcterms:created>
  <dcterms:modified xsi:type="dcterms:W3CDTF">2025-12-04T13:32:00Z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9b68f2df-dc28-4a8d-875b-59981fdbcebb</vt:lpwstr>
  </property>
  <property fmtid="{D5CDD505-2E9C-101B-9397-08002B2CF9AE}" pid="3" name="ContentTypeId">
    <vt:lpwstr>0x010100F41320E77E35C644A511CBC5C12B0A0B</vt:lpwstr>
  </property>
  <property fmtid="{D5CDD505-2E9C-101B-9397-08002B2CF9AE}" pid="4" name="MediaServiceImageTags">
    <vt:lpwstr/>
  </property>
</Properties>
</file>