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F1E3" w14:textId="77777777" w:rsidR="003D6A58" w:rsidRDefault="003D6A58" w:rsidP="003D6A58">
      <w:pPr>
        <w:pStyle w:val="BasicParagraph"/>
        <w:suppressAutoHyphens/>
        <w:jc w:val="center"/>
        <w:rPr>
          <w:rFonts w:ascii="Verdana" w:hAnsi="Verdana" w:cs="Arial"/>
          <w:b/>
          <w:bCs/>
          <w:color w:val="734791"/>
          <w:sz w:val="36"/>
          <w:szCs w:val="36"/>
        </w:rPr>
      </w:pPr>
    </w:p>
    <w:p w14:paraId="7797647B" w14:textId="77777777" w:rsidR="003D6A58" w:rsidRPr="002F2B00" w:rsidRDefault="003D6A58" w:rsidP="003D6A58">
      <w:pPr>
        <w:pStyle w:val="BasicParagraph"/>
        <w:suppressAutoHyphens/>
        <w:jc w:val="center"/>
        <w:rPr>
          <w:rFonts w:ascii="Verdana" w:hAnsi="Verdana" w:cs="Arial"/>
          <w:b/>
          <w:bCs/>
          <w:color w:val="734791"/>
          <w:sz w:val="36"/>
          <w:szCs w:val="36"/>
        </w:rPr>
      </w:pPr>
      <w:r w:rsidRPr="002F2B00">
        <w:rPr>
          <w:rFonts w:ascii="Verdana" w:hAnsi="Verdana" w:cs="Arial"/>
          <w:b/>
          <w:bCs/>
          <w:noProof/>
          <w:color w:val="734791"/>
          <w:sz w:val="36"/>
          <w:szCs w:val="36"/>
          <w:lang w:eastAsia="en-GB"/>
        </w:rPr>
        <w:drawing>
          <wp:inline distT="0" distB="0" distL="0" distR="0" wp14:anchorId="78FC2107" wp14:editId="7B8C076B">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05F6CCC8" w14:textId="77777777" w:rsidR="003D6A58" w:rsidRPr="002F2B00" w:rsidRDefault="003D6A58" w:rsidP="003D6A58">
      <w:pPr>
        <w:pStyle w:val="Default"/>
        <w:spacing w:line="288" w:lineRule="auto"/>
        <w:jc w:val="center"/>
        <w:rPr>
          <w:rFonts w:cs="Arial"/>
          <w:b/>
          <w:bCs/>
          <w:color w:val="77328A"/>
          <w:sz w:val="36"/>
          <w:szCs w:val="36"/>
          <w:lang w:val="en-GB"/>
        </w:rPr>
      </w:pPr>
    </w:p>
    <w:p w14:paraId="681ABF23" w14:textId="4DB1C320" w:rsidR="003D6A58" w:rsidRPr="009D0FB1" w:rsidRDefault="003D6A58" w:rsidP="003D6A58">
      <w:pPr>
        <w:pStyle w:val="Default"/>
        <w:spacing w:line="288" w:lineRule="auto"/>
        <w:jc w:val="center"/>
        <w:rPr>
          <w:rFonts w:cs="Arial"/>
          <w:b/>
          <w:bCs/>
          <w:color w:val="77328A"/>
          <w:sz w:val="36"/>
          <w:szCs w:val="36"/>
          <w:lang w:val="en-GB"/>
        </w:rPr>
      </w:pPr>
      <w:r>
        <w:rPr>
          <w:b/>
          <w:bCs/>
          <w:color w:val="77328A"/>
          <w:sz w:val="36"/>
          <w:szCs w:val="36"/>
        </w:rPr>
        <w:t>Submission to the House of Commons and House of Lords Joint Committee on Human Rights: Remedial Order to the NI Troubles (Legacy and Reconciliation) Act 2023</w:t>
      </w:r>
      <w:r w:rsidRPr="009D0FB1">
        <w:rPr>
          <w:rFonts w:cs="Arial"/>
          <w:b/>
          <w:bCs/>
          <w:color w:val="77328A"/>
          <w:sz w:val="36"/>
          <w:szCs w:val="36"/>
          <w:lang w:val="en-GB"/>
        </w:rPr>
        <w:t xml:space="preserve"> </w:t>
      </w:r>
    </w:p>
    <w:p w14:paraId="6523A18A" w14:textId="77777777" w:rsidR="003D6A58" w:rsidRPr="002F2B00" w:rsidRDefault="003D6A58" w:rsidP="003D6A58">
      <w:pPr>
        <w:pStyle w:val="Default"/>
        <w:spacing w:line="288" w:lineRule="auto"/>
        <w:jc w:val="center"/>
        <w:rPr>
          <w:rFonts w:cs="Arial"/>
          <w:color w:val="232120"/>
          <w:sz w:val="36"/>
          <w:szCs w:val="36"/>
        </w:rPr>
      </w:pPr>
    </w:p>
    <w:p w14:paraId="22F926B1" w14:textId="77777777" w:rsidR="003D6A58" w:rsidRPr="002F2B00" w:rsidRDefault="003D6A58" w:rsidP="003D6A58">
      <w:pPr>
        <w:pStyle w:val="Default"/>
        <w:spacing w:line="288" w:lineRule="auto"/>
        <w:jc w:val="center"/>
        <w:rPr>
          <w:rFonts w:cs="Arial"/>
          <w:color w:val="232120"/>
          <w:sz w:val="36"/>
          <w:szCs w:val="36"/>
        </w:rPr>
      </w:pPr>
    </w:p>
    <w:p w14:paraId="4B4E1BEF" w14:textId="77777777" w:rsidR="003D6A58" w:rsidRPr="002F2B00" w:rsidRDefault="003D6A58" w:rsidP="003D6A58">
      <w:pPr>
        <w:jc w:val="center"/>
        <w:rPr>
          <w:rFonts w:cs="Arial"/>
          <w:b/>
          <w:color w:val="232120"/>
          <w:sz w:val="30"/>
          <w:szCs w:val="30"/>
        </w:rPr>
      </w:pPr>
    </w:p>
    <w:p w14:paraId="0E926C2E" w14:textId="77777777" w:rsidR="003D6A58" w:rsidRPr="002F2B00" w:rsidRDefault="003D6A58" w:rsidP="003D6A58">
      <w:pPr>
        <w:jc w:val="center"/>
        <w:rPr>
          <w:rFonts w:cs="Arial"/>
          <w:b/>
          <w:color w:val="232120"/>
          <w:sz w:val="30"/>
          <w:szCs w:val="30"/>
        </w:rPr>
      </w:pPr>
    </w:p>
    <w:p w14:paraId="224CD7B6" w14:textId="0F596D0D" w:rsidR="00095FA7" w:rsidRDefault="003D6A58" w:rsidP="003D6A58">
      <w:pPr>
        <w:jc w:val="center"/>
        <w:rPr>
          <w:rFonts w:cs="Arial"/>
          <w:b/>
          <w:color w:val="232120"/>
          <w:sz w:val="30"/>
          <w:szCs w:val="30"/>
        </w:rPr>
      </w:pPr>
      <w:r>
        <w:rPr>
          <w:rFonts w:cs="Arial"/>
          <w:b/>
          <w:color w:val="232120"/>
          <w:sz w:val="30"/>
          <w:szCs w:val="30"/>
        </w:rPr>
        <w:t>January 2025</w:t>
      </w:r>
    </w:p>
    <w:p w14:paraId="74B95407" w14:textId="77777777" w:rsidR="00095FA7" w:rsidRDefault="00095FA7">
      <w:pPr>
        <w:spacing w:after="160" w:line="259" w:lineRule="auto"/>
        <w:rPr>
          <w:rFonts w:cs="Arial"/>
          <w:b/>
          <w:color w:val="232120"/>
          <w:sz w:val="30"/>
          <w:szCs w:val="30"/>
        </w:rPr>
      </w:pPr>
      <w:r>
        <w:rPr>
          <w:rFonts w:cs="Arial"/>
          <w:b/>
          <w:color w:val="232120"/>
          <w:sz w:val="30"/>
          <w:szCs w:val="30"/>
        </w:rPr>
        <w:br w:type="page"/>
      </w:r>
    </w:p>
    <w:sdt>
      <w:sdtPr>
        <w:rPr>
          <w:rFonts w:ascii="Verdana" w:eastAsiaTheme="minorEastAsia" w:hAnsi="Verdana" w:cstheme="minorBidi"/>
          <w:color w:val="auto"/>
          <w:kern w:val="2"/>
          <w:sz w:val="24"/>
          <w:szCs w:val="24"/>
          <w:lang w:val="en-GB"/>
          <w14:ligatures w14:val="standardContextual"/>
        </w:rPr>
        <w:id w:val="-984924354"/>
        <w:docPartObj>
          <w:docPartGallery w:val="Table of Contents"/>
          <w:docPartUnique/>
        </w:docPartObj>
      </w:sdtPr>
      <w:sdtEndPr>
        <w:rPr>
          <w:b/>
          <w:bCs/>
          <w:noProof/>
        </w:rPr>
      </w:sdtEndPr>
      <w:sdtContent>
        <w:p w14:paraId="2921775B" w14:textId="2A09F09A" w:rsidR="0013649A" w:rsidRPr="0013649A" w:rsidRDefault="0013649A" w:rsidP="0013649A">
          <w:pPr>
            <w:pStyle w:val="TOCHeading"/>
            <w:spacing w:line="360" w:lineRule="auto"/>
            <w:rPr>
              <w:rFonts w:ascii="Verdana" w:hAnsi="Verdana"/>
              <w:sz w:val="24"/>
              <w:szCs w:val="24"/>
            </w:rPr>
          </w:pPr>
          <w:r w:rsidRPr="0013649A">
            <w:rPr>
              <w:rFonts w:ascii="Verdana" w:hAnsi="Verdana"/>
              <w:b/>
              <w:bCs/>
              <w:color w:val="77328A"/>
              <w:sz w:val="30"/>
              <w:szCs w:val="30"/>
            </w:rPr>
            <w:t>Table of Contents</w:t>
          </w:r>
        </w:p>
        <w:p w14:paraId="0824A838" w14:textId="24D29657" w:rsidR="00D6206E" w:rsidRPr="00D6206E" w:rsidRDefault="0013649A">
          <w:pPr>
            <w:pStyle w:val="TOC2"/>
            <w:tabs>
              <w:tab w:val="left" w:pos="960"/>
              <w:tab w:val="right" w:leader="dot" w:pos="9016"/>
            </w:tabs>
            <w:rPr>
              <w:rFonts w:asciiTheme="minorHAnsi" w:eastAsiaTheme="minorEastAsia" w:hAnsiTheme="minorHAnsi"/>
              <w:b/>
              <w:bCs/>
              <w:noProof/>
              <w:szCs w:val="24"/>
              <w:lang w:eastAsia="en-GB"/>
            </w:rPr>
          </w:pPr>
          <w:r w:rsidRPr="00D6206E">
            <w:rPr>
              <w:b/>
              <w:bCs/>
              <w:szCs w:val="24"/>
            </w:rPr>
            <w:fldChar w:fldCharType="begin"/>
          </w:r>
          <w:r w:rsidRPr="00D6206E">
            <w:rPr>
              <w:b/>
              <w:bCs/>
              <w:szCs w:val="24"/>
            </w:rPr>
            <w:instrText xml:space="preserve"> TOC \o "1-3" \h \z \u </w:instrText>
          </w:r>
          <w:r w:rsidRPr="00D6206E">
            <w:rPr>
              <w:b/>
              <w:bCs/>
              <w:szCs w:val="24"/>
            </w:rPr>
            <w:fldChar w:fldCharType="separate"/>
          </w:r>
          <w:hyperlink w:anchor="_Toc187767971" w:history="1">
            <w:r w:rsidR="00D6206E" w:rsidRPr="00D6206E">
              <w:rPr>
                <w:rStyle w:val="Hyperlink"/>
                <w:b/>
                <w:bCs/>
                <w:noProof/>
              </w:rPr>
              <w:t>1.0</w:t>
            </w:r>
            <w:r w:rsidR="00D6206E" w:rsidRPr="00D6206E">
              <w:rPr>
                <w:rFonts w:asciiTheme="minorHAnsi" w:eastAsiaTheme="minorEastAsia" w:hAnsiTheme="minorHAnsi"/>
                <w:b/>
                <w:bCs/>
                <w:noProof/>
                <w:szCs w:val="24"/>
                <w:lang w:eastAsia="en-GB"/>
              </w:rPr>
              <w:tab/>
            </w:r>
            <w:r w:rsidR="00D6206E" w:rsidRPr="00D6206E">
              <w:rPr>
                <w:rStyle w:val="Hyperlink"/>
                <w:b/>
                <w:bCs/>
                <w:noProof/>
              </w:rPr>
              <w:t>Introduction</w:t>
            </w:r>
            <w:r w:rsidR="00D6206E" w:rsidRPr="00D6206E">
              <w:rPr>
                <w:b/>
                <w:bCs/>
                <w:noProof/>
                <w:webHidden/>
              </w:rPr>
              <w:tab/>
            </w:r>
            <w:r w:rsidR="00D6206E" w:rsidRPr="00D6206E">
              <w:rPr>
                <w:b/>
                <w:bCs/>
                <w:noProof/>
                <w:webHidden/>
              </w:rPr>
              <w:fldChar w:fldCharType="begin"/>
            </w:r>
            <w:r w:rsidR="00D6206E" w:rsidRPr="00D6206E">
              <w:rPr>
                <w:b/>
                <w:bCs/>
                <w:noProof/>
                <w:webHidden/>
              </w:rPr>
              <w:instrText xml:space="preserve"> PAGEREF _Toc187767971 \h </w:instrText>
            </w:r>
            <w:r w:rsidR="00D6206E" w:rsidRPr="00D6206E">
              <w:rPr>
                <w:b/>
                <w:bCs/>
                <w:noProof/>
                <w:webHidden/>
              </w:rPr>
            </w:r>
            <w:r w:rsidR="00D6206E" w:rsidRPr="00D6206E">
              <w:rPr>
                <w:b/>
                <w:bCs/>
                <w:noProof/>
                <w:webHidden/>
              </w:rPr>
              <w:fldChar w:fldCharType="separate"/>
            </w:r>
            <w:r w:rsidR="00ED0854">
              <w:rPr>
                <w:b/>
                <w:bCs/>
                <w:noProof/>
                <w:webHidden/>
              </w:rPr>
              <w:t>3</w:t>
            </w:r>
            <w:r w:rsidR="00D6206E" w:rsidRPr="00D6206E">
              <w:rPr>
                <w:b/>
                <w:bCs/>
                <w:noProof/>
                <w:webHidden/>
              </w:rPr>
              <w:fldChar w:fldCharType="end"/>
            </w:r>
          </w:hyperlink>
        </w:p>
        <w:p w14:paraId="01561183" w14:textId="7DBB3F77" w:rsidR="00D6206E" w:rsidRPr="00D6206E" w:rsidRDefault="00D6206E">
          <w:pPr>
            <w:pStyle w:val="TOC2"/>
            <w:tabs>
              <w:tab w:val="left" w:pos="960"/>
              <w:tab w:val="right" w:leader="dot" w:pos="9016"/>
            </w:tabs>
            <w:rPr>
              <w:rFonts w:asciiTheme="minorHAnsi" w:eastAsiaTheme="minorEastAsia" w:hAnsiTheme="minorHAnsi"/>
              <w:b/>
              <w:bCs/>
              <w:noProof/>
              <w:szCs w:val="24"/>
              <w:lang w:eastAsia="en-GB"/>
            </w:rPr>
          </w:pPr>
          <w:hyperlink w:anchor="_Toc187767972" w:history="1">
            <w:r w:rsidRPr="00D6206E">
              <w:rPr>
                <w:rStyle w:val="Hyperlink"/>
                <w:b/>
                <w:bCs/>
                <w:noProof/>
              </w:rPr>
              <w:t>2.0</w:t>
            </w:r>
            <w:r w:rsidRPr="00D6206E">
              <w:rPr>
                <w:rFonts w:asciiTheme="minorHAnsi" w:eastAsiaTheme="minorEastAsia" w:hAnsiTheme="minorHAnsi"/>
                <w:b/>
                <w:bCs/>
                <w:noProof/>
                <w:szCs w:val="24"/>
                <w:lang w:eastAsia="en-GB"/>
              </w:rPr>
              <w:tab/>
            </w:r>
            <w:r w:rsidRPr="00D6206E">
              <w:rPr>
                <w:rStyle w:val="Hyperlink"/>
                <w:b/>
                <w:bCs/>
                <w:noProof/>
              </w:rPr>
              <w:t>Response to Domestic Judgments</w:t>
            </w:r>
            <w:r w:rsidRPr="00D6206E">
              <w:rPr>
                <w:b/>
                <w:bCs/>
                <w:noProof/>
                <w:webHidden/>
              </w:rPr>
              <w:tab/>
            </w:r>
            <w:r w:rsidRPr="00D6206E">
              <w:rPr>
                <w:b/>
                <w:bCs/>
                <w:noProof/>
                <w:webHidden/>
              </w:rPr>
              <w:fldChar w:fldCharType="begin"/>
            </w:r>
            <w:r w:rsidRPr="00D6206E">
              <w:rPr>
                <w:b/>
                <w:bCs/>
                <w:noProof/>
                <w:webHidden/>
              </w:rPr>
              <w:instrText xml:space="preserve"> PAGEREF _Toc187767972 \h </w:instrText>
            </w:r>
            <w:r w:rsidRPr="00D6206E">
              <w:rPr>
                <w:b/>
                <w:bCs/>
                <w:noProof/>
                <w:webHidden/>
              </w:rPr>
            </w:r>
            <w:r w:rsidRPr="00D6206E">
              <w:rPr>
                <w:b/>
                <w:bCs/>
                <w:noProof/>
                <w:webHidden/>
              </w:rPr>
              <w:fldChar w:fldCharType="separate"/>
            </w:r>
            <w:r w:rsidR="00ED0854">
              <w:rPr>
                <w:b/>
                <w:bCs/>
                <w:noProof/>
                <w:webHidden/>
              </w:rPr>
              <w:t>3</w:t>
            </w:r>
            <w:r w:rsidRPr="00D6206E">
              <w:rPr>
                <w:b/>
                <w:bCs/>
                <w:noProof/>
                <w:webHidden/>
              </w:rPr>
              <w:fldChar w:fldCharType="end"/>
            </w:r>
          </w:hyperlink>
        </w:p>
        <w:p w14:paraId="5DEA85A9" w14:textId="00D21C5A" w:rsidR="00D6206E" w:rsidRPr="00D6206E" w:rsidRDefault="00D6206E">
          <w:pPr>
            <w:pStyle w:val="TOC2"/>
            <w:tabs>
              <w:tab w:val="left" w:pos="960"/>
              <w:tab w:val="right" w:leader="dot" w:pos="9016"/>
            </w:tabs>
            <w:rPr>
              <w:rFonts w:asciiTheme="minorHAnsi" w:eastAsiaTheme="minorEastAsia" w:hAnsiTheme="minorHAnsi"/>
              <w:b/>
              <w:bCs/>
              <w:noProof/>
              <w:szCs w:val="24"/>
              <w:lang w:eastAsia="en-GB"/>
            </w:rPr>
          </w:pPr>
          <w:hyperlink w:anchor="_Toc187767973" w:history="1">
            <w:r w:rsidRPr="00D6206E">
              <w:rPr>
                <w:rStyle w:val="Hyperlink"/>
                <w:b/>
                <w:bCs/>
                <w:noProof/>
              </w:rPr>
              <w:t>3.0</w:t>
            </w:r>
            <w:r w:rsidRPr="00D6206E">
              <w:rPr>
                <w:rFonts w:asciiTheme="minorHAnsi" w:eastAsiaTheme="minorEastAsia" w:hAnsiTheme="minorHAnsi"/>
                <w:b/>
                <w:bCs/>
                <w:noProof/>
                <w:szCs w:val="24"/>
                <w:lang w:eastAsia="en-GB"/>
              </w:rPr>
              <w:tab/>
            </w:r>
            <w:r w:rsidRPr="00D6206E">
              <w:rPr>
                <w:rStyle w:val="Hyperlink"/>
                <w:b/>
                <w:bCs/>
                <w:noProof/>
              </w:rPr>
              <w:t>The McKerr Group of Cases</w:t>
            </w:r>
            <w:r w:rsidRPr="00D6206E">
              <w:rPr>
                <w:b/>
                <w:bCs/>
                <w:noProof/>
                <w:webHidden/>
              </w:rPr>
              <w:tab/>
            </w:r>
            <w:r w:rsidRPr="00D6206E">
              <w:rPr>
                <w:b/>
                <w:bCs/>
                <w:noProof/>
                <w:webHidden/>
              </w:rPr>
              <w:fldChar w:fldCharType="begin"/>
            </w:r>
            <w:r w:rsidRPr="00D6206E">
              <w:rPr>
                <w:b/>
                <w:bCs/>
                <w:noProof/>
                <w:webHidden/>
              </w:rPr>
              <w:instrText xml:space="preserve"> PAGEREF _Toc187767973 \h </w:instrText>
            </w:r>
            <w:r w:rsidRPr="00D6206E">
              <w:rPr>
                <w:b/>
                <w:bCs/>
                <w:noProof/>
                <w:webHidden/>
              </w:rPr>
            </w:r>
            <w:r w:rsidRPr="00D6206E">
              <w:rPr>
                <w:b/>
                <w:bCs/>
                <w:noProof/>
                <w:webHidden/>
              </w:rPr>
              <w:fldChar w:fldCharType="separate"/>
            </w:r>
            <w:r w:rsidR="00ED0854">
              <w:rPr>
                <w:b/>
                <w:bCs/>
                <w:noProof/>
                <w:webHidden/>
              </w:rPr>
              <w:t>6</w:t>
            </w:r>
            <w:r w:rsidRPr="00D6206E">
              <w:rPr>
                <w:b/>
                <w:bCs/>
                <w:noProof/>
                <w:webHidden/>
              </w:rPr>
              <w:fldChar w:fldCharType="end"/>
            </w:r>
          </w:hyperlink>
        </w:p>
        <w:p w14:paraId="091691A5" w14:textId="7E4C764D" w:rsidR="00D6206E" w:rsidRPr="00D6206E" w:rsidRDefault="00D6206E">
          <w:pPr>
            <w:pStyle w:val="TOC2"/>
            <w:tabs>
              <w:tab w:val="left" w:pos="960"/>
              <w:tab w:val="right" w:leader="dot" w:pos="9016"/>
            </w:tabs>
            <w:rPr>
              <w:rFonts w:asciiTheme="minorHAnsi" w:eastAsiaTheme="minorEastAsia" w:hAnsiTheme="minorHAnsi"/>
              <w:b/>
              <w:bCs/>
              <w:noProof/>
              <w:szCs w:val="24"/>
              <w:lang w:eastAsia="en-GB"/>
            </w:rPr>
          </w:pPr>
          <w:hyperlink w:anchor="_Toc187767974" w:history="1">
            <w:r w:rsidRPr="00D6206E">
              <w:rPr>
                <w:rStyle w:val="Hyperlink"/>
                <w:b/>
                <w:bCs/>
                <w:noProof/>
              </w:rPr>
              <w:t>4.0</w:t>
            </w:r>
            <w:r w:rsidRPr="00D6206E">
              <w:rPr>
                <w:rFonts w:asciiTheme="minorHAnsi" w:eastAsiaTheme="minorEastAsia" w:hAnsiTheme="minorHAnsi"/>
                <w:b/>
                <w:bCs/>
                <w:noProof/>
                <w:szCs w:val="24"/>
                <w:lang w:eastAsia="en-GB"/>
              </w:rPr>
              <w:tab/>
            </w:r>
            <w:r w:rsidRPr="00D6206E">
              <w:rPr>
                <w:rStyle w:val="Hyperlink"/>
                <w:b/>
                <w:bCs/>
                <w:noProof/>
              </w:rPr>
              <w:t>Windsor Framework Article 2</w:t>
            </w:r>
            <w:r w:rsidRPr="00D6206E">
              <w:rPr>
                <w:b/>
                <w:bCs/>
                <w:noProof/>
                <w:webHidden/>
              </w:rPr>
              <w:tab/>
            </w:r>
            <w:r w:rsidRPr="00D6206E">
              <w:rPr>
                <w:b/>
                <w:bCs/>
                <w:noProof/>
                <w:webHidden/>
              </w:rPr>
              <w:fldChar w:fldCharType="begin"/>
            </w:r>
            <w:r w:rsidRPr="00D6206E">
              <w:rPr>
                <w:b/>
                <w:bCs/>
                <w:noProof/>
                <w:webHidden/>
              </w:rPr>
              <w:instrText xml:space="preserve"> PAGEREF _Toc187767974 \h </w:instrText>
            </w:r>
            <w:r w:rsidRPr="00D6206E">
              <w:rPr>
                <w:b/>
                <w:bCs/>
                <w:noProof/>
                <w:webHidden/>
              </w:rPr>
            </w:r>
            <w:r w:rsidRPr="00D6206E">
              <w:rPr>
                <w:b/>
                <w:bCs/>
                <w:noProof/>
                <w:webHidden/>
              </w:rPr>
              <w:fldChar w:fldCharType="separate"/>
            </w:r>
            <w:r w:rsidR="00ED0854">
              <w:rPr>
                <w:b/>
                <w:bCs/>
                <w:noProof/>
                <w:webHidden/>
              </w:rPr>
              <w:t>8</w:t>
            </w:r>
            <w:r w:rsidRPr="00D6206E">
              <w:rPr>
                <w:b/>
                <w:bCs/>
                <w:noProof/>
                <w:webHidden/>
              </w:rPr>
              <w:fldChar w:fldCharType="end"/>
            </w:r>
          </w:hyperlink>
        </w:p>
        <w:p w14:paraId="03EC98F5" w14:textId="41DE1F70" w:rsidR="0013649A" w:rsidRDefault="0013649A">
          <w:r w:rsidRPr="00D6206E">
            <w:rPr>
              <w:b/>
              <w:bCs/>
              <w:noProof/>
              <w:szCs w:val="24"/>
            </w:rPr>
            <w:fldChar w:fldCharType="end"/>
          </w:r>
        </w:p>
      </w:sdtContent>
    </w:sdt>
    <w:p w14:paraId="2159DBFE" w14:textId="04D97540" w:rsidR="00095FA7" w:rsidRDefault="00095FA7">
      <w:pPr>
        <w:spacing w:after="160" w:line="259" w:lineRule="auto"/>
        <w:rPr>
          <w:rFonts w:cs="Arial"/>
          <w:b/>
          <w:color w:val="232120"/>
          <w:sz w:val="30"/>
          <w:szCs w:val="30"/>
        </w:rPr>
      </w:pPr>
      <w:r>
        <w:rPr>
          <w:rFonts w:cs="Arial"/>
          <w:b/>
          <w:color w:val="232120"/>
          <w:sz w:val="30"/>
          <w:szCs w:val="30"/>
        </w:rPr>
        <w:br w:type="page"/>
      </w:r>
    </w:p>
    <w:p w14:paraId="7E44C5E9" w14:textId="60D51F8F" w:rsidR="001A0FF9" w:rsidRDefault="001A0FF9" w:rsidP="001A0FF9">
      <w:pPr>
        <w:pStyle w:val="Heading2"/>
      </w:pPr>
      <w:bookmarkStart w:id="0" w:name="_Toc187767971"/>
      <w:r>
        <w:lastRenderedPageBreak/>
        <w:t>1.0</w:t>
      </w:r>
      <w:r>
        <w:tab/>
        <w:t>Introduction</w:t>
      </w:r>
      <w:bookmarkEnd w:id="0"/>
    </w:p>
    <w:p w14:paraId="2573D086" w14:textId="08AA3958" w:rsidR="003D6A58" w:rsidRDefault="004A5F28" w:rsidP="001835BE">
      <w:pPr>
        <w:pStyle w:val="ListParagraph"/>
        <w:numPr>
          <w:ilvl w:val="1"/>
          <w:numId w:val="1"/>
        </w:numPr>
      </w:pPr>
      <w:r w:rsidRPr="00693F63">
        <w:t xml:space="preserve">The Northern Ireland Human Rights Commission (the NIHRC), pursuant to section 69(1) of the Northern Ireland Act 1998, </w:t>
      </w:r>
      <w:r>
        <w:t xml:space="preserve">is required to keep under review </w:t>
      </w:r>
      <w:r w:rsidRPr="00693F63">
        <w:t xml:space="preserve">the adequacy and effectiveness of law and practice relating to the protection of human rights in Northern Ireland (NI). The NIHRC is also </w:t>
      </w:r>
      <w:r>
        <w:t>required</w:t>
      </w:r>
      <w:r w:rsidRPr="00693F63">
        <w:t xml:space="preserve">, </w:t>
      </w:r>
      <w:r>
        <w:t>by</w:t>
      </w:r>
      <w:r w:rsidRPr="00693F63">
        <w:t xml:space="preserve">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Pr>
          <w:rStyle w:val="FootnoteReference"/>
        </w:rPr>
        <w:footnoteReference w:id="2"/>
      </w:r>
      <w:r w:rsidRPr="00693F63">
        <w:t xml:space="preserve"> </w:t>
      </w:r>
      <w:r>
        <w:t xml:space="preserve">In accordance with these statutory duties, </w:t>
      </w:r>
      <w:r w:rsidRPr="002F2B00">
        <w:t xml:space="preserve">the following </w:t>
      </w:r>
      <w:r>
        <w:t xml:space="preserve">submission is made to the </w:t>
      </w:r>
      <w:r w:rsidR="00642ADD">
        <w:t xml:space="preserve">House of Commons and House of Lords </w:t>
      </w:r>
      <w:r>
        <w:t xml:space="preserve">Joint Committee on Human Rights on </w:t>
      </w:r>
      <w:r w:rsidRPr="002F2B00">
        <w:t>the</w:t>
      </w:r>
      <w:r>
        <w:t xml:space="preserve"> proposed Remedial Order to the</w:t>
      </w:r>
      <w:r w:rsidRPr="002F2B00">
        <w:t xml:space="preserve"> NI Troubles (Legacy and Reconciliation) </w:t>
      </w:r>
      <w:r>
        <w:t>Act 2023</w:t>
      </w:r>
      <w:r w:rsidRPr="002F2B00">
        <w:t xml:space="preserve"> (the </w:t>
      </w:r>
      <w:r>
        <w:t>2023 Act</w:t>
      </w:r>
      <w:r w:rsidRPr="002F2B00">
        <w:t>).</w:t>
      </w:r>
    </w:p>
    <w:p w14:paraId="4A8A54C8" w14:textId="77777777" w:rsidR="001835BE" w:rsidRDefault="001835BE" w:rsidP="001835BE"/>
    <w:p w14:paraId="48F291B9" w14:textId="442AF90A" w:rsidR="001B4091" w:rsidRDefault="00521DBE" w:rsidP="003A6FC4">
      <w:pPr>
        <w:pStyle w:val="Heading2"/>
        <w:numPr>
          <w:ilvl w:val="0"/>
          <w:numId w:val="8"/>
        </w:numPr>
      </w:pPr>
      <w:bookmarkStart w:id="1" w:name="_Toc187767972"/>
      <w:r>
        <w:t>Response to Domestic Judgments</w:t>
      </w:r>
      <w:bookmarkEnd w:id="1"/>
    </w:p>
    <w:p w14:paraId="67D12222" w14:textId="51A1352A" w:rsidR="00D10FC1" w:rsidRDefault="00F91EED" w:rsidP="00D10FC1">
      <w:pPr>
        <w:pStyle w:val="ListParagraph"/>
        <w:numPr>
          <w:ilvl w:val="1"/>
          <w:numId w:val="17"/>
        </w:numPr>
      </w:pPr>
      <w:r>
        <w:t xml:space="preserve">The Joint Committee for Human Rights has </w:t>
      </w:r>
      <w:r w:rsidR="795CE6EB">
        <w:t>asked</w:t>
      </w:r>
      <w:r>
        <w:t xml:space="preserve"> whether the proposed Remedial Order would rectify all the incompatibilities </w:t>
      </w:r>
      <w:r w:rsidR="00E93A8D">
        <w:t xml:space="preserve">of </w:t>
      </w:r>
      <w:r w:rsidR="000040C1">
        <w:t>the 2023 Act</w:t>
      </w:r>
      <w:r w:rsidR="00E93A8D">
        <w:t xml:space="preserve"> </w:t>
      </w:r>
      <w:r>
        <w:t xml:space="preserve">with the </w:t>
      </w:r>
      <w:r w:rsidR="00092894">
        <w:t>European Convention on Human Rights (ECHR) which were identified by the High Court of Justice in NI.</w:t>
      </w:r>
      <w:r w:rsidR="00E93A8D">
        <w:rPr>
          <w:rStyle w:val="FootnoteReference"/>
        </w:rPr>
        <w:footnoteReference w:id="3"/>
      </w:r>
      <w:r w:rsidR="3B14C552">
        <w:t xml:space="preserve"> In </w:t>
      </w:r>
      <w:r w:rsidR="572D50A7">
        <w:t>addition,</w:t>
      </w:r>
      <w:r w:rsidR="3B14C552">
        <w:t xml:space="preserve"> whether the proposed </w:t>
      </w:r>
      <w:r w:rsidR="494123C0">
        <w:t>Remedial Order will rectify the incompatibility with the ECHR regarding the bringing of new civil case</w:t>
      </w:r>
      <w:r w:rsidR="00D20A64">
        <w:t>s</w:t>
      </w:r>
      <w:r w:rsidR="494123C0">
        <w:t xml:space="preserve"> identified by the Court of Appea</w:t>
      </w:r>
      <w:r w:rsidR="74192CCD">
        <w:t>l</w:t>
      </w:r>
      <w:r w:rsidR="00134B75">
        <w:t>.</w:t>
      </w:r>
      <w:r w:rsidR="00E93A8D">
        <w:rPr>
          <w:rStyle w:val="FootnoteReference"/>
        </w:rPr>
        <w:footnoteReference w:id="4"/>
      </w:r>
      <w:r w:rsidR="00134B75">
        <w:t xml:space="preserve"> </w:t>
      </w:r>
    </w:p>
    <w:p w14:paraId="2335664B" w14:textId="77777777" w:rsidR="00D10FC1" w:rsidRDefault="00D10FC1" w:rsidP="00D10FC1">
      <w:pPr>
        <w:pStyle w:val="ListParagraph"/>
      </w:pPr>
    </w:p>
    <w:p w14:paraId="0BA37A32" w14:textId="77777777" w:rsidR="000040C1" w:rsidRDefault="23B5370C" w:rsidP="000040C1">
      <w:pPr>
        <w:pStyle w:val="ListParagraph"/>
        <w:numPr>
          <w:ilvl w:val="1"/>
          <w:numId w:val="17"/>
        </w:numPr>
      </w:pPr>
      <w:r>
        <w:t xml:space="preserve">The </w:t>
      </w:r>
      <w:r w:rsidR="716883DF">
        <w:t>NIHRC</w:t>
      </w:r>
      <w:r>
        <w:t xml:space="preserve"> provided advice to </w:t>
      </w:r>
      <w:r w:rsidR="78C40E3D">
        <w:t xml:space="preserve">the UK </w:t>
      </w:r>
      <w:r>
        <w:t xml:space="preserve">Parliament and to the </w:t>
      </w:r>
      <w:r w:rsidR="3171CBE1">
        <w:t>NI</w:t>
      </w:r>
      <w:r>
        <w:t xml:space="preserve"> Office during the </w:t>
      </w:r>
      <w:r w:rsidR="000040C1">
        <w:t xml:space="preserve">then </w:t>
      </w:r>
      <w:r w:rsidR="000040C1" w:rsidRPr="002F2B00">
        <w:t>NI Troubles (Legacy and Reconciliation)</w:t>
      </w:r>
      <w:r w:rsidR="000040C1">
        <w:t xml:space="preserve"> Bill</w:t>
      </w:r>
      <w:r>
        <w:t xml:space="preserve">. The </w:t>
      </w:r>
      <w:r w:rsidR="716883DF">
        <w:t>NIHRC</w:t>
      </w:r>
      <w:r w:rsidR="67D7F0CB">
        <w:t xml:space="preserve"> </w:t>
      </w:r>
      <w:r w:rsidR="3CE1F1C1">
        <w:t>advised that the then Bill rendered the I</w:t>
      </w:r>
      <w:r w:rsidR="3171CBE1">
        <w:t>ndependent Commission for Reconciliation and Information Recovery</w:t>
      </w:r>
      <w:r w:rsidR="3CE1F1C1">
        <w:t xml:space="preserve"> incapable of discharging the State’s obligation</w:t>
      </w:r>
      <w:r w:rsidR="00001987">
        <w:t xml:space="preserve"> under Articles 2 and 3 </w:t>
      </w:r>
      <w:r w:rsidR="008112E2">
        <w:t xml:space="preserve">of the </w:t>
      </w:r>
      <w:r w:rsidR="00001987">
        <w:t>ECHR. The investigations by the I</w:t>
      </w:r>
      <w:r w:rsidR="008112E2">
        <w:t xml:space="preserve">ndependent Commission for Reconciliation and Information Recovery </w:t>
      </w:r>
      <w:r w:rsidR="00001987">
        <w:t xml:space="preserve">would not be effective </w:t>
      </w:r>
      <w:r w:rsidR="00001987">
        <w:lastRenderedPageBreak/>
        <w:t xml:space="preserve">investigations as required by ECHR jurisprudence. The </w:t>
      </w:r>
      <w:r w:rsidR="008112E2">
        <w:t>Independent Commission for Reconciliation and Information Recovery</w:t>
      </w:r>
      <w:r w:rsidR="00001987">
        <w:t xml:space="preserve"> fails in </w:t>
      </w:r>
      <w:r w:rsidR="008112E2">
        <w:t>several</w:t>
      </w:r>
      <w:r w:rsidR="00001987">
        <w:t xml:space="preserve"> respects including, but not limited to, the requirement for independence. The NIHRC’s </w:t>
      </w:r>
      <w:r w:rsidR="6A01B704">
        <w:t xml:space="preserve">advice </w:t>
      </w:r>
      <w:r w:rsidR="00001987">
        <w:t xml:space="preserve">on the </w:t>
      </w:r>
      <w:r w:rsidR="008112E2">
        <w:t xml:space="preserve">then </w:t>
      </w:r>
      <w:r w:rsidR="00001987">
        <w:t xml:space="preserve">Bill </w:t>
      </w:r>
      <w:r w:rsidR="6A01B704">
        <w:t xml:space="preserve">was </w:t>
      </w:r>
      <w:r w:rsidR="00001987">
        <w:t>dismissed.</w:t>
      </w:r>
    </w:p>
    <w:p w14:paraId="19937E66" w14:textId="77777777" w:rsidR="000040C1" w:rsidRDefault="000040C1" w:rsidP="000040C1">
      <w:pPr>
        <w:pStyle w:val="ListParagraph"/>
      </w:pPr>
    </w:p>
    <w:p w14:paraId="00BEF332" w14:textId="77777777" w:rsidR="00D6206E" w:rsidRPr="00D6206E" w:rsidRDefault="0EF6F37A" w:rsidP="00D6206E">
      <w:pPr>
        <w:pStyle w:val="ListParagraph"/>
        <w:numPr>
          <w:ilvl w:val="1"/>
          <w:numId w:val="17"/>
        </w:numPr>
      </w:pPr>
      <w:r>
        <w:t>Since the enactment of the legislation t</w:t>
      </w:r>
      <w:r w:rsidR="10FC7019">
        <w:t xml:space="preserve">he </w:t>
      </w:r>
      <w:r w:rsidR="48FC147B">
        <w:t>NIHRC has</w:t>
      </w:r>
      <w:r w:rsidR="10FC7019">
        <w:t xml:space="preserve"> </w:t>
      </w:r>
      <w:r w:rsidR="00001987">
        <w:t xml:space="preserve">continued to raise </w:t>
      </w:r>
      <w:r w:rsidR="171E290E">
        <w:t xml:space="preserve">significant </w:t>
      </w:r>
      <w:r w:rsidR="00001987">
        <w:t>concern</w:t>
      </w:r>
      <w:r w:rsidR="008112E2">
        <w:t>s</w:t>
      </w:r>
      <w:r w:rsidR="00001987">
        <w:t xml:space="preserve"> about the </w:t>
      </w:r>
      <w:r w:rsidR="000040C1">
        <w:t>2023</w:t>
      </w:r>
      <w:r w:rsidR="008112E2">
        <w:t xml:space="preserve"> Act</w:t>
      </w:r>
      <w:r w:rsidR="00001987">
        <w:t xml:space="preserve">. </w:t>
      </w:r>
      <w:r w:rsidR="00A451F9" w:rsidRPr="000040C1">
        <w:rPr>
          <w:rFonts w:eastAsia="Times" w:cs="Times"/>
          <w:lang w:val="en-AU"/>
        </w:rPr>
        <w:t>The</w:t>
      </w:r>
      <w:r w:rsidR="7977C94B" w:rsidRPr="000040C1">
        <w:rPr>
          <w:rFonts w:eastAsia="Times" w:cs="Times"/>
          <w:lang w:val="en-AU"/>
        </w:rPr>
        <w:t xml:space="preserve"> NIHRC</w:t>
      </w:r>
      <w:r w:rsidR="00A451F9" w:rsidRPr="000040C1">
        <w:rPr>
          <w:rFonts w:eastAsia="Times" w:cs="Times"/>
          <w:lang w:val="en-AU"/>
        </w:rPr>
        <w:t xml:space="preserve"> intervened in the proceedings before the </w:t>
      </w:r>
      <w:r w:rsidR="0399F95F" w:rsidRPr="000040C1">
        <w:rPr>
          <w:rFonts w:eastAsia="Times" w:cs="Times"/>
          <w:lang w:val="en-AU"/>
        </w:rPr>
        <w:t xml:space="preserve">High Court of Justice in NI and </w:t>
      </w:r>
      <w:r w:rsidR="00A451F9" w:rsidRPr="000040C1">
        <w:rPr>
          <w:rFonts w:eastAsia="Times" w:cs="Times"/>
          <w:lang w:val="en-AU"/>
        </w:rPr>
        <w:t xml:space="preserve">on appeal to the NI </w:t>
      </w:r>
      <w:r w:rsidR="0399F95F" w:rsidRPr="000040C1">
        <w:rPr>
          <w:rFonts w:eastAsia="Times" w:cs="Times"/>
          <w:lang w:val="en-AU"/>
        </w:rPr>
        <w:t>Court of Appeal</w:t>
      </w:r>
      <w:r w:rsidR="18B2C557" w:rsidRPr="000040C1">
        <w:rPr>
          <w:rFonts w:eastAsia="Times" w:cs="Times"/>
          <w:lang w:val="en-AU"/>
        </w:rPr>
        <w:t xml:space="preserve">. The </w:t>
      </w:r>
      <w:r w:rsidR="00FC7D68" w:rsidRPr="000040C1">
        <w:rPr>
          <w:rFonts w:eastAsia="Times" w:cs="Times"/>
          <w:lang w:val="en-AU"/>
        </w:rPr>
        <w:t>NIHRC</w:t>
      </w:r>
      <w:r w:rsidR="00AE2B9F" w:rsidRPr="000040C1">
        <w:rPr>
          <w:rFonts w:eastAsia="Times" w:cs="Times"/>
          <w:lang w:val="en-AU"/>
        </w:rPr>
        <w:t>’s</w:t>
      </w:r>
      <w:r w:rsidR="18B2C557" w:rsidRPr="000040C1">
        <w:rPr>
          <w:rFonts w:eastAsia="Times" w:cs="Times"/>
          <w:lang w:val="en-AU"/>
        </w:rPr>
        <w:t xml:space="preserve"> </w:t>
      </w:r>
      <w:r w:rsidR="00A451F9" w:rsidRPr="000040C1">
        <w:rPr>
          <w:rFonts w:eastAsia="Times" w:cs="Times"/>
          <w:lang w:val="en-AU"/>
        </w:rPr>
        <w:t>submission</w:t>
      </w:r>
      <w:r w:rsidR="00A31620" w:rsidRPr="000040C1">
        <w:rPr>
          <w:rFonts w:eastAsia="Times" w:cs="Times"/>
          <w:lang w:val="en-AU"/>
        </w:rPr>
        <w:t>s</w:t>
      </w:r>
      <w:r w:rsidR="00A451F9" w:rsidRPr="000040C1">
        <w:rPr>
          <w:rFonts w:eastAsia="Times" w:cs="Times"/>
          <w:lang w:val="en-AU"/>
        </w:rPr>
        <w:t xml:space="preserve"> to th</w:t>
      </w:r>
      <w:r w:rsidR="00A31620" w:rsidRPr="000040C1">
        <w:rPr>
          <w:rFonts w:eastAsia="Times" w:cs="Times"/>
          <w:lang w:val="en-AU"/>
        </w:rPr>
        <w:t>e domestic</w:t>
      </w:r>
      <w:r w:rsidR="00A451F9" w:rsidRPr="000040C1">
        <w:rPr>
          <w:rFonts w:eastAsia="Times" w:cs="Times"/>
          <w:lang w:val="en-AU"/>
        </w:rPr>
        <w:t xml:space="preserve"> courts can be provided, if considered helpful. The concern of the NIHRC was alleviated in part by the subsequent judgments, but not completely. A significant concern remains as to the independence of the I</w:t>
      </w:r>
      <w:r w:rsidR="00A31620" w:rsidRPr="000040C1">
        <w:rPr>
          <w:rFonts w:eastAsia="Times" w:cs="Times"/>
          <w:lang w:val="en-AU"/>
        </w:rPr>
        <w:t xml:space="preserve">ndependent </w:t>
      </w:r>
      <w:r w:rsidR="00A451F9" w:rsidRPr="000040C1">
        <w:rPr>
          <w:rFonts w:eastAsia="Times" w:cs="Times"/>
          <w:lang w:val="en-AU"/>
        </w:rPr>
        <w:t>C</w:t>
      </w:r>
      <w:r w:rsidR="00A31620" w:rsidRPr="000040C1">
        <w:rPr>
          <w:rFonts w:eastAsia="Times" w:cs="Times"/>
          <w:lang w:val="en-AU"/>
        </w:rPr>
        <w:t xml:space="preserve">ommission on </w:t>
      </w:r>
      <w:r w:rsidR="00A451F9" w:rsidRPr="000040C1">
        <w:rPr>
          <w:rFonts w:eastAsia="Times" w:cs="Times"/>
          <w:lang w:val="en-AU"/>
        </w:rPr>
        <w:t>R</w:t>
      </w:r>
      <w:r w:rsidR="00A31620" w:rsidRPr="000040C1">
        <w:rPr>
          <w:rFonts w:eastAsia="Times" w:cs="Times"/>
          <w:lang w:val="en-AU"/>
        </w:rPr>
        <w:t>econciliation and Information Recovery</w:t>
      </w:r>
      <w:r w:rsidR="00A451F9" w:rsidRPr="000040C1">
        <w:rPr>
          <w:rFonts w:eastAsia="Times" w:cs="Times"/>
          <w:lang w:val="en-AU"/>
        </w:rPr>
        <w:t xml:space="preserve"> to </w:t>
      </w:r>
      <w:proofErr w:type="gramStart"/>
      <w:r w:rsidR="00A451F9" w:rsidRPr="000040C1">
        <w:rPr>
          <w:rFonts w:eastAsia="Times" w:cs="Times"/>
          <w:lang w:val="en-AU"/>
        </w:rPr>
        <w:t xml:space="preserve">conduct an </w:t>
      </w:r>
      <w:r w:rsidR="00A31620" w:rsidRPr="000040C1">
        <w:rPr>
          <w:rFonts w:eastAsia="Times" w:cs="Times"/>
          <w:lang w:val="en-AU"/>
        </w:rPr>
        <w:t>investigation</w:t>
      </w:r>
      <w:proofErr w:type="gramEnd"/>
      <w:r w:rsidR="00A31620" w:rsidRPr="000040C1">
        <w:rPr>
          <w:rFonts w:eastAsia="Times" w:cs="Times"/>
          <w:lang w:val="en-AU"/>
        </w:rPr>
        <w:t xml:space="preserve"> that is compliant with </w:t>
      </w:r>
      <w:r w:rsidR="00A451F9" w:rsidRPr="000040C1">
        <w:rPr>
          <w:rFonts w:eastAsia="Times" w:cs="Times"/>
          <w:lang w:val="en-AU"/>
        </w:rPr>
        <w:t>Article</w:t>
      </w:r>
      <w:r w:rsidR="00A31620" w:rsidRPr="000040C1">
        <w:rPr>
          <w:rFonts w:eastAsia="Times" w:cs="Times"/>
          <w:lang w:val="en-AU"/>
        </w:rPr>
        <w:t>s</w:t>
      </w:r>
      <w:r w:rsidR="00A451F9" w:rsidRPr="000040C1">
        <w:rPr>
          <w:rFonts w:eastAsia="Times" w:cs="Times"/>
          <w:lang w:val="en-AU"/>
        </w:rPr>
        <w:t xml:space="preserve"> 2 </w:t>
      </w:r>
      <w:r w:rsidR="008E38EB" w:rsidRPr="000040C1">
        <w:rPr>
          <w:rFonts w:eastAsia="Times" w:cs="Times"/>
          <w:lang w:val="en-AU"/>
        </w:rPr>
        <w:t>and</w:t>
      </w:r>
      <w:r w:rsidR="00A451F9" w:rsidRPr="000040C1">
        <w:rPr>
          <w:rFonts w:eastAsia="Times" w:cs="Times"/>
          <w:lang w:val="en-AU"/>
        </w:rPr>
        <w:t xml:space="preserve"> 3 </w:t>
      </w:r>
      <w:r w:rsidR="00A31620" w:rsidRPr="000040C1">
        <w:rPr>
          <w:rFonts w:eastAsia="Times" w:cs="Times"/>
          <w:lang w:val="en-AU"/>
        </w:rPr>
        <w:t>of the ECHR</w:t>
      </w:r>
      <w:r w:rsidR="008E38EB" w:rsidRPr="000040C1">
        <w:rPr>
          <w:rFonts w:eastAsia="Times" w:cs="Times"/>
          <w:lang w:val="en-AU"/>
        </w:rPr>
        <w:t>.</w:t>
      </w:r>
      <w:r w:rsidR="00A451F9" w:rsidRPr="000040C1">
        <w:rPr>
          <w:rFonts w:eastAsia="Times" w:cs="Times"/>
          <w:lang w:val="en-AU"/>
        </w:rPr>
        <w:t xml:space="preserve"> For the avoidance of doubt, the NIHRC remains of the view that the </w:t>
      </w:r>
      <w:r w:rsidR="008E38EB" w:rsidRPr="000040C1">
        <w:rPr>
          <w:rFonts w:eastAsia="Times" w:cs="Times"/>
          <w:lang w:val="en-AU"/>
        </w:rPr>
        <w:t>Independent Commission on Reconciliation and Information Recovery</w:t>
      </w:r>
      <w:r w:rsidR="00A451F9" w:rsidRPr="000040C1">
        <w:rPr>
          <w:rFonts w:eastAsia="Times" w:cs="Times"/>
          <w:lang w:val="en-AU"/>
        </w:rPr>
        <w:t xml:space="preserve"> is not sufficiently independent or impartial. This was not adequately addressed by the High Court or Court of Appeal. It was left to individual applicants to test this element of compliance individual cases. The NIHRC does not accept that to be an appropriate response to the State’s failure to secure of its own volition adequate measures to ensure effectiveness. Moreover</w:t>
      </w:r>
      <w:r w:rsidR="005F06C8" w:rsidRPr="000040C1">
        <w:rPr>
          <w:rFonts w:eastAsia="Times" w:cs="Times"/>
          <w:lang w:val="en-AU"/>
        </w:rPr>
        <w:t>,</w:t>
      </w:r>
      <w:r w:rsidR="00A451F9" w:rsidRPr="000040C1">
        <w:rPr>
          <w:rFonts w:eastAsia="Times" w:cs="Times"/>
          <w:lang w:val="en-AU"/>
        </w:rPr>
        <w:t xml:space="preserve"> the Remedial Order does not purport to address the independence of the </w:t>
      </w:r>
      <w:r w:rsidR="001841E9" w:rsidRPr="000040C1">
        <w:rPr>
          <w:rFonts w:eastAsia="Times" w:cs="Times"/>
          <w:lang w:val="en-AU"/>
        </w:rPr>
        <w:t>Independent Commission on Reconciliation and Information Recovery</w:t>
      </w:r>
      <w:r w:rsidR="00A451F9" w:rsidRPr="000040C1">
        <w:rPr>
          <w:rFonts w:eastAsia="Times" w:cs="Times"/>
          <w:lang w:val="en-AU"/>
        </w:rPr>
        <w:t>.</w:t>
      </w:r>
    </w:p>
    <w:p w14:paraId="4A3ADE19" w14:textId="77777777" w:rsidR="00D6206E" w:rsidRPr="00D6206E" w:rsidRDefault="00D6206E" w:rsidP="00D6206E">
      <w:pPr>
        <w:pStyle w:val="ListParagraph"/>
      </w:pPr>
    </w:p>
    <w:p w14:paraId="0B1885ED" w14:textId="7B838CD6" w:rsidR="00CD64FF" w:rsidRPr="00D6206E" w:rsidRDefault="00CD64FF" w:rsidP="00D6206E">
      <w:pPr>
        <w:pStyle w:val="ListParagraph"/>
        <w:numPr>
          <w:ilvl w:val="1"/>
          <w:numId w:val="17"/>
        </w:numPr>
      </w:pPr>
      <w:r w:rsidRPr="00D6206E">
        <w:rPr>
          <w:color w:val="000000"/>
        </w:rPr>
        <w:t xml:space="preserve">It is the NIHRC’s considered view that the proposed Remedial Order addresses most of the issues identified by the High Court and Court of Appeal. It does not, however, address all the issues identified by the courts, nor does it address </w:t>
      </w:r>
      <w:proofErr w:type="gramStart"/>
      <w:r w:rsidRPr="00D6206E">
        <w:rPr>
          <w:color w:val="000000"/>
        </w:rPr>
        <w:t>all of</w:t>
      </w:r>
      <w:proofErr w:type="gramEnd"/>
      <w:r w:rsidRPr="00D6206E">
        <w:rPr>
          <w:color w:val="000000"/>
        </w:rPr>
        <w:t xml:space="preserve"> the issues identified more widely by the NIHRC and other human rights bodies. By way of overview, the following reflects the primary concern of the NIHRC. The NIHRC continues to advise that further action is required if Troubles-related investigations are to be ECHR compliant.</w:t>
      </w:r>
    </w:p>
    <w:p w14:paraId="46118139" w14:textId="77777777" w:rsidR="008E4201" w:rsidRPr="00D6206E" w:rsidRDefault="008E4201" w:rsidP="00D6206E">
      <w:pPr>
        <w:rPr>
          <w:rFonts w:eastAsia="Verdana" w:cs="Verdana"/>
        </w:rPr>
      </w:pPr>
    </w:p>
    <w:p w14:paraId="6D0F8BC0" w14:textId="25160CF8" w:rsidR="007A203F" w:rsidRPr="007A203F" w:rsidRDefault="473895E5" w:rsidP="007A203F">
      <w:pPr>
        <w:pStyle w:val="ListParagraph"/>
        <w:numPr>
          <w:ilvl w:val="1"/>
          <w:numId w:val="17"/>
        </w:numPr>
      </w:pPr>
      <w:r w:rsidRPr="008E4201">
        <w:rPr>
          <w:rFonts w:eastAsia="Verdana" w:cs="Verdana"/>
        </w:rPr>
        <w:t xml:space="preserve">The Remedial Order does not amend </w:t>
      </w:r>
      <w:r w:rsidR="2F833E66" w:rsidRPr="008E4201">
        <w:rPr>
          <w:rFonts w:eastAsia="Verdana" w:cs="Verdana"/>
        </w:rPr>
        <w:t xml:space="preserve">section 38 </w:t>
      </w:r>
      <w:r w:rsidR="007807AD">
        <w:rPr>
          <w:rFonts w:eastAsia="Verdana" w:cs="Verdana"/>
        </w:rPr>
        <w:t>of the 2023 Act</w:t>
      </w:r>
      <w:r w:rsidR="000040C1">
        <w:rPr>
          <w:rFonts w:eastAsia="Verdana" w:cs="Verdana"/>
        </w:rPr>
        <w:t>,</w:t>
      </w:r>
      <w:r w:rsidR="007807AD">
        <w:rPr>
          <w:rFonts w:eastAsia="Verdana" w:cs="Verdana"/>
        </w:rPr>
        <w:t xml:space="preserve"> </w:t>
      </w:r>
      <w:r w:rsidR="2F833E66" w:rsidRPr="008E4201">
        <w:rPr>
          <w:rFonts w:eastAsia="Verdana" w:cs="Verdana"/>
        </w:rPr>
        <w:t xml:space="preserve">which provides that </w:t>
      </w:r>
      <w:r w:rsidR="003E60A2" w:rsidRPr="001C606D">
        <w:rPr>
          <w:rFonts w:eastAsia="Verdana" w:cs="Verdana"/>
        </w:rPr>
        <w:t>“</w:t>
      </w:r>
      <w:r w:rsidR="2F833E66" w:rsidRPr="001C606D">
        <w:rPr>
          <w:rFonts w:eastAsia="Verdana" w:cs="Verdana"/>
          <w:szCs w:val="24"/>
        </w:rPr>
        <w:t>no criminal investigation of any Troubles-related offence may be continued or begun</w:t>
      </w:r>
      <w:r w:rsidR="003E60A2" w:rsidRPr="001C606D">
        <w:rPr>
          <w:rFonts w:eastAsia="Verdana" w:cs="Verdana"/>
          <w:szCs w:val="24"/>
        </w:rPr>
        <w:t>”</w:t>
      </w:r>
      <w:r w:rsidR="2F833E66" w:rsidRPr="001C606D">
        <w:rPr>
          <w:rFonts w:eastAsia="Verdana" w:cs="Verdana"/>
          <w:szCs w:val="24"/>
        </w:rPr>
        <w:t xml:space="preserve">. </w:t>
      </w:r>
      <w:r w:rsidR="00E90BA8">
        <w:rPr>
          <w:rFonts w:eastAsia="Verdana" w:cs="Verdana"/>
          <w:szCs w:val="24"/>
        </w:rPr>
        <w:t>This affects new Troubles-related investigations by the Police Service of NI and the Police Ombudsman for NI and th</w:t>
      </w:r>
      <w:r w:rsidR="00D27C53">
        <w:rPr>
          <w:rFonts w:eastAsia="Verdana" w:cs="Verdana"/>
          <w:szCs w:val="24"/>
        </w:rPr>
        <w:t>ose</w:t>
      </w:r>
      <w:r w:rsidR="00E90BA8">
        <w:rPr>
          <w:rFonts w:eastAsia="Verdana" w:cs="Verdana"/>
          <w:szCs w:val="24"/>
        </w:rPr>
        <w:t xml:space="preserve"> investigations that were </w:t>
      </w:r>
      <w:proofErr w:type="gramStart"/>
      <w:r w:rsidR="00E90BA8">
        <w:rPr>
          <w:rFonts w:eastAsia="Verdana" w:cs="Verdana"/>
          <w:szCs w:val="24"/>
        </w:rPr>
        <w:lastRenderedPageBreak/>
        <w:t>brought to an end</w:t>
      </w:r>
      <w:proofErr w:type="gramEnd"/>
      <w:r w:rsidR="00E90BA8">
        <w:rPr>
          <w:rFonts w:eastAsia="Verdana" w:cs="Verdana"/>
          <w:szCs w:val="24"/>
        </w:rPr>
        <w:t xml:space="preserve"> on 1 May 2024</w:t>
      </w:r>
      <w:r w:rsidR="00D27C53">
        <w:rPr>
          <w:rFonts w:eastAsia="Verdana" w:cs="Verdana"/>
          <w:szCs w:val="24"/>
        </w:rPr>
        <w:t>.</w:t>
      </w:r>
      <w:r w:rsidR="00E90BA8">
        <w:rPr>
          <w:rFonts w:eastAsia="Verdana" w:cs="Verdana"/>
          <w:szCs w:val="24"/>
        </w:rPr>
        <w:t xml:space="preserve"> </w:t>
      </w:r>
      <w:r w:rsidR="00D27C53">
        <w:rPr>
          <w:rFonts w:eastAsia="Verdana" w:cs="Verdana"/>
          <w:szCs w:val="24"/>
        </w:rPr>
        <w:t xml:space="preserve">The </w:t>
      </w:r>
      <w:r w:rsidR="51AD6F94" w:rsidRPr="001C606D">
        <w:rPr>
          <w:rFonts w:eastAsia="Verdana" w:cs="Verdana"/>
          <w:szCs w:val="24"/>
        </w:rPr>
        <w:t>Remedial Order will remove the</w:t>
      </w:r>
      <w:r w:rsidR="37E00CED" w:rsidRPr="001C606D">
        <w:rPr>
          <w:rFonts w:eastAsia="Verdana" w:cs="Verdana"/>
          <w:szCs w:val="24"/>
        </w:rPr>
        <w:t xml:space="preserve"> conditional immunity scheme</w:t>
      </w:r>
      <w:r w:rsidR="00D27C53">
        <w:rPr>
          <w:rFonts w:eastAsia="Verdana" w:cs="Verdana"/>
          <w:szCs w:val="24"/>
        </w:rPr>
        <w:t xml:space="preserve"> provided by the 2023 Act</w:t>
      </w:r>
      <w:r w:rsidR="000040C1">
        <w:rPr>
          <w:rFonts w:eastAsia="Verdana" w:cs="Verdana"/>
          <w:szCs w:val="24"/>
        </w:rPr>
        <w:t>,</w:t>
      </w:r>
      <w:r w:rsidR="00D27C53">
        <w:rPr>
          <w:rFonts w:eastAsia="Verdana" w:cs="Verdana"/>
          <w:szCs w:val="24"/>
        </w:rPr>
        <w:t xml:space="preserve"> but what will remain is </w:t>
      </w:r>
      <w:r w:rsidR="3AC7A7ED" w:rsidRPr="001C606D">
        <w:rPr>
          <w:rFonts w:eastAsia="Verdana" w:cs="Verdana"/>
          <w:szCs w:val="24"/>
        </w:rPr>
        <w:t>the continued prohibition on criminal investigations by t</w:t>
      </w:r>
      <w:r w:rsidR="79FF3084" w:rsidRPr="001C606D">
        <w:rPr>
          <w:rFonts w:eastAsia="Verdana" w:cs="Verdana"/>
          <w:szCs w:val="24"/>
        </w:rPr>
        <w:t>he P</w:t>
      </w:r>
      <w:r w:rsidR="003F4923">
        <w:rPr>
          <w:rFonts w:eastAsia="Verdana" w:cs="Verdana"/>
          <w:szCs w:val="24"/>
        </w:rPr>
        <w:t xml:space="preserve">olice </w:t>
      </w:r>
      <w:r w:rsidR="79FF3084" w:rsidRPr="001C606D">
        <w:rPr>
          <w:rFonts w:eastAsia="Verdana" w:cs="Verdana"/>
          <w:szCs w:val="24"/>
        </w:rPr>
        <w:t>S</w:t>
      </w:r>
      <w:r w:rsidR="003F4923">
        <w:rPr>
          <w:rFonts w:eastAsia="Verdana" w:cs="Verdana"/>
          <w:szCs w:val="24"/>
        </w:rPr>
        <w:t xml:space="preserve">ervice of </w:t>
      </w:r>
      <w:r w:rsidR="79FF3084" w:rsidRPr="001C606D">
        <w:rPr>
          <w:rFonts w:eastAsia="Verdana" w:cs="Verdana"/>
          <w:szCs w:val="24"/>
        </w:rPr>
        <w:t>NI</w:t>
      </w:r>
      <w:r w:rsidR="00FE0182">
        <w:rPr>
          <w:rFonts w:eastAsia="Verdana" w:cs="Verdana"/>
          <w:szCs w:val="24"/>
        </w:rPr>
        <w:t>, Police Ombudsman for NI</w:t>
      </w:r>
      <w:r w:rsidR="79FF3084" w:rsidRPr="001C606D">
        <w:rPr>
          <w:rFonts w:eastAsia="Verdana" w:cs="Verdana"/>
          <w:szCs w:val="24"/>
        </w:rPr>
        <w:t xml:space="preserve"> and other police </w:t>
      </w:r>
      <w:r w:rsidR="00D27C53">
        <w:rPr>
          <w:rFonts w:eastAsia="Verdana" w:cs="Verdana"/>
          <w:szCs w:val="24"/>
        </w:rPr>
        <w:t>services</w:t>
      </w:r>
      <w:r w:rsidR="00D27C53" w:rsidRPr="001C606D">
        <w:rPr>
          <w:rFonts w:eastAsia="Verdana" w:cs="Verdana"/>
          <w:szCs w:val="24"/>
        </w:rPr>
        <w:t xml:space="preserve"> </w:t>
      </w:r>
      <w:r w:rsidR="79FF3084" w:rsidRPr="001C606D">
        <w:rPr>
          <w:rFonts w:eastAsia="Verdana" w:cs="Verdana"/>
          <w:szCs w:val="24"/>
        </w:rPr>
        <w:t>throughout the UK</w:t>
      </w:r>
      <w:r w:rsidR="00D27C53">
        <w:rPr>
          <w:rFonts w:eastAsia="Verdana" w:cs="Verdana"/>
          <w:szCs w:val="24"/>
        </w:rPr>
        <w:t xml:space="preserve">. In other words, immunity will be provided in those cases as a matter of practice. </w:t>
      </w:r>
      <w:r w:rsidR="007C0138">
        <w:rPr>
          <w:rFonts w:eastAsia="Verdana" w:cs="Verdana"/>
          <w:szCs w:val="24"/>
        </w:rPr>
        <w:t>It is also notable that</w:t>
      </w:r>
      <w:r w:rsidR="00AD4EF2">
        <w:rPr>
          <w:rFonts w:eastAsia="Verdana" w:cs="Verdana"/>
          <w:szCs w:val="24"/>
        </w:rPr>
        <w:t>,</w:t>
      </w:r>
      <w:r w:rsidR="007C0138">
        <w:rPr>
          <w:rFonts w:eastAsia="Verdana" w:cs="Verdana"/>
          <w:szCs w:val="24"/>
        </w:rPr>
        <w:t xml:space="preserve"> in instances where the Independent Commission for Reconciliation and Information Recovery may consider criminal cases</w:t>
      </w:r>
      <w:r w:rsidR="00AD4EF2">
        <w:rPr>
          <w:rFonts w:eastAsia="Verdana" w:cs="Verdana"/>
          <w:szCs w:val="24"/>
        </w:rPr>
        <w:t>,</w:t>
      </w:r>
      <w:r w:rsidR="007C0138">
        <w:rPr>
          <w:rFonts w:eastAsia="Verdana" w:cs="Verdana"/>
          <w:szCs w:val="24"/>
        </w:rPr>
        <w:t xml:space="preserve"> it is not able to initiate such actions of its own motion</w:t>
      </w:r>
      <w:r w:rsidR="00AD4EF2">
        <w:rPr>
          <w:rFonts w:eastAsia="Verdana" w:cs="Verdana"/>
          <w:szCs w:val="24"/>
        </w:rPr>
        <w:t xml:space="preserve"> and</w:t>
      </w:r>
      <w:r w:rsidR="00D27C53">
        <w:rPr>
          <w:rFonts w:eastAsia="Verdana" w:cs="Verdana"/>
          <w:szCs w:val="24"/>
        </w:rPr>
        <w:t xml:space="preserve"> </w:t>
      </w:r>
      <w:r w:rsidR="007C0138">
        <w:rPr>
          <w:rFonts w:eastAsia="Verdana" w:cs="Verdana"/>
          <w:szCs w:val="24"/>
        </w:rPr>
        <w:t xml:space="preserve">is reliant on reviews </w:t>
      </w:r>
      <w:r w:rsidR="00D27C53">
        <w:rPr>
          <w:rFonts w:eastAsia="Verdana" w:cs="Verdana"/>
          <w:szCs w:val="24"/>
        </w:rPr>
        <w:t>by others</w:t>
      </w:r>
      <w:r w:rsidR="007C0138">
        <w:rPr>
          <w:rFonts w:eastAsia="Verdana" w:cs="Verdana"/>
          <w:szCs w:val="24"/>
        </w:rPr>
        <w:t>.</w:t>
      </w:r>
      <w:r w:rsidR="007C0138">
        <w:rPr>
          <w:rStyle w:val="FootnoteReference"/>
          <w:rFonts w:eastAsia="Verdana" w:cs="Verdana"/>
          <w:szCs w:val="24"/>
        </w:rPr>
        <w:footnoteReference w:id="5"/>
      </w:r>
      <w:r w:rsidR="007C0138">
        <w:rPr>
          <w:rFonts w:eastAsia="Verdana" w:cs="Verdana"/>
          <w:szCs w:val="24"/>
        </w:rPr>
        <w:t xml:space="preserve"> </w:t>
      </w:r>
      <w:r w:rsidR="00D27C53">
        <w:rPr>
          <w:rFonts w:eastAsia="Verdana" w:cs="Verdana"/>
          <w:szCs w:val="24"/>
        </w:rPr>
        <w:t xml:space="preserve">This must be seen in the context that its </w:t>
      </w:r>
      <w:r w:rsidR="007C0138">
        <w:rPr>
          <w:rFonts w:eastAsia="Verdana" w:cs="Verdana"/>
          <w:szCs w:val="24"/>
        </w:rPr>
        <w:t>ability to consider cases with sufficient independence and impartiality is in question.</w:t>
      </w:r>
    </w:p>
    <w:p w14:paraId="0871458E" w14:textId="77777777" w:rsidR="007A203F" w:rsidRPr="007A203F" w:rsidRDefault="007A203F" w:rsidP="007A203F">
      <w:pPr>
        <w:pStyle w:val="ListParagraph"/>
        <w:rPr>
          <w:b/>
          <w:bCs/>
        </w:rPr>
      </w:pPr>
    </w:p>
    <w:p w14:paraId="75C1294E" w14:textId="2D4280AD" w:rsidR="007A203F" w:rsidRPr="007A203F" w:rsidRDefault="5A2F986F" w:rsidP="007A203F">
      <w:pPr>
        <w:pStyle w:val="ListParagraph"/>
        <w:numPr>
          <w:ilvl w:val="1"/>
          <w:numId w:val="17"/>
        </w:numPr>
      </w:pPr>
      <w:r w:rsidRPr="007A203F">
        <w:rPr>
          <w:b/>
          <w:bCs/>
        </w:rPr>
        <w:t xml:space="preserve">The NIHRC welcomes the </w:t>
      </w:r>
      <w:r w:rsidR="00D27C53">
        <w:rPr>
          <w:b/>
          <w:bCs/>
        </w:rPr>
        <w:t xml:space="preserve">removal of the </w:t>
      </w:r>
      <w:r w:rsidRPr="007A203F">
        <w:rPr>
          <w:b/>
          <w:bCs/>
        </w:rPr>
        <w:t xml:space="preserve">conditional immunity </w:t>
      </w:r>
      <w:proofErr w:type="gramStart"/>
      <w:r w:rsidRPr="007A203F">
        <w:rPr>
          <w:b/>
          <w:bCs/>
        </w:rPr>
        <w:t>scheme</w:t>
      </w:r>
      <w:r w:rsidR="00982080">
        <w:rPr>
          <w:b/>
          <w:bCs/>
        </w:rPr>
        <w:t>,</w:t>
      </w:r>
      <w:r w:rsidR="00D27C53">
        <w:rPr>
          <w:b/>
          <w:bCs/>
        </w:rPr>
        <w:t xml:space="preserve"> but</w:t>
      </w:r>
      <w:proofErr w:type="gramEnd"/>
      <w:r w:rsidR="00D27C53">
        <w:rPr>
          <w:b/>
          <w:bCs/>
        </w:rPr>
        <w:t xml:space="preserve"> suggests that </w:t>
      </w:r>
      <w:r w:rsidRPr="007A203F">
        <w:rPr>
          <w:b/>
          <w:bCs/>
        </w:rPr>
        <w:t xml:space="preserve">the Joint Committee seeks clarity from the UK Government on how </w:t>
      </w:r>
      <w:r w:rsidR="00FF0BDB">
        <w:rPr>
          <w:b/>
          <w:bCs/>
        </w:rPr>
        <w:t xml:space="preserve">immunity in all instances will be prevented and </w:t>
      </w:r>
      <w:r w:rsidRPr="007A203F">
        <w:rPr>
          <w:b/>
          <w:bCs/>
        </w:rPr>
        <w:t>effective and independent criminal investigations into Troubles</w:t>
      </w:r>
      <w:r w:rsidR="007A203F" w:rsidRPr="007A203F">
        <w:rPr>
          <w:b/>
          <w:bCs/>
        </w:rPr>
        <w:t>-</w:t>
      </w:r>
      <w:r w:rsidRPr="007A203F">
        <w:rPr>
          <w:b/>
          <w:bCs/>
        </w:rPr>
        <w:t>related offences ensured.</w:t>
      </w:r>
    </w:p>
    <w:p w14:paraId="0E5A7F83" w14:textId="77777777" w:rsidR="007A203F" w:rsidRDefault="007A203F" w:rsidP="007A203F">
      <w:pPr>
        <w:pStyle w:val="ListParagraph"/>
      </w:pPr>
    </w:p>
    <w:p w14:paraId="1CC2524E" w14:textId="2D7DD509" w:rsidR="00642C3F" w:rsidRDefault="1BD59F59" w:rsidP="00642C3F">
      <w:pPr>
        <w:pStyle w:val="ListParagraph"/>
        <w:numPr>
          <w:ilvl w:val="1"/>
          <w:numId w:val="17"/>
        </w:numPr>
      </w:pPr>
      <w:r>
        <w:t>R</w:t>
      </w:r>
      <w:r w:rsidR="286E30EE">
        <w:t xml:space="preserve">egarding civil </w:t>
      </w:r>
      <w:r w:rsidR="455F6BA7">
        <w:t>case</w:t>
      </w:r>
      <w:r w:rsidR="286E30EE">
        <w:t xml:space="preserve">s, </w:t>
      </w:r>
      <w:r w:rsidR="3BB762C8">
        <w:t>there are over 1,000</w:t>
      </w:r>
      <w:r w:rsidR="00982080">
        <w:t xml:space="preserve"> </w:t>
      </w:r>
      <w:r w:rsidR="3BB762C8">
        <w:t>o</w:t>
      </w:r>
      <w:r w:rsidR="3BB762C8" w:rsidRPr="00151BCE">
        <w:t xml:space="preserve">ngoing legacy civil claims against </w:t>
      </w:r>
      <w:r w:rsidR="3BB762C8">
        <w:t>S</w:t>
      </w:r>
      <w:r w:rsidR="3BB762C8" w:rsidRPr="00151BCE">
        <w:t>tate agencies</w:t>
      </w:r>
      <w:r w:rsidR="3BB762C8">
        <w:t>.</w:t>
      </w:r>
      <w:r w:rsidR="00181FD5">
        <w:rPr>
          <w:rStyle w:val="FootnoteReference"/>
        </w:rPr>
        <w:footnoteReference w:id="6"/>
      </w:r>
      <w:r w:rsidR="3BB762C8">
        <w:t xml:space="preserve"> </w:t>
      </w:r>
      <w:r w:rsidR="58A8610F">
        <w:t>W</w:t>
      </w:r>
      <w:r w:rsidR="3BB762C8">
        <w:t xml:space="preserve">hile the proposed Remedial Order will remove the prohibition on </w:t>
      </w:r>
      <w:r w:rsidR="2878201B">
        <w:t xml:space="preserve">Troubles-related </w:t>
      </w:r>
      <w:r w:rsidR="587801B5">
        <w:t xml:space="preserve">civil </w:t>
      </w:r>
      <w:r w:rsidR="455F6BA7">
        <w:t>case</w:t>
      </w:r>
      <w:r w:rsidR="3BB762C8">
        <w:t xml:space="preserve">s, it does not contain any alternative provisions that will ensure prompt and expeditious determinations of </w:t>
      </w:r>
      <w:r w:rsidR="2878201B">
        <w:t xml:space="preserve">any </w:t>
      </w:r>
      <w:r w:rsidR="3BB762C8">
        <w:t>outstanding claims. The ECtHR has been clear that</w:t>
      </w:r>
      <w:r w:rsidR="3BB762C8" w:rsidRPr="00505467">
        <w:t xml:space="preserve"> </w:t>
      </w:r>
      <w:r w:rsidR="3BB762C8">
        <w:t>e</w:t>
      </w:r>
      <w:r w:rsidR="3BB762C8" w:rsidRPr="00505467">
        <w:t xml:space="preserve">xcessive </w:t>
      </w:r>
      <w:r w:rsidR="5E3BDE63">
        <w:t xml:space="preserve">and unreasonable </w:t>
      </w:r>
      <w:r w:rsidR="3BB762C8" w:rsidRPr="00505467">
        <w:t xml:space="preserve">delays in the examination of a claim may </w:t>
      </w:r>
      <w:r w:rsidR="3BB762C8">
        <w:t>breach an individual’s right to fair trial</w:t>
      </w:r>
      <w:r w:rsidR="5E3BDE63">
        <w:t xml:space="preserve"> (Article 6 of the ECHR)</w:t>
      </w:r>
      <w:r w:rsidR="3BB762C8">
        <w:t>.</w:t>
      </w:r>
      <w:r w:rsidR="00181FD5">
        <w:rPr>
          <w:rStyle w:val="FootnoteReference"/>
        </w:rPr>
        <w:footnoteReference w:id="7"/>
      </w:r>
      <w:r w:rsidR="254D8E35">
        <w:t xml:space="preserve"> </w:t>
      </w:r>
      <w:r w:rsidR="0D2F1BEB">
        <w:t>Additionally</w:t>
      </w:r>
      <w:r w:rsidR="254D8E35">
        <w:t>, that a “chronic over</w:t>
      </w:r>
      <w:r w:rsidR="0D2F1BEB">
        <w:t>load… cannot justify an excessive length of proceedings”.</w:t>
      </w:r>
      <w:r w:rsidR="0081519D">
        <w:rPr>
          <w:rStyle w:val="FootnoteReference"/>
        </w:rPr>
        <w:footnoteReference w:id="8"/>
      </w:r>
      <w:r w:rsidR="6BBA5D78">
        <w:t xml:space="preserve"> If effective mitigations to address existing delays </w:t>
      </w:r>
      <w:r w:rsidR="578A0C55">
        <w:t xml:space="preserve">on Troubles-related civil cases </w:t>
      </w:r>
      <w:r w:rsidR="6BBA5D78">
        <w:t xml:space="preserve">are not put in place, there is the risk of further findings of incompatibility in the </w:t>
      </w:r>
      <w:r w:rsidR="00D972C2">
        <w:t>future. The Remedial Order does not address this.</w:t>
      </w:r>
    </w:p>
    <w:p w14:paraId="65DC2F62" w14:textId="77777777" w:rsidR="00642C3F" w:rsidRPr="00642C3F" w:rsidRDefault="00642C3F" w:rsidP="00642C3F">
      <w:pPr>
        <w:pStyle w:val="ListParagraph"/>
        <w:rPr>
          <w:b/>
          <w:bCs/>
        </w:rPr>
      </w:pPr>
    </w:p>
    <w:p w14:paraId="30648AF7" w14:textId="6796F2EF" w:rsidR="00D86FA0" w:rsidRPr="00D86FA0" w:rsidRDefault="587801B5" w:rsidP="00D86FA0">
      <w:pPr>
        <w:pStyle w:val="ListParagraph"/>
        <w:numPr>
          <w:ilvl w:val="1"/>
          <w:numId w:val="17"/>
        </w:numPr>
      </w:pPr>
      <w:r w:rsidRPr="00642C3F">
        <w:rPr>
          <w:b/>
          <w:bCs/>
        </w:rPr>
        <w:t xml:space="preserve">The NIHRC recommends that the Joint Committee seeks confirmation from the UK Government on </w:t>
      </w:r>
      <w:r w:rsidR="3115262A" w:rsidRPr="00642C3F">
        <w:rPr>
          <w:b/>
          <w:bCs/>
        </w:rPr>
        <w:t xml:space="preserve">the steps that </w:t>
      </w:r>
      <w:r w:rsidR="00D972C2">
        <w:rPr>
          <w:b/>
          <w:bCs/>
        </w:rPr>
        <w:t xml:space="preserve">will </w:t>
      </w:r>
      <w:r w:rsidR="00D972C2">
        <w:rPr>
          <w:b/>
          <w:bCs/>
        </w:rPr>
        <w:lastRenderedPageBreak/>
        <w:t>be taken</w:t>
      </w:r>
      <w:r w:rsidR="3115262A" w:rsidRPr="00642C3F">
        <w:rPr>
          <w:b/>
          <w:bCs/>
        </w:rPr>
        <w:t xml:space="preserve"> to ensure prompt and expeditious determinations of </w:t>
      </w:r>
      <w:r w:rsidRPr="00642C3F">
        <w:rPr>
          <w:b/>
          <w:bCs/>
        </w:rPr>
        <w:t xml:space="preserve">Troubles-related civil </w:t>
      </w:r>
      <w:r w:rsidR="302373EF" w:rsidRPr="00642C3F">
        <w:rPr>
          <w:b/>
          <w:bCs/>
        </w:rPr>
        <w:t>cases</w:t>
      </w:r>
      <w:r w:rsidR="69CB1796" w:rsidRPr="00642C3F">
        <w:rPr>
          <w:b/>
          <w:bCs/>
        </w:rPr>
        <w:t>.</w:t>
      </w:r>
    </w:p>
    <w:p w14:paraId="1C33FE99" w14:textId="77777777" w:rsidR="00D86FA0" w:rsidRPr="00D86FA0" w:rsidRDefault="00D86FA0" w:rsidP="00D86FA0">
      <w:pPr>
        <w:pStyle w:val="ListParagraph"/>
        <w:rPr>
          <w:rFonts w:eastAsia="Verdana" w:cs="Verdana"/>
          <w:color w:val="000000" w:themeColor="text1"/>
          <w:szCs w:val="24"/>
        </w:rPr>
      </w:pPr>
    </w:p>
    <w:p w14:paraId="337DBA49" w14:textId="0073150D" w:rsidR="009877E8" w:rsidRPr="009877E8" w:rsidRDefault="00384ADE" w:rsidP="009877E8">
      <w:pPr>
        <w:pStyle w:val="ListParagraph"/>
        <w:numPr>
          <w:ilvl w:val="1"/>
          <w:numId w:val="17"/>
        </w:numPr>
      </w:pPr>
      <w:r w:rsidRPr="40244CAC">
        <w:rPr>
          <w:rFonts w:eastAsia="Verdana" w:cs="Verdana"/>
          <w:color w:val="000000" w:themeColor="text1"/>
        </w:rPr>
        <w:t>S</w:t>
      </w:r>
      <w:r w:rsidR="0D6B6C11" w:rsidRPr="40244CAC">
        <w:rPr>
          <w:rFonts w:eastAsia="Verdana" w:cs="Verdana"/>
          <w:color w:val="000000" w:themeColor="text1"/>
        </w:rPr>
        <w:t xml:space="preserve">ection 44 </w:t>
      </w:r>
      <w:r w:rsidR="00D86FA0" w:rsidRPr="40244CAC">
        <w:rPr>
          <w:rFonts w:eastAsia="Verdana" w:cs="Verdana"/>
          <w:color w:val="000000" w:themeColor="text1"/>
        </w:rPr>
        <w:t xml:space="preserve">of the 2023 Act </w:t>
      </w:r>
      <w:r w:rsidR="0D6B6C11" w:rsidRPr="40244CAC">
        <w:rPr>
          <w:rFonts w:eastAsia="Verdana" w:cs="Verdana"/>
          <w:color w:val="000000" w:themeColor="text1"/>
        </w:rPr>
        <w:t>provide</w:t>
      </w:r>
      <w:r w:rsidR="00D86FA0" w:rsidRPr="40244CAC">
        <w:rPr>
          <w:rFonts w:eastAsia="Verdana" w:cs="Verdana"/>
          <w:color w:val="000000" w:themeColor="text1"/>
        </w:rPr>
        <w:t>s</w:t>
      </w:r>
      <w:r w:rsidR="0D6B6C11" w:rsidRPr="40244CAC">
        <w:rPr>
          <w:rFonts w:eastAsia="Verdana" w:cs="Verdana"/>
          <w:color w:val="000000" w:themeColor="text1"/>
        </w:rPr>
        <w:t xml:space="preserve"> for the prohibition of new inquests and the closure of exist</w:t>
      </w:r>
      <w:r w:rsidR="63702C3B" w:rsidRPr="40244CAC">
        <w:rPr>
          <w:rFonts w:eastAsia="Verdana" w:cs="Verdana"/>
          <w:color w:val="000000" w:themeColor="text1"/>
        </w:rPr>
        <w:t xml:space="preserve">ing inquests of deaths resulting directly from the Troubles. </w:t>
      </w:r>
      <w:r w:rsidR="78645844" w:rsidRPr="40244CAC">
        <w:rPr>
          <w:rFonts w:eastAsia="Verdana" w:cs="Verdana"/>
          <w:color w:val="000000" w:themeColor="text1"/>
        </w:rPr>
        <w:t xml:space="preserve">The Court of Appeal in </w:t>
      </w:r>
      <w:r w:rsidR="005E58B8" w:rsidRPr="40244CAC">
        <w:rPr>
          <w:rFonts w:eastAsia="Verdana" w:cs="Verdana"/>
          <w:color w:val="000000" w:themeColor="text1"/>
        </w:rPr>
        <w:t xml:space="preserve">NI </w:t>
      </w:r>
      <w:r w:rsidR="78645844" w:rsidRPr="40244CAC">
        <w:rPr>
          <w:rFonts w:eastAsia="Verdana" w:cs="Verdana"/>
          <w:color w:val="000000" w:themeColor="text1"/>
        </w:rPr>
        <w:t xml:space="preserve">held that </w:t>
      </w:r>
      <w:r w:rsidR="00D972C2">
        <w:rPr>
          <w:rFonts w:eastAsia="Verdana" w:cs="Verdana"/>
          <w:color w:val="000000" w:themeColor="text1"/>
        </w:rPr>
        <w:t xml:space="preserve">the </w:t>
      </w:r>
      <w:r w:rsidR="78645844" w:rsidRPr="40244CAC">
        <w:rPr>
          <w:rFonts w:eastAsia="Verdana" w:cs="Verdana"/>
          <w:color w:val="000000" w:themeColor="text1"/>
        </w:rPr>
        <w:t>I</w:t>
      </w:r>
      <w:r w:rsidR="00B143CB" w:rsidRPr="40244CAC">
        <w:rPr>
          <w:rFonts w:eastAsia="Verdana" w:cs="Verdana"/>
          <w:color w:val="000000" w:themeColor="text1"/>
        </w:rPr>
        <w:t xml:space="preserve">ndependent </w:t>
      </w:r>
      <w:r w:rsidR="78645844" w:rsidRPr="40244CAC">
        <w:rPr>
          <w:rFonts w:eastAsia="Verdana" w:cs="Verdana"/>
          <w:color w:val="000000" w:themeColor="text1"/>
        </w:rPr>
        <w:t>C</w:t>
      </w:r>
      <w:r w:rsidR="00B143CB" w:rsidRPr="40244CAC">
        <w:rPr>
          <w:rFonts w:eastAsia="Verdana" w:cs="Verdana"/>
          <w:color w:val="000000" w:themeColor="text1"/>
        </w:rPr>
        <w:t xml:space="preserve">ommission for </w:t>
      </w:r>
      <w:r w:rsidR="78645844" w:rsidRPr="40244CAC">
        <w:rPr>
          <w:rFonts w:eastAsia="Verdana" w:cs="Verdana"/>
          <w:color w:val="000000" w:themeColor="text1"/>
        </w:rPr>
        <w:t>R</w:t>
      </w:r>
      <w:r w:rsidR="00B143CB" w:rsidRPr="40244CAC">
        <w:rPr>
          <w:rFonts w:eastAsia="Verdana" w:cs="Verdana"/>
          <w:color w:val="000000" w:themeColor="text1"/>
        </w:rPr>
        <w:t>econciliation and Information Recovery w</w:t>
      </w:r>
      <w:r w:rsidR="78645844" w:rsidRPr="40244CAC">
        <w:rPr>
          <w:rFonts w:eastAsia="Verdana" w:cs="Verdana"/>
          <w:color w:val="000000" w:themeColor="text1"/>
        </w:rPr>
        <w:t xml:space="preserve">as not capable of delivering </w:t>
      </w:r>
      <w:r w:rsidR="008D6AA5" w:rsidRPr="40244CAC">
        <w:rPr>
          <w:rFonts w:eastAsia="Verdana" w:cs="Verdana"/>
          <w:color w:val="000000" w:themeColor="text1"/>
        </w:rPr>
        <w:t>a human rights</w:t>
      </w:r>
      <w:r w:rsidR="78645844" w:rsidRPr="40244CAC">
        <w:rPr>
          <w:rFonts w:eastAsia="Verdana" w:cs="Verdana"/>
          <w:color w:val="000000" w:themeColor="text1"/>
        </w:rPr>
        <w:t xml:space="preserve"> compliant investigation into deaths in instances where it </w:t>
      </w:r>
      <w:r w:rsidR="008D6AA5" w:rsidRPr="40244CAC">
        <w:rPr>
          <w:rFonts w:eastAsia="Verdana" w:cs="Verdana"/>
          <w:color w:val="000000" w:themeColor="text1"/>
        </w:rPr>
        <w:t>was</w:t>
      </w:r>
      <w:r w:rsidR="78645844" w:rsidRPr="40244CAC">
        <w:rPr>
          <w:rFonts w:eastAsia="Verdana" w:cs="Verdana"/>
          <w:color w:val="000000" w:themeColor="text1"/>
        </w:rPr>
        <w:t xml:space="preserve"> acting </w:t>
      </w:r>
      <w:r w:rsidR="00D972C2">
        <w:rPr>
          <w:rFonts w:eastAsia="Verdana" w:cs="Verdana"/>
          <w:color w:val="000000" w:themeColor="text1"/>
        </w:rPr>
        <w:t>‘</w:t>
      </w:r>
      <w:r w:rsidR="78645844" w:rsidRPr="40244CAC">
        <w:rPr>
          <w:rFonts w:eastAsia="Verdana" w:cs="Verdana"/>
          <w:color w:val="000000" w:themeColor="text1"/>
        </w:rPr>
        <w:t>in place of</w:t>
      </w:r>
      <w:r w:rsidR="00D972C2">
        <w:rPr>
          <w:rFonts w:eastAsia="Verdana" w:cs="Verdana"/>
          <w:color w:val="000000" w:themeColor="text1"/>
        </w:rPr>
        <w:t>’</w:t>
      </w:r>
      <w:r w:rsidR="78645844" w:rsidRPr="40244CAC">
        <w:rPr>
          <w:rFonts w:eastAsia="Verdana" w:cs="Verdana"/>
          <w:color w:val="000000" w:themeColor="text1"/>
        </w:rPr>
        <w:t xml:space="preserve"> a coroner’s inquest. The Secretary of State for NI made clear his intention to bring forward legislation to </w:t>
      </w:r>
      <w:r w:rsidR="6DB369CA" w:rsidRPr="40244CAC">
        <w:rPr>
          <w:rFonts w:eastAsia="Verdana" w:cs="Verdana"/>
          <w:color w:val="000000" w:themeColor="text1"/>
        </w:rPr>
        <w:t xml:space="preserve">reinstate inquests. </w:t>
      </w:r>
      <w:r w:rsidR="00D972C2">
        <w:rPr>
          <w:rFonts w:eastAsia="Verdana" w:cs="Verdana"/>
          <w:color w:val="000000" w:themeColor="text1"/>
        </w:rPr>
        <w:t xml:space="preserve">That is welcomed by the NIHRC. </w:t>
      </w:r>
      <w:r w:rsidR="6DB369CA" w:rsidRPr="40244CAC">
        <w:rPr>
          <w:rFonts w:eastAsia="Verdana" w:cs="Verdana"/>
          <w:color w:val="000000" w:themeColor="text1"/>
        </w:rPr>
        <w:t>However</w:t>
      </w:r>
      <w:r w:rsidR="7DC1339F" w:rsidRPr="40244CAC">
        <w:rPr>
          <w:rFonts w:eastAsia="Verdana" w:cs="Verdana"/>
          <w:color w:val="000000" w:themeColor="text1"/>
        </w:rPr>
        <w:t>,</w:t>
      </w:r>
      <w:r w:rsidR="6DB369CA" w:rsidRPr="40244CAC">
        <w:rPr>
          <w:rFonts w:eastAsia="Verdana" w:cs="Verdana"/>
          <w:color w:val="000000" w:themeColor="text1"/>
        </w:rPr>
        <w:t xml:space="preserve"> </w:t>
      </w:r>
      <w:r w:rsidR="005537B5" w:rsidRPr="40244CAC">
        <w:rPr>
          <w:rFonts w:eastAsia="Verdana" w:cs="Verdana"/>
          <w:color w:val="000000" w:themeColor="text1"/>
        </w:rPr>
        <w:t xml:space="preserve">there is no clear timeframe for </w:t>
      </w:r>
      <w:r w:rsidR="00940E52" w:rsidRPr="40244CAC">
        <w:rPr>
          <w:rFonts w:eastAsia="Verdana" w:cs="Verdana"/>
          <w:color w:val="000000" w:themeColor="text1"/>
        </w:rPr>
        <w:t>introducing the necessary primary legislation</w:t>
      </w:r>
      <w:r w:rsidR="00D972C2">
        <w:rPr>
          <w:rFonts w:eastAsia="Verdana" w:cs="Verdana"/>
          <w:color w:val="000000" w:themeColor="text1"/>
        </w:rPr>
        <w:t xml:space="preserve">. That could and should be addressed by the </w:t>
      </w:r>
      <w:r w:rsidR="00A871D9" w:rsidRPr="40244CAC">
        <w:rPr>
          <w:rFonts w:eastAsia="Verdana" w:cs="Verdana"/>
          <w:color w:val="000000" w:themeColor="text1"/>
        </w:rPr>
        <w:t>Remedial Order</w:t>
      </w:r>
      <w:r w:rsidR="185BE12B" w:rsidRPr="40244CAC">
        <w:rPr>
          <w:rFonts w:eastAsia="Verdana" w:cs="Verdana"/>
          <w:color w:val="000000" w:themeColor="text1"/>
        </w:rPr>
        <w:t xml:space="preserve">. </w:t>
      </w:r>
    </w:p>
    <w:p w14:paraId="0239B221" w14:textId="1000CD16" w:rsidR="009877E8" w:rsidRPr="009877E8" w:rsidRDefault="009877E8" w:rsidP="009877E8">
      <w:pPr>
        <w:pStyle w:val="ListParagraph"/>
        <w:rPr>
          <w:rFonts w:eastAsia="Verdana" w:cs="Verdana"/>
          <w:b/>
          <w:bCs/>
          <w:color w:val="000000" w:themeColor="text1"/>
          <w:szCs w:val="24"/>
        </w:rPr>
      </w:pPr>
    </w:p>
    <w:p w14:paraId="47B99358" w14:textId="7FC98A50" w:rsidR="185BE12B" w:rsidRPr="009877E8" w:rsidRDefault="185BE12B" w:rsidP="009877E8">
      <w:pPr>
        <w:pStyle w:val="ListParagraph"/>
        <w:numPr>
          <w:ilvl w:val="1"/>
          <w:numId w:val="17"/>
        </w:numPr>
      </w:pPr>
      <w:r w:rsidRPr="009877E8">
        <w:rPr>
          <w:rFonts w:eastAsia="Verdana" w:cs="Verdana"/>
          <w:b/>
          <w:bCs/>
          <w:color w:val="000000" w:themeColor="text1"/>
          <w:szCs w:val="24"/>
        </w:rPr>
        <w:t xml:space="preserve">The NIHRC recommends that the Joint Committee </w:t>
      </w:r>
      <w:r w:rsidR="00D972C2">
        <w:rPr>
          <w:rFonts w:eastAsia="Verdana" w:cs="Verdana"/>
          <w:b/>
          <w:bCs/>
          <w:color w:val="000000" w:themeColor="text1"/>
          <w:szCs w:val="24"/>
        </w:rPr>
        <w:t>explores with</w:t>
      </w:r>
      <w:r w:rsidRPr="009877E8">
        <w:rPr>
          <w:rFonts w:eastAsia="Verdana" w:cs="Verdana"/>
          <w:b/>
          <w:bCs/>
          <w:color w:val="000000" w:themeColor="text1"/>
          <w:szCs w:val="24"/>
        </w:rPr>
        <w:t xml:space="preserve"> the UK Government </w:t>
      </w:r>
      <w:r w:rsidR="00D972C2">
        <w:rPr>
          <w:rFonts w:eastAsia="Verdana" w:cs="Verdana"/>
          <w:b/>
          <w:bCs/>
          <w:color w:val="000000" w:themeColor="text1"/>
          <w:szCs w:val="24"/>
        </w:rPr>
        <w:t>its</w:t>
      </w:r>
      <w:r w:rsidRPr="009877E8">
        <w:rPr>
          <w:rFonts w:eastAsia="Verdana" w:cs="Verdana"/>
          <w:b/>
          <w:bCs/>
          <w:color w:val="000000" w:themeColor="text1"/>
          <w:szCs w:val="24"/>
        </w:rPr>
        <w:t xml:space="preserve"> reasons for </w:t>
      </w:r>
      <w:r w:rsidR="2A14EBEB" w:rsidRPr="009877E8">
        <w:rPr>
          <w:rFonts w:eastAsia="Verdana" w:cs="Verdana"/>
          <w:b/>
          <w:bCs/>
          <w:color w:val="000000" w:themeColor="text1"/>
          <w:szCs w:val="24"/>
        </w:rPr>
        <w:t xml:space="preserve">failing to address </w:t>
      </w:r>
      <w:r w:rsidR="009877E8" w:rsidRPr="009877E8">
        <w:rPr>
          <w:rFonts w:eastAsia="Verdana" w:cs="Verdana"/>
          <w:b/>
          <w:bCs/>
          <w:color w:val="000000" w:themeColor="text1"/>
          <w:szCs w:val="24"/>
        </w:rPr>
        <w:t xml:space="preserve">within the Remedial Order </w:t>
      </w:r>
      <w:r w:rsidR="2A14EBEB" w:rsidRPr="009877E8">
        <w:rPr>
          <w:rFonts w:eastAsia="Verdana" w:cs="Verdana"/>
          <w:b/>
          <w:bCs/>
          <w:color w:val="000000" w:themeColor="text1"/>
          <w:szCs w:val="24"/>
        </w:rPr>
        <w:t xml:space="preserve">the clear </w:t>
      </w:r>
      <w:r w:rsidR="00D972C2">
        <w:rPr>
          <w:rFonts w:eastAsia="Verdana" w:cs="Verdana"/>
          <w:b/>
          <w:bCs/>
          <w:color w:val="000000" w:themeColor="text1"/>
          <w:szCs w:val="24"/>
        </w:rPr>
        <w:t>finding</w:t>
      </w:r>
      <w:r w:rsidR="00D972C2" w:rsidRPr="009877E8">
        <w:rPr>
          <w:rFonts w:eastAsia="Verdana" w:cs="Verdana"/>
          <w:b/>
          <w:bCs/>
          <w:color w:val="000000" w:themeColor="text1"/>
          <w:szCs w:val="24"/>
        </w:rPr>
        <w:t xml:space="preserve"> </w:t>
      </w:r>
      <w:r w:rsidR="2A14EBEB" w:rsidRPr="009877E8">
        <w:rPr>
          <w:rFonts w:eastAsia="Verdana" w:cs="Verdana"/>
          <w:b/>
          <w:bCs/>
          <w:color w:val="000000" w:themeColor="text1"/>
          <w:szCs w:val="24"/>
        </w:rPr>
        <w:t>of the Court of Appeal that the I</w:t>
      </w:r>
      <w:r w:rsidR="00E53595" w:rsidRPr="009877E8">
        <w:rPr>
          <w:rFonts w:eastAsia="Verdana" w:cs="Verdana"/>
          <w:b/>
          <w:bCs/>
          <w:color w:val="000000" w:themeColor="text1"/>
          <w:szCs w:val="24"/>
        </w:rPr>
        <w:t xml:space="preserve">ndependent </w:t>
      </w:r>
      <w:r w:rsidR="2A14EBEB" w:rsidRPr="009877E8">
        <w:rPr>
          <w:rFonts w:eastAsia="Verdana" w:cs="Verdana"/>
          <w:b/>
          <w:bCs/>
          <w:color w:val="000000" w:themeColor="text1"/>
          <w:szCs w:val="24"/>
        </w:rPr>
        <w:t>C</w:t>
      </w:r>
      <w:r w:rsidR="00E53595" w:rsidRPr="009877E8">
        <w:rPr>
          <w:rFonts w:eastAsia="Verdana" w:cs="Verdana"/>
          <w:b/>
          <w:bCs/>
          <w:color w:val="000000" w:themeColor="text1"/>
          <w:szCs w:val="24"/>
        </w:rPr>
        <w:t xml:space="preserve">ommission for </w:t>
      </w:r>
      <w:r w:rsidR="2A14EBEB" w:rsidRPr="009877E8">
        <w:rPr>
          <w:rFonts w:eastAsia="Verdana" w:cs="Verdana"/>
          <w:b/>
          <w:bCs/>
          <w:color w:val="000000" w:themeColor="text1"/>
          <w:szCs w:val="24"/>
        </w:rPr>
        <w:t>R</w:t>
      </w:r>
      <w:r w:rsidR="00E53595" w:rsidRPr="009877E8">
        <w:rPr>
          <w:rFonts w:eastAsia="Verdana" w:cs="Verdana"/>
          <w:b/>
          <w:bCs/>
          <w:color w:val="000000" w:themeColor="text1"/>
          <w:szCs w:val="24"/>
        </w:rPr>
        <w:t>econciliation and Information Recovery</w:t>
      </w:r>
      <w:r w:rsidR="2A14EBEB" w:rsidRPr="009877E8">
        <w:rPr>
          <w:rFonts w:eastAsia="Verdana" w:cs="Verdana"/>
          <w:b/>
          <w:bCs/>
          <w:color w:val="000000" w:themeColor="text1"/>
          <w:szCs w:val="24"/>
        </w:rPr>
        <w:t xml:space="preserve"> is incapable </w:t>
      </w:r>
      <w:r w:rsidR="2A775200" w:rsidRPr="009877E8">
        <w:rPr>
          <w:rFonts w:eastAsia="Verdana" w:cs="Verdana"/>
          <w:b/>
          <w:bCs/>
          <w:color w:val="000000" w:themeColor="text1"/>
          <w:szCs w:val="24"/>
        </w:rPr>
        <w:t>o</w:t>
      </w:r>
      <w:r w:rsidR="2A14EBEB" w:rsidRPr="009877E8">
        <w:rPr>
          <w:rFonts w:eastAsia="Verdana" w:cs="Verdana"/>
          <w:b/>
          <w:bCs/>
          <w:color w:val="000000" w:themeColor="text1"/>
          <w:szCs w:val="24"/>
        </w:rPr>
        <w:t xml:space="preserve">f </w:t>
      </w:r>
      <w:r w:rsidR="78186D56" w:rsidRPr="009877E8">
        <w:rPr>
          <w:rFonts w:eastAsia="Verdana" w:cs="Verdana"/>
          <w:b/>
          <w:bCs/>
          <w:color w:val="000000" w:themeColor="text1"/>
          <w:szCs w:val="24"/>
        </w:rPr>
        <w:t xml:space="preserve">delivering </w:t>
      </w:r>
      <w:r w:rsidR="00E53595" w:rsidRPr="009877E8">
        <w:rPr>
          <w:rFonts w:eastAsia="Verdana" w:cs="Verdana"/>
          <w:b/>
          <w:bCs/>
          <w:color w:val="000000" w:themeColor="text1"/>
          <w:szCs w:val="24"/>
        </w:rPr>
        <w:t>human rights</w:t>
      </w:r>
      <w:r w:rsidR="78186D56" w:rsidRPr="009877E8">
        <w:rPr>
          <w:rFonts w:eastAsia="Verdana" w:cs="Verdana"/>
          <w:b/>
          <w:bCs/>
          <w:color w:val="000000" w:themeColor="text1"/>
          <w:szCs w:val="24"/>
        </w:rPr>
        <w:t xml:space="preserve"> compliant investigation into deaths in instances w</w:t>
      </w:r>
      <w:r w:rsidR="14B64DBA" w:rsidRPr="009877E8">
        <w:rPr>
          <w:rFonts w:eastAsia="Verdana" w:cs="Verdana"/>
          <w:b/>
          <w:bCs/>
          <w:color w:val="000000" w:themeColor="text1"/>
          <w:szCs w:val="24"/>
        </w:rPr>
        <w:t>here it is acting in place of a coroner’s inquest.</w:t>
      </w:r>
    </w:p>
    <w:p w14:paraId="396C8A9A" w14:textId="77777777" w:rsidR="00105EDE" w:rsidRDefault="00105EDE" w:rsidP="00521DBE"/>
    <w:p w14:paraId="26AD2996" w14:textId="7B89E41B" w:rsidR="00521DBE" w:rsidRDefault="00D972C2" w:rsidP="009877E8">
      <w:pPr>
        <w:pStyle w:val="Heading2"/>
        <w:numPr>
          <w:ilvl w:val="0"/>
          <w:numId w:val="18"/>
        </w:numPr>
      </w:pPr>
      <w:bookmarkStart w:id="2" w:name="_Toc187767973"/>
      <w:r>
        <w:t xml:space="preserve">The </w:t>
      </w:r>
      <w:proofErr w:type="spellStart"/>
      <w:r w:rsidR="00521DBE">
        <w:t>McKerr</w:t>
      </w:r>
      <w:proofErr w:type="spellEnd"/>
      <w:r w:rsidR="00521DBE">
        <w:t xml:space="preserve"> Group of Cases</w:t>
      </w:r>
      <w:bookmarkEnd w:id="2"/>
    </w:p>
    <w:p w14:paraId="751B9F17" w14:textId="77777777" w:rsidR="00FC55A3" w:rsidRPr="00FC55A3" w:rsidRDefault="00FC55A3" w:rsidP="00FC55A3">
      <w:pPr>
        <w:pStyle w:val="ListParagraph"/>
        <w:numPr>
          <w:ilvl w:val="0"/>
          <w:numId w:val="8"/>
        </w:numPr>
        <w:rPr>
          <w:vanish/>
        </w:rPr>
      </w:pPr>
    </w:p>
    <w:p w14:paraId="1B23742D" w14:textId="6539D6BF" w:rsidR="009877E8" w:rsidRPr="009877E8" w:rsidRDefault="00A05721" w:rsidP="009877E8">
      <w:pPr>
        <w:pStyle w:val="ListParagraph"/>
        <w:numPr>
          <w:ilvl w:val="1"/>
          <w:numId w:val="18"/>
        </w:numPr>
        <w:ind w:left="709"/>
      </w:pPr>
      <w:r>
        <w:t xml:space="preserve">The Joint Committee on Human Rights </w:t>
      </w:r>
      <w:r w:rsidR="00D972C2">
        <w:t xml:space="preserve">is considering </w:t>
      </w:r>
      <w:r w:rsidR="00BD7A50">
        <w:t xml:space="preserve">the effect of the </w:t>
      </w:r>
      <w:r>
        <w:t xml:space="preserve">Remedial Order on the UK’s implementation of the ECHR’s judgments in the </w:t>
      </w:r>
      <w:proofErr w:type="spellStart"/>
      <w:r w:rsidRPr="009877E8">
        <w:rPr>
          <w:i/>
          <w:iCs/>
        </w:rPr>
        <w:t>McKerr</w:t>
      </w:r>
      <w:proofErr w:type="spellEnd"/>
      <w:r>
        <w:t xml:space="preserve"> group of cases. </w:t>
      </w:r>
      <w:r w:rsidR="00BD7A50">
        <w:t xml:space="preserve">This is an important consideration. </w:t>
      </w:r>
      <w:r>
        <w:t xml:space="preserve">The Remedial Order deals with several issues raised by the </w:t>
      </w:r>
      <w:proofErr w:type="spellStart"/>
      <w:r>
        <w:t>CoE</w:t>
      </w:r>
      <w:proofErr w:type="spellEnd"/>
      <w:r>
        <w:t xml:space="preserve"> Committee of Ministers. For example, </w:t>
      </w:r>
      <w:r w:rsidRPr="009877E8">
        <w:rPr>
          <w:color w:val="000000"/>
        </w:rPr>
        <w:t>the Committee of Ministers reiterated concern “including in particular the proposed conditional immunity scheme which risks breaching obligations under Article 2 of the ECHR to prosecute and punish serious grave breaches of human rights”.</w:t>
      </w:r>
      <w:r>
        <w:rPr>
          <w:rStyle w:val="FootnoteReference"/>
          <w:color w:val="000000"/>
        </w:rPr>
        <w:footnoteReference w:id="9"/>
      </w:r>
      <w:r w:rsidRPr="009877E8">
        <w:rPr>
          <w:color w:val="000000"/>
        </w:rPr>
        <w:t xml:space="preserve"> </w:t>
      </w:r>
      <w:r w:rsidR="00EC5451" w:rsidRPr="009877E8">
        <w:rPr>
          <w:color w:val="000000"/>
        </w:rPr>
        <w:t xml:space="preserve">This is addressed by the proposed Remedial Order. However, </w:t>
      </w:r>
      <w:r w:rsidR="00DB31D0" w:rsidRPr="009877E8">
        <w:rPr>
          <w:color w:val="000000"/>
        </w:rPr>
        <w:t xml:space="preserve">the </w:t>
      </w:r>
      <w:r w:rsidRPr="009877E8">
        <w:rPr>
          <w:color w:val="000000"/>
        </w:rPr>
        <w:t xml:space="preserve">Committee of Ministers </w:t>
      </w:r>
      <w:r w:rsidR="00EC5451" w:rsidRPr="009877E8">
        <w:rPr>
          <w:color w:val="000000"/>
        </w:rPr>
        <w:t xml:space="preserve">has also </w:t>
      </w:r>
      <w:r w:rsidRPr="009877E8">
        <w:rPr>
          <w:color w:val="000000"/>
        </w:rPr>
        <w:t xml:space="preserve">expressed “grave concern” at the then UK Government’s </w:t>
      </w:r>
      <w:r w:rsidR="009B5F8D" w:rsidRPr="009877E8">
        <w:rPr>
          <w:color w:val="000000"/>
        </w:rPr>
        <w:t xml:space="preserve">general </w:t>
      </w:r>
      <w:r w:rsidRPr="009877E8">
        <w:rPr>
          <w:color w:val="000000"/>
        </w:rPr>
        <w:lastRenderedPageBreak/>
        <w:t>plans for Troubles-related offences, including the 2023</w:t>
      </w:r>
      <w:r w:rsidR="00DB31D0" w:rsidRPr="009877E8">
        <w:rPr>
          <w:color w:val="000000"/>
        </w:rPr>
        <w:t xml:space="preserve"> Act</w:t>
      </w:r>
      <w:r w:rsidRPr="009877E8">
        <w:rPr>
          <w:color w:val="000000"/>
        </w:rPr>
        <w:t>.</w:t>
      </w:r>
      <w:r w:rsidRPr="007478BB">
        <w:rPr>
          <w:rStyle w:val="FootnoteReference"/>
          <w:color w:val="000000"/>
        </w:rPr>
        <w:footnoteReference w:id="10"/>
      </w:r>
      <w:r w:rsidRPr="009877E8">
        <w:rPr>
          <w:color w:val="000000"/>
        </w:rPr>
        <w:t xml:space="preserve"> </w:t>
      </w:r>
      <w:r w:rsidR="00EC5451" w:rsidRPr="009877E8">
        <w:rPr>
          <w:color w:val="000000"/>
        </w:rPr>
        <w:t>This included</w:t>
      </w:r>
      <w:r w:rsidRPr="009877E8">
        <w:rPr>
          <w:color w:val="000000"/>
        </w:rPr>
        <w:t xml:space="preserve"> particular concerns “relating to independence </w:t>
      </w:r>
      <w:r w:rsidR="00DE0550" w:rsidRPr="009877E8">
        <w:rPr>
          <w:color w:val="000000"/>
        </w:rPr>
        <w:t xml:space="preserve">of </w:t>
      </w:r>
      <w:r w:rsidRPr="009877E8">
        <w:rPr>
          <w:color w:val="000000"/>
        </w:rPr>
        <w:t>disclosure”, “the initiation of reviews [by the Independent Commission on Reconciliation and Information Recovery]”, and the general lack of support for the 2023 Act in NI.</w:t>
      </w:r>
      <w:r w:rsidRPr="007478BB">
        <w:rPr>
          <w:rStyle w:val="FootnoteReference"/>
          <w:color w:val="000000"/>
        </w:rPr>
        <w:footnoteReference w:id="11"/>
      </w:r>
      <w:r w:rsidR="00105EDE" w:rsidRPr="009877E8">
        <w:rPr>
          <w:color w:val="000000"/>
        </w:rPr>
        <w:t xml:space="preserve"> </w:t>
      </w:r>
      <w:r w:rsidR="00105EDE" w:rsidRPr="009877E8">
        <w:rPr>
          <w:color w:val="000000" w:themeColor="text1"/>
        </w:rPr>
        <w:t xml:space="preserve">The proposed Remedial Order </w:t>
      </w:r>
      <w:r w:rsidR="00EC5451" w:rsidRPr="009877E8">
        <w:rPr>
          <w:color w:val="000000" w:themeColor="text1"/>
        </w:rPr>
        <w:t xml:space="preserve">does not address </w:t>
      </w:r>
      <w:r w:rsidR="00BD7A50">
        <w:rPr>
          <w:color w:val="000000" w:themeColor="text1"/>
        </w:rPr>
        <w:t>any of that.</w:t>
      </w:r>
      <w:r w:rsidR="00105EDE" w:rsidRPr="009877E8">
        <w:rPr>
          <w:color w:val="000000" w:themeColor="text1"/>
        </w:rPr>
        <w:t xml:space="preserve"> </w:t>
      </w:r>
    </w:p>
    <w:p w14:paraId="5DCF968D" w14:textId="77777777" w:rsidR="009877E8" w:rsidRPr="009877E8" w:rsidRDefault="009877E8" w:rsidP="009877E8">
      <w:pPr>
        <w:pStyle w:val="ListParagraph"/>
        <w:ind w:left="709"/>
      </w:pPr>
    </w:p>
    <w:p w14:paraId="12337F52" w14:textId="1AF2639C" w:rsidR="00CF3543" w:rsidRDefault="47BB6F8F" w:rsidP="009877E8">
      <w:pPr>
        <w:pStyle w:val="ListParagraph"/>
        <w:numPr>
          <w:ilvl w:val="1"/>
          <w:numId w:val="18"/>
        </w:numPr>
        <w:ind w:left="709"/>
      </w:pPr>
      <w:r>
        <w:t>In reiterating its commitment to “repeal and replace the Legacy Act”,</w:t>
      </w:r>
      <w:r w:rsidR="00C03F0B">
        <w:rPr>
          <w:rStyle w:val="FootnoteReference"/>
        </w:rPr>
        <w:footnoteReference w:id="12"/>
      </w:r>
      <w:r>
        <w:t xml:space="preserve"> </w:t>
      </w:r>
      <w:r w:rsidR="319823C6" w:rsidRPr="009877E8">
        <w:rPr>
          <w:color w:val="000000" w:themeColor="text1"/>
        </w:rPr>
        <w:t>t</w:t>
      </w:r>
      <w:r w:rsidR="566A2E80" w:rsidRPr="009877E8">
        <w:rPr>
          <w:color w:val="000000" w:themeColor="text1"/>
        </w:rPr>
        <w:t>he UK Government has</w:t>
      </w:r>
      <w:r w:rsidR="51E966A1">
        <w:t xml:space="preserve"> acknowledged </w:t>
      </w:r>
      <w:r w:rsidR="566A2E80">
        <w:t xml:space="preserve">that what is proposed within the Remedial Order is insufficient </w:t>
      </w:r>
      <w:r w:rsidR="3E8B306E">
        <w:t>to ensure human rights complia</w:t>
      </w:r>
      <w:r w:rsidR="131B203E">
        <w:t xml:space="preserve">nt investigations into </w:t>
      </w:r>
      <w:r w:rsidR="3E8B306E">
        <w:t>Troubles-related offences</w:t>
      </w:r>
      <w:r w:rsidR="319823C6">
        <w:t>.</w:t>
      </w:r>
      <w:r w:rsidR="399BA0F4">
        <w:t xml:space="preserve"> </w:t>
      </w:r>
      <w:r w:rsidR="005D25DC">
        <w:t xml:space="preserve">The NIHRC welcomes the </w:t>
      </w:r>
      <w:proofErr w:type="gramStart"/>
      <w:r w:rsidR="005D25DC">
        <w:t>commitment</w:t>
      </w:r>
      <w:r w:rsidR="002B3AFC">
        <w:t>,</w:t>
      </w:r>
      <w:r w:rsidR="005D25DC">
        <w:t xml:space="preserve"> but</w:t>
      </w:r>
      <w:proofErr w:type="gramEnd"/>
      <w:r w:rsidR="005D25DC">
        <w:t xml:space="preserve"> suggests that there are </w:t>
      </w:r>
      <w:r w:rsidR="002B3AFC">
        <w:t>several</w:t>
      </w:r>
      <w:r w:rsidR="005D25DC">
        <w:t xml:space="preserve"> issues that must be addressed including clear findings by the Court of Appeal</w:t>
      </w:r>
      <w:r w:rsidR="002B3AFC">
        <w:t xml:space="preserve"> in NI</w:t>
      </w:r>
      <w:r w:rsidR="005D25DC">
        <w:t>, that are not included in the Remedial Order. The NIHRC sees no reason for their exclusion. By way of example, t</w:t>
      </w:r>
      <w:r w:rsidR="000741F2">
        <w:t xml:space="preserve">he Court of Appeal </w:t>
      </w:r>
      <w:r w:rsidR="005D25DC">
        <w:t xml:space="preserve">criticised the </w:t>
      </w:r>
      <w:r w:rsidR="002B3AFC">
        <w:t xml:space="preserve">2023 </w:t>
      </w:r>
      <w:r w:rsidR="005D25DC">
        <w:t xml:space="preserve">Act for its failure </w:t>
      </w:r>
      <w:r w:rsidR="044ABC4E">
        <w:t>to</w:t>
      </w:r>
      <w:r w:rsidR="005D25DC">
        <w:t xml:space="preserve"> permit</w:t>
      </w:r>
      <w:r w:rsidR="11EC41C6">
        <w:t xml:space="preserve"> </w:t>
      </w:r>
      <w:r w:rsidR="32F4129D">
        <w:t>“</w:t>
      </w:r>
      <w:r w:rsidR="11EC41C6" w:rsidRPr="000F0149">
        <w:t>effective next of kin participation</w:t>
      </w:r>
      <w:r w:rsidR="005D25DC">
        <w:t>” and in respect of “</w:t>
      </w:r>
      <w:r w:rsidR="11EC41C6" w:rsidRPr="000F0149">
        <w:t xml:space="preserve">the role of the Secretary of State for NI in relation to disclosure in cases where, previously, an inquest would have been required to discharge the State’s Article 2 </w:t>
      </w:r>
      <w:r w:rsidR="11EC41C6">
        <w:t xml:space="preserve">of the ECHR </w:t>
      </w:r>
      <w:r w:rsidR="11EC41C6" w:rsidRPr="000F0149">
        <w:t>obligations</w:t>
      </w:r>
      <w:r w:rsidR="32F4129D">
        <w:t>”</w:t>
      </w:r>
      <w:r w:rsidR="11EC41C6">
        <w:t>.</w:t>
      </w:r>
      <w:r w:rsidR="00923CEB" w:rsidRPr="000F0149">
        <w:rPr>
          <w:rStyle w:val="FootnoteReference"/>
        </w:rPr>
        <w:footnoteReference w:id="13"/>
      </w:r>
      <w:r w:rsidR="005D25DC">
        <w:t xml:space="preserve"> </w:t>
      </w:r>
    </w:p>
    <w:p w14:paraId="399EA874" w14:textId="77777777" w:rsidR="00670CCE" w:rsidRDefault="00670CCE" w:rsidP="00670CCE">
      <w:pPr>
        <w:pStyle w:val="ListParagraph"/>
      </w:pPr>
    </w:p>
    <w:p w14:paraId="1CC846DD" w14:textId="3F535AEE" w:rsidR="001E3388" w:rsidRDefault="00EA0D06" w:rsidP="009877E8">
      <w:pPr>
        <w:pStyle w:val="ListParagraph"/>
        <w:numPr>
          <w:ilvl w:val="1"/>
          <w:numId w:val="18"/>
        </w:numPr>
        <w:ind w:left="709"/>
      </w:pPr>
      <w:r>
        <w:t>Thus, t</w:t>
      </w:r>
      <w:r w:rsidR="008C4E56">
        <w:t xml:space="preserve">he NIHRC </w:t>
      </w:r>
      <w:r w:rsidR="00F409CE">
        <w:t xml:space="preserve">continues </w:t>
      </w:r>
      <w:r w:rsidR="00FE5F21">
        <w:t xml:space="preserve">to </w:t>
      </w:r>
      <w:r>
        <w:t xml:space="preserve">advise that </w:t>
      </w:r>
      <w:r w:rsidR="00CB3B0D">
        <w:t xml:space="preserve">additional aspects beyond </w:t>
      </w:r>
      <w:r w:rsidR="00D377DD">
        <w:t>those</w:t>
      </w:r>
      <w:r w:rsidR="000E0051">
        <w:t xml:space="preserve"> within the proposed Remedial Order</w:t>
      </w:r>
      <w:r w:rsidR="00CB3B0D">
        <w:t xml:space="preserve"> require consideration</w:t>
      </w:r>
      <w:r w:rsidR="008C4E56">
        <w:t>.</w:t>
      </w:r>
      <w:r w:rsidR="008C4E56">
        <w:rPr>
          <w:rStyle w:val="FootnoteReference"/>
        </w:rPr>
        <w:footnoteReference w:id="14"/>
      </w:r>
      <w:r w:rsidR="00AE41FF">
        <w:t xml:space="preserve"> These </w:t>
      </w:r>
      <w:r w:rsidR="005D25DC">
        <w:t>should include</w:t>
      </w:r>
      <w:r w:rsidR="001E3388">
        <w:t>:</w:t>
      </w:r>
    </w:p>
    <w:p w14:paraId="3A3B973E" w14:textId="77777777" w:rsidR="004B67B4" w:rsidRDefault="004B67B4" w:rsidP="00941256"/>
    <w:p w14:paraId="0C123979" w14:textId="51083F4F" w:rsidR="001E3388" w:rsidRDefault="00AE41FF" w:rsidP="001E3388">
      <w:pPr>
        <w:pStyle w:val="ListParagraph"/>
        <w:numPr>
          <w:ilvl w:val="0"/>
          <w:numId w:val="16"/>
        </w:numPr>
      </w:pPr>
      <w:r>
        <w:t xml:space="preserve">the independence and impartiality of </w:t>
      </w:r>
      <w:r w:rsidR="005D25DC">
        <w:t xml:space="preserve">any </w:t>
      </w:r>
      <w:r w:rsidR="00385D07">
        <w:t>investigatory body</w:t>
      </w:r>
      <w:r w:rsidR="005D25DC">
        <w:t xml:space="preserve"> when discharging the State’s obligations under the </w:t>
      </w:r>
      <w:proofErr w:type="gramStart"/>
      <w:r w:rsidR="005D25DC">
        <w:t>ECHR</w:t>
      </w:r>
      <w:r w:rsidR="00EB58F9">
        <w:t>;</w:t>
      </w:r>
      <w:proofErr w:type="gramEnd"/>
      <w:r>
        <w:t xml:space="preserve"> </w:t>
      </w:r>
    </w:p>
    <w:p w14:paraId="7EDC8FC9" w14:textId="77777777" w:rsidR="001E3388" w:rsidRDefault="001E3388" w:rsidP="001E3388">
      <w:pPr>
        <w:pStyle w:val="ListParagraph"/>
        <w:ind w:left="1429"/>
      </w:pPr>
    </w:p>
    <w:p w14:paraId="379ACE7A" w14:textId="0A0F338B" w:rsidR="001E3388" w:rsidRDefault="00AE41FF" w:rsidP="003743D3">
      <w:pPr>
        <w:pStyle w:val="ListParagraph"/>
        <w:numPr>
          <w:ilvl w:val="0"/>
          <w:numId w:val="16"/>
        </w:numPr>
      </w:pPr>
      <w:r>
        <w:t xml:space="preserve">providing </w:t>
      </w:r>
      <w:r w:rsidR="00D014C4">
        <w:t xml:space="preserve">the </w:t>
      </w:r>
      <w:r w:rsidR="00385D07">
        <w:t>investigatory body</w:t>
      </w:r>
      <w:r w:rsidR="00F409CE">
        <w:t xml:space="preserve"> with the ability</w:t>
      </w:r>
      <w:r>
        <w:t xml:space="preserve"> to </w:t>
      </w:r>
      <w:r w:rsidR="005D25DC">
        <w:t>initiate and pursue</w:t>
      </w:r>
      <w:r>
        <w:t xml:space="preserve"> case</w:t>
      </w:r>
      <w:r w:rsidR="005D25DC">
        <w:t xml:space="preserve">s. The body must be sufficiently independent and must be guided by an objective assessment of whether </w:t>
      </w:r>
      <w:r w:rsidR="00F84524">
        <w:t xml:space="preserve">investigative obligations </w:t>
      </w:r>
      <w:r w:rsidR="007F2FA1">
        <w:t>have been complied with in</w:t>
      </w:r>
      <w:r w:rsidR="00C10947">
        <w:t xml:space="preserve"> Troubles-related offences</w:t>
      </w:r>
      <w:r w:rsidR="00304468">
        <w:t xml:space="preserve">. This </w:t>
      </w:r>
      <w:r w:rsidR="005D25DC">
        <w:t xml:space="preserve">should not exclude </w:t>
      </w:r>
      <w:r w:rsidR="00304468">
        <w:t>consideration of the human rights compliance of investigations that are deemed concluded</w:t>
      </w:r>
      <w:r w:rsidR="003743D3">
        <w:t xml:space="preserve"> and </w:t>
      </w:r>
      <w:r w:rsidR="005D25DC">
        <w:t xml:space="preserve">must enable the body to revisit any case concluded by another investigative </w:t>
      </w:r>
      <w:proofErr w:type="gramStart"/>
      <w:r w:rsidR="005D25DC">
        <w:t>body</w:t>
      </w:r>
      <w:r w:rsidR="00363EC9">
        <w:t>;</w:t>
      </w:r>
      <w:proofErr w:type="gramEnd"/>
      <w:r w:rsidR="008B091D">
        <w:t xml:space="preserve"> </w:t>
      </w:r>
    </w:p>
    <w:p w14:paraId="48EFE5E0" w14:textId="77777777" w:rsidR="001E3388" w:rsidRDefault="001E3388" w:rsidP="001E3388">
      <w:pPr>
        <w:pStyle w:val="ListParagraph"/>
      </w:pPr>
    </w:p>
    <w:p w14:paraId="474F3E39" w14:textId="2CD76144" w:rsidR="001E3388" w:rsidRDefault="008B091D" w:rsidP="001E3388">
      <w:pPr>
        <w:pStyle w:val="ListParagraph"/>
        <w:numPr>
          <w:ilvl w:val="0"/>
          <w:numId w:val="16"/>
        </w:numPr>
      </w:pPr>
      <w:r>
        <w:t>expanding the definition of relevant offences</w:t>
      </w:r>
      <w:r w:rsidR="00363EC9">
        <w:t xml:space="preserve"> to </w:t>
      </w:r>
      <w:r w:rsidR="0099726B">
        <w:t>include all Troubles-related offences that engage Article 3 of the ECHR</w:t>
      </w:r>
      <w:r w:rsidR="008876A3">
        <w:t xml:space="preserve"> to enable these to be investigated by </w:t>
      </w:r>
      <w:r w:rsidR="00385D07">
        <w:t xml:space="preserve">the investigatory </w:t>
      </w:r>
      <w:proofErr w:type="gramStart"/>
      <w:r w:rsidR="00385D07">
        <w:t>body</w:t>
      </w:r>
      <w:r w:rsidR="0099726B">
        <w:t>;</w:t>
      </w:r>
      <w:proofErr w:type="gramEnd"/>
      <w:r>
        <w:t xml:space="preserve"> </w:t>
      </w:r>
    </w:p>
    <w:p w14:paraId="4612E1A1" w14:textId="77777777" w:rsidR="001E3388" w:rsidRDefault="001E3388" w:rsidP="001E3388">
      <w:pPr>
        <w:pStyle w:val="ListParagraph"/>
      </w:pPr>
    </w:p>
    <w:p w14:paraId="21595446" w14:textId="1AA247F0" w:rsidR="001E3388" w:rsidRDefault="008B091D" w:rsidP="001E3388">
      <w:pPr>
        <w:pStyle w:val="ListParagraph"/>
        <w:numPr>
          <w:ilvl w:val="0"/>
          <w:numId w:val="16"/>
        </w:numPr>
      </w:pPr>
      <w:r>
        <w:t>enhancing public scrutiny</w:t>
      </w:r>
      <w:r w:rsidR="0099726B">
        <w:t xml:space="preserve"> </w:t>
      </w:r>
      <w:r w:rsidR="00DC0FF9">
        <w:t xml:space="preserve">of Troubles-related investigations </w:t>
      </w:r>
      <w:r w:rsidR="0099726B">
        <w:t xml:space="preserve">through </w:t>
      </w:r>
      <w:r w:rsidR="00DF3753">
        <w:t xml:space="preserve">ensuring disclosure </w:t>
      </w:r>
      <w:r w:rsidR="00385D07">
        <w:t xml:space="preserve">by the investigatory body </w:t>
      </w:r>
      <w:r w:rsidR="00DF3753">
        <w:t>to family members and adopting a broad definition of a family member that reflects modern-day society;</w:t>
      </w:r>
      <w:r w:rsidR="009877E8">
        <w:t xml:space="preserve"> and</w:t>
      </w:r>
    </w:p>
    <w:p w14:paraId="7B02C23D" w14:textId="77777777" w:rsidR="001E3388" w:rsidRDefault="001E3388" w:rsidP="001E3388">
      <w:pPr>
        <w:pStyle w:val="ListParagraph"/>
      </w:pPr>
    </w:p>
    <w:p w14:paraId="3269DFC9" w14:textId="12033072" w:rsidR="00941256" w:rsidRDefault="008B091D" w:rsidP="009877E8">
      <w:pPr>
        <w:pStyle w:val="ListParagraph"/>
        <w:numPr>
          <w:ilvl w:val="0"/>
          <w:numId w:val="16"/>
        </w:numPr>
      </w:pPr>
      <w:r>
        <w:t>ensuring</w:t>
      </w:r>
      <w:r w:rsidR="001D77F0">
        <w:t xml:space="preserve"> that biometric data</w:t>
      </w:r>
      <w:r w:rsidR="00DF3753">
        <w:t xml:space="preserve"> linked to Troubles</w:t>
      </w:r>
      <w:r w:rsidR="009C4A36">
        <w:t>-related investigations are</w:t>
      </w:r>
      <w:r w:rsidR="00477E2E">
        <w:t xml:space="preserve"> only retained where it is relevant to </w:t>
      </w:r>
      <w:r w:rsidR="009C4A36">
        <w:t>the work of the investigatory body</w:t>
      </w:r>
      <w:r w:rsidR="009877E8">
        <w:t>.</w:t>
      </w:r>
    </w:p>
    <w:p w14:paraId="04907862" w14:textId="77777777" w:rsidR="006D22A0" w:rsidRDefault="006D22A0" w:rsidP="006D22A0">
      <w:pPr>
        <w:pStyle w:val="ListParagraph"/>
        <w:ind w:left="709"/>
        <w:rPr>
          <w:b/>
          <w:bCs/>
        </w:rPr>
      </w:pPr>
    </w:p>
    <w:p w14:paraId="42045487" w14:textId="538E43DD" w:rsidR="00E10FB3" w:rsidRDefault="00C35111" w:rsidP="009877E8">
      <w:pPr>
        <w:pStyle w:val="ListParagraph"/>
        <w:numPr>
          <w:ilvl w:val="1"/>
          <w:numId w:val="18"/>
        </w:numPr>
        <w:ind w:left="709"/>
        <w:rPr>
          <w:b/>
          <w:bCs/>
        </w:rPr>
      </w:pPr>
      <w:r w:rsidRPr="005306EE">
        <w:rPr>
          <w:b/>
          <w:bCs/>
        </w:rPr>
        <w:t xml:space="preserve">The NIHRC </w:t>
      </w:r>
      <w:r w:rsidR="0040132B">
        <w:rPr>
          <w:b/>
          <w:bCs/>
        </w:rPr>
        <w:t>advise</w:t>
      </w:r>
      <w:r w:rsidR="005D25DC">
        <w:rPr>
          <w:b/>
          <w:bCs/>
        </w:rPr>
        <w:t>s</w:t>
      </w:r>
      <w:r w:rsidR="006E7B90" w:rsidRPr="005306EE">
        <w:rPr>
          <w:b/>
          <w:bCs/>
        </w:rPr>
        <w:t xml:space="preserve"> that the UK Government repeals the NI Troubles (Legacy and Reconciliation) Act 2023 and introduces legislation that is </w:t>
      </w:r>
      <w:r w:rsidR="005D25DC">
        <w:rPr>
          <w:b/>
          <w:bCs/>
        </w:rPr>
        <w:t xml:space="preserve">compliant with the ECHR. Not least the new legislation should be </w:t>
      </w:r>
      <w:r w:rsidR="006E7B90" w:rsidRPr="005306EE">
        <w:rPr>
          <w:b/>
          <w:bCs/>
        </w:rPr>
        <w:t xml:space="preserve">victim-centred, not restrict the investigation and prosecution of alleged unlawful killings and serious </w:t>
      </w:r>
      <w:proofErr w:type="gramStart"/>
      <w:r w:rsidR="006E7B90" w:rsidRPr="005306EE">
        <w:rPr>
          <w:b/>
          <w:bCs/>
        </w:rPr>
        <w:t xml:space="preserve">injuries, </w:t>
      </w:r>
      <w:r w:rsidR="005D25DC">
        <w:rPr>
          <w:b/>
          <w:bCs/>
        </w:rPr>
        <w:t>and</w:t>
      </w:r>
      <w:proofErr w:type="gramEnd"/>
      <w:r w:rsidR="005D25DC">
        <w:rPr>
          <w:b/>
          <w:bCs/>
        </w:rPr>
        <w:t xml:space="preserve"> be</w:t>
      </w:r>
      <w:r w:rsidR="005D25DC" w:rsidRPr="005306EE">
        <w:rPr>
          <w:b/>
          <w:bCs/>
        </w:rPr>
        <w:t xml:space="preserve"> </w:t>
      </w:r>
      <w:r w:rsidR="006E7B90" w:rsidRPr="005306EE">
        <w:rPr>
          <w:b/>
          <w:bCs/>
        </w:rPr>
        <w:t>compatible with Articles 2 (right to life) and 3 (freedom from torture) of the ECHR.</w:t>
      </w:r>
      <w:r w:rsidR="0012321B">
        <w:rPr>
          <w:b/>
          <w:bCs/>
        </w:rPr>
        <w:t xml:space="preserve"> </w:t>
      </w:r>
      <w:r w:rsidR="0012321B" w:rsidRPr="0012321B">
        <w:rPr>
          <w:b/>
          <w:bCs/>
        </w:rPr>
        <w:t xml:space="preserve">The </w:t>
      </w:r>
      <w:r w:rsidR="00B45E86">
        <w:rPr>
          <w:b/>
          <w:bCs/>
        </w:rPr>
        <w:t>NIHRC</w:t>
      </w:r>
      <w:r w:rsidR="0012321B" w:rsidRPr="0012321B">
        <w:rPr>
          <w:b/>
          <w:bCs/>
        </w:rPr>
        <w:t xml:space="preserve"> recommends that the </w:t>
      </w:r>
      <w:r w:rsidR="000A17BE">
        <w:rPr>
          <w:b/>
          <w:bCs/>
        </w:rPr>
        <w:t xml:space="preserve">Joint </w:t>
      </w:r>
      <w:r w:rsidR="0012321B">
        <w:rPr>
          <w:b/>
          <w:bCs/>
        </w:rPr>
        <w:t>Committee</w:t>
      </w:r>
      <w:r w:rsidR="0012321B" w:rsidRPr="0012321B">
        <w:rPr>
          <w:b/>
          <w:bCs/>
        </w:rPr>
        <w:t xml:space="preserve"> seek</w:t>
      </w:r>
      <w:r w:rsidR="00B45E86">
        <w:rPr>
          <w:b/>
          <w:bCs/>
        </w:rPr>
        <w:t>s</w:t>
      </w:r>
      <w:r w:rsidR="0012321B" w:rsidRPr="0012321B">
        <w:rPr>
          <w:b/>
          <w:bCs/>
        </w:rPr>
        <w:t xml:space="preserve"> clarity from the UK Government on how </w:t>
      </w:r>
      <w:r w:rsidR="0040132B">
        <w:rPr>
          <w:b/>
          <w:bCs/>
        </w:rPr>
        <w:t xml:space="preserve">its </w:t>
      </w:r>
      <w:r w:rsidR="00BC6A42">
        <w:rPr>
          <w:b/>
          <w:bCs/>
        </w:rPr>
        <w:t xml:space="preserve">broader </w:t>
      </w:r>
      <w:r w:rsidR="0012321B" w:rsidRPr="0012321B">
        <w:rPr>
          <w:b/>
          <w:bCs/>
        </w:rPr>
        <w:t xml:space="preserve">proposals will ensure </w:t>
      </w:r>
      <w:r w:rsidR="00BC6A42">
        <w:rPr>
          <w:b/>
          <w:bCs/>
        </w:rPr>
        <w:t>such an approach</w:t>
      </w:r>
      <w:r w:rsidR="0012321B" w:rsidRPr="0012321B">
        <w:rPr>
          <w:b/>
          <w:bCs/>
        </w:rPr>
        <w:t xml:space="preserve">. </w:t>
      </w:r>
      <w:r w:rsidR="0012321B" w:rsidRPr="7AF44102">
        <w:rPr>
          <w:b/>
          <w:bCs/>
        </w:rPr>
        <w:t xml:space="preserve"> </w:t>
      </w:r>
      <w:r w:rsidR="0012321B" w:rsidRPr="0012321B">
        <w:rPr>
          <w:b/>
          <w:bCs/>
        </w:rPr>
        <w:t xml:space="preserve"> </w:t>
      </w:r>
    </w:p>
    <w:p w14:paraId="59046ADB" w14:textId="77777777" w:rsidR="00E1006B" w:rsidRDefault="00E1006B">
      <w:pPr>
        <w:spacing w:after="160" w:line="259" w:lineRule="auto"/>
        <w:rPr>
          <w:b/>
          <w:bCs/>
        </w:rPr>
      </w:pPr>
    </w:p>
    <w:p w14:paraId="79F923F3" w14:textId="5AF90443" w:rsidR="00E1006B" w:rsidRPr="00C709AD" w:rsidRDefault="00E1006B" w:rsidP="00E1006B">
      <w:pPr>
        <w:pStyle w:val="Heading2"/>
      </w:pPr>
      <w:bookmarkStart w:id="3" w:name="_Toc187767974"/>
      <w:r>
        <w:t>4.0</w:t>
      </w:r>
      <w:r>
        <w:tab/>
      </w:r>
      <w:r w:rsidRPr="00C709AD">
        <w:t>Windsor Framework Article 2</w:t>
      </w:r>
      <w:bookmarkEnd w:id="3"/>
      <w:r w:rsidRPr="00C709AD">
        <w:t xml:space="preserve"> </w:t>
      </w:r>
    </w:p>
    <w:p w14:paraId="48752059" w14:textId="77777777" w:rsidR="00E1006B" w:rsidRPr="00E1006B" w:rsidRDefault="00E1006B" w:rsidP="00E1006B">
      <w:pPr>
        <w:pStyle w:val="ListParagraph"/>
        <w:numPr>
          <w:ilvl w:val="0"/>
          <w:numId w:val="20"/>
        </w:numPr>
        <w:rPr>
          <w:vanish/>
        </w:rPr>
      </w:pPr>
    </w:p>
    <w:p w14:paraId="4937E5B7" w14:textId="1439F57B" w:rsidR="00E1006B" w:rsidRDefault="00E1006B" w:rsidP="00E1006B">
      <w:pPr>
        <w:pStyle w:val="ListParagraph"/>
        <w:numPr>
          <w:ilvl w:val="0"/>
          <w:numId w:val="22"/>
        </w:numPr>
        <w:ind w:left="720" w:hanging="720"/>
      </w:pPr>
      <w:r>
        <w:t xml:space="preserve">In addition to finding that the conditional immunity provisions in the </w:t>
      </w:r>
      <w:r w:rsidRPr="00E1006B">
        <w:rPr>
          <w:color w:val="000000" w:themeColor="text1"/>
        </w:rPr>
        <w:t>NI Troubles (Legacy and Reconciliation) Act 2023 were incompatible with the ECHR, the High Court</w:t>
      </w:r>
      <w:r w:rsidR="002D1F2A">
        <w:rPr>
          <w:color w:val="000000" w:themeColor="text1"/>
        </w:rPr>
        <w:t xml:space="preserve"> for Justice in NI</w:t>
      </w:r>
      <w:r w:rsidRPr="00E1006B">
        <w:rPr>
          <w:color w:val="000000" w:themeColor="text1"/>
        </w:rPr>
        <w:t xml:space="preserve"> also found that </w:t>
      </w:r>
      <w:r>
        <w:t xml:space="preserve">the </w:t>
      </w:r>
      <w:r>
        <w:lastRenderedPageBreak/>
        <w:t>removal of the possibility of prosecution was incompatible with the EU Victims’ Directive</w:t>
      </w:r>
      <w:r w:rsidRPr="003B6D51">
        <w:rPr>
          <w:rStyle w:val="FootnoteReference"/>
        </w:rPr>
        <w:footnoteReference w:id="15"/>
      </w:r>
      <w:r>
        <w:t xml:space="preserve"> and therefore breaches Windsor Framework Article 2.</w:t>
      </w:r>
      <w:r>
        <w:rPr>
          <w:rStyle w:val="FootnoteReference"/>
        </w:rPr>
        <w:footnoteReference w:id="16"/>
      </w:r>
      <w:r>
        <w:t xml:space="preserve"> The </w:t>
      </w:r>
      <w:r w:rsidR="002D1F2A">
        <w:t xml:space="preserve">High </w:t>
      </w:r>
      <w:r>
        <w:t>Court held that pursuant to Section 7A of the EU (Withdrawal) Act 2018, Windsor Framework Article 2 has primacy over the conflicting provisions of the 2023 Act and therefore those provisions should be disapplied in respect of NI.</w:t>
      </w:r>
      <w:r>
        <w:rPr>
          <w:rStyle w:val="FootnoteReference"/>
        </w:rPr>
        <w:footnoteReference w:id="17"/>
      </w:r>
      <w:r>
        <w:t xml:space="preserve"> This decision was confirmed in the Court of Appeal</w:t>
      </w:r>
      <w:r w:rsidR="002D1F2A">
        <w:t xml:space="preserve"> in NI</w:t>
      </w:r>
      <w:r>
        <w:t>.</w:t>
      </w:r>
      <w:r>
        <w:rPr>
          <w:rStyle w:val="FootnoteReference"/>
        </w:rPr>
        <w:footnoteReference w:id="18"/>
      </w:r>
    </w:p>
    <w:p w14:paraId="0F6E5253" w14:textId="77777777" w:rsidR="00E1006B" w:rsidRDefault="00E1006B" w:rsidP="00E1006B">
      <w:pPr>
        <w:pStyle w:val="ListParagraph"/>
      </w:pPr>
    </w:p>
    <w:p w14:paraId="013895C4" w14:textId="426CAC1A" w:rsidR="00E1006B" w:rsidRDefault="00EC266C" w:rsidP="00E1006B">
      <w:pPr>
        <w:pStyle w:val="ListParagraph"/>
        <w:numPr>
          <w:ilvl w:val="0"/>
          <w:numId w:val="22"/>
        </w:numPr>
        <w:ind w:left="720" w:hanging="720"/>
      </w:pPr>
      <w:r>
        <w:t>T</w:t>
      </w:r>
      <w:r w:rsidR="00E1006B">
        <w:t xml:space="preserve">he Court of Appeal </w:t>
      </w:r>
      <w:r w:rsidR="00962FF3">
        <w:t xml:space="preserve">found, as did the High Court, that </w:t>
      </w:r>
      <w:r w:rsidR="00E1006B">
        <w:t xml:space="preserve">victims’ rights are </w:t>
      </w:r>
      <w:r w:rsidR="00962FF3">
        <w:t xml:space="preserve">within scope of the rights set out in the relevant chapter of the Belfast (Good Friday) Agreement because they are </w:t>
      </w:r>
      <w:r w:rsidR="00E1006B">
        <w:t xml:space="preserve">promoted and given effect by civil rights available to all victims of crime, including </w:t>
      </w:r>
      <w:r w:rsidR="002D1F2A">
        <w:t>A</w:t>
      </w:r>
      <w:r w:rsidR="00E1006B">
        <w:t>rticles 2, 3, 6 and 14 of the ECHR.</w:t>
      </w:r>
      <w:r w:rsidR="00E1006B" w:rsidRPr="28E66202">
        <w:rPr>
          <w:rStyle w:val="FootnoteReference"/>
        </w:rPr>
        <w:footnoteReference w:id="19"/>
      </w:r>
      <w:r w:rsidR="00E1006B">
        <w:t xml:space="preserve"> These rights are particularised to some extent and enhanced by the EU Victims’ Directive specifically by the right to challenge a decision not to prosecute.</w:t>
      </w:r>
      <w:r w:rsidR="00E1006B" w:rsidRPr="28E66202">
        <w:rPr>
          <w:rStyle w:val="FootnoteReference"/>
        </w:rPr>
        <w:footnoteReference w:id="20"/>
      </w:r>
      <w:r w:rsidR="00E1006B">
        <w:t xml:space="preserve"> The Court of Appeal rejected the argument that, where an EU Charter right is mirrored in the ECHR, there can be no diminution in rights, noting that a diminution in rights can occur where the available remedies to vindicate the right have been reduced.</w:t>
      </w:r>
      <w:r w:rsidR="00E1006B" w:rsidRPr="28E66202">
        <w:rPr>
          <w:rStyle w:val="FootnoteReference"/>
        </w:rPr>
        <w:footnoteReference w:id="21"/>
      </w:r>
      <w:r w:rsidR="00E1006B">
        <w:t xml:space="preserve"> </w:t>
      </w:r>
      <w:r w:rsidR="00E1006B" w:rsidRPr="00E1006B">
        <w:t>It is clear from the above reasoning that where ECHR rights are mirrored, particularised or enhanced by EU minimum standards which applied in the UK prior to withdrawal from the EU, Windsor Framework Article 2 provides an additional, stronger remedy of disapplication where there is a diminution in those rights and safeguards.</w:t>
      </w:r>
      <w:r w:rsidR="00E1006B">
        <w:t xml:space="preserve"> </w:t>
      </w:r>
    </w:p>
    <w:p w14:paraId="2001FAF2" w14:textId="77777777" w:rsidR="00E1006B" w:rsidRDefault="00E1006B" w:rsidP="00E1006B">
      <w:pPr>
        <w:pStyle w:val="ListParagraph"/>
      </w:pPr>
    </w:p>
    <w:p w14:paraId="11D195C5" w14:textId="0FA090D4" w:rsidR="00E1006B" w:rsidRDefault="00E1006B" w:rsidP="00E1006B">
      <w:pPr>
        <w:pStyle w:val="ListParagraph"/>
        <w:numPr>
          <w:ilvl w:val="0"/>
          <w:numId w:val="22"/>
        </w:numPr>
        <w:ind w:left="720" w:hanging="720"/>
      </w:pPr>
      <w:r>
        <w:lastRenderedPageBreak/>
        <w:t xml:space="preserve">As noted above, the </w:t>
      </w:r>
      <w:r w:rsidR="0094579F">
        <w:t>NIHRC</w:t>
      </w:r>
      <w:r>
        <w:t xml:space="preserve"> welcomes the provisions of the proposed </w:t>
      </w:r>
      <w:r w:rsidR="1AC14806">
        <w:t>R</w:t>
      </w:r>
      <w:r>
        <w:t xml:space="preserve">emedial </w:t>
      </w:r>
      <w:r w:rsidR="23604516">
        <w:t>O</w:t>
      </w:r>
      <w:r>
        <w:t xml:space="preserve">rder </w:t>
      </w:r>
      <w:r w:rsidR="29CE0767">
        <w:t xml:space="preserve">which </w:t>
      </w:r>
      <w:r>
        <w:t>will amend the 2023 Act to remove the conditional immunity provisions.</w:t>
      </w:r>
      <w:r>
        <w:rPr>
          <w:rStyle w:val="FootnoteReference"/>
        </w:rPr>
        <w:footnoteReference w:id="22"/>
      </w:r>
      <w:r>
        <w:t xml:space="preserve"> This will, therefore, remove the incompatibility with the EU Victims’ Directive identified by the court and address the breach of Windsor Framework Article 2. The EU Victims’ Directive also provides for additional guarantees to ensure victims receive </w:t>
      </w:r>
      <w:r w:rsidRPr="00A64EF2">
        <w:t xml:space="preserve">appropriate information, support and protection and </w:t>
      </w:r>
      <w:proofErr w:type="gramStart"/>
      <w:r w:rsidRPr="00A64EF2">
        <w:t>are able to</w:t>
      </w:r>
      <w:proofErr w:type="gramEnd"/>
      <w:r w:rsidRPr="00A64EF2">
        <w:t xml:space="preserve"> participate in criminal proceedings</w:t>
      </w:r>
      <w:r>
        <w:t xml:space="preserve">. </w:t>
      </w:r>
    </w:p>
    <w:p w14:paraId="306B504E" w14:textId="77777777" w:rsidR="00E1006B" w:rsidRPr="00E1006B" w:rsidRDefault="00E1006B" w:rsidP="00E1006B">
      <w:pPr>
        <w:pStyle w:val="ListParagraph"/>
        <w:rPr>
          <w:b/>
          <w:bCs/>
        </w:rPr>
      </w:pPr>
    </w:p>
    <w:p w14:paraId="5039D96B" w14:textId="7C5AC6C5" w:rsidR="00E1006B" w:rsidRPr="00E1006B" w:rsidRDefault="00E1006B" w:rsidP="00E1006B">
      <w:pPr>
        <w:pStyle w:val="ListParagraph"/>
        <w:numPr>
          <w:ilvl w:val="0"/>
          <w:numId w:val="22"/>
        </w:numPr>
        <w:ind w:left="720" w:hanging="720"/>
      </w:pPr>
      <w:r w:rsidRPr="00E1006B">
        <w:rPr>
          <w:b/>
          <w:bCs/>
        </w:rPr>
        <w:t>The NIHRC continues to advise the UK Government to repeal the NI Troubles (Legacy and Reconciliation) Act 2023 and introduce legislation that is victim-centred and is compliant with Windsor Framework Article 2, including the EU Victims</w:t>
      </w:r>
      <w:r w:rsidR="00C71589">
        <w:rPr>
          <w:b/>
          <w:bCs/>
        </w:rPr>
        <w:t>’</w:t>
      </w:r>
      <w:r w:rsidRPr="00E1006B">
        <w:rPr>
          <w:b/>
          <w:bCs/>
        </w:rPr>
        <w:t xml:space="preserve"> Directive.</w:t>
      </w:r>
    </w:p>
    <w:p w14:paraId="5656B77C" w14:textId="77777777" w:rsidR="00E1006B" w:rsidRPr="00E1006B" w:rsidRDefault="00E1006B" w:rsidP="00E1006B">
      <w:pPr>
        <w:pStyle w:val="ListParagraph"/>
        <w:rPr>
          <w:b/>
          <w:bCs/>
        </w:rPr>
      </w:pPr>
    </w:p>
    <w:p w14:paraId="5BC8018C" w14:textId="147830C9" w:rsidR="00E1006B" w:rsidRDefault="00E1006B" w:rsidP="00E1006B">
      <w:pPr>
        <w:pStyle w:val="ListParagraph"/>
        <w:numPr>
          <w:ilvl w:val="0"/>
          <w:numId w:val="22"/>
        </w:numPr>
        <w:ind w:left="720" w:hanging="720"/>
      </w:pPr>
      <w:r w:rsidRPr="00E1006B">
        <w:rPr>
          <w:b/>
          <w:bCs/>
        </w:rPr>
        <w:t>The NIHRC recommends that the Joint Committee seeks clarity from the UK Government on how it will embed consideration of Windsor Framework Article 2 and the EU Victims</w:t>
      </w:r>
      <w:r w:rsidR="00C71589">
        <w:rPr>
          <w:b/>
          <w:bCs/>
        </w:rPr>
        <w:t>’</w:t>
      </w:r>
      <w:r w:rsidRPr="00E1006B">
        <w:rPr>
          <w:b/>
          <w:bCs/>
        </w:rPr>
        <w:t xml:space="preserve"> Directive in the development of is broader proposals to repeal and replace the NI Troubles (Legacy and Reconciliation) Act 2023.</w:t>
      </w:r>
    </w:p>
    <w:p w14:paraId="19959F09" w14:textId="37FCC945" w:rsidR="00213F42" w:rsidRDefault="00213F42">
      <w:pPr>
        <w:spacing w:after="160" w:line="259" w:lineRule="auto"/>
        <w:rPr>
          <w:szCs w:val="24"/>
        </w:rPr>
      </w:pPr>
      <w:r>
        <w:rPr>
          <w:szCs w:val="24"/>
        </w:rPr>
        <w:br w:type="page"/>
      </w:r>
    </w:p>
    <w:p w14:paraId="77C23A8C" w14:textId="77777777" w:rsidR="000D463E" w:rsidRDefault="000D463E" w:rsidP="00DD4064">
      <w:pPr>
        <w:spacing w:after="160" w:line="259" w:lineRule="auto"/>
        <w:rPr>
          <w:szCs w:val="24"/>
        </w:rPr>
      </w:pPr>
    </w:p>
    <w:p w14:paraId="3442CD41" w14:textId="77777777" w:rsidR="00213F42" w:rsidRDefault="00213F42" w:rsidP="00DD4064">
      <w:pPr>
        <w:spacing w:after="160" w:line="259" w:lineRule="auto"/>
        <w:rPr>
          <w:szCs w:val="24"/>
        </w:rPr>
      </w:pPr>
    </w:p>
    <w:p w14:paraId="1589B1DB" w14:textId="77777777" w:rsidR="00213F42" w:rsidRDefault="00213F42" w:rsidP="00DD4064">
      <w:pPr>
        <w:spacing w:after="160" w:line="259" w:lineRule="auto"/>
        <w:rPr>
          <w:szCs w:val="24"/>
        </w:rPr>
      </w:pPr>
    </w:p>
    <w:p w14:paraId="6F606255" w14:textId="77777777" w:rsidR="00213F42" w:rsidRPr="00331C61" w:rsidRDefault="00213F42" w:rsidP="00213F42">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Pr>
          <w:rFonts w:ascii="Verdana" w:hAnsi="Verdana" w:cs="Arial"/>
          <w:b/>
          <w:bCs/>
          <w:color w:val="77328A"/>
          <w:sz w:val="36"/>
          <w:szCs w:val="36"/>
        </w:rPr>
        <w:t xml:space="preserve">ntact us </w:t>
      </w:r>
    </w:p>
    <w:p w14:paraId="5FA95222" w14:textId="77777777" w:rsidR="00213F42" w:rsidRPr="00331C61" w:rsidRDefault="00213F42" w:rsidP="00213F42">
      <w:pPr>
        <w:pStyle w:val="BasicParagraph"/>
        <w:suppressAutoHyphens/>
        <w:jc w:val="center"/>
        <w:rPr>
          <w:rFonts w:ascii="Verdana" w:hAnsi="Verdana" w:cs="Arial"/>
          <w:b/>
          <w:color w:val="77328A"/>
          <w:sz w:val="36"/>
          <w:szCs w:val="36"/>
        </w:rPr>
      </w:pPr>
    </w:p>
    <w:p w14:paraId="7DC0DAE8" w14:textId="44AABB63" w:rsidR="00213F42" w:rsidRDefault="00213F42" w:rsidP="00213F42">
      <w:pPr>
        <w:jc w:val="center"/>
        <w:rPr>
          <w:rFonts w:cs="Arial"/>
          <w:b/>
          <w:color w:val="232120"/>
          <w:sz w:val="30"/>
          <w:szCs w:val="30"/>
        </w:rPr>
      </w:pPr>
      <w:r>
        <w:rPr>
          <w:rFonts w:cs="Arial"/>
          <w:b/>
          <w:color w:val="232120"/>
          <w:sz w:val="30"/>
          <w:szCs w:val="30"/>
        </w:rPr>
        <w:t xml:space="preserve">For queries: </w:t>
      </w:r>
      <w:hyperlink r:id="rId12" w:history="1">
        <w:r w:rsidRPr="00354609">
          <w:rPr>
            <w:rStyle w:val="Hyperlink"/>
            <w:rFonts w:cs="Arial"/>
            <w:b/>
            <w:sz w:val="30"/>
            <w:szCs w:val="30"/>
          </w:rPr>
          <w:t>Colin.Caughey@</w:t>
        </w:r>
        <w:r w:rsidRPr="00354609">
          <w:rPr>
            <w:rStyle w:val="Hyperlink"/>
            <w:rFonts w:cs="Arial"/>
            <w:b/>
            <w:sz w:val="30"/>
            <w:szCs w:val="30"/>
          </w:rPr>
          <w:t>nihrc</w:t>
        </w:r>
        <w:r w:rsidRPr="00354609">
          <w:rPr>
            <w:rStyle w:val="Hyperlink"/>
            <w:rFonts w:cs="Arial"/>
            <w:b/>
            <w:sz w:val="30"/>
            <w:szCs w:val="30"/>
          </w:rPr>
          <w:t>.org</w:t>
        </w:r>
      </w:hyperlink>
      <w:r>
        <w:rPr>
          <w:rFonts w:cs="Arial"/>
          <w:b/>
          <w:color w:val="232120"/>
          <w:sz w:val="30"/>
          <w:szCs w:val="30"/>
        </w:rPr>
        <w:t xml:space="preserve"> and </w:t>
      </w:r>
      <w:hyperlink r:id="rId13" w:history="1">
        <w:r w:rsidRPr="00354609">
          <w:rPr>
            <w:rStyle w:val="Hyperlink"/>
            <w:rFonts w:cs="Arial"/>
            <w:b/>
            <w:sz w:val="30"/>
            <w:szCs w:val="30"/>
          </w:rPr>
          <w:t>Eilis.Haughey@nihrc.org</w:t>
        </w:r>
      </w:hyperlink>
    </w:p>
    <w:p w14:paraId="6A9B0072" w14:textId="77777777" w:rsidR="00213F42" w:rsidRPr="00331C61" w:rsidRDefault="00213F42" w:rsidP="00213F42">
      <w:pPr>
        <w:jc w:val="center"/>
        <w:rPr>
          <w:rFonts w:cs="Arial"/>
          <w:b/>
          <w:color w:val="232120"/>
          <w:sz w:val="30"/>
          <w:szCs w:val="30"/>
        </w:rPr>
      </w:pPr>
    </w:p>
    <w:p w14:paraId="576D1384" w14:textId="77777777" w:rsidR="00213F42" w:rsidRPr="00331C61" w:rsidRDefault="00213F42" w:rsidP="00213F42">
      <w:pPr>
        <w:jc w:val="center"/>
        <w:rPr>
          <w:rFonts w:cs="Arial"/>
          <w:b/>
          <w:color w:val="232120"/>
          <w:sz w:val="30"/>
          <w:szCs w:val="30"/>
        </w:rPr>
      </w:pPr>
    </w:p>
    <w:p w14:paraId="0E92A3B2" w14:textId="77777777" w:rsidR="00213F42" w:rsidRPr="00331C61" w:rsidRDefault="00213F42" w:rsidP="00213F42">
      <w:pPr>
        <w:jc w:val="center"/>
        <w:rPr>
          <w:rFonts w:cs="Arial"/>
          <w:color w:val="232120"/>
          <w:sz w:val="28"/>
          <w:szCs w:val="28"/>
        </w:rPr>
      </w:pPr>
      <w:hyperlink r:id="rId14" w:history="1">
        <w:r w:rsidRPr="00331C61">
          <w:rPr>
            <w:rStyle w:val="Hyperlink"/>
            <w:rFonts w:cs="Arial"/>
            <w:color w:val="232120"/>
            <w:sz w:val="28"/>
            <w:szCs w:val="28"/>
            <w:lang w:val="en-US"/>
          </w:rPr>
          <w:t>www.nihrc.org</w:t>
        </w:r>
      </w:hyperlink>
      <w:r w:rsidRPr="00331C61">
        <w:rPr>
          <w:rFonts w:cs="Arial"/>
          <w:color w:val="232120"/>
          <w:sz w:val="28"/>
          <w:szCs w:val="28"/>
          <w:lang w:val="en-US"/>
        </w:rPr>
        <w:t xml:space="preserve">  |  </w:t>
      </w:r>
      <w:hyperlink r:id="rId15" w:history="1">
        <w:r w:rsidRPr="00331C61">
          <w:rPr>
            <w:rStyle w:val="Hyperlink"/>
            <w:rFonts w:cs="Arial"/>
            <w:color w:val="232120"/>
            <w:sz w:val="28"/>
            <w:szCs w:val="28"/>
            <w:lang w:val="en-US"/>
          </w:rPr>
          <w:t>info@nihrc.org</w:t>
        </w:r>
      </w:hyperlink>
      <w:r w:rsidRPr="00331C61">
        <w:rPr>
          <w:rFonts w:cs="Arial"/>
          <w:color w:val="232120"/>
          <w:sz w:val="28"/>
          <w:szCs w:val="28"/>
          <w:lang w:val="en-US"/>
        </w:rPr>
        <w:t xml:space="preserve">  |  +44 (0)28 9024 3987</w:t>
      </w:r>
    </w:p>
    <w:p w14:paraId="2A9E96FE" w14:textId="77777777" w:rsidR="00213F42" w:rsidRPr="00331C61" w:rsidRDefault="00213F42" w:rsidP="00213F42">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21135203" w14:textId="77777777" w:rsidR="00213F42" w:rsidRPr="00331C61" w:rsidRDefault="00213F42" w:rsidP="00213F42">
      <w:pPr>
        <w:jc w:val="center"/>
        <w:rPr>
          <w:rFonts w:cs="Arial"/>
          <w:b/>
          <w:color w:val="232120"/>
          <w:sz w:val="28"/>
          <w:szCs w:val="28"/>
        </w:rPr>
      </w:pPr>
    </w:p>
    <w:p w14:paraId="7D3DF85B" w14:textId="77777777" w:rsidR="00213F42" w:rsidRPr="00331C61" w:rsidRDefault="00213F42" w:rsidP="00213F42">
      <w:pPr>
        <w:jc w:val="center"/>
        <w:rPr>
          <w:rFonts w:cs="Arial"/>
          <w:color w:val="232120"/>
          <w:sz w:val="20"/>
          <w:szCs w:val="20"/>
        </w:rPr>
      </w:pPr>
    </w:p>
    <w:p w14:paraId="5D71BCAF" w14:textId="4D6DAEE6" w:rsidR="00213F42" w:rsidRPr="00196AE3" w:rsidRDefault="00213F42" w:rsidP="00213F42">
      <w:pPr>
        <w:spacing w:after="160" w:line="259" w:lineRule="auto"/>
        <w:jc w:val="center"/>
        <w:rPr>
          <w:szCs w:val="24"/>
        </w:rPr>
      </w:pPr>
      <w:r w:rsidRPr="00331C61">
        <w:rPr>
          <w:noProof/>
          <w:color w:val="232120"/>
          <w:sz w:val="28"/>
          <w:szCs w:val="28"/>
          <w:lang w:eastAsia="en-GB"/>
        </w:rPr>
        <w:drawing>
          <wp:inline distT="0" distB="0" distL="0" distR="0" wp14:anchorId="03DB8081" wp14:editId="16DD8B44">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213F42" w:rsidRPr="00196AE3" w:rsidSect="00563326">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BA7E" w14:textId="77777777" w:rsidR="00227B21" w:rsidRDefault="00227B21" w:rsidP="004A5F28">
      <w:pPr>
        <w:spacing w:line="240" w:lineRule="auto"/>
      </w:pPr>
      <w:r>
        <w:separator/>
      </w:r>
    </w:p>
  </w:endnote>
  <w:endnote w:type="continuationSeparator" w:id="0">
    <w:p w14:paraId="4773FBCE" w14:textId="77777777" w:rsidR="00227B21" w:rsidRDefault="00227B21" w:rsidP="004A5F28">
      <w:pPr>
        <w:spacing w:line="240" w:lineRule="auto"/>
      </w:pPr>
      <w:r>
        <w:continuationSeparator/>
      </w:r>
    </w:p>
  </w:endnote>
  <w:endnote w:type="continuationNotice" w:id="1">
    <w:p w14:paraId="7719651F" w14:textId="77777777" w:rsidR="00227B21" w:rsidRDefault="00227B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731438"/>
      <w:docPartObj>
        <w:docPartGallery w:val="Page Numbers (Bottom of Page)"/>
        <w:docPartUnique/>
      </w:docPartObj>
    </w:sdtPr>
    <w:sdtEndPr>
      <w:rPr>
        <w:noProof/>
      </w:rPr>
    </w:sdtEndPr>
    <w:sdtContent>
      <w:p w14:paraId="2AD36F91" w14:textId="3239A677" w:rsidR="00712ECA" w:rsidRDefault="00712ECA">
        <w:pPr>
          <w:pStyle w:val="Footer"/>
          <w:jc w:val="right"/>
        </w:pPr>
        <w:r w:rsidRPr="00712ECA">
          <w:rPr>
            <w:color w:val="77328A"/>
          </w:rPr>
          <w:fldChar w:fldCharType="begin"/>
        </w:r>
        <w:r w:rsidRPr="00712ECA">
          <w:rPr>
            <w:color w:val="77328A"/>
          </w:rPr>
          <w:instrText xml:space="preserve"> PAGE   \* MERGEFORMAT </w:instrText>
        </w:r>
        <w:r w:rsidRPr="00712ECA">
          <w:rPr>
            <w:color w:val="77328A"/>
          </w:rPr>
          <w:fldChar w:fldCharType="separate"/>
        </w:r>
        <w:r w:rsidRPr="00712ECA">
          <w:rPr>
            <w:noProof/>
            <w:color w:val="77328A"/>
          </w:rPr>
          <w:t>2</w:t>
        </w:r>
        <w:r w:rsidRPr="00712ECA">
          <w:rPr>
            <w:noProof/>
            <w:color w:val="77328A"/>
          </w:rPr>
          <w:fldChar w:fldCharType="end"/>
        </w:r>
      </w:p>
    </w:sdtContent>
  </w:sdt>
  <w:p w14:paraId="30814DB5" w14:textId="77777777" w:rsidR="00712ECA" w:rsidRDefault="0071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1C27" w14:textId="77777777" w:rsidR="00227B21" w:rsidRDefault="00227B21" w:rsidP="004A5F28">
      <w:pPr>
        <w:spacing w:line="240" w:lineRule="auto"/>
      </w:pPr>
      <w:r>
        <w:separator/>
      </w:r>
    </w:p>
  </w:footnote>
  <w:footnote w:type="continuationSeparator" w:id="0">
    <w:p w14:paraId="45A23B9B" w14:textId="77777777" w:rsidR="00227B21" w:rsidRDefault="00227B21" w:rsidP="004A5F28">
      <w:pPr>
        <w:spacing w:line="240" w:lineRule="auto"/>
      </w:pPr>
      <w:r>
        <w:continuationSeparator/>
      </w:r>
    </w:p>
  </w:footnote>
  <w:footnote w:type="continuationNotice" w:id="1">
    <w:p w14:paraId="47436F6D" w14:textId="77777777" w:rsidR="00227B21" w:rsidRDefault="00227B21">
      <w:pPr>
        <w:spacing w:line="240" w:lineRule="auto"/>
      </w:pPr>
    </w:p>
  </w:footnote>
  <w:footnote w:id="2">
    <w:p w14:paraId="52B6385F" w14:textId="77777777" w:rsidR="004A5F28" w:rsidRPr="00D4336D" w:rsidRDefault="004A5F28" w:rsidP="00591250">
      <w:pPr>
        <w:pStyle w:val="NIHRCFootnotes"/>
      </w:pPr>
      <w:r w:rsidRPr="00D4336D">
        <w:rPr>
          <w:rStyle w:val="FootnoteReference"/>
        </w:rPr>
        <w:footnoteRef/>
      </w:r>
      <w:r w:rsidRPr="00D4336D">
        <w:t xml:space="preserve"> The Windsor Framework was formerly known as the Protocol on Ireland/Northern Ireland to the UK-EU Withdrawal Agreement and all references to the Protocol in this document have been updated to reflect this change. </w:t>
      </w:r>
      <w:r w:rsidRPr="00D4336D">
        <w:rPr>
          <w:i/>
          <w:iCs/>
        </w:rPr>
        <w:t xml:space="preserve">See </w:t>
      </w:r>
      <w:r w:rsidRPr="00D4336D">
        <w:t>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704AEF40" w14:textId="227FF191" w:rsidR="00E93A8D" w:rsidRDefault="00E93A8D" w:rsidP="00591250">
      <w:pPr>
        <w:pStyle w:val="NIHRCFootnotes"/>
      </w:pPr>
      <w:r>
        <w:rPr>
          <w:rStyle w:val="FootnoteReference"/>
        </w:rPr>
        <w:footnoteRef/>
      </w:r>
      <w:r>
        <w:t xml:space="preserve"> </w:t>
      </w:r>
      <w:r w:rsidRPr="38303556">
        <w:rPr>
          <w:i/>
          <w:iCs/>
        </w:rPr>
        <w:t>Re Dillion and Others</w:t>
      </w:r>
      <w:r>
        <w:t xml:space="preserve"> [2024] NIKB 11.</w:t>
      </w:r>
    </w:p>
  </w:footnote>
  <w:footnote w:id="4">
    <w:p w14:paraId="515CAB2D" w14:textId="06CA1674" w:rsidR="00E93A8D" w:rsidRDefault="00E93A8D" w:rsidP="00591250">
      <w:pPr>
        <w:pStyle w:val="NIHRCFootnotes"/>
      </w:pPr>
      <w:r>
        <w:rPr>
          <w:rStyle w:val="FootnoteReference"/>
        </w:rPr>
        <w:footnoteRef/>
      </w:r>
      <w:r>
        <w:t xml:space="preserve"> </w:t>
      </w:r>
      <w:r w:rsidRPr="00E93A8D">
        <w:rPr>
          <w:i/>
          <w:iCs/>
        </w:rPr>
        <w:t>RE Dillon and Others</w:t>
      </w:r>
      <w:r>
        <w:t xml:space="preserve"> [2024] NICA 59.</w:t>
      </w:r>
    </w:p>
  </w:footnote>
  <w:footnote w:id="5">
    <w:p w14:paraId="3D94FFD4" w14:textId="77777777" w:rsidR="007C0138" w:rsidRDefault="007C0138" w:rsidP="00591250">
      <w:pPr>
        <w:pStyle w:val="NIHRCFootnotes"/>
      </w:pPr>
      <w:r>
        <w:rPr>
          <w:rStyle w:val="FootnoteReference"/>
        </w:rPr>
        <w:footnoteRef/>
      </w:r>
      <w:r>
        <w:t xml:space="preserve"> Section 10, NI Troubles (Legacy and Reconciliation) Act 2023.</w:t>
      </w:r>
    </w:p>
  </w:footnote>
  <w:footnote w:id="6">
    <w:p w14:paraId="36265E38" w14:textId="79069C84" w:rsidR="00181FD5" w:rsidRDefault="00181FD5" w:rsidP="00591250">
      <w:pPr>
        <w:pStyle w:val="NIHRCFootnotes"/>
      </w:pPr>
      <w:r>
        <w:rPr>
          <w:rStyle w:val="FootnoteReference"/>
        </w:rPr>
        <w:footnoteRef/>
      </w:r>
      <w:r>
        <w:t xml:space="preserve"> </w:t>
      </w:r>
      <w:r w:rsidR="00D11163">
        <w:t xml:space="preserve">UK Parliament Hansard, ‘Written Answers: </w:t>
      </w:r>
      <w:r w:rsidR="00492425">
        <w:t>Civil Proceedings and Coroners NI</w:t>
      </w:r>
      <w:r w:rsidR="00E970CC">
        <w:t xml:space="preserve"> – Baroness Anderson of Stoke-on-Trent – UIN HL2914</w:t>
      </w:r>
      <w:r w:rsidR="00EB0C48">
        <w:t>’</w:t>
      </w:r>
      <w:r w:rsidR="00E970CC">
        <w:t xml:space="preserve">, </w:t>
      </w:r>
      <w:r w:rsidR="0048653C">
        <w:t>26 November 2024.</w:t>
      </w:r>
    </w:p>
  </w:footnote>
  <w:footnote w:id="7">
    <w:p w14:paraId="78F962C2" w14:textId="365ACF66" w:rsidR="00181FD5" w:rsidRDefault="00181FD5" w:rsidP="00591250">
      <w:pPr>
        <w:pStyle w:val="NIHRCFootnotes"/>
      </w:pPr>
      <w:r>
        <w:rPr>
          <w:rStyle w:val="FootnoteReference"/>
        </w:rPr>
        <w:footnoteRef/>
      </w:r>
      <w:r>
        <w:t xml:space="preserve"> </w:t>
      </w:r>
      <w:r w:rsidR="00FA25BA" w:rsidRPr="00FA25BA">
        <w:rPr>
          <w:i/>
          <w:iCs/>
        </w:rPr>
        <w:t>Frydlender v France</w:t>
      </w:r>
      <w:r w:rsidR="000B2B86">
        <w:rPr>
          <w:i/>
          <w:iCs/>
        </w:rPr>
        <w:t xml:space="preserve"> </w:t>
      </w:r>
      <w:r w:rsidR="000B2B86">
        <w:t>(2000) ECHR 353</w:t>
      </w:r>
      <w:r w:rsidR="00FA25BA">
        <w:t>, at para 43</w:t>
      </w:r>
      <w:r w:rsidR="000B2B86">
        <w:t xml:space="preserve">; </w:t>
      </w:r>
      <w:r w:rsidR="00C227D6" w:rsidRPr="00C20617">
        <w:rPr>
          <w:i/>
          <w:iCs/>
        </w:rPr>
        <w:t>Von Maltzan and Others v Germany</w:t>
      </w:r>
      <w:r w:rsidR="00C20617">
        <w:t>, at para 132.</w:t>
      </w:r>
    </w:p>
  </w:footnote>
  <w:footnote w:id="8">
    <w:p w14:paraId="36E2043C" w14:textId="05ADBF31" w:rsidR="0081519D" w:rsidRDefault="0081519D" w:rsidP="00591250">
      <w:pPr>
        <w:pStyle w:val="NIHRCFootnotes"/>
      </w:pPr>
      <w:r>
        <w:rPr>
          <w:rStyle w:val="FootnoteReference"/>
        </w:rPr>
        <w:footnoteRef/>
      </w:r>
      <w:r>
        <w:t xml:space="preserve"> </w:t>
      </w:r>
      <w:r w:rsidRPr="0081519D">
        <w:rPr>
          <w:i/>
          <w:iCs/>
        </w:rPr>
        <w:t>Probstmeier v Germany</w:t>
      </w:r>
      <w:r>
        <w:t xml:space="preserve"> (1997)</w:t>
      </w:r>
      <w:r w:rsidR="00532167">
        <w:t xml:space="preserve"> ECHR 40</w:t>
      </w:r>
      <w:r>
        <w:t>, at para 64.</w:t>
      </w:r>
    </w:p>
  </w:footnote>
  <w:footnote w:id="9">
    <w:p w14:paraId="6F4FC757" w14:textId="77777777" w:rsidR="00A05721" w:rsidRPr="00105235" w:rsidRDefault="00A05721" w:rsidP="00591250">
      <w:pPr>
        <w:pStyle w:val="NIHRCFootnotes"/>
      </w:pPr>
      <w:r w:rsidRPr="00105235">
        <w:rPr>
          <w:rStyle w:val="FootnoteReference"/>
        </w:rPr>
        <w:footnoteRef/>
      </w:r>
      <w:r w:rsidRPr="00105235">
        <w:t xml:space="preserve"> CM/Del/</w:t>
      </w:r>
      <w:proofErr w:type="gramStart"/>
      <w:r w:rsidRPr="00105235">
        <w:t>Dec(</w:t>
      </w:r>
      <w:proofErr w:type="gramEnd"/>
      <w:r w:rsidRPr="00105235">
        <w:t>2024)1501/H46-40, ‘CoE Committee of Ministers McKerr Group v UK (Application No 28883/95)’, 14 June 2024, at para 5.</w:t>
      </w:r>
    </w:p>
  </w:footnote>
  <w:footnote w:id="10">
    <w:p w14:paraId="629F4C7D" w14:textId="31774F0B" w:rsidR="00A05721" w:rsidRPr="00105235" w:rsidRDefault="00A05721" w:rsidP="00591250">
      <w:pPr>
        <w:pStyle w:val="NIHRCFootnotes"/>
      </w:pPr>
      <w:r w:rsidRPr="00105235">
        <w:rPr>
          <w:rStyle w:val="FootnoteReference"/>
        </w:rPr>
        <w:footnoteRef/>
      </w:r>
      <w:r w:rsidRPr="00105235">
        <w:t xml:space="preserve"> CoE, ‘Submission by the CoE Commissioner for Human Rights Under Rule 9.4 of the Rules of the Committee of Ministers for the Supervision of the Execution of Judgments and of the Terms of Friendly Settlements in the Cases of McKerr v UK, Finucane v UK, Kelly and Others v UK, Shanaghan v UK, McCaughey and Others v UK’ (CoE, 2022), at para 28; CM/Notes/1443H46-32, ‘CoE Committee of Ministers McKerr Group v UK (Application No 28883/95) Supervision of the Execution of the ECtHR’s Judgments’, 22 September 2022, at para 8; CM/Del/Dec(2023)1459/H46-35, ‘McKerr Group v UK (Application No 28883/95 Supervision of the Execution of the European Court’s Judgments), 9 March 2023, at para 5; CM/ResDH(2023)148, ‘CoE Committee of Ministers Interim Resolution: McKerr and Four Cases Against the UK’, 7 June 2023</w:t>
      </w:r>
      <w:r w:rsidR="00164109">
        <w:t xml:space="preserve">; </w:t>
      </w:r>
      <w:r w:rsidR="00164109" w:rsidRPr="00105235">
        <w:t>CM/Del/Dec(2023)1475/H46-44, ‘CoE Committee of Ministers McKerr Group v UK (Application No 28883/95)’, 21 September 2023, at paras 9-12</w:t>
      </w:r>
      <w:r w:rsidR="000D520D">
        <w:t>.</w:t>
      </w:r>
    </w:p>
  </w:footnote>
  <w:footnote w:id="11">
    <w:p w14:paraId="1446493B" w14:textId="77777777" w:rsidR="00A05721" w:rsidRPr="00105235" w:rsidRDefault="00A05721" w:rsidP="00591250">
      <w:pPr>
        <w:pStyle w:val="NIHRCFootnotes"/>
      </w:pPr>
      <w:r w:rsidRPr="00105235">
        <w:rPr>
          <w:rStyle w:val="FootnoteReference"/>
        </w:rPr>
        <w:footnoteRef/>
      </w:r>
      <w:r w:rsidRPr="00105235">
        <w:t xml:space="preserve"> CM/Del/</w:t>
      </w:r>
      <w:proofErr w:type="gramStart"/>
      <w:r w:rsidRPr="00105235">
        <w:t>Dec(</w:t>
      </w:r>
      <w:proofErr w:type="gramEnd"/>
      <w:r w:rsidRPr="00105235">
        <w:t>2023)1475/H46-44, ‘CoE Committee of Ministers McKerr Group v UK (Application No 28883/95)’, 21 September 2023, at paras 9-12; CommDH(2022)27, ‘CoE Commissioner for Human Rights, Dunja Mijatovic: Report Following Visit to UK From 27 June to 1 July 2022’, 18 November 2022, at 37-40.</w:t>
      </w:r>
    </w:p>
  </w:footnote>
  <w:footnote w:id="12">
    <w:p w14:paraId="3FA698CD" w14:textId="77777777" w:rsidR="00C03F0B" w:rsidRDefault="00C03F0B" w:rsidP="00591250">
      <w:pPr>
        <w:pStyle w:val="NIHRCFootnotes"/>
      </w:pPr>
      <w:r>
        <w:rPr>
          <w:rStyle w:val="FootnoteReference"/>
        </w:rPr>
        <w:footnoteRef/>
      </w:r>
      <w:r>
        <w:t xml:space="preserve"> </w:t>
      </w:r>
      <w:r w:rsidRPr="00105235">
        <w:t xml:space="preserve">UK Parliament Hansard, ‘House of Commons Oral Answers to Questions: </w:t>
      </w:r>
      <w:r w:rsidRPr="00105235">
        <w:rPr>
          <w:rFonts w:cstheme="minorHAnsi"/>
        </w:rPr>
        <w:t>NI Troubles (Legacy and Reconciliation) Act 2023 – Hillary Benn MP – Volume 752’, 24 July 2024</w:t>
      </w:r>
      <w:r>
        <w:rPr>
          <w:rFonts w:cstheme="minorHAnsi"/>
        </w:rPr>
        <w:t>; UK Parliament Hansard, ‘House of Commons Debate: NI Legacy of the Troubles – Hilary Benn MP – Volume 758’, 4 December 2024.</w:t>
      </w:r>
    </w:p>
  </w:footnote>
  <w:footnote w:id="13">
    <w:p w14:paraId="6C2A216B" w14:textId="77777777" w:rsidR="00923CEB" w:rsidRDefault="00923CEB" w:rsidP="00591250">
      <w:pPr>
        <w:pStyle w:val="NIHRCFootnotes"/>
      </w:pPr>
      <w:r>
        <w:rPr>
          <w:rStyle w:val="FootnoteReference"/>
        </w:rPr>
        <w:footnoteRef/>
      </w:r>
      <w:r>
        <w:t xml:space="preserve"> </w:t>
      </w:r>
      <w:r w:rsidRPr="00536F34">
        <w:rPr>
          <w:i/>
          <w:iCs/>
        </w:rPr>
        <w:t xml:space="preserve">In the Matter of an Application by Martina Dillon and Others </w:t>
      </w:r>
      <w:r>
        <w:t>[2024] NICA 59, at para 311.</w:t>
      </w:r>
    </w:p>
  </w:footnote>
  <w:footnote w:id="14">
    <w:p w14:paraId="4F9FB17E" w14:textId="6F673E30" w:rsidR="008C4E56" w:rsidRDefault="008C4E56" w:rsidP="00591250">
      <w:pPr>
        <w:pStyle w:val="NIHRCFootnotes"/>
      </w:pPr>
      <w:r>
        <w:rPr>
          <w:rStyle w:val="FootnoteReference"/>
        </w:rPr>
        <w:footnoteRef/>
      </w:r>
      <w:r>
        <w:t xml:space="preserve"> </w:t>
      </w:r>
      <w:r w:rsidR="00870087">
        <w:t>NI Human Rights Commission, ‘Advice on NI Troubles (Legacy and Reconciliation) Bill’ (NIHRC, 2022); NI Human Rights Commission, ‘Supplementary Briefing: UK Government’s Additional Proposed Amendments to NI Troubles (Legacy and Reconciliation) Bill’ (NIHRC, 2023); NI Human Rights Commission, ‘Rule 9 Submission to the CoE Committee for Ministers in Relation to the Supervision of the Cases Concerning the Actions of the Security Forces in NI: NI Troubles (Legacy and Reconciliation) Act 2023’ (NIHRC, 2024).</w:t>
      </w:r>
    </w:p>
  </w:footnote>
  <w:footnote w:id="15">
    <w:p w14:paraId="22FD14F4" w14:textId="77777777" w:rsidR="00E1006B" w:rsidRPr="00105235" w:rsidRDefault="00E1006B" w:rsidP="00E1006B">
      <w:pPr>
        <w:pStyle w:val="NIHRCFootnotes"/>
        <w:jc w:val="left"/>
      </w:pPr>
      <w:r w:rsidRPr="00105235">
        <w:rPr>
          <w:rStyle w:val="FootnoteReference"/>
        </w:rPr>
        <w:footnoteRef/>
      </w:r>
      <w:r w:rsidRPr="00105235">
        <w:t xml:space="preserve"> </w:t>
      </w:r>
      <w:r>
        <w:t>Article 11 of the EU Victims Directive affords victims of crime the right to request a review of a decision not to prosecute. (</w:t>
      </w:r>
      <w:r w:rsidRPr="00105235">
        <w:t>Directive 2012/29/EU, ‘EU Directive of the European Parliament and of the Council Establishing Minimum Standards on the Rights, Support and Protection of Victims of Crime', 25 October 2012</w:t>
      </w:r>
      <w:r>
        <w:t>)</w:t>
      </w:r>
      <w:r w:rsidRPr="00105235">
        <w:t>. Other EU obligations underpinning the rights of victims include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16">
    <w:p w14:paraId="62198857" w14:textId="77777777" w:rsidR="00E1006B" w:rsidRPr="00105235" w:rsidRDefault="00E1006B" w:rsidP="00E1006B">
      <w:pPr>
        <w:pStyle w:val="NIHRCFootnotes"/>
        <w:jc w:val="left"/>
        <w:rPr>
          <w:rFonts w:cstheme="minorHAnsi"/>
        </w:rPr>
      </w:pPr>
      <w:r w:rsidRPr="00105235">
        <w:rPr>
          <w:rStyle w:val="FootnoteReference"/>
          <w:rFonts w:cstheme="minorHAnsi"/>
        </w:rPr>
        <w:footnoteRef/>
      </w:r>
      <w:r w:rsidRPr="00105235">
        <w:rPr>
          <w:rFonts w:cstheme="minorHAnsi"/>
        </w:rPr>
        <w:t xml:space="preserve"> </w:t>
      </w:r>
      <w:r w:rsidRPr="00105235">
        <w:rPr>
          <w:i/>
          <w:iCs/>
        </w:rPr>
        <w:t>In the Matter of an Application by Martina Dillon and Others for Judicial Review</w:t>
      </w:r>
      <w:r w:rsidRPr="00105235">
        <w:t xml:space="preserve"> [2024] NIKB 11</w:t>
      </w:r>
      <w:r w:rsidRPr="00105235">
        <w:rPr>
          <w:rFonts w:cstheme="minorHAnsi"/>
        </w:rPr>
        <w:t>, at para</w:t>
      </w:r>
      <w:r>
        <w:rPr>
          <w:rFonts w:cstheme="minorHAnsi"/>
        </w:rPr>
        <w:t>s</w:t>
      </w:r>
      <w:r w:rsidRPr="00105235">
        <w:rPr>
          <w:rFonts w:cstheme="minorHAnsi"/>
        </w:rPr>
        <w:t xml:space="preserve"> 608 and 710. </w:t>
      </w:r>
    </w:p>
  </w:footnote>
  <w:footnote w:id="17">
    <w:p w14:paraId="08905830" w14:textId="02B6C2E0" w:rsidR="00E1006B" w:rsidRPr="00105235" w:rsidRDefault="00E1006B" w:rsidP="00E1006B">
      <w:pPr>
        <w:pStyle w:val="NIHRCFootnotes"/>
        <w:jc w:val="left"/>
        <w:rPr>
          <w:rFonts w:cstheme="minorHAnsi"/>
        </w:rPr>
      </w:pPr>
      <w:r w:rsidRPr="00105235">
        <w:rPr>
          <w:rStyle w:val="FootnoteReference"/>
          <w:rFonts w:cstheme="minorHAnsi"/>
        </w:rPr>
        <w:footnoteRef/>
      </w:r>
      <w:r w:rsidRPr="00105235">
        <w:rPr>
          <w:rFonts w:cstheme="minorHAnsi"/>
        </w:rPr>
        <w:t xml:space="preserve"> </w:t>
      </w:r>
      <w:r w:rsidR="001A6469" w:rsidRPr="001A6469">
        <w:t>Ibid</w:t>
      </w:r>
      <w:r w:rsidRPr="00105235">
        <w:rPr>
          <w:rFonts w:cstheme="minorHAnsi"/>
        </w:rPr>
        <w:t xml:space="preserve">, at para 710. </w:t>
      </w:r>
    </w:p>
  </w:footnote>
  <w:footnote w:id="18">
    <w:p w14:paraId="2493D01A" w14:textId="77777777" w:rsidR="00E1006B" w:rsidRPr="00105235" w:rsidRDefault="00E1006B" w:rsidP="00E1006B">
      <w:pPr>
        <w:pStyle w:val="NIHRCFootnotes"/>
        <w:jc w:val="left"/>
        <w:rPr>
          <w:rFonts w:cstheme="minorHAnsi"/>
        </w:rPr>
      </w:pPr>
      <w:r w:rsidRPr="00105235">
        <w:rPr>
          <w:rStyle w:val="FootnoteReference"/>
          <w:rFonts w:cstheme="minorHAnsi"/>
        </w:rPr>
        <w:footnoteRef/>
      </w:r>
      <w:r w:rsidRPr="00105235">
        <w:rPr>
          <w:rFonts w:cstheme="minorHAnsi"/>
        </w:rPr>
        <w:t xml:space="preserve"> </w:t>
      </w:r>
      <w:r w:rsidRPr="00536F34">
        <w:rPr>
          <w:i/>
          <w:iCs/>
        </w:rPr>
        <w:t xml:space="preserve">In the Matter of an Application by Martina Dillon and Others </w:t>
      </w:r>
      <w:r>
        <w:t>[2024] NICA 59</w:t>
      </w:r>
      <w:r>
        <w:rPr>
          <w:rFonts w:cstheme="minorHAnsi"/>
        </w:rPr>
        <w:t xml:space="preserve">, at paras 126, 134-136, 151-156 and 310. The Court of Appeal disagreed with the trial Judge that a breach of an ECHR right was equivalent to a breach of an EU Charter right and would therefore breach Windsor Framework Article 2 at para 137. The Court of Appeal found that the disapplication of Sections 8 and 43(1) of the </w:t>
      </w:r>
      <w:r w:rsidRPr="00A101F1">
        <w:t>NI Troubles (Legacy and Reconciliation) Act 2023 was based on EU Charter rights alone and could not stand at para 161</w:t>
      </w:r>
      <w:r w:rsidRPr="00A101F1">
        <w:rPr>
          <w:rFonts w:cstheme="minorHAnsi"/>
        </w:rPr>
        <w:t>.</w:t>
      </w:r>
    </w:p>
  </w:footnote>
  <w:footnote w:id="19">
    <w:p w14:paraId="3EEE0C7E" w14:textId="66774FDB" w:rsidR="00E1006B" w:rsidRPr="00C709AD" w:rsidRDefault="00E1006B" w:rsidP="00E1006B">
      <w:pPr>
        <w:pStyle w:val="NIHRCFootnotes"/>
        <w:jc w:val="left"/>
        <w:rPr>
          <w:rFonts w:cstheme="minorHAnsi"/>
        </w:rPr>
      </w:pPr>
      <w:r w:rsidRPr="00C709AD">
        <w:rPr>
          <w:rStyle w:val="FootnoteReference"/>
          <w:rFonts w:cstheme="minorHAnsi"/>
        </w:rPr>
        <w:footnoteRef/>
      </w:r>
      <w:r w:rsidRPr="00C709AD">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C709AD">
        <w:rPr>
          <w:rFonts w:cstheme="minorHAnsi"/>
        </w:rPr>
        <w:t>, at para</w:t>
      </w:r>
      <w:r w:rsidR="00563326">
        <w:rPr>
          <w:rFonts w:cstheme="minorHAnsi"/>
        </w:rPr>
        <w:t>s</w:t>
      </w:r>
      <w:r w:rsidRPr="00C709AD">
        <w:rPr>
          <w:rFonts w:cstheme="minorHAnsi"/>
        </w:rPr>
        <w:t xml:space="preserve"> </w:t>
      </w:r>
      <w:r>
        <w:rPr>
          <w:rFonts w:cstheme="minorHAnsi"/>
        </w:rPr>
        <w:t>117</w:t>
      </w:r>
      <w:r w:rsidR="00563326">
        <w:rPr>
          <w:rFonts w:cstheme="minorHAnsi"/>
        </w:rPr>
        <w:t>-119</w:t>
      </w:r>
      <w:r w:rsidRPr="00C709AD">
        <w:rPr>
          <w:rFonts w:cstheme="minorHAnsi"/>
        </w:rPr>
        <w:t xml:space="preserve">. </w:t>
      </w:r>
    </w:p>
  </w:footnote>
  <w:footnote w:id="20">
    <w:p w14:paraId="48D740B2" w14:textId="2945EF80" w:rsidR="00E1006B" w:rsidRPr="00C709AD" w:rsidRDefault="00E1006B" w:rsidP="00E1006B">
      <w:pPr>
        <w:pStyle w:val="NIHRCFootnotes"/>
        <w:jc w:val="left"/>
        <w:rPr>
          <w:rFonts w:cstheme="minorHAnsi"/>
        </w:rPr>
      </w:pPr>
      <w:r w:rsidRPr="00C709AD">
        <w:rPr>
          <w:rStyle w:val="FootnoteReference"/>
          <w:rFonts w:cstheme="minorHAnsi"/>
        </w:rPr>
        <w:footnoteRef/>
      </w:r>
      <w:r w:rsidRPr="00C709AD">
        <w:rPr>
          <w:rFonts w:cstheme="minorHAnsi"/>
        </w:rPr>
        <w:t xml:space="preserve"> </w:t>
      </w:r>
      <w:r w:rsidR="001A6469" w:rsidRPr="001A6469">
        <w:rPr>
          <w:rFonts w:cstheme="minorHAnsi"/>
        </w:rPr>
        <w:t>Ibid</w:t>
      </w:r>
      <w:r w:rsidRPr="00C709AD">
        <w:rPr>
          <w:rFonts w:cstheme="minorHAnsi"/>
        </w:rPr>
        <w:t xml:space="preserve">, at para </w:t>
      </w:r>
      <w:r>
        <w:rPr>
          <w:rFonts w:cstheme="minorHAnsi"/>
        </w:rPr>
        <w:t>119</w:t>
      </w:r>
      <w:r w:rsidRPr="00C709AD">
        <w:rPr>
          <w:rFonts w:cstheme="minorHAnsi"/>
        </w:rPr>
        <w:t xml:space="preserve">. </w:t>
      </w:r>
    </w:p>
  </w:footnote>
  <w:footnote w:id="21">
    <w:p w14:paraId="04D9CE13" w14:textId="0D5D376A" w:rsidR="00E1006B" w:rsidRPr="00C709AD" w:rsidRDefault="00E1006B" w:rsidP="00E1006B">
      <w:pPr>
        <w:pStyle w:val="NIHRCFootnotes"/>
        <w:jc w:val="left"/>
        <w:rPr>
          <w:rFonts w:cstheme="minorHAnsi"/>
        </w:rPr>
      </w:pPr>
      <w:r w:rsidRPr="00C709AD">
        <w:rPr>
          <w:rStyle w:val="FootnoteReference"/>
          <w:rFonts w:cstheme="minorHAnsi"/>
        </w:rPr>
        <w:footnoteRef/>
      </w:r>
      <w:r w:rsidRPr="00C709AD">
        <w:rPr>
          <w:rFonts w:cstheme="minorHAnsi"/>
        </w:rPr>
        <w:t xml:space="preserve"> </w:t>
      </w:r>
      <w:r w:rsidR="001A6469" w:rsidRPr="001A6469">
        <w:rPr>
          <w:rFonts w:cstheme="minorHAnsi"/>
        </w:rPr>
        <w:t>Ibid</w:t>
      </w:r>
      <w:r w:rsidRPr="00C709AD">
        <w:rPr>
          <w:rFonts w:cstheme="minorHAnsi"/>
        </w:rPr>
        <w:t>, at para</w:t>
      </w:r>
      <w:r>
        <w:rPr>
          <w:rFonts w:cstheme="minorHAnsi"/>
        </w:rPr>
        <w:t xml:space="preserve"> 160</w:t>
      </w:r>
      <w:r w:rsidRPr="00C709AD">
        <w:rPr>
          <w:rFonts w:cstheme="minorHAnsi"/>
        </w:rPr>
        <w:t xml:space="preserve">. </w:t>
      </w:r>
    </w:p>
  </w:footnote>
  <w:footnote w:id="22">
    <w:p w14:paraId="32C36779" w14:textId="0D9D3D0D" w:rsidR="00E1006B" w:rsidRDefault="00E1006B" w:rsidP="00E1006B">
      <w:pPr>
        <w:pStyle w:val="FootnoteText"/>
      </w:pPr>
      <w:r w:rsidRPr="00C709AD">
        <w:rPr>
          <w:rStyle w:val="FootnoteReference"/>
          <w:color w:val="77328A"/>
          <w:sz w:val="16"/>
          <w:szCs w:val="16"/>
        </w:rPr>
        <w:footnoteRef/>
      </w:r>
      <w:r w:rsidRPr="00C709AD">
        <w:rPr>
          <w:color w:val="77328A"/>
          <w:sz w:val="16"/>
          <w:szCs w:val="16"/>
        </w:rPr>
        <w:t xml:space="preserve"> </w:t>
      </w:r>
      <w:r w:rsidR="002D4022">
        <w:rPr>
          <w:color w:val="77328A"/>
          <w:sz w:val="16"/>
          <w:szCs w:val="16"/>
        </w:rPr>
        <w:t>C</w:t>
      </w:r>
      <w:r w:rsidRPr="00C709AD">
        <w:rPr>
          <w:color w:val="77328A"/>
          <w:sz w:val="16"/>
          <w:szCs w:val="16"/>
        </w:rPr>
        <w:t>lause</w:t>
      </w:r>
      <w:r w:rsidR="002D4022">
        <w:rPr>
          <w:color w:val="77328A"/>
          <w:sz w:val="16"/>
          <w:szCs w:val="16"/>
        </w:rPr>
        <w:t>s</w:t>
      </w:r>
      <w:r w:rsidRPr="00C709AD">
        <w:rPr>
          <w:color w:val="77328A"/>
          <w:sz w:val="16"/>
          <w:szCs w:val="16"/>
        </w:rPr>
        <w:t xml:space="preserve"> 2(5)(a)</w:t>
      </w:r>
      <w:r w:rsidR="002D4022">
        <w:rPr>
          <w:color w:val="77328A"/>
          <w:sz w:val="16"/>
          <w:szCs w:val="16"/>
        </w:rPr>
        <w:t xml:space="preserve">, </w:t>
      </w:r>
      <w:r w:rsidRPr="00C709AD">
        <w:rPr>
          <w:color w:val="77328A"/>
          <w:sz w:val="16"/>
          <w:szCs w:val="16"/>
        </w:rPr>
        <w:t>2(12)</w:t>
      </w:r>
      <w:r w:rsidR="002D4022">
        <w:rPr>
          <w:color w:val="77328A"/>
          <w:sz w:val="16"/>
          <w:szCs w:val="16"/>
        </w:rPr>
        <w:t xml:space="preserve">, </w:t>
      </w:r>
      <w:r w:rsidRPr="00C709AD">
        <w:rPr>
          <w:color w:val="77328A"/>
          <w:sz w:val="16"/>
          <w:szCs w:val="16"/>
        </w:rPr>
        <w:t xml:space="preserve">2(20) and 2(21)(a) </w:t>
      </w:r>
      <w:r w:rsidR="00381B25">
        <w:rPr>
          <w:color w:val="77328A"/>
          <w:sz w:val="16"/>
          <w:szCs w:val="16"/>
        </w:rPr>
        <w:t xml:space="preserve">of the proposed </w:t>
      </w:r>
      <w:r w:rsidR="002D4022">
        <w:rPr>
          <w:color w:val="77328A"/>
          <w:sz w:val="16"/>
          <w:szCs w:val="16"/>
        </w:rPr>
        <w:t>Remedial Order</w:t>
      </w:r>
      <w:r w:rsidRPr="00C709AD">
        <w:rPr>
          <w:color w:val="77328A"/>
          <w:sz w:val="16"/>
          <w:szCs w:val="16"/>
        </w:rPr>
        <w:t>.</w:t>
      </w:r>
      <w:r w:rsidR="00381B25">
        <w:rPr>
          <w:color w:val="77328A"/>
          <w:sz w:val="16"/>
          <w:szCs w:val="16"/>
        </w:rPr>
        <w:t xml:space="preserve"> See NI Office, ‘</w:t>
      </w:r>
      <w:r w:rsidR="00FD1BB8">
        <w:rPr>
          <w:color w:val="77328A"/>
          <w:sz w:val="16"/>
          <w:szCs w:val="16"/>
        </w:rPr>
        <w:t>A Proposal for a Remedial Order to Amend the NI Troubles (Legacy and Reconciliation) Act 2023’ (NIO,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B02"/>
    <w:multiLevelType w:val="multilevel"/>
    <w:tmpl w:val="E674972E"/>
    <w:lvl w:ilvl="0">
      <w:start w:val="2"/>
      <w:numFmt w:val="decimal"/>
      <w:lvlText w:val="%1.0"/>
      <w:lvlJc w:val="left"/>
      <w:pPr>
        <w:ind w:left="720" w:hanging="720"/>
      </w:pPr>
    </w:lvl>
    <w:lvl w:ilvl="1">
      <w:start w:val="1"/>
      <w:numFmt w:val="decimal"/>
      <w:lvlText w:val="%2.1"/>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1" w15:restartNumberingAfterBreak="0">
    <w:nsid w:val="04A44564"/>
    <w:multiLevelType w:val="multilevel"/>
    <w:tmpl w:val="7D384EA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C26326"/>
    <w:multiLevelType w:val="hybridMultilevel"/>
    <w:tmpl w:val="04C2D05E"/>
    <w:lvl w:ilvl="0" w:tplc="A4D295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B575D"/>
    <w:multiLevelType w:val="hybridMultilevel"/>
    <w:tmpl w:val="B546C5A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 w15:restartNumberingAfterBreak="0">
    <w:nsid w:val="0EB73AD5"/>
    <w:multiLevelType w:val="multilevel"/>
    <w:tmpl w:val="89F2ABC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6863844"/>
    <w:multiLevelType w:val="multilevel"/>
    <w:tmpl w:val="F118DF08"/>
    <w:lvl w:ilvl="0">
      <w:start w:val="1"/>
      <w:numFmt w:val="decimal"/>
      <w:lvlText w:val="%1"/>
      <w:lvlJc w:val="left"/>
      <w:pPr>
        <w:ind w:left="420" w:hanging="420"/>
      </w:pPr>
      <w:rPr>
        <w:rFonts w:hint="default"/>
      </w:rPr>
    </w:lvl>
    <w:lvl w:ilvl="1">
      <w:start w:val="1"/>
      <w:numFmt w:val="decimal"/>
      <w:lvlText w:val="%1.%2"/>
      <w:lvlJc w:val="left"/>
      <w:pPr>
        <w:ind w:left="720" w:hanging="720"/>
      </w:p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19ED45F9"/>
    <w:multiLevelType w:val="multilevel"/>
    <w:tmpl w:val="30A47E5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68A4090"/>
    <w:multiLevelType w:val="multilevel"/>
    <w:tmpl w:val="164E2908"/>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BB5095B"/>
    <w:multiLevelType w:val="multilevel"/>
    <w:tmpl w:val="46909842"/>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FBF6A4A"/>
    <w:multiLevelType w:val="multilevel"/>
    <w:tmpl w:val="CC1E29B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2397123"/>
    <w:multiLevelType w:val="multilevel"/>
    <w:tmpl w:val="26F83F24"/>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6952A40"/>
    <w:multiLevelType w:val="multilevel"/>
    <w:tmpl w:val="0CBAA6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38F37122"/>
    <w:multiLevelType w:val="multilevel"/>
    <w:tmpl w:val="93721706"/>
    <w:lvl w:ilvl="0">
      <w:start w:val="2"/>
      <w:numFmt w:val="decimal"/>
      <w:lvlText w:val="%1"/>
      <w:lvlJc w:val="left"/>
      <w:pPr>
        <w:ind w:left="540" w:hanging="54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5550D96"/>
    <w:multiLevelType w:val="multilevel"/>
    <w:tmpl w:val="D8FE169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8F77684"/>
    <w:multiLevelType w:val="multilevel"/>
    <w:tmpl w:val="E59AF49A"/>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5E564D14"/>
    <w:multiLevelType w:val="hybridMultilevel"/>
    <w:tmpl w:val="8BDE6A66"/>
    <w:lvl w:ilvl="0" w:tplc="14102F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44818"/>
    <w:multiLevelType w:val="hybridMultilevel"/>
    <w:tmpl w:val="FCEEC834"/>
    <w:lvl w:ilvl="0" w:tplc="15C80896">
      <w:start w:val="1"/>
      <w:numFmt w:val="decimal"/>
      <w:lvlText w:val="4.%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F17D1"/>
    <w:multiLevelType w:val="multilevel"/>
    <w:tmpl w:val="838AE25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70636851"/>
    <w:multiLevelType w:val="multilevel"/>
    <w:tmpl w:val="95C4FEA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1661ABB"/>
    <w:multiLevelType w:val="hybridMultilevel"/>
    <w:tmpl w:val="43A2330E"/>
    <w:lvl w:ilvl="0" w:tplc="3FA863EC">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D5621A"/>
    <w:multiLevelType w:val="hybridMultilevel"/>
    <w:tmpl w:val="7CC2AC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FF40C7A"/>
    <w:multiLevelType w:val="multilevel"/>
    <w:tmpl w:val="B884226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65031631">
    <w:abstractNumId w:val="11"/>
  </w:num>
  <w:num w:numId="2" w16cid:durableId="2138252816">
    <w:abstractNumId w:val="5"/>
  </w:num>
  <w:num w:numId="3" w16cid:durableId="248318664">
    <w:abstractNumId w:val="12"/>
  </w:num>
  <w:num w:numId="4" w16cid:durableId="345986833">
    <w:abstractNumId w:val="9"/>
  </w:num>
  <w:num w:numId="5" w16cid:durableId="682098899">
    <w:abstractNumId w:val="18"/>
  </w:num>
  <w:num w:numId="6" w16cid:durableId="1492870317">
    <w:abstractNumId w:val="1"/>
  </w:num>
  <w:num w:numId="7" w16cid:durableId="1670061515">
    <w:abstractNumId w:val="17"/>
  </w:num>
  <w:num w:numId="8" w16cid:durableId="503396390">
    <w:abstractNumId w:val="0"/>
  </w:num>
  <w:num w:numId="9" w16cid:durableId="364673446">
    <w:abstractNumId w:val="21"/>
  </w:num>
  <w:num w:numId="10" w16cid:durableId="1534919986">
    <w:abstractNumId w:val="13"/>
  </w:num>
  <w:num w:numId="11" w16cid:durableId="1065879874">
    <w:abstractNumId w:val="14"/>
  </w:num>
  <w:num w:numId="12" w16cid:durableId="1789009340">
    <w:abstractNumId w:val="4"/>
  </w:num>
  <w:num w:numId="13" w16cid:durableId="1273705536">
    <w:abstractNumId w:val="8"/>
  </w:num>
  <w:num w:numId="14" w16cid:durableId="1645504584">
    <w:abstractNumId w:val="10"/>
  </w:num>
  <w:num w:numId="15" w16cid:durableId="280377260">
    <w:abstractNumId w:val="3"/>
  </w:num>
  <w:num w:numId="16" w16cid:durableId="2129809796">
    <w:abstractNumId w:val="20"/>
  </w:num>
  <w:num w:numId="17" w16cid:durableId="1781299863">
    <w:abstractNumId w:val="6"/>
  </w:num>
  <w:num w:numId="18" w16cid:durableId="1274752831">
    <w:abstractNumId w:val="7"/>
  </w:num>
  <w:num w:numId="19" w16cid:durableId="1482120243">
    <w:abstractNumId w:val="15"/>
  </w:num>
  <w:num w:numId="20" w16cid:durableId="2038045750">
    <w:abstractNumId w:val="2"/>
  </w:num>
  <w:num w:numId="21" w16cid:durableId="1899198865">
    <w:abstractNumId w:val="19"/>
  </w:num>
  <w:num w:numId="22" w16cid:durableId="146363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96"/>
    <w:rsid w:val="00001987"/>
    <w:rsid w:val="000040C1"/>
    <w:rsid w:val="00016CD2"/>
    <w:rsid w:val="00022D07"/>
    <w:rsid w:val="000241C8"/>
    <w:rsid w:val="000245ED"/>
    <w:rsid w:val="000307A1"/>
    <w:rsid w:val="00032041"/>
    <w:rsid w:val="00035DAF"/>
    <w:rsid w:val="00041F74"/>
    <w:rsid w:val="0005071E"/>
    <w:rsid w:val="000524C8"/>
    <w:rsid w:val="0005349B"/>
    <w:rsid w:val="000741F2"/>
    <w:rsid w:val="000742CD"/>
    <w:rsid w:val="000748BE"/>
    <w:rsid w:val="00075A89"/>
    <w:rsid w:val="00081A60"/>
    <w:rsid w:val="00090DAC"/>
    <w:rsid w:val="00092894"/>
    <w:rsid w:val="00095FA7"/>
    <w:rsid w:val="000A17BE"/>
    <w:rsid w:val="000A1F94"/>
    <w:rsid w:val="000B1478"/>
    <w:rsid w:val="000B2B86"/>
    <w:rsid w:val="000C383B"/>
    <w:rsid w:val="000C4F24"/>
    <w:rsid w:val="000C71FD"/>
    <w:rsid w:val="000C7857"/>
    <w:rsid w:val="000D0824"/>
    <w:rsid w:val="000D463E"/>
    <w:rsid w:val="000D520D"/>
    <w:rsid w:val="000E0051"/>
    <w:rsid w:val="000F0149"/>
    <w:rsid w:val="001043AA"/>
    <w:rsid w:val="00105EDE"/>
    <w:rsid w:val="00111CDB"/>
    <w:rsid w:val="0012225B"/>
    <w:rsid w:val="0012321B"/>
    <w:rsid w:val="00134112"/>
    <w:rsid w:val="00134B75"/>
    <w:rsid w:val="0013649A"/>
    <w:rsid w:val="00140AA1"/>
    <w:rsid w:val="00144EB3"/>
    <w:rsid w:val="00151BCE"/>
    <w:rsid w:val="0015211A"/>
    <w:rsid w:val="00152C23"/>
    <w:rsid w:val="00155C52"/>
    <w:rsid w:val="00160D85"/>
    <w:rsid w:val="001637BE"/>
    <w:rsid w:val="00164109"/>
    <w:rsid w:val="0017131A"/>
    <w:rsid w:val="00171610"/>
    <w:rsid w:val="00181FD5"/>
    <w:rsid w:val="001835BE"/>
    <w:rsid w:val="001841E9"/>
    <w:rsid w:val="00187471"/>
    <w:rsid w:val="00196AE3"/>
    <w:rsid w:val="001A0FF9"/>
    <w:rsid w:val="001A3F9D"/>
    <w:rsid w:val="001A45A2"/>
    <w:rsid w:val="001A6469"/>
    <w:rsid w:val="001A697E"/>
    <w:rsid w:val="001B29DB"/>
    <w:rsid w:val="001B4091"/>
    <w:rsid w:val="001B649D"/>
    <w:rsid w:val="001B7375"/>
    <w:rsid w:val="001C24BF"/>
    <w:rsid w:val="001C606D"/>
    <w:rsid w:val="001D60BE"/>
    <w:rsid w:val="001D6D6F"/>
    <w:rsid w:val="001D77F0"/>
    <w:rsid w:val="001E0855"/>
    <w:rsid w:val="001E2D86"/>
    <w:rsid w:val="001E3388"/>
    <w:rsid w:val="001E3AF0"/>
    <w:rsid w:val="001E5B56"/>
    <w:rsid w:val="001E5F09"/>
    <w:rsid w:val="001F2AD4"/>
    <w:rsid w:val="001F41A0"/>
    <w:rsid w:val="001F451C"/>
    <w:rsid w:val="001F5E96"/>
    <w:rsid w:val="00202A43"/>
    <w:rsid w:val="00203710"/>
    <w:rsid w:val="00204034"/>
    <w:rsid w:val="00211A29"/>
    <w:rsid w:val="00213F42"/>
    <w:rsid w:val="00216FA1"/>
    <w:rsid w:val="002214FE"/>
    <w:rsid w:val="00227B21"/>
    <w:rsid w:val="002342ED"/>
    <w:rsid w:val="00235152"/>
    <w:rsid w:val="00243C1F"/>
    <w:rsid w:val="002501C5"/>
    <w:rsid w:val="00250478"/>
    <w:rsid w:val="00250A3C"/>
    <w:rsid w:val="002577BA"/>
    <w:rsid w:val="002639FF"/>
    <w:rsid w:val="002718D8"/>
    <w:rsid w:val="002763EF"/>
    <w:rsid w:val="0028545B"/>
    <w:rsid w:val="0028693A"/>
    <w:rsid w:val="00297E0B"/>
    <w:rsid w:val="002A09C7"/>
    <w:rsid w:val="002A1A4A"/>
    <w:rsid w:val="002A20C7"/>
    <w:rsid w:val="002A3B55"/>
    <w:rsid w:val="002B3AFC"/>
    <w:rsid w:val="002B6353"/>
    <w:rsid w:val="002C418E"/>
    <w:rsid w:val="002C43DF"/>
    <w:rsid w:val="002C442B"/>
    <w:rsid w:val="002C549E"/>
    <w:rsid w:val="002D1F2A"/>
    <w:rsid w:val="002D2B1B"/>
    <w:rsid w:val="002D4022"/>
    <w:rsid w:val="002D489F"/>
    <w:rsid w:val="002D5E63"/>
    <w:rsid w:val="002E496B"/>
    <w:rsid w:val="002E77A7"/>
    <w:rsid w:val="002F178E"/>
    <w:rsid w:val="002F1973"/>
    <w:rsid w:val="002F3B5E"/>
    <w:rsid w:val="003033DF"/>
    <w:rsid w:val="0030385C"/>
    <w:rsid w:val="003038F8"/>
    <w:rsid w:val="00303C23"/>
    <w:rsid w:val="00304468"/>
    <w:rsid w:val="003072B1"/>
    <w:rsid w:val="00310CFA"/>
    <w:rsid w:val="00311A3D"/>
    <w:rsid w:val="00314489"/>
    <w:rsid w:val="003220C9"/>
    <w:rsid w:val="00322C4E"/>
    <w:rsid w:val="0032303A"/>
    <w:rsid w:val="0032352E"/>
    <w:rsid w:val="003304DC"/>
    <w:rsid w:val="00337481"/>
    <w:rsid w:val="00355827"/>
    <w:rsid w:val="00362D1D"/>
    <w:rsid w:val="00363EC9"/>
    <w:rsid w:val="00364C79"/>
    <w:rsid w:val="00367977"/>
    <w:rsid w:val="00370E0B"/>
    <w:rsid w:val="00372EAE"/>
    <w:rsid w:val="00373ACB"/>
    <w:rsid w:val="00373C60"/>
    <w:rsid w:val="003743D3"/>
    <w:rsid w:val="003812F0"/>
    <w:rsid w:val="00381B25"/>
    <w:rsid w:val="00384ADE"/>
    <w:rsid w:val="00385D07"/>
    <w:rsid w:val="00392750"/>
    <w:rsid w:val="00395CAF"/>
    <w:rsid w:val="003A6FC4"/>
    <w:rsid w:val="003B3706"/>
    <w:rsid w:val="003B3C0E"/>
    <w:rsid w:val="003B6148"/>
    <w:rsid w:val="003C2185"/>
    <w:rsid w:val="003C7CF5"/>
    <w:rsid w:val="003D1786"/>
    <w:rsid w:val="003D6A58"/>
    <w:rsid w:val="003E60A2"/>
    <w:rsid w:val="003E6F1C"/>
    <w:rsid w:val="003F4923"/>
    <w:rsid w:val="0040132B"/>
    <w:rsid w:val="00401ABE"/>
    <w:rsid w:val="00406DE4"/>
    <w:rsid w:val="00407C08"/>
    <w:rsid w:val="00410D1C"/>
    <w:rsid w:val="00420AF5"/>
    <w:rsid w:val="0042323E"/>
    <w:rsid w:val="00423C5F"/>
    <w:rsid w:val="00432FA8"/>
    <w:rsid w:val="00436BCC"/>
    <w:rsid w:val="00441E32"/>
    <w:rsid w:val="00442422"/>
    <w:rsid w:val="00445AE3"/>
    <w:rsid w:val="004563A0"/>
    <w:rsid w:val="00470BF0"/>
    <w:rsid w:val="00471042"/>
    <w:rsid w:val="00477E2E"/>
    <w:rsid w:val="0048653C"/>
    <w:rsid w:val="00492425"/>
    <w:rsid w:val="00496358"/>
    <w:rsid w:val="004A10F0"/>
    <w:rsid w:val="004A5F28"/>
    <w:rsid w:val="004A740B"/>
    <w:rsid w:val="004B017B"/>
    <w:rsid w:val="004B32AA"/>
    <w:rsid w:val="004B5E36"/>
    <w:rsid w:val="004B67B4"/>
    <w:rsid w:val="004C0ED9"/>
    <w:rsid w:val="004C6349"/>
    <w:rsid w:val="004C69C3"/>
    <w:rsid w:val="004E5846"/>
    <w:rsid w:val="004E6186"/>
    <w:rsid w:val="004F137D"/>
    <w:rsid w:val="004F2661"/>
    <w:rsid w:val="004F3AC5"/>
    <w:rsid w:val="004F403E"/>
    <w:rsid w:val="004F6957"/>
    <w:rsid w:val="00505467"/>
    <w:rsid w:val="0050547D"/>
    <w:rsid w:val="00506B03"/>
    <w:rsid w:val="005114E0"/>
    <w:rsid w:val="00514A97"/>
    <w:rsid w:val="0051628F"/>
    <w:rsid w:val="0051682C"/>
    <w:rsid w:val="00521303"/>
    <w:rsid w:val="00521DBE"/>
    <w:rsid w:val="00524093"/>
    <w:rsid w:val="00525373"/>
    <w:rsid w:val="00525478"/>
    <w:rsid w:val="005266E6"/>
    <w:rsid w:val="00530538"/>
    <w:rsid w:val="005306EE"/>
    <w:rsid w:val="00532167"/>
    <w:rsid w:val="00537340"/>
    <w:rsid w:val="0053784E"/>
    <w:rsid w:val="00541CC4"/>
    <w:rsid w:val="00544A8E"/>
    <w:rsid w:val="00545C6C"/>
    <w:rsid w:val="00551BF0"/>
    <w:rsid w:val="005537B5"/>
    <w:rsid w:val="00554BDB"/>
    <w:rsid w:val="00555786"/>
    <w:rsid w:val="00560E22"/>
    <w:rsid w:val="00562A83"/>
    <w:rsid w:val="00563326"/>
    <w:rsid w:val="00564ABC"/>
    <w:rsid w:val="005711A9"/>
    <w:rsid w:val="00571EFF"/>
    <w:rsid w:val="00572481"/>
    <w:rsid w:val="005744F0"/>
    <w:rsid w:val="005803E2"/>
    <w:rsid w:val="0058374F"/>
    <w:rsid w:val="005838AD"/>
    <w:rsid w:val="005879D1"/>
    <w:rsid w:val="00591250"/>
    <w:rsid w:val="00594364"/>
    <w:rsid w:val="005971D5"/>
    <w:rsid w:val="005A3E11"/>
    <w:rsid w:val="005B2F94"/>
    <w:rsid w:val="005B47A4"/>
    <w:rsid w:val="005C4CAB"/>
    <w:rsid w:val="005D25DC"/>
    <w:rsid w:val="005D29E3"/>
    <w:rsid w:val="005E16F1"/>
    <w:rsid w:val="005E2A0F"/>
    <w:rsid w:val="005E58B8"/>
    <w:rsid w:val="005E621D"/>
    <w:rsid w:val="005F06C8"/>
    <w:rsid w:val="005F1AB1"/>
    <w:rsid w:val="005F35B7"/>
    <w:rsid w:val="005F5EC0"/>
    <w:rsid w:val="005F790C"/>
    <w:rsid w:val="006000CC"/>
    <w:rsid w:val="00600C55"/>
    <w:rsid w:val="00626A0A"/>
    <w:rsid w:val="006319AC"/>
    <w:rsid w:val="00631C69"/>
    <w:rsid w:val="006345BF"/>
    <w:rsid w:val="00640CA5"/>
    <w:rsid w:val="00642ADD"/>
    <w:rsid w:val="00642C3F"/>
    <w:rsid w:val="006539A7"/>
    <w:rsid w:val="0065447E"/>
    <w:rsid w:val="006561E9"/>
    <w:rsid w:val="006635B5"/>
    <w:rsid w:val="00663D2D"/>
    <w:rsid w:val="00663F43"/>
    <w:rsid w:val="00665E1C"/>
    <w:rsid w:val="00670CCE"/>
    <w:rsid w:val="0067162C"/>
    <w:rsid w:val="006752C9"/>
    <w:rsid w:val="006829FE"/>
    <w:rsid w:val="0068599F"/>
    <w:rsid w:val="00685B54"/>
    <w:rsid w:val="00691ECD"/>
    <w:rsid w:val="00697571"/>
    <w:rsid w:val="006A3FC3"/>
    <w:rsid w:val="006A6EB2"/>
    <w:rsid w:val="006B0BD6"/>
    <w:rsid w:val="006B6CBD"/>
    <w:rsid w:val="006C3856"/>
    <w:rsid w:val="006C3A3F"/>
    <w:rsid w:val="006D22A0"/>
    <w:rsid w:val="006D31B6"/>
    <w:rsid w:val="006D53BE"/>
    <w:rsid w:val="006E5F16"/>
    <w:rsid w:val="006E7B90"/>
    <w:rsid w:val="006F3BFD"/>
    <w:rsid w:val="00703415"/>
    <w:rsid w:val="00703E6B"/>
    <w:rsid w:val="007114DE"/>
    <w:rsid w:val="00711848"/>
    <w:rsid w:val="00712ECA"/>
    <w:rsid w:val="00715B1C"/>
    <w:rsid w:val="0072445D"/>
    <w:rsid w:val="00724840"/>
    <w:rsid w:val="00733117"/>
    <w:rsid w:val="00745335"/>
    <w:rsid w:val="00747960"/>
    <w:rsid w:val="007515EF"/>
    <w:rsid w:val="00751A14"/>
    <w:rsid w:val="00760A94"/>
    <w:rsid w:val="00773B13"/>
    <w:rsid w:val="00773D0A"/>
    <w:rsid w:val="00774916"/>
    <w:rsid w:val="007807AD"/>
    <w:rsid w:val="00781DEC"/>
    <w:rsid w:val="00783692"/>
    <w:rsid w:val="00795E77"/>
    <w:rsid w:val="007A203F"/>
    <w:rsid w:val="007A5B3C"/>
    <w:rsid w:val="007B0B98"/>
    <w:rsid w:val="007C0138"/>
    <w:rsid w:val="007C185D"/>
    <w:rsid w:val="007C1D7D"/>
    <w:rsid w:val="007C5477"/>
    <w:rsid w:val="007D1789"/>
    <w:rsid w:val="007D2BA4"/>
    <w:rsid w:val="007E099D"/>
    <w:rsid w:val="007E2357"/>
    <w:rsid w:val="007E68FC"/>
    <w:rsid w:val="007E7905"/>
    <w:rsid w:val="007E7CD3"/>
    <w:rsid w:val="007F191F"/>
    <w:rsid w:val="007F2FA1"/>
    <w:rsid w:val="00803457"/>
    <w:rsid w:val="00803678"/>
    <w:rsid w:val="008112E2"/>
    <w:rsid w:val="0081519D"/>
    <w:rsid w:val="00815D4C"/>
    <w:rsid w:val="00816C8E"/>
    <w:rsid w:val="00817EB0"/>
    <w:rsid w:val="00823E6F"/>
    <w:rsid w:val="00833C89"/>
    <w:rsid w:val="0083484E"/>
    <w:rsid w:val="00834CAA"/>
    <w:rsid w:val="008418F1"/>
    <w:rsid w:val="00844BB5"/>
    <w:rsid w:val="0085144C"/>
    <w:rsid w:val="00852405"/>
    <w:rsid w:val="008567A3"/>
    <w:rsid w:val="008574E9"/>
    <w:rsid w:val="00864E59"/>
    <w:rsid w:val="00867C4E"/>
    <w:rsid w:val="00870087"/>
    <w:rsid w:val="008816A1"/>
    <w:rsid w:val="008876A3"/>
    <w:rsid w:val="00897E64"/>
    <w:rsid w:val="008A024B"/>
    <w:rsid w:val="008A0B0E"/>
    <w:rsid w:val="008A4287"/>
    <w:rsid w:val="008A442B"/>
    <w:rsid w:val="008A5907"/>
    <w:rsid w:val="008A6C58"/>
    <w:rsid w:val="008A7D2A"/>
    <w:rsid w:val="008B091D"/>
    <w:rsid w:val="008B3F4B"/>
    <w:rsid w:val="008C4CF9"/>
    <w:rsid w:val="008C4E56"/>
    <w:rsid w:val="008C6EC2"/>
    <w:rsid w:val="008D053A"/>
    <w:rsid w:val="008D0F36"/>
    <w:rsid w:val="008D6AA5"/>
    <w:rsid w:val="008E11A2"/>
    <w:rsid w:val="008E38EB"/>
    <w:rsid w:val="008E4201"/>
    <w:rsid w:val="008E50C2"/>
    <w:rsid w:val="00900E27"/>
    <w:rsid w:val="009156E7"/>
    <w:rsid w:val="0091739B"/>
    <w:rsid w:val="00917D6E"/>
    <w:rsid w:val="00923CEB"/>
    <w:rsid w:val="00940E52"/>
    <w:rsid w:val="00941256"/>
    <w:rsid w:val="009428D6"/>
    <w:rsid w:val="00943B69"/>
    <w:rsid w:val="0094579F"/>
    <w:rsid w:val="00950CD3"/>
    <w:rsid w:val="00952BED"/>
    <w:rsid w:val="00954E5A"/>
    <w:rsid w:val="00956C3E"/>
    <w:rsid w:val="00962FF3"/>
    <w:rsid w:val="00965335"/>
    <w:rsid w:val="00965BB6"/>
    <w:rsid w:val="0096688B"/>
    <w:rsid w:val="00974197"/>
    <w:rsid w:val="00975620"/>
    <w:rsid w:val="00982080"/>
    <w:rsid w:val="00982B2C"/>
    <w:rsid w:val="00983AFE"/>
    <w:rsid w:val="009877E8"/>
    <w:rsid w:val="0099726B"/>
    <w:rsid w:val="009A1B0C"/>
    <w:rsid w:val="009A1D13"/>
    <w:rsid w:val="009A2B2C"/>
    <w:rsid w:val="009A3FDC"/>
    <w:rsid w:val="009A4A2E"/>
    <w:rsid w:val="009A5AFB"/>
    <w:rsid w:val="009B12AF"/>
    <w:rsid w:val="009B5F8D"/>
    <w:rsid w:val="009B6460"/>
    <w:rsid w:val="009B7B4F"/>
    <w:rsid w:val="009C4A36"/>
    <w:rsid w:val="009C732E"/>
    <w:rsid w:val="009D1396"/>
    <w:rsid w:val="009D4399"/>
    <w:rsid w:val="009D61C0"/>
    <w:rsid w:val="009E0EBA"/>
    <w:rsid w:val="009E2F7E"/>
    <w:rsid w:val="009E4A3F"/>
    <w:rsid w:val="009F22E4"/>
    <w:rsid w:val="009F3DAE"/>
    <w:rsid w:val="009F43CA"/>
    <w:rsid w:val="00A01173"/>
    <w:rsid w:val="00A05721"/>
    <w:rsid w:val="00A07748"/>
    <w:rsid w:val="00A2698E"/>
    <w:rsid w:val="00A31620"/>
    <w:rsid w:val="00A35607"/>
    <w:rsid w:val="00A36CCE"/>
    <w:rsid w:val="00A426AA"/>
    <w:rsid w:val="00A43FDE"/>
    <w:rsid w:val="00A44449"/>
    <w:rsid w:val="00A451F9"/>
    <w:rsid w:val="00A50986"/>
    <w:rsid w:val="00A57789"/>
    <w:rsid w:val="00A603AE"/>
    <w:rsid w:val="00A65262"/>
    <w:rsid w:val="00A7302E"/>
    <w:rsid w:val="00A75849"/>
    <w:rsid w:val="00A761FD"/>
    <w:rsid w:val="00A854D6"/>
    <w:rsid w:val="00A870D8"/>
    <w:rsid w:val="00A871D9"/>
    <w:rsid w:val="00A9138A"/>
    <w:rsid w:val="00A92159"/>
    <w:rsid w:val="00A93AA0"/>
    <w:rsid w:val="00A972BB"/>
    <w:rsid w:val="00A97C1E"/>
    <w:rsid w:val="00AA4E9C"/>
    <w:rsid w:val="00AA6543"/>
    <w:rsid w:val="00AB0CC1"/>
    <w:rsid w:val="00AB0D7E"/>
    <w:rsid w:val="00AB371F"/>
    <w:rsid w:val="00AB4849"/>
    <w:rsid w:val="00AC012F"/>
    <w:rsid w:val="00AC44C4"/>
    <w:rsid w:val="00AD1566"/>
    <w:rsid w:val="00AD3148"/>
    <w:rsid w:val="00AD3D6E"/>
    <w:rsid w:val="00AD4EF2"/>
    <w:rsid w:val="00AD6910"/>
    <w:rsid w:val="00AE2B9F"/>
    <w:rsid w:val="00AE3273"/>
    <w:rsid w:val="00AE41FF"/>
    <w:rsid w:val="00AE472A"/>
    <w:rsid w:val="00AF033B"/>
    <w:rsid w:val="00AF4E1B"/>
    <w:rsid w:val="00AF770E"/>
    <w:rsid w:val="00B042AE"/>
    <w:rsid w:val="00B06D28"/>
    <w:rsid w:val="00B07E97"/>
    <w:rsid w:val="00B143CB"/>
    <w:rsid w:val="00B21407"/>
    <w:rsid w:val="00B2379B"/>
    <w:rsid w:val="00B254DC"/>
    <w:rsid w:val="00B45E86"/>
    <w:rsid w:val="00B46836"/>
    <w:rsid w:val="00B471C6"/>
    <w:rsid w:val="00B50E0A"/>
    <w:rsid w:val="00B51162"/>
    <w:rsid w:val="00B53E9B"/>
    <w:rsid w:val="00B54434"/>
    <w:rsid w:val="00B604E4"/>
    <w:rsid w:val="00B61BE7"/>
    <w:rsid w:val="00B63A19"/>
    <w:rsid w:val="00B65E98"/>
    <w:rsid w:val="00B703B4"/>
    <w:rsid w:val="00B71A44"/>
    <w:rsid w:val="00B83F50"/>
    <w:rsid w:val="00B85D1A"/>
    <w:rsid w:val="00B87138"/>
    <w:rsid w:val="00B878F8"/>
    <w:rsid w:val="00B94CCE"/>
    <w:rsid w:val="00B96FC0"/>
    <w:rsid w:val="00BA096F"/>
    <w:rsid w:val="00BA124D"/>
    <w:rsid w:val="00BA4D55"/>
    <w:rsid w:val="00BA6BAB"/>
    <w:rsid w:val="00BB2E1D"/>
    <w:rsid w:val="00BB32C8"/>
    <w:rsid w:val="00BB742D"/>
    <w:rsid w:val="00BC0818"/>
    <w:rsid w:val="00BC1B26"/>
    <w:rsid w:val="00BC6A42"/>
    <w:rsid w:val="00BC74AF"/>
    <w:rsid w:val="00BD0A5A"/>
    <w:rsid w:val="00BD24C5"/>
    <w:rsid w:val="00BD2784"/>
    <w:rsid w:val="00BD42C9"/>
    <w:rsid w:val="00BD48CF"/>
    <w:rsid w:val="00BD7A50"/>
    <w:rsid w:val="00BE657F"/>
    <w:rsid w:val="00C00529"/>
    <w:rsid w:val="00C03547"/>
    <w:rsid w:val="00C03F0B"/>
    <w:rsid w:val="00C10947"/>
    <w:rsid w:val="00C159BE"/>
    <w:rsid w:val="00C168DC"/>
    <w:rsid w:val="00C17ADE"/>
    <w:rsid w:val="00C20617"/>
    <w:rsid w:val="00C227D6"/>
    <w:rsid w:val="00C2286D"/>
    <w:rsid w:val="00C22E45"/>
    <w:rsid w:val="00C246F1"/>
    <w:rsid w:val="00C2568B"/>
    <w:rsid w:val="00C25BF3"/>
    <w:rsid w:val="00C30F4A"/>
    <w:rsid w:val="00C35111"/>
    <w:rsid w:val="00C44221"/>
    <w:rsid w:val="00C474C9"/>
    <w:rsid w:val="00C52B4A"/>
    <w:rsid w:val="00C5458A"/>
    <w:rsid w:val="00C71589"/>
    <w:rsid w:val="00C71B71"/>
    <w:rsid w:val="00C81431"/>
    <w:rsid w:val="00C90443"/>
    <w:rsid w:val="00C948F3"/>
    <w:rsid w:val="00C959E6"/>
    <w:rsid w:val="00CA3DF4"/>
    <w:rsid w:val="00CA4E9C"/>
    <w:rsid w:val="00CB3B0D"/>
    <w:rsid w:val="00CB6B97"/>
    <w:rsid w:val="00CC07CC"/>
    <w:rsid w:val="00CC17FF"/>
    <w:rsid w:val="00CC2FF6"/>
    <w:rsid w:val="00CC6ABB"/>
    <w:rsid w:val="00CD36DC"/>
    <w:rsid w:val="00CD55D0"/>
    <w:rsid w:val="00CD6169"/>
    <w:rsid w:val="00CD64FF"/>
    <w:rsid w:val="00CE02B9"/>
    <w:rsid w:val="00CE25CD"/>
    <w:rsid w:val="00CE3AD0"/>
    <w:rsid w:val="00CE4445"/>
    <w:rsid w:val="00CE5352"/>
    <w:rsid w:val="00CF2EFF"/>
    <w:rsid w:val="00CF3543"/>
    <w:rsid w:val="00CF608E"/>
    <w:rsid w:val="00D014C4"/>
    <w:rsid w:val="00D04C0D"/>
    <w:rsid w:val="00D05348"/>
    <w:rsid w:val="00D10FC1"/>
    <w:rsid w:val="00D11163"/>
    <w:rsid w:val="00D20A64"/>
    <w:rsid w:val="00D23130"/>
    <w:rsid w:val="00D27C53"/>
    <w:rsid w:val="00D303F9"/>
    <w:rsid w:val="00D30984"/>
    <w:rsid w:val="00D32667"/>
    <w:rsid w:val="00D377DD"/>
    <w:rsid w:val="00D44E6E"/>
    <w:rsid w:val="00D53EC0"/>
    <w:rsid w:val="00D54379"/>
    <w:rsid w:val="00D546BB"/>
    <w:rsid w:val="00D553AE"/>
    <w:rsid w:val="00D55E06"/>
    <w:rsid w:val="00D577F5"/>
    <w:rsid w:val="00D57E18"/>
    <w:rsid w:val="00D608DD"/>
    <w:rsid w:val="00D6206E"/>
    <w:rsid w:val="00D6237A"/>
    <w:rsid w:val="00D677DB"/>
    <w:rsid w:val="00D820F9"/>
    <w:rsid w:val="00D8219D"/>
    <w:rsid w:val="00D85AF6"/>
    <w:rsid w:val="00D85CD7"/>
    <w:rsid w:val="00D86FA0"/>
    <w:rsid w:val="00D922BF"/>
    <w:rsid w:val="00D95EA5"/>
    <w:rsid w:val="00D962D2"/>
    <w:rsid w:val="00D972C2"/>
    <w:rsid w:val="00DA1EB7"/>
    <w:rsid w:val="00DB003D"/>
    <w:rsid w:val="00DB2E86"/>
    <w:rsid w:val="00DB31D0"/>
    <w:rsid w:val="00DB32DE"/>
    <w:rsid w:val="00DB4906"/>
    <w:rsid w:val="00DB540A"/>
    <w:rsid w:val="00DC0FF9"/>
    <w:rsid w:val="00DC254B"/>
    <w:rsid w:val="00DC57ED"/>
    <w:rsid w:val="00DD36F5"/>
    <w:rsid w:val="00DD4064"/>
    <w:rsid w:val="00DD45DD"/>
    <w:rsid w:val="00DD62BF"/>
    <w:rsid w:val="00DE0550"/>
    <w:rsid w:val="00DE0BC1"/>
    <w:rsid w:val="00DE0BD8"/>
    <w:rsid w:val="00DE39F1"/>
    <w:rsid w:val="00DF00D6"/>
    <w:rsid w:val="00DF1CC2"/>
    <w:rsid w:val="00DF322B"/>
    <w:rsid w:val="00DF3753"/>
    <w:rsid w:val="00E024D1"/>
    <w:rsid w:val="00E03AB5"/>
    <w:rsid w:val="00E04258"/>
    <w:rsid w:val="00E1006B"/>
    <w:rsid w:val="00E10FB3"/>
    <w:rsid w:val="00E11D42"/>
    <w:rsid w:val="00E217F3"/>
    <w:rsid w:val="00E219B7"/>
    <w:rsid w:val="00E24AE9"/>
    <w:rsid w:val="00E27FC6"/>
    <w:rsid w:val="00E3553B"/>
    <w:rsid w:val="00E45454"/>
    <w:rsid w:val="00E53595"/>
    <w:rsid w:val="00E562D3"/>
    <w:rsid w:val="00E66A84"/>
    <w:rsid w:val="00E67593"/>
    <w:rsid w:val="00E85AAC"/>
    <w:rsid w:val="00E8612C"/>
    <w:rsid w:val="00E90BA8"/>
    <w:rsid w:val="00E93A8D"/>
    <w:rsid w:val="00E9471C"/>
    <w:rsid w:val="00E970CC"/>
    <w:rsid w:val="00E97429"/>
    <w:rsid w:val="00EA0D06"/>
    <w:rsid w:val="00EA1C13"/>
    <w:rsid w:val="00EB0C48"/>
    <w:rsid w:val="00EB3E68"/>
    <w:rsid w:val="00EB58F9"/>
    <w:rsid w:val="00EB6EAC"/>
    <w:rsid w:val="00EC1096"/>
    <w:rsid w:val="00EC266C"/>
    <w:rsid w:val="00EC2E0B"/>
    <w:rsid w:val="00EC5451"/>
    <w:rsid w:val="00EC6E27"/>
    <w:rsid w:val="00EC6FEF"/>
    <w:rsid w:val="00ED0854"/>
    <w:rsid w:val="00ED311E"/>
    <w:rsid w:val="00EE5294"/>
    <w:rsid w:val="00EE7A7E"/>
    <w:rsid w:val="00EE7F19"/>
    <w:rsid w:val="00EF11DC"/>
    <w:rsid w:val="00EF1ECA"/>
    <w:rsid w:val="00EF361E"/>
    <w:rsid w:val="00F03E68"/>
    <w:rsid w:val="00F1144E"/>
    <w:rsid w:val="00F15AAB"/>
    <w:rsid w:val="00F16149"/>
    <w:rsid w:val="00F24928"/>
    <w:rsid w:val="00F24F88"/>
    <w:rsid w:val="00F37E5B"/>
    <w:rsid w:val="00F409CE"/>
    <w:rsid w:val="00F426FF"/>
    <w:rsid w:val="00F43106"/>
    <w:rsid w:val="00F431D1"/>
    <w:rsid w:val="00F44C9C"/>
    <w:rsid w:val="00F47717"/>
    <w:rsid w:val="00F50A28"/>
    <w:rsid w:val="00F579E4"/>
    <w:rsid w:val="00F6648F"/>
    <w:rsid w:val="00F8049C"/>
    <w:rsid w:val="00F81349"/>
    <w:rsid w:val="00F824F3"/>
    <w:rsid w:val="00F83514"/>
    <w:rsid w:val="00F84524"/>
    <w:rsid w:val="00F85997"/>
    <w:rsid w:val="00F863B9"/>
    <w:rsid w:val="00F86FAC"/>
    <w:rsid w:val="00F876AD"/>
    <w:rsid w:val="00F91EED"/>
    <w:rsid w:val="00FA25BA"/>
    <w:rsid w:val="00FA5F84"/>
    <w:rsid w:val="00FA677C"/>
    <w:rsid w:val="00FA6CE4"/>
    <w:rsid w:val="00FB6ED9"/>
    <w:rsid w:val="00FC062B"/>
    <w:rsid w:val="00FC22C8"/>
    <w:rsid w:val="00FC3BF0"/>
    <w:rsid w:val="00FC417C"/>
    <w:rsid w:val="00FC55A3"/>
    <w:rsid w:val="00FC7D68"/>
    <w:rsid w:val="00FD170B"/>
    <w:rsid w:val="00FD1BB8"/>
    <w:rsid w:val="00FD3588"/>
    <w:rsid w:val="00FD4C49"/>
    <w:rsid w:val="00FD5F87"/>
    <w:rsid w:val="00FE0182"/>
    <w:rsid w:val="00FE5F21"/>
    <w:rsid w:val="00FE6A7F"/>
    <w:rsid w:val="00FF0BDB"/>
    <w:rsid w:val="00FF2CDE"/>
    <w:rsid w:val="00FF53E8"/>
    <w:rsid w:val="00FF6E5F"/>
    <w:rsid w:val="010DC81E"/>
    <w:rsid w:val="012DE390"/>
    <w:rsid w:val="0255CA11"/>
    <w:rsid w:val="02C70EA3"/>
    <w:rsid w:val="02E65EB1"/>
    <w:rsid w:val="02F7CA6E"/>
    <w:rsid w:val="0307995A"/>
    <w:rsid w:val="03772837"/>
    <w:rsid w:val="0399F95F"/>
    <w:rsid w:val="03C7907B"/>
    <w:rsid w:val="03E1D4C0"/>
    <w:rsid w:val="042B4B80"/>
    <w:rsid w:val="044ABC4E"/>
    <w:rsid w:val="04B61A89"/>
    <w:rsid w:val="0503994E"/>
    <w:rsid w:val="054FCE9D"/>
    <w:rsid w:val="05B24137"/>
    <w:rsid w:val="05BFD916"/>
    <w:rsid w:val="05F18F9C"/>
    <w:rsid w:val="0656BD32"/>
    <w:rsid w:val="06920D82"/>
    <w:rsid w:val="069DCDF1"/>
    <w:rsid w:val="07B06179"/>
    <w:rsid w:val="07BEBEFE"/>
    <w:rsid w:val="07EDD56E"/>
    <w:rsid w:val="0820DF96"/>
    <w:rsid w:val="08F47C57"/>
    <w:rsid w:val="09091AE4"/>
    <w:rsid w:val="090F2E93"/>
    <w:rsid w:val="091ED8C5"/>
    <w:rsid w:val="095540C8"/>
    <w:rsid w:val="0981BC37"/>
    <w:rsid w:val="099ACF2B"/>
    <w:rsid w:val="09CB8923"/>
    <w:rsid w:val="0A07C0CB"/>
    <w:rsid w:val="0A0CDE33"/>
    <w:rsid w:val="0ACA7F89"/>
    <w:rsid w:val="0AEC868D"/>
    <w:rsid w:val="0BA52E7F"/>
    <w:rsid w:val="0C4BE618"/>
    <w:rsid w:val="0C54F75A"/>
    <w:rsid w:val="0C665B38"/>
    <w:rsid w:val="0C70D2BF"/>
    <w:rsid w:val="0CA2AC45"/>
    <w:rsid w:val="0D2F1BEB"/>
    <w:rsid w:val="0D6B6C11"/>
    <w:rsid w:val="0DC29796"/>
    <w:rsid w:val="0E387FF2"/>
    <w:rsid w:val="0EF6F37A"/>
    <w:rsid w:val="0F3C1567"/>
    <w:rsid w:val="0F4BA491"/>
    <w:rsid w:val="0F4CFE13"/>
    <w:rsid w:val="0F7D73AD"/>
    <w:rsid w:val="0FB19F20"/>
    <w:rsid w:val="10264EDD"/>
    <w:rsid w:val="10ACADAF"/>
    <w:rsid w:val="10BDBA6A"/>
    <w:rsid w:val="10C44C36"/>
    <w:rsid w:val="10D47762"/>
    <w:rsid w:val="10E35CA4"/>
    <w:rsid w:val="10FC7019"/>
    <w:rsid w:val="1101C73E"/>
    <w:rsid w:val="1113D58D"/>
    <w:rsid w:val="11504AA5"/>
    <w:rsid w:val="11C52B65"/>
    <w:rsid w:val="11D62BAE"/>
    <w:rsid w:val="11EC41C6"/>
    <w:rsid w:val="12000E31"/>
    <w:rsid w:val="1203B050"/>
    <w:rsid w:val="122EAC4B"/>
    <w:rsid w:val="1245CF8B"/>
    <w:rsid w:val="125A1CE9"/>
    <w:rsid w:val="1300C76E"/>
    <w:rsid w:val="131B203E"/>
    <w:rsid w:val="1385202E"/>
    <w:rsid w:val="138EF508"/>
    <w:rsid w:val="13F46FF0"/>
    <w:rsid w:val="140627EA"/>
    <w:rsid w:val="14B64DBA"/>
    <w:rsid w:val="15032F90"/>
    <w:rsid w:val="1539C239"/>
    <w:rsid w:val="15BFEC31"/>
    <w:rsid w:val="169E49A6"/>
    <w:rsid w:val="171E290E"/>
    <w:rsid w:val="17EA74A0"/>
    <w:rsid w:val="185BE12B"/>
    <w:rsid w:val="1888024F"/>
    <w:rsid w:val="18B2C557"/>
    <w:rsid w:val="18CF5E48"/>
    <w:rsid w:val="19406197"/>
    <w:rsid w:val="19786482"/>
    <w:rsid w:val="1985BADC"/>
    <w:rsid w:val="19A64A16"/>
    <w:rsid w:val="19FA9462"/>
    <w:rsid w:val="1A4714B6"/>
    <w:rsid w:val="1A644BC7"/>
    <w:rsid w:val="1AC14806"/>
    <w:rsid w:val="1AC6741D"/>
    <w:rsid w:val="1B550614"/>
    <w:rsid w:val="1B68F8FC"/>
    <w:rsid w:val="1BAA30F8"/>
    <w:rsid w:val="1BC79FD3"/>
    <w:rsid w:val="1BD59F59"/>
    <w:rsid w:val="1BE53843"/>
    <w:rsid w:val="1C956641"/>
    <w:rsid w:val="1CBA8451"/>
    <w:rsid w:val="1CEFE237"/>
    <w:rsid w:val="1E0D19C9"/>
    <w:rsid w:val="1E485CB5"/>
    <w:rsid w:val="1E8B1DA8"/>
    <w:rsid w:val="1EA957ED"/>
    <w:rsid w:val="1EFDE6A6"/>
    <w:rsid w:val="1F01D243"/>
    <w:rsid w:val="1F153201"/>
    <w:rsid w:val="1F195D4F"/>
    <w:rsid w:val="1F224B52"/>
    <w:rsid w:val="204E84C4"/>
    <w:rsid w:val="20DCB034"/>
    <w:rsid w:val="225C38A4"/>
    <w:rsid w:val="22647619"/>
    <w:rsid w:val="22E69A6B"/>
    <w:rsid w:val="23604516"/>
    <w:rsid w:val="23B5370C"/>
    <w:rsid w:val="23D46BCC"/>
    <w:rsid w:val="241B8899"/>
    <w:rsid w:val="242243FB"/>
    <w:rsid w:val="2457A383"/>
    <w:rsid w:val="245F9C4F"/>
    <w:rsid w:val="24C4C1B1"/>
    <w:rsid w:val="24E8ED6B"/>
    <w:rsid w:val="24EEC244"/>
    <w:rsid w:val="2526F794"/>
    <w:rsid w:val="254D8E35"/>
    <w:rsid w:val="25AAE91C"/>
    <w:rsid w:val="25D62228"/>
    <w:rsid w:val="263F33EE"/>
    <w:rsid w:val="26ABB28C"/>
    <w:rsid w:val="27897199"/>
    <w:rsid w:val="286E30EE"/>
    <w:rsid w:val="2878201B"/>
    <w:rsid w:val="2989E2B5"/>
    <w:rsid w:val="29B2D7A6"/>
    <w:rsid w:val="29CE0767"/>
    <w:rsid w:val="2A0779ED"/>
    <w:rsid w:val="2A14EBEB"/>
    <w:rsid w:val="2A1E8BE5"/>
    <w:rsid w:val="2A25D599"/>
    <w:rsid w:val="2A775200"/>
    <w:rsid w:val="2A8532A9"/>
    <w:rsid w:val="2AB65416"/>
    <w:rsid w:val="2AE887D3"/>
    <w:rsid w:val="2B0E69E7"/>
    <w:rsid w:val="2B564395"/>
    <w:rsid w:val="2BFEF9F7"/>
    <w:rsid w:val="2C94F09C"/>
    <w:rsid w:val="2CA99007"/>
    <w:rsid w:val="2CD03DDB"/>
    <w:rsid w:val="2D0148B4"/>
    <w:rsid w:val="2D307626"/>
    <w:rsid w:val="2EBBFA0E"/>
    <w:rsid w:val="2F2DE487"/>
    <w:rsid w:val="2F833E66"/>
    <w:rsid w:val="2F912FB2"/>
    <w:rsid w:val="2FC28335"/>
    <w:rsid w:val="302373EF"/>
    <w:rsid w:val="303D0547"/>
    <w:rsid w:val="307D61F2"/>
    <w:rsid w:val="30E29FD5"/>
    <w:rsid w:val="310FAB60"/>
    <w:rsid w:val="3115262A"/>
    <w:rsid w:val="313EB161"/>
    <w:rsid w:val="3150749B"/>
    <w:rsid w:val="3169B32D"/>
    <w:rsid w:val="3171CBE1"/>
    <w:rsid w:val="31749734"/>
    <w:rsid w:val="319823C6"/>
    <w:rsid w:val="31F1AD77"/>
    <w:rsid w:val="31F5FE38"/>
    <w:rsid w:val="32114ED2"/>
    <w:rsid w:val="32F4129D"/>
    <w:rsid w:val="32F6EF91"/>
    <w:rsid w:val="3346D239"/>
    <w:rsid w:val="33686028"/>
    <w:rsid w:val="33727712"/>
    <w:rsid w:val="3440C3F8"/>
    <w:rsid w:val="3488B435"/>
    <w:rsid w:val="34B89347"/>
    <w:rsid w:val="35827EFA"/>
    <w:rsid w:val="35993DE8"/>
    <w:rsid w:val="35A16048"/>
    <w:rsid w:val="35AEE24B"/>
    <w:rsid w:val="3677C10C"/>
    <w:rsid w:val="36F26794"/>
    <w:rsid w:val="3715A54D"/>
    <w:rsid w:val="3776857B"/>
    <w:rsid w:val="37AB7ADC"/>
    <w:rsid w:val="37E00CED"/>
    <w:rsid w:val="37F3CF17"/>
    <w:rsid w:val="38303556"/>
    <w:rsid w:val="38383D13"/>
    <w:rsid w:val="38F1F4D1"/>
    <w:rsid w:val="393C2015"/>
    <w:rsid w:val="394C8186"/>
    <w:rsid w:val="399BA0F4"/>
    <w:rsid w:val="3A0DE860"/>
    <w:rsid w:val="3A833337"/>
    <w:rsid w:val="3AC7A7ED"/>
    <w:rsid w:val="3B14471B"/>
    <w:rsid w:val="3B14C552"/>
    <w:rsid w:val="3B2263DC"/>
    <w:rsid w:val="3B922AA5"/>
    <w:rsid w:val="3BA5CBF1"/>
    <w:rsid w:val="3BB762C8"/>
    <w:rsid w:val="3C3BA069"/>
    <w:rsid w:val="3C583973"/>
    <w:rsid w:val="3CE1F1C1"/>
    <w:rsid w:val="3D24BC65"/>
    <w:rsid w:val="3D7C24A5"/>
    <w:rsid w:val="3D841DEE"/>
    <w:rsid w:val="3E6723A6"/>
    <w:rsid w:val="3E6F2A10"/>
    <w:rsid w:val="3E8B306E"/>
    <w:rsid w:val="3F0C968A"/>
    <w:rsid w:val="3F3702D7"/>
    <w:rsid w:val="3F63CB63"/>
    <w:rsid w:val="3F6E6306"/>
    <w:rsid w:val="3F83B081"/>
    <w:rsid w:val="3FFCA068"/>
    <w:rsid w:val="40244CAC"/>
    <w:rsid w:val="40B68BDC"/>
    <w:rsid w:val="40C5C473"/>
    <w:rsid w:val="40CA0F1F"/>
    <w:rsid w:val="40E1C600"/>
    <w:rsid w:val="40E63E12"/>
    <w:rsid w:val="40F75BB1"/>
    <w:rsid w:val="410F7BC6"/>
    <w:rsid w:val="41539344"/>
    <w:rsid w:val="417B579F"/>
    <w:rsid w:val="41820CA5"/>
    <w:rsid w:val="41A89BFD"/>
    <w:rsid w:val="41E229EE"/>
    <w:rsid w:val="4201CD7E"/>
    <w:rsid w:val="424D2B21"/>
    <w:rsid w:val="426339A7"/>
    <w:rsid w:val="4272BE56"/>
    <w:rsid w:val="4369AB1F"/>
    <w:rsid w:val="4388B1CF"/>
    <w:rsid w:val="44F7A299"/>
    <w:rsid w:val="452B14FA"/>
    <w:rsid w:val="45372029"/>
    <w:rsid w:val="4545773B"/>
    <w:rsid w:val="455F6BA7"/>
    <w:rsid w:val="456CC87A"/>
    <w:rsid w:val="45FA00AC"/>
    <w:rsid w:val="45FC4D71"/>
    <w:rsid w:val="46360D29"/>
    <w:rsid w:val="464E2C73"/>
    <w:rsid w:val="46594F27"/>
    <w:rsid w:val="46920563"/>
    <w:rsid w:val="46AFCDA9"/>
    <w:rsid w:val="46F91072"/>
    <w:rsid w:val="473358D5"/>
    <w:rsid w:val="473895E5"/>
    <w:rsid w:val="476AC02C"/>
    <w:rsid w:val="47776006"/>
    <w:rsid w:val="47BB6F8F"/>
    <w:rsid w:val="48242492"/>
    <w:rsid w:val="486BDEAC"/>
    <w:rsid w:val="48DD019C"/>
    <w:rsid w:val="48E62EC6"/>
    <w:rsid w:val="48FC147B"/>
    <w:rsid w:val="494123C0"/>
    <w:rsid w:val="49BF4A43"/>
    <w:rsid w:val="4A433F31"/>
    <w:rsid w:val="4A66B6D9"/>
    <w:rsid w:val="4AA2AED6"/>
    <w:rsid w:val="4B366F8C"/>
    <w:rsid w:val="4B466DBA"/>
    <w:rsid w:val="4BF3D0AC"/>
    <w:rsid w:val="4BF5FF91"/>
    <w:rsid w:val="4D2268B0"/>
    <w:rsid w:val="4D24ED0B"/>
    <w:rsid w:val="4D6F0006"/>
    <w:rsid w:val="4E330C69"/>
    <w:rsid w:val="4E3AF6A9"/>
    <w:rsid w:val="4EB493D1"/>
    <w:rsid w:val="4EBE31A3"/>
    <w:rsid w:val="4F3F0E87"/>
    <w:rsid w:val="500404B3"/>
    <w:rsid w:val="5007E1E0"/>
    <w:rsid w:val="503066A9"/>
    <w:rsid w:val="5055C58F"/>
    <w:rsid w:val="51460744"/>
    <w:rsid w:val="5151C7B3"/>
    <w:rsid w:val="515C41C8"/>
    <w:rsid w:val="51A21A59"/>
    <w:rsid w:val="51AD6F94"/>
    <w:rsid w:val="51AFD67D"/>
    <w:rsid w:val="51E966A1"/>
    <w:rsid w:val="5279E5AD"/>
    <w:rsid w:val="52CDE32C"/>
    <w:rsid w:val="52DA3A65"/>
    <w:rsid w:val="52E04F11"/>
    <w:rsid w:val="53F509B3"/>
    <w:rsid w:val="5458EA71"/>
    <w:rsid w:val="55168ED0"/>
    <w:rsid w:val="55F9A717"/>
    <w:rsid w:val="56289CEC"/>
    <w:rsid w:val="566A2E80"/>
    <w:rsid w:val="56D7747F"/>
    <w:rsid w:val="572D50A7"/>
    <w:rsid w:val="575A3585"/>
    <w:rsid w:val="578A0C55"/>
    <w:rsid w:val="57EE72A2"/>
    <w:rsid w:val="587801B5"/>
    <w:rsid w:val="58A54A76"/>
    <w:rsid w:val="58A8610F"/>
    <w:rsid w:val="58BA8156"/>
    <w:rsid w:val="58EBB154"/>
    <w:rsid w:val="595F8AB9"/>
    <w:rsid w:val="59C05AED"/>
    <w:rsid w:val="5A225471"/>
    <w:rsid w:val="5A2F986F"/>
    <w:rsid w:val="5ACCA732"/>
    <w:rsid w:val="5B4A3FBF"/>
    <w:rsid w:val="5D2319E1"/>
    <w:rsid w:val="5DA90640"/>
    <w:rsid w:val="5DF02C71"/>
    <w:rsid w:val="5E100DC3"/>
    <w:rsid w:val="5E3BDE63"/>
    <w:rsid w:val="5F0643D2"/>
    <w:rsid w:val="5FC4EB76"/>
    <w:rsid w:val="5FD62B56"/>
    <w:rsid w:val="60196E81"/>
    <w:rsid w:val="608C66A9"/>
    <w:rsid w:val="60E2BB70"/>
    <w:rsid w:val="611E5443"/>
    <w:rsid w:val="6155781E"/>
    <w:rsid w:val="61873CF0"/>
    <w:rsid w:val="61A16D41"/>
    <w:rsid w:val="622795D1"/>
    <w:rsid w:val="6249F660"/>
    <w:rsid w:val="62A67F58"/>
    <w:rsid w:val="62F4F274"/>
    <w:rsid w:val="6333F96B"/>
    <w:rsid w:val="63702C3B"/>
    <w:rsid w:val="64A88F21"/>
    <w:rsid w:val="64F408E3"/>
    <w:rsid w:val="64F88EAE"/>
    <w:rsid w:val="65406924"/>
    <w:rsid w:val="654C2592"/>
    <w:rsid w:val="654C6C0D"/>
    <w:rsid w:val="655AC23F"/>
    <w:rsid w:val="656A9032"/>
    <w:rsid w:val="65D17B90"/>
    <w:rsid w:val="672744DC"/>
    <w:rsid w:val="67540612"/>
    <w:rsid w:val="6759ACEB"/>
    <w:rsid w:val="67642AEA"/>
    <w:rsid w:val="67C0D92B"/>
    <w:rsid w:val="67D7F0CB"/>
    <w:rsid w:val="67DBB56D"/>
    <w:rsid w:val="68289471"/>
    <w:rsid w:val="691CA22C"/>
    <w:rsid w:val="69543D1F"/>
    <w:rsid w:val="69650318"/>
    <w:rsid w:val="69CB1796"/>
    <w:rsid w:val="69E5023C"/>
    <w:rsid w:val="6A01B704"/>
    <w:rsid w:val="6A0BE79D"/>
    <w:rsid w:val="6A5249EC"/>
    <w:rsid w:val="6A68B61F"/>
    <w:rsid w:val="6AB8E71A"/>
    <w:rsid w:val="6AC3BFC9"/>
    <w:rsid w:val="6AE650CB"/>
    <w:rsid w:val="6B20F2BA"/>
    <w:rsid w:val="6BBA5D78"/>
    <w:rsid w:val="6BC83589"/>
    <w:rsid w:val="6BCC6E40"/>
    <w:rsid w:val="6C5402F9"/>
    <w:rsid w:val="6C734B75"/>
    <w:rsid w:val="6CBAD31D"/>
    <w:rsid w:val="6D750C82"/>
    <w:rsid w:val="6D799BC7"/>
    <w:rsid w:val="6DA7E1DA"/>
    <w:rsid w:val="6DB369CA"/>
    <w:rsid w:val="6E684856"/>
    <w:rsid w:val="6FA1BCA3"/>
    <w:rsid w:val="70ABB41C"/>
    <w:rsid w:val="70D2F3D5"/>
    <w:rsid w:val="7116DA69"/>
    <w:rsid w:val="716883DF"/>
    <w:rsid w:val="71ACD9D2"/>
    <w:rsid w:val="721868BC"/>
    <w:rsid w:val="7393D57D"/>
    <w:rsid w:val="7402E2D2"/>
    <w:rsid w:val="74192CCD"/>
    <w:rsid w:val="74B07982"/>
    <w:rsid w:val="75032C9A"/>
    <w:rsid w:val="75F26BE3"/>
    <w:rsid w:val="75F5EF9B"/>
    <w:rsid w:val="761DA34C"/>
    <w:rsid w:val="76C1C485"/>
    <w:rsid w:val="77B6C889"/>
    <w:rsid w:val="77CC38F4"/>
    <w:rsid w:val="78186D56"/>
    <w:rsid w:val="7835AD95"/>
    <w:rsid w:val="78645844"/>
    <w:rsid w:val="7868EE10"/>
    <w:rsid w:val="78C40E3D"/>
    <w:rsid w:val="78F09D9D"/>
    <w:rsid w:val="794920F7"/>
    <w:rsid w:val="795CE6EB"/>
    <w:rsid w:val="795F5179"/>
    <w:rsid w:val="7977C94B"/>
    <w:rsid w:val="79FF3084"/>
    <w:rsid w:val="7ABCC3C9"/>
    <w:rsid w:val="7ACA1CC4"/>
    <w:rsid w:val="7ACD2400"/>
    <w:rsid w:val="7AF44102"/>
    <w:rsid w:val="7B04B746"/>
    <w:rsid w:val="7B142D15"/>
    <w:rsid w:val="7B5659C5"/>
    <w:rsid w:val="7B8862BB"/>
    <w:rsid w:val="7BA0133A"/>
    <w:rsid w:val="7BA537C4"/>
    <w:rsid w:val="7BB378DC"/>
    <w:rsid w:val="7C2B98DB"/>
    <w:rsid w:val="7CBCDC80"/>
    <w:rsid w:val="7CBED484"/>
    <w:rsid w:val="7CC88642"/>
    <w:rsid w:val="7D18948A"/>
    <w:rsid w:val="7D77D968"/>
    <w:rsid w:val="7DBA33B4"/>
    <w:rsid w:val="7DC1339F"/>
    <w:rsid w:val="7E122CE5"/>
    <w:rsid w:val="7E1B4C45"/>
    <w:rsid w:val="7E7CF314"/>
    <w:rsid w:val="7ED33727"/>
    <w:rsid w:val="7EFC2AC9"/>
    <w:rsid w:val="7F480FE1"/>
    <w:rsid w:val="7F4A93A0"/>
    <w:rsid w:val="7F90EAB3"/>
    <w:rsid w:val="7FE72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65DC"/>
  <w15:chartTrackingRefBased/>
  <w15:docId w15:val="{C16488CF-F6D5-40BA-A868-AB4B2646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96"/>
    <w:pPr>
      <w:spacing w:after="0" w:line="288" w:lineRule="auto"/>
    </w:pPr>
    <w:rPr>
      <w:rFonts w:ascii="Verdana" w:hAnsi="Verdana"/>
      <w:sz w:val="24"/>
    </w:rPr>
  </w:style>
  <w:style w:type="paragraph" w:styleId="Heading1">
    <w:name w:val="heading 1"/>
    <w:basedOn w:val="Normal"/>
    <w:next w:val="Normal"/>
    <w:link w:val="Heading1Char"/>
    <w:uiPriority w:val="9"/>
    <w:qFormat/>
    <w:rsid w:val="001F5E96"/>
    <w:pPr>
      <w:keepNext/>
      <w:keepLines/>
      <w:spacing w:before="360" w:after="80" w:line="480" w:lineRule="auto"/>
      <w:outlineLvl w:val="0"/>
    </w:pPr>
    <w:rPr>
      <w:rFonts w:eastAsiaTheme="majorEastAsia" w:cstheme="majorBidi"/>
      <w:b/>
      <w:color w:val="77328A"/>
      <w:sz w:val="40"/>
      <w:szCs w:val="40"/>
    </w:rPr>
  </w:style>
  <w:style w:type="paragraph" w:styleId="Heading2">
    <w:name w:val="heading 2"/>
    <w:basedOn w:val="Normal"/>
    <w:next w:val="Normal"/>
    <w:link w:val="Heading2Char"/>
    <w:uiPriority w:val="9"/>
    <w:unhideWhenUsed/>
    <w:qFormat/>
    <w:rsid w:val="001F5E96"/>
    <w:pPr>
      <w:keepNext/>
      <w:keepLines/>
      <w:spacing w:before="160" w:after="80" w:line="480" w:lineRule="auto"/>
      <w:outlineLvl w:val="1"/>
    </w:pPr>
    <w:rPr>
      <w:rFonts w:eastAsiaTheme="majorEastAsia" w:cstheme="majorBidi"/>
      <w:b/>
      <w:color w:val="77328A"/>
      <w:sz w:val="30"/>
      <w:szCs w:val="32"/>
    </w:rPr>
  </w:style>
  <w:style w:type="paragraph" w:styleId="Heading3">
    <w:name w:val="heading 3"/>
    <w:basedOn w:val="Normal"/>
    <w:next w:val="Normal"/>
    <w:link w:val="Heading3Char"/>
    <w:uiPriority w:val="9"/>
    <w:unhideWhenUsed/>
    <w:qFormat/>
    <w:rsid w:val="001F5E96"/>
    <w:pPr>
      <w:keepNext/>
      <w:keepLines/>
      <w:spacing w:before="160" w:after="80" w:line="480" w:lineRule="auto"/>
      <w:outlineLvl w:val="2"/>
    </w:pPr>
    <w:rPr>
      <w:rFonts w:eastAsiaTheme="majorEastAsia" w:cstheme="majorBidi"/>
      <w:b/>
      <w:sz w:val="30"/>
      <w:szCs w:val="28"/>
    </w:rPr>
  </w:style>
  <w:style w:type="paragraph" w:styleId="Heading4">
    <w:name w:val="heading 4"/>
    <w:basedOn w:val="Normal"/>
    <w:next w:val="Normal"/>
    <w:link w:val="Heading4Char"/>
    <w:uiPriority w:val="9"/>
    <w:unhideWhenUsed/>
    <w:qFormat/>
    <w:rsid w:val="001F5E96"/>
    <w:pPr>
      <w:keepNext/>
      <w:keepLines/>
      <w:spacing w:before="80" w:after="40" w:line="48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F5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E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E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E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E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E96"/>
    <w:rPr>
      <w:rFonts w:ascii="Verdana" w:eastAsiaTheme="majorEastAsia" w:hAnsi="Verdana" w:cstheme="majorBidi"/>
      <w:b/>
      <w:color w:val="77328A"/>
      <w:sz w:val="40"/>
      <w:szCs w:val="40"/>
    </w:rPr>
  </w:style>
  <w:style w:type="character" w:customStyle="1" w:styleId="Heading2Char">
    <w:name w:val="Heading 2 Char"/>
    <w:basedOn w:val="DefaultParagraphFont"/>
    <w:link w:val="Heading2"/>
    <w:uiPriority w:val="9"/>
    <w:rsid w:val="001F5E96"/>
    <w:rPr>
      <w:rFonts w:ascii="Verdana" w:eastAsiaTheme="majorEastAsia" w:hAnsi="Verdana" w:cstheme="majorBidi"/>
      <w:b/>
      <w:color w:val="77328A"/>
      <w:sz w:val="30"/>
      <w:szCs w:val="32"/>
    </w:rPr>
  </w:style>
  <w:style w:type="character" w:customStyle="1" w:styleId="Heading3Char">
    <w:name w:val="Heading 3 Char"/>
    <w:basedOn w:val="DefaultParagraphFont"/>
    <w:link w:val="Heading3"/>
    <w:uiPriority w:val="9"/>
    <w:rsid w:val="001F5E96"/>
    <w:rPr>
      <w:rFonts w:ascii="Verdana" w:eastAsiaTheme="majorEastAsia" w:hAnsi="Verdana" w:cstheme="majorBidi"/>
      <w:b/>
      <w:sz w:val="30"/>
      <w:szCs w:val="28"/>
    </w:rPr>
  </w:style>
  <w:style w:type="character" w:customStyle="1" w:styleId="Heading4Char">
    <w:name w:val="Heading 4 Char"/>
    <w:basedOn w:val="DefaultParagraphFont"/>
    <w:link w:val="Heading4"/>
    <w:uiPriority w:val="9"/>
    <w:rsid w:val="001F5E96"/>
    <w:rPr>
      <w:rFonts w:ascii="Verdana" w:eastAsiaTheme="majorEastAsia" w:hAnsi="Verdana" w:cstheme="majorBidi"/>
      <w:b/>
      <w:iCs/>
      <w:sz w:val="24"/>
    </w:rPr>
  </w:style>
  <w:style w:type="character" w:customStyle="1" w:styleId="Heading5Char">
    <w:name w:val="Heading 5 Char"/>
    <w:basedOn w:val="DefaultParagraphFont"/>
    <w:link w:val="Heading5"/>
    <w:uiPriority w:val="9"/>
    <w:semiHidden/>
    <w:rsid w:val="001F5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E96"/>
    <w:rPr>
      <w:rFonts w:eastAsiaTheme="majorEastAsia" w:cstheme="majorBidi"/>
      <w:color w:val="272727" w:themeColor="text1" w:themeTint="D8"/>
    </w:rPr>
  </w:style>
  <w:style w:type="paragraph" w:styleId="Title">
    <w:name w:val="Title"/>
    <w:basedOn w:val="Normal"/>
    <w:next w:val="Normal"/>
    <w:link w:val="TitleChar"/>
    <w:uiPriority w:val="10"/>
    <w:qFormat/>
    <w:rsid w:val="001F5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149"/>
    <w:pPr>
      <w:ind w:left="862" w:right="862"/>
    </w:pPr>
    <w:rPr>
      <w:iCs/>
    </w:rPr>
  </w:style>
  <w:style w:type="character" w:customStyle="1" w:styleId="QuoteChar">
    <w:name w:val="Quote Char"/>
    <w:basedOn w:val="DefaultParagraphFont"/>
    <w:link w:val="Quote"/>
    <w:uiPriority w:val="29"/>
    <w:rsid w:val="000F0149"/>
    <w:rPr>
      <w:rFonts w:ascii="Verdana" w:hAnsi="Verdana"/>
      <w:iCs/>
      <w:sz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
    <w:basedOn w:val="Normal"/>
    <w:link w:val="ListParagraphChar"/>
    <w:uiPriority w:val="34"/>
    <w:qFormat/>
    <w:rsid w:val="001F5E96"/>
    <w:pPr>
      <w:ind w:left="720"/>
      <w:contextualSpacing/>
    </w:pPr>
  </w:style>
  <w:style w:type="character" w:styleId="IntenseEmphasis">
    <w:name w:val="Intense Emphasis"/>
    <w:basedOn w:val="DefaultParagraphFont"/>
    <w:uiPriority w:val="21"/>
    <w:qFormat/>
    <w:rsid w:val="001F5E96"/>
    <w:rPr>
      <w:i/>
      <w:iCs/>
      <w:color w:val="0F4761" w:themeColor="accent1" w:themeShade="BF"/>
    </w:rPr>
  </w:style>
  <w:style w:type="paragraph" w:styleId="IntenseQuote">
    <w:name w:val="Intense Quote"/>
    <w:basedOn w:val="Normal"/>
    <w:next w:val="Normal"/>
    <w:link w:val="IntenseQuoteChar"/>
    <w:uiPriority w:val="30"/>
    <w:qFormat/>
    <w:rsid w:val="001F5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E96"/>
    <w:rPr>
      <w:i/>
      <w:iCs/>
      <w:color w:val="0F4761" w:themeColor="accent1" w:themeShade="BF"/>
    </w:rPr>
  </w:style>
  <w:style w:type="character" w:styleId="IntenseReference">
    <w:name w:val="Intense Reference"/>
    <w:basedOn w:val="DefaultParagraphFont"/>
    <w:uiPriority w:val="32"/>
    <w:qFormat/>
    <w:rsid w:val="001F5E96"/>
    <w:rPr>
      <w:b/>
      <w:bCs/>
      <w:smallCaps/>
      <w:color w:val="0F4761" w:themeColor="accent1" w:themeShade="BF"/>
      <w:spacing w:val="5"/>
    </w:rPr>
  </w:style>
  <w:style w:type="paragraph" w:customStyle="1" w:styleId="BasicParagraph">
    <w:name w:val="[Basic Paragraph]"/>
    <w:basedOn w:val="Normal"/>
    <w:uiPriority w:val="99"/>
    <w:rsid w:val="003D6A58"/>
    <w:pPr>
      <w:widowControl w:val="0"/>
      <w:autoSpaceDE w:val="0"/>
      <w:autoSpaceDN w:val="0"/>
      <w:adjustRightInd w:val="0"/>
      <w:textAlignment w:val="center"/>
    </w:pPr>
    <w:rPr>
      <w:rFonts w:ascii="MinionPro-Regular" w:eastAsiaTheme="minorEastAsia" w:hAnsi="MinionPro-Regular" w:cs="MinionPro-Regular"/>
      <w:color w:val="000000"/>
      <w:kern w:val="0"/>
      <w:szCs w:val="24"/>
      <w14:ligatures w14:val="none"/>
    </w:rPr>
  </w:style>
  <w:style w:type="paragraph" w:customStyle="1" w:styleId="Default">
    <w:name w:val="Default"/>
    <w:rsid w:val="003D6A58"/>
    <w:pPr>
      <w:widowControl w:val="0"/>
      <w:autoSpaceDE w:val="0"/>
      <w:autoSpaceDN w:val="0"/>
      <w:adjustRightInd w:val="0"/>
      <w:spacing w:after="0" w:line="240" w:lineRule="auto"/>
    </w:pPr>
    <w:rPr>
      <w:rFonts w:ascii="Verdana" w:eastAsiaTheme="minorEastAsia" w:hAnsi="Verdana" w:cs="Verdana"/>
      <w:color w:val="000000"/>
      <w:kern w:val="0"/>
      <w:sz w:val="24"/>
      <w:szCs w:val="24"/>
      <w:lang w:val="en-US"/>
      <w14:ligatures w14:val="none"/>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4A5F28"/>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4A5F28"/>
    <w:pPr>
      <w:spacing w:after="160" w:line="240" w:lineRule="exact"/>
      <w:jc w:val="both"/>
    </w:pPr>
    <w:rPr>
      <w:rFonts w:asciiTheme="minorHAnsi" w:hAnsiTheme="minorHAnsi"/>
      <w:sz w:val="22"/>
      <w:vertAlign w:val="superscript"/>
    </w:rPr>
  </w:style>
  <w:style w:type="paragraph" w:customStyle="1" w:styleId="NIHRCFootnotes">
    <w:name w:val="NIHRC Footnotes"/>
    <w:basedOn w:val="Normal"/>
    <w:qFormat/>
    <w:rsid w:val="004A5F28"/>
    <w:pPr>
      <w:tabs>
        <w:tab w:val="left" w:pos="284"/>
      </w:tabs>
      <w:spacing w:line="240" w:lineRule="auto"/>
      <w:jc w:val="both"/>
    </w:pPr>
    <w:rPr>
      <w:rFonts w:eastAsiaTheme="minorEastAsia" w:cs="Arial"/>
      <w:color w:val="77328A"/>
      <w:kern w:val="0"/>
      <w:sz w:val="16"/>
      <w:szCs w:val="16"/>
      <w14:ligatures w14:val="none"/>
    </w:rPr>
  </w:style>
  <w:style w:type="paragraph" w:styleId="CommentText">
    <w:name w:val="annotation text"/>
    <w:basedOn w:val="Normal"/>
    <w:link w:val="CommentTextChar"/>
    <w:uiPriority w:val="99"/>
    <w:unhideWhenUsed/>
    <w:rsid w:val="00834CAA"/>
    <w:pPr>
      <w:spacing w:line="240" w:lineRule="auto"/>
    </w:pPr>
    <w:rPr>
      <w:sz w:val="20"/>
      <w:szCs w:val="20"/>
    </w:rPr>
  </w:style>
  <w:style w:type="character" w:customStyle="1" w:styleId="CommentTextChar">
    <w:name w:val="Comment Text Char"/>
    <w:basedOn w:val="DefaultParagraphFont"/>
    <w:link w:val="CommentText"/>
    <w:uiPriority w:val="99"/>
    <w:rsid w:val="00834CA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34CAA"/>
    <w:pPr>
      <w:spacing w:line="288" w:lineRule="auto"/>
    </w:pPr>
    <w:rPr>
      <w:b/>
      <w:bCs/>
      <w:kern w:val="0"/>
      <w14:ligatures w14:val="none"/>
    </w:rPr>
  </w:style>
  <w:style w:type="character" w:customStyle="1" w:styleId="CommentSubjectChar">
    <w:name w:val="Comment Subject Char"/>
    <w:basedOn w:val="CommentTextChar"/>
    <w:link w:val="CommentSubject"/>
    <w:uiPriority w:val="99"/>
    <w:semiHidden/>
    <w:rsid w:val="00834CAA"/>
    <w:rPr>
      <w:rFonts w:ascii="Verdana" w:hAnsi="Verdana"/>
      <w:b/>
      <w:bCs/>
      <w:kern w:val="0"/>
      <w:sz w:val="20"/>
      <w:szCs w:val="20"/>
      <w14:ligatures w14:val="none"/>
    </w:rPr>
  </w:style>
  <w:style w:type="character" w:styleId="Strong">
    <w:name w:val="Strong"/>
    <w:basedOn w:val="DefaultParagraphFont"/>
    <w:uiPriority w:val="22"/>
    <w:qFormat/>
    <w:rsid w:val="00834CAA"/>
    <w:rPr>
      <w:b/>
      <w:bC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BC1B26"/>
    <w:rPr>
      <w:rFonts w:ascii="Verdana" w:hAnsi="Verdana"/>
      <w:sz w:val="24"/>
    </w:rPr>
  </w:style>
  <w:style w:type="paragraph" w:styleId="TOCHeading">
    <w:name w:val="TOC Heading"/>
    <w:basedOn w:val="Heading1"/>
    <w:next w:val="Normal"/>
    <w:uiPriority w:val="39"/>
    <w:unhideWhenUsed/>
    <w:qFormat/>
    <w:rsid w:val="0013649A"/>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13649A"/>
    <w:pPr>
      <w:spacing w:after="100"/>
      <w:ind w:left="240"/>
    </w:pPr>
  </w:style>
  <w:style w:type="paragraph" w:styleId="TOC3">
    <w:name w:val="toc 3"/>
    <w:basedOn w:val="Normal"/>
    <w:next w:val="Normal"/>
    <w:autoRedefine/>
    <w:uiPriority w:val="39"/>
    <w:unhideWhenUsed/>
    <w:rsid w:val="0013649A"/>
    <w:pPr>
      <w:spacing w:after="100"/>
      <w:ind w:left="480"/>
    </w:pPr>
  </w:style>
  <w:style w:type="character" w:styleId="Hyperlink">
    <w:name w:val="Hyperlink"/>
    <w:basedOn w:val="DefaultParagraphFont"/>
    <w:uiPriority w:val="99"/>
    <w:unhideWhenUsed/>
    <w:rsid w:val="0013649A"/>
    <w:rPr>
      <w:color w:val="467886" w:themeColor="hyperlink"/>
      <w:u w:val="single"/>
    </w:rPr>
  </w:style>
  <w:style w:type="character" w:styleId="UnresolvedMention">
    <w:name w:val="Unresolved Mention"/>
    <w:basedOn w:val="DefaultParagraphFont"/>
    <w:uiPriority w:val="99"/>
    <w:semiHidden/>
    <w:unhideWhenUsed/>
    <w:rsid w:val="00A854D6"/>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fn,single space,footnote text,FOOTNOTES,ADB,Footnote Text Char1,Footnote Text Char1 Char1 Char,Footnote Text Char Char Char1 Char,Footnote Text Char1 Char Char Char1 Char,Footnote Text Char Char Char Char Char1 Char,fn Char,ft,Footnotes,A"/>
    <w:basedOn w:val="Normal"/>
    <w:link w:val="FootnoteTextChar"/>
    <w:uiPriority w:val="99"/>
    <w:unhideWhenUsed/>
    <w:qFormat/>
    <w:rsid w:val="00781DEC"/>
    <w:pPr>
      <w:spacing w:line="240" w:lineRule="auto"/>
    </w:pPr>
    <w:rPr>
      <w:sz w:val="20"/>
      <w:szCs w:val="20"/>
    </w:rPr>
  </w:style>
  <w:style w:type="paragraph" w:styleId="Header">
    <w:name w:val="header"/>
    <w:basedOn w:val="Normal"/>
    <w:link w:val="HeaderChar"/>
    <w:uiPriority w:val="99"/>
    <w:unhideWhenUsed/>
    <w:rsid w:val="00373C60"/>
    <w:pPr>
      <w:tabs>
        <w:tab w:val="center" w:pos="4680"/>
        <w:tab w:val="right" w:pos="9360"/>
      </w:tabs>
      <w:spacing w:line="240" w:lineRule="auto"/>
    </w:pPr>
  </w:style>
  <w:style w:type="character" w:customStyle="1" w:styleId="HeaderChar">
    <w:name w:val="Header Char"/>
    <w:basedOn w:val="DefaultParagraphFont"/>
    <w:link w:val="Header"/>
    <w:uiPriority w:val="99"/>
    <w:rsid w:val="00E04258"/>
    <w:rPr>
      <w:rFonts w:ascii="Verdana" w:hAnsi="Verdana"/>
      <w:sz w:val="24"/>
    </w:rPr>
  </w:style>
  <w:style w:type="paragraph" w:styleId="Footer">
    <w:name w:val="footer"/>
    <w:basedOn w:val="Normal"/>
    <w:link w:val="FooterChar"/>
    <w:uiPriority w:val="99"/>
    <w:unhideWhenUsed/>
    <w:rsid w:val="00373C60"/>
    <w:pPr>
      <w:tabs>
        <w:tab w:val="center" w:pos="4680"/>
        <w:tab w:val="right" w:pos="9360"/>
      </w:tabs>
      <w:spacing w:line="240" w:lineRule="auto"/>
    </w:pPr>
  </w:style>
  <w:style w:type="character" w:customStyle="1" w:styleId="FooterChar">
    <w:name w:val="Footer Char"/>
    <w:basedOn w:val="DefaultParagraphFont"/>
    <w:link w:val="Footer"/>
    <w:uiPriority w:val="99"/>
    <w:rsid w:val="00E04258"/>
    <w:rPr>
      <w:rFonts w:ascii="Verdana" w:hAnsi="Verdana"/>
      <w:sz w:val="24"/>
    </w:rPr>
  </w:style>
  <w:style w:type="character" w:customStyle="1" w:styleId="FootnoteTextChar">
    <w:name w:val="Footnote Text Char"/>
    <w:aliases w:val="fn Char1,single space Char,footnote text Char,FOOTNOTES Char,ADB Char,Footnote Text Char1 Char,Footnote Text Char1 Char1 Char Char,Footnote Text Char Char Char1 Char Char,Footnote Text Char1 Char Char Char1 Char Char,fn Char Char"/>
    <w:basedOn w:val="DefaultParagraphFont"/>
    <w:link w:val="FootnoteText"/>
    <w:uiPriority w:val="99"/>
    <w:qFormat/>
    <w:rsid w:val="00781DEC"/>
    <w:rPr>
      <w:rFonts w:ascii="Verdana" w:hAnsi="Verdana"/>
      <w:sz w:val="20"/>
      <w:szCs w:val="20"/>
    </w:rPr>
  </w:style>
  <w:style w:type="paragraph" w:styleId="NormalWeb">
    <w:name w:val="Normal (Web)"/>
    <w:basedOn w:val="Normal"/>
    <w:uiPriority w:val="99"/>
    <w:semiHidden/>
    <w:unhideWhenUsed/>
    <w:rsid w:val="00DB003D"/>
    <w:rPr>
      <w:rFonts w:ascii="Times New Roman" w:hAnsi="Times New Roman" w:cs="Times New Roman"/>
      <w:szCs w:val="24"/>
    </w:rPr>
  </w:style>
  <w:style w:type="paragraph" w:styleId="Revision">
    <w:name w:val="Revision"/>
    <w:hidden/>
    <w:uiPriority w:val="99"/>
    <w:semiHidden/>
    <w:rsid w:val="001F451C"/>
    <w:pPr>
      <w:spacing w:after="0" w:line="240" w:lineRule="auto"/>
    </w:pPr>
    <w:rPr>
      <w:rFonts w:ascii="Verdana" w:hAnsi="Verdana"/>
      <w:sz w:val="24"/>
    </w:rPr>
  </w:style>
  <w:style w:type="character" w:styleId="FollowedHyperlink">
    <w:name w:val="FollowedHyperlink"/>
    <w:basedOn w:val="DefaultParagraphFont"/>
    <w:uiPriority w:val="99"/>
    <w:semiHidden/>
    <w:unhideWhenUsed/>
    <w:rsid w:val="00F431D1"/>
    <w:rPr>
      <w:color w:val="96607D" w:themeColor="followedHyperlink"/>
      <w:u w:val="single"/>
    </w:rPr>
  </w:style>
  <w:style w:type="character" w:styleId="Mention">
    <w:name w:val="Mention"/>
    <w:basedOn w:val="DefaultParagraphFont"/>
    <w:uiPriority w:val="99"/>
    <w:unhideWhenUsed/>
    <w:rsid w:val="00E100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87958">
      <w:bodyDiv w:val="1"/>
      <w:marLeft w:val="0"/>
      <w:marRight w:val="0"/>
      <w:marTop w:val="0"/>
      <w:marBottom w:val="0"/>
      <w:divBdr>
        <w:top w:val="none" w:sz="0" w:space="0" w:color="auto"/>
        <w:left w:val="none" w:sz="0" w:space="0" w:color="auto"/>
        <w:bottom w:val="none" w:sz="0" w:space="0" w:color="auto"/>
        <w:right w:val="none" w:sz="0" w:space="0" w:color="auto"/>
      </w:divBdr>
    </w:div>
    <w:div w:id="1430658262">
      <w:bodyDiv w:val="1"/>
      <w:marLeft w:val="0"/>
      <w:marRight w:val="0"/>
      <w:marTop w:val="0"/>
      <w:marBottom w:val="0"/>
      <w:divBdr>
        <w:top w:val="none" w:sz="0" w:space="0" w:color="auto"/>
        <w:left w:val="none" w:sz="0" w:space="0" w:color="auto"/>
        <w:bottom w:val="none" w:sz="0" w:space="0" w:color="auto"/>
        <w:right w:val="none" w:sz="0" w:space="0" w:color="auto"/>
      </w:divBdr>
    </w:div>
    <w:div w:id="1733886956">
      <w:bodyDiv w:val="1"/>
      <w:marLeft w:val="0"/>
      <w:marRight w:val="0"/>
      <w:marTop w:val="0"/>
      <w:marBottom w:val="0"/>
      <w:divBdr>
        <w:top w:val="none" w:sz="0" w:space="0" w:color="auto"/>
        <w:left w:val="none" w:sz="0" w:space="0" w:color="auto"/>
        <w:bottom w:val="none" w:sz="0" w:space="0" w:color="auto"/>
        <w:right w:val="none" w:sz="0" w:space="0" w:color="auto"/>
      </w:divBdr>
      <w:divsChild>
        <w:div w:id="74480131">
          <w:marLeft w:val="-225"/>
          <w:marRight w:val="-225"/>
          <w:marTop w:val="0"/>
          <w:marBottom w:val="0"/>
          <w:divBdr>
            <w:top w:val="none" w:sz="0" w:space="0" w:color="auto"/>
            <w:left w:val="none" w:sz="0" w:space="0" w:color="auto"/>
            <w:bottom w:val="none" w:sz="0" w:space="0" w:color="auto"/>
            <w:right w:val="none" w:sz="0" w:space="0" w:color="auto"/>
          </w:divBdr>
          <w:divsChild>
            <w:div w:id="1825659530">
              <w:marLeft w:val="0"/>
              <w:marRight w:val="0"/>
              <w:marTop w:val="0"/>
              <w:marBottom w:val="0"/>
              <w:divBdr>
                <w:top w:val="none" w:sz="0" w:space="0" w:color="auto"/>
                <w:left w:val="none" w:sz="0" w:space="0" w:color="auto"/>
                <w:bottom w:val="none" w:sz="0" w:space="0" w:color="auto"/>
                <w:right w:val="none" w:sz="0" w:space="0" w:color="auto"/>
              </w:divBdr>
              <w:divsChild>
                <w:div w:id="20087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171">
          <w:marLeft w:val="-225"/>
          <w:marRight w:val="-225"/>
          <w:marTop w:val="0"/>
          <w:marBottom w:val="0"/>
          <w:divBdr>
            <w:top w:val="none" w:sz="0" w:space="0" w:color="auto"/>
            <w:left w:val="none" w:sz="0" w:space="0" w:color="auto"/>
            <w:bottom w:val="none" w:sz="0" w:space="0" w:color="auto"/>
            <w:right w:val="none" w:sz="0" w:space="0" w:color="auto"/>
          </w:divBdr>
          <w:divsChild>
            <w:div w:id="890966489">
              <w:marLeft w:val="0"/>
              <w:marRight w:val="0"/>
              <w:marTop w:val="0"/>
              <w:marBottom w:val="0"/>
              <w:divBdr>
                <w:top w:val="none" w:sz="0" w:space="0" w:color="auto"/>
                <w:left w:val="none" w:sz="0" w:space="0" w:color="auto"/>
                <w:bottom w:val="none" w:sz="0" w:space="0" w:color="auto"/>
                <w:right w:val="none" w:sz="0" w:space="0" w:color="auto"/>
              </w:divBdr>
              <w:divsChild>
                <w:div w:id="1413698464">
                  <w:marLeft w:val="0"/>
                  <w:marRight w:val="0"/>
                  <w:marTop w:val="0"/>
                  <w:marBottom w:val="0"/>
                  <w:divBdr>
                    <w:top w:val="none" w:sz="0" w:space="0" w:color="auto"/>
                    <w:left w:val="none" w:sz="0" w:space="0" w:color="auto"/>
                    <w:bottom w:val="none" w:sz="0" w:space="0" w:color="auto"/>
                    <w:right w:val="none" w:sz="0" w:space="0" w:color="auto"/>
                  </w:divBdr>
                </w:div>
              </w:divsChild>
            </w:div>
            <w:div w:id="9843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5192">
      <w:bodyDiv w:val="1"/>
      <w:marLeft w:val="0"/>
      <w:marRight w:val="0"/>
      <w:marTop w:val="0"/>
      <w:marBottom w:val="0"/>
      <w:divBdr>
        <w:top w:val="none" w:sz="0" w:space="0" w:color="auto"/>
        <w:left w:val="none" w:sz="0" w:space="0" w:color="auto"/>
        <w:bottom w:val="none" w:sz="0" w:space="0" w:color="auto"/>
        <w:right w:val="none" w:sz="0" w:space="0" w:color="auto"/>
      </w:divBdr>
      <w:divsChild>
        <w:div w:id="1377267893">
          <w:marLeft w:val="-225"/>
          <w:marRight w:val="-225"/>
          <w:marTop w:val="0"/>
          <w:marBottom w:val="0"/>
          <w:divBdr>
            <w:top w:val="none" w:sz="0" w:space="0" w:color="auto"/>
            <w:left w:val="none" w:sz="0" w:space="0" w:color="auto"/>
            <w:bottom w:val="none" w:sz="0" w:space="0" w:color="auto"/>
            <w:right w:val="none" w:sz="0" w:space="0" w:color="auto"/>
          </w:divBdr>
          <w:divsChild>
            <w:div w:id="1165434244">
              <w:marLeft w:val="0"/>
              <w:marRight w:val="0"/>
              <w:marTop w:val="0"/>
              <w:marBottom w:val="0"/>
              <w:divBdr>
                <w:top w:val="none" w:sz="0" w:space="0" w:color="auto"/>
                <w:left w:val="none" w:sz="0" w:space="0" w:color="auto"/>
                <w:bottom w:val="none" w:sz="0" w:space="0" w:color="auto"/>
                <w:right w:val="none" w:sz="0" w:space="0" w:color="auto"/>
              </w:divBdr>
              <w:divsChild>
                <w:div w:id="20532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5418">
          <w:marLeft w:val="-225"/>
          <w:marRight w:val="-225"/>
          <w:marTop w:val="0"/>
          <w:marBottom w:val="0"/>
          <w:divBdr>
            <w:top w:val="none" w:sz="0" w:space="0" w:color="auto"/>
            <w:left w:val="none" w:sz="0" w:space="0" w:color="auto"/>
            <w:bottom w:val="none" w:sz="0" w:space="0" w:color="auto"/>
            <w:right w:val="none" w:sz="0" w:space="0" w:color="auto"/>
          </w:divBdr>
          <w:divsChild>
            <w:div w:id="865143021">
              <w:marLeft w:val="0"/>
              <w:marRight w:val="0"/>
              <w:marTop w:val="0"/>
              <w:marBottom w:val="0"/>
              <w:divBdr>
                <w:top w:val="none" w:sz="0" w:space="0" w:color="auto"/>
                <w:left w:val="none" w:sz="0" w:space="0" w:color="auto"/>
                <w:bottom w:val="none" w:sz="0" w:space="0" w:color="auto"/>
                <w:right w:val="none" w:sz="0" w:space="0" w:color="auto"/>
              </w:divBdr>
              <w:divsChild>
                <w:div w:id="1452749625">
                  <w:marLeft w:val="0"/>
                  <w:marRight w:val="0"/>
                  <w:marTop w:val="0"/>
                  <w:marBottom w:val="0"/>
                  <w:divBdr>
                    <w:top w:val="none" w:sz="0" w:space="0" w:color="auto"/>
                    <w:left w:val="none" w:sz="0" w:space="0" w:color="auto"/>
                    <w:bottom w:val="none" w:sz="0" w:space="0" w:color="auto"/>
                    <w:right w:val="none" w:sz="0" w:space="0" w:color="auto"/>
                  </w:divBdr>
                </w:div>
              </w:divsChild>
            </w:div>
            <w:div w:id="20836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lis.Haughey@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ihrc.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h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F1871-5B35-45B1-B34A-2123A5DCC003}">
  <ds:schemaRefs>
    <ds:schemaRef ds:uri="http://schemas.openxmlformats.org/officeDocument/2006/bibliography"/>
  </ds:schemaRefs>
</ds:datastoreItem>
</file>

<file path=customXml/itemProps2.xml><?xml version="1.0" encoding="utf-8"?>
<ds:datastoreItem xmlns:ds="http://schemas.openxmlformats.org/officeDocument/2006/customXml" ds:itemID="{382BA477-A7DC-4EAB-B6B7-B66D08ADA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DA797-95A9-43E1-9220-53D0587BD73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806d6863-a85d-4a14-ba5d-ada9e5b222dd"/>
    <ds:schemaRef ds:uri="12479bdc-b58c-44ab-9f0f-fa5baefb3da2"/>
    <ds:schemaRef ds:uri="http://www.w3.org/XML/1998/namespace"/>
    <ds:schemaRef ds:uri="http://purl.org/dc/dcmitype/"/>
  </ds:schemaRefs>
</ds:datastoreItem>
</file>

<file path=customXml/itemProps4.xml><?xml version="1.0" encoding="utf-8"?>
<ds:datastoreItem xmlns:ds="http://schemas.openxmlformats.org/officeDocument/2006/customXml" ds:itemID="{75D313A9-CF8C-4C2D-AE97-D3F18EBBB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2217</Words>
  <Characters>12642</Characters>
  <Application>Microsoft Office Word</Application>
  <DocSecurity>0</DocSecurity>
  <Lines>105</Lines>
  <Paragraphs>29</Paragraphs>
  <ScaleCrop>false</ScaleCrop>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Russell</dc:creator>
  <cp:keywords/>
  <dc:description/>
  <cp:lastModifiedBy>Hannah Russell</cp:lastModifiedBy>
  <cp:revision>34</cp:revision>
  <cp:lastPrinted>2025-01-14T17:34:00Z</cp:lastPrinted>
  <dcterms:created xsi:type="dcterms:W3CDTF">2025-01-14T12:39:00Z</dcterms:created>
  <dcterms:modified xsi:type="dcterms:W3CDTF">2025-01-14T17:34:00Z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