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1545"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2408A7EB" wp14:editId="488E2E01">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1975BB34"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6E0F4F28" w14:textId="77465773" w:rsidR="0096459E" w:rsidRDefault="00966136" w:rsidP="003B7D0E">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 xml:space="preserve">Submission to the UN Committee on the Elimination of Racial </w:t>
      </w:r>
      <w:r w:rsidR="001B15E7">
        <w:rPr>
          <w:rFonts w:ascii="Verdana" w:hAnsi="Verdana" w:cs="Arial"/>
          <w:b/>
          <w:bCs/>
          <w:color w:val="77328A"/>
          <w:sz w:val="36"/>
          <w:szCs w:val="36"/>
        </w:rPr>
        <w:t xml:space="preserve">Discrimination for the review of the </w:t>
      </w:r>
      <w:r w:rsidR="00FD09FC">
        <w:rPr>
          <w:rFonts w:ascii="Verdana" w:hAnsi="Verdana" w:cs="Arial"/>
          <w:b/>
          <w:bCs/>
          <w:color w:val="77328A"/>
          <w:sz w:val="36"/>
          <w:szCs w:val="36"/>
        </w:rPr>
        <w:t>Twenty-Fo</w:t>
      </w:r>
      <w:r w:rsidR="006F29E1">
        <w:rPr>
          <w:rFonts w:ascii="Verdana" w:hAnsi="Verdana" w:cs="Arial"/>
          <w:b/>
          <w:bCs/>
          <w:color w:val="77328A"/>
          <w:sz w:val="36"/>
          <w:szCs w:val="36"/>
        </w:rPr>
        <w:t>u</w:t>
      </w:r>
      <w:r w:rsidR="00FD09FC">
        <w:rPr>
          <w:rFonts w:ascii="Verdana" w:hAnsi="Verdana" w:cs="Arial"/>
          <w:b/>
          <w:bCs/>
          <w:color w:val="77328A"/>
          <w:sz w:val="36"/>
          <w:szCs w:val="36"/>
        </w:rPr>
        <w:t xml:space="preserve">rth to Twenty-Sixth Periodic Report </w:t>
      </w:r>
      <w:r w:rsidR="003C3BE9">
        <w:rPr>
          <w:rFonts w:ascii="Verdana" w:hAnsi="Verdana" w:cs="Arial"/>
          <w:b/>
          <w:bCs/>
          <w:color w:val="77328A"/>
          <w:sz w:val="36"/>
          <w:szCs w:val="36"/>
        </w:rPr>
        <w:t xml:space="preserve">on the United </w:t>
      </w:r>
      <w:r w:rsidR="006F29E1">
        <w:rPr>
          <w:rFonts w:ascii="Verdana" w:hAnsi="Verdana" w:cs="Arial"/>
          <w:b/>
          <w:bCs/>
          <w:color w:val="77328A"/>
          <w:sz w:val="36"/>
          <w:szCs w:val="36"/>
        </w:rPr>
        <w:t>Kingdom’</w:t>
      </w:r>
      <w:r w:rsidR="003C3BE9">
        <w:rPr>
          <w:rFonts w:ascii="Verdana" w:hAnsi="Verdana" w:cs="Arial"/>
          <w:b/>
          <w:bCs/>
          <w:color w:val="77328A"/>
          <w:sz w:val="36"/>
          <w:szCs w:val="36"/>
        </w:rPr>
        <w:t>s Compliance with the UN Convention on the Elimination of Racial Discrimination</w:t>
      </w:r>
    </w:p>
    <w:p w14:paraId="0F2274AA" w14:textId="77777777" w:rsidR="003C3BE9" w:rsidRDefault="003C3BE9" w:rsidP="003B7D0E">
      <w:pPr>
        <w:pStyle w:val="BasicParagraph"/>
        <w:suppressAutoHyphens/>
        <w:jc w:val="center"/>
        <w:rPr>
          <w:rFonts w:ascii="Verdana" w:hAnsi="Verdana" w:cs="Arial"/>
          <w:b/>
          <w:bCs/>
          <w:color w:val="77328A"/>
          <w:sz w:val="36"/>
          <w:szCs w:val="36"/>
        </w:rPr>
      </w:pPr>
    </w:p>
    <w:p w14:paraId="022AA743" w14:textId="2A65446F" w:rsidR="003C3BE9" w:rsidRPr="003B7D0E" w:rsidRDefault="003C3BE9"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List of Themes</w:t>
      </w:r>
    </w:p>
    <w:p w14:paraId="5C5CA7B1" w14:textId="77777777" w:rsidR="00F31387" w:rsidRPr="00331C61" w:rsidRDefault="00F31387" w:rsidP="003B7D0E">
      <w:pPr>
        <w:pStyle w:val="Default"/>
        <w:spacing w:line="288" w:lineRule="auto"/>
        <w:jc w:val="center"/>
        <w:rPr>
          <w:rFonts w:cs="Arial"/>
          <w:color w:val="232120"/>
          <w:sz w:val="36"/>
          <w:szCs w:val="36"/>
        </w:rPr>
      </w:pPr>
    </w:p>
    <w:p w14:paraId="699A1C5F" w14:textId="1737F51D" w:rsidR="008159E8" w:rsidRPr="00331C61" w:rsidRDefault="006708F4" w:rsidP="003B7D0E">
      <w:pPr>
        <w:spacing w:line="288" w:lineRule="auto"/>
        <w:jc w:val="center"/>
        <w:rPr>
          <w:rFonts w:ascii="Verdana" w:hAnsi="Verdana" w:cs="Arial"/>
          <w:b/>
          <w:color w:val="232120"/>
          <w:sz w:val="30"/>
          <w:szCs w:val="30"/>
        </w:rPr>
      </w:pPr>
      <w:r>
        <w:rPr>
          <w:rFonts w:ascii="Verdana" w:hAnsi="Verdana" w:cs="Arial"/>
          <w:b/>
          <w:color w:val="232120"/>
          <w:sz w:val="30"/>
          <w:szCs w:val="30"/>
        </w:rPr>
        <w:t>May 2024</w:t>
      </w:r>
    </w:p>
    <w:p w14:paraId="583F5801" w14:textId="77777777" w:rsidR="00046705" w:rsidRPr="00331C61" w:rsidRDefault="00046705" w:rsidP="003B7D0E">
      <w:pPr>
        <w:spacing w:line="288" w:lineRule="auto"/>
        <w:jc w:val="center"/>
        <w:rPr>
          <w:rFonts w:ascii="Verdana" w:hAnsi="Verdana" w:cs="Arial"/>
          <w:b/>
          <w:color w:val="232120"/>
          <w:sz w:val="28"/>
          <w:szCs w:val="28"/>
        </w:rPr>
      </w:pPr>
    </w:p>
    <w:p w14:paraId="112002FF" w14:textId="77777777" w:rsidR="00046705" w:rsidRPr="00331C61" w:rsidRDefault="00046705" w:rsidP="003B7D0E">
      <w:pPr>
        <w:spacing w:line="288" w:lineRule="auto"/>
        <w:jc w:val="center"/>
        <w:rPr>
          <w:rFonts w:ascii="Verdana" w:hAnsi="Verdana" w:cs="Arial"/>
          <w:b/>
          <w:color w:val="232120"/>
          <w:sz w:val="28"/>
          <w:szCs w:val="28"/>
        </w:rPr>
      </w:pPr>
    </w:p>
    <w:p w14:paraId="141FA1F1" w14:textId="77777777" w:rsidR="00EA12CE" w:rsidRPr="00331C61" w:rsidRDefault="00EA12CE" w:rsidP="003B7D0E">
      <w:pPr>
        <w:pStyle w:val="Default"/>
        <w:spacing w:line="288" w:lineRule="auto"/>
        <w:jc w:val="center"/>
        <w:rPr>
          <w:rFonts w:cs="Arial"/>
          <w:b/>
          <w:color w:val="232120"/>
          <w:sz w:val="28"/>
          <w:szCs w:val="28"/>
          <w:lang w:val="en-GB"/>
        </w:rPr>
      </w:pPr>
    </w:p>
    <w:sdt>
      <w:sdtPr>
        <w:rPr>
          <w:rFonts w:ascii="Verdana" w:eastAsiaTheme="minorEastAsia" w:hAnsi="Verdana" w:cstheme="minorBidi"/>
          <w:color w:val="auto"/>
          <w:sz w:val="24"/>
          <w:szCs w:val="24"/>
          <w:lang w:val="en-GB"/>
        </w:rPr>
        <w:id w:val="1311211563"/>
        <w:docPartObj>
          <w:docPartGallery w:val="Table of Contents"/>
          <w:docPartUnique/>
        </w:docPartObj>
      </w:sdtPr>
      <w:sdtEndPr>
        <w:rPr>
          <w:b/>
          <w:bCs/>
        </w:rPr>
      </w:sdtEndPr>
      <w:sdtContent>
        <w:p w14:paraId="5433DF8A" w14:textId="68C6A0CE" w:rsidR="000C036C" w:rsidRPr="00067361" w:rsidRDefault="000C036C">
          <w:pPr>
            <w:pStyle w:val="TOCHeading"/>
            <w:rPr>
              <w:rStyle w:val="Heading1Char"/>
            </w:rPr>
          </w:pPr>
          <w:r w:rsidRPr="00067361">
            <w:rPr>
              <w:rStyle w:val="Heading1Char"/>
            </w:rPr>
            <w:t>Table of Contents</w:t>
          </w:r>
        </w:p>
        <w:p w14:paraId="19C42858" w14:textId="43AC5B59" w:rsidR="00067361" w:rsidRPr="00067361" w:rsidRDefault="000C036C">
          <w:pPr>
            <w:pStyle w:val="TOC1"/>
            <w:rPr>
              <w:b w:val="0"/>
              <w:bCs w:val="0"/>
              <w:kern w:val="2"/>
              <w:sz w:val="22"/>
              <w:szCs w:val="22"/>
              <w:lang w:eastAsia="en-GB"/>
              <w14:ligatures w14:val="standardContextual"/>
            </w:rPr>
          </w:pPr>
          <w:r w:rsidRPr="00067361">
            <w:fldChar w:fldCharType="begin"/>
          </w:r>
          <w:r w:rsidRPr="00067361">
            <w:instrText xml:space="preserve"> TOC \o "1-3" \h \z \u </w:instrText>
          </w:r>
          <w:r w:rsidRPr="00067361">
            <w:fldChar w:fldCharType="separate"/>
          </w:r>
          <w:hyperlink w:anchor="_Toc165632754" w:history="1">
            <w:r w:rsidR="00067361" w:rsidRPr="00067361">
              <w:rPr>
                <w:rStyle w:val="Hyperlink"/>
              </w:rPr>
              <w:t>1.0</w:t>
            </w:r>
            <w:r w:rsidR="00067361" w:rsidRPr="00067361">
              <w:rPr>
                <w:b w:val="0"/>
                <w:bCs w:val="0"/>
                <w:kern w:val="2"/>
                <w:sz w:val="22"/>
                <w:szCs w:val="22"/>
                <w:lang w:eastAsia="en-GB"/>
                <w14:ligatures w14:val="standardContextual"/>
              </w:rPr>
              <w:tab/>
            </w:r>
            <w:r w:rsidR="00067361" w:rsidRPr="00067361">
              <w:rPr>
                <w:rStyle w:val="Hyperlink"/>
              </w:rPr>
              <w:t>Introduction</w:t>
            </w:r>
            <w:r w:rsidR="00067361" w:rsidRPr="00067361">
              <w:rPr>
                <w:webHidden/>
              </w:rPr>
              <w:tab/>
            </w:r>
            <w:r w:rsidR="00067361" w:rsidRPr="00067361">
              <w:rPr>
                <w:webHidden/>
              </w:rPr>
              <w:fldChar w:fldCharType="begin"/>
            </w:r>
            <w:r w:rsidR="00067361" w:rsidRPr="00067361">
              <w:rPr>
                <w:webHidden/>
              </w:rPr>
              <w:instrText xml:space="preserve"> PAGEREF _Toc165632754 \h </w:instrText>
            </w:r>
            <w:r w:rsidR="00067361" w:rsidRPr="00067361">
              <w:rPr>
                <w:webHidden/>
              </w:rPr>
            </w:r>
            <w:r w:rsidR="00067361" w:rsidRPr="00067361">
              <w:rPr>
                <w:webHidden/>
              </w:rPr>
              <w:fldChar w:fldCharType="separate"/>
            </w:r>
            <w:r w:rsidR="00DD173D">
              <w:rPr>
                <w:webHidden/>
              </w:rPr>
              <w:t>3</w:t>
            </w:r>
            <w:r w:rsidR="00067361" w:rsidRPr="00067361">
              <w:rPr>
                <w:webHidden/>
              </w:rPr>
              <w:fldChar w:fldCharType="end"/>
            </w:r>
          </w:hyperlink>
        </w:p>
        <w:p w14:paraId="154C73B1" w14:textId="1DFD3467" w:rsidR="00067361" w:rsidRPr="00067361" w:rsidRDefault="00067361">
          <w:pPr>
            <w:pStyle w:val="TOC1"/>
            <w:rPr>
              <w:b w:val="0"/>
              <w:bCs w:val="0"/>
              <w:kern w:val="2"/>
              <w:sz w:val="22"/>
              <w:szCs w:val="22"/>
              <w:lang w:eastAsia="en-GB"/>
              <w14:ligatures w14:val="standardContextual"/>
            </w:rPr>
          </w:pPr>
          <w:hyperlink w:anchor="_Toc165632755" w:history="1">
            <w:r w:rsidRPr="00067361">
              <w:rPr>
                <w:rStyle w:val="Hyperlink"/>
              </w:rPr>
              <w:t>2.0</w:t>
            </w:r>
            <w:r w:rsidRPr="00067361">
              <w:rPr>
                <w:b w:val="0"/>
                <w:bCs w:val="0"/>
                <w:kern w:val="2"/>
                <w:sz w:val="22"/>
                <w:szCs w:val="22"/>
                <w:lang w:eastAsia="en-GB"/>
                <w14:ligatures w14:val="standardContextual"/>
              </w:rPr>
              <w:tab/>
            </w:r>
            <w:r w:rsidRPr="00067361">
              <w:rPr>
                <w:rStyle w:val="Hyperlink"/>
              </w:rPr>
              <w:t>Legislative Framework</w:t>
            </w:r>
            <w:r w:rsidRPr="00067361">
              <w:rPr>
                <w:webHidden/>
              </w:rPr>
              <w:tab/>
            </w:r>
            <w:r w:rsidRPr="00067361">
              <w:rPr>
                <w:webHidden/>
              </w:rPr>
              <w:fldChar w:fldCharType="begin"/>
            </w:r>
            <w:r w:rsidRPr="00067361">
              <w:rPr>
                <w:webHidden/>
              </w:rPr>
              <w:instrText xml:space="preserve"> PAGEREF _Toc165632755 \h </w:instrText>
            </w:r>
            <w:r w:rsidRPr="00067361">
              <w:rPr>
                <w:webHidden/>
              </w:rPr>
            </w:r>
            <w:r w:rsidRPr="00067361">
              <w:rPr>
                <w:webHidden/>
              </w:rPr>
              <w:fldChar w:fldCharType="separate"/>
            </w:r>
            <w:r w:rsidR="00DD173D">
              <w:rPr>
                <w:webHidden/>
              </w:rPr>
              <w:t>4</w:t>
            </w:r>
            <w:r w:rsidRPr="00067361">
              <w:rPr>
                <w:webHidden/>
              </w:rPr>
              <w:fldChar w:fldCharType="end"/>
            </w:r>
          </w:hyperlink>
        </w:p>
        <w:p w14:paraId="30FEF7DC" w14:textId="6CEC7F96"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56" w:history="1">
            <w:r w:rsidRPr="00067361">
              <w:rPr>
                <w:rStyle w:val="Hyperlink"/>
                <w:rFonts w:ascii="Verdana" w:hAnsi="Verdana"/>
                <w:noProof/>
              </w:rPr>
              <w:t>UK Human Rights Act Reform</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_Toc165632756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4</w:t>
            </w:r>
            <w:r w:rsidRPr="00067361">
              <w:rPr>
                <w:rFonts w:ascii="Verdana" w:hAnsi="Verdana"/>
                <w:noProof/>
                <w:webHidden/>
              </w:rPr>
              <w:fldChar w:fldCharType="end"/>
            </w:r>
          </w:hyperlink>
        </w:p>
        <w:p w14:paraId="4077935B" w14:textId="1BF2A37B"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57" w:history="1">
            <w:r w:rsidRPr="00067361">
              <w:rPr>
                <w:rStyle w:val="Hyperlink"/>
                <w:rFonts w:ascii="Verdana" w:hAnsi="Verdana"/>
                <w:noProof/>
              </w:rPr>
              <w:t>UK Withdrawal from the EU</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_Toc165632757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5</w:t>
            </w:r>
            <w:r w:rsidRPr="00067361">
              <w:rPr>
                <w:rFonts w:ascii="Verdana" w:hAnsi="Verdana"/>
                <w:noProof/>
                <w:webHidden/>
              </w:rPr>
              <w:fldChar w:fldCharType="end"/>
            </w:r>
          </w:hyperlink>
        </w:p>
        <w:p w14:paraId="465CDB22" w14:textId="4566EA25"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58" w:history="1">
            <w:r w:rsidRPr="00067361">
              <w:rPr>
                <w:rStyle w:val="Hyperlink"/>
                <w:rFonts w:ascii="Verdana" w:hAnsi="Verdana"/>
                <w:noProof/>
              </w:rPr>
              <w:t>Bill of Rights for NI</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_Toc165632758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6</w:t>
            </w:r>
            <w:r w:rsidRPr="00067361">
              <w:rPr>
                <w:rFonts w:ascii="Verdana" w:hAnsi="Verdana"/>
                <w:noProof/>
                <w:webHidden/>
              </w:rPr>
              <w:fldChar w:fldCharType="end"/>
            </w:r>
          </w:hyperlink>
        </w:p>
        <w:p w14:paraId="734F6F5B" w14:textId="393773A2"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59" w:history="1">
            <w:r w:rsidRPr="00067361">
              <w:rPr>
                <w:rStyle w:val="Hyperlink"/>
                <w:rFonts w:ascii="Verdana" w:hAnsi="Verdana"/>
                <w:noProof/>
              </w:rPr>
              <w:t>Equality Protections in NI</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_Toc165632759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7</w:t>
            </w:r>
            <w:r w:rsidRPr="00067361">
              <w:rPr>
                <w:rFonts w:ascii="Verdana" w:hAnsi="Verdana"/>
                <w:noProof/>
                <w:webHidden/>
              </w:rPr>
              <w:fldChar w:fldCharType="end"/>
            </w:r>
          </w:hyperlink>
        </w:p>
        <w:p w14:paraId="496FE540" w14:textId="21A97BEF"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60" w:history="1">
            <w:r w:rsidRPr="00067361">
              <w:rPr>
                <w:rStyle w:val="Hyperlink"/>
                <w:rFonts w:ascii="Verdana" w:hAnsi="Verdana"/>
                <w:noProof/>
              </w:rPr>
              <w:t>Racial Equality in NI</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_Toc165632760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8</w:t>
            </w:r>
            <w:r w:rsidRPr="00067361">
              <w:rPr>
                <w:rFonts w:ascii="Verdana" w:hAnsi="Verdana"/>
                <w:noProof/>
                <w:webHidden/>
              </w:rPr>
              <w:fldChar w:fldCharType="end"/>
            </w:r>
          </w:hyperlink>
        </w:p>
        <w:p w14:paraId="64BAB75E" w14:textId="065592ED" w:rsidR="00067361" w:rsidRPr="00067361" w:rsidRDefault="00067361">
          <w:pPr>
            <w:pStyle w:val="TOC1"/>
            <w:rPr>
              <w:b w:val="0"/>
              <w:bCs w:val="0"/>
              <w:kern w:val="2"/>
              <w:sz w:val="22"/>
              <w:szCs w:val="22"/>
              <w:lang w:eastAsia="en-GB"/>
              <w14:ligatures w14:val="standardContextual"/>
            </w:rPr>
          </w:pPr>
          <w:hyperlink w:anchor="_Toc165632761" w:history="1">
            <w:r w:rsidRPr="00067361">
              <w:rPr>
                <w:rStyle w:val="Hyperlink"/>
              </w:rPr>
              <w:t>3.0</w:t>
            </w:r>
            <w:r w:rsidRPr="00067361">
              <w:rPr>
                <w:b w:val="0"/>
                <w:bCs w:val="0"/>
                <w:kern w:val="2"/>
                <w:sz w:val="22"/>
                <w:szCs w:val="22"/>
                <w:lang w:eastAsia="en-GB"/>
                <w14:ligatures w14:val="standardContextual"/>
              </w:rPr>
              <w:tab/>
            </w:r>
            <w:r w:rsidRPr="00067361">
              <w:rPr>
                <w:rStyle w:val="Hyperlink"/>
              </w:rPr>
              <w:t>Hostile Environment in NI</w:t>
            </w:r>
            <w:r w:rsidRPr="00067361">
              <w:rPr>
                <w:webHidden/>
              </w:rPr>
              <w:tab/>
            </w:r>
            <w:r w:rsidRPr="00067361">
              <w:rPr>
                <w:webHidden/>
              </w:rPr>
              <w:fldChar w:fldCharType="begin"/>
            </w:r>
            <w:r w:rsidRPr="00067361">
              <w:rPr>
                <w:webHidden/>
              </w:rPr>
              <w:instrText xml:space="preserve"> PAGEREF _Toc165632761 \h </w:instrText>
            </w:r>
            <w:r w:rsidRPr="00067361">
              <w:rPr>
                <w:webHidden/>
              </w:rPr>
            </w:r>
            <w:r w:rsidRPr="00067361">
              <w:rPr>
                <w:webHidden/>
              </w:rPr>
              <w:fldChar w:fldCharType="separate"/>
            </w:r>
            <w:r w:rsidR="00DD173D">
              <w:rPr>
                <w:webHidden/>
              </w:rPr>
              <w:t>8</w:t>
            </w:r>
            <w:r w:rsidRPr="00067361">
              <w:rPr>
                <w:webHidden/>
              </w:rPr>
              <w:fldChar w:fldCharType="end"/>
            </w:r>
          </w:hyperlink>
        </w:p>
        <w:p w14:paraId="6A19794C" w14:textId="39CFDECC" w:rsidR="00067361" w:rsidRPr="00067361" w:rsidRDefault="00067361">
          <w:pPr>
            <w:pStyle w:val="TOC1"/>
            <w:rPr>
              <w:b w:val="0"/>
              <w:bCs w:val="0"/>
              <w:kern w:val="2"/>
              <w:sz w:val="22"/>
              <w:szCs w:val="22"/>
              <w:lang w:eastAsia="en-GB"/>
              <w14:ligatures w14:val="standardContextual"/>
            </w:rPr>
          </w:pPr>
          <w:hyperlink w:anchor="_Toc165632762" w:history="1">
            <w:r w:rsidRPr="00067361">
              <w:rPr>
                <w:rStyle w:val="Hyperlink"/>
              </w:rPr>
              <w:t>4.0</w:t>
            </w:r>
            <w:r w:rsidRPr="00067361">
              <w:rPr>
                <w:b w:val="0"/>
                <w:bCs w:val="0"/>
                <w:kern w:val="2"/>
                <w:sz w:val="22"/>
                <w:szCs w:val="22"/>
                <w:lang w:eastAsia="en-GB"/>
                <w14:ligatures w14:val="standardContextual"/>
              </w:rPr>
              <w:tab/>
            </w:r>
            <w:r w:rsidRPr="00067361">
              <w:rPr>
                <w:rStyle w:val="Hyperlink"/>
              </w:rPr>
              <w:t>Racial Profiling in NI</w:t>
            </w:r>
            <w:r w:rsidRPr="00067361">
              <w:rPr>
                <w:webHidden/>
              </w:rPr>
              <w:tab/>
            </w:r>
            <w:r w:rsidRPr="00067361">
              <w:rPr>
                <w:webHidden/>
              </w:rPr>
              <w:fldChar w:fldCharType="begin"/>
            </w:r>
            <w:r w:rsidRPr="00067361">
              <w:rPr>
                <w:webHidden/>
              </w:rPr>
              <w:instrText xml:space="preserve"> PAGEREF _Toc165632762 \h </w:instrText>
            </w:r>
            <w:r w:rsidRPr="00067361">
              <w:rPr>
                <w:webHidden/>
              </w:rPr>
            </w:r>
            <w:r w:rsidRPr="00067361">
              <w:rPr>
                <w:webHidden/>
              </w:rPr>
              <w:fldChar w:fldCharType="separate"/>
            </w:r>
            <w:r w:rsidR="00DD173D">
              <w:rPr>
                <w:webHidden/>
              </w:rPr>
              <w:t>9</w:t>
            </w:r>
            <w:r w:rsidRPr="00067361">
              <w:rPr>
                <w:webHidden/>
              </w:rPr>
              <w:fldChar w:fldCharType="end"/>
            </w:r>
          </w:hyperlink>
        </w:p>
        <w:p w14:paraId="6E4F44E1" w14:textId="66F4BFF8"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63" w:history="1">
            <w:r w:rsidRPr="00067361">
              <w:rPr>
                <w:rStyle w:val="Hyperlink"/>
                <w:rFonts w:ascii="Verdana" w:hAnsi="Verdana"/>
                <w:noProof/>
              </w:rPr>
              <w:t>Electronic Travel Authorisations and the Common Travel Area</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_Toc165632763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9</w:t>
            </w:r>
            <w:r w:rsidRPr="00067361">
              <w:rPr>
                <w:rFonts w:ascii="Verdana" w:hAnsi="Verdana"/>
                <w:noProof/>
                <w:webHidden/>
              </w:rPr>
              <w:fldChar w:fldCharType="end"/>
            </w:r>
          </w:hyperlink>
        </w:p>
        <w:p w14:paraId="721257A2" w14:textId="719BA940"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64" w:history="1">
            <w:r w:rsidRPr="00067361">
              <w:rPr>
                <w:rStyle w:val="Hyperlink"/>
                <w:rFonts w:ascii="Verdana" w:hAnsi="Verdana"/>
                <w:noProof/>
              </w:rPr>
              <w:t>Stop and Search</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_Toc165632764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10</w:t>
            </w:r>
            <w:r w:rsidRPr="00067361">
              <w:rPr>
                <w:rFonts w:ascii="Verdana" w:hAnsi="Verdana"/>
                <w:noProof/>
                <w:webHidden/>
              </w:rPr>
              <w:fldChar w:fldCharType="end"/>
            </w:r>
          </w:hyperlink>
        </w:p>
        <w:p w14:paraId="44B8D145" w14:textId="029181B4" w:rsidR="00067361" w:rsidRPr="00067361" w:rsidRDefault="00067361">
          <w:pPr>
            <w:pStyle w:val="TOC1"/>
            <w:rPr>
              <w:b w:val="0"/>
              <w:bCs w:val="0"/>
              <w:kern w:val="2"/>
              <w:sz w:val="22"/>
              <w:szCs w:val="22"/>
              <w:lang w:eastAsia="en-GB"/>
              <w14:ligatures w14:val="standardContextual"/>
            </w:rPr>
          </w:pPr>
          <w:hyperlink w:anchor="_Toc165632765" w:history="1">
            <w:r w:rsidRPr="00067361">
              <w:rPr>
                <w:rStyle w:val="Hyperlink"/>
              </w:rPr>
              <w:t>5.0</w:t>
            </w:r>
            <w:r w:rsidRPr="00067361">
              <w:rPr>
                <w:b w:val="0"/>
                <w:bCs w:val="0"/>
                <w:kern w:val="2"/>
                <w:sz w:val="22"/>
                <w:szCs w:val="22"/>
                <w:lang w:eastAsia="en-GB"/>
                <w14:ligatures w14:val="standardContextual"/>
              </w:rPr>
              <w:tab/>
            </w:r>
            <w:r w:rsidRPr="00067361">
              <w:rPr>
                <w:rStyle w:val="Hyperlink"/>
              </w:rPr>
              <w:t>Data Collection and Ethnic Equality Monitoring</w:t>
            </w:r>
            <w:r w:rsidRPr="00067361">
              <w:rPr>
                <w:webHidden/>
              </w:rPr>
              <w:tab/>
            </w:r>
            <w:r w:rsidRPr="00067361">
              <w:rPr>
                <w:webHidden/>
              </w:rPr>
              <w:fldChar w:fldCharType="begin"/>
            </w:r>
            <w:r w:rsidRPr="00067361">
              <w:rPr>
                <w:webHidden/>
              </w:rPr>
              <w:instrText xml:space="preserve"> PAGEREF _Toc165632765 \h </w:instrText>
            </w:r>
            <w:r w:rsidRPr="00067361">
              <w:rPr>
                <w:webHidden/>
              </w:rPr>
            </w:r>
            <w:r w:rsidRPr="00067361">
              <w:rPr>
                <w:webHidden/>
              </w:rPr>
              <w:fldChar w:fldCharType="separate"/>
            </w:r>
            <w:r w:rsidR="00DD173D">
              <w:rPr>
                <w:webHidden/>
              </w:rPr>
              <w:t>11</w:t>
            </w:r>
            <w:r w:rsidRPr="00067361">
              <w:rPr>
                <w:webHidden/>
              </w:rPr>
              <w:fldChar w:fldCharType="end"/>
            </w:r>
          </w:hyperlink>
        </w:p>
        <w:p w14:paraId="014121CE" w14:textId="09BDB0CB" w:rsidR="00067361" w:rsidRPr="00067361" w:rsidRDefault="00067361">
          <w:pPr>
            <w:pStyle w:val="TOC1"/>
            <w:rPr>
              <w:b w:val="0"/>
              <w:bCs w:val="0"/>
              <w:kern w:val="2"/>
              <w:sz w:val="22"/>
              <w:szCs w:val="22"/>
              <w:lang w:eastAsia="en-GB"/>
              <w14:ligatures w14:val="standardContextual"/>
            </w:rPr>
          </w:pPr>
          <w:hyperlink w:anchor="_Toc165632766" w:history="1">
            <w:r w:rsidRPr="00067361">
              <w:rPr>
                <w:rStyle w:val="Hyperlink"/>
              </w:rPr>
              <w:t>6.0</w:t>
            </w:r>
            <w:r w:rsidRPr="00067361">
              <w:rPr>
                <w:b w:val="0"/>
                <w:bCs w:val="0"/>
                <w:kern w:val="2"/>
                <w:sz w:val="22"/>
                <w:szCs w:val="22"/>
                <w:lang w:eastAsia="en-GB"/>
                <w14:ligatures w14:val="standardContextual"/>
              </w:rPr>
              <w:tab/>
            </w:r>
            <w:r w:rsidRPr="00067361">
              <w:rPr>
                <w:rStyle w:val="Hyperlink"/>
              </w:rPr>
              <w:t>Refugees and People Seeking Asylum</w:t>
            </w:r>
            <w:r w:rsidRPr="00067361">
              <w:rPr>
                <w:webHidden/>
              </w:rPr>
              <w:tab/>
            </w:r>
            <w:r w:rsidRPr="00067361">
              <w:rPr>
                <w:webHidden/>
              </w:rPr>
              <w:fldChar w:fldCharType="begin"/>
            </w:r>
            <w:r w:rsidRPr="00067361">
              <w:rPr>
                <w:webHidden/>
              </w:rPr>
              <w:instrText xml:space="preserve"> PAGEREF _Toc165632766 \h </w:instrText>
            </w:r>
            <w:r w:rsidRPr="00067361">
              <w:rPr>
                <w:webHidden/>
              </w:rPr>
            </w:r>
            <w:r w:rsidRPr="00067361">
              <w:rPr>
                <w:webHidden/>
              </w:rPr>
              <w:fldChar w:fldCharType="separate"/>
            </w:r>
            <w:r w:rsidR="00DD173D">
              <w:rPr>
                <w:webHidden/>
              </w:rPr>
              <w:t>12</w:t>
            </w:r>
            <w:r w:rsidRPr="00067361">
              <w:rPr>
                <w:webHidden/>
              </w:rPr>
              <w:fldChar w:fldCharType="end"/>
            </w:r>
          </w:hyperlink>
        </w:p>
        <w:p w14:paraId="3ABA983B" w14:textId="63A2D392"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67" w:history="1">
            <w:r w:rsidRPr="00067361">
              <w:rPr>
                <w:rStyle w:val="Hyperlink"/>
                <w:rFonts w:ascii="Verdana" w:hAnsi="Verdana"/>
                <w:noProof/>
              </w:rPr>
              <w:t>Refugee Integration Strategy</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_Toc165632767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12</w:t>
            </w:r>
            <w:r w:rsidRPr="00067361">
              <w:rPr>
                <w:rFonts w:ascii="Verdana" w:hAnsi="Verdana"/>
                <w:noProof/>
                <w:webHidden/>
              </w:rPr>
              <w:fldChar w:fldCharType="end"/>
            </w:r>
          </w:hyperlink>
        </w:p>
        <w:p w14:paraId="236ED259" w14:textId="01286B50"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68" w:history="1">
            <w:r w:rsidRPr="00067361">
              <w:rPr>
                <w:rStyle w:val="Hyperlink"/>
                <w:rFonts w:ascii="Verdana" w:hAnsi="Verdana"/>
                <w:noProof/>
              </w:rPr>
              <w:t>Asylum, refugee law and resettlement</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_Toc165632768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12</w:t>
            </w:r>
            <w:r w:rsidRPr="00067361">
              <w:rPr>
                <w:rFonts w:ascii="Verdana" w:hAnsi="Verdana"/>
                <w:noProof/>
                <w:webHidden/>
              </w:rPr>
              <w:fldChar w:fldCharType="end"/>
            </w:r>
          </w:hyperlink>
        </w:p>
        <w:p w14:paraId="6D886723" w14:textId="315EF988"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69" w:history="1">
            <w:r w:rsidRPr="00067361">
              <w:rPr>
                <w:rStyle w:val="Hyperlink"/>
                <w:rFonts w:ascii="Verdana" w:hAnsi="Verdana"/>
                <w:noProof/>
              </w:rPr>
              <w:t>Rwanda Asylum Proposals</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_Toc165632769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14</w:t>
            </w:r>
            <w:r w:rsidRPr="00067361">
              <w:rPr>
                <w:rFonts w:ascii="Verdana" w:hAnsi="Verdana"/>
                <w:noProof/>
                <w:webHidden/>
              </w:rPr>
              <w:fldChar w:fldCharType="end"/>
            </w:r>
          </w:hyperlink>
        </w:p>
        <w:p w14:paraId="24E99C82" w14:textId="0C979CE6"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70" w:history="1">
            <w:r w:rsidRPr="00067361">
              <w:rPr>
                <w:rStyle w:val="Hyperlink"/>
                <w:rFonts w:ascii="Verdana" w:hAnsi="Verdana"/>
                <w:noProof/>
              </w:rPr>
              <w:t>Asylum Financial Support</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_Toc165632770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15</w:t>
            </w:r>
            <w:r w:rsidRPr="00067361">
              <w:rPr>
                <w:rFonts w:ascii="Verdana" w:hAnsi="Verdana"/>
                <w:noProof/>
                <w:webHidden/>
              </w:rPr>
              <w:fldChar w:fldCharType="end"/>
            </w:r>
          </w:hyperlink>
        </w:p>
        <w:p w14:paraId="3125E532" w14:textId="3025B6E3" w:rsidR="00067361" w:rsidRPr="00067361" w:rsidRDefault="00067361">
          <w:pPr>
            <w:pStyle w:val="TOC1"/>
            <w:rPr>
              <w:b w:val="0"/>
              <w:bCs w:val="0"/>
              <w:kern w:val="2"/>
              <w:sz w:val="22"/>
              <w:szCs w:val="22"/>
              <w:lang w:eastAsia="en-GB"/>
              <w14:ligatures w14:val="standardContextual"/>
            </w:rPr>
          </w:pPr>
          <w:hyperlink w:anchor="_Toc165632771" w:history="1">
            <w:r w:rsidRPr="00067361">
              <w:rPr>
                <w:rStyle w:val="Hyperlink"/>
              </w:rPr>
              <w:t>7.0</w:t>
            </w:r>
            <w:r w:rsidRPr="00067361">
              <w:rPr>
                <w:b w:val="0"/>
                <w:bCs w:val="0"/>
                <w:kern w:val="2"/>
                <w:sz w:val="22"/>
                <w:szCs w:val="22"/>
                <w:lang w:eastAsia="en-GB"/>
                <w14:ligatures w14:val="standardContextual"/>
              </w:rPr>
              <w:tab/>
            </w:r>
            <w:r w:rsidRPr="00067361">
              <w:rPr>
                <w:rStyle w:val="Hyperlink"/>
              </w:rPr>
              <w:t>Hate Crime and Hate Speech</w:t>
            </w:r>
            <w:r w:rsidRPr="00067361">
              <w:rPr>
                <w:webHidden/>
              </w:rPr>
              <w:tab/>
            </w:r>
            <w:r w:rsidRPr="00067361">
              <w:rPr>
                <w:webHidden/>
              </w:rPr>
              <w:fldChar w:fldCharType="begin"/>
            </w:r>
            <w:r w:rsidRPr="00067361">
              <w:rPr>
                <w:webHidden/>
              </w:rPr>
              <w:instrText xml:space="preserve"> PAGEREF _Toc165632771 \h </w:instrText>
            </w:r>
            <w:r w:rsidRPr="00067361">
              <w:rPr>
                <w:webHidden/>
              </w:rPr>
            </w:r>
            <w:r w:rsidRPr="00067361">
              <w:rPr>
                <w:webHidden/>
              </w:rPr>
              <w:fldChar w:fldCharType="separate"/>
            </w:r>
            <w:r w:rsidR="00DD173D">
              <w:rPr>
                <w:webHidden/>
              </w:rPr>
              <w:t>16</w:t>
            </w:r>
            <w:r w:rsidRPr="00067361">
              <w:rPr>
                <w:webHidden/>
              </w:rPr>
              <w:fldChar w:fldCharType="end"/>
            </w:r>
          </w:hyperlink>
        </w:p>
        <w:p w14:paraId="15D66AF6" w14:textId="5C81FB4C"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72" w:history="1">
            <w:r w:rsidRPr="00067361">
              <w:rPr>
                <w:rStyle w:val="Hyperlink"/>
                <w:rFonts w:ascii="Verdana" w:hAnsi="Verdana"/>
                <w:noProof/>
              </w:rPr>
              <w:t>Paramilitary Intimidation</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_Toc165632772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17</w:t>
            </w:r>
            <w:r w:rsidRPr="00067361">
              <w:rPr>
                <w:rFonts w:ascii="Verdana" w:hAnsi="Verdana"/>
                <w:noProof/>
                <w:webHidden/>
              </w:rPr>
              <w:fldChar w:fldCharType="end"/>
            </w:r>
          </w:hyperlink>
        </w:p>
        <w:p w14:paraId="5DD210E5" w14:textId="6E0D233B" w:rsidR="00067361" w:rsidRPr="00067361" w:rsidRDefault="00067361">
          <w:pPr>
            <w:pStyle w:val="TOC1"/>
            <w:rPr>
              <w:b w:val="0"/>
              <w:bCs w:val="0"/>
              <w:kern w:val="2"/>
              <w:sz w:val="22"/>
              <w:szCs w:val="22"/>
              <w:lang w:eastAsia="en-GB"/>
              <w14:ligatures w14:val="standardContextual"/>
            </w:rPr>
          </w:pPr>
          <w:hyperlink w:anchor="_Toc165632773" w:history="1">
            <w:r w:rsidRPr="00067361">
              <w:rPr>
                <w:rStyle w:val="Hyperlink"/>
              </w:rPr>
              <w:t>8.0</w:t>
            </w:r>
            <w:r w:rsidRPr="00067361">
              <w:rPr>
                <w:b w:val="0"/>
                <w:bCs w:val="0"/>
                <w:kern w:val="2"/>
                <w:sz w:val="22"/>
                <w:szCs w:val="22"/>
                <w:lang w:eastAsia="en-GB"/>
                <w14:ligatures w14:val="standardContextual"/>
              </w:rPr>
              <w:tab/>
            </w:r>
            <w:r w:rsidRPr="00067361">
              <w:rPr>
                <w:rStyle w:val="Hyperlink"/>
              </w:rPr>
              <w:t>Sectarianism</w:t>
            </w:r>
            <w:r w:rsidRPr="00067361">
              <w:rPr>
                <w:webHidden/>
              </w:rPr>
              <w:tab/>
            </w:r>
            <w:r w:rsidRPr="00067361">
              <w:rPr>
                <w:webHidden/>
              </w:rPr>
              <w:fldChar w:fldCharType="begin"/>
            </w:r>
            <w:r w:rsidRPr="00067361">
              <w:rPr>
                <w:webHidden/>
              </w:rPr>
              <w:instrText xml:space="preserve"> PAGEREF _Toc165632773 \h </w:instrText>
            </w:r>
            <w:r w:rsidRPr="00067361">
              <w:rPr>
                <w:webHidden/>
              </w:rPr>
            </w:r>
            <w:r w:rsidRPr="00067361">
              <w:rPr>
                <w:webHidden/>
              </w:rPr>
              <w:fldChar w:fldCharType="separate"/>
            </w:r>
            <w:r w:rsidR="00DD173D">
              <w:rPr>
                <w:webHidden/>
              </w:rPr>
              <w:t>17</w:t>
            </w:r>
            <w:r w:rsidRPr="00067361">
              <w:rPr>
                <w:webHidden/>
              </w:rPr>
              <w:fldChar w:fldCharType="end"/>
            </w:r>
          </w:hyperlink>
        </w:p>
        <w:p w14:paraId="5EDEFD80" w14:textId="683CDF77" w:rsidR="00067361" w:rsidRPr="00067361" w:rsidRDefault="00067361">
          <w:pPr>
            <w:pStyle w:val="TOC1"/>
            <w:rPr>
              <w:b w:val="0"/>
              <w:bCs w:val="0"/>
              <w:kern w:val="2"/>
              <w:sz w:val="22"/>
              <w:szCs w:val="22"/>
              <w:lang w:eastAsia="en-GB"/>
              <w14:ligatures w14:val="standardContextual"/>
            </w:rPr>
          </w:pPr>
          <w:hyperlink w:anchor="_Toc165632774" w:history="1">
            <w:r w:rsidRPr="00067361">
              <w:rPr>
                <w:rStyle w:val="Hyperlink"/>
              </w:rPr>
              <w:t>9.0</w:t>
            </w:r>
            <w:r w:rsidRPr="00067361">
              <w:rPr>
                <w:b w:val="0"/>
                <w:bCs w:val="0"/>
                <w:kern w:val="2"/>
                <w:sz w:val="22"/>
                <w:szCs w:val="22"/>
                <w:lang w:eastAsia="en-GB"/>
                <w14:ligatures w14:val="standardContextual"/>
              </w:rPr>
              <w:tab/>
            </w:r>
            <w:r w:rsidRPr="00067361">
              <w:rPr>
                <w:rStyle w:val="Hyperlink"/>
              </w:rPr>
              <w:t>Economic, Social and Cultural Rights</w:t>
            </w:r>
            <w:r w:rsidRPr="00067361">
              <w:rPr>
                <w:webHidden/>
              </w:rPr>
              <w:tab/>
            </w:r>
            <w:r w:rsidRPr="00067361">
              <w:rPr>
                <w:webHidden/>
              </w:rPr>
              <w:fldChar w:fldCharType="begin"/>
            </w:r>
            <w:r w:rsidRPr="00067361">
              <w:rPr>
                <w:webHidden/>
              </w:rPr>
              <w:instrText xml:space="preserve"> PAGEREF _Toc165632774 \h </w:instrText>
            </w:r>
            <w:r w:rsidRPr="00067361">
              <w:rPr>
                <w:webHidden/>
              </w:rPr>
            </w:r>
            <w:r w:rsidRPr="00067361">
              <w:rPr>
                <w:webHidden/>
              </w:rPr>
              <w:fldChar w:fldCharType="separate"/>
            </w:r>
            <w:r w:rsidR="00DD173D">
              <w:rPr>
                <w:webHidden/>
              </w:rPr>
              <w:t>18</w:t>
            </w:r>
            <w:r w:rsidRPr="00067361">
              <w:rPr>
                <w:webHidden/>
              </w:rPr>
              <w:fldChar w:fldCharType="end"/>
            </w:r>
          </w:hyperlink>
        </w:p>
        <w:p w14:paraId="2BB00F50" w14:textId="2E3DFB76"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75" w:history="1">
            <w:r w:rsidRPr="00067361">
              <w:rPr>
                <w:rStyle w:val="Hyperlink"/>
                <w:rFonts w:ascii="Verdana" w:hAnsi="Verdana"/>
                <w:noProof/>
              </w:rPr>
              <w:t>Poverty</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_Toc165632775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18</w:t>
            </w:r>
            <w:r w:rsidRPr="00067361">
              <w:rPr>
                <w:rFonts w:ascii="Verdana" w:hAnsi="Verdana"/>
                <w:noProof/>
                <w:webHidden/>
              </w:rPr>
              <w:fldChar w:fldCharType="end"/>
            </w:r>
          </w:hyperlink>
        </w:p>
        <w:p w14:paraId="1C48348D" w14:textId="50074A5B"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76" w:history="1">
            <w:r w:rsidRPr="00067361">
              <w:rPr>
                <w:rStyle w:val="Hyperlink"/>
                <w:rFonts w:ascii="Verdana" w:hAnsi="Verdana"/>
                <w:noProof/>
              </w:rPr>
              <w:t>No Recourse to Public Funds</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_Toc165632776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19</w:t>
            </w:r>
            <w:r w:rsidRPr="00067361">
              <w:rPr>
                <w:rFonts w:ascii="Verdana" w:hAnsi="Verdana"/>
                <w:noProof/>
                <w:webHidden/>
              </w:rPr>
              <w:fldChar w:fldCharType="end"/>
            </w:r>
          </w:hyperlink>
        </w:p>
        <w:p w14:paraId="1914B973" w14:textId="500FE989"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77" w:history="1">
            <w:r w:rsidRPr="00067361">
              <w:rPr>
                <w:rStyle w:val="Hyperlink"/>
                <w:rFonts w:ascii="Verdana" w:hAnsi="Verdana"/>
                <w:noProof/>
              </w:rPr>
              <w:t>Irish Traveller Accommodation</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_Toc165632777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20</w:t>
            </w:r>
            <w:r w:rsidRPr="00067361">
              <w:rPr>
                <w:rFonts w:ascii="Verdana" w:hAnsi="Verdana"/>
                <w:noProof/>
                <w:webHidden/>
              </w:rPr>
              <w:fldChar w:fldCharType="end"/>
            </w:r>
          </w:hyperlink>
        </w:p>
        <w:p w14:paraId="4B1B3B68" w14:textId="5EAE8F03"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78" w:history="1">
            <w:r w:rsidRPr="00067361">
              <w:rPr>
                <w:rStyle w:val="Hyperlink"/>
                <w:rFonts w:ascii="Verdana" w:hAnsi="Verdana"/>
                <w:noProof/>
              </w:rPr>
              <w:t>Educational needs of specific groups of children</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_Toc165632778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20</w:t>
            </w:r>
            <w:r w:rsidRPr="00067361">
              <w:rPr>
                <w:rFonts w:ascii="Verdana" w:hAnsi="Verdana"/>
                <w:noProof/>
                <w:webHidden/>
              </w:rPr>
              <w:fldChar w:fldCharType="end"/>
            </w:r>
          </w:hyperlink>
        </w:p>
        <w:p w14:paraId="6EC2DB52" w14:textId="535837D1" w:rsidR="00067361" w:rsidRPr="00067361" w:rsidRDefault="00067361">
          <w:pPr>
            <w:pStyle w:val="TOC2"/>
            <w:tabs>
              <w:tab w:val="right" w:leader="dot" w:pos="9010"/>
            </w:tabs>
            <w:rPr>
              <w:rFonts w:ascii="Verdana" w:hAnsi="Verdana"/>
              <w:noProof/>
              <w:kern w:val="2"/>
              <w:sz w:val="22"/>
              <w:szCs w:val="22"/>
              <w:lang w:eastAsia="en-GB"/>
              <w14:ligatures w14:val="standardContextual"/>
            </w:rPr>
          </w:pPr>
          <w:hyperlink w:anchor="_Toc165632779" w:history="1">
            <w:r w:rsidRPr="00067361">
              <w:rPr>
                <w:rStyle w:val="Hyperlink"/>
                <w:rFonts w:ascii="Verdana" w:hAnsi="Verdana"/>
                <w:noProof/>
              </w:rPr>
              <w:t>Bullying in Schools</w:t>
            </w:r>
            <w:r w:rsidRPr="00067361">
              <w:rPr>
                <w:rFonts w:ascii="Verdana" w:hAnsi="Verdana"/>
                <w:noProof/>
                <w:webHidden/>
              </w:rPr>
              <w:tab/>
            </w:r>
            <w:r w:rsidRPr="00067361">
              <w:rPr>
                <w:rFonts w:ascii="Verdana" w:hAnsi="Verdana"/>
                <w:noProof/>
                <w:webHidden/>
              </w:rPr>
              <w:fldChar w:fldCharType="begin"/>
            </w:r>
            <w:r w:rsidRPr="00067361">
              <w:rPr>
                <w:rFonts w:ascii="Verdana" w:hAnsi="Verdana"/>
                <w:noProof/>
                <w:webHidden/>
              </w:rPr>
              <w:instrText xml:space="preserve"> PAGEREF _Toc165632779 \h </w:instrText>
            </w:r>
            <w:r w:rsidRPr="00067361">
              <w:rPr>
                <w:rFonts w:ascii="Verdana" w:hAnsi="Verdana"/>
                <w:noProof/>
                <w:webHidden/>
              </w:rPr>
            </w:r>
            <w:r w:rsidRPr="00067361">
              <w:rPr>
                <w:rFonts w:ascii="Verdana" w:hAnsi="Verdana"/>
                <w:noProof/>
                <w:webHidden/>
              </w:rPr>
              <w:fldChar w:fldCharType="separate"/>
            </w:r>
            <w:r w:rsidR="00DD173D">
              <w:rPr>
                <w:rFonts w:ascii="Verdana" w:hAnsi="Verdana"/>
                <w:noProof/>
                <w:webHidden/>
              </w:rPr>
              <w:t>21</w:t>
            </w:r>
            <w:r w:rsidRPr="00067361">
              <w:rPr>
                <w:rFonts w:ascii="Verdana" w:hAnsi="Verdana"/>
                <w:noProof/>
                <w:webHidden/>
              </w:rPr>
              <w:fldChar w:fldCharType="end"/>
            </w:r>
          </w:hyperlink>
        </w:p>
        <w:p w14:paraId="65139F20" w14:textId="4464D120" w:rsidR="000C036C" w:rsidRPr="00067361" w:rsidRDefault="000C036C">
          <w:pPr>
            <w:rPr>
              <w:rFonts w:ascii="Verdana" w:hAnsi="Verdana"/>
            </w:rPr>
          </w:pPr>
          <w:r w:rsidRPr="00067361">
            <w:rPr>
              <w:rFonts w:ascii="Verdana" w:hAnsi="Verdana"/>
              <w:b/>
              <w:bCs/>
              <w:noProof/>
            </w:rPr>
            <w:fldChar w:fldCharType="end"/>
          </w:r>
        </w:p>
      </w:sdtContent>
    </w:sdt>
    <w:p w14:paraId="420AEE63" w14:textId="77777777" w:rsidR="001E79A9" w:rsidRPr="00F605A5" w:rsidRDefault="001E79A9" w:rsidP="00331C61">
      <w:pPr>
        <w:pStyle w:val="Default"/>
        <w:spacing w:line="288" w:lineRule="auto"/>
        <w:rPr>
          <w:rFonts w:cs="Arial"/>
          <w:b/>
          <w:color w:val="232120"/>
        </w:rPr>
      </w:pPr>
    </w:p>
    <w:p w14:paraId="38681FCF" w14:textId="77777777" w:rsidR="00EA12CE" w:rsidRPr="00331C61" w:rsidRDefault="00EA12CE" w:rsidP="00331C61">
      <w:pPr>
        <w:pStyle w:val="Default"/>
        <w:spacing w:line="288" w:lineRule="auto"/>
        <w:rPr>
          <w:rFonts w:cs="Arial"/>
          <w:b/>
          <w:color w:val="232120"/>
        </w:rPr>
      </w:pPr>
    </w:p>
    <w:p w14:paraId="0D992BDB" w14:textId="77777777" w:rsidR="00EA12CE" w:rsidRPr="00331C61" w:rsidRDefault="00EA12CE" w:rsidP="00331C61">
      <w:pPr>
        <w:pStyle w:val="Default"/>
        <w:spacing w:line="288" w:lineRule="auto"/>
        <w:rPr>
          <w:rFonts w:cs="Arial"/>
          <w:b/>
          <w:color w:val="232120"/>
        </w:rPr>
      </w:pPr>
    </w:p>
    <w:p w14:paraId="48343A5D" w14:textId="77777777" w:rsidR="00EA12CE" w:rsidRDefault="00EA12CE" w:rsidP="00331C61">
      <w:pPr>
        <w:pStyle w:val="Default"/>
        <w:spacing w:line="288" w:lineRule="auto"/>
        <w:rPr>
          <w:rFonts w:cs="Arial"/>
          <w:b/>
          <w:color w:val="232120"/>
        </w:rPr>
      </w:pPr>
    </w:p>
    <w:p w14:paraId="08DCBE9B" w14:textId="77777777" w:rsidR="00067361" w:rsidRDefault="00067361" w:rsidP="00331C61">
      <w:pPr>
        <w:pStyle w:val="Default"/>
        <w:spacing w:line="288" w:lineRule="auto"/>
        <w:rPr>
          <w:rFonts w:cs="Arial"/>
          <w:b/>
          <w:color w:val="232120"/>
        </w:rPr>
      </w:pPr>
    </w:p>
    <w:p w14:paraId="7DC64320" w14:textId="77777777" w:rsidR="00067361" w:rsidRPr="00331C61" w:rsidRDefault="00067361" w:rsidP="00331C61">
      <w:pPr>
        <w:pStyle w:val="Default"/>
        <w:spacing w:line="288" w:lineRule="auto"/>
        <w:rPr>
          <w:rFonts w:cs="Arial"/>
          <w:b/>
          <w:color w:val="232120"/>
        </w:rPr>
      </w:pPr>
    </w:p>
    <w:p w14:paraId="16AFD868" w14:textId="77777777" w:rsidR="00EA12CE" w:rsidRPr="00331C61" w:rsidRDefault="00EA12CE" w:rsidP="00331C61">
      <w:pPr>
        <w:pStyle w:val="Default"/>
        <w:spacing w:line="288" w:lineRule="auto"/>
        <w:rPr>
          <w:rFonts w:cs="Arial"/>
          <w:b/>
          <w:color w:val="232120"/>
        </w:rPr>
      </w:pPr>
    </w:p>
    <w:p w14:paraId="6300B91D" w14:textId="4E316F0F" w:rsidR="006708F4" w:rsidRDefault="00ED40E9" w:rsidP="006708F4">
      <w:pPr>
        <w:pStyle w:val="Heading1"/>
        <w:numPr>
          <w:ilvl w:val="0"/>
          <w:numId w:val="12"/>
        </w:numPr>
      </w:pPr>
      <w:bookmarkStart w:id="0" w:name="_Toc165632754"/>
      <w:r>
        <w:lastRenderedPageBreak/>
        <w:t>Introduction</w:t>
      </w:r>
      <w:bookmarkEnd w:id="0"/>
    </w:p>
    <w:p w14:paraId="4FA09FD7" w14:textId="77777777" w:rsidR="006708F4" w:rsidRPr="006708F4" w:rsidRDefault="006708F4" w:rsidP="006708F4"/>
    <w:p w14:paraId="41734504" w14:textId="28231A69" w:rsidR="001D4C18" w:rsidRDefault="001D4C18" w:rsidP="001D4C18">
      <w:pPr>
        <w:pStyle w:val="ListParagraph"/>
        <w:numPr>
          <w:ilvl w:val="1"/>
          <w:numId w:val="12"/>
        </w:numPr>
        <w:spacing w:line="288" w:lineRule="auto"/>
        <w:ind w:left="709"/>
        <w:contextualSpacing w:val="0"/>
        <w:rPr>
          <w:rFonts w:ascii="Verdana" w:hAnsi="Verdana"/>
        </w:rPr>
      </w:pPr>
      <w:r w:rsidRPr="001D4C18">
        <w:rPr>
          <w:rFonts w:ascii="Verdana" w:hAnsi="Verdana"/>
        </w:rPr>
        <w:t>The</w:t>
      </w:r>
      <w:r w:rsidR="00202FF9">
        <w:rPr>
          <w:rFonts w:ascii="Verdana" w:hAnsi="Verdana"/>
        </w:rPr>
        <w:t xml:space="preserve"> Northern Ireland Human Rights Commission</w:t>
      </w:r>
      <w:r w:rsidRPr="001D4C18">
        <w:rPr>
          <w:rFonts w:ascii="Verdana" w:hAnsi="Verdana"/>
        </w:rPr>
        <w:t xml:space="preserve"> </w:t>
      </w:r>
      <w:r w:rsidR="00202FF9">
        <w:rPr>
          <w:rFonts w:ascii="Verdana" w:hAnsi="Verdana"/>
        </w:rPr>
        <w:t>(</w:t>
      </w:r>
      <w:r w:rsidRPr="001D4C18">
        <w:rPr>
          <w:rFonts w:ascii="Verdana" w:hAnsi="Verdana"/>
        </w:rPr>
        <w:t>NIHRC</w:t>
      </w:r>
      <w:r w:rsidR="00202FF9">
        <w:rPr>
          <w:rFonts w:ascii="Verdana" w:hAnsi="Verdana"/>
        </w:rPr>
        <w:t>)</w:t>
      </w:r>
      <w:r w:rsidRPr="001D4C18">
        <w:rPr>
          <w:rFonts w:ascii="Verdana" w:hAnsi="Verdana"/>
        </w:rPr>
        <w:t xml:space="preserve"> is one of three A-status National Human Rights Institutions </w:t>
      </w:r>
      <w:r w:rsidR="00B557B7">
        <w:rPr>
          <w:rFonts w:ascii="Verdana" w:hAnsi="Verdana"/>
        </w:rPr>
        <w:t>in</w:t>
      </w:r>
      <w:r w:rsidR="00B557B7" w:rsidRPr="001D4C18">
        <w:rPr>
          <w:rFonts w:ascii="Verdana" w:hAnsi="Verdana"/>
        </w:rPr>
        <w:t xml:space="preserve"> </w:t>
      </w:r>
      <w:r w:rsidRPr="001D4C18">
        <w:rPr>
          <w:rFonts w:ascii="Verdana" w:hAnsi="Verdana"/>
        </w:rPr>
        <w:t>the United Kingdom (UK). In accordance with the Paris Principles and pursuant to Section 69(1) of the Northern Ireland (NI) Act 1998, the NIHRC reviews the adequacy and effectiveness of measures undertaken by the UK Government and NI Executive to promote and protect human rights, specifically within NI. In accordance with section 78</w:t>
      </w:r>
      <w:proofErr w:type="gramStart"/>
      <w:r w:rsidRPr="001D4C18">
        <w:rPr>
          <w:rFonts w:ascii="Verdana" w:hAnsi="Verdana"/>
        </w:rPr>
        <w:t>A(</w:t>
      </w:r>
      <w:proofErr w:type="gramEnd"/>
      <w:r w:rsidRPr="001D4C18">
        <w:rPr>
          <w:rFonts w:ascii="Verdana" w:hAnsi="Verdana"/>
        </w:rPr>
        <w:t>1) of the NI Act, the NIHRC also monitors the UK Government’s commitment under Article 2(1) of the Windsor Framework</w:t>
      </w:r>
      <w:r w:rsidRPr="001D4C18">
        <w:rPr>
          <w:rStyle w:val="FootnoteReference"/>
          <w:rFonts w:ascii="Verdana" w:hAnsi="Verdana"/>
        </w:rPr>
        <w:footnoteReference w:id="2"/>
      </w:r>
      <w:r w:rsidRPr="001D4C18">
        <w:rPr>
          <w:rFonts w:ascii="Verdana" w:hAnsi="Verdana"/>
        </w:rPr>
        <w:t xml:space="preserve"> (Windsor Framework Article 2) to ensure there is no diminution of </w:t>
      </w:r>
      <w:r w:rsidR="00FF16C6">
        <w:rPr>
          <w:rFonts w:ascii="Verdana" w:hAnsi="Verdana"/>
        </w:rPr>
        <w:t xml:space="preserve">the </w:t>
      </w:r>
      <w:r w:rsidRPr="001D4C18">
        <w:rPr>
          <w:rFonts w:ascii="Verdana" w:hAnsi="Verdana"/>
        </w:rPr>
        <w:t xml:space="preserve">rights and safeguards protected in the relevant part of the Belfast (Good Friday) Agreement </w:t>
      </w:r>
      <w:r w:rsidR="009E2860">
        <w:rPr>
          <w:rFonts w:ascii="Verdana" w:hAnsi="Verdana"/>
        </w:rPr>
        <w:t xml:space="preserve">1998 </w:t>
      </w:r>
      <w:r w:rsidRPr="001D4C18">
        <w:rPr>
          <w:rFonts w:ascii="Verdana" w:hAnsi="Verdana"/>
        </w:rPr>
        <w:t xml:space="preserve">as a result of the UK withdrawal from the </w:t>
      </w:r>
      <w:r w:rsidR="006F73BA">
        <w:rPr>
          <w:rFonts w:ascii="Verdana" w:hAnsi="Verdana"/>
        </w:rPr>
        <w:t>European Union (</w:t>
      </w:r>
      <w:r w:rsidRPr="001D4C18">
        <w:rPr>
          <w:rFonts w:ascii="Verdana" w:hAnsi="Verdana"/>
        </w:rPr>
        <w:t>EU</w:t>
      </w:r>
      <w:r w:rsidR="006F73BA">
        <w:rPr>
          <w:rFonts w:ascii="Verdana" w:hAnsi="Verdana"/>
        </w:rPr>
        <w:t>)</w:t>
      </w:r>
      <w:r w:rsidRPr="001D4C18">
        <w:rPr>
          <w:rFonts w:ascii="Verdana" w:hAnsi="Verdana"/>
        </w:rPr>
        <w:t>.</w:t>
      </w:r>
      <w:r w:rsidRPr="001D4C18">
        <w:rPr>
          <w:rStyle w:val="FootnoteReference"/>
          <w:rFonts w:ascii="Verdana" w:hAnsi="Verdana"/>
        </w:rPr>
        <w:footnoteReference w:id="3"/>
      </w:r>
    </w:p>
    <w:p w14:paraId="23E3EC6E" w14:textId="77777777" w:rsidR="00F704D9" w:rsidRDefault="00F704D9" w:rsidP="00F704D9">
      <w:pPr>
        <w:pStyle w:val="ListParagraph"/>
        <w:spacing w:line="288" w:lineRule="auto"/>
        <w:ind w:left="709"/>
        <w:contextualSpacing w:val="0"/>
        <w:rPr>
          <w:rFonts w:ascii="Verdana" w:hAnsi="Verdana"/>
        </w:rPr>
      </w:pPr>
    </w:p>
    <w:p w14:paraId="267C975B" w14:textId="77777777" w:rsidR="00F704D9" w:rsidRDefault="00F704D9" w:rsidP="00F704D9">
      <w:pPr>
        <w:pStyle w:val="ListParagraph"/>
        <w:numPr>
          <w:ilvl w:val="1"/>
          <w:numId w:val="12"/>
        </w:numPr>
        <w:spacing w:line="288" w:lineRule="auto"/>
        <w:ind w:left="709"/>
        <w:contextualSpacing w:val="0"/>
        <w:rPr>
          <w:rFonts w:ascii="Verdana" w:hAnsi="Verdana"/>
        </w:rPr>
      </w:pPr>
      <w:r>
        <w:rPr>
          <w:rFonts w:ascii="Verdana" w:hAnsi="Verdana"/>
        </w:rPr>
        <w:t>Between February 2022 and February 2024, NI was without a fully functioning NI Executive and Assembly. This was the second suspension period within this monitoring round.</w:t>
      </w:r>
      <w:r>
        <w:rPr>
          <w:rStyle w:val="FootnoteReference"/>
          <w:rFonts w:ascii="Verdana" w:hAnsi="Verdana"/>
        </w:rPr>
        <w:footnoteReference w:id="4"/>
      </w:r>
      <w:r w:rsidRPr="009D2CF5">
        <w:t xml:space="preserve"> </w:t>
      </w:r>
      <w:r w:rsidRPr="009D2CF5">
        <w:rPr>
          <w:rFonts w:ascii="Verdana" w:hAnsi="Verdana"/>
        </w:rPr>
        <w:t xml:space="preserve">In the absence of elected ministers, government departments were run by civil servants who were unable to make major policy decisions or introduce legislation. The reinstatement of the NI Executive and NI Assembly is </w:t>
      </w:r>
      <w:proofErr w:type="gramStart"/>
      <w:r w:rsidRPr="009D2CF5">
        <w:rPr>
          <w:rFonts w:ascii="Verdana" w:hAnsi="Verdana"/>
        </w:rPr>
        <w:t>welcomed,</w:t>
      </w:r>
      <w:proofErr w:type="gramEnd"/>
      <w:r w:rsidRPr="009D2CF5">
        <w:rPr>
          <w:rFonts w:ascii="Verdana" w:hAnsi="Verdana"/>
        </w:rPr>
        <w:t xml:space="preserve"> however it does not guarantee that the required UN </w:t>
      </w:r>
      <w:r>
        <w:rPr>
          <w:rFonts w:ascii="Verdana" w:hAnsi="Verdana"/>
        </w:rPr>
        <w:t>CERD</w:t>
      </w:r>
      <w:r w:rsidRPr="009D2CF5">
        <w:rPr>
          <w:rFonts w:ascii="Verdana" w:hAnsi="Verdana"/>
        </w:rPr>
        <w:t>-related actions will be implemented expeditiously.</w:t>
      </w:r>
      <w:r>
        <w:rPr>
          <w:rFonts w:ascii="Verdana" w:hAnsi="Verdana"/>
        </w:rPr>
        <w:t xml:space="preserve"> </w:t>
      </w:r>
    </w:p>
    <w:p w14:paraId="60158F52" w14:textId="77777777" w:rsidR="00E92C47" w:rsidRDefault="00E92C47" w:rsidP="00E92C47">
      <w:pPr>
        <w:pStyle w:val="ListParagraph"/>
        <w:spacing w:line="288" w:lineRule="auto"/>
        <w:ind w:left="709"/>
        <w:contextualSpacing w:val="0"/>
        <w:rPr>
          <w:rFonts w:ascii="Verdana" w:hAnsi="Verdana"/>
        </w:rPr>
      </w:pPr>
    </w:p>
    <w:p w14:paraId="4B5FD29A" w14:textId="15691315" w:rsidR="006708F4" w:rsidRPr="0061617A" w:rsidRDefault="001D4C18" w:rsidP="00712670">
      <w:pPr>
        <w:pStyle w:val="ListParagraph"/>
        <w:numPr>
          <w:ilvl w:val="1"/>
          <w:numId w:val="12"/>
        </w:numPr>
        <w:spacing w:line="276" w:lineRule="auto"/>
        <w:ind w:left="709" w:hanging="709"/>
      </w:pPr>
      <w:r>
        <w:rPr>
          <w:rFonts w:ascii="Verdana" w:hAnsi="Verdana"/>
        </w:rPr>
        <w:t>The NIHRC welcomes the opportunity to</w:t>
      </w:r>
      <w:r w:rsidR="00A05EAA">
        <w:rPr>
          <w:rFonts w:ascii="Verdana" w:hAnsi="Verdana"/>
        </w:rPr>
        <w:t xml:space="preserve"> inform the UN Committee on the Elimination of Racial Discrimination’s (UN CERD</w:t>
      </w:r>
      <w:r w:rsidR="00677FF6">
        <w:rPr>
          <w:rFonts w:ascii="Verdana" w:hAnsi="Verdana"/>
        </w:rPr>
        <w:t xml:space="preserve"> Committee</w:t>
      </w:r>
      <w:r w:rsidR="00A05EAA">
        <w:rPr>
          <w:rFonts w:ascii="Verdana" w:hAnsi="Verdana"/>
        </w:rPr>
        <w:t xml:space="preserve">) List of Themes ahead of </w:t>
      </w:r>
      <w:r w:rsidR="008F3C66">
        <w:rPr>
          <w:rFonts w:ascii="Verdana" w:hAnsi="Verdana"/>
        </w:rPr>
        <w:t xml:space="preserve">its periodic </w:t>
      </w:r>
      <w:r w:rsidR="00D92896">
        <w:rPr>
          <w:rFonts w:ascii="Verdana" w:hAnsi="Verdana"/>
        </w:rPr>
        <w:t xml:space="preserve">review </w:t>
      </w:r>
      <w:r w:rsidR="008F3C66">
        <w:rPr>
          <w:rFonts w:ascii="Verdana" w:hAnsi="Verdana"/>
        </w:rPr>
        <w:t>o</w:t>
      </w:r>
      <w:r w:rsidR="00256F15">
        <w:rPr>
          <w:rFonts w:ascii="Verdana" w:hAnsi="Verdana"/>
        </w:rPr>
        <w:t>f</w:t>
      </w:r>
      <w:r w:rsidR="008F3C66">
        <w:rPr>
          <w:rFonts w:ascii="Verdana" w:hAnsi="Verdana"/>
        </w:rPr>
        <w:t xml:space="preserve"> the UK’s </w:t>
      </w:r>
      <w:r w:rsidR="008C09C8">
        <w:rPr>
          <w:rFonts w:ascii="Verdana" w:hAnsi="Verdana"/>
        </w:rPr>
        <w:t xml:space="preserve">compliance with the </w:t>
      </w:r>
      <w:r w:rsidR="00DD796C">
        <w:rPr>
          <w:rFonts w:ascii="Verdana" w:hAnsi="Verdana"/>
        </w:rPr>
        <w:t>UN Convention on the Elimination of Racial Discrimination (UN CERD)</w:t>
      </w:r>
      <w:r w:rsidR="008C09C8">
        <w:rPr>
          <w:rFonts w:ascii="Verdana" w:hAnsi="Verdana"/>
        </w:rPr>
        <w:t xml:space="preserve">. </w:t>
      </w:r>
      <w:r w:rsidR="004C69FF">
        <w:rPr>
          <w:rFonts w:ascii="Verdana" w:hAnsi="Verdana"/>
        </w:rPr>
        <w:t xml:space="preserve">The </w:t>
      </w:r>
      <w:r w:rsidR="00F21E64">
        <w:rPr>
          <w:rFonts w:ascii="Verdana" w:hAnsi="Verdana"/>
        </w:rPr>
        <w:t xml:space="preserve">overarching </w:t>
      </w:r>
      <w:r w:rsidR="004C69FF">
        <w:rPr>
          <w:rFonts w:ascii="Verdana" w:hAnsi="Verdana"/>
        </w:rPr>
        <w:t>themes included in this report</w:t>
      </w:r>
      <w:r w:rsidR="00A71123">
        <w:rPr>
          <w:rFonts w:ascii="Verdana" w:hAnsi="Verdana"/>
        </w:rPr>
        <w:t xml:space="preserve"> </w:t>
      </w:r>
      <w:r w:rsidR="009C471E">
        <w:rPr>
          <w:rFonts w:ascii="Verdana" w:hAnsi="Verdana"/>
        </w:rPr>
        <w:t xml:space="preserve">affect racial </w:t>
      </w:r>
      <w:r w:rsidR="00076B0E">
        <w:rPr>
          <w:rFonts w:ascii="Verdana" w:hAnsi="Verdana"/>
        </w:rPr>
        <w:t xml:space="preserve">and ethnic minorities in </w:t>
      </w:r>
      <w:r w:rsidR="009C471E">
        <w:rPr>
          <w:rFonts w:ascii="Verdana" w:hAnsi="Verdana"/>
        </w:rPr>
        <w:t>NI</w:t>
      </w:r>
      <w:r w:rsidR="001C1A4D">
        <w:rPr>
          <w:rFonts w:ascii="Verdana" w:hAnsi="Verdana"/>
        </w:rPr>
        <w:t xml:space="preserve">. </w:t>
      </w:r>
      <w:r w:rsidR="008C09C8">
        <w:rPr>
          <w:rFonts w:ascii="Verdana" w:hAnsi="Verdana"/>
        </w:rPr>
        <w:t>Th</w:t>
      </w:r>
      <w:r w:rsidR="00A77AF8">
        <w:rPr>
          <w:rFonts w:ascii="Verdana" w:hAnsi="Verdana"/>
        </w:rPr>
        <w:t>is is not an exhaustive list</w:t>
      </w:r>
      <w:r w:rsidR="00677FF6">
        <w:rPr>
          <w:rFonts w:ascii="Verdana" w:hAnsi="Verdana"/>
        </w:rPr>
        <w:t xml:space="preserve">. </w:t>
      </w:r>
      <w:r w:rsidR="007A2D10">
        <w:rPr>
          <w:rFonts w:ascii="Verdana" w:hAnsi="Verdana"/>
        </w:rPr>
        <w:t>The NIHRC will</w:t>
      </w:r>
      <w:r w:rsidR="007B5175">
        <w:rPr>
          <w:rFonts w:ascii="Verdana" w:hAnsi="Verdana"/>
        </w:rPr>
        <w:t xml:space="preserve"> </w:t>
      </w:r>
      <w:r w:rsidR="004F2F6A">
        <w:rPr>
          <w:rFonts w:ascii="Verdana" w:hAnsi="Verdana"/>
        </w:rPr>
        <w:t>further</w:t>
      </w:r>
      <w:r w:rsidR="007A2D10">
        <w:rPr>
          <w:rFonts w:ascii="Verdana" w:hAnsi="Verdana"/>
        </w:rPr>
        <w:t xml:space="preserve"> explore the</w:t>
      </w:r>
      <w:r w:rsidR="00677FF6">
        <w:rPr>
          <w:rFonts w:ascii="Verdana" w:hAnsi="Verdana"/>
        </w:rPr>
        <w:t xml:space="preserve"> UK </w:t>
      </w:r>
      <w:r w:rsidR="007A2D10">
        <w:rPr>
          <w:rFonts w:ascii="Verdana" w:hAnsi="Verdana"/>
        </w:rPr>
        <w:t>G</w:t>
      </w:r>
      <w:r w:rsidR="00677FF6">
        <w:rPr>
          <w:rFonts w:ascii="Verdana" w:hAnsi="Verdana"/>
        </w:rPr>
        <w:t>overnment and NI Executive’s compl</w:t>
      </w:r>
      <w:r w:rsidR="00DD796C">
        <w:rPr>
          <w:rFonts w:ascii="Verdana" w:hAnsi="Verdana"/>
        </w:rPr>
        <w:t xml:space="preserve">iance with UN CERD </w:t>
      </w:r>
      <w:r w:rsidR="007A2D10">
        <w:rPr>
          <w:rFonts w:ascii="Verdana" w:hAnsi="Verdana"/>
        </w:rPr>
        <w:t xml:space="preserve">in its report </w:t>
      </w:r>
      <w:r w:rsidR="00C74BFE">
        <w:rPr>
          <w:rFonts w:ascii="Verdana" w:hAnsi="Verdana"/>
        </w:rPr>
        <w:t xml:space="preserve">for </w:t>
      </w:r>
      <w:r w:rsidR="00712670">
        <w:rPr>
          <w:rFonts w:ascii="Verdana" w:hAnsi="Verdana"/>
        </w:rPr>
        <w:t xml:space="preserve">the UN CERD </w:t>
      </w:r>
      <w:r w:rsidR="00712670">
        <w:rPr>
          <w:rFonts w:ascii="Verdana" w:hAnsi="Verdana"/>
        </w:rPr>
        <w:lastRenderedPageBreak/>
        <w:t>Committee</w:t>
      </w:r>
      <w:r w:rsidR="00C74BFE">
        <w:rPr>
          <w:rFonts w:ascii="Verdana" w:hAnsi="Verdana"/>
        </w:rPr>
        <w:t>’s main review</w:t>
      </w:r>
      <w:r w:rsidR="00712670">
        <w:rPr>
          <w:rFonts w:ascii="Verdana" w:hAnsi="Verdana"/>
        </w:rPr>
        <w:t xml:space="preserve">, to be </w:t>
      </w:r>
      <w:r w:rsidR="009005A5">
        <w:rPr>
          <w:rFonts w:ascii="Verdana" w:hAnsi="Verdana"/>
        </w:rPr>
        <w:t xml:space="preserve">submitted </w:t>
      </w:r>
      <w:r w:rsidR="00712670">
        <w:rPr>
          <w:rFonts w:ascii="Verdana" w:hAnsi="Verdana"/>
        </w:rPr>
        <w:t>in July 2024.</w:t>
      </w:r>
      <w:r w:rsidR="002A3926">
        <w:rPr>
          <w:rFonts w:ascii="Verdana" w:hAnsi="Verdana"/>
        </w:rPr>
        <w:t xml:space="preserve"> The UN CERD Committee may wish to include </w:t>
      </w:r>
      <w:r w:rsidR="00876C9E">
        <w:rPr>
          <w:rFonts w:ascii="Verdana" w:hAnsi="Verdana"/>
        </w:rPr>
        <w:t xml:space="preserve">these themes within its </w:t>
      </w:r>
      <w:r w:rsidR="002C7C7B">
        <w:rPr>
          <w:rFonts w:ascii="Verdana" w:hAnsi="Verdana"/>
        </w:rPr>
        <w:t>L</w:t>
      </w:r>
      <w:r w:rsidR="00876C9E">
        <w:rPr>
          <w:rFonts w:ascii="Verdana" w:hAnsi="Verdana"/>
        </w:rPr>
        <w:t xml:space="preserve">ist of </w:t>
      </w:r>
      <w:r w:rsidR="002C7C7B">
        <w:rPr>
          <w:rFonts w:ascii="Verdana" w:hAnsi="Verdana"/>
        </w:rPr>
        <w:t>T</w:t>
      </w:r>
      <w:r w:rsidR="00876C9E">
        <w:rPr>
          <w:rFonts w:ascii="Verdana" w:hAnsi="Verdana"/>
        </w:rPr>
        <w:t xml:space="preserve">hemes issued to the </w:t>
      </w:r>
      <w:r w:rsidR="003D135F">
        <w:rPr>
          <w:rFonts w:ascii="Verdana" w:hAnsi="Verdana"/>
        </w:rPr>
        <w:t>State party</w:t>
      </w:r>
      <w:r w:rsidR="00876C9E">
        <w:rPr>
          <w:rFonts w:ascii="Verdana" w:hAnsi="Verdana"/>
        </w:rPr>
        <w:t xml:space="preserve"> ahead of the examination.</w:t>
      </w:r>
    </w:p>
    <w:p w14:paraId="4D4CC827" w14:textId="77777777" w:rsidR="0061617A" w:rsidRDefault="0061617A" w:rsidP="0061617A">
      <w:pPr>
        <w:pStyle w:val="ListParagraph"/>
      </w:pPr>
    </w:p>
    <w:p w14:paraId="055E7FCE" w14:textId="350BC4D7" w:rsidR="002A635A" w:rsidRDefault="002A635A" w:rsidP="00BD58C9">
      <w:pPr>
        <w:pStyle w:val="Heading1"/>
        <w:numPr>
          <w:ilvl w:val="0"/>
          <w:numId w:val="12"/>
        </w:numPr>
      </w:pPr>
      <w:bookmarkStart w:id="1" w:name="_Toc165632755"/>
      <w:r>
        <w:t>Legislative Framework</w:t>
      </w:r>
      <w:bookmarkEnd w:id="1"/>
    </w:p>
    <w:p w14:paraId="3B9CF6E2" w14:textId="77777777" w:rsidR="002A635A" w:rsidRDefault="002A635A" w:rsidP="002A635A"/>
    <w:p w14:paraId="6F842F07" w14:textId="3C8CFBFB" w:rsidR="00CF274B" w:rsidRDefault="00135EAE" w:rsidP="00CF274B">
      <w:pPr>
        <w:pStyle w:val="Heading2"/>
      </w:pPr>
      <w:bookmarkStart w:id="2" w:name="_Toc165632756"/>
      <w:r>
        <w:t xml:space="preserve">UK </w:t>
      </w:r>
      <w:r w:rsidR="00CF274B">
        <w:t>Human Rights Act Reform</w:t>
      </w:r>
      <w:bookmarkEnd w:id="2"/>
    </w:p>
    <w:p w14:paraId="66D3613F" w14:textId="77777777" w:rsidR="00CF274B" w:rsidRPr="00CF274B" w:rsidRDefault="00CF274B" w:rsidP="00CF274B"/>
    <w:p w14:paraId="46E5F2FE" w14:textId="4985A731" w:rsidR="003B7EF4" w:rsidRDefault="00135EAE" w:rsidP="00BD58C9">
      <w:pPr>
        <w:pStyle w:val="ListParagraph"/>
        <w:numPr>
          <w:ilvl w:val="1"/>
          <w:numId w:val="12"/>
        </w:numPr>
        <w:spacing w:line="276" w:lineRule="auto"/>
        <w:ind w:left="709"/>
        <w:rPr>
          <w:rFonts w:ascii="Verdana" w:hAnsi="Verdana"/>
        </w:rPr>
      </w:pPr>
      <w:r>
        <w:rPr>
          <w:rFonts w:ascii="Verdana" w:hAnsi="Verdana"/>
        </w:rPr>
        <w:t xml:space="preserve">In 2022, </w:t>
      </w:r>
      <w:r w:rsidRPr="00135EAE">
        <w:rPr>
          <w:rFonts w:ascii="Verdana" w:hAnsi="Verdana"/>
        </w:rPr>
        <w:t xml:space="preserve">the Bill of Rights Bill was introduced to the UK Parliament. The Joint Committee on Human Rights advised that </w:t>
      </w:r>
      <w:r>
        <w:rPr>
          <w:rFonts w:ascii="Verdana" w:hAnsi="Verdana"/>
        </w:rPr>
        <w:t>the Bill s</w:t>
      </w:r>
      <w:r w:rsidRPr="00135EAE">
        <w:rPr>
          <w:rFonts w:ascii="Verdana" w:hAnsi="Verdana"/>
        </w:rPr>
        <w:t>hould not progress as it undermined the universality of human rights, weakened human rights protection and there was an overwhelming lack of support for the proposed reforms.</w:t>
      </w:r>
      <w:r>
        <w:rPr>
          <w:rStyle w:val="FootnoteReference"/>
          <w:rFonts w:ascii="Verdana" w:hAnsi="Verdana"/>
        </w:rPr>
        <w:footnoteReference w:id="5"/>
      </w:r>
    </w:p>
    <w:p w14:paraId="2FB1C91A" w14:textId="77777777" w:rsidR="00815F7C" w:rsidRDefault="00815F7C" w:rsidP="00815F7C">
      <w:pPr>
        <w:pStyle w:val="ListParagraph"/>
        <w:spacing w:line="276" w:lineRule="auto"/>
        <w:rPr>
          <w:rFonts w:ascii="Verdana" w:hAnsi="Verdana"/>
        </w:rPr>
      </w:pPr>
    </w:p>
    <w:p w14:paraId="4ACCC13B" w14:textId="16BC062E" w:rsidR="00815F7C" w:rsidRPr="00DA374A" w:rsidRDefault="00815F7C" w:rsidP="002A635A">
      <w:pPr>
        <w:pStyle w:val="ListParagraph"/>
        <w:numPr>
          <w:ilvl w:val="1"/>
          <w:numId w:val="12"/>
        </w:numPr>
        <w:spacing w:line="276" w:lineRule="auto"/>
        <w:ind w:left="720"/>
        <w:rPr>
          <w:rFonts w:ascii="Verdana" w:hAnsi="Verdana"/>
        </w:rPr>
      </w:pPr>
      <w:r w:rsidRPr="0055376B">
        <w:rPr>
          <w:rFonts w:ascii="Verdana" w:hAnsi="Verdana"/>
        </w:rPr>
        <w:t>In 2023, the UK Government confirmed that it was not proceeding with the Bill of Rights Bill, instead seeking to reform the UK’s human rights framework through a piecemeal app</w:t>
      </w:r>
      <w:r w:rsidRPr="00D652E6">
        <w:rPr>
          <w:rFonts w:ascii="Verdana" w:hAnsi="Verdana"/>
        </w:rPr>
        <w:t>roach</w:t>
      </w:r>
      <w:r w:rsidR="00D652E6" w:rsidRPr="00D652E6">
        <w:rPr>
          <w:rFonts w:ascii="Verdana" w:hAnsi="Verdana"/>
        </w:rPr>
        <w:t>, including through the Safety of Rwanda (Asylum and Immigration) Bill</w:t>
      </w:r>
      <w:r w:rsidR="4DA6AC70" w:rsidRPr="00D652E6">
        <w:rPr>
          <w:rFonts w:ascii="Verdana" w:hAnsi="Verdana"/>
        </w:rPr>
        <w:t xml:space="preserve"> (discussed below at</w:t>
      </w:r>
      <w:r w:rsidR="00703A83">
        <w:rPr>
          <w:rFonts w:ascii="Verdana" w:hAnsi="Verdana"/>
        </w:rPr>
        <w:t xml:space="preserve"> 6.8</w:t>
      </w:r>
      <w:r w:rsidR="0075639D">
        <w:rPr>
          <w:rFonts w:ascii="Verdana" w:hAnsi="Verdana"/>
        </w:rPr>
        <w:t>–6.10</w:t>
      </w:r>
      <w:r w:rsidR="4DA6AC70" w:rsidRPr="00D652E6">
        <w:rPr>
          <w:rFonts w:ascii="Verdana" w:hAnsi="Verdana"/>
        </w:rPr>
        <w:t>)</w:t>
      </w:r>
      <w:r w:rsidRPr="00D652E6">
        <w:rPr>
          <w:rFonts w:ascii="Verdana" w:hAnsi="Verdana"/>
        </w:rPr>
        <w:t>.</w:t>
      </w:r>
      <w:r w:rsidRPr="00D652E6">
        <w:rPr>
          <w:rStyle w:val="FootnoteReference"/>
          <w:rFonts w:ascii="Verdana" w:hAnsi="Verdana"/>
        </w:rPr>
        <w:footnoteReference w:id="6"/>
      </w:r>
      <w:r w:rsidRPr="0055376B">
        <w:rPr>
          <w:rFonts w:ascii="Verdana" w:hAnsi="Verdana"/>
        </w:rPr>
        <w:t xml:space="preserve"> The proposed changes will reduce access to domestic courts for individuals seeking human rights-based remedy</w:t>
      </w:r>
      <w:r w:rsidR="00B83438">
        <w:rPr>
          <w:rFonts w:ascii="Verdana" w:hAnsi="Verdana"/>
        </w:rPr>
        <w:t xml:space="preserve">, </w:t>
      </w:r>
      <w:r w:rsidR="00B83438" w:rsidRPr="00DA374A">
        <w:rPr>
          <w:rFonts w:ascii="Verdana" w:hAnsi="Verdana"/>
        </w:rPr>
        <w:t xml:space="preserve">including in the post-Brexit </w:t>
      </w:r>
      <w:r w:rsidR="00B91ABD" w:rsidRPr="00DA374A">
        <w:rPr>
          <w:rFonts w:ascii="Verdana" w:hAnsi="Verdana"/>
        </w:rPr>
        <w:t>context</w:t>
      </w:r>
      <w:r w:rsidRPr="00DA374A">
        <w:rPr>
          <w:rFonts w:ascii="Verdana" w:hAnsi="Verdana"/>
        </w:rPr>
        <w:t>.</w:t>
      </w:r>
      <w:r w:rsidRPr="00DA374A">
        <w:rPr>
          <w:rStyle w:val="FootnoteReference"/>
          <w:rFonts w:ascii="Verdana" w:hAnsi="Verdana"/>
        </w:rPr>
        <w:footnoteReference w:id="7"/>
      </w:r>
    </w:p>
    <w:p w14:paraId="322E513A" w14:textId="77777777" w:rsidR="0055376B" w:rsidRPr="0055376B" w:rsidRDefault="0055376B" w:rsidP="0055376B">
      <w:pPr>
        <w:pStyle w:val="ListParagraph"/>
        <w:rPr>
          <w:rFonts w:ascii="Verdana" w:hAnsi="Verdana"/>
        </w:rPr>
      </w:pPr>
    </w:p>
    <w:p w14:paraId="29ECACE6" w14:textId="46E5EB58" w:rsidR="0055376B" w:rsidRDefault="00F94C98" w:rsidP="002A635A">
      <w:pPr>
        <w:pStyle w:val="ListParagraph"/>
        <w:numPr>
          <w:ilvl w:val="1"/>
          <w:numId w:val="12"/>
        </w:numPr>
        <w:spacing w:line="276" w:lineRule="auto"/>
        <w:ind w:left="720"/>
        <w:rPr>
          <w:rFonts w:ascii="Verdana" w:hAnsi="Verdana"/>
          <w:b/>
          <w:bCs/>
        </w:rPr>
      </w:pPr>
      <w:r w:rsidRPr="5F9CD3FE">
        <w:rPr>
          <w:rFonts w:ascii="Verdana" w:hAnsi="Verdana"/>
          <w:b/>
          <w:bCs/>
        </w:rPr>
        <w:t xml:space="preserve">The Committee may wish to </w:t>
      </w:r>
      <w:r w:rsidR="00163042" w:rsidRPr="5F9CD3FE">
        <w:rPr>
          <w:rFonts w:ascii="Verdana" w:hAnsi="Verdana"/>
          <w:b/>
          <w:bCs/>
        </w:rPr>
        <w:t xml:space="preserve">ask </w:t>
      </w:r>
      <w:r w:rsidRPr="5F9CD3FE">
        <w:rPr>
          <w:rFonts w:ascii="Verdana" w:hAnsi="Verdana"/>
          <w:b/>
          <w:bCs/>
        </w:rPr>
        <w:t>the UK Government</w:t>
      </w:r>
      <w:r w:rsidR="00864300">
        <w:rPr>
          <w:rFonts w:ascii="Verdana" w:hAnsi="Verdana"/>
          <w:b/>
          <w:bCs/>
        </w:rPr>
        <w:t xml:space="preserve"> </w:t>
      </w:r>
      <w:r w:rsidR="00864300" w:rsidRPr="5F9CD3FE">
        <w:rPr>
          <w:rFonts w:ascii="Verdana" w:hAnsi="Verdana"/>
          <w:b/>
          <w:bCs/>
        </w:rPr>
        <w:t>what effective steps</w:t>
      </w:r>
      <w:r w:rsidR="00696F25" w:rsidRPr="5F9CD3FE">
        <w:rPr>
          <w:rFonts w:ascii="Verdana" w:hAnsi="Verdana"/>
          <w:b/>
          <w:bCs/>
        </w:rPr>
        <w:t xml:space="preserve"> </w:t>
      </w:r>
      <w:r w:rsidR="00625D4C" w:rsidRPr="5F9CD3FE">
        <w:rPr>
          <w:rFonts w:ascii="Verdana" w:hAnsi="Verdana"/>
          <w:b/>
          <w:bCs/>
        </w:rPr>
        <w:t xml:space="preserve">it </w:t>
      </w:r>
      <w:r w:rsidR="00696F25" w:rsidRPr="5F9CD3FE">
        <w:rPr>
          <w:rFonts w:ascii="Verdana" w:hAnsi="Verdana"/>
          <w:b/>
          <w:bCs/>
        </w:rPr>
        <w:t>has</w:t>
      </w:r>
      <w:r w:rsidR="008727FF">
        <w:rPr>
          <w:rFonts w:ascii="Verdana" w:hAnsi="Verdana"/>
          <w:b/>
          <w:bCs/>
        </w:rPr>
        <w:t xml:space="preserve"> </w:t>
      </w:r>
      <w:r w:rsidRPr="5F9CD3FE">
        <w:rPr>
          <w:rFonts w:ascii="Verdana" w:hAnsi="Verdana"/>
          <w:b/>
          <w:bCs/>
        </w:rPr>
        <w:t>tak</w:t>
      </w:r>
      <w:r w:rsidR="00696F25" w:rsidRPr="5F9CD3FE">
        <w:rPr>
          <w:rFonts w:ascii="Verdana" w:hAnsi="Verdana"/>
          <w:b/>
          <w:bCs/>
        </w:rPr>
        <w:t>en</w:t>
      </w:r>
      <w:r w:rsidRPr="5F9CD3FE">
        <w:rPr>
          <w:rFonts w:ascii="Verdana" w:hAnsi="Verdana"/>
          <w:b/>
          <w:bCs/>
        </w:rPr>
        <w:t xml:space="preserve"> to ensure the </w:t>
      </w:r>
      <w:r w:rsidR="00DA4247" w:rsidRPr="5F9CD3FE">
        <w:rPr>
          <w:rFonts w:ascii="Verdana" w:hAnsi="Verdana"/>
          <w:b/>
          <w:bCs/>
        </w:rPr>
        <w:t xml:space="preserve">fundamental principles of human rights are adhered to and </w:t>
      </w:r>
      <w:r w:rsidR="41E973B0" w:rsidRPr="5F9CD3FE">
        <w:rPr>
          <w:rFonts w:ascii="Verdana" w:hAnsi="Verdana"/>
          <w:b/>
          <w:bCs/>
        </w:rPr>
        <w:t xml:space="preserve">that </w:t>
      </w:r>
      <w:r w:rsidR="00DA4247" w:rsidRPr="5F9CD3FE">
        <w:rPr>
          <w:rFonts w:ascii="Verdana" w:hAnsi="Verdana"/>
          <w:b/>
          <w:bCs/>
        </w:rPr>
        <w:t>any reform</w:t>
      </w:r>
      <w:r w:rsidR="4C11017C" w:rsidRPr="5F9CD3FE">
        <w:rPr>
          <w:rFonts w:ascii="Verdana" w:hAnsi="Verdana"/>
          <w:b/>
          <w:bCs/>
        </w:rPr>
        <w:t>s</w:t>
      </w:r>
      <w:r w:rsidR="00DA4247" w:rsidRPr="5F9CD3FE">
        <w:rPr>
          <w:rFonts w:ascii="Verdana" w:hAnsi="Verdana"/>
          <w:b/>
          <w:bCs/>
        </w:rPr>
        <w:t xml:space="preserve"> to the UK’s human rights framework do not weaken human </w:t>
      </w:r>
      <w:proofErr w:type="gramStart"/>
      <w:r w:rsidR="00DA4247" w:rsidRPr="5F9CD3FE">
        <w:rPr>
          <w:rFonts w:ascii="Verdana" w:hAnsi="Verdana"/>
          <w:b/>
          <w:bCs/>
        </w:rPr>
        <w:t>rights protections</w:t>
      </w:r>
      <w:r w:rsidR="00614B71" w:rsidRPr="5F9CD3FE">
        <w:rPr>
          <w:rFonts w:ascii="Verdana" w:hAnsi="Verdana"/>
          <w:b/>
          <w:bCs/>
        </w:rPr>
        <w:t>,</w:t>
      </w:r>
      <w:r w:rsidR="00DA4247" w:rsidRPr="5F9CD3FE">
        <w:rPr>
          <w:rFonts w:ascii="Verdana" w:hAnsi="Verdana"/>
          <w:b/>
          <w:bCs/>
        </w:rPr>
        <w:t xml:space="preserve"> but</w:t>
      </w:r>
      <w:proofErr w:type="gramEnd"/>
      <w:r w:rsidR="00DA4247" w:rsidRPr="5F9CD3FE">
        <w:rPr>
          <w:rFonts w:ascii="Verdana" w:hAnsi="Verdana"/>
          <w:b/>
          <w:bCs/>
        </w:rPr>
        <w:t xml:space="preserve"> build on the Human Rights Act 1998</w:t>
      </w:r>
      <w:r w:rsidR="00A539A9" w:rsidRPr="5F9CD3FE">
        <w:rPr>
          <w:rFonts w:ascii="Verdana" w:hAnsi="Verdana"/>
          <w:b/>
          <w:bCs/>
        </w:rPr>
        <w:t>.</w:t>
      </w:r>
    </w:p>
    <w:p w14:paraId="5E0B5E30" w14:textId="77777777" w:rsidR="00DA374A" w:rsidRPr="00DA374A" w:rsidRDefault="00DA374A" w:rsidP="00DA374A">
      <w:pPr>
        <w:pStyle w:val="ListParagraph"/>
        <w:rPr>
          <w:rFonts w:ascii="Verdana" w:hAnsi="Verdana"/>
          <w:b/>
          <w:bCs/>
        </w:rPr>
      </w:pPr>
    </w:p>
    <w:p w14:paraId="28D71347" w14:textId="77777777" w:rsidR="00DA374A" w:rsidRDefault="00DA374A" w:rsidP="00DA374A">
      <w:pPr>
        <w:pStyle w:val="ListParagraph"/>
        <w:spacing w:line="276" w:lineRule="auto"/>
        <w:rPr>
          <w:rFonts w:ascii="Verdana" w:hAnsi="Verdana"/>
          <w:b/>
          <w:bCs/>
        </w:rPr>
      </w:pPr>
    </w:p>
    <w:p w14:paraId="74329731" w14:textId="6DB3DDE0" w:rsidR="00156FE1" w:rsidRDefault="00156FE1" w:rsidP="00156FE1">
      <w:pPr>
        <w:pStyle w:val="Heading2"/>
      </w:pPr>
      <w:bookmarkStart w:id="3" w:name="_Toc165632757"/>
      <w:r w:rsidRPr="006D2337">
        <w:lastRenderedPageBreak/>
        <w:t>UK</w:t>
      </w:r>
      <w:r w:rsidRPr="00996DEA">
        <w:t xml:space="preserve"> Withdrawal from the EU</w:t>
      </w:r>
      <w:bookmarkEnd w:id="3"/>
    </w:p>
    <w:p w14:paraId="1586B8F2" w14:textId="77777777" w:rsidR="009A092B" w:rsidRPr="009A092B" w:rsidRDefault="009A092B" w:rsidP="009A092B"/>
    <w:p w14:paraId="574D5146" w14:textId="55401AFD" w:rsidR="00024178" w:rsidRPr="005F2557" w:rsidRDefault="00D5576E" w:rsidP="00EF056B">
      <w:pPr>
        <w:pStyle w:val="ListParagraph"/>
        <w:numPr>
          <w:ilvl w:val="1"/>
          <w:numId w:val="12"/>
        </w:numPr>
        <w:spacing w:line="276" w:lineRule="auto"/>
        <w:ind w:left="720"/>
        <w:rPr>
          <w:rFonts w:ascii="Verdana" w:hAnsi="Verdana"/>
          <w:b/>
          <w:bCs/>
        </w:rPr>
      </w:pPr>
      <w:bookmarkStart w:id="4" w:name="_Hlk163568961"/>
      <w:r>
        <w:rPr>
          <w:rFonts w:ascii="Verdana" w:hAnsi="Verdana"/>
        </w:rPr>
        <w:t xml:space="preserve">Pursuant to </w:t>
      </w:r>
      <w:r w:rsidRPr="00EF056B">
        <w:rPr>
          <w:rFonts w:ascii="Verdana" w:hAnsi="Verdana"/>
        </w:rPr>
        <w:t xml:space="preserve">Windsor Framework </w:t>
      </w:r>
      <w:r w:rsidR="00024178" w:rsidRPr="00EF056B">
        <w:rPr>
          <w:rFonts w:ascii="Verdana" w:hAnsi="Verdana"/>
        </w:rPr>
        <w:t>Article 2</w:t>
      </w:r>
      <w:r w:rsidR="0091291B">
        <w:rPr>
          <w:rFonts w:ascii="Verdana" w:hAnsi="Verdana"/>
        </w:rPr>
        <w:t>,</w:t>
      </w:r>
      <w:r w:rsidR="0001628C" w:rsidRPr="005508E9">
        <w:rPr>
          <w:rStyle w:val="FootnoteReference"/>
          <w:rFonts w:ascii="Verdana" w:hAnsi="Verdana"/>
        </w:rPr>
        <w:footnoteReference w:id="8"/>
      </w:r>
      <w:r w:rsidR="00024178" w:rsidRPr="00EF056B">
        <w:rPr>
          <w:rFonts w:ascii="Verdana" w:hAnsi="Verdana"/>
        </w:rPr>
        <w:t xml:space="preserve"> EU law, binding on the UK on 31 December 2020, which underpins a relevant right, </w:t>
      </w:r>
      <w:proofErr w:type="gramStart"/>
      <w:r w:rsidR="00024178" w:rsidRPr="00EF056B">
        <w:rPr>
          <w:rFonts w:ascii="Verdana" w:hAnsi="Verdana"/>
        </w:rPr>
        <w:t>safeguard</w:t>
      </w:r>
      <w:proofErr w:type="gramEnd"/>
      <w:r w:rsidR="00024178" w:rsidRPr="00EF056B">
        <w:rPr>
          <w:rFonts w:ascii="Verdana" w:hAnsi="Verdana"/>
        </w:rPr>
        <w:t xml:space="preserve"> or equality of opportunity protection</w:t>
      </w:r>
      <w:r w:rsidR="005F2557">
        <w:rPr>
          <w:rFonts w:ascii="Verdana" w:hAnsi="Verdana"/>
        </w:rPr>
        <w:t xml:space="preserve"> </w:t>
      </w:r>
      <w:r w:rsidR="005F2557" w:rsidRPr="00EF056B">
        <w:rPr>
          <w:rFonts w:ascii="Verdana" w:hAnsi="Verdana"/>
        </w:rPr>
        <w:t>in the relevant chapter of the Belfast (Good Friday) Agreement 1998</w:t>
      </w:r>
      <w:r w:rsidR="00024178" w:rsidRPr="00EF056B">
        <w:rPr>
          <w:rFonts w:ascii="Verdana" w:hAnsi="Verdana"/>
        </w:rPr>
        <w:t xml:space="preserve">, continues to set standards below which the law in NI must not fall. </w:t>
      </w:r>
      <w:r w:rsidR="005F2557" w:rsidRPr="005F2557">
        <w:rPr>
          <w:rFonts w:ascii="Verdana" w:hAnsi="Verdana"/>
        </w:rPr>
        <w:t xml:space="preserve">The UK Government and the NI Assembly and Executive are prohibited from acting in a way that is incompatible with </w:t>
      </w:r>
      <w:r w:rsidR="00A32754">
        <w:rPr>
          <w:rFonts w:ascii="Verdana" w:hAnsi="Verdana"/>
        </w:rPr>
        <w:t>t</w:t>
      </w:r>
      <w:r w:rsidR="005F2557" w:rsidRPr="005F2557">
        <w:rPr>
          <w:rFonts w:ascii="Verdana" w:hAnsi="Verdana"/>
        </w:rPr>
        <w:t>his commitment.</w:t>
      </w:r>
      <w:r w:rsidR="005F2557" w:rsidRPr="005F2557">
        <w:rPr>
          <w:rStyle w:val="FootnoteReference"/>
          <w:rFonts w:ascii="Verdana" w:hAnsi="Verdana"/>
        </w:rPr>
        <w:footnoteReference w:id="9"/>
      </w:r>
      <w:r w:rsidR="005F2557" w:rsidRPr="005F2557">
        <w:rPr>
          <w:rFonts w:ascii="Verdana" w:hAnsi="Verdana"/>
        </w:rPr>
        <w:t xml:space="preserve">  </w:t>
      </w:r>
      <w:r w:rsidR="00EF056B" w:rsidRPr="005F2557">
        <w:rPr>
          <w:rFonts w:ascii="Verdana" w:hAnsi="Verdana"/>
        </w:rPr>
        <w:t>The</w:t>
      </w:r>
      <w:r w:rsidR="00FD7AA0" w:rsidRPr="005F2557">
        <w:rPr>
          <w:rFonts w:ascii="Verdana" w:hAnsi="Verdana"/>
        </w:rPr>
        <w:t xml:space="preserve">re are </w:t>
      </w:r>
      <w:r w:rsidR="0089022B" w:rsidRPr="005F2557">
        <w:rPr>
          <w:rFonts w:ascii="Verdana" w:hAnsi="Verdana"/>
        </w:rPr>
        <w:t>several</w:t>
      </w:r>
      <w:r w:rsidR="00EF056B" w:rsidRPr="005F2557">
        <w:rPr>
          <w:rFonts w:ascii="Verdana" w:hAnsi="Verdana"/>
        </w:rPr>
        <w:t xml:space="preserve"> EU Directives </w:t>
      </w:r>
      <w:r w:rsidR="00FD7AA0" w:rsidRPr="005F2557">
        <w:rPr>
          <w:rFonts w:ascii="Verdana" w:hAnsi="Verdana"/>
        </w:rPr>
        <w:t xml:space="preserve">falling within this commitment that </w:t>
      </w:r>
      <w:r w:rsidR="00EF056B" w:rsidRPr="005F2557">
        <w:rPr>
          <w:rFonts w:ascii="Verdana" w:hAnsi="Verdana"/>
        </w:rPr>
        <w:t>have</w:t>
      </w:r>
      <w:r w:rsidR="00EF056B" w:rsidRPr="005F2557" w:rsidDel="00793AA1">
        <w:rPr>
          <w:rFonts w:ascii="Verdana" w:hAnsi="Verdana"/>
        </w:rPr>
        <w:t xml:space="preserve"> </w:t>
      </w:r>
      <w:r w:rsidR="00EF056B" w:rsidRPr="005F2557">
        <w:rPr>
          <w:rFonts w:ascii="Verdana" w:hAnsi="Verdana"/>
        </w:rPr>
        <w:t>specific relevance to UN CERD</w:t>
      </w:r>
      <w:r w:rsidR="005F2557">
        <w:rPr>
          <w:rFonts w:ascii="Verdana" w:hAnsi="Verdana"/>
        </w:rPr>
        <w:t>, including in the area of victims' rights</w:t>
      </w:r>
      <w:r w:rsidR="3E234A0B">
        <w:rPr>
          <w:rFonts w:ascii="Verdana" w:hAnsi="Verdana"/>
        </w:rPr>
        <w:t>,</w:t>
      </w:r>
      <w:r w:rsidR="005F2557">
        <w:rPr>
          <w:rFonts w:ascii="Verdana" w:hAnsi="Verdana"/>
        </w:rPr>
        <w:t xml:space="preserve"> asylum and migration</w:t>
      </w:r>
      <w:r w:rsidR="00051818" w:rsidRPr="005F2557">
        <w:rPr>
          <w:rFonts w:ascii="Verdana" w:hAnsi="Verdana"/>
        </w:rPr>
        <w:t>.</w:t>
      </w:r>
      <w:r w:rsidR="003D42BD" w:rsidRPr="005F2557">
        <w:rPr>
          <w:rStyle w:val="FootnoteReference"/>
          <w:rFonts w:ascii="Verdana" w:hAnsi="Verdana"/>
        </w:rPr>
        <w:footnoteReference w:id="10"/>
      </w:r>
      <w:r w:rsidR="00CD3472" w:rsidRPr="005F2557">
        <w:rPr>
          <w:rFonts w:ascii="Verdana" w:hAnsi="Verdana"/>
        </w:rPr>
        <w:t xml:space="preserve"> </w:t>
      </w:r>
      <w:r w:rsidR="00974066">
        <w:rPr>
          <w:rFonts w:ascii="Verdana" w:hAnsi="Verdana"/>
        </w:rPr>
        <w:t xml:space="preserve">In addition to the ‘no diminution’ commitment, </w:t>
      </w:r>
      <w:r w:rsidR="005F14B1">
        <w:rPr>
          <w:rFonts w:ascii="Verdana" w:hAnsi="Verdana"/>
        </w:rPr>
        <w:t>Windsor Framework</w:t>
      </w:r>
      <w:r w:rsidR="00974066">
        <w:rPr>
          <w:rFonts w:ascii="Verdana" w:hAnsi="Verdana"/>
        </w:rPr>
        <w:t xml:space="preserve"> Article 2</w:t>
      </w:r>
      <w:r w:rsidR="005F2557" w:rsidRPr="005F2557">
        <w:rPr>
          <w:rFonts w:ascii="Verdana" w:hAnsi="Verdana"/>
        </w:rPr>
        <w:t xml:space="preserve"> provides specific</w:t>
      </w:r>
      <w:r w:rsidR="005F2557" w:rsidRPr="005F2557" w:rsidDel="004C4735">
        <w:rPr>
          <w:rFonts w:ascii="Verdana" w:hAnsi="Verdana"/>
        </w:rPr>
        <w:t xml:space="preserve"> </w:t>
      </w:r>
      <w:r w:rsidR="005F2557" w:rsidRPr="005F2557">
        <w:rPr>
          <w:rFonts w:ascii="Verdana" w:hAnsi="Verdana"/>
        </w:rPr>
        <w:t>protection against discrimination</w:t>
      </w:r>
      <w:r w:rsidR="00357B2D">
        <w:rPr>
          <w:rFonts w:ascii="Verdana" w:hAnsi="Verdana"/>
        </w:rPr>
        <w:t xml:space="preserve">, requiring the law in NI to ‘keep pace’ or dynamically align </w:t>
      </w:r>
      <w:r w:rsidR="00297BB2">
        <w:rPr>
          <w:rFonts w:ascii="Verdana" w:hAnsi="Verdana"/>
        </w:rPr>
        <w:t xml:space="preserve">with </w:t>
      </w:r>
      <w:r w:rsidR="00164E9B">
        <w:rPr>
          <w:rFonts w:ascii="Verdana" w:hAnsi="Verdana"/>
        </w:rPr>
        <w:t xml:space="preserve">changes to </w:t>
      </w:r>
      <w:r w:rsidR="005F2557" w:rsidRPr="005F2557">
        <w:rPr>
          <w:rFonts w:ascii="Verdana" w:hAnsi="Verdana"/>
        </w:rPr>
        <w:t xml:space="preserve">the </w:t>
      </w:r>
      <w:r w:rsidR="00DE1D92">
        <w:rPr>
          <w:rFonts w:ascii="Verdana" w:hAnsi="Verdana"/>
        </w:rPr>
        <w:t xml:space="preserve">six main </w:t>
      </w:r>
      <w:r w:rsidR="00F63A69">
        <w:rPr>
          <w:rFonts w:ascii="Verdana" w:hAnsi="Verdana"/>
        </w:rPr>
        <w:t xml:space="preserve">EU </w:t>
      </w:r>
      <w:r w:rsidR="00DE1D92">
        <w:rPr>
          <w:rFonts w:ascii="Verdana" w:hAnsi="Verdana"/>
        </w:rPr>
        <w:t xml:space="preserve">equality </w:t>
      </w:r>
      <w:r w:rsidR="005F2557" w:rsidRPr="005F2557">
        <w:rPr>
          <w:rFonts w:ascii="Verdana" w:hAnsi="Verdana"/>
        </w:rPr>
        <w:t xml:space="preserve">directives </w:t>
      </w:r>
      <w:r w:rsidR="00DE1D92">
        <w:rPr>
          <w:rFonts w:ascii="Verdana" w:hAnsi="Verdana"/>
        </w:rPr>
        <w:t xml:space="preserve">listed </w:t>
      </w:r>
      <w:r w:rsidR="005F2557" w:rsidRPr="005F2557">
        <w:rPr>
          <w:rFonts w:ascii="Verdana" w:hAnsi="Verdana"/>
        </w:rPr>
        <w:t>in Annex 1 of the Windsor Framework,</w:t>
      </w:r>
      <w:r w:rsidR="00BE51C6">
        <w:rPr>
          <w:rFonts w:ascii="Verdana" w:hAnsi="Verdana"/>
        </w:rPr>
        <w:t xml:space="preserve"> which includes the Race Equality Directive</w:t>
      </w:r>
      <w:r w:rsidR="005F2557" w:rsidRPr="005F2557">
        <w:rPr>
          <w:rFonts w:ascii="Verdana" w:hAnsi="Verdana"/>
        </w:rPr>
        <w:t>.</w:t>
      </w:r>
      <w:r w:rsidR="005F2557" w:rsidRPr="005F2557">
        <w:rPr>
          <w:rStyle w:val="FootnoteReference"/>
          <w:rFonts w:ascii="Verdana" w:hAnsi="Verdana"/>
        </w:rPr>
        <w:footnoteReference w:id="11"/>
      </w:r>
    </w:p>
    <w:p w14:paraId="3ABE3403" w14:textId="77777777" w:rsidR="00E43C6F" w:rsidRPr="00B710E7" w:rsidRDefault="00E43C6F" w:rsidP="00B710E7">
      <w:pPr>
        <w:rPr>
          <w:rFonts w:ascii="Verdana" w:hAnsi="Verdana"/>
          <w:b/>
          <w:bCs/>
        </w:rPr>
      </w:pPr>
    </w:p>
    <w:p w14:paraId="4181FF4C" w14:textId="768E60F3" w:rsidR="00E43C6F" w:rsidRPr="007F021C" w:rsidRDefault="00510EFD" w:rsidP="00E43C6F">
      <w:pPr>
        <w:pStyle w:val="ListParagraph"/>
        <w:numPr>
          <w:ilvl w:val="1"/>
          <w:numId w:val="12"/>
        </w:numPr>
        <w:spacing w:line="276" w:lineRule="auto"/>
        <w:ind w:left="720"/>
        <w:rPr>
          <w:rFonts w:ascii="Verdana" w:hAnsi="Verdana"/>
          <w:b/>
        </w:rPr>
      </w:pPr>
      <w:r w:rsidRPr="00273C8F">
        <w:rPr>
          <w:rFonts w:ascii="Verdana" w:hAnsi="Verdana"/>
        </w:rPr>
        <w:t xml:space="preserve">The </w:t>
      </w:r>
      <w:r w:rsidR="00E43C6F" w:rsidRPr="00273C8F">
        <w:rPr>
          <w:rFonts w:ascii="Verdana" w:hAnsi="Verdana"/>
        </w:rPr>
        <w:t xml:space="preserve">High Court in NI </w:t>
      </w:r>
      <w:r w:rsidRPr="00273C8F">
        <w:rPr>
          <w:rFonts w:ascii="Verdana" w:hAnsi="Verdana"/>
        </w:rPr>
        <w:t xml:space="preserve">has adopted a </w:t>
      </w:r>
      <w:r w:rsidRPr="00273C8F">
        <w:rPr>
          <w:rFonts w:ascii="Verdana" w:hAnsi="Verdana"/>
          <w:sz w:val="23"/>
          <w:szCs w:val="23"/>
        </w:rPr>
        <w:t xml:space="preserve">purposive approach in interpreting </w:t>
      </w:r>
      <w:r w:rsidR="00273C8F" w:rsidRPr="00273C8F">
        <w:rPr>
          <w:rFonts w:ascii="Verdana" w:hAnsi="Verdana"/>
        </w:rPr>
        <w:t>Windsor Framework Article 2,</w:t>
      </w:r>
      <w:r w:rsidR="00273C8F" w:rsidRPr="00273C8F">
        <w:rPr>
          <w:rStyle w:val="FootnoteReference"/>
          <w:rFonts w:ascii="Verdana" w:hAnsi="Verdana"/>
        </w:rPr>
        <w:footnoteReference w:id="12"/>
      </w:r>
      <w:r w:rsidR="00273C8F" w:rsidRPr="00273C8F">
        <w:rPr>
          <w:rFonts w:ascii="Verdana" w:hAnsi="Verdana"/>
        </w:rPr>
        <w:t xml:space="preserve"> </w:t>
      </w:r>
      <w:r w:rsidR="00E43C6F" w:rsidRPr="00273C8F">
        <w:rPr>
          <w:rFonts w:ascii="Verdana" w:hAnsi="Verdana"/>
        </w:rPr>
        <w:t xml:space="preserve">held </w:t>
      </w:r>
      <w:r w:rsidR="00273C8F" w:rsidRPr="00273C8F">
        <w:rPr>
          <w:rFonts w:ascii="Verdana" w:hAnsi="Verdana"/>
        </w:rPr>
        <w:t xml:space="preserve">that </w:t>
      </w:r>
      <w:r w:rsidR="00274B59">
        <w:rPr>
          <w:rFonts w:ascii="Verdana" w:hAnsi="Verdana"/>
        </w:rPr>
        <w:t xml:space="preserve">Windsor Framework Article 2 </w:t>
      </w:r>
      <w:r w:rsidR="00273C8F" w:rsidRPr="00273C8F">
        <w:rPr>
          <w:rFonts w:ascii="Verdana" w:hAnsi="Verdana"/>
        </w:rPr>
        <w:t xml:space="preserve">has </w:t>
      </w:r>
      <w:r w:rsidR="00E43C6F" w:rsidRPr="00273C8F">
        <w:rPr>
          <w:rFonts w:ascii="Verdana" w:hAnsi="Verdana"/>
        </w:rPr>
        <w:t>direct effect,</w:t>
      </w:r>
      <w:r w:rsidR="00E43C6F" w:rsidRPr="00273C8F">
        <w:rPr>
          <w:rStyle w:val="FootnoteReference"/>
          <w:rFonts w:ascii="Verdana" w:hAnsi="Verdana"/>
        </w:rPr>
        <w:footnoteReference w:id="13"/>
      </w:r>
      <w:r w:rsidR="00E43C6F" w:rsidRPr="00273C8F">
        <w:rPr>
          <w:rFonts w:ascii="Verdana" w:hAnsi="Verdana"/>
        </w:rPr>
        <w:t xml:space="preserve"> affirmed the </w:t>
      </w:r>
      <w:r w:rsidR="00BD279D">
        <w:rPr>
          <w:rFonts w:ascii="Verdana" w:hAnsi="Verdana"/>
        </w:rPr>
        <w:t xml:space="preserve">continuing relevance of the </w:t>
      </w:r>
      <w:r w:rsidR="00E43C6F" w:rsidRPr="00273C8F">
        <w:rPr>
          <w:rFonts w:ascii="Verdana" w:hAnsi="Verdana"/>
        </w:rPr>
        <w:t>EU Charter on Fundamental Rights,</w:t>
      </w:r>
      <w:r w:rsidR="00E43C6F" w:rsidRPr="00273C8F">
        <w:rPr>
          <w:rStyle w:val="FootnoteReference"/>
          <w:rFonts w:ascii="Verdana" w:hAnsi="Verdana"/>
        </w:rPr>
        <w:footnoteReference w:id="14"/>
      </w:r>
      <w:r w:rsidR="00E43C6F" w:rsidRPr="00273C8F">
        <w:rPr>
          <w:rFonts w:ascii="Verdana" w:hAnsi="Verdana"/>
        </w:rPr>
        <w:t xml:space="preserve"> and </w:t>
      </w:r>
      <w:r w:rsidR="005A592D">
        <w:rPr>
          <w:rFonts w:ascii="Verdana" w:hAnsi="Verdana"/>
        </w:rPr>
        <w:t xml:space="preserve">concluded </w:t>
      </w:r>
      <w:r w:rsidR="00273C8F" w:rsidRPr="00273C8F">
        <w:rPr>
          <w:rFonts w:ascii="Verdana" w:hAnsi="Verdana"/>
        </w:rPr>
        <w:t xml:space="preserve">that a narrow interpretation of “civil rights” in the Belfast </w:t>
      </w:r>
      <w:r w:rsidR="00273C8F" w:rsidRPr="00273C8F">
        <w:rPr>
          <w:rFonts w:ascii="Verdana" w:hAnsi="Verdana"/>
        </w:rPr>
        <w:lastRenderedPageBreak/>
        <w:t>(Good Friday) Agreement 1998 undermines the future-facing dimension of the non-diminution commitment</w:t>
      </w:r>
      <w:r w:rsidR="00E43C6F" w:rsidRPr="00974F5D">
        <w:rPr>
          <w:rFonts w:ascii="Verdana" w:hAnsi="Verdana"/>
        </w:rPr>
        <w:t>.</w:t>
      </w:r>
      <w:r w:rsidR="00E43C6F">
        <w:rPr>
          <w:rStyle w:val="FootnoteReference"/>
          <w:rFonts w:ascii="Verdana" w:hAnsi="Verdana"/>
        </w:rPr>
        <w:footnoteReference w:id="15"/>
      </w:r>
    </w:p>
    <w:p w14:paraId="1F38586D" w14:textId="77777777" w:rsidR="0065437A" w:rsidRPr="007F021C" w:rsidRDefault="0065437A" w:rsidP="007F021C">
      <w:pPr>
        <w:pStyle w:val="ListParagraph"/>
        <w:rPr>
          <w:rFonts w:ascii="Verdana" w:hAnsi="Verdana"/>
          <w:b/>
        </w:rPr>
      </w:pPr>
    </w:p>
    <w:p w14:paraId="3F8CFFA6" w14:textId="2AF3AA97" w:rsidR="0065437A" w:rsidRPr="008D18A4" w:rsidRDefault="008D18A4" w:rsidP="00E43C6F">
      <w:pPr>
        <w:pStyle w:val="ListParagraph"/>
        <w:numPr>
          <w:ilvl w:val="1"/>
          <w:numId w:val="12"/>
        </w:numPr>
        <w:spacing w:line="276" w:lineRule="auto"/>
        <w:ind w:left="720"/>
        <w:rPr>
          <w:rFonts w:ascii="Verdana" w:hAnsi="Verdana"/>
        </w:rPr>
      </w:pPr>
      <w:r w:rsidRPr="02912108">
        <w:rPr>
          <w:rFonts w:ascii="Verdana" w:hAnsi="Verdana"/>
        </w:rPr>
        <w:t>The</w:t>
      </w:r>
      <w:r w:rsidR="00514FA1">
        <w:rPr>
          <w:rFonts w:ascii="Verdana" w:hAnsi="Verdana"/>
        </w:rPr>
        <w:t xml:space="preserve"> </w:t>
      </w:r>
      <w:r w:rsidR="00914F34">
        <w:rPr>
          <w:rFonts w:ascii="Verdana" w:hAnsi="Verdana"/>
        </w:rPr>
        <w:t>NIHRC</w:t>
      </w:r>
      <w:r w:rsidRPr="02912108">
        <w:rPr>
          <w:rFonts w:ascii="Verdana" w:hAnsi="Verdana"/>
        </w:rPr>
        <w:t xml:space="preserve"> has not seen evidence of detailed consideration being given to WFA2 during the development of legislation, such as the inclusion of relevant analysis in </w:t>
      </w:r>
      <w:r w:rsidR="0022791A" w:rsidRPr="02912108">
        <w:rPr>
          <w:rFonts w:ascii="Verdana" w:hAnsi="Verdana"/>
        </w:rPr>
        <w:t>Human Rights Impact Assessment</w:t>
      </w:r>
      <w:r w:rsidRPr="02912108">
        <w:rPr>
          <w:rFonts w:ascii="Verdana" w:hAnsi="Verdana"/>
        </w:rPr>
        <w:t>s or Explanatory Memoranda. Examples include the Illegal Migration Act 2023, Safety of Rwanda Bill and Retained EU Law Act 2023 which resulted in related concerns and recommendations being expressed by Westminster parliamentary committees.</w:t>
      </w:r>
      <w:r w:rsidR="00785E84">
        <w:rPr>
          <w:rStyle w:val="FootnoteReference"/>
          <w:rFonts w:ascii="Verdana" w:hAnsi="Verdana"/>
        </w:rPr>
        <w:footnoteReference w:id="16"/>
      </w:r>
    </w:p>
    <w:p w14:paraId="0EC3DB49" w14:textId="77777777" w:rsidR="00DB6659" w:rsidRPr="00DB6659" w:rsidRDefault="00DB6659" w:rsidP="00DB6659">
      <w:pPr>
        <w:pStyle w:val="ListParagraph"/>
        <w:rPr>
          <w:rFonts w:ascii="Verdana" w:hAnsi="Verdana"/>
          <w:b/>
          <w:bCs/>
        </w:rPr>
      </w:pPr>
    </w:p>
    <w:p w14:paraId="3C75D046" w14:textId="47E1CA54" w:rsidR="00DB6659" w:rsidRDefault="00DB6659" w:rsidP="002A635A">
      <w:pPr>
        <w:pStyle w:val="ListParagraph"/>
        <w:numPr>
          <w:ilvl w:val="1"/>
          <w:numId w:val="12"/>
        </w:numPr>
        <w:spacing w:line="276" w:lineRule="auto"/>
        <w:ind w:left="720"/>
        <w:rPr>
          <w:rFonts w:ascii="Verdana" w:hAnsi="Verdana"/>
          <w:b/>
          <w:bCs/>
        </w:rPr>
      </w:pPr>
      <w:r w:rsidRPr="5F9CD3FE">
        <w:rPr>
          <w:rFonts w:ascii="Verdana" w:hAnsi="Verdana"/>
          <w:b/>
          <w:bCs/>
        </w:rPr>
        <w:t xml:space="preserve">The Committee may wish to </w:t>
      </w:r>
      <w:r w:rsidR="00E43C6F" w:rsidRPr="5F9CD3FE">
        <w:rPr>
          <w:rFonts w:ascii="Verdana" w:hAnsi="Verdana"/>
          <w:b/>
          <w:bCs/>
        </w:rPr>
        <w:t xml:space="preserve">ask the UK Government and NI Executive </w:t>
      </w:r>
      <w:r w:rsidR="008D4CB7" w:rsidRPr="5F9CD3FE">
        <w:rPr>
          <w:rFonts w:ascii="Verdana" w:hAnsi="Verdana"/>
          <w:b/>
          <w:bCs/>
        </w:rPr>
        <w:t xml:space="preserve">what steps they are taking to ensure consideration of Windsor Framework Article 2 is embedded at an early stage </w:t>
      </w:r>
      <w:r w:rsidR="1764E69A" w:rsidRPr="5F9CD3FE">
        <w:rPr>
          <w:rFonts w:ascii="Verdana" w:hAnsi="Verdana"/>
          <w:b/>
          <w:bCs/>
        </w:rPr>
        <w:t>in the</w:t>
      </w:r>
      <w:r w:rsidR="008D4CB7" w:rsidRPr="5F9CD3FE">
        <w:rPr>
          <w:rFonts w:ascii="Verdana" w:hAnsi="Verdana"/>
          <w:b/>
          <w:bCs/>
        </w:rPr>
        <w:t xml:space="preserve"> development of law and policy, including </w:t>
      </w:r>
      <w:r w:rsidR="000164DB">
        <w:rPr>
          <w:rFonts w:ascii="Verdana" w:hAnsi="Verdana"/>
          <w:b/>
          <w:bCs/>
        </w:rPr>
        <w:t xml:space="preserve">details of progress in </w:t>
      </w:r>
      <w:r w:rsidR="008D4CB7" w:rsidRPr="5F9CD3FE">
        <w:rPr>
          <w:rFonts w:ascii="Verdana" w:hAnsi="Verdana"/>
          <w:b/>
          <w:bCs/>
        </w:rPr>
        <w:t>developing and rolling out a comprehensive guidance and training programme on Windsor Framework Article 2</w:t>
      </w:r>
      <w:r w:rsidR="001F2E3D" w:rsidRPr="5F9CD3FE">
        <w:rPr>
          <w:rFonts w:ascii="Verdana" w:hAnsi="Verdana"/>
          <w:b/>
          <w:bCs/>
        </w:rPr>
        <w:t>.</w:t>
      </w:r>
    </w:p>
    <w:p w14:paraId="50A08E3E" w14:textId="77777777" w:rsidR="00C444D3" w:rsidRPr="00C444D3" w:rsidRDefault="00C444D3" w:rsidP="00C444D3">
      <w:pPr>
        <w:pStyle w:val="ListParagraph"/>
        <w:rPr>
          <w:rFonts w:ascii="Verdana" w:hAnsi="Verdana"/>
          <w:b/>
          <w:bCs/>
        </w:rPr>
      </w:pPr>
    </w:p>
    <w:p w14:paraId="0A7E48CC" w14:textId="3D31FA08" w:rsidR="00C444D3" w:rsidRPr="00C444D3" w:rsidRDefault="00C444D3" w:rsidP="00C444D3">
      <w:pPr>
        <w:pStyle w:val="Heading2"/>
      </w:pPr>
      <w:bookmarkStart w:id="5" w:name="_Toc165632758"/>
      <w:r>
        <w:t>Bill of Rights for NI</w:t>
      </w:r>
      <w:bookmarkEnd w:id="5"/>
    </w:p>
    <w:bookmarkEnd w:id="4"/>
    <w:p w14:paraId="0BD5C40B" w14:textId="77777777" w:rsidR="00E14D8C" w:rsidRPr="00E14D8C" w:rsidRDefault="00E14D8C" w:rsidP="00E14D8C">
      <w:pPr>
        <w:pStyle w:val="ListParagraph"/>
        <w:rPr>
          <w:rFonts w:ascii="Verdana" w:hAnsi="Verdana"/>
          <w:b/>
          <w:bCs/>
        </w:rPr>
      </w:pPr>
    </w:p>
    <w:p w14:paraId="57705766" w14:textId="41BD2632" w:rsidR="00E14D8C" w:rsidRPr="00E43C6F" w:rsidRDefault="00E14D8C" w:rsidP="002A635A">
      <w:pPr>
        <w:pStyle w:val="ListParagraph"/>
        <w:numPr>
          <w:ilvl w:val="1"/>
          <w:numId w:val="12"/>
        </w:numPr>
        <w:spacing w:line="276" w:lineRule="auto"/>
        <w:ind w:left="720"/>
        <w:rPr>
          <w:rFonts w:ascii="Verdana" w:hAnsi="Verdana"/>
          <w:b/>
          <w:bCs/>
        </w:rPr>
      </w:pPr>
      <w:r>
        <w:rPr>
          <w:rFonts w:ascii="Verdana" w:hAnsi="Verdana"/>
        </w:rPr>
        <w:t xml:space="preserve">The Belfast </w:t>
      </w:r>
      <w:r w:rsidRPr="003309C4">
        <w:rPr>
          <w:rFonts w:ascii="Verdana" w:hAnsi="Verdana"/>
          <w:color w:val="000000"/>
        </w:rPr>
        <w:t>(Good Friday) Agreement 1998 committed to introduce a Bill of Rights for NI.</w:t>
      </w:r>
      <w:r>
        <w:rPr>
          <w:rStyle w:val="FootnoteReference"/>
          <w:rFonts w:ascii="Verdana" w:hAnsi="Verdana"/>
          <w:color w:val="000000"/>
        </w:rPr>
        <w:footnoteReference w:id="17"/>
      </w:r>
      <w:r w:rsidRPr="003309C4">
        <w:rPr>
          <w:rFonts w:ascii="Verdana" w:hAnsi="Verdana"/>
          <w:color w:val="000000"/>
        </w:rPr>
        <w:t xml:space="preserve"> </w:t>
      </w:r>
      <w:r w:rsidRPr="003309C4">
        <w:rPr>
          <w:rFonts w:ascii="Verdana" w:hAnsi="Verdana"/>
        </w:rPr>
        <w:t>In 2020, the NI Assembly Ad Hoc Committee on a Bill of Rights was established to consider the creation of a Bill of Rights for NI.</w:t>
      </w:r>
      <w:r>
        <w:rPr>
          <w:rStyle w:val="FootnoteReference"/>
          <w:rFonts w:ascii="Verdana" w:hAnsi="Verdana"/>
        </w:rPr>
        <w:footnoteReference w:id="18"/>
      </w:r>
      <w:r w:rsidRPr="003309C4">
        <w:rPr>
          <w:rFonts w:ascii="Verdana" w:hAnsi="Verdana"/>
        </w:rPr>
        <w:t xml:space="preserve"> A panel of experts was to be appointed by the First Minister and Deputy First Minister to support the work of the Ad Hoc Committee.</w:t>
      </w:r>
      <w:r>
        <w:rPr>
          <w:rStyle w:val="FootnoteReference"/>
          <w:rFonts w:ascii="Verdana" w:hAnsi="Verdana"/>
        </w:rPr>
        <w:footnoteReference w:id="19"/>
      </w:r>
      <w:r w:rsidRPr="003309C4">
        <w:rPr>
          <w:rFonts w:ascii="Verdana" w:hAnsi="Verdana"/>
        </w:rPr>
        <w:t xml:space="preserve"> With no agreement on its membership, the expert panel was not appointed.</w:t>
      </w:r>
      <w:r>
        <w:rPr>
          <w:rStyle w:val="FootnoteReference"/>
          <w:rFonts w:ascii="Verdana" w:hAnsi="Verdana"/>
        </w:rPr>
        <w:footnoteReference w:id="20"/>
      </w:r>
      <w:r>
        <w:rPr>
          <w:rFonts w:ascii="Verdana" w:hAnsi="Verdana"/>
        </w:rPr>
        <w:t xml:space="preserve"> </w:t>
      </w:r>
      <w:r w:rsidRPr="003309C4">
        <w:rPr>
          <w:rFonts w:ascii="Verdana" w:hAnsi="Verdana"/>
        </w:rPr>
        <w:t>In 2022, the Ad Hoc Committee on a Bill of Rights concluded it "supported the creation of a Bill of Rights [for NI] in principle",</w:t>
      </w:r>
      <w:r>
        <w:rPr>
          <w:rStyle w:val="FootnoteReference"/>
          <w:rFonts w:ascii="Verdana" w:hAnsi="Verdana"/>
        </w:rPr>
        <w:footnoteReference w:id="21"/>
      </w:r>
      <w:r w:rsidRPr="003309C4">
        <w:rPr>
          <w:rFonts w:ascii="Verdana" w:hAnsi="Verdana"/>
        </w:rPr>
        <w:t xml:space="preserve"> but it was unable to advise as to what form this should take due to the absence of the </w:t>
      </w:r>
      <w:r w:rsidRPr="003309C4">
        <w:rPr>
          <w:rFonts w:ascii="Verdana" w:hAnsi="Verdana"/>
        </w:rPr>
        <w:lastRenderedPageBreak/>
        <w:t>expert panel and the Democratic Unionist Party's disagreement with the majority position, with no further progress.</w:t>
      </w:r>
      <w:r>
        <w:rPr>
          <w:rStyle w:val="FootnoteReference"/>
          <w:rFonts w:ascii="Verdana" w:hAnsi="Verdana"/>
        </w:rPr>
        <w:footnoteReference w:id="22"/>
      </w:r>
    </w:p>
    <w:p w14:paraId="71936EB6" w14:textId="77777777" w:rsidR="00F93FB9" w:rsidRPr="00D94CF4" w:rsidRDefault="00F93FB9" w:rsidP="00F93FB9"/>
    <w:p w14:paraId="4EA32573" w14:textId="6940CB79" w:rsidR="00F93FB9" w:rsidRPr="008F1C39" w:rsidRDefault="00F93FB9" w:rsidP="00D30ABB">
      <w:pPr>
        <w:pStyle w:val="ListParagraph"/>
        <w:numPr>
          <w:ilvl w:val="1"/>
          <w:numId w:val="12"/>
        </w:numPr>
        <w:spacing w:line="276" w:lineRule="auto"/>
        <w:ind w:left="709"/>
        <w:rPr>
          <w:rFonts w:ascii="Verdana" w:hAnsi="Verdana"/>
          <w:b/>
        </w:rPr>
      </w:pPr>
      <w:r>
        <w:rPr>
          <w:rFonts w:ascii="Verdana" w:hAnsi="Verdana"/>
          <w:b/>
          <w:bCs/>
        </w:rPr>
        <w:t>The Committee may wish to ask the UK Government what effective steps i</w:t>
      </w:r>
      <w:r w:rsidR="00184B0B">
        <w:rPr>
          <w:rFonts w:ascii="Verdana" w:hAnsi="Verdana"/>
          <w:b/>
          <w:bCs/>
        </w:rPr>
        <w:t>t</w:t>
      </w:r>
      <w:r>
        <w:rPr>
          <w:rFonts w:ascii="Verdana" w:hAnsi="Verdana"/>
          <w:b/>
          <w:bCs/>
        </w:rPr>
        <w:t xml:space="preserve"> has taken to fulfil its commitment to legislate for a Bill of Rights in NI, as set out in the Belfast (Good Friday) Agreement</w:t>
      </w:r>
      <w:r w:rsidR="004C7C97" w:rsidRPr="008F1C39">
        <w:rPr>
          <w:rFonts w:ascii="Verdana" w:hAnsi="Verdana"/>
          <w:b/>
        </w:rPr>
        <w:t>.</w:t>
      </w:r>
    </w:p>
    <w:p w14:paraId="5040C9E6" w14:textId="77777777" w:rsidR="00C42179" w:rsidRDefault="00C42179" w:rsidP="00C42179">
      <w:pPr>
        <w:pStyle w:val="ListParagraph"/>
      </w:pPr>
    </w:p>
    <w:p w14:paraId="5C0E7A3C" w14:textId="565B2A54" w:rsidR="00F93FB9" w:rsidRDefault="00F93FB9" w:rsidP="00F93FB9">
      <w:pPr>
        <w:pStyle w:val="Heading2"/>
      </w:pPr>
      <w:bookmarkStart w:id="6" w:name="_Toc165632759"/>
      <w:r>
        <w:t>Equality Protections</w:t>
      </w:r>
      <w:r w:rsidR="00650F12">
        <w:t xml:space="preserve"> in NI</w:t>
      </w:r>
      <w:bookmarkEnd w:id="6"/>
    </w:p>
    <w:p w14:paraId="32743F97" w14:textId="77777777" w:rsidR="00F93FB9" w:rsidRPr="00FC0B2D" w:rsidRDefault="00F93FB9" w:rsidP="00F93FB9"/>
    <w:p w14:paraId="71E160E3" w14:textId="4AD99191" w:rsidR="00F93FB9" w:rsidRPr="009A1671" w:rsidRDefault="00F93FB9">
      <w:pPr>
        <w:pStyle w:val="ListParagraph"/>
        <w:numPr>
          <w:ilvl w:val="1"/>
          <w:numId w:val="12"/>
        </w:numPr>
        <w:spacing w:line="276" w:lineRule="auto"/>
        <w:ind w:left="720"/>
        <w:rPr>
          <w:rFonts w:ascii="Verdana" w:hAnsi="Verdana"/>
        </w:rPr>
      </w:pPr>
      <w:r w:rsidRPr="009A1671">
        <w:rPr>
          <w:rFonts w:ascii="Verdana" w:hAnsi="Verdana"/>
        </w:rPr>
        <w:t>Unlike the rest of the UK, NI does not have a single legislative instrument to consolidate equality protections. Equality protections are contained across a range of different instruments.</w:t>
      </w:r>
      <w:r w:rsidRPr="009A1671">
        <w:rPr>
          <w:rStyle w:val="FootnoteReference"/>
          <w:rFonts w:ascii="Verdana" w:hAnsi="Verdana"/>
        </w:rPr>
        <w:footnoteReference w:id="23"/>
      </w:r>
      <w:r w:rsidR="003309C4" w:rsidRPr="009A1671">
        <w:rPr>
          <w:rFonts w:ascii="Verdana" w:hAnsi="Verdana"/>
        </w:rPr>
        <w:t xml:space="preserve"> Nor does </w:t>
      </w:r>
      <w:r w:rsidRPr="009A1671">
        <w:rPr>
          <w:rFonts w:ascii="Verdana" w:hAnsi="Verdana"/>
        </w:rPr>
        <w:t>NI legislation provide for intersectional discrimination. Each ground for discrimination must form its own case, meaning it is considered and ruled on separately.</w:t>
      </w:r>
      <w:r w:rsidRPr="009A1671">
        <w:rPr>
          <w:rStyle w:val="FootnoteReference"/>
          <w:rFonts w:ascii="Verdana" w:hAnsi="Verdana"/>
        </w:rPr>
        <w:footnoteReference w:id="24"/>
      </w:r>
      <w:r w:rsidR="00D30ABB" w:rsidRPr="009A1671">
        <w:rPr>
          <w:rFonts w:ascii="Verdana" w:hAnsi="Verdana"/>
        </w:rPr>
        <w:t xml:space="preserve"> </w:t>
      </w:r>
      <w:r w:rsidR="003718A2" w:rsidRPr="009A1671">
        <w:rPr>
          <w:rFonts w:ascii="Verdana" w:hAnsi="Verdana"/>
        </w:rPr>
        <w:t xml:space="preserve">NI equality law should also be amended to keep pace with changes to </w:t>
      </w:r>
      <w:r w:rsidR="000233FC" w:rsidRPr="009A1671">
        <w:rPr>
          <w:rFonts w:ascii="Verdana" w:hAnsi="Verdana"/>
        </w:rPr>
        <w:t xml:space="preserve">Windsor Framework Annex 1 </w:t>
      </w:r>
      <w:r w:rsidR="003718A2" w:rsidRPr="009A1671">
        <w:rPr>
          <w:rFonts w:ascii="Verdana" w:hAnsi="Verdana"/>
        </w:rPr>
        <w:t>equality law</w:t>
      </w:r>
      <w:r w:rsidR="00D6023F" w:rsidRPr="009A1671">
        <w:rPr>
          <w:rFonts w:ascii="Verdana" w:hAnsi="Verdana"/>
        </w:rPr>
        <w:t xml:space="preserve">, including the Pay Transparency Directive which provides </w:t>
      </w:r>
      <w:r w:rsidR="000233FC" w:rsidRPr="009A1671">
        <w:rPr>
          <w:rFonts w:ascii="Verdana" w:hAnsi="Verdana"/>
        </w:rPr>
        <w:t xml:space="preserve">a new definition </w:t>
      </w:r>
      <w:r w:rsidR="00D6023F" w:rsidRPr="009A1671">
        <w:rPr>
          <w:rFonts w:ascii="Verdana" w:hAnsi="Verdana"/>
        </w:rPr>
        <w:t>that includes intersectional discrimination</w:t>
      </w:r>
      <w:r w:rsidR="003718A2" w:rsidRPr="009A1671">
        <w:rPr>
          <w:rFonts w:ascii="Verdana" w:hAnsi="Verdana"/>
        </w:rPr>
        <w:t>.</w:t>
      </w:r>
      <w:r w:rsidR="003718A2" w:rsidRPr="009A1671">
        <w:rPr>
          <w:rStyle w:val="FootnoteReference"/>
          <w:rFonts w:ascii="Verdana" w:hAnsi="Verdana"/>
        </w:rPr>
        <w:footnoteReference w:id="25"/>
      </w:r>
    </w:p>
    <w:p w14:paraId="6E4EC87E" w14:textId="77777777" w:rsidR="00F93FB9" w:rsidRPr="00ED7E68" w:rsidRDefault="00F93FB9" w:rsidP="00F93FB9">
      <w:pPr>
        <w:pStyle w:val="ListParagraph"/>
        <w:spacing w:line="276" w:lineRule="auto"/>
      </w:pPr>
    </w:p>
    <w:p w14:paraId="5F6E767E" w14:textId="686A920B" w:rsidR="00F93FB9" w:rsidRPr="005D28EF" w:rsidRDefault="00F93FB9" w:rsidP="00F93FB9">
      <w:pPr>
        <w:pStyle w:val="ListParagraph"/>
        <w:numPr>
          <w:ilvl w:val="1"/>
          <w:numId w:val="12"/>
        </w:numPr>
        <w:spacing w:line="276" w:lineRule="auto"/>
        <w:ind w:left="720"/>
      </w:pPr>
      <w:r>
        <w:rPr>
          <w:rFonts w:ascii="Verdana" w:hAnsi="Verdana"/>
          <w:b/>
          <w:bCs/>
        </w:rPr>
        <w:t xml:space="preserve">The Committee may wish to ask the UK Government and NI Executive </w:t>
      </w:r>
      <w:r w:rsidR="002E1EDF">
        <w:rPr>
          <w:rFonts w:ascii="Verdana" w:hAnsi="Verdana"/>
          <w:b/>
          <w:bCs/>
        </w:rPr>
        <w:t xml:space="preserve">what effective steps they </w:t>
      </w:r>
      <w:r w:rsidR="004E3335">
        <w:rPr>
          <w:rFonts w:ascii="Verdana" w:hAnsi="Verdana"/>
          <w:b/>
          <w:bCs/>
        </w:rPr>
        <w:t xml:space="preserve">have </w:t>
      </w:r>
      <w:r>
        <w:rPr>
          <w:rFonts w:ascii="Verdana" w:hAnsi="Verdana"/>
          <w:b/>
          <w:bCs/>
        </w:rPr>
        <w:t>take</w:t>
      </w:r>
      <w:r w:rsidR="004E3335">
        <w:rPr>
          <w:rFonts w:ascii="Verdana" w:hAnsi="Verdana"/>
          <w:b/>
          <w:bCs/>
        </w:rPr>
        <w:t>n</w:t>
      </w:r>
      <w:r>
        <w:rPr>
          <w:rFonts w:ascii="Verdana" w:hAnsi="Verdana"/>
          <w:b/>
          <w:bCs/>
        </w:rPr>
        <w:t xml:space="preserve"> to prioritise and enable political consensus towards the introduction of a single equality act for NI</w:t>
      </w:r>
      <w:r w:rsidR="00915844">
        <w:rPr>
          <w:rFonts w:ascii="Verdana" w:hAnsi="Verdana"/>
          <w:b/>
          <w:bCs/>
        </w:rPr>
        <w:t>.</w:t>
      </w:r>
      <w:r>
        <w:rPr>
          <w:rFonts w:ascii="Verdana" w:hAnsi="Verdana"/>
          <w:b/>
          <w:bCs/>
        </w:rPr>
        <w:t xml:space="preserve"> </w:t>
      </w:r>
    </w:p>
    <w:p w14:paraId="2BC4AF32" w14:textId="77777777" w:rsidR="00F93FB9" w:rsidRPr="005D28EF" w:rsidRDefault="00F93FB9" w:rsidP="00F93FB9">
      <w:pPr>
        <w:pStyle w:val="ListParagraph"/>
        <w:rPr>
          <w:rFonts w:ascii="Verdana" w:hAnsi="Verdana"/>
          <w:b/>
          <w:bCs/>
        </w:rPr>
      </w:pPr>
    </w:p>
    <w:p w14:paraId="3381C876" w14:textId="447F7BD1" w:rsidR="00F93FB9" w:rsidRPr="00E61D43" w:rsidRDefault="00F93FB9" w:rsidP="00F93FB9">
      <w:pPr>
        <w:pStyle w:val="ListParagraph"/>
        <w:numPr>
          <w:ilvl w:val="1"/>
          <w:numId w:val="12"/>
        </w:numPr>
        <w:spacing w:line="276" w:lineRule="auto"/>
        <w:ind w:left="720"/>
      </w:pPr>
      <w:r>
        <w:rPr>
          <w:rFonts w:ascii="Verdana" w:hAnsi="Verdana"/>
          <w:b/>
          <w:bCs/>
        </w:rPr>
        <w:t xml:space="preserve">The Committee may also wish to ask the UK Government and NI Executive </w:t>
      </w:r>
      <w:r w:rsidRPr="00B96F65">
        <w:rPr>
          <w:rFonts w:ascii="Verdana" w:hAnsi="Verdana"/>
          <w:b/>
          <w:bCs/>
        </w:rPr>
        <w:t xml:space="preserve">what effective measures </w:t>
      </w:r>
      <w:r w:rsidR="00D55A62">
        <w:rPr>
          <w:rFonts w:ascii="Verdana" w:hAnsi="Verdana"/>
          <w:b/>
          <w:bCs/>
        </w:rPr>
        <w:t>they have taken</w:t>
      </w:r>
      <w:r w:rsidRPr="00B96F65">
        <w:rPr>
          <w:rFonts w:ascii="Verdana" w:hAnsi="Verdana"/>
          <w:b/>
          <w:bCs/>
        </w:rPr>
        <w:t xml:space="preserve"> to ensure that legislation providing for intersectional multiple discrimination is introduced in NI</w:t>
      </w:r>
      <w:r w:rsidR="00746157">
        <w:rPr>
          <w:rFonts w:ascii="Verdana" w:hAnsi="Verdana"/>
          <w:b/>
          <w:bCs/>
        </w:rPr>
        <w:t>.</w:t>
      </w:r>
    </w:p>
    <w:p w14:paraId="37407D70" w14:textId="77777777" w:rsidR="00E61D43" w:rsidRDefault="00E61D43" w:rsidP="00E548C3">
      <w:pPr>
        <w:ind w:left="720"/>
      </w:pPr>
    </w:p>
    <w:p w14:paraId="28DE84F6" w14:textId="65C97A3C" w:rsidR="00E61D43" w:rsidRPr="00000FC3" w:rsidRDefault="00E61D43" w:rsidP="00E61D43">
      <w:pPr>
        <w:pStyle w:val="Heading2"/>
      </w:pPr>
      <w:bookmarkStart w:id="7" w:name="_Toc165632760"/>
      <w:r>
        <w:lastRenderedPageBreak/>
        <w:t>Racial Equality in NI</w:t>
      </w:r>
      <w:bookmarkEnd w:id="7"/>
    </w:p>
    <w:p w14:paraId="59338768" w14:textId="77777777" w:rsidR="00E61D43" w:rsidRDefault="00E61D43" w:rsidP="00E61D43"/>
    <w:p w14:paraId="5D626713" w14:textId="2B47A7BF" w:rsidR="00E61D43" w:rsidRDefault="00A23F46" w:rsidP="00F93FB9">
      <w:pPr>
        <w:pStyle w:val="ListParagraph"/>
        <w:numPr>
          <w:ilvl w:val="1"/>
          <w:numId w:val="12"/>
        </w:numPr>
        <w:spacing w:line="276" w:lineRule="auto"/>
        <w:ind w:left="720"/>
        <w:rPr>
          <w:rFonts w:ascii="Verdana" w:hAnsi="Verdana"/>
        </w:rPr>
      </w:pPr>
      <w:r w:rsidRPr="00A23F46">
        <w:rPr>
          <w:rFonts w:ascii="Verdana" w:hAnsi="Verdana"/>
        </w:rPr>
        <w:t>In 2015, the Executive Office committed to an independent review of the progress of implementation of the Racial Equality Strategy 2015-2025</w:t>
      </w:r>
      <w:r w:rsidR="00E37801">
        <w:rPr>
          <w:rStyle w:val="FootnoteReference"/>
          <w:rFonts w:ascii="Verdana" w:hAnsi="Verdana"/>
        </w:rPr>
        <w:footnoteReference w:id="26"/>
      </w:r>
      <w:r w:rsidR="006522E4">
        <w:rPr>
          <w:rFonts w:ascii="Verdana" w:hAnsi="Verdana"/>
        </w:rPr>
        <w:t xml:space="preserve">; the report </w:t>
      </w:r>
      <w:r w:rsidR="00E37801">
        <w:rPr>
          <w:rFonts w:ascii="Verdana" w:hAnsi="Verdana"/>
        </w:rPr>
        <w:t>from this review is expected soon</w:t>
      </w:r>
      <w:r w:rsidRPr="00A23F46">
        <w:rPr>
          <w:rFonts w:ascii="Verdana" w:hAnsi="Verdana"/>
        </w:rPr>
        <w:t xml:space="preserve">. </w:t>
      </w:r>
      <w:r w:rsidR="00E37801">
        <w:rPr>
          <w:rFonts w:ascii="Verdana" w:hAnsi="Verdana"/>
        </w:rPr>
        <w:t>However</w:t>
      </w:r>
      <w:r w:rsidR="00AA69F0">
        <w:rPr>
          <w:rFonts w:ascii="Verdana" w:hAnsi="Verdana"/>
        </w:rPr>
        <w:t>, as of 2024,</w:t>
      </w:r>
      <w:r w:rsidR="00E63E0E">
        <w:rPr>
          <w:rFonts w:ascii="Verdana" w:hAnsi="Verdana"/>
        </w:rPr>
        <w:t xml:space="preserve"> </w:t>
      </w:r>
      <w:r w:rsidR="00AA69F0">
        <w:rPr>
          <w:rFonts w:ascii="Verdana" w:hAnsi="Verdana"/>
        </w:rPr>
        <w:t xml:space="preserve">other </w:t>
      </w:r>
      <w:r w:rsidR="00E63E0E">
        <w:rPr>
          <w:rFonts w:ascii="Verdana" w:hAnsi="Verdana"/>
        </w:rPr>
        <w:t>commitments under the Strategy have yet to be implemented.</w:t>
      </w:r>
      <w:r w:rsidR="00E63E0E">
        <w:rPr>
          <w:rStyle w:val="FootnoteReference"/>
          <w:rFonts w:ascii="Verdana" w:hAnsi="Verdana"/>
        </w:rPr>
        <w:footnoteReference w:id="27"/>
      </w:r>
      <w:r w:rsidR="00E63E0E">
        <w:rPr>
          <w:rFonts w:ascii="Verdana" w:hAnsi="Verdana"/>
        </w:rPr>
        <w:t xml:space="preserve"> </w:t>
      </w:r>
      <w:r w:rsidR="00373CFC">
        <w:rPr>
          <w:rFonts w:ascii="Verdana" w:hAnsi="Verdana"/>
        </w:rPr>
        <w:t xml:space="preserve">Plans for a replacement strategy </w:t>
      </w:r>
      <w:r w:rsidR="00D514CF">
        <w:rPr>
          <w:rFonts w:ascii="Verdana" w:hAnsi="Verdana"/>
        </w:rPr>
        <w:t>have not yet been announced</w:t>
      </w:r>
      <w:r w:rsidR="00E63E0E">
        <w:rPr>
          <w:rFonts w:ascii="Verdana" w:hAnsi="Verdana"/>
        </w:rPr>
        <w:t xml:space="preserve"> by the </w:t>
      </w:r>
      <w:r w:rsidR="0047046A">
        <w:rPr>
          <w:rFonts w:ascii="Verdana" w:hAnsi="Verdana"/>
        </w:rPr>
        <w:t>Executive Office</w:t>
      </w:r>
      <w:r w:rsidR="00D514CF">
        <w:rPr>
          <w:rFonts w:ascii="Verdana" w:hAnsi="Verdana"/>
        </w:rPr>
        <w:t>.</w:t>
      </w:r>
      <w:r w:rsidR="00D514CF">
        <w:rPr>
          <w:rStyle w:val="FootnoteReference"/>
          <w:rFonts w:ascii="Verdana" w:hAnsi="Verdana"/>
        </w:rPr>
        <w:footnoteReference w:id="28"/>
      </w:r>
      <w:r w:rsidR="00D514CF">
        <w:rPr>
          <w:rFonts w:ascii="Verdana" w:hAnsi="Verdana"/>
        </w:rPr>
        <w:t xml:space="preserve"> </w:t>
      </w:r>
      <w:r w:rsidRPr="00A23F46">
        <w:rPr>
          <w:rFonts w:ascii="Verdana" w:hAnsi="Verdana"/>
        </w:rPr>
        <w:t xml:space="preserve">In 2023, a public consultation on </w:t>
      </w:r>
      <w:r w:rsidR="009377E6">
        <w:rPr>
          <w:rFonts w:ascii="Verdana" w:hAnsi="Verdana"/>
        </w:rPr>
        <w:t xml:space="preserve">a review of </w:t>
      </w:r>
      <w:r w:rsidRPr="00A23F46">
        <w:rPr>
          <w:rFonts w:ascii="Verdana" w:hAnsi="Verdana"/>
        </w:rPr>
        <w:t>the Race Relations (NI) Order 1997 was conducted.</w:t>
      </w:r>
      <w:r w:rsidR="00F374F3">
        <w:rPr>
          <w:rStyle w:val="FootnoteReference"/>
          <w:rFonts w:ascii="Verdana" w:hAnsi="Verdana"/>
        </w:rPr>
        <w:footnoteReference w:id="29"/>
      </w:r>
      <w:r w:rsidRPr="00A23F46">
        <w:rPr>
          <w:rFonts w:ascii="Verdana" w:hAnsi="Verdana"/>
        </w:rPr>
        <w:t xml:space="preserve"> The necessary legislative change was hindered by the suspension of the NI Executive and Assembly.</w:t>
      </w:r>
    </w:p>
    <w:p w14:paraId="0E286F38" w14:textId="77777777" w:rsidR="003E56D9" w:rsidRDefault="003E56D9" w:rsidP="003E56D9">
      <w:pPr>
        <w:pStyle w:val="ListParagraph"/>
        <w:spacing w:line="276" w:lineRule="auto"/>
        <w:rPr>
          <w:rFonts w:ascii="Verdana" w:hAnsi="Verdana"/>
        </w:rPr>
      </w:pPr>
    </w:p>
    <w:p w14:paraId="20AA356D" w14:textId="52176C94" w:rsidR="00D42DCC" w:rsidRPr="005D6042" w:rsidRDefault="00D42DCC" w:rsidP="00F93FB9">
      <w:pPr>
        <w:pStyle w:val="ListParagraph"/>
        <w:numPr>
          <w:ilvl w:val="1"/>
          <w:numId w:val="12"/>
        </w:numPr>
        <w:spacing w:line="276" w:lineRule="auto"/>
        <w:ind w:left="720"/>
        <w:rPr>
          <w:rFonts w:ascii="Verdana" w:hAnsi="Verdana"/>
        </w:rPr>
      </w:pPr>
      <w:r>
        <w:rPr>
          <w:rFonts w:ascii="Verdana" w:hAnsi="Verdana"/>
          <w:b/>
          <w:bCs/>
        </w:rPr>
        <w:t xml:space="preserve">The Committee may wish to </w:t>
      </w:r>
      <w:r w:rsidR="008D2E39">
        <w:rPr>
          <w:rFonts w:ascii="Verdana" w:hAnsi="Verdana"/>
          <w:b/>
          <w:bCs/>
        </w:rPr>
        <w:t>ask</w:t>
      </w:r>
      <w:r w:rsidR="000E4B5A">
        <w:rPr>
          <w:rFonts w:ascii="Verdana" w:hAnsi="Verdana"/>
          <w:b/>
          <w:bCs/>
        </w:rPr>
        <w:t xml:space="preserve"> </w:t>
      </w:r>
      <w:r>
        <w:rPr>
          <w:rFonts w:ascii="Verdana" w:hAnsi="Verdana"/>
          <w:b/>
          <w:bCs/>
        </w:rPr>
        <w:t xml:space="preserve">the UK Government and NI Executive what effective steps </w:t>
      </w:r>
      <w:r w:rsidR="00FD387E">
        <w:rPr>
          <w:rFonts w:ascii="Verdana" w:hAnsi="Verdana"/>
          <w:b/>
          <w:bCs/>
        </w:rPr>
        <w:t>they have</w:t>
      </w:r>
      <w:r>
        <w:rPr>
          <w:rFonts w:ascii="Verdana" w:hAnsi="Verdana"/>
          <w:b/>
          <w:bCs/>
        </w:rPr>
        <w:t xml:space="preserve"> taken to ensure the </w:t>
      </w:r>
      <w:r w:rsidR="000B6872">
        <w:rPr>
          <w:rFonts w:ascii="Verdana" w:hAnsi="Verdana"/>
          <w:b/>
          <w:bCs/>
        </w:rPr>
        <w:t xml:space="preserve">full </w:t>
      </w:r>
      <w:r>
        <w:rPr>
          <w:rFonts w:ascii="Verdana" w:hAnsi="Verdana"/>
          <w:b/>
          <w:bCs/>
        </w:rPr>
        <w:t>impleme</w:t>
      </w:r>
      <w:r w:rsidR="00FC5195">
        <w:rPr>
          <w:rFonts w:ascii="Verdana" w:hAnsi="Verdana"/>
          <w:b/>
          <w:bCs/>
        </w:rPr>
        <w:t>ntation of the Racial Equality Strategy 2015-2025 for NI is given priority</w:t>
      </w:r>
      <w:r w:rsidR="00E4181B">
        <w:rPr>
          <w:rFonts w:ascii="Verdana" w:hAnsi="Verdana"/>
          <w:b/>
          <w:bCs/>
        </w:rPr>
        <w:t>.</w:t>
      </w:r>
    </w:p>
    <w:p w14:paraId="711F9554" w14:textId="77777777" w:rsidR="007E1A37" w:rsidRDefault="007E1A37" w:rsidP="007E1A37">
      <w:pPr>
        <w:rPr>
          <w:rFonts w:ascii="Verdana" w:hAnsi="Verdana"/>
        </w:rPr>
      </w:pPr>
    </w:p>
    <w:p w14:paraId="1385B109" w14:textId="3D0C1E33" w:rsidR="008A488F" w:rsidRDefault="008A488F" w:rsidP="007E1A37">
      <w:pPr>
        <w:pStyle w:val="Heading1"/>
        <w:numPr>
          <w:ilvl w:val="0"/>
          <w:numId w:val="12"/>
        </w:numPr>
      </w:pPr>
      <w:bookmarkStart w:id="8" w:name="_Toc165632761"/>
      <w:r>
        <w:t>Hostile Environment in NI</w:t>
      </w:r>
      <w:bookmarkEnd w:id="8"/>
    </w:p>
    <w:p w14:paraId="6E6F00EF" w14:textId="77777777" w:rsidR="00A243AD" w:rsidRDefault="00A243AD" w:rsidP="00A243AD"/>
    <w:p w14:paraId="3F9D7968" w14:textId="6DA5BA7F" w:rsidR="00FE2846" w:rsidRDefault="00EC0286" w:rsidP="00A243AD">
      <w:pPr>
        <w:pStyle w:val="ListParagraph"/>
        <w:numPr>
          <w:ilvl w:val="1"/>
          <w:numId w:val="12"/>
        </w:numPr>
        <w:ind w:left="709"/>
        <w:rPr>
          <w:rFonts w:ascii="Verdana" w:hAnsi="Verdana"/>
        </w:rPr>
      </w:pPr>
      <w:r w:rsidRPr="00EC0286">
        <w:rPr>
          <w:rFonts w:ascii="Verdana" w:hAnsi="Verdana"/>
        </w:rPr>
        <w:t>The hostile environment</w:t>
      </w:r>
      <w:r>
        <w:rPr>
          <w:rFonts w:ascii="Verdana" w:hAnsi="Verdana"/>
        </w:rPr>
        <w:t xml:space="preserve"> </w:t>
      </w:r>
      <w:r w:rsidR="00962224">
        <w:rPr>
          <w:rFonts w:ascii="Verdana" w:hAnsi="Verdana"/>
        </w:rPr>
        <w:t xml:space="preserve">refers to a set of policies introduced by the UK Home Office to </w:t>
      </w:r>
      <w:r w:rsidR="00652096">
        <w:rPr>
          <w:rFonts w:ascii="Verdana" w:hAnsi="Verdana"/>
        </w:rPr>
        <w:t>control i</w:t>
      </w:r>
      <w:r w:rsidR="0040265C">
        <w:rPr>
          <w:rFonts w:ascii="Verdana" w:hAnsi="Verdana"/>
        </w:rPr>
        <w:t>m</w:t>
      </w:r>
      <w:r w:rsidR="00652096">
        <w:rPr>
          <w:rFonts w:ascii="Verdana" w:hAnsi="Verdana"/>
        </w:rPr>
        <w:t>migration.</w:t>
      </w:r>
      <w:r w:rsidR="002F5BE6">
        <w:rPr>
          <w:rStyle w:val="FootnoteReference"/>
          <w:rFonts w:ascii="Verdana" w:hAnsi="Verdana"/>
        </w:rPr>
        <w:footnoteReference w:id="30"/>
      </w:r>
      <w:r w:rsidR="00DB2374">
        <w:rPr>
          <w:rFonts w:ascii="Verdana" w:hAnsi="Verdana"/>
        </w:rPr>
        <w:t xml:space="preserve"> A UK Government review of these policies found they had a “disproportionate impact on people of colour”.</w:t>
      </w:r>
      <w:r w:rsidR="00DB2374">
        <w:rPr>
          <w:rStyle w:val="FootnoteReference"/>
          <w:rFonts w:ascii="Verdana" w:hAnsi="Verdana"/>
        </w:rPr>
        <w:footnoteReference w:id="31"/>
      </w:r>
      <w:r w:rsidR="00942CC5">
        <w:rPr>
          <w:rFonts w:ascii="Verdana" w:hAnsi="Verdana"/>
        </w:rPr>
        <w:t xml:space="preserve"> </w:t>
      </w:r>
      <w:r w:rsidR="00661396">
        <w:rPr>
          <w:rFonts w:ascii="Verdana" w:hAnsi="Verdana"/>
        </w:rPr>
        <w:t xml:space="preserve">Research indicates that </w:t>
      </w:r>
      <w:r w:rsidR="001121D7">
        <w:rPr>
          <w:rFonts w:ascii="Verdana" w:hAnsi="Verdana"/>
        </w:rPr>
        <w:t xml:space="preserve">the </w:t>
      </w:r>
      <w:r w:rsidR="003D1B91">
        <w:rPr>
          <w:rFonts w:ascii="Verdana" w:hAnsi="Verdana"/>
        </w:rPr>
        <w:t>UK Government</w:t>
      </w:r>
      <w:r w:rsidR="001121D7">
        <w:rPr>
          <w:rFonts w:ascii="Verdana" w:hAnsi="Verdana"/>
        </w:rPr>
        <w:t>’s</w:t>
      </w:r>
      <w:r w:rsidR="003D1B91">
        <w:rPr>
          <w:rFonts w:ascii="Verdana" w:hAnsi="Verdana"/>
        </w:rPr>
        <w:t xml:space="preserve"> </w:t>
      </w:r>
      <w:r w:rsidR="001121D7">
        <w:rPr>
          <w:rFonts w:ascii="Verdana" w:hAnsi="Verdana"/>
        </w:rPr>
        <w:t xml:space="preserve">hostile </w:t>
      </w:r>
      <w:r w:rsidR="49842643">
        <w:rPr>
          <w:rFonts w:ascii="Verdana" w:hAnsi="Verdana"/>
        </w:rPr>
        <w:t xml:space="preserve">environment </w:t>
      </w:r>
      <w:r w:rsidR="001121D7">
        <w:rPr>
          <w:rFonts w:ascii="Verdana" w:hAnsi="Verdana"/>
        </w:rPr>
        <w:t>policies are exacerbating</w:t>
      </w:r>
      <w:r w:rsidR="004D5266">
        <w:rPr>
          <w:rFonts w:ascii="Verdana" w:hAnsi="Verdana"/>
        </w:rPr>
        <w:t xml:space="preserve"> anti-migrant </w:t>
      </w:r>
      <w:r w:rsidR="007A5BD1">
        <w:rPr>
          <w:rFonts w:ascii="Verdana" w:hAnsi="Verdana"/>
        </w:rPr>
        <w:t>sentiment</w:t>
      </w:r>
      <w:r w:rsidR="00990251">
        <w:rPr>
          <w:rFonts w:ascii="Verdana" w:hAnsi="Verdana"/>
        </w:rPr>
        <w:t>.</w:t>
      </w:r>
      <w:r w:rsidR="00990251">
        <w:rPr>
          <w:rStyle w:val="FootnoteReference"/>
          <w:rFonts w:ascii="Verdana" w:hAnsi="Verdana"/>
        </w:rPr>
        <w:footnoteReference w:id="32"/>
      </w:r>
    </w:p>
    <w:p w14:paraId="26BB72A7" w14:textId="77777777" w:rsidR="00FE2846" w:rsidRDefault="00FE2846" w:rsidP="00FE2846">
      <w:pPr>
        <w:pStyle w:val="ListParagraph"/>
        <w:ind w:left="709"/>
        <w:rPr>
          <w:rFonts w:ascii="Verdana" w:hAnsi="Verdana"/>
        </w:rPr>
      </w:pPr>
    </w:p>
    <w:p w14:paraId="612ADFFB" w14:textId="2149CF9F" w:rsidR="00A243AD" w:rsidRDefault="00A84A5F" w:rsidP="00A243AD">
      <w:pPr>
        <w:pStyle w:val="ListParagraph"/>
        <w:numPr>
          <w:ilvl w:val="1"/>
          <w:numId w:val="12"/>
        </w:numPr>
        <w:ind w:left="709"/>
        <w:rPr>
          <w:rFonts w:ascii="Verdana" w:hAnsi="Verdana"/>
        </w:rPr>
      </w:pPr>
      <w:r>
        <w:rPr>
          <w:rFonts w:ascii="Verdana" w:hAnsi="Verdana"/>
        </w:rPr>
        <w:t xml:space="preserve">While immigration is a matter reserved to Westminster, </w:t>
      </w:r>
      <w:r w:rsidR="00942CC5">
        <w:rPr>
          <w:rFonts w:ascii="Verdana" w:hAnsi="Verdana"/>
        </w:rPr>
        <w:t>these policies s</w:t>
      </w:r>
      <w:r w:rsidR="00AF0AF5">
        <w:rPr>
          <w:rFonts w:ascii="Verdana" w:hAnsi="Verdana"/>
        </w:rPr>
        <w:t>ignificantly</w:t>
      </w:r>
      <w:r w:rsidR="00942CC5">
        <w:rPr>
          <w:rFonts w:ascii="Verdana" w:hAnsi="Verdana"/>
        </w:rPr>
        <w:t xml:space="preserve"> encroach </w:t>
      </w:r>
      <w:r w:rsidR="00AF0AF5">
        <w:rPr>
          <w:rFonts w:ascii="Verdana" w:hAnsi="Verdana"/>
        </w:rPr>
        <w:t>on</w:t>
      </w:r>
      <w:r w:rsidR="00942CC5">
        <w:rPr>
          <w:rFonts w:ascii="Verdana" w:hAnsi="Verdana"/>
        </w:rPr>
        <w:t xml:space="preserve"> </w:t>
      </w:r>
      <w:r w:rsidR="00CB1814">
        <w:rPr>
          <w:rFonts w:ascii="Verdana" w:hAnsi="Verdana"/>
        </w:rPr>
        <w:t xml:space="preserve">rights </w:t>
      </w:r>
      <w:r w:rsidR="002A33A9">
        <w:rPr>
          <w:rFonts w:ascii="Verdana" w:hAnsi="Verdana"/>
        </w:rPr>
        <w:t xml:space="preserve">protections </w:t>
      </w:r>
      <w:r w:rsidR="00755D54">
        <w:rPr>
          <w:rFonts w:ascii="Verdana" w:hAnsi="Verdana"/>
        </w:rPr>
        <w:t xml:space="preserve">where </w:t>
      </w:r>
      <w:r w:rsidR="009F40D3">
        <w:rPr>
          <w:rFonts w:ascii="Verdana" w:hAnsi="Verdana"/>
        </w:rPr>
        <w:t>the NI Executive</w:t>
      </w:r>
      <w:r w:rsidR="00650EBF">
        <w:rPr>
          <w:rFonts w:ascii="Verdana" w:hAnsi="Verdana"/>
        </w:rPr>
        <w:t xml:space="preserve"> have devolved responsibility</w:t>
      </w:r>
      <w:r w:rsidR="005B24D1">
        <w:rPr>
          <w:rFonts w:ascii="Verdana" w:hAnsi="Verdana"/>
        </w:rPr>
        <w:t xml:space="preserve">, </w:t>
      </w:r>
      <w:r w:rsidR="005B24D1" w:rsidRPr="003223E1">
        <w:rPr>
          <w:rFonts w:ascii="Verdana" w:hAnsi="Verdana"/>
        </w:rPr>
        <w:t>including</w:t>
      </w:r>
      <w:r w:rsidR="00AF0AF5">
        <w:rPr>
          <w:rFonts w:ascii="Verdana" w:hAnsi="Verdana"/>
        </w:rPr>
        <w:t xml:space="preserve"> on</w:t>
      </w:r>
      <w:r w:rsidR="005B24D1" w:rsidRPr="003223E1">
        <w:rPr>
          <w:rFonts w:ascii="Verdana" w:hAnsi="Verdana"/>
        </w:rPr>
        <w:t xml:space="preserve"> </w:t>
      </w:r>
      <w:r w:rsidR="003223E1" w:rsidRPr="003223E1">
        <w:rPr>
          <w:rFonts w:ascii="Verdana" w:hAnsi="Verdana"/>
        </w:rPr>
        <w:t>housing, marriage, driving, social security benefits, health and social care, employment, banking and the administration of justice</w:t>
      </w:r>
      <w:r w:rsidR="009F40D3" w:rsidRPr="003223E1">
        <w:rPr>
          <w:rFonts w:ascii="Verdana" w:hAnsi="Verdana"/>
        </w:rPr>
        <w:t>.</w:t>
      </w:r>
      <w:r w:rsidR="009F40D3" w:rsidRPr="003223E1">
        <w:rPr>
          <w:rStyle w:val="FootnoteReference"/>
          <w:rFonts w:ascii="Verdana" w:hAnsi="Verdana"/>
        </w:rPr>
        <w:footnoteReference w:id="33"/>
      </w:r>
      <w:r w:rsidR="003223E1">
        <w:rPr>
          <w:rFonts w:ascii="Verdana" w:hAnsi="Verdana"/>
        </w:rPr>
        <w:t xml:space="preserve"> </w:t>
      </w:r>
      <w:r w:rsidR="00BF40C3">
        <w:rPr>
          <w:rFonts w:ascii="Verdana" w:hAnsi="Verdana"/>
        </w:rPr>
        <w:t xml:space="preserve">Despite the discriminatory nature of these policies, </w:t>
      </w:r>
      <w:r w:rsidR="00AF0AF5">
        <w:rPr>
          <w:rFonts w:ascii="Verdana" w:hAnsi="Verdana"/>
        </w:rPr>
        <w:t xml:space="preserve">the NI Executive </w:t>
      </w:r>
      <w:r w:rsidR="007C2B24">
        <w:rPr>
          <w:rFonts w:ascii="Verdana" w:hAnsi="Verdana"/>
        </w:rPr>
        <w:t xml:space="preserve">will </w:t>
      </w:r>
      <w:r w:rsidR="007C2B24">
        <w:rPr>
          <w:rFonts w:ascii="Verdana" w:hAnsi="Verdana"/>
        </w:rPr>
        <w:lastRenderedPageBreak/>
        <w:t xml:space="preserve">often </w:t>
      </w:r>
      <w:r w:rsidR="0005594B">
        <w:rPr>
          <w:rFonts w:ascii="Verdana" w:hAnsi="Verdana"/>
        </w:rPr>
        <w:t>defer to the Home Office position on these issues</w:t>
      </w:r>
      <w:r w:rsidR="00AB5F1F">
        <w:rPr>
          <w:rFonts w:ascii="Verdana" w:hAnsi="Verdana"/>
        </w:rPr>
        <w:t xml:space="preserve">, </w:t>
      </w:r>
      <w:r w:rsidR="133BE965">
        <w:rPr>
          <w:rFonts w:ascii="Verdana" w:hAnsi="Verdana"/>
        </w:rPr>
        <w:t>despite the matters being</w:t>
      </w:r>
      <w:r w:rsidR="00B740C1">
        <w:rPr>
          <w:rFonts w:ascii="Verdana" w:hAnsi="Verdana"/>
        </w:rPr>
        <w:t xml:space="preserve"> within the NI Executive’s</w:t>
      </w:r>
      <w:r w:rsidR="007C2B24">
        <w:rPr>
          <w:rFonts w:ascii="Verdana" w:hAnsi="Verdana"/>
        </w:rPr>
        <w:t xml:space="preserve"> devolved</w:t>
      </w:r>
      <w:r w:rsidR="00B740C1">
        <w:rPr>
          <w:rFonts w:ascii="Verdana" w:hAnsi="Verdana"/>
        </w:rPr>
        <w:t xml:space="preserve"> competency </w:t>
      </w:r>
      <w:r w:rsidR="00232984">
        <w:rPr>
          <w:rFonts w:ascii="Verdana" w:hAnsi="Verdana"/>
        </w:rPr>
        <w:t>.</w:t>
      </w:r>
      <w:r w:rsidR="00670F72">
        <w:rPr>
          <w:rStyle w:val="FootnoteReference"/>
          <w:rFonts w:ascii="Verdana" w:hAnsi="Verdana"/>
        </w:rPr>
        <w:footnoteReference w:id="34"/>
      </w:r>
    </w:p>
    <w:p w14:paraId="7756106E" w14:textId="77777777" w:rsidR="00C80ECF" w:rsidRPr="00C80ECF" w:rsidRDefault="00C80ECF" w:rsidP="00C80ECF">
      <w:pPr>
        <w:pStyle w:val="ListParagraph"/>
        <w:rPr>
          <w:rFonts w:ascii="Verdana" w:hAnsi="Verdana"/>
        </w:rPr>
      </w:pPr>
    </w:p>
    <w:p w14:paraId="4133B290" w14:textId="15947108" w:rsidR="00C80ECF" w:rsidRPr="0047046A" w:rsidRDefault="00C80ECF" w:rsidP="00A243AD">
      <w:pPr>
        <w:pStyle w:val="ListParagraph"/>
        <w:numPr>
          <w:ilvl w:val="1"/>
          <w:numId w:val="12"/>
        </w:numPr>
        <w:ind w:left="709"/>
        <w:rPr>
          <w:rFonts w:ascii="Verdana" w:hAnsi="Verdana"/>
        </w:rPr>
      </w:pPr>
      <w:r>
        <w:rPr>
          <w:rFonts w:ascii="Verdana" w:hAnsi="Verdana"/>
          <w:b/>
          <w:bCs/>
        </w:rPr>
        <w:t xml:space="preserve">The Committee may wish to ask </w:t>
      </w:r>
      <w:r w:rsidR="002C7572">
        <w:rPr>
          <w:rFonts w:ascii="Verdana" w:hAnsi="Verdana"/>
          <w:b/>
          <w:bCs/>
        </w:rPr>
        <w:t xml:space="preserve">the UK Government </w:t>
      </w:r>
      <w:r>
        <w:rPr>
          <w:rFonts w:ascii="Verdana" w:hAnsi="Verdana"/>
          <w:b/>
          <w:bCs/>
        </w:rPr>
        <w:t xml:space="preserve">what effective </w:t>
      </w:r>
      <w:r w:rsidR="002C7572">
        <w:rPr>
          <w:rFonts w:ascii="Verdana" w:hAnsi="Verdana"/>
          <w:b/>
          <w:bCs/>
        </w:rPr>
        <w:t xml:space="preserve">steps it has taken to address the </w:t>
      </w:r>
      <w:r w:rsidR="00005E0F">
        <w:rPr>
          <w:rFonts w:ascii="Verdana" w:hAnsi="Verdana"/>
          <w:b/>
          <w:bCs/>
        </w:rPr>
        <w:t xml:space="preserve">discriminatory effect of its hostile environment policies. The Committee may also wish to ask the NI Executive what effective steps it has taken to mitigate </w:t>
      </w:r>
      <w:r w:rsidR="0034015D">
        <w:rPr>
          <w:rFonts w:ascii="Verdana" w:hAnsi="Verdana"/>
          <w:b/>
          <w:bCs/>
        </w:rPr>
        <w:t xml:space="preserve">the </w:t>
      </w:r>
      <w:r w:rsidR="00005E0F">
        <w:rPr>
          <w:rFonts w:ascii="Verdana" w:hAnsi="Verdana"/>
          <w:b/>
          <w:bCs/>
        </w:rPr>
        <w:t xml:space="preserve">discriminatory effect of the hostile environment policies to the full extent of its devolved </w:t>
      </w:r>
      <w:r w:rsidR="00250353">
        <w:rPr>
          <w:rFonts w:ascii="Verdana" w:hAnsi="Verdana"/>
          <w:b/>
          <w:bCs/>
        </w:rPr>
        <w:t>competence</w:t>
      </w:r>
      <w:r w:rsidR="00005E0F">
        <w:rPr>
          <w:rFonts w:ascii="Verdana" w:hAnsi="Verdana"/>
          <w:b/>
          <w:bCs/>
        </w:rPr>
        <w:t>.</w:t>
      </w:r>
    </w:p>
    <w:p w14:paraId="65F965CF" w14:textId="77777777" w:rsidR="00E20D65" w:rsidRDefault="00E20D65" w:rsidP="0047046A">
      <w:pPr>
        <w:pStyle w:val="ListParagraph"/>
        <w:rPr>
          <w:rFonts w:ascii="Verdana" w:hAnsi="Verdana"/>
        </w:rPr>
      </w:pPr>
    </w:p>
    <w:p w14:paraId="1A9D7FB8" w14:textId="537A3D12" w:rsidR="007E1A37" w:rsidRDefault="007E1A37" w:rsidP="007E1A37">
      <w:pPr>
        <w:pStyle w:val="Heading1"/>
        <w:numPr>
          <w:ilvl w:val="0"/>
          <w:numId w:val="12"/>
        </w:numPr>
      </w:pPr>
      <w:bookmarkStart w:id="9" w:name="_Toc165632762"/>
      <w:r>
        <w:t>Racial Profiling in NI</w:t>
      </w:r>
      <w:bookmarkEnd w:id="9"/>
    </w:p>
    <w:p w14:paraId="650B128C" w14:textId="77777777" w:rsidR="007E1A37" w:rsidRDefault="007E1A37" w:rsidP="007E1A37"/>
    <w:p w14:paraId="56119EC2" w14:textId="0D2EC729" w:rsidR="001B1530" w:rsidRDefault="001B1530" w:rsidP="001B1530">
      <w:pPr>
        <w:pStyle w:val="Heading2"/>
      </w:pPr>
      <w:bookmarkStart w:id="10" w:name="_Toc165632763"/>
      <w:r>
        <w:t>Electronic Travel Authorisations and the Common Travel Area</w:t>
      </w:r>
      <w:bookmarkEnd w:id="10"/>
    </w:p>
    <w:p w14:paraId="1BBF419F" w14:textId="77777777" w:rsidR="001B1530" w:rsidRPr="001B1530" w:rsidRDefault="001B1530" w:rsidP="001B1530"/>
    <w:p w14:paraId="6EA6F69F" w14:textId="3BEE54CD" w:rsidR="007E1A37" w:rsidRDefault="007E1A37" w:rsidP="00F93FB9">
      <w:pPr>
        <w:pStyle w:val="ListParagraph"/>
        <w:numPr>
          <w:ilvl w:val="1"/>
          <w:numId w:val="12"/>
        </w:numPr>
        <w:spacing w:line="276" w:lineRule="auto"/>
        <w:ind w:left="720"/>
        <w:rPr>
          <w:rFonts w:ascii="Verdana" w:hAnsi="Verdana"/>
        </w:rPr>
      </w:pPr>
      <w:r>
        <w:rPr>
          <w:rFonts w:ascii="Verdana" w:hAnsi="Verdana"/>
        </w:rPr>
        <w:t>NI is in a unique position within the UK of having a</w:t>
      </w:r>
      <w:r w:rsidR="001B4E6B">
        <w:rPr>
          <w:rFonts w:ascii="Verdana" w:hAnsi="Verdana"/>
        </w:rPr>
        <w:t xml:space="preserve">n open </w:t>
      </w:r>
      <w:r>
        <w:rPr>
          <w:rFonts w:ascii="Verdana" w:hAnsi="Verdana"/>
        </w:rPr>
        <w:t xml:space="preserve">land border with a separate </w:t>
      </w:r>
      <w:r w:rsidRPr="0021466E">
        <w:rPr>
          <w:rFonts w:ascii="Verdana" w:hAnsi="Verdana"/>
        </w:rPr>
        <w:t>jurisdiction</w:t>
      </w:r>
      <w:r w:rsidR="001B4E6B" w:rsidRPr="0021466E">
        <w:rPr>
          <w:rFonts w:ascii="Verdana" w:hAnsi="Verdana"/>
        </w:rPr>
        <w:t>.</w:t>
      </w:r>
      <w:r w:rsidR="009625A7" w:rsidRPr="0021466E">
        <w:rPr>
          <w:rFonts w:ascii="Verdana" w:hAnsi="Verdana"/>
        </w:rPr>
        <w:t xml:space="preserve"> Racial profiling during custom checks have been reported when travelling between NI and other parts of UK and Ireland.</w:t>
      </w:r>
      <w:r w:rsidR="0021466E" w:rsidRPr="0021466E">
        <w:rPr>
          <w:rStyle w:val="FootnoteReference"/>
          <w:rFonts w:ascii="Verdana" w:hAnsi="Verdana"/>
        </w:rPr>
        <w:footnoteReference w:id="35"/>
      </w:r>
      <w:r w:rsidR="0021466E">
        <w:rPr>
          <w:rFonts w:ascii="Verdana" w:hAnsi="Verdana"/>
        </w:rPr>
        <w:t xml:space="preserve"> </w:t>
      </w:r>
    </w:p>
    <w:p w14:paraId="620D9650" w14:textId="77777777" w:rsidR="0051321D" w:rsidRDefault="0051321D" w:rsidP="0051321D">
      <w:pPr>
        <w:pStyle w:val="ListParagraph"/>
        <w:spacing w:line="276" w:lineRule="auto"/>
        <w:rPr>
          <w:rFonts w:ascii="Verdana" w:hAnsi="Verdana"/>
        </w:rPr>
      </w:pPr>
    </w:p>
    <w:p w14:paraId="65BED7B2" w14:textId="6355D09B" w:rsidR="0051321D" w:rsidRPr="0051321D" w:rsidRDefault="0051321D" w:rsidP="00D5083B">
      <w:pPr>
        <w:pStyle w:val="ListParagraph"/>
        <w:numPr>
          <w:ilvl w:val="1"/>
          <w:numId w:val="12"/>
        </w:numPr>
        <w:spacing w:line="276" w:lineRule="auto"/>
        <w:ind w:left="709"/>
        <w:rPr>
          <w:rFonts w:ascii="Verdana" w:hAnsi="Verdana"/>
          <w:color w:val="000000"/>
        </w:rPr>
      </w:pPr>
      <w:r w:rsidRPr="0051321D">
        <w:rPr>
          <w:rFonts w:ascii="Verdana" w:hAnsi="Verdana"/>
          <w:color w:val="000000"/>
        </w:rPr>
        <w:t>In 2021, updated guidance on the Common Travel Area took effect, stating that travellers into the UK from Ireland may be asked to show a document confirming their identity and nationality.</w:t>
      </w:r>
      <w:r w:rsidRPr="0051321D">
        <w:rPr>
          <w:rStyle w:val="FootnoteReference"/>
          <w:rFonts w:ascii="Verdana" w:hAnsi="Verdana"/>
        </w:rPr>
        <w:footnoteReference w:id="36"/>
      </w:r>
      <w:r w:rsidRPr="0051321D">
        <w:rPr>
          <w:rFonts w:ascii="Verdana" w:hAnsi="Verdana"/>
          <w:color w:val="000000"/>
        </w:rPr>
        <w:t xml:space="preserve"> </w:t>
      </w:r>
      <w:r w:rsidR="00D0775A">
        <w:rPr>
          <w:rFonts w:ascii="Verdana" w:hAnsi="Verdana"/>
          <w:color w:val="000000"/>
        </w:rPr>
        <w:t>The NIHRC remains concerned</w:t>
      </w:r>
      <w:r w:rsidR="002D548B">
        <w:rPr>
          <w:rFonts w:ascii="Verdana" w:hAnsi="Verdana"/>
          <w:color w:val="000000"/>
        </w:rPr>
        <w:t xml:space="preserve"> about</w:t>
      </w:r>
      <w:r w:rsidRPr="0051321D">
        <w:rPr>
          <w:rFonts w:ascii="Verdana" w:hAnsi="Verdana"/>
          <w:color w:val="000000"/>
        </w:rPr>
        <w:t xml:space="preserve"> the risk of racial profiling in the context of additional checks arising from EU exit.</w:t>
      </w:r>
      <w:r w:rsidRPr="0051321D">
        <w:rPr>
          <w:rStyle w:val="FootnoteReference"/>
          <w:rFonts w:ascii="Verdana" w:hAnsi="Verdana"/>
          <w:color w:val="000000"/>
        </w:rPr>
        <w:footnoteReference w:id="37"/>
      </w:r>
      <w:r w:rsidRPr="0051321D">
        <w:rPr>
          <w:rFonts w:ascii="Verdana" w:hAnsi="Verdana"/>
          <w:color w:val="000000"/>
        </w:rPr>
        <w:t xml:space="preserve"> </w:t>
      </w:r>
    </w:p>
    <w:p w14:paraId="4C4E10C2" w14:textId="77777777" w:rsidR="00E52B1A" w:rsidRDefault="00E52B1A" w:rsidP="00E52B1A">
      <w:pPr>
        <w:pStyle w:val="ListParagraph"/>
        <w:spacing w:line="276" w:lineRule="auto"/>
        <w:rPr>
          <w:rFonts w:ascii="Verdana" w:hAnsi="Verdana"/>
        </w:rPr>
      </w:pPr>
    </w:p>
    <w:p w14:paraId="003E8B28" w14:textId="32A4C528" w:rsidR="00E52B1A" w:rsidRDefault="00E52B1A" w:rsidP="00F93FB9">
      <w:pPr>
        <w:pStyle w:val="ListParagraph"/>
        <w:numPr>
          <w:ilvl w:val="1"/>
          <w:numId w:val="12"/>
        </w:numPr>
        <w:spacing w:line="276" w:lineRule="auto"/>
        <w:ind w:left="720"/>
        <w:rPr>
          <w:rFonts w:ascii="Verdana" w:hAnsi="Verdana"/>
        </w:rPr>
      </w:pPr>
      <w:r w:rsidRPr="00E52B1A">
        <w:rPr>
          <w:rFonts w:ascii="Verdana" w:hAnsi="Verdana"/>
        </w:rPr>
        <w:t>In 2022, the Nationality and Borders Act introduced Electronic Travel Authorisations which will be required for all non-British citizens who require leave to enter the UK.</w:t>
      </w:r>
      <w:r>
        <w:rPr>
          <w:rStyle w:val="FootnoteReference"/>
          <w:rFonts w:ascii="Verdana" w:hAnsi="Verdana"/>
        </w:rPr>
        <w:footnoteReference w:id="38"/>
      </w:r>
      <w:r w:rsidRPr="00E52B1A">
        <w:rPr>
          <w:rFonts w:ascii="Verdana" w:hAnsi="Verdana"/>
        </w:rPr>
        <w:t xml:space="preserve"> Irish citizens are excluded.</w:t>
      </w:r>
      <w:r w:rsidR="00107925">
        <w:rPr>
          <w:rStyle w:val="FootnoteReference"/>
          <w:rFonts w:ascii="Verdana" w:hAnsi="Verdana"/>
        </w:rPr>
        <w:footnoteReference w:id="39"/>
      </w:r>
      <w:r w:rsidRPr="00E52B1A">
        <w:rPr>
          <w:rFonts w:ascii="Verdana" w:hAnsi="Verdana"/>
        </w:rPr>
        <w:t xml:space="preserve"> The UK Government confirmed that non-visa nationals who are lawfully resident in Ireland will be exempt from the </w:t>
      </w:r>
      <w:r w:rsidRPr="00E52B1A">
        <w:rPr>
          <w:rFonts w:ascii="Verdana" w:hAnsi="Verdana"/>
        </w:rPr>
        <w:lastRenderedPageBreak/>
        <w:t>requirement.</w:t>
      </w:r>
      <w:r w:rsidR="00107925">
        <w:rPr>
          <w:rStyle w:val="FootnoteReference"/>
          <w:rFonts w:ascii="Verdana" w:hAnsi="Verdana"/>
        </w:rPr>
        <w:footnoteReference w:id="40"/>
      </w:r>
      <w:r w:rsidRPr="00E52B1A">
        <w:rPr>
          <w:rFonts w:ascii="Verdana" w:hAnsi="Verdana"/>
        </w:rPr>
        <w:t xml:space="preserve"> However, concerns remain that a significant number of individuals who do not hold recognised UK immigration status will be affected despite free movement across the island of Ireland.</w:t>
      </w:r>
      <w:r w:rsidR="00190FA2">
        <w:rPr>
          <w:rStyle w:val="FootnoteReference"/>
          <w:rFonts w:ascii="Verdana" w:hAnsi="Verdana"/>
        </w:rPr>
        <w:footnoteReference w:id="41"/>
      </w:r>
      <w:r w:rsidRPr="00E52B1A">
        <w:rPr>
          <w:rFonts w:ascii="Verdana" w:hAnsi="Verdana"/>
        </w:rPr>
        <w:t xml:space="preserve"> The increased risk of racial profiling remains a concern.</w:t>
      </w:r>
      <w:r w:rsidR="006969C4">
        <w:rPr>
          <w:rStyle w:val="FootnoteReference"/>
          <w:rFonts w:ascii="Verdana" w:hAnsi="Verdana"/>
        </w:rPr>
        <w:footnoteReference w:id="42"/>
      </w:r>
    </w:p>
    <w:p w14:paraId="53B2B6C8" w14:textId="77777777" w:rsidR="00CF2EB3" w:rsidRPr="00CF2EB3" w:rsidRDefault="00CF2EB3" w:rsidP="00CF2EB3">
      <w:pPr>
        <w:pStyle w:val="ListParagraph"/>
        <w:rPr>
          <w:rFonts w:ascii="Verdana" w:hAnsi="Verdana"/>
        </w:rPr>
      </w:pPr>
    </w:p>
    <w:p w14:paraId="62AA950D" w14:textId="4271AC8E" w:rsidR="007D463A" w:rsidRPr="00E01C35" w:rsidRDefault="00CF2EB3" w:rsidP="007D463A">
      <w:pPr>
        <w:pStyle w:val="ListParagraph"/>
        <w:numPr>
          <w:ilvl w:val="1"/>
          <w:numId w:val="12"/>
        </w:numPr>
        <w:spacing w:line="276" w:lineRule="auto"/>
        <w:ind w:left="720"/>
        <w:rPr>
          <w:rFonts w:ascii="Verdana" w:hAnsi="Verdana"/>
        </w:rPr>
      </w:pPr>
      <w:r w:rsidRPr="006470DE">
        <w:rPr>
          <w:rFonts w:ascii="Verdana" w:hAnsi="Verdana"/>
          <w:b/>
          <w:bCs/>
        </w:rPr>
        <w:t xml:space="preserve">The Committee may wish to </w:t>
      </w:r>
      <w:r w:rsidR="00B50169" w:rsidRPr="006470DE">
        <w:rPr>
          <w:rFonts w:ascii="Verdana" w:hAnsi="Verdana"/>
          <w:b/>
          <w:bCs/>
        </w:rPr>
        <w:t xml:space="preserve">ask the UK Government and NI Executive what effective steps </w:t>
      </w:r>
      <w:r w:rsidR="004E3CBF">
        <w:rPr>
          <w:rFonts w:ascii="Verdana" w:hAnsi="Verdana"/>
          <w:b/>
          <w:bCs/>
        </w:rPr>
        <w:t>they have</w:t>
      </w:r>
      <w:r w:rsidR="00B50169" w:rsidRPr="006470DE">
        <w:rPr>
          <w:rFonts w:ascii="Verdana" w:hAnsi="Verdana"/>
          <w:b/>
          <w:bCs/>
        </w:rPr>
        <w:t xml:space="preserve"> taken to ensure that </w:t>
      </w:r>
      <w:r w:rsidR="009B3B28" w:rsidRPr="006470DE">
        <w:rPr>
          <w:rFonts w:ascii="Verdana" w:hAnsi="Verdana"/>
          <w:b/>
          <w:bCs/>
        </w:rPr>
        <w:t xml:space="preserve">measures are in place to prohibit racial profiling in immigration checks in the UK, </w:t>
      </w:r>
      <w:r w:rsidR="009B3B28" w:rsidRPr="00E20D65">
        <w:rPr>
          <w:rFonts w:ascii="Verdana" w:hAnsi="Verdana"/>
          <w:b/>
          <w:bCs/>
        </w:rPr>
        <w:t xml:space="preserve">including </w:t>
      </w:r>
      <w:r w:rsidR="00B802C1" w:rsidRPr="00E20D65">
        <w:rPr>
          <w:rFonts w:ascii="Verdana" w:hAnsi="Verdana"/>
          <w:b/>
          <w:bCs/>
        </w:rPr>
        <w:t>at NI ports and airports and in the context of cross border travel</w:t>
      </w:r>
      <w:r w:rsidR="005F64FC" w:rsidRPr="006470DE">
        <w:rPr>
          <w:rFonts w:ascii="Verdana" w:hAnsi="Verdana"/>
          <w:b/>
          <w:bCs/>
        </w:rPr>
        <w:t xml:space="preserve"> a</w:t>
      </w:r>
      <w:r w:rsidR="009B3B28" w:rsidRPr="006470DE">
        <w:rPr>
          <w:rFonts w:ascii="Verdana" w:hAnsi="Verdana"/>
          <w:b/>
          <w:bCs/>
        </w:rPr>
        <w:t>nd</w:t>
      </w:r>
      <w:r w:rsidR="005F64FC" w:rsidRPr="006470DE">
        <w:rPr>
          <w:rFonts w:ascii="Verdana" w:hAnsi="Verdana"/>
          <w:b/>
          <w:bCs/>
        </w:rPr>
        <w:t>, where checks</w:t>
      </w:r>
      <w:r w:rsidR="00CE486E" w:rsidRPr="006470DE">
        <w:rPr>
          <w:rFonts w:ascii="Verdana" w:hAnsi="Verdana"/>
          <w:b/>
          <w:bCs/>
        </w:rPr>
        <w:t xml:space="preserve"> do</w:t>
      </w:r>
      <w:r w:rsidR="005F64FC" w:rsidRPr="006470DE">
        <w:rPr>
          <w:rFonts w:ascii="Verdana" w:hAnsi="Verdana"/>
          <w:b/>
          <w:bCs/>
        </w:rPr>
        <w:t xml:space="preserve"> take place, </w:t>
      </w:r>
      <w:r w:rsidR="0077388A" w:rsidRPr="006470DE">
        <w:rPr>
          <w:rFonts w:ascii="Verdana" w:hAnsi="Verdana"/>
          <w:b/>
          <w:bCs/>
        </w:rPr>
        <w:t xml:space="preserve">that </w:t>
      </w:r>
      <w:r w:rsidR="005F64FC" w:rsidRPr="006470DE">
        <w:rPr>
          <w:rFonts w:ascii="Verdana" w:hAnsi="Verdana"/>
          <w:b/>
          <w:bCs/>
        </w:rPr>
        <w:t xml:space="preserve">appropriate data is </w:t>
      </w:r>
      <w:r w:rsidR="009B3B28" w:rsidRPr="006470DE">
        <w:rPr>
          <w:rFonts w:ascii="Verdana" w:hAnsi="Verdana"/>
          <w:b/>
          <w:bCs/>
        </w:rPr>
        <w:t>recorded for</w:t>
      </w:r>
      <w:r w:rsidR="00EA3448" w:rsidRPr="006470DE">
        <w:rPr>
          <w:rFonts w:ascii="Verdana" w:hAnsi="Verdana"/>
          <w:b/>
          <w:bCs/>
        </w:rPr>
        <w:t xml:space="preserve"> </w:t>
      </w:r>
      <w:r w:rsidR="006632EA">
        <w:rPr>
          <w:rFonts w:ascii="Verdana" w:hAnsi="Verdana"/>
          <w:b/>
          <w:bCs/>
        </w:rPr>
        <w:t xml:space="preserve">the </w:t>
      </w:r>
      <w:r w:rsidR="00EA3448" w:rsidRPr="006470DE">
        <w:rPr>
          <w:rFonts w:ascii="Verdana" w:hAnsi="Verdana"/>
          <w:b/>
          <w:bCs/>
        </w:rPr>
        <w:t>purposes of effective monitoring.</w:t>
      </w:r>
      <w:r w:rsidR="002F4887">
        <w:t xml:space="preserve">  </w:t>
      </w:r>
    </w:p>
    <w:p w14:paraId="7F79CE19" w14:textId="77777777" w:rsidR="00E01C35" w:rsidRDefault="00E01C35" w:rsidP="00E01C35">
      <w:pPr>
        <w:rPr>
          <w:rFonts w:ascii="Verdana" w:hAnsi="Verdana"/>
        </w:rPr>
      </w:pPr>
    </w:p>
    <w:p w14:paraId="5FA0B6E5" w14:textId="77777777" w:rsidR="00097198" w:rsidRDefault="00097198" w:rsidP="00097198">
      <w:pPr>
        <w:pStyle w:val="Heading2"/>
      </w:pPr>
      <w:bookmarkStart w:id="11" w:name="_Toc165632764"/>
      <w:r>
        <w:t>Stop and Search</w:t>
      </w:r>
      <w:bookmarkEnd w:id="11"/>
    </w:p>
    <w:p w14:paraId="4524F521" w14:textId="77777777" w:rsidR="00097198" w:rsidRPr="00097198" w:rsidRDefault="00097198" w:rsidP="00E01C35">
      <w:pPr>
        <w:rPr>
          <w:rFonts w:ascii="Verdana" w:hAnsi="Verdana"/>
        </w:rPr>
      </w:pPr>
    </w:p>
    <w:p w14:paraId="0E8257DB" w14:textId="1825185E" w:rsidR="00951D3C" w:rsidRDefault="00097198" w:rsidP="00D775A6">
      <w:pPr>
        <w:pStyle w:val="ListParagraph"/>
        <w:numPr>
          <w:ilvl w:val="1"/>
          <w:numId w:val="12"/>
        </w:numPr>
        <w:spacing w:line="276" w:lineRule="auto"/>
        <w:ind w:left="720"/>
        <w:rPr>
          <w:rFonts w:ascii="Verdana" w:eastAsia="Arial" w:hAnsi="Verdana" w:cs="Arial"/>
          <w:color w:val="0B0C0C"/>
        </w:rPr>
      </w:pPr>
      <w:r w:rsidRPr="00097198">
        <w:rPr>
          <w:rFonts w:ascii="Verdana" w:hAnsi="Verdana"/>
        </w:rPr>
        <w:t xml:space="preserve">Between January </w:t>
      </w:r>
      <w:r w:rsidR="00C33358" w:rsidRPr="00097198">
        <w:rPr>
          <w:rFonts w:ascii="Verdana" w:hAnsi="Verdana"/>
        </w:rPr>
        <w:t>2023 and December 2023, 25,535 people were stopped and searched.</w:t>
      </w:r>
      <w:r w:rsidR="00C33358" w:rsidRPr="00951D3C">
        <w:rPr>
          <w:rStyle w:val="FootnoteReference"/>
          <w:rFonts w:ascii="Verdana" w:hAnsi="Verdana"/>
        </w:rPr>
        <w:footnoteReference w:id="43"/>
      </w:r>
      <w:r w:rsidR="00C33358" w:rsidRPr="00097198">
        <w:rPr>
          <w:rFonts w:ascii="Verdana" w:hAnsi="Verdana"/>
        </w:rPr>
        <w:t xml:space="preserve"> Of th</w:t>
      </w:r>
      <w:r w:rsidR="00255228">
        <w:rPr>
          <w:rFonts w:ascii="Verdana" w:hAnsi="Verdana"/>
        </w:rPr>
        <w:t>ese</w:t>
      </w:r>
      <w:r w:rsidR="00C33358" w:rsidRPr="00097198">
        <w:rPr>
          <w:rFonts w:ascii="Verdana" w:hAnsi="Verdana"/>
        </w:rPr>
        <w:t xml:space="preserve"> 25,535 people subject to stop and search, 1,441 people were from ethnic minority community backgrounds.</w:t>
      </w:r>
      <w:r w:rsidR="00C33358">
        <w:rPr>
          <w:rStyle w:val="FootnoteReference"/>
          <w:rFonts w:ascii="Verdana" w:hAnsi="Verdana"/>
        </w:rPr>
        <w:footnoteReference w:id="44"/>
      </w:r>
      <w:r w:rsidR="00C33358" w:rsidRPr="00097198">
        <w:rPr>
          <w:rFonts w:ascii="Verdana" w:hAnsi="Verdana"/>
        </w:rPr>
        <w:t xml:space="preserve"> Civil society has raised concerns with the </w:t>
      </w:r>
      <w:r w:rsidR="00687ABE">
        <w:rPr>
          <w:rFonts w:ascii="Verdana" w:hAnsi="Verdana"/>
        </w:rPr>
        <w:t>NIHRC</w:t>
      </w:r>
      <w:r w:rsidR="00687ABE" w:rsidRPr="00097198">
        <w:rPr>
          <w:rFonts w:ascii="Verdana" w:hAnsi="Verdana"/>
        </w:rPr>
        <w:t xml:space="preserve"> </w:t>
      </w:r>
      <w:r w:rsidR="00C33358" w:rsidRPr="00097198">
        <w:rPr>
          <w:rFonts w:ascii="Verdana" w:hAnsi="Verdana"/>
        </w:rPr>
        <w:t>that Schedule 7 of the Terrorism Act 2000 may be being used to compel racial and ethnic minority people to show identification where there is no evident threat.</w:t>
      </w:r>
      <w:r w:rsidR="00C33358">
        <w:rPr>
          <w:rStyle w:val="FootnoteReference"/>
          <w:rFonts w:ascii="Verdana" w:hAnsi="Verdana"/>
        </w:rPr>
        <w:footnoteReference w:id="45"/>
      </w:r>
      <w:r w:rsidR="00C33358" w:rsidRPr="00097198">
        <w:rPr>
          <w:rFonts w:ascii="Verdana" w:hAnsi="Verdana"/>
        </w:rPr>
        <w:t xml:space="preserve"> The Independent Reviewer of Terrorism has acknowledged that Schedule 7 is </w:t>
      </w:r>
      <w:r w:rsidR="003656D3">
        <w:rPr>
          <w:rFonts w:ascii="Verdana" w:hAnsi="Verdana"/>
        </w:rPr>
        <w:t>“</w:t>
      </w:r>
      <w:r w:rsidR="00C33358" w:rsidRPr="00097198">
        <w:rPr>
          <w:rFonts w:ascii="Verdana" w:eastAsia="Arial" w:hAnsi="Verdana" w:cs="Arial"/>
          <w:color w:val="0B0C0C"/>
        </w:rPr>
        <w:t>a counter-terrorism power that elicits particular concern amongst a significant minority</w:t>
      </w:r>
      <w:r w:rsidR="003656D3">
        <w:rPr>
          <w:rFonts w:ascii="Verdana" w:eastAsia="Arial" w:hAnsi="Verdana" w:cs="Arial"/>
          <w:color w:val="0B0C0C"/>
        </w:rPr>
        <w:t>”.</w:t>
      </w:r>
      <w:r w:rsidR="0068752A">
        <w:rPr>
          <w:rStyle w:val="FootnoteReference"/>
          <w:rFonts w:ascii="Verdana" w:eastAsia="Arial" w:hAnsi="Verdana" w:cs="Arial"/>
          <w:color w:val="0B0C0C"/>
        </w:rPr>
        <w:footnoteReference w:id="46"/>
      </w:r>
      <w:r w:rsidR="00D775A6">
        <w:rPr>
          <w:rFonts w:ascii="Verdana" w:eastAsia="Arial" w:hAnsi="Verdana" w:cs="Arial"/>
          <w:color w:val="0B0C0C"/>
        </w:rPr>
        <w:t xml:space="preserve"> </w:t>
      </w:r>
    </w:p>
    <w:p w14:paraId="413E6040" w14:textId="77777777" w:rsidR="00C33358" w:rsidRPr="00C33358" w:rsidRDefault="00C33358" w:rsidP="00B839B3">
      <w:pPr>
        <w:pStyle w:val="ListParagraph"/>
        <w:spacing w:line="276" w:lineRule="auto"/>
        <w:rPr>
          <w:rFonts w:ascii="Verdana" w:eastAsia="Arial" w:hAnsi="Verdana" w:cs="Arial"/>
          <w:color w:val="0B0C0C"/>
        </w:rPr>
      </w:pPr>
    </w:p>
    <w:p w14:paraId="09949F3B" w14:textId="38FF68A7" w:rsidR="00C70C50" w:rsidRDefault="001135F6">
      <w:pPr>
        <w:pStyle w:val="ListParagraph"/>
        <w:numPr>
          <w:ilvl w:val="1"/>
          <w:numId w:val="12"/>
        </w:numPr>
        <w:spacing w:line="276" w:lineRule="auto"/>
        <w:ind w:left="720"/>
        <w:rPr>
          <w:rFonts w:ascii="Verdana" w:hAnsi="Verdana"/>
        </w:rPr>
      </w:pPr>
      <w:r w:rsidRPr="00A6780A">
        <w:rPr>
          <w:rFonts w:ascii="Verdana" w:hAnsi="Verdana"/>
        </w:rPr>
        <w:lastRenderedPageBreak/>
        <w:t>There has been little progress regarding the lack of community background recording of persons stopped and searched under the Justice and Security (NI) Act 2007.</w:t>
      </w:r>
      <w:r w:rsidRPr="00EE58B1">
        <w:rPr>
          <w:rStyle w:val="FootnoteReference"/>
          <w:rFonts w:ascii="Verdana" w:hAnsi="Verdana"/>
        </w:rPr>
        <w:footnoteReference w:id="47"/>
      </w:r>
      <w:r w:rsidRPr="00A6780A">
        <w:rPr>
          <w:rFonts w:ascii="Verdana" w:hAnsi="Verdana"/>
        </w:rPr>
        <w:t xml:space="preserve"> </w:t>
      </w:r>
    </w:p>
    <w:p w14:paraId="592323F6" w14:textId="77777777" w:rsidR="00A6780A" w:rsidRPr="00A6780A" w:rsidRDefault="00A6780A" w:rsidP="00A6780A">
      <w:pPr>
        <w:pStyle w:val="ListParagraph"/>
        <w:rPr>
          <w:rFonts w:ascii="Verdana" w:hAnsi="Verdana"/>
        </w:rPr>
      </w:pPr>
    </w:p>
    <w:p w14:paraId="49423CA8" w14:textId="12A1B27E" w:rsidR="00C70C50" w:rsidRPr="00EE58B1" w:rsidRDefault="003E2074" w:rsidP="00F93FB9">
      <w:pPr>
        <w:pStyle w:val="ListParagraph"/>
        <w:numPr>
          <w:ilvl w:val="1"/>
          <w:numId w:val="12"/>
        </w:numPr>
        <w:spacing w:line="276" w:lineRule="auto"/>
        <w:ind w:left="720"/>
        <w:rPr>
          <w:rFonts w:ascii="Verdana" w:hAnsi="Verdana"/>
        </w:rPr>
      </w:pPr>
      <w:r>
        <w:rPr>
          <w:rFonts w:ascii="Verdana" w:hAnsi="Verdana"/>
          <w:b/>
          <w:bCs/>
        </w:rPr>
        <w:t xml:space="preserve">The Committee may wish to ask the UK Government and NI Executive </w:t>
      </w:r>
      <w:r w:rsidR="00D46A0A">
        <w:rPr>
          <w:rFonts w:ascii="Verdana" w:hAnsi="Verdana"/>
          <w:b/>
          <w:bCs/>
        </w:rPr>
        <w:t>what effective steps they</w:t>
      </w:r>
      <w:r>
        <w:rPr>
          <w:rFonts w:ascii="Verdana" w:hAnsi="Verdana"/>
          <w:b/>
          <w:bCs/>
        </w:rPr>
        <w:t xml:space="preserve"> ha</w:t>
      </w:r>
      <w:r w:rsidR="00A32415">
        <w:rPr>
          <w:rFonts w:ascii="Verdana" w:hAnsi="Verdana"/>
          <w:b/>
          <w:bCs/>
        </w:rPr>
        <w:t>ve</w:t>
      </w:r>
      <w:r>
        <w:rPr>
          <w:rFonts w:ascii="Verdana" w:hAnsi="Verdana"/>
          <w:b/>
          <w:bCs/>
        </w:rPr>
        <w:t xml:space="preserve"> taken to ensure the </w:t>
      </w:r>
      <w:r w:rsidR="001764F7" w:rsidRPr="001764F7">
        <w:rPr>
          <w:rFonts w:ascii="Verdana" w:hAnsi="Verdana"/>
          <w:b/>
          <w:bCs/>
        </w:rPr>
        <w:t>expedited development and implementation of a suitable methodology for recording disaggregated data on the community background of individuals stopped and searched under the Justice and Security (NI) Act 2007 in NI.</w:t>
      </w:r>
    </w:p>
    <w:p w14:paraId="51AC67DA" w14:textId="77777777" w:rsidR="005D6042" w:rsidRDefault="005D6042" w:rsidP="005D6042">
      <w:pPr>
        <w:rPr>
          <w:rFonts w:ascii="Verdana" w:hAnsi="Verdana"/>
        </w:rPr>
      </w:pPr>
    </w:p>
    <w:p w14:paraId="716B9D56" w14:textId="080DFC0D" w:rsidR="005D6042" w:rsidRDefault="005D6042" w:rsidP="005D6042">
      <w:pPr>
        <w:pStyle w:val="Heading1"/>
        <w:numPr>
          <w:ilvl w:val="0"/>
          <w:numId w:val="12"/>
        </w:numPr>
      </w:pPr>
      <w:bookmarkStart w:id="12" w:name="_Toc165632765"/>
      <w:r>
        <w:t>Data Collection and Ethnic Equality Monitoring</w:t>
      </w:r>
      <w:bookmarkEnd w:id="12"/>
    </w:p>
    <w:p w14:paraId="3350BA47" w14:textId="77777777" w:rsidR="00A20D57" w:rsidRPr="00A20D57" w:rsidRDefault="00A20D57" w:rsidP="00A20D57"/>
    <w:p w14:paraId="25874B44" w14:textId="7E7D240E" w:rsidR="00B15E3B" w:rsidRDefault="00EA170E">
      <w:pPr>
        <w:pStyle w:val="ListParagraph"/>
        <w:numPr>
          <w:ilvl w:val="1"/>
          <w:numId w:val="12"/>
        </w:numPr>
        <w:spacing w:line="276" w:lineRule="auto"/>
        <w:ind w:left="709"/>
        <w:rPr>
          <w:rFonts w:ascii="Verdana" w:hAnsi="Verdana"/>
        </w:rPr>
      </w:pPr>
      <w:r w:rsidRPr="00FC7DCB">
        <w:rPr>
          <w:rFonts w:ascii="Verdana" w:hAnsi="Verdana"/>
        </w:rPr>
        <w:t xml:space="preserve">The Racial Equality Strategy for NI </w:t>
      </w:r>
      <w:r w:rsidR="00555F6D" w:rsidRPr="00FC7DCB">
        <w:rPr>
          <w:rFonts w:ascii="Verdana" w:hAnsi="Verdana"/>
        </w:rPr>
        <w:t xml:space="preserve">acknowledges that ethnic equality monitoring is an </w:t>
      </w:r>
      <w:r w:rsidR="00C94A9C" w:rsidRPr="00FC7DCB">
        <w:rPr>
          <w:rFonts w:ascii="Verdana" w:hAnsi="Verdana"/>
        </w:rPr>
        <w:t>important tool in tackling inequality and racism and committed to “examine where ethnic monitoring should be introduced</w:t>
      </w:r>
      <w:r w:rsidR="007B0672" w:rsidRPr="00FC7DCB">
        <w:rPr>
          <w:rFonts w:ascii="Verdana" w:hAnsi="Verdana"/>
        </w:rPr>
        <w:t>”.</w:t>
      </w:r>
      <w:r w:rsidR="00C94A9C" w:rsidRPr="00B15E3B">
        <w:rPr>
          <w:rStyle w:val="FootnoteReference"/>
          <w:rFonts w:ascii="Verdana" w:hAnsi="Verdana"/>
        </w:rPr>
        <w:footnoteReference w:id="48"/>
      </w:r>
      <w:r w:rsidR="00C94A9C" w:rsidRPr="00FC7DCB">
        <w:rPr>
          <w:rFonts w:ascii="Verdana" w:hAnsi="Verdana"/>
        </w:rPr>
        <w:t xml:space="preserve"> </w:t>
      </w:r>
      <w:r w:rsidR="0015529F" w:rsidRPr="00FC7DCB">
        <w:rPr>
          <w:rFonts w:ascii="Verdana" w:hAnsi="Verdana"/>
        </w:rPr>
        <w:t xml:space="preserve">The Strategy recommended that the Race Relations (NI) Order 1997 is amended to impose a duty on </w:t>
      </w:r>
      <w:r w:rsidR="00A34108" w:rsidRPr="00FC7DCB">
        <w:rPr>
          <w:rFonts w:ascii="Verdana" w:hAnsi="Verdana"/>
        </w:rPr>
        <w:t>specified public authorities to collect data on racial equality and set racial equality objectives.</w:t>
      </w:r>
      <w:r w:rsidR="00A34108" w:rsidRPr="00B15E3B">
        <w:rPr>
          <w:rStyle w:val="FootnoteReference"/>
          <w:rFonts w:ascii="Verdana" w:hAnsi="Verdana"/>
        </w:rPr>
        <w:footnoteReference w:id="49"/>
      </w:r>
      <w:r w:rsidR="00A34108" w:rsidRPr="00FC7DCB">
        <w:rPr>
          <w:rFonts w:ascii="Verdana" w:hAnsi="Verdana"/>
        </w:rPr>
        <w:t xml:space="preserve"> </w:t>
      </w:r>
      <w:r w:rsidR="008C2AFD" w:rsidRPr="00FC7DCB">
        <w:rPr>
          <w:rFonts w:ascii="Verdana" w:hAnsi="Verdana"/>
        </w:rPr>
        <w:t xml:space="preserve">In 2023, </w:t>
      </w:r>
      <w:r w:rsidR="00234935" w:rsidRPr="00FC7DCB">
        <w:rPr>
          <w:rFonts w:ascii="Verdana" w:hAnsi="Verdana"/>
        </w:rPr>
        <w:t>in its review of the Race Relations</w:t>
      </w:r>
      <w:r w:rsidR="00E23DBC" w:rsidRPr="00FC7DCB">
        <w:rPr>
          <w:rFonts w:ascii="Verdana" w:hAnsi="Verdana"/>
        </w:rPr>
        <w:t xml:space="preserve"> </w:t>
      </w:r>
      <w:r w:rsidR="00234935" w:rsidRPr="00FC7DCB">
        <w:rPr>
          <w:rFonts w:ascii="Verdana" w:hAnsi="Verdana"/>
        </w:rPr>
        <w:t>Order</w:t>
      </w:r>
      <w:r w:rsidR="00A533BE" w:rsidRPr="00FC7DCB">
        <w:rPr>
          <w:rFonts w:ascii="Verdana" w:hAnsi="Verdana"/>
        </w:rPr>
        <w:t xml:space="preserve">, </w:t>
      </w:r>
      <w:r w:rsidR="008C2AFD" w:rsidRPr="00FC7DCB">
        <w:rPr>
          <w:rFonts w:ascii="Verdana" w:hAnsi="Verdana"/>
        </w:rPr>
        <w:t xml:space="preserve">the </w:t>
      </w:r>
      <w:r w:rsidR="00134946" w:rsidRPr="00FC7DCB">
        <w:rPr>
          <w:rFonts w:ascii="Verdana" w:hAnsi="Verdana"/>
        </w:rPr>
        <w:t xml:space="preserve">NI Executive Office </w:t>
      </w:r>
      <w:r w:rsidR="00E23DBC" w:rsidRPr="00FC7DCB">
        <w:rPr>
          <w:rFonts w:ascii="Verdana" w:hAnsi="Verdana"/>
        </w:rPr>
        <w:t>consulted on its plans to introduce ethnic equality monitoring</w:t>
      </w:r>
      <w:r w:rsidR="00372C20">
        <w:rPr>
          <w:rFonts w:ascii="Verdana" w:hAnsi="Verdana"/>
        </w:rPr>
        <w:t>.</w:t>
      </w:r>
    </w:p>
    <w:p w14:paraId="3267AABF" w14:textId="77777777" w:rsidR="00FC7DCB" w:rsidRPr="00B15E3B" w:rsidRDefault="00FC7DCB" w:rsidP="00FC7DCB">
      <w:pPr>
        <w:pStyle w:val="ListParagraph"/>
        <w:spacing w:line="276" w:lineRule="auto"/>
        <w:ind w:left="709"/>
        <w:rPr>
          <w:rFonts w:ascii="Verdana" w:hAnsi="Verdana"/>
        </w:rPr>
      </w:pPr>
    </w:p>
    <w:p w14:paraId="138A06CF" w14:textId="1326B237" w:rsidR="007B4CD8" w:rsidRPr="00B15E3B" w:rsidRDefault="007B4CD8" w:rsidP="00B15E3B">
      <w:pPr>
        <w:pStyle w:val="ListParagraph"/>
        <w:numPr>
          <w:ilvl w:val="1"/>
          <w:numId w:val="12"/>
        </w:numPr>
        <w:spacing w:line="276" w:lineRule="auto"/>
        <w:ind w:left="709"/>
        <w:rPr>
          <w:rFonts w:ascii="Verdana" w:hAnsi="Verdana"/>
        </w:rPr>
      </w:pPr>
      <w:r w:rsidRPr="00B15E3B">
        <w:rPr>
          <w:rFonts w:ascii="Verdana" w:hAnsi="Verdana"/>
          <w:b/>
          <w:bCs/>
        </w:rPr>
        <w:t xml:space="preserve">The Committee may wish to ask the UK Government and NI Executive </w:t>
      </w:r>
      <w:r w:rsidR="003A4A13" w:rsidRPr="00B15E3B">
        <w:rPr>
          <w:rFonts w:ascii="Verdana" w:hAnsi="Verdana"/>
          <w:b/>
          <w:bCs/>
        </w:rPr>
        <w:t xml:space="preserve">what effective steps </w:t>
      </w:r>
      <w:r w:rsidR="00A32415">
        <w:rPr>
          <w:rFonts w:ascii="Verdana" w:hAnsi="Verdana"/>
          <w:b/>
          <w:bCs/>
        </w:rPr>
        <w:t>they are</w:t>
      </w:r>
      <w:r w:rsidR="003A4A13" w:rsidRPr="00B15E3B">
        <w:rPr>
          <w:rFonts w:ascii="Verdana" w:hAnsi="Verdana"/>
          <w:b/>
          <w:bCs/>
        </w:rPr>
        <w:t xml:space="preserve"> taking to</w:t>
      </w:r>
      <w:r w:rsidRPr="00B15E3B">
        <w:rPr>
          <w:rFonts w:ascii="Verdana" w:hAnsi="Verdana"/>
          <w:b/>
          <w:bCs/>
        </w:rPr>
        <w:t xml:space="preserve"> introduce</w:t>
      </w:r>
      <w:r w:rsidR="00D33BDC" w:rsidRPr="00B15E3B">
        <w:rPr>
          <w:rFonts w:ascii="Verdana" w:hAnsi="Verdana"/>
          <w:b/>
          <w:bCs/>
        </w:rPr>
        <w:t xml:space="preserve"> robust data collection and</w:t>
      </w:r>
      <w:r w:rsidRPr="00B15E3B">
        <w:rPr>
          <w:rFonts w:ascii="Verdana" w:hAnsi="Verdana"/>
          <w:b/>
          <w:bCs/>
        </w:rPr>
        <w:t xml:space="preserve"> ethnic equality monitoring</w:t>
      </w:r>
      <w:r w:rsidR="003A4A13" w:rsidRPr="00B15E3B">
        <w:rPr>
          <w:rFonts w:ascii="Verdana" w:hAnsi="Verdana"/>
          <w:b/>
          <w:bCs/>
        </w:rPr>
        <w:t xml:space="preserve"> </w:t>
      </w:r>
      <w:r w:rsidR="009904E6" w:rsidRPr="00B15E3B">
        <w:rPr>
          <w:rFonts w:ascii="Verdana" w:hAnsi="Verdana"/>
          <w:b/>
          <w:bCs/>
        </w:rPr>
        <w:t xml:space="preserve">in NI </w:t>
      </w:r>
      <w:r w:rsidR="003A4A13" w:rsidRPr="00B15E3B">
        <w:rPr>
          <w:rFonts w:ascii="Verdana" w:hAnsi="Verdana"/>
          <w:b/>
          <w:bCs/>
        </w:rPr>
        <w:t xml:space="preserve">expeditiously </w:t>
      </w:r>
      <w:r w:rsidR="00D33BDC" w:rsidRPr="00B15E3B">
        <w:rPr>
          <w:rFonts w:ascii="Verdana" w:hAnsi="Verdana"/>
          <w:b/>
          <w:bCs/>
        </w:rPr>
        <w:t>and in line with international best practice</w:t>
      </w:r>
      <w:r w:rsidR="00120797" w:rsidRPr="00B15E3B">
        <w:rPr>
          <w:rFonts w:ascii="Verdana" w:hAnsi="Verdana"/>
          <w:b/>
          <w:bCs/>
        </w:rPr>
        <w:t xml:space="preserve"> </w:t>
      </w:r>
      <w:r w:rsidR="00120797" w:rsidRPr="0040748A">
        <w:rPr>
          <w:rFonts w:ascii="Verdana" w:hAnsi="Verdana"/>
          <w:b/>
          <w:bCs/>
        </w:rPr>
        <w:t xml:space="preserve">and the commitment to no diminution of rights under </w:t>
      </w:r>
      <w:r w:rsidR="00E73A4E" w:rsidRPr="0040748A">
        <w:rPr>
          <w:rFonts w:ascii="Verdana" w:hAnsi="Verdana"/>
          <w:b/>
          <w:bCs/>
        </w:rPr>
        <w:t xml:space="preserve">Windsor Framework </w:t>
      </w:r>
      <w:r w:rsidR="00120797" w:rsidRPr="0040748A">
        <w:rPr>
          <w:rFonts w:ascii="Verdana" w:hAnsi="Verdana"/>
          <w:b/>
          <w:bCs/>
        </w:rPr>
        <w:t>Article 2</w:t>
      </w:r>
      <w:r w:rsidR="00D33BDC" w:rsidRPr="0040748A">
        <w:rPr>
          <w:rFonts w:ascii="Verdana" w:hAnsi="Verdana"/>
          <w:b/>
          <w:bCs/>
        </w:rPr>
        <w:t>.</w:t>
      </w:r>
    </w:p>
    <w:p w14:paraId="50750F82" w14:textId="77777777" w:rsidR="00DE53C9" w:rsidRDefault="00DE53C9" w:rsidP="00DE53C9">
      <w:pPr>
        <w:rPr>
          <w:rFonts w:ascii="Verdana" w:hAnsi="Verdana"/>
        </w:rPr>
      </w:pPr>
    </w:p>
    <w:p w14:paraId="2DF1215B" w14:textId="77777777" w:rsidR="00C74EDD" w:rsidRDefault="00C74EDD" w:rsidP="00DE53C9">
      <w:pPr>
        <w:rPr>
          <w:rFonts w:ascii="Verdana" w:hAnsi="Verdana"/>
        </w:rPr>
      </w:pPr>
    </w:p>
    <w:p w14:paraId="18B2808F" w14:textId="77777777" w:rsidR="00C74EDD" w:rsidRDefault="00C74EDD" w:rsidP="00DE53C9">
      <w:pPr>
        <w:rPr>
          <w:rFonts w:ascii="Verdana" w:hAnsi="Verdana"/>
        </w:rPr>
      </w:pPr>
    </w:p>
    <w:p w14:paraId="08E34CEE" w14:textId="77777777" w:rsidR="00C74EDD" w:rsidRDefault="00C74EDD" w:rsidP="00DE53C9">
      <w:pPr>
        <w:rPr>
          <w:rFonts w:ascii="Verdana" w:hAnsi="Verdana"/>
        </w:rPr>
      </w:pPr>
    </w:p>
    <w:p w14:paraId="6E6EEBE1" w14:textId="77777777" w:rsidR="00C74EDD" w:rsidRDefault="00C74EDD" w:rsidP="00DE53C9">
      <w:pPr>
        <w:rPr>
          <w:rFonts w:ascii="Verdana" w:hAnsi="Verdana"/>
        </w:rPr>
      </w:pPr>
    </w:p>
    <w:p w14:paraId="76948104" w14:textId="77777777" w:rsidR="00C74EDD" w:rsidRDefault="00C74EDD" w:rsidP="00DE53C9">
      <w:pPr>
        <w:rPr>
          <w:rFonts w:ascii="Verdana" w:hAnsi="Verdana"/>
        </w:rPr>
      </w:pPr>
    </w:p>
    <w:p w14:paraId="1082D0B6" w14:textId="3581051D" w:rsidR="00DE53C9" w:rsidRDefault="00DB055A" w:rsidP="00DE53C9">
      <w:pPr>
        <w:pStyle w:val="Heading1"/>
        <w:numPr>
          <w:ilvl w:val="0"/>
          <w:numId w:val="12"/>
        </w:numPr>
      </w:pPr>
      <w:bookmarkStart w:id="13" w:name="_Toc165632766"/>
      <w:r>
        <w:lastRenderedPageBreak/>
        <w:t>Refugees and People Seeking Asylum</w:t>
      </w:r>
      <w:bookmarkEnd w:id="13"/>
    </w:p>
    <w:p w14:paraId="4399EB29" w14:textId="77777777" w:rsidR="004D0C4D" w:rsidRDefault="004D0C4D" w:rsidP="004D0C4D"/>
    <w:p w14:paraId="7A8DD983" w14:textId="0DBCEADF" w:rsidR="00DB055A" w:rsidRDefault="00DB055A" w:rsidP="00DB055A">
      <w:pPr>
        <w:pStyle w:val="Heading2"/>
      </w:pPr>
      <w:bookmarkStart w:id="14" w:name="_Toc165632767"/>
      <w:r>
        <w:t>Refugee Integration Strategy</w:t>
      </w:r>
      <w:bookmarkEnd w:id="14"/>
    </w:p>
    <w:p w14:paraId="2B6FECD3" w14:textId="77777777" w:rsidR="00DB055A" w:rsidRPr="00DB055A" w:rsidRDefault="00DB055A" w:rsidP="00DB055A"/>
    <w:p w14:paraId="00951CAB" w14:textId="46EF4D82" w:rsidR="00F77678" w:rsidRDefault="00AD0D2F" w:rsidP="00ED3C15">
      <w:pPr>
        <w:pStyle w:val="ListParagraph"/>
        <w:numPr>
          <w:ilvl w:val="1"/>
          <w:numId w:val="12"/>
        </w:numPr>
        <w:spacing w:line="276" w:lineRule="auto"/>
        <w:ind w:left="720"/>
        <w:rPr>
          <w:rFonts w:ascii="Verdana" w:hAnsi="Verdana"/>
        </w:rPr>
      </w:pPr>
      <w:r w:rsidRPr="00ED3C15">
        <w:rPr>
          <w:rFonts w:ascii="Verdana" w:hAnsi="Verdana"/>
        </w:rPr>
        <w:t>Despite a commitment within the Racial Equality Strategy 2015- 2025,</w:t>
      </w:r>
      <w:r>
        <w:rPr>
          <w:rStyle w:val="FootnoteReference"/>
          <w:rFonts w:ascii="Verdana" w:hAnsi="Verdana"/>
        </w:rPr>
        <w:footnoteReference w:id="50"/>
      </w:r>
      <w:r w:rsidRPr="00ED3C15">
        <w:rPr>
          <w:rFonts w:ascii="Verdana" w:hAnsi="Verdana"/>
        </w:rPr>
        <w:t xml:space="preserve"> NI remains the only part of the UK without a Refugee Integration Strategy.</w:t>
      </w:r>
      <w:r w:rsidR="005023D7">
        <w:rPr>
          <w:rStyle w:val="FootnoteReference"/>
          <w:rFonts w:ascii="Verdana" w:hAnsi="Verdana"/>
        </w:rPr>
        <w:footnoteReference w:id="51"/>
      </w:r>
      <w:r w:rsidR="00ED3C15">
        <w:rPr>
          <w:rFonts w:ascii="Verdana" w:hAnsi="Verdana"/>
        </w:rPr>
        <w:t xml:space="preserve"> </w:t>
      </w:r>
      <w:r w:rsidR="00F77678" w:rsidRPr="00ED3C15">
        <w:rPr>
          <w:rFonts w:ascii="Verdana" w:hAnsi="Verdana"/>
        </w:rPr>
        <w:t>In 2021, the Executive Office consulted on a draft Refugee Integration Strategy.</w:t>
      </w:r>
      <w:r w:rsidR="00F77678">
        <w:rPr>
          <w:rStyle w:val="FootnoteReference"/>
          <w:rFonts w:ascii="Verdana" w:hAnsi="Verdana"/>
        </w:rPr>
        <w:footnoteReference w:id="52"/>
      </w:r>
      <w:r w:rsidR="00F77678" w:rsidRPr="00ED3C15">
        <w:rPr>
          <w:rFonts w:ascii="Verdana" w:hAnsi="Verdana"/>
        </w:rPr>
        <w:t xml:space="preserve"> However, further progress was hindered by the suspension of the NI Executive.</w:t>
      </w:r>
      <w:r w:rsidR="00F77678">
        <w:rPr>
          <w:rStyle w:val="FootnoteReference"/>
          <w:rFonts w:ascii="Verdana" w:hAnsi="Verdana"/>
        </w:rPr>
        <w:footnoteReference w:id="53"/>
      </w:r>
    </w:p>
    <w:p w14:paraId="7A22B157" w14:textId="5568BADC" w:rsidR="00ED3C15" w:rsidRDefault="00ED3C15" w:rsidP="00FB7D6F">
      <w:pPr>
        <w:pStyle w:val="ListParagraph"/>
        <w:spacing w:line="276" w:lineRule="auto"/>
        <w:rPr>
          <w:rFonts w:ascii="Verdana" w:hAnsi="Verdana"/>
        </w:rPr>
      </w:pPr>
    </w:p>
    <w:p w14:paraId="14AFA243" w14:textId="1CDCD41B" w:rsidR="00ED3C15" w:rsidRDefault="00166735" w:rsidP="00ED3C15">
      <w:pPr>
        <w:pStyle w:val="ListParagraph"/>
        <w:numPr>
          <w:ilvl w:val="1"/>
          <w:numId w:val="12"/>
        </w:numPr>
        <w:spacing w:line="276" w:lineRule="auto"/>
        <w:ind w:left="720"/>
        <w:rPr>
          <w:rFonts w:ascii="Verdana" w:hAnsi="Verdana"/>
        </w:rPr>
      </w:pPr>
      <w:r w:rsidRPr="00166735">
        <w:rPr>
          <w:rFonts w:ascii="Verdana" w:hAnsi="Verdana"/>
        </w:rPr>
        <w:t xml:space="preserve">In 2022, the NI Affairs Committee published an inquiry report, recommending that the Refugee Integration Strategy is </w:t>
      </w:r>
      <w:r w:rsidR="15BA572F" w:rsidRPr="00166735">
        <w:rPr>
          <w:rFonts w:ascii="Verdana" w:hAnsi="Verdana"/>
        </w:rPr>
        <w:t xml:space="preserve">finalised and </w:t>
      </w:r>
      <w:r w:rsidRPr="00166735">
        <w:rPr>
          <w:rFonts w:ascii="Verdana" w:hAnsi="Verdana"/>
        </w:rPr>
        <w:t>delivered at pace</w:t>
      </w:r>
      <w:r>
        <w:rPr>
          <w:rFonts w:ascii="Verdana" w:hAnsi="Verdana"/>
        </w:rPr>
        <w:t>.</w:t>
      </w:r>
      <w:r>
        <w:rPr>
          <w:rStyle w:val="FootnoteReference"/>
          <w:rFonts w:ascii="Verdana" w:hAnsi="Verdana"/>
        </w:rPr>
        <w:footnoteReference w:id="54"/>
      </w:r>
      <w:r w:rsidRPr="00166735">
        <w:rPr>
          <w:rFonts w:ascii="Verdana" w:hAnsi="Verdana"/>
        </w:rPr>
        <w:t xml:space="preserve"> In 2023, the NI Refugee and Asylum Forum highlighted that the lack of strategy is hindering all aspects of integration in NI</w:t>
      </w:r>
      <w:r w:rsidR="00A56660">
        <w:rPr>
          <w:rFonts w:ascii="Verdana" w:hAnsi="Verdana"/>
        </w:rPr>
        <w:t xml:space="preserve"> and</w:t>
      </w:r>
      <w:r w:rsidRPr="00166735">
        <w:rPr>
          <w:rFonts w:ascii="Verdana" w:hAnsi="Verdana"/>
        </w:rPr>
        <w:t xml:space="preserve"> emphasised the need for reliable data and the provision of quality and authoritative information on rights and entitlements of refugees and asylum seekers in NI.</w:t>
      </w:r>
      <w:r w:rsidR="00A56660">
        <w:rPr>
          <w:rStyle w:val="FootnoteReference"/>
          <w:rFonts w:ascii="Verdana" w:hAnsi="Verdana"/>
        </w:rPr>
        <w:footnoteReference w:id="55"/>
      </w:r>
    </w:p>
    <w:p w14:paraId="10E65B80" w14:textId="77777777" w:rsidR="004A6EDD" w:rsidRPr="004A6EDD" w:rsidRDefault="004A6EDD" w:rsidP="004A6EDD">
      <w:pPr>
        <w:pStyle w:val="ListParagraph"/>
        <w:rPr>
          <w:rFonts w:ascii="Verdana" w:hAnsi="Verdana"/>
        </w:rPr>
      </w:pPr>
    </w:p>
    <w:p w14:paraId="02C9C064" w14:textId="6A5785AB" w:rsidR="004A6EDD" w:rsidRPr="003A70A4" w:rsidRDefault="004A6EDD" w:rsidP="00ED3C15">
      <w:pPr>
        <w:pStyle w:val="ListParagraph"/>
        <w:numPr>
          <w:ilvl w:val="1"/>
          <w:numId w:val="12"/>
        </w:numPr>
        <w:spacing w:line="276" w:lineRule="auto"/>
        <w:ind w:left="720"/>
        <w:rPr>
          <w:rFonts w:ascii="Verdana" w:hAnsi="Verdana"/>
        </w:rPr>
      </w:pPr>
      <w:r>
        <w:rPr>
          <w:rFonts w:ascii="Verdana" w:hAnsi="Verdana"/>
          <w:b/>
          <w:bCs/>
        </w:rPr>
        <w:t xml:space="preserve">The Committee may wish to ask the UK Government and NI Executive </w:t>
      </w:r>
      <w:r w:rsidR="00960C5B">
        <w:rPr>
          <w:rFonts w:ascii="Verdana" w:hAnsi="Verdana"/>
          <w:b/>
          <w:bCs/>
        </w:rPr>
        <w:t>what effective steps they</w:t>
      </w:r>
      <w:r>
        <w:rPr>
          <w:rFonts w:ascii="Verdana" w:hAnsi="Verdana"/>
          <w:b/>
          <w:bCs/>
        </w:rPr>
        <w:t xml:space="preserve"> ha</w:t>
      </w:r>
      <w:r w:rsidR="00A32415">
        <w:rPr>
          <w:rFonts w:ascii="Verdana" w:hAnsi="Verdana"/>
          <w:b/>
          <w:bCs/>
        </w:rPr>
        <w:t>ve</w:t>
      </w:r>
      <w:r>
        <w:rPr>
          <w:rFonts w:ascii="Verdana" w:hAnsi="Verdana"/>
          <w:b/>
          <w:bCs/>
        </w:rPr>
        <w:t xml:space="preserve"> taken to </w:t>
      </w:r>
      <w:r w:rsidR="00240506">
        <w:rPr>
          <w:rFonts w:ascii="Verdana" w:hAnsi="Verdana"/>
          <w:b/>
          <w:bCs/>
        </w:rPr>
        <w:t xml:space="preserve">ensure the prompt introduction and implementation of an </w:t>
      </w:r>
      <w:r w:rsidR="00DF75B9">
        <w:rPr>
          <w:rFonts w:ascii="Verdana" w:hAnsi="Verdana"/>
          <w:b/>
          <w:bCs/>
        </w:rPr>
        <w:t>adequately resourced and effectively monitored</w:t>
      </w:r>
      <w:r w:rsidR="00240506">
        <w:rPr>
          <w:rFonts w:ascii="Verdana" w:hAnsi="Verdana"/>
          <w:b/>
          <w:bCs/>
        </w:rPr>
        <w:t xml:space="preserve"> Refugee Integration Strategy for NI</w:t>
      </w:r>
      <w:r w:rsidR="00A638F1">
        <w:rPr>
          <w:rFonts w:ascii="Verdana" w:hAnsi="Verdana"/>
          <w:b/>
          <w:bCs/>
        </w:rPr>
        <w:t>.</w:t>
      </w:r>
    </w:p>
    <w:p w14:paraId="31969213" w14:textId="77777777" w:rsidR="003A70A4" w:rsidRDefault="003A70A4" w:rsidP="003A70A4">
      <w:pPr>
        <w:pStyle w:val="ListParagraph"/>
        <w:rPr>
          <w:rFonts w:ascii="Verdana" w:hAnsi="Verdana"/>
        </w:rPr>
      </w:pPr>
    </w:p>
    <w:p w14:paraId="3C4E6E6D" w14:textId="1EC0F50B" w:rsidR="00E2021F" w:rsidRDefault="00E2021F" w:rsidP="00E2021F">
      <w:pPr>
        <w:pStyle w:val="Heading2"/>
      </w:pPr>
      <w:bookmarkStart w:id="15" w:name="_Toc165632768"/>
      <w:r>
        <w:t>Asylum, refugee law and resettlement</w:t>
      </w:r>
      <w:bookmarkEnd w:id="15"/>
    </w:p>
    <w:p w14:paraId="78F7A294" w14:textId="77777777" w:rsidR="00E2021F" w:rsidRPr="00E2021F" w:rsidRDefault="00E2021F" w:rsidP="00E2021F"/>
    <w:p w14:paraId="3C08E538" w14:textId="4BB42D03" w:rsidR="00E2021F" w:rsidRDefault="004E570A" w:rsidP="00ED3C15">
      <w:pPr>
        <w:pStyle w:val="ListParagraph"/>
        <w:numPr>
          <w:ilvl w:val="1"/>
          <w:numId w:val="12"/>
        </w:numPr>
        <w:spacing w:line="276" w:lineRule="auto"/>
        <w:ind w:left="720"/>
        <w:rPr>
          <w:rFonts w:ascii="Verdana" w:hAnsi="Verdana"/>
        </w:rPr>
      </w:pPr>
      <w:r w:rsidRPr="004E570A">
        <w:rPr>
          <w:rFonts w:ascii="Verdana" w:hAnsi="Verdana"/>
        </w:rPr>
        <w:t xml:space="preserve">The Illegal Migration Act 2023 denies access to the UK asylum system for individuals who have arrived through unofficial routes, preventing such individuals from </w:t>
      </w:r>
      <w:r w:rsidRPr="00810ED4">
        <w:rPr>
          <w:rFonts w:ascii="Verdana" w:hAnsi="Verdana"/>
        </w:rPr>
        <w:t>presenting claims for protection, no matter how compelling their case may be.</w:t>
      </w:r>
      <w:r w:rsidRPr="00810ED4">
        <w:rPr>
          <w:rStyle w:val="FootnoteReference"/>
          <w:rFonts w:ascii="Verdana" w:hAnsi="Verdana"/>
        </w:rPr>
        <w:footnoteReference w:id="56"/>
      </w:r>
      <w:r w:rsidR="003A5876" w:rsidRPr="00810ED4">
        <w:rPr>
          <w:rFonts w:ascii="Verdana" w:hAnsi="Verdana"/>
        </w:rPr>
        <w:t xml:space="preserve"> Individuals can face detention before being removed to another country.</w:t>
      </w:r>
      <w:r w:rsidR="003A5876" w:rsidRPr="00810ED4">
        <w:rPr>
          <w:rStyle w:val="FootnoteReference"/>
          <w:rFonts w:ascii="Verdana" w:hAnsi="Verdana"/>
        </w:rPr>
        <w:footnoteReference w:id="57"/>
      </w:r>
      <w:r w:rsidR="00403760" w:rsidRPr="00810ED4">
        <w:rPr>
          <w:rFonts w:ascii="Verdana" w:hAnsi="Verdana"/>
        </w:rPr>
        <w:t xml:space="preserve"> There are concerns with limitations on judicial oversight</w:t>
      </w:r>
      <w:r w:rsidR="0005521B">
        <w:rPr>
          <w:rFonts w:ascii="Verdana" w:hAnsi="Verdana"/>
        </w:rPr>
        <w:t xml:space="preserve"> and access to </w:t>
      </w:r>
      <w:r w:rsidR="0005521B">
        <w:rPr>
          <w:rFonts w:ascii="Verdana" w:hAnsi="Verdana"/>
        </w:rPr>
        <w:lastRenderedPageBreak/>
        <w:t>effective remedies</w:t>
      </w:r>
      <w:r w:rsidR="00403760" w:rsidRPr="00810ED4">
        <w:rPr>
          <w:rFonts w:ascii="Verdana" w:hAnsi="Verdana"/>
        </w:rPr>
        <w:t>, the removal of support to victims and potential victims of modern slavery and human trafficking, and the weakening of child protection arrangements.</w:t>
      </w:r>
      <w:r w:rsidR="00403760" w:rsidRPr="00810ED4">
        <w:rPr>
          <w:rStyle w:val="FootnoteReference"/>
          <w:rFonts w:ascii="Verdana" w:hAnsi="Verdana"/>
        </w:rPr>
        <w:footnoteReference w:id="58"/>
      </w:r>
      <w:r w:rsidR="00D07A8F">
        <w:rPr>
          <w:rFonts w:ascii="Verdana" w:hAnsi="Verdana"/>
        </w:rPr>
        <w:t xml:space="preserve"> </w:t>
      </w:r>
      <w:r w:rsidR="00470ABA" w:rsidRPr="008D25B6">
        <w:rPr>
          <w:rFonts w:ascii="Verdana" w:hAnsi="Verdana"/>
        </w:rPr>
        <w:t xml:space="preserve">The NIHRC is legally challenging the compliance of the 2023 Act with the ECHR and </w:t>
      </w:r>
      <w:r w:rsidR="00E73A4E" w:rsidRPr="008D25B6">
        <w:rPr>
          <w:rFonts w:ascii="Verdana" w:hAnsi="Verdana"/>
        </w:rPr>
        <w:t xml:space="preserve">EU minimum standards </w:t>
      </w:r>
      <w:r w:rsidR="00CE1794" w:rsidRPr="008D25B6">
        <w:rPr>
          <w:rFonts w:ascii="Verdana" w:hAnsi="Verdana"/>
        </w:rPr>
        <w:t>in respect of victims of trafficking</w:t>
      </w:r>
      <w:r w:rsidR="00CE1794" w:rsidRPr="008D25B6">
        <w:rPr>
          <w:rStyle w:val="FootnoteReference"/>
          <w:rFonts w:ascii="Verdana" w:hAnsi="Verdana"/>
        </w:rPr>
        <w:footnoteReference w:id="59"/>
      </w:r>
      <w:r w:rsidR="00CE1794" w:rsidRPr="008D25B6">
        <w:rPr>
          <w:rFonts w:ascii="Verdana" w:hAnsi="Verdana"/>
        </w:rPr>
        <w:t xml:space="preserve"> and asylum seekers and refugees</w:t>
      </w:r>
      <w:r w:rsidR="00CE1794" w:rsidRPr="008D25B6">
        <w:rPr>
          <w:rStyle w:val="FootnoteReference"/>
          <w:rFonts w:ascii="Verdana" w:hAnsi="Verdana"/>
        </w:rPr>
        <w:footnoteReference w:id="60"/>
      </w:r>
      <w:r w:rsidR="00CE1794" w:rsidRPr="008D25B6">
        <w:rPr>
          <w:rFonts w:ascii="Verdana" w:hAnsi="Verdana"/>
        </w:rPr>
        <w:t xml:space="preserve"> and </w:t>
      </w:r>
      <w:r w:rsidR="00470ABA" w:rsidRPr="008D25B6">
        <w:rPr>
          <w:rFonts w:ascii="Verdana" w:hAnsi="Verdana"/>
        </w:rPr>
        <w:t>Windsor Framework Article 2.</w:t>
      </w:r>
      <w:r w:rsidR="00470ABA" w:rsidRPr="008D25B6">
        <w:rPr>
          <w:rStyle w:val="FootnoteReference"/>
          <w:rFonts w:ascii="Verdana" w:hAnsi="Verdana"/>
        </w:rPr>
        <w:footnoteReference w:id="61"/>
      </w:r>
    </w:p>
    <w:p w14:paraId="33A9F754" w14:textId="77777777" w:rsidR="008D36DC" w:rsidRDefault="008D36DC" w:rsidP="008D36DC">
      <w:pPr>
        <w:pStyle w:val="ListParagraph"/>
        <w:spacing w:line="276" w:lineRule="auto"/>
        <w:rPr>
          <w:rFonts w:ascii="Verdana" w:hAnsi="Verdana"/>
        </w:rPr>
      </w:pPr>
    </w:p>
    <w:p w14:paraId="2EE29B6E" w14:textId="0BE71F21" w:rsidR="008D36DC" w:rsidRPr="002B22B0" w:rsidRDefault="008D36DC" w:rsidP="00864F73">
      <w:pPr>
        <w:pStyle w:val="ListParagraph"/>
        <w:numPr>
          <w:ilvl w:val="1"/>
          <w:numId w:val="12"/>
        </w:numPr>
        <w:spacing w:line="276" w:lineRule="auto"/>
        <w:ind w:left="709"/>
        <w:rPr>
          <w:rFonts w:ascii="Verdana" w:hAnsi="Verdana"/>
          <w:b/>
          <w:bCs/>
        </w:rPr>
      </w:pPr>
      <w:r>
        <w:rPr>
          <w:rFonts w:ascii="Verdana" w:hAnsi="Verdana"/>
          <w:b/>
          <w:bCs/>
        </w:rPr>
        <w:t xml:space="preserve">The Committee may wish to ask the UK Government and NI Executive </w:t>
      </w:r>
      <w:r w:rsidR="00960C5B">
        <w:rPr>
          <w:rFonts w:ascii="Verdana" w:hAnsi="Verdana"/>
          <w:b/>
          <w:bCs/>
        </w:rPr>
        <w:t xml:space="preserve">what effective steps they </w:t>
      </w:r>
      <w:r w:rsidR="00EE1FE3">
        <w:rPr>
          <w:rFonts w:ascii="Verdana" w:hAnsi="Verdana"/>
          <w:b/>
          <w:bCs/>
        </w:rPr>
        <w:t>ha</w:t>
      </w:r>
      <w:r w:rsidR="00A32415">
        <w:rPr>
          <w:rFonts w:ascii="Verdana" w:hAnsi="Verdana"/>
          <w:b/>
          <w:bCs/>
        </w:rPr>
        <w:t>ve</w:t>
      </w:r>
      <w:r w:rsidR="00EE1FE3">
        <w:rPr>
          <w:rFonts w:ascii="Verdana" w:hAnsi="Verdana"/>
          <w:b/>
          <w:bCs/>
        </w:rPr>
        <w:t xml:space="preserve"> </w:t>
      </w:r>
      <w:r>
        <w:rPr>
          <w:rFonts w:ascii="Verdana" w:hAnsi="Verdana"/>
          <w:b/>
          <w:bCs/>
        </w:rPr>
        <w:t>tak</w:t>
      </w:r>
      <w:r w:rsidR="00EE1FE3">
        <w:rPr>
          <w:rFonts w:ascii="Verdana" w:hAnsi="Verdana"/>
          <w:b/>
          <w:bCs/>
        </w:rPr>
        <w:t>en</w:t>
      </w:r>
      <w:r>
        <w:rPr>
          <w:rFonts w:ascii="Verdana" w:hAnsi="Verdana"/>
          <w:b/>
          <w:bCs/>
        </w:rPr>
        <w:t xml:space="preserve"> to ensure that</w:t>
      </w:r>
      <w:r w:rsidRPr="002B22B0">
        <w:rPr>
          <w:rFonts w:ascii="Verdana" w:hAnsi="Verdana"/>
          <w:b/>
          <w:bCs/>
        </w:rPr>
        <w:t xml:space="preserve"> the Illegal Migration Act 2023 is amended to ensure compliance with the UK’s international human rights obligations and Windsor Framework Article 2, and that there is no diminution of protection for refugees and people seeking asylum in NI</w:t>
      </w:r>
      <w:r w:rsidR="001B3E0C">
        <w:rPr>
          <w:rFonts w:ascii="Verdana" w:hAnsi="Verdana"/>
          <w:b/>
          <w:bCs/>
        </w:rPr>
        <w:t>.</w:t>
      </w:r>
    </w:p>
    <w:p w14:paraId="4805103F" w14:textId="77777777" w:rsidR="00263CC1" w:rsidRDefault="00263CC1" w:rsidP="00864F73">
      <w:pPr>
        <w:pStyle w:val="ListParagraph"/>
        <w:spacing w:line="276" w:lineRule="auto"/>
        <w:rPr>
          <w:rFonts w:ascii="Verdana" w:hAnsi="Verdana"/>
        </w:rPr>
      </w:pPr>
    </w:p>
    <w:p w14:paraId="47D5F504" w14:textId="25A36CB2" w:rsidR="008D36DC" w:rsidRDefault="00263CC1" w:rsidP="008D36DC">
      <w:pPr>
        <w:pStyle w:val="ListParagraph"/>
        <w:numPr>
          <w:ilvl w:val="1"/>
          <w:numId w:val="12"/>
        </w:numPr>
        <w:spacing w:line="276" w:lineRule="auto"/>
        <w:ind w:left="720"/>
        <w:rPr>
          <w:rFonts w:ascii="Verdana" w:hAnsi="Verdana"/>
        </w:rPr>
      </w:pPr>
      <w:r>
        <w:rPr>
          <w:rFonts w:ascii="Verdana" w:hAnsi="Verdana"/>
        </w:rPr>
        <w:t>The use of privately managed “contingency accommodation” for people seeking asylum has increased ac</w:t>
      </w:r>
      <w:r w:rsidRPr="00764B60">
        <w:rPr>
          <w:rFonts w:ascii="Verdana" w:hAnsi="Verdana"/>
        </w:rPr>
        <w:t>ross the UK.</w:t>
      </w:r>
      <w:r w:rsidRPr="00764B60">
        <w:rPr>
          <w:rStyle w:val="FootnoteReference"/>
          <w:rFonts w:ascii="Verdana" w:hAnsi="Verdana"/>
        </w:rPr>
        <w:footnoteReference w:id="62"/>
      </w:r>
      <w:r w:rsidR="008E4227" w:rsidRPr="00764B60">
        <w:rPr>
          <w:rFonts w:ascii="Verdana" w:hAnsi="Verdana"/>
        </w:rPr>
        <w:t xml:space="preserve"> In NI, families, including children, are being kept in hotels for long periods with no set timeframe for moving on.</w:t>
      </w:r>
      <w:r w:rsidR="008E4227" w:rsidRPr="00764B60">
        <w:rPr>
          <w:rStyle w:val="FootnoteReference"/>
          <w:rFonts w:ascii="Verdana" w:hAnsi="Verdana"/>
        </w:rPr>
        <w:footnoteReference w:id="63"/>
      </w:r>
      <w:r w:rsidR="00B56FF5" w:rsidRPr="00764B60">
        <w:rPr>
          <w:rFonts w:ascii="Verdana" w:hAnsi="Verdana"/>
        </w:rPr>
        <w:t xml:space="preserve"> The move to dispersal accommodation can be conducted</w:t>
      </w:r>
      <w:r w:rsidR="00EE1FE3">
        <w:rPr>
          <w:rFonts w:ascii="Verdana" w:hAnsi="Verdana"/>
        </w:rPr>
        <w:t xml:space="preserve"> </w:t>
      </w:r>
      <w:r w:rsidR="00B56FF5" w:rsidRPr="00764B60">
        <w:rPr>
          <w:rFonts w:ascii="Verdana" w:hAnsi="Verdana"/>
        </w:rPr>
        <w:t xml:space="preserve">without advance notice </w:t>
      </w:r>
      <w:r w:rsidR="00BE62C4">
        <w:rPr>
          <w:rFonts w:ascii="Verdana" w:hAnsi="Verdana"/>
        </w:rPr>
        <w:t>or</w:t>
      </w:r>
      <w:r w:rsidR="00B56FF5" w:rsidRPr="00764B60">
        <w:rPr>
          <w:rFonts w:ascii="Verdana" w:hAnsi="Verdana"/>
        </w:rPr>
        <w:t xml:space="preserve"> any meaningful support to ensure access to services.</w:t>
      </w:r>
      <w:r w:rsidR="00B56FF5" w:rsidRPr="00764B60">
        <w:rPr>
          <w:rStyle w:val="FootnoteReference"/>
          <w:rFonts w:ascii="Verdana" w:hAnsi="Verdana"/>
        </w:rPr>
        <w:footnoteReference w:id="64"/>
      </w:r>
      <w:r w:rsidR="00D56DBB">
        <w:rPr>
          <w:rFonts w:ascii="Verdana" w:hAnsi="Verdana"/>
          <w:b/>
          <w:bCs/>
        </w:rPr>
        <w:t xml:space="preserve"> </w:t>
      </w:r>
      <w:r w:rsidR="00CC64DA">
        <w:rPr>
          <w:rFonts w:ascii="Verdana" w:hAnsi="Verdana"/>
        </w:rPr>
        <w:t xml:space="preserve">The conditions of </w:t>
      </w:r>
      <w:r w:rsidR="0094367C">
        <w:rPr>
          <w:rFonts w:ascii="Verdana" w:hAnsi="Verdana"/>
        </w:rPr>
        <w:t>dispersal accommodation are often inadequate, with reports of high levels of damp.</w:t>
      </w:r>
      <w:r w:rsidR="0094367C">
        <w:rPr>
          <w:rStyle w:val="FootnoteReference"/>
          <w:rFonts w:ascii="Verdana" w:hAnsi="Verdana"/>
        </w:rPr>
        <w:footnoteReference w:id="65"/>
      </w:r>
      <w:r w:rsidR="0094367C">
        <w:rPr>
          <w:rFonts w:ascii="Verdana" w:hAnsi="Verdana"/>
        </w:rPr>
        <w:t xml:space="preserve"> </w:t>
      </w:r>
      <w:r w:rsidR="00764B60" w:rsidRPr="00764B60">
        <w:rPr>
          <w:rFonts w:ascii="Verdana" w:hAnsi="Verdana"/>
        </w:rPr>
        <w:t xml:space="preserve">In 2023, the UK Government commenced using </w:t>
      </w:r>
      <w:r w:rsidR="00764B60" w:rsidRPr="00764B60">
        <w:rPr>
          <w:rFonts w:ascii="Verdana" w:hAnsi="Verdana"/>
        </w:rPr>
        <w:lastRenderedPageBreak/>
        <w:t>alternative forms of asylum accommodation, such as tents and barges.</w:t>
      </w:r>
      <w:r w:rsidR="00764B60" w:rsidRPr="00764B60">
        <w:rPr>
          <w:rStyle w:val="FootnoteReference"/>
          <w:rFonts w:ascii="Verdana" w:hAnsi="Verdana"/>
        </w:rPr>
        <w:footnoteReference w:id="66"/>
      </w:r>
    </w:p>
    <w:p w14:paraId="76257F01" w14:textId="77777777" w:rsidR="008D36DC" w:rsidRPr="008D36DC" w:rsidRDefault="008D36DC" w:rsidP="008D36DC">
      <w:pPr>
        <w:pStyle w:val="ListParagraph"/>
        <w:rPr>
          <w:rFonts w:ascii="Verdana" w:hAnsi="Verdana"/>
          <w:b/>
          <w:bCs/>
        </w:rPr>
      </w:pPr>
    </w:p>
    <w:p w14:paraId="21677812" w14:textId="4E1BD4BE" w:rsidR="005F2181" w:rsidRPr="008D36DC" w:rsidRDefault="00A2367A" w:rsidP="008D36DC">
      <w:pPr>
        <w:pStyle w:val="ListParagraph"/>
        <w:numPr>
          <w:ilvl w:val="1"/>
          <w:numId w:val="12"/>
        </w:numPr>
        <w:spacing w:line="276" w:lineRule="auto"/>
        <w:ind w:left="720"/>
        <w:rPr>
          <w:rFonts w:ascii="Verdana" w:hAnsi="Verdana"/>
        </w:rPr>
      </w:pPr>
      <w:r w:rsidRPr="008D36DC">
        <w:rPr>
          <w:rFonts w:ascii="Verdana" w:hAnsi="Verdana"/>
          <w:b/>
          <w:bCs/>
        </w:rPr>
        <w:t xml:space="preserve">The Committee may wish to ask the UK Government and NI Executive </w:t>
      </w:r>
      <w:r w:rsidR="004C0519" w:rsidRPr="008D36DC">
        <w:rPr>
          <w:rFonts w:ascii="Verdana" w:hAnsi="Verdana"/>
          <w:b/>
          <w:bCs/>
        </w:rPr>
        <w:t xml:space="preserve">what effective steps </w:t>
      </w:r>
      <w:r w:rsidR="004C0519">
        <w:rPr>
          <w:rFonts w:ascii="Verdana" w:hAnsi="Verdana"/>
          <w:b/>
          <w:bCs/>
        </w:rPr>
        <w:t xml:space="preserve">they </w:t>
      </w:r>
      <w:r w:rsidR="008D36DC" w:rsidRPr="008D36DC">
        <w:rPr>
          <w:rFonts w:ascii="Verdana" w:hAnsi="Verdana"/>
          <w:b/>
          <w:bCs/>
        </w:rPr>
        <w:t>ha</w:t>
      </w:r>
      <w:r w:rsidR="00476AAA">
        <w:rPr>
          <w:rFonts w:ascii="Verdana" w:hAnsi="Verdana"/>
          <w:b/>
          <w:bCs/>
        </w:rPr>
        <w:t>ve</w:t>
      </w:r>
      <w:r w:rsidRPr="008D36DC">
        <w:rPr>
          <w:rFonts w:ascii="Verdana" w:hAnsi="Verdana"/>
          <w:b/>
          <w:bCs/>
        </w:rPr>
        <w:t xml:space="preserve"> tak</w:t>
      </w:r>
      <w:r w:rsidR="008D36DC" w:rsidRPr="008D36DC">
        <w:rPr>
          <w:rFonts w:ascii="Verdana" w:hAnsi="Verdana"/>
          <w:b/>
          <w:bCs/>
        </w:rPr>
        <w:t xml:space="preserve">en </w:t>
      </w:r>
      <w:r w:rsidRPr="008D36DC">
        <w:rPr>
          <w:rFonts w:ascii="Verdana" w:hAnsi="Verdana"/>
          <w:b/>
          <w:bCs/>
        </w:rPr>
        <w:t>to ensure</w:t>
      </w:r>
      <w:r w:rsidR="005F2181" w:rsidRPr="008D36DC">
        <w:rPr>
          <w:rFonts w:ascii="Verdana" w:hAnsi="Verdana"/>
          <w:b/>
          <w:bCs/>
        </w:rPr>
        <w:t xml:space="preserve"> that</w:t>
      </w:r>
      <w:r w:rsidR="008D36DC" w:rsidRPr="008D36DC">
        <w:rPr>
          <w:rFonts w:ascii="Verdana" w:hAnsi="Verdana"/>
          <w:b/>
          <w:bCs/>
        </w:rPr>
        <w:t xml:space="preserve"> </w:t>
      </w:r>
      <w:r w:rsidR="005F2181" w:rsidRPr="008D36DC">
        <w:rPr>
          <w:rFonts w:ascii="Verdana" w:hAnsi="Verdana"/>
          <w:b/>
          <w:bCs/>
        </w:rPr>
        <w:t>the support and accommodation provided to refugees and people seeking asylum in NI is urgently reviewed to ensure it is adequate, fit for purpose and culturally appropriate</w:t>
      </w:r>
      <w:r w:rsidR="00E24345">
        <w:rPr>
          <w:rFonts w:ascii="Verdana" w:hAnsi="Verdana"/>
          <w:b/>
          <w:bCs/>
        </w:rPr>
        <w:t>.</w:t>
      </w:r>
    </w:p>
    <w:p w14:paraId="314C0DDA" w14:textId="77777777" w:rsidR="002B22B0" w:rsidRDefault="002B22B0" w:rsidP="002B22B0">
      <w:pPr>
        <w:rPr>
          <w:rFonts w:ascii="Verdana" w:hAnsi="Verdana"/>
        </w:rPr>
      </w:pPr>
    </w:p>
    <w:p w14:paraId="0F6FEFC7" w14:textId="7150B3D7" w:rsidR="002B22B0" w:rsidRDefault="002B22B0" w:rsidP="002B22B0">
      <w:pPr>
        <w:pStyle w:val="Heading2"/>
      </w:pPr>
      <w:bookmarkStart w:id="16" w:name="_Toc165632769"/>
      <w:r>
        <w:t>Rwanda Asylum Proposals</w:t>
      </w:r>
      <w:bookmarkEnd w:id="16"/>
      <w:r>
        <w:t xml:space="preserve"> </w:t>
      </w:r>
    </w:p>
    <w:p w14:paraId="46433A85" w14:textId="77777777" w:rsidR="002B22B0" w:rsidRPr="002B22B0" w:rsidRDefault="002B22B0" w:rsidP="002B22B0"/>
    <w:p w14:paraId="3AB4DBE1" w14:textId="4E68E298" w:rsidR="00A2367A" w:rsidRDefault="00B07351" w:rsidP="00ED3C15">
      <w:pPr>
        <w:pStyle w:val="ListParagraph"/>
        <w:numPr>
          <w:ilvl w:val="1"/>
          <w:numId w:val="12"/>
        </w:numPr>
        <w:spacing w:line="276" w:lineRule="auto"/>
        <w:ind w:left="720"/>
        <w:rPr>
          <w:rFonts w:ascii="Verdana" w:hAnsi="Verdana"/>
        </w:rPr>
      </w:pPr>
      <w:r w:rsidRPr="00E11466">
        <w:rPr>
          <w:rFonts w:ascii="Verdana" w:hAnsi="Verdana"/>
        </w:rPr>
        <w:t>In 2022, a partnership between the UK and Rwanda was established to relocate migrants who arrived in the UK irregularly to Rwanda.</w:t>
      </w:r>
      <w:r w:rsidRPr="00E11466">
        <w:rPr>
          <w:rStyle w:val="FootnoteReference"/>
          <w:rFonts w:ascii="Verdana" w:hAnsi="Verdana"/>
        </w:rPr>
        <w:footnoteReference w:id="67"/>
      </w:r>
      <w:r w:rsidR="00C30C42" w:rsidRPr="00E11466">
        <w:rPr>
          <w:rFonts w:ascii="Verdana" w:hAnsi="Verdana"/>
        </w:rPr>
        <w:t xml:space="preserve"> In June 2022, the </w:t>
      </w:r>
      <w:r w:rsidR="003C1EA2" w:rsidRPr="00E11466">
        <w:rPr>
          <w:rFonts w:ascii="Verdana" w:hAnsi="Verdana"/>
        </w:rPr>
        <w:t>i</w:t>
      </w:r>
      <w:r w:rsidR="00C30C42" w:rsidRPr="00E11466">
        <w:rPr>
          <w:rFonts w:ascii="Verdana" w:hAnsi="Verdana"/>
        </w:rPr>
        <w:t xml:space="preserve">nitial flight </w:t>
      </w:r>
      <w:r w:rsidR="003C1EA2" w:rsidRPr="00E11466">
        <w:rPr>
          <w:rFonts w:ascii="Verdana" w:hAnsi="Verdana"/>
        </w:rPr>
        <w:t>carrying people to Rwanda</w:t>
      </w:r>
      <w:r w:rsidR="00A31CEA" w:rsidRPr="00E11466">
        <w:rPr>
          <w:rFonts w:ascii="Verdana" w:hAnsi="Verdana"/>
        </w:rPr>
        <w:t xml:space="preserve"> </w:t>
      </w:r>
      <w:r w:rsidR="00C30C42" w:rsidRPr="00E11466">
        <w:rPr>
          <w:rFonts w:ascii="Verdana" w:hAnsi="Verdana"/>
        </w:rPr>
        <w:t xml:space="preserve">was halted due to the </w:t>
      </w:r>
      <w:r w:rsidR="00B31CAD">
        <w:rPr>
          <w:rFonts w:ascii="Verdana" w:hAnsi="Verdana"/>
        </w:rPr>
        <w:t>European Court of Human Rights (</w:t>
      </w:r>
      <w:r w:rsidR="00C30C42" w:rsidRPr="00E11466">
        <w:rPr>
          <w:rFonts w:ascii="Verdana" w:hAnsi="Verdana"/>
        </w:rPr>
        <w:t>ECtHR</w:t>
      </w:r>
      <w:r w:rsidR="00B31CAD">
        <w:rPr>
          <w:rFonts w:ascii="Verdana" w:hAnsi="Verdana"/>
        </w:rPr>
        <w:t>)</w:t>
      </w:r>
      <w:r w:rsidR="00C30C42" w:rsidRPr="00E11466">
        <w:rPr>
          <w:rFonts w:ascii="Verdana" w:hAnsi="Verdana"/>
        </w:rPr>
        <w:t xml:space="preserve"> issuing an interim measure.</w:t>
      </w:r>
      <w:r w:rsidR="00A31CEA" w:rsidRPr="00E11466">
        <w:rPr>
          <w:rStyle w:val="FootnoteReference"/>
          <w:rFonts w:ascii="Verdana" w:hAnsi="Verdana"/>
        </w:rPr>
        <w:footnoteReference w:id="68"/>
      </w:r>
    </w:p>
    <w:p w14:paraId="110541A6" w14:textId="77777777" w:rsidR="00E11466" w:rsidRDefault="00E11466" w:rsidP="00E11466">
      <w:pPr>
        <w:pStyle w:val="ListParagraph"/>
        <w:spacing w:line="276" w:lineRule="auto"/>
        <w:rPr>
          <w:rFonts w:ascii="Verdana" w:hAnsi="Verdana"/>
        </w:rPr>
      </w:pPr>
    </w:p>
    <w:p w14:paraId="3350C309" w14:textId="7AD3321F" w:rsidR="00E11466" w:rsidRDefault="00E11466" w:rsidP="00ED3C15">
      <w:pPr>
        <w:pStyle w:val="ListParagraph"/>
        <w:numPr>
          <w:ilvl w:val="1"/>
          <w:numId w:val="12"/>
        </w:numPr>
        <w:spacing w:line="276" w:lineRule="auto"/>
        <w:ind w:left="720"/>
        <w:rPr>
          <w:rFonts w:ascii="Verdana" w:hAnsi="Verdana"/>
        </w:rPr>
      </w:pPr>
      <w:r w:rsidRPr="00E11466">
        <w:rPr>
          <w:rFonts w:ascii="Verdana" w:hAnsi="Verdana"/>
        </w:rPr>
        <w:t xml:space="preserve">In November 2023, the UK Supreme Court declared the Rwanda asylum </w:t>
      </w:r>
      <w:r w:rsidR="245089A2" w:rsidRPr="00E11466">
        <w:rPr>
          <w:rFonts w:ascii="Verdana" w:hAnsi="Verdana"/>
        </w:rPr>
        <w:t>policy was</w:t>
      </w:r>
      <w:r w:rsidRPr="00E11466">
        <w:rPr>
          <w:rFonts w:ascii="Verdana" w:hAnsi="Verdana"/>
        </w:rPr>
        <w:t xml:space="preserve"> unlawful.</w:t>
      </w:r>
      <w:r>
        <w:rPr>
          <w:rStyle w:val="FootnoteReference"/>
          <w:rFonts w:ascii="Verdana" w:hAnsi="Verdana"/>
        </w:rPr>
        <w:footnoteReference w:id="69"/>
      </w:r>
      <w:r w:rsidRPr="00E11466">
        <w:rPr>
          <w:rFonts w:ascii="Verdana" w:hAnsi="Verdana"/>
        </w:rPr>
        <w:t xml:space="preserve"> In December 2023, the UK Government signed a new treaty with Rwanda and introduced the Safety of Rwanda (Asylum and Immigration) Bill, which proposes to declare Rwanda as a safe third country and remove</w:t>
      </w:r>
      <w:r w:rsidR="2E17E164" w:rsidRPr="00E11466">
        <w:rPr>
          <w:rFonts w:ascii="Verdana" w:hAnsi="Verdana"/>
        </w:rPr>
        <w:t>s</w:t>
      </w:r>
      <w:r w:rsidRPr="00E11466">
        <w:rPr>
          <w:rFonts w:ascii="Verdana" w:hAnsi="Verdana"/>
        </w:rPr>
        <w:t xml:space="preserve"> the possibility of challenging this categorisation.</w:t>
      </w:r>
      <w:r w:rsidR="009B3195">
        <w:rPr>
          <w:rStyle w:val="FootnoteReference"/>
          <w:rFonts w:ascii="Verdana" w:hAnsi="Verdana"/>
        </w:rPr>
        <w:footnoteReference w:id="70"/>
      </w:r>
    </w:p>
    <w:p w14:paraId="7D6262F1" w14:textId="77777777" w:rsidR="009B3195" w:rsidRPr="009B3195" w:rsidRDefault="009B3195" w:rsidP="009B3195">
      <w:pPr>
        <w:pStyle w:val="ListParagraph"/>
        <w:rPr>
          <w:rFonts w:ascii="Verdana" w:hAnsi="Verdana"/>
        </w:rPr>
      </w:pPr>
    </w:p>
    <w:p w14:paraId="3EAE332E" w14:textId="1790CCA2" w:rsidR="0067252A" w:rsidRPr="00C0193F" w:rsidRDefault="009B3195" w:rsidP="00ED3C15">
      <w:pPr>
        <w:pStyle w:val="ListParagraph"/>
        <w:numPr>
          <w:ilvl w:val="1"/>
          <w:numId w:val="12"/>
        </w:numPr>
        <w:spacing w:line="276" w:lineRule="auto"/>
        <w:ind w:left="720"/>
        <w:rPr>
          <w:rFonts w:ascii="Verdana" w:hAnsi="Verdana"/>
        </w:rPr>
      </w:pPr>
      <w:r>
        <w:rPr>
          <w:rFonts w:ascii="Verdana" w:hAnsi="Verdana"/>
          <w:b/>
          <w:bCs/>
        </w:rPr>
        <w:t>The Committee may wish to ask the UK Government</w:t>
      </w:r>
      <w:r w:rsidR="00BB5AC9" w:rsidRPr="00BB5AC9">
        <w:rPr>
          <w:rFonts w:ascii="Verdana" w:hAnsi="Verdana"/>
          <w:b/>
          <w:bCs/>
        </w:rPr>
        <w:t xml:space="preserve"> </w:t>
      </w:r>
      <w:r w:rsidR="00B979B2">
        <w:rPr>
          <w:rFonts w:ascii="Verdana" w:hAnsi="Verdana"/>
          <w:b/>
          <w:bCs/>
        </w:rPr>
        <w:t xml:space="preserve">what effective steps </w:t>
      </w:r>
      <w:r w:rsidR="009A42D9">
        <w:rPr>
          <w:rFonts w:ascii="Verdana" w:hAnsi="Verdana"/>
          <w:b/>
          <w:bCs/>
        </w:rPr>
        <w:t xml:space="preserve">it </w:t>
      </w:r>
      <w:r w:rsidR="00BB5AC9">
        <w:rPr>
          <w:rFonts w:ascii="Verdana" w:hAnsi="Verdana"/>
          <w:b/>
          <w:bCs/>
        </w:rPr>
        <w:t>is taking to</w:t>
      </w:r>
      <w:r w:rsidR="0067252A">
        <w:rPr>
          <w:rFonts w:ascii="Verdana" w:hAnsi="Verdana"/>
          <w:b/>
          <w:bCs/>
        </w:rPr>
        <w:t>:</w:t>
      </w:r>
    </w:p>
    <w:p w14:paraId="006C84F0" w14:textId="77777777" w:rsidR="00C0193F" w:rsidRDefault="00C0193F" w:rsidP="00C0193F">
      <w:pPr>
        <w:pStyle w:val="ListParagraph"/>
        <w:rPr>
          <w:rFonts w:ascii="Verdana" w:hAnsi="Verdana"/>
        </w:rPr>
      </w:pPr>
    </w:p>
    <w:p w14:paraId="546A86C7" w14:textId="13117570" w:rsidR="00791A5E" w:rsidRPr="000D14BD" w:rsidRDefault="00791A5E" w:rsidP="00791A5E">
      <w:pPr>
        <w:pStyle w:val="ListParagraph"/>
        <w:numPr>
          <w:ilvl w:val="0"/>
          <w:numId w:val="18"/>
        </w:numPr>
        <w:spacing w:line="276" w:lineRule="auto"/>
        <w:rPr>
          <w:rFonts w:ascii="Verdana" w:hAnsi="Verdana"/>
        </w:rPr>
      </w:pPr>
      <w:r>
        <w:rPr>
          <w:rFonts w:ascii="Verdana" w:hAnsi="Verdana"/>
          <w:b/>
          <w:bCs/>
        </w:rPr>
        <w:lastRenderedPageBreak/>
        <w:t xml:space="preserve">completely withdraw from all asylum agreements declaring Rwanda a safe third country of removal and ensure all people seeking asylum in the UK are processed in a human </w:t>
      </w:r>
      <w:proofErr w:type="gramStart"/>
      <w:r>
        <w:rPr>
          <w:rFonts w:ascii="Verdana" w:hAnsi="Verdana"/>
          <w:b/>
          <w:bCs/>
        </w:rPr>
        <w:t>rights</w:t>
      </w:r>
      <w:proofErr w:type="gramEnd"/>
      <w:r>
        <w:rPr>
          <w:rFonts w:ascii="Verdana" w:hAnsi="Verdana"/>
          <w:b/>
          <w:bCs/>
        </w:rPr>
        <w:t xml:space="preserve"> compliant way. This should include </w:t>
      </w:r>
      <w:proofErr w:type="gramStart"/>
      <w:r>
        <w:rPr>
          <w:rFonts w:ascii="Verdana" w:hAnsi="Verdana"/>
          <w:b/>
          <w:bCs/>
        </w:rPr>
        <w:t>taking into account</w:t>
      </w:r>
      <w:proofErr w:type="gramEnd"/>
      <w:r>
        <w:rPr>
          <w:rFonts w:ascii="Verdana" w:hAnsi="Verdana"/>
          <w:b/>
          <w:bCs/>
        </w:rPr>
        <w:t xml:space="preserve"> the difficult journey and trauma experienced by many prior to arriving in the UK</w:t>
      </w:r>
      <w:r w:rsidR="003660E4">
        <w:rPr>
          <w:rFonts w:ascii="Verdana" w:hAnsi="Verdana"/>
          <w:b/>
          <w:bCs/>
        </w:rPr>
        <w:t>.</w:t>
      </w:r>
    </w:p>
    <w:p w14:paraId="694DC1A1" w14:textId="77777777" w:rsidR="000D14BD" w:rsidRPr="000D14BD" w:rsidRDefault="000D14BD" w:rsidP="000D14BD">
      <w:pPr>
        <w:pStyle w:val="ListParagraph"/>
        <w:spacing w:line="276" w:lineRule="auto"/>
        <w:ind w:left="1440"/>
        <w:rPr>
          <w:rFonts w:ascii="Verdana" w:hAnsi="Verdana"/>
        </w:rPr>
      </w:pPr>
    </w:p>
    <w:p w14:paraId="15C16A18" w14:textId="68C07E38" w:rsidR="00791A5E" w:rsidRPr="001E10EC" w:rsidRDefault="00791A5E" w:rsidP="00791A5E">
      <w:pPr>
        <w:pStyle w:val="ListParagraph"/>
        <w:numPr>
          <w:ilvl w:val="0"/>
          <w:numId w:val="18"/>
        </w:numPr>
        <w:spacing w:line="276" w:lineRule="auto"/>
        <w:rPr>
          <w:rFonts w:ascii="Verdana" w:hAnsi="Verdana"/>
        </w:rPr>
      </w:pPr>
      <w:r>
        <w:rPr>
          <w:rFonts w:ascii="Verdana" w:hAnsi="Verdana"/>
          <w:b/>
          <w:bCs/>
        </w:rPr>
        <w:t>immediately and thoroughly reassess the Safety of Rwanda (Asylum and Immigration) Bill and amend as required to ensure there is no diminution of rights in NI contrary to Windsor Framework Article 2</w:t>
      </w:r>
      <w:r w:rsidR="0020160F">
        <w:rPr>
          <w:rFonts w:ascii="Verdana" w:hAnsi="Verdana"/>
          <w:b/>
          <w:bCs/>
        </w:rPr>
        <w:t>.</w:t>
      </w:r>
    </w:p>
    <w:p w14:paraId="5D89798A" w14:textId="77777777" w:rsidR="001E10EC" w:rsidRPr="001E10EC" w:rsidRDefault="001E10EC" w:rsidP="001E10EC">
      <w:pPr>
        <w:pStyle w:val="ListParagraph"/>
        <w:rPr>
          <w:rFonts w:ascii="Verdana" w:hAnsi="Verdana"/>
        </w:rPr>
      </w:pPr>
    </w:p>
    <w:p w14:paraId="2B5222B9" w14:textId="654AD10F" w:rsidR="001E10EC" w:rsidRPr="00BC7B0E" w:rsidRDefault="001E10EC" w:rsidP="001E10EC">
      <w:pPr>
        <w:pStyle w:val="Heading2"/>
      </w:pPr>
      <w:bookmarkStart w:id="17" w:name="_Toc165632770"/>
      <w:r>
        <w:t>Asylum Financial Support</w:t>
      </w:r>
      <w:bookmarkEnd w:id="17"/>
    </w:p>
    <w:p w14:paraId="090AD12D" w14:textId="77777777" w:rsidR="001E10EC" w:rsidRPr="005D41C7" w:rsidRDefault="001E10EC" w:rsidP="001E10EC"/>
    <w:p w14:paraId="7F076723" w14:textId="0C200BCF" w:rsidR="001E10EC" w:rsidRPr="00B04421" w:rsidRDefault="001E10EC" w:rsidP="001E10EC">
      <w:pPr>
        <w:pStyle w:val="ListParagraph"/>
        <w:numPr>
          <w:ilvl w:val="1"/>
          <w:numId w:val="12"/>
        </w:numPr>
        <w:spacing w:line="276" w:lineRule="auto"/>
        <w:ind w:left="720"/>
        <w:rPr>
          <w:rFonts w:ascii="Verdana" w:hAnsi="Verdana"/>
        </w:rPr>
      </w:pPr>
      <w:r w:rsidRPr="002C088B">
        <w:rPr>
          <w:rFonts w:ascii="Verdana" w:hAnsi="Verdana"/>
          <w:color w:val="000000"/>
        </w:rPr>
        <w:t xml:space="preserve">People seeking asylum are not able to work in the UK, including NI, for the first year that their claim is being considered. Such individuals are therefore at a greater risk of </w:t>
      </w:r>
      <w:r w:rsidRPr="002C088B">
        <w:rPr>
          <w:rFonts w:ascii="Verdana" w:hAnsi="Verdana"/>
        </w:rPr>
        <w:t>destitution as many have no means to supplement their income.</w:t>
      </w:r>
      <w:r w:rsidRPr="002C088B">
        <w:rPr>
          <w:rFonts w:ascii="Verdana" w:hAnsi="Verdana"/>
          <w:color w:val="000000"/>
        </w:rPr>
        <w:t xml:space="preserve"> Section 95 of the Immigration and Asylum Act 1999 provides support for people seeking asylum and their dependents who appear to be destitute or who are likely to become destitute. In March 2023, 3,030 people seeking asylum were in receipt of section 95 support in NI, compared to 1,404 individuals in March 2022.</w:t>
      </w:r>
      <w:r w:rsidRPr="002C088B">
        <w:rPr>
          <w:rFonts w:ascii="Verdana" w:hAnsi="Verdana"/>
          <w:color w:val="000000"/>
          <w:vertAlign w:val="superscript"/>
        </w:rPr>
        <w:footnoteReference w:id="71"/>
      </w:r>
      <w:r w:rsidRPr="00CA4222">
        <w:rPr>
          <w:rFonts w:ascii="Verdana" w:hAnsi="Verdana"/>
          <w:color w:val="000000"/>
        </w:rPr>
        <w:t xml:space="preserve"> Between 2021 and 2022, several reports indicated that people seeking asylum find it difficult to </w:t>
      </w:r>
      <w:r w:rsidR="62E3B15B" w:rsidRPr="00CA4222">
        <w:rPr>
          <w:rFonts w:ascii="Verdana" w:hAnsi="Verdana"/>
          <w:color w:val="000000"/>
        </w:rPr>
        <w:t xml:space="preserve">afford the </w:t>
      </w:r>
      <w:proofErr w:type="gramStart"/>
      <w:r w:rsidR="62E3B15B" w:rsidRPr="00CA4222">
        <w:rPr>
          <w:rFonts w:ascii="Verdana" w:hAnsi="Verdana"/>
          <w:color w:val="000000"/>
        </w:rPr>
        <w:t>basic essentials</w:t>
      </w:r>
      <w:proofErr w:type="gramEnd"/>
      <w:r w:rsidRPr="00CA4222">
        <w:rPr>
          <w:rFonts w:ascii="Verdana" w:hAnsi="Verdana"/>
          <w:color w:val="000000"/>
        </w:rPr>
        <w:t>.</w:t>
      </w:r>
      <w:r w:rsidRPr="00CA4222">
        <w:rPr>
          <w:rStyle w:val="FootnoteReference"/>
          <w:rFonts w:ascii="Verdana" w:hAnsi="Verdana"/>
        </w:rPr>
        <w:footnoteReference w:id="72"/>
      </w:r>
    </w:p>
    <w:p w14:paraId="5A0CA7F8" w14:textId="77777777" w:rsidR="001E10EC" w:rsidRPr="00650C2B" w:rsidRDefault="001E10EC" w:rsidP="001E10EC">
      <w:pPr>
        <w:pStyle w:val="ListParagraph"/>
        <w:spacing w:line="276" w:lineRule="auto"/>
        <w:rPr>
          <w:rFonts w:ascii="Verdana" w:hAnsi="Verdana"/>
        </w:rPr>
      </w:pPr>
    </w:p>
    <w:p w14:paraId="3294B17B" w14:textId="1A6E748B" w:rsidR="001E10EC" w:rsidRPr="002B2E3B" w:rsidRDefault="001E10EC" w:rsidP="001E10EC">
      <w:pPr>
        <w:pStyle w:val="ListParagraph"/>
        <w:numPr>
          <w:ilvl w:val="1"/>
          <w:numId w:val="12"/>
        </w:numPr>
        <w:spacing w:line="276" w:lineRule="auto"/>
        <w:ind w:left="720"/>
        <w:rPr>
          <w:rFonts w:ascii="Verdana" w:hAnsi="Verdana"/>
        </w:rPr>
      </w:pPr>
      <w:r w:rsidRPr="00986A5F">
        <w:rPr>
          <w:rFonts w:ascii="Verdana" w:hAnsi="Verdana"/>
          <w:color w:val="000000"/>
        </w:rPr>
        <w:t xml:space="preserve">In July 2023, the High Court of England and Wales found that the </w:t>
      </w:r>
      <w:r w:rsidR="2EAA1103" w:rsidRPr="00986A5F">
        <w:rPr>
          <w:rFonts w:ascii="Verdana" w:hAnsi="Verdana"/>
          <w:color w:val="000000"/>
        </w:rPr>
        <w:t xml:space="preserve">then </w:t>
      </w:r>
      <w:r w:rsidRPr="00986A5F">
        <w:rPr>
          <w:rFonts w:ascii="Verdana" w:hAnsi="Verdana"/>
          <w:color w:val="000000"/>
        </w:rPr>
        <w:t>Secretary of State for the Home Department, Suella Braverman MP, acted unlawfully in failing to promptly provide basic support to people seeking asylum, including young children and pregnant women.</w:t>
      </w:r>
      <w:r w:rsidRPr="00986A5F">
        <w:rPr>
          <w:rStyle w:val="FootnoteReference"/>
          <w:rFonts w:ascii="Verdana" w:hAnsi="Verdana"/>
          <w:color w:val="000000"/>
        </w:rPr>
        <w:footnoteReference w:id="73"/>
      </w:r>
    </w:p>
    <w:p w14:paraId="3B9EEE9C" w14:textId="77777777" w:rsidR="002B2E3B" w:rsidRPr="002B2E3B" w:rsidRDefault="002B2E3B" w:rsidP="002B2E3B">
      <w:pPr>
        <w:pStyle w:val="ListParagraph"/>
        <w:rPr>
          <w:rFonts w:ascii="Verdana" w:hAnsi="Verdana"/>
        </w:rPr>
      </w:pPr>
    </w:p>
    <w:p w14:paraId="266369D0" w14:textId="2A179146" w:rsidR="001E10EC" w:rsidRPr="00986A5F" w:rsidRDefault="001E10EC" w:rsidP="001E10EC">
      <w:pPr>
        <w:pStyle w:val="ListParagraph"/>
        <w:numPr>
          <w:ilvl w:val="1"/>
          <w:numId w:val="12"/>
        </w:numPr>
        <w:spacing w:line="276" w:lineRule="auto"/>
        <w:ind w:left="720"/>
        <w:rPr>
          <w:rFonts w:ascii="Verdana" w:hAnsi="Verdana"/>
        </w:rPr>
      </w:pPr>
      <w:r>
        <w:rPr>
          <w:rFonts w:ascii="Verdana" w:hAnsi="Verdana"/>
          <w:b/>
          <w:bCs/>
        </w:rPr>
        <w:t xml:space="preserve">The Committee may wish to ask the UK Government and NI Executive </w:t>
      </w:r>
      <w:r w:rsidR="009A42D9">
        <w:rPr>
          <w:rFonts w:ascii="Verdana" w:hAnsi="Verdana"/>
          <w:b/>
          <w:bCs/>
        </w:rPr>
        <w:t xml:space="preserve">what effective steps they </w:t>
      </w:r>
      <w:r>
        <w:rPr>
          <w:rFonts w:ascii="Verdana" w:hAnsi="Verdana"/>
          <w:b/>
          <w:bCs/>
        </w:rPr>
        <w:t>ha</w:t>
      </w:r>
      <w:r w:rsidR="00476AAA">
        <w:rPr>
          <w:rFonts w:ascii="Verdana" w:hAnsi="Verdana"/>
          <w:b/>
          <w:bCs/>
        </w:rPr>
        <w:t>ve</w:t>
      </w:r>
      <w:r>
        <w:rPr>
          <w:rFonts w:ascii="Verdana" w:hAnsi="Verdana"/>
          <w:b/>
          <w:bCs/>
        </w:rPr>
        <w:t xml:space="preserve"> taken to ensure </w:t>
      </w:r>
      <w:r>
        <w:rPr>
          <w:rFonts w:ascii="Verdana" w:hAnsi="Verdana"/>
          <w:b/>
          <w:bCs/>
        </w:rPr>
        <w:lastRenderedPageBreak/>
        <w:t>that the level of financial support provided to asylum seeking people reflects the cost of living across the UK and that no individual is exposed to destitution. The Committee may also wish to ask the UK Government to review restrictions placed on asylum seeking people on taking up work while their claims are being processed.</w:t>
      </w:r>
    </w:p>
    <w:p w14:paraId="0C0E8231" w14:textId="77777777" w:rsidR="00791A5E" w:rsidRDefault="00791A5E" w:rsidP="00791A5E">
      <w:pPr>
        <w:rPr>
          <w:rFonts w:ascii="Verdana" w:hAnsi="Verdana"/>
        </w:rPr>
      </w:pPr>
    </w:p>
    <w:p w14:paraId="76E720C8" w14:textId="77777777" w:rsidR="00435D4E" w:rsidRDefault="00435D4E" w:rsidP="00791A5E">
      <w:pPr>
        <w:rPr>
          <w:rFonts w:ascii="Verdana" w:hAnsi="Verdana"/>
        </w:rPr>
      </w:pPr>
    </w:p>
    <w:p w14:paraId="2F6496EF" w14:textId="61AE277E" w:rsidR="00791A5E" w:rsidRDefault="00DC0D4A" w:rsidP="00791A5E">
      <w:pPr>
        <w:pStyle w:val="Heading1"/>
        <w:numPr>
          <w:ilvl w:val="0"/>
          <w:numId w:val="12"/>
        </w:numPr>
      </w:pPr>
      <w:bookmarkStart w:id="18" w:name="_Toc165632771"/>
      <w:r>
        <w:t>Hate Crime and Hate Speech</w:t>
      </w:r>
      <w:bookmarkEnd w:id="18"/>
    </w:p>
    <w:p w14:paraId="09E65BD9" w14:textId="77777777" w:rsidR="00DC0D4A" w:rsidRPr="00DC0D4A" w:rsidRDefault="00DC0D4A" w:rsidP="00DC0D4A"/>
    <w:p w14:paraId="5C446170" w14:textId="1FEE1035" w:rsidR="004D4CAC" w:rsidRDefault="00CB18E1">
      <w:pPr>
        <w:pStyle w:val="ListParagraph"/>
        <w:numPr>
          <w:ilvl w:val="1"/>
          <w:numId w:val="12"/>
        </w:numPr>
        <w:spacing w:line="276" w:lineRule="auto"/>
        <w:ind w:left="720"/>
        <w:rPr>
          <w:rFonts w:ascii="Verdana" w:hAnsi="Verdana"/>
        </w:rPr>
      </w:pPr>
      <w:r>
        <w:rPr>
          <w:rFonts w:ascii="Verdana" w:hAnsi="Verdana"/>
        </w:rPr>
        <w:t>Racist h</w:t>
      </w:r>
      <w:r w:rsidR="00A64912">
        <w:rPr>
          <w:rFonts w:ascii="Verdana" w:hAnsi="Verdana"/>
        </w:rPr>
        <w:t>ate crime and hate incidents are on the rise in NI.</w:t>
      </w:r>
      <w:r w:rsidR="00A64912">
        <w:rPr>
          <w:rStyle w:val="FootnoteReference"/>
          <w:rFonts w:ascii="Verdana" w:hAnsi="Verdana"/>
        </w:rPr>
        <w:footnoteReference w:id="74"/>
      </w:r>
      <w:r w:rsidR="00A64912">
        <w:rPr>
          <w:rFonts w:ascii="Verdana" w:hAnsi="Verdana"/>
        </w:rPr>
        <w:t xml:space="preserve"> </w:t>
      </w:r>
      <w:r w:rsidR="00CA38D1" w:rsidRPr="001E6E3F">
        <w:rPr>
          <w:rFonts w:ascii="Verdana" w:hAnsi="Verdana"/>
        </w:rPr>
        <w:t xml:space="preserve">In 2023, there were increased reports of </w:t>
      </w:r>
      <w:r w:rsidR="00912F27" w:rsidRPr="001E6E3F">
        <w:rPr>
          <w:rFonts w:ascii="Verdana" w:hAnsi="Verdana"/>
        </w:rPr>
        <w:t>“</w:t>
      </w:r>
      <w:r w:rsidR="00CA38D1" w:rsidRPr="001E6E3F">
        <w:rPr>
          <w:rFonts w:ascii="Verdana" w:hAnsi="Verdana"/>
        </w:rPr>
        <w:t>organised</w:t>
      </w:r>
      <w:r w:rsidR="00912F27" w:rsidRPr="001E6E3F">
        <w:rPr>
          <w:rFonts w:ascii="Verdana" w:hAnsi="Verdana"/>
        </w:rPr>
        <w:t>”</w:t>
      </w:r>
      <w:r w:rsidR="00CA38D1" w:rsidRPr="001E6E3F">
        <w:rPr>
          <w:rFonts w:ascii="Verdana" w:hAnsi="Verdana"/>
        </w:rPr>
        <w:t xml:space="preserve"> hate crimes in NI, particularly racist hate crimes.</w:t>
      </w:r>
      <w:r w:rsidR="00CA38D1" w:rsidRPr="00912F27">
        <w:rPr>
          <w:rStyle w:val="FootnoteReference"/>
          <w:rFonts w:ascii="Verdana" w:hAnsi="Verdana"/>
        </w:rPr>
        <w:footnoteReference w:id="75"/>
      </w:r>
      <w:r w:rsidR="001E6E3F">
        <w:rPr>
          <w:rFonts w:ascii="Verdana" w:hAnsi="Verdana"/>
        </w:rPr>
        <w:t xml:space="preserve"> </w:t>
      </w:r>
      <w:r w:rsidR="006E7619">
        <w:rPr>
          <w:rFonts w:ascii="Verdana" w:hAnsi="Verdana"/>
        </w:rPr>
        <w:t xml:space="preserve">Unlike the rest of the UK, NI </w:t>
      </w:r>
      <w:r w:rsidR="00056693">
        <w:rPr>
          <w:rFonts w:ascii="Verdana" w:hAnsi="Verdana"/>
        </w:rPr>
        <w:t xml:space="preserve">has no </w:t>
      </w:r>
      <w:r w:rsidR="00254AA3">
        <w:rPr>
          <w:rFonts w:ascii="Verdana" w:hAnsi="Verdana"/>
        </w:rPr>
        <w:t>standalone</w:t>
      </w:r>
      <w:r w:rsidR="00056693">
        <w:rPr>
          <w:rFonts w:ascii="Verdana" w:hAnsi="Verdana"/>
        </w:rPr>
        <w:t xml:space="preserve"> offence for </w:t>
      </w:r>
      <w:r w:rsidR="00DA1C16">
        <w:rPr>
          <w:rFonts w:ascii="Verdana" w:hAnsi="Verdana"/>
        </w:rPr>
        <w:t xml:space="preserve">prosecuting </w:t>
      </w:r>
      <w:r w:rsidR="00056693">
        <w:rPr>
          <w:rFonts w:ascii="Verdana" w:hAnsi="Verdana"/>
        </w:rPr>
        <w:t xml:space="preserve">hate crime. </w:t>
      </w:r>
      <w:r w:rsidR="00912F27" w:rsidRPr="001E6E3F">
        <w:rPr>
          <w:rFonts w:ascii="Verdana" w:hAnsi="Verdana"/>
        </w:rPr>
        <w:t>Following an Independent Hate Crime Review report,</w:t>
      </w:r>
      <w:r w:rsidR="00912F27">
        <w:rPr>
          <w:rStyle w:val="FootnoteReference"/>
          <w:rFonts w:ascii="Verdana" w:hAnsi="Verdana"/>
        </w:rPr>
        <w:footnoteReference w:id="76"/>
      </w:r>
      <w:r w:rsidR="00912F27" w:rsidRPr="001E6E3F">
        <w:rPr>
          <w:rFonts w:ascii="Verdana" w:hAnsi="Verdana"/>
        </w:rPr>
        <w:t xml:space="preserve"> work is </w:t>
      </w:r>
      <w:r w:rsidR="005D2269">
        <w:rPr>
          <w:rFonts w:ascii="Verdana" w:hAnsi="Verdana"/>
        </w:rPr>
        <w:t>ongoing to draft</w:t>
      </w:r>
      <w:r w:rsidR="00912F27" w:rsidRPr="001E6E3F">
        <w:rPr>
          <w:rFonts w:ascii="Verdana" w:hAnsi="Verdana"/>
        </w:rPr>
        <w:t xml:space="preserve"> a Hate Crime Bill and related policies.</w:t>
      </w:r>
      <w:r w:rsidR="00912F27">
        <w:rPr>
          <w:rStyle w:val="FootnoteReference"/>
          <w:rFonts w:ascii="Verdana" w:hAnsi="Verdana"/>
        </w:rPr>
        <w:footnoteReference w:id="77"/>
      </w:r>
      <w:r w:rsidR="00912F27" w:rsidRPr="001E6E3F">
        <w:rPr>
          <w:rFonts w:ascii="Verdana" w:hAnsi="Verdana"/>
        </w:rPr>
        <w:t xml:space="preserve"> However, </w:t>
      </w:r>
      <w:r w:rsidR="001E6E3F">
        <w:rPr>
          <w:rFonts w:ascii="Verdana" w:hAnsi="Verdana"/>
        </w:rPr>
        <w:t>this process</w:t>
      </w:r>
      <w:r w:rsidR="00912F27" w:rsidRPr="001E6E3F">
        <w:rPr>
          <w:rFonts w:ascii="Verdana" w:hAnsi="Verdana"/>
        </w:rPr>
        <w:t xml:space="preserve"> was hindered by the suspension of the NI Executive and Assembly.</w:t>
      </w:r>
      <w:r w:rsidR="00912F27">
        <w:rPr>
          <w:rStyle w:val="FootnoteReference"/>
          <w:rFonts w:ascii="Verdana" w:hAnsi="Verdana"/>
        </w:rPr>
        <w:footnoteReference w:id="78"/>
      </w:r>
    </w:p>
    <w:p w14:paraId="3CB996CC" w14:textId="77777777" w:rsidR="002B7A70" w:rsidRDefault="002B7A70" w:rsidP="002B7A70">
      <w:pPr>
        <w:pStyle w:val="ListParagraph"/>
        <w:spacing w:line="276" w:lineRule="auto"/>
        <w:rPr>
          <w:rFonts w:ascii="Verdana" w:hAnsi="Verdana"/>
        </w:rPr>
      </w:pPr>
    </w:p>
    <w:p w14:paraId="07AFA744" w14:textId="0ED63146" w:rsidR="002B7A70" w:rsidRPr="001E6E3F" w:rsidRDefault="6C78953E">
      <w:pPr>
        <w:pStyle w:val="ListParagraph"/>
        <w:numPr>
          <w:ilvl w:val="1"/>
          <w:numId w:val="12"/>
        </w:numPr>
        <w:spacing w:line="276" w:lineRule="auto"/>
        <w:ind w:left="720"/>
        <w:rPr>
          <w:rFonts w:ascii="Verdana" w:hAnsi="Verdana"/>
        </w:rPr>
      </w:pPr>
      <w:r>
        <w:rPr>
          <w:rFonts w:ascii="Verdana" w:hAnsi="Verdana"/>
        </w:rPr>
        <w:t>C</w:t>
      </w:r>
      <w:r w:rsidR="00AA19C9">
        <w:rPr>
          <w:rFonts w:ascii="Verdana" w:hAnsi="Verdana"/>
        </w:rPr>
        <w:t xml:space="preserve">ivil society and community organisations </w:t>
      </w:r>
      <w:r w:rsidR="7462FC6C">
        <w:rPr>
          <w:rFonts w:ascii="Verdana" w:hAnsi="Verdana"/>
        </w:rPr>
        <w:t xml:space="preserve">have raised concerns with the </w:t>
      </w:r>
      <w:r w:rsidR="00E904ED">
        <w:rPr>
          <w:rFonts w:ascii="Verdana" w:hAnsi="Verdana"/>
        </w:rPr>
        <w:t>NIHRC</w:t>
      </w:r>
      <w:r w:rsidR="006D3395">
        <w:rPr>
          <w:rFonts w:ascii="Verdana" w:hAnsi="Verdana"/>
        </w:rPr>
        <w:t xml:space="preserve"> </w:t>
      </w:r>
      <w:r w:rsidR="00AA19C9">
        <w:rPr>
          <w:rFonts w:ascii="Verdana" w:hAnsi="Verdana"/>
        </w:rPr>
        <w:t xml:space="preserve">that </w:t>
      </w:r>
      <w:r w:rsidR="00DC1B77">
        <w:rPr>
          <w:rFonts w:ascii="Verdana" w:hAnsi="Verdana"/>
        </w:rPr>
        <w:t xml:space="preserve">the </w:t>
      </w:r>
      <w:r w:rsidR="00AA19C9">
        <w:rPr>
          <w:rFonts w:ascii="Verdana" w:hAnsi="Verdana"/>
        </w:rPr>
        <w:t xml:space="preserve">police response to hate crime and hate incidents </w:t>
      </w:r>
      <w:r w:rsidR="005419EC">
        <w:rPr>
          <w:rFonts w:ascii="Verdana" w:hAnsi="Verdana"/>
        </w:rPr>
        <w:t xml:space="preserve">in NI </w:t>
      </w:r>
      <w:r w:rsidR="00AA19C9">
        <w:rPr>
          <w:rFonts w:ascii="Verdana" w:hAnsi="Verdana"/>
        </w:rPr>
        <w:t>is ineffective</w:t>
      </w:r>
      <w:r w:rsidR="53FDA320">
        <w:rPr>
          <w:rFonts w:ascii="Verdana" w:hAnsi="Verdana"/>
        </w:rPr>
        <w:t>.</w:t>
      </w:r>
      <w:r w:rsidR="00AA19C9">
        <w:rPr>
          <w:rStyle w:val="FootnoteReference"/>
          <w:rFonts w:ascii="Verdana" w:hAnsi="Verdana"/>
        </w:rPr>
        <w:footnoteReference w:id="79"/>
      </w:r>
      <w:r w:rsidR="004B36BF">
        <w:rPr>
          <w:rFonts w:ascii="Verdana" w:hAnsi="Verdana"/>
        </w:rPr>
        <w:t xml:space="preserve"> </w:t>
      </w:r>
      <w:r w:rsidR="4BCB07D7">
        <w:rPr>
          <w:rFonts w:ascii="Verdana" w:hAnsi="Verdana"/>
        </w:rPr>
        <w:t xml:space="preserve">It is noted that the </w:t>
      </w:r>
      <w:r w:rsidR="00960951">
        <w:rPr>
          <w:rFonts w:ascii="Verdana" w:hAnsi="Verdana"/>
        </w:rPr>
        <w:t xml:space="preserve">numbers of </w:t>
      </w:r>
      <w:r w:rsidR="004B36BF">
        <w:rPr>
          <w:rFonts w:ascii="Verdana" w:hAnsi="Verdana"/>
        </w:rPr>
        <w:t>prosecution</w:t>
      </w:r>
      <w:r w:rsidR="00960951">
        <w:rPr>
          <w:rFonts w:ascii="Verdana" w:hAnsi="Verdana"/>
        </w:rPr>
        <w:t>s</w:t>
      </w:r>
      <w:r w:rsidR="00EF108D">
        <w:rPr>
          <w:rFonts w:ascii="Verdana" w:hAnsi="Verdana"/>
        </w:rPr>
        <w:t xml:space="preserve"> for racially motivated </w:t>
      </w:r>
      <w:r w:rsidR="00A93BC7">
        <w:rPr>
          <w:rFonts w:ascii="Verdana" w:hAnsi="Verdana"/>
        </w:rPr>
        <w:t xml:space="preserve">hate </w:t>
      </w:r>
      <w:r w:rsidR="00EF108D">
        <w:rPr>
          <w:rFonts w:ascii="Verdana" w:hAnsi="Verdana"/>
        </w:rPr>
        <w:t>crimes in NI</w:t>
      </w:r>
      <w:r w:rsidR="00960951">
        <w:rPr>
          <w:rFonts w:ascii="Verdana" w:hAnsi="Verdana"/>
        </w:rPr>
        <w:t xml:space="preserve"> </w:t>
      </w:r>
      <w:r w:rsidR="004B36BF">
        <w:rPr>
          <w:rFonts w:ascii="Verdana" w:hAnsi="Verdana"/>
        </w:rPr>
        <w:t>remain low.</w:t>
      </w:r>
      <w:r w:rsidR="004B36BF">
        <w:rPr>
          <w:rStyle w:val="FootnoteReference"/>
          <w:rFonts w:ascii="Verdana" w:hAnsi="Verdana"/>
        </w:rPr>
        <w:footnoteReference w:id="80"/>
      </w:r>
      <w:r w:rsidR="006D3395">
        <w:rPr>
          <w:rFonts w:ascii="Verdana" w:hAnsi="Verdana"/>
        </w:rPr>
        <w:t xml:space="preserve"> </w:t>
      </w:r>
    </w:p>
    <w:p w14:paraId="160D19C0" w14:textId="77777777" w:rsidR="00936AC7" w:rsidRPr="00936AC7" w:rsidRDefault="00936AC7" w:rsidP="00936AC7">
      <w:pPr>
        <w:pStyle w:val="ListParagraph"/>
        <w:rPr>
          <w:rFonts w:ascii="Verdana" w:hAnsi="Verdana"/>
        </w:rPr>
      </w:pPr>
    </w:p>
    <w:p w14:paraId="1F2169C5" w14:textId="1C8870E0" w:rsidR="0072610E" w:rsidRPr="0072610E" w:rsidRDefault="00936AC7" w:rsidP="00ED3C15">
      <w:pPr>
        <w:pStyle w:val="ListParagraph"/>
        <w:numPr>
          <w:ilvl w:val="1"/>
          <w:numId w:val="12"/>
        </w:numPr>
        <w:spacing w:line="276" w:lineRule="auto"/>
        <w:ind w:left="720"/>
        <w:rPr>
          <w:rFonts w:ascii="Verdana" w:hAnsi="Verdana"/>
        </w:rPr>
      </w:pPr>
      <w:r w:rsidRPr="5F9CD3FE">
        <w:rPr>
          <w:rFonts w:ascii="Verdana" w:hAnsi="Verdana"/>
          <w:b/>
          <w:bCs/>
        </w:rPr>
        <w:t>The Committee may wish to ask</w:t>
      </w:r>
      <w:r w:rsidR="00B979B2" w:rsidRPr="5F9CD3FE">
        <w:rPr>
          <w:rFonts w:ascii="Verdana" w:hAnsi="Verdana"/>
          <w:b/>
          <w:bCs/>
        </w:rPr>
        <w:t xml:space="preserve"> </w:t>
      </w:r>
      <w:r w:rsidRPr="5F9CD3FE">
        <w:rPr>
          <w:rFonts w:ascii="Verdana" w:hAnsi="Verdana"/>
          <w:b/>
          <w:bCs/>
        </w:rPr>
        <w:t xml:space="preserve">the UK Government and NI Executive </w:t>
      </w:r>
      <w:r w:rsidR="009A42D9" w:rsidRPr="5F9CD3FE">
        <w:rPr>
          <w:rFonts w:ascii="Verdana" w:hAnsi="Verdana"/>
          <w:b/>
          <w:bCs/>
        </w:rPr>
        <w:t xml:space="preserve">what effective steps </w:t>
      </w:r>
      <w:r w:rsidR="009A42D9">
        <w:rPr>
          <w:rFonts w:ascii="Verdana" w:hAnsi="Verdana"/>
          <w:b/>
          <w:bCs/>
        </w:rPr>
        <w:t xml:space="preserve">they </w:t>
      </w:r>
      <w:r w:rsidR="00E83E9C">
        <w:rPr>
          <w:rFonts w:ascii="Verdana" w:hAnsi="Verdana"/>
          <w:b/>
          <w:bCs/>
        </w:rPr>
        <w:t>are</w:t>
      </w:r>
      <w:r w:rsidR="00F003AA" w:rsidRPr="5F9CD3FE">
        <w:rPr>
          <w:rFonts w:ascii="Verdana" w:hAnsi="Verdana"/>
          <w:b/>
          <w:bCs/>
        </w:rPr>
        <w:t xml:space="preserve"> taking to promptly enhance hate crime legislation in NI, ensuring alignment </w:t>
      </w:r>
      <w:r w:rsidR="00F003AA" w:rsidRPr="5F9CD3FE">
        <w:rPr>
          <w:rFonts w:ascii="Verdana" w:hAnsi="Verdana"/>
          <w:b/>
          <w:bCs/>
        </w:rPr>
        <w:lastRenderedPageBreak/>
        <w:t xml:space="preserve">with </w:t>
      </w:r>
      <w:r w:rsidR="00742501" w:rsidRPr="5F9CD3FE">
        <w:rPr>
          <w:rFonts w:ascii="Verdana" w:hAnsi="Verdana"/>
          <w:b/>
          <w:bCs/>
        </w:rPr>
        <w:t xml:space="preserve">race and community relations strategies </w:t>
      </w:r>
      <w:r w:rsidR="36E5DD64" w:rsidRPr="5F9CD3FE">
        <w:rPr>
          <w:rFonts w:ascii="Verdana" w:hAnsi="Verdana"/>
          <w:b/>
          <w:bCs/>
        </w:rPr>
        <w:t>to ensure</w:t>
      </w:r>
      <w:r w:rsidR="00742501" w:rsidRPr="5F9CD3FE">
        <w:rPr>
          <w:rFonts w:ascii="Verdana" w:hAnsi="Verdana"/>
          <w:b/>
          <w:bCs/>
        </w:rPr>
        <w:t xml:space="preserve"> effective investigation, </w:t>
      </w:r>
      <w:proofErr w:type="gramStart"/>
      <w:r w:rsidR="00742501" w:rsidRPr="5F9CD3FE">
        <w:rPr>
          <w:rFonts w:ascii="Verdana" w:hAnsi="Verdana"/>
          <w:b/>
          <w:bCs/>
        </w:rPr>
        <w:t>prosecution</w:t>
      </w:r>
      <w:proofErr w:type="gramEnd"/>
      <w:r w:rsidR="00742501" w:rsidRPr="5F9CD3FE">
        <w:rPr>
          <w:rFonts w:ascii="Verdana" w:hAnsi="Verdana"/>
          <w:b/>
          <w:bCs/>
        </w:rPr>
        <w:t xml:space="preserve"> and support for victims</w:t>
      </w:r>
      <w:r w:rsidR="008C6316" w:rsidRPr="5F9CD3FE">
        <w:rPr>
          <w:rFonts w:ascii="Verdana" w:hAnsi="Verdana"/>
          <w:b/>
          <w:bCs/>
        </w:rPr>
        <w:t>.</w:t>
      </w:r>
    </w:p>
    <w:p w14:paraId="76D27D4B" w14:textId="77777777" w:rsidR="00E363FC" w:rsidRDefault="00E363FC" w:rsidP="00E363FC">
      <w:pPr>
        <w:rPr>
          <w:rFonts w:ascii="Verdana" w:hAnsi="Verdana"/>
        </w:rPr>
      </w:pPr>
    </w:p>
    <w:p w14:paraId="56BA1AA1" w14:textId="59F168E7" w:rsidR="00E363FC" w:rsidRDefault="00374F48" w:rsidP="00374F48">
      <w:pPr>
        <w:pStyle w:val="Heading2"/>
      </w:pPr>
      <w:bookmarkStart w:id="19" w:name="_Toc165632772"/>
      <w:r>
        <w:t>Paramilitary Intimidation</w:t>
      </w:r>
      <w:bookmarkEnd w:id="19"/>
    </w:p>
    <w:p w14:paraId="78591C27" w14:textId="77777777" w:rsidR="00374F48" w:rsidRPr="00374F48" w:rsidRDefault="00374F48" w:rsidP="00374F48"/>
    <w:p w14:paraId="6E41A875" w14:textId="1388D1D9" w:rsidR="00E363FC" w:rsidRDefault="004E03EE" w:rsidP="00ED3C15">
      <w:pPr>
        <w:pStyle w:val="ListParagraph"/>
        <w:numPr>
          <w:ilvl w:val="1"/>
          <w:numId w:val="12"/>
        </w:numPr>
        <w:spacing w:line="276" w:lineRule="auto"/>
        <w:ind w:left="720"/>
        <w:rPr>
          <w:rFonts w:ascii="Verdana" w:hAnsi="Verdana"/>
        </w:rPr>
      </w:pPr>
      <w:r>
        <w:rPr>
          <w:rFonts w:ascii="Verdana" w:hAnsi="Verdana"/>
        </w:rPr>
        <w:t xml:space="preserve">A </w:t>
      </w:r>
      <w:r w:rsidR="002D6A1D">
        <w:rPr>
          <w:rFonts w:ascii="Verdana" w:hAnsi="Verdana"/>
        </w:rPr>
        <w:t>l</w:t>
      </w:r>
      <w:r>
        <w:rPr>
          <w:rFonts w:ascii="Verdana" w:hAnsi="Verdana"/>
        </w:rPr>
        <w:t>egacy</w:t>
      </w:r>
      <w:r w:rsidR="003032A2">
        <w:rPr>
          <w:rFonts w:ascii="Verdana" w:hAnsi="Verdana"/>
        </w:rPr>
        <w:t xml:space="preserve"> issue</w:t>
      </w:r>
      <w:r>
        <w:rPr>
          <w:rFonts w:ascii="Verdana" w:hAnsi="Verdana"/>
        </w:rPr>
        <w:t xml:space="preserve"> of NI’s post-conflict status is the</w:t>
      </w:r>
      <w:r w:rsidR="0017163F">
        <w:rPr>
          <w:rFonts w:ascii="Verdana" w:hAnsi="Verdana"/>
        </w:rPr>
        <w:t xml:space="preserve"> continued</w:t>
      </w:r>
      <w:r>
        <w:rPr>
          <w:rFonts w:ascii="Verdana" w:hAnsi="Verdana"/>
        </w:rPr>
        <w:t xml:space="preserve"> presence of paramilitary organisations within communities.</w:t>
      </w:r>
      <w:r w:rsidR="002D6A1D">
        <w:rPr>
          <w:rFonts w:ascii="Verdana" w:hAnsi="Verdana"/>
        </w:rPr>
        <w:t xml:space="preserve"> </w:t>
      </w:r>
      <w:r w:rsidR="001822F5">
        <w:rPr>
          <w:rFonts w:ascii="Verdana" w:hAnsi="Verdana"/>
        </w:rPr>
        <w:t xml:space="preserve">This can present challenges for migrant communities, particularly in relation to housing. </w:t>
      </w:r>
      <w:r w:rsidR="00813B06">
        <w:rPr>
          <w:rFonts w:ascii="Verdana" w:hAnsi="Verdana"/>
        </w:rPr>
        <w:t>Paramilitary groups can perpet</w:t>
      </w:r>
      <w:r w:rsidR="00767FD6">
        <w:rPr>
          <w:rFonts w:ascii="Verdana" w:hAnsi="Verdana"/>
        </w:rPr>
        <w:t>rate</w:t>
      </w:r>
      <w:r w:rsidR="00813B06">
        <w:rPr>
          <w:rFonts w:ascii="Verdana" w:hAnsi="Verdana"/>
        </w:rPr>
        <w:t xml:space="preserve"> sectarian or racist intimidation </w:t>
      </w:r>
      <w:r w:rsidR="00326CCA">
        <w:rPr>
          <w:rFonts w:ascii="Verdana" w:hAnsi="Verdana"/>
        </w:rPr>
        <w:t>in public spaces to deter targeted groups from taking up housing in these areas.</w:t>
      </w:r>
      <w:r w:rsidR="00326CCA">
        <w:rPr>
          <w:rStyle w:val="FootnoteReference"/>
          <w:rFonts w:ascii="Verdana" w:hAnsi="Verdana"/>
        </w:rPr>
        <w:footnoteReference w:id="81"/>
      </w:r>
      <w:r w:rsidR="00A978BE">
        <w:rPr>
          <w:rFonts w:ascii="Verdana" w:hAnsi="Verdana"/>
        </w:rPr>
        <w:t xml:space="preserve"> This intimidation can include racist or sectarian graffiti, </w:t>
      </w:r>
      <w:proofErr w:type="gramStart"/>
      <w:r w:rsidR="00A978BE">
        <w:rPr>
          <w:rFonts w:ascii="Verdana" w:hAnsi="Verdana"/>
        </w:rPr>
        <w:t>banners</w:t>
      </w:r>
      <w:proofErr w:type="gramEnd"/>
      <w:r w:rsidR="00A978BE">
        <w:rPr>
          <w:rFonts w:ascii="Verdana" w:hAnsi="Verdana"/>
        </w:rPr>
        <w:t xml:space="preserve"> or the use of flags.</w:t>
      </w:r>
      <w:r w:rsidR="009805D7">
        <w:rPr>
          <w:rStyle w:val="FootnoteReference"/>
          <w:rFonts w:ascii="Verdana" w:hAnsi="Verdana"/>
        </w:rPr>
        <w:footnoteReference w:id="82"/>
      </w:r>
    </w:p>
    <w:p w14:paraId="123F8DEB" w14:textId="77777777" w:rsidR="00C20CBE" w:rsidRDefault="00C20CBE" w:rsidP="00C20CBE">
      <w:pPr>
        <w:pStyle w:val="ListParagraph"/>
        <w:spacing w:line="276" w:lineRule="auto"/>
        <w:rPr>
          <w:rFonts w:ascii="Verdana" w:hAnsi="Verdana"/>
        </w:rPr>
      </w:pPr>
    </w:p>
    <w:p w14:paraId="3044592C" w14:textId="253E783C" w:rsidR="00C20CBE" w:rsidRDefault="00C20CBE" w:rsidP="00ED3C15">
      <w:pPr>
        <w:pStyle w:val="ListParagraph"/>
        <w:numPr>
          <w:ilvl w:val="1"/>
          <w:numId w:val="12"/>
        </w:numPr>
        <w:spacing w:line="276" w:lineRule="auto"/>
        <w:ind w:left="720"/>
        <w:rPr>
          <w:rFonts w:ascii="Verdana" w:hAnsi="Verdana"/>
        </w:rPr>
      </w:pPr>
      <w:r>
        <w:rPr>
          <w:rFonts w:ascii="Verdana" w:hAnsi="Verdana"/>
        </w:rPr>
        <w:t>The presence of paramilitary organisations in NI has an impact on access to justice</w:t>
      </w:r>
      <w:r w:rsidR="002B6304">
        <w:rPr>
          <w:rFonts w:ascii="Verdana" w:hAnsi="Verdana"/>
        </w:rPr>
        <w:t xml:space="preserve"> for victims of racially motivated hate crimes as there is often a reluctance to report crimes to the Police Service NI</w:t>
      </w:r>
      <w:r w:rsidR="00BE0867">
        <w:rPr>
          <w:rFonts w:ascii="Verdana" w:hAnsi="Verdana"/>
        </w:rPr>
        <w:t>.</w:t>
      </w:r>
      <w:r w:rsidR="00BE0867">
        <w:rPr>
          <w:rStyle w:val="FootnoteReference"/>
          <w:rFonts w:ascii="Verdana" w:hAnsi="Verdana"/>
        </w:rPr>
        <w:footnoteReference w:id="83"/>
      </w:r>
      <w:r w:rsidR="003E029B">
        <w:rPr>
          <w:rFonts w:ascii="Verdana" w:hAnsi="Verdana"/>
        </w:rPr>
        <w:t xml:space="preserve"> Women are particularly vulnerable to paramilitary intimidation.</w:t>
      </w:r>
      <w:r w:rsidR="003E029B">
        <w:rPr>
          <w:rStyle w:val="FootnoteReference"/>
          <w:rFonts w:ascii="Verdana" w:hAnsi="Verdana"/>
        </w:rPr>
        <w:footnoteReference w:id="84"/>
      </w:r>
    </w:p>
    <w:p w14:paraId="09BCFC05" w14:textId="77777777" w:rsidR="009805D7" w:rsidRDefault="009805D7" w:rsidP="009805D7">
      <w:pPr>
        <w:pStyle w:val="ListParagraph"/>
        <w:spacing w:line="276" w:lineRule="auto"/>
        <w:rPr>
          <w:rFonts w:ascii="Verdana" w:hAnsi="Verdana"/>
        </w:rPr>
      </w:pPr>
    </w:p>
    <w:p w14:paraId="79B2A975" w14:textId="5F12B891" w:rsidR="009805D7" w:rsidRPr="0072610E" w:rsidRDefault="009805D7" w:rsidP="00ED3C15">
      <w:pPr>
        <w:pStyle w:val="ListParagraph"/>
        <w:numPr>
          <w:ilvl w:val="1"/>
          <w:numId w:val="12"/>
        </w:numPr>
        <w:spacing w:line="276" w:lineRule="auto"/>
        <w:ind w:left="720"/>
        <w:rPr>
          <w:rFonts w:ascii="Verdana" w:hAnsi="Verdana"/>
        </w:rPr>
      </w:pPr>
      <w:r>
        <w:rPr>
          <w:rFonts w:ascii="Verdana" w:hAnsi="Verdana"/>
          <w:b/>
          <w:bCs/>
        </w:rPr>
        <w:t xml:space="preserve">The </w:t>
      </w:r>
      <w:r w:rsidR="00EB3873">
        <w:rPr>
          <w:rFonts w:ascii="Verdana" w:hAnsi="Verdana"/>
          <w:b/>
          <w:bCs/>
        </w:rPr>
        <w:t>Commit</w:t>
      </w:r>
      <w:r w:rsidR="00832FE4">
        <w:rPr>
          <w:rFonts w:ascii="Verdana" w:hAnsi="Verdana"/>
          <w:b/>
          <w:bCs/>
        </w:rPr>
        <w:t xml:space="preserve">tee may wish to ask the UK Government and NI Executive </w:t>
      </w:r>
      <w:r w:rsidR="009A42D9">
        <w:rPr>
          <w:rFonts w:ascii="Verdana" w:hAnsi="Verdana"/>
          <w:b/>
          <w:bCs/>
        </w:rPr>
        <w:t xml:space="preserve">what effective steps they </w:t>
      </w:r>
      <w:r w:rsidR="00832FE4">
        <w:rPr>
          <w:rFonts w:ascii="Verdana" w:hAnsi="Verdana"/>
          <w:b/>
          <w:bCs/>
        </w:rPr>
        <w:t>ha</w:t>
      </w:r>
      <w:r w:rsidR="00E83E9C">
        <w:rPr>
          <w:rFonts w:ascii="Verdana" w:hAnsi="Verdana"/>
          <w:b/>
          <w:bCs/>
        </w:rPr>
        <w:t>ve</w:t>
      </w:r>
      <w:r w:rsidR="00832FE4">
        <w:rPr>
          <w:rFonts w:ascii="Verdana" w:hAnsi="Verdana"/>
          <w:b/>
          <w:bCs/>
        </w:rPr>
        <w:t xml:space="preserve"> taken to address the specific effect of </w:t>
      </w:r>
      <w:r w:rsidR="00AA5941">
        <w:rPr>
          <w:rFonts w:ascii="Verdana" w:hAnsi="Verdana"/>
          <w:b/>
          <w:bCs/>
        </w:rPr>
        <w:t xml:space="preserve">continued </w:t>
      </w:r>
      <w:r w:rsidR="00832FE4">
        <w:rPr>
          <w:rFonts w:ascii="Verdana" w:hAnsi="Verdana"/>
          <w:b/>
          <w:bCs/>
        </w:rPr>
        <w:t>paramilitarism</w:t>
      </w:r>
      <w:r w:rsidR="00AA5941">
        <w:rPr>
          <w:rFonts w:ascii="Verdana" w:hAnsi="Verdana"/>
          <w:b/>
          <w:bCs/>
        </w:rPr>
        <w:t xml:space="preserve"> </w:t>
      </w:r>
      <w:r w:rsidR="00832FE4">
        <w:rPr>
          <w:rFonts w:ascii="Verdana" w:hAnsi="Verdana"/>
          <w:b/>
          <w:bCs/>
        </w:rPr>
        <w:t xml:space="preserve">on racial and ethnic minorities </w:t>
      </w:r>
      <w:r w:rsidR="00AA5941">
        <w:rPr>
          <w:rFonts w:ascii="Verdana" w:hAnsi="Verdana"/>
          <w:b/>
          <w:bCs/>
        </w:rPr>
        <w:t>in NI, including through effective monitoring and adequate allocation of resources.</w:t>
      </w:r>
    </w:p>
    <w:p w14:paraId="5FE379EA" w14:textId="77777777" w:rsidR="0072610E" w:rsidRDefault="0072610E" w:rsidP="0072610E">
      <w:pPr>
        <w:rPr>
          <w:rFonts w:ascii="Verdana" w:hAnsi="Verdana"/>
          <w:b/>
          <w:bCs/>
        </w:rPr>
      </w:pPr>
    </w:p>
    <w:p w14:paraId="30D8E591" w14:textId="600FD8CD" w:rsidR="0072610E" w:rsidRDefault="00412948" w:rsidP="0072610E">
      <w:pPr>
        <w:pStyle w:val="Heading1"/>
        <w:numPr>
          <w:ilvl w:val="0"/>
          <w:numId w:val="12"/>
        </w:numPr>
      </w:pPr>
      <w:bookmarkStart w:id="20" w:name="_Toc165632773"/>
      <w:r>
        <w:t>Sectarianism</w:t>
      </w:r>
      <w:bookmarkEnd w:id="20"/>
    </w:p>
    <w:p w14:paraId="39FCDFAA" w14:textId="77777777" w:rsidR="00412948" w:rsidRPr="00412948" w:rsidRDefault="00412948" w:rsidP="00412948"/>
    <w:p w14:paraId="2CF864C7" w14:textId="0B1957B9" w:rsidR="00225C56" w:rsidRDefault="00FD3818" w:rsidP="00ED3C15">
      <w:pPr>
        <w:pStyle w:val="ListParagraph"/>
        <w:numPr>
          <w:ilvl w:val="1"/>
          <w:numId w:val="12"/>
        </w:numPr>
        <w:spacing w:line="276" w:lineRule="auto"/>
        <w:ind w:left="720"/>
        <w:rPr>
          <w:rFonts w:ascii="Verdana" w:hAnsi="Verdana"/>
          <w:b/>
          <w:bCs/>
        </w:rPr>
      </w:pPr>
      <w:r w:rsidRPr="00FD3818">
        <w:rPr>
          <w:rFonts w:ascii="Verdana" w:hAnsi="Verdana"/>
        </w:rPr>
        <w:t>The level of sectarian incidents in NI in 2022/2023 is the second highest recorded since 2015/2016.</w:t>
      </w:r>
      <w:r>
        <w:rPr>
          <w:rStyle w:val="FootnoteReference"/>
          <w:rFonts w:ascii="Verdana" w:hAnsi="Verdana"/>
        </w:rPr>
        <w:footnoteReference w:id="85"/>
      </w:r>
      <w:r w:rsidR="00F003AA" w:rsidRPr="00FD3818">
        <w:rPr>
          <w:rFonts w:ascii="Verdana" w:hAnsi="Verdana"/>
          <w:b/>
          <w:bCs/>
        </w:rPr>
        <w:t xml:space="preserve"> </w:t>
      </w:r>
    </w:p>
    <w:p w14:paraId="1B009505" w14:textId="77777777" w:rsidR="00225C56" w:rsidRDefault="00225C56" w:rsidP="00225C56">
      <w:pPr>
        <w:pStyle w:val="ListParagraph"/>
        <w:spacing w:line="276" w:lineRule="auto"/>
        <w:rPr>
          <w:rFonts w:ascii="Verdana" w:hAnsi="Verdana"/>
          <w:b/>
          <w:bCs/>
        </w:rPr>
      </w:pPr>
    </w:p>
    <w:p w14:paraId="7795F656" w14:textId="6CA8E4F9" w:rsidR="00B90FD9" w:rsidRPr="001E6E3F" w:rsidRDefault="00225C56">
      <w:pPr>
        <w:pStyle w:val="ListParagraph"/>
        <w:numPr>
          <w:ilvl w:val="1"/>
          <w:numId w:val="12"/>
        </w:numPr>
        <w:spacing w:line="276" w:lineRule="auto"/>
        <w:ind w:left="720"/>
        <w:rPr>
          <w:rFonts w:ascii="Verdana" w:hAnsi="Verdana"/>
          <w:b/>
          <w:bCs/>
        </w:rPr>
      </w:pPr>
      <w:r w:rsidRPr="001E6E3F">
        <w:rPr>
          <w:rFonts w:ascii="Verdana" w:hAnsi="Verdana"/>
        </w:rPr>
        <w:t xml:space="preserve">The </w:t>
      </w:r>
      <w:r w:rsidR="00B85C5F">
        <w:rPr>
          <w:rFonts w:ascii="Verdana" w:hAnsi="Verdana"/>
        </w:rPr>
        <w:t>‘</w:t>
      </w:r>
      <w:r w:rsidRPr="001E6E3F">
        <w:rPr>
          <w:rFonts w:ascii="Verdana" w:hAnsi="Verdana"/>
        </w:rPr>
        <w:t>New Decade, New Approach</w:t>
      </w:r>
      <w:r w:rsidR="00B85C5F">
        <w:rPr>
          <w:rFonts w:ascii="Verdana" w:hAnsi="Verdana"/>
        </w:rPr>
        <w:t>’</w:t>
      </w:r>
      <w:r w:rsidRPr="001E6E3F">
        <w:rPr>
          <w:rFonts w:ascii="Verdana" w:hAnsi="Verdana"/>
        </w:rPr>
        <w:t xml:space="preserve"> Agreement </w:t>
      </w:r>
      <w:r w:rsidR="001D624E">
        <w:rPr>
          <w:rFonts w:ascii="Verdana" w:hAnsi="Verdana"/>
        </w:rPr>
        <w:t xml:space="preserve">in </w:t>
      </w:r>
      <w:r w:rsidRPr="001E6E3F">
        <w:rPr>
          <w:rFonts w:ascii="Verdana" w:hAnsi="Verdana"/>
        </w:rPr>
        <w:t xml:space="preserve">2020 recognised “the need to tackle sectarianism… in seeking to eliminate discrimination… [and] to see sectarianism given legal expression as </w:t>
      </w:r>
      <w:r w:rsidRPr="001E6E3F">
        <w:rPr>
          <w:rFonts w:ascii="Verdana" w:hAnsi="Verdana"/>
        </w:rPr>
        <w:lastRenderedPageBreak/>
        <w:t>a hate crime”.</w:t>
      </w:r>
      <w:r w:rsidRPr="00010549">
        <w:rPr>
          <w:rStyle w:val="FootnoteReference"/>
          <w:rFonts w:ascii="Verdana" w:hAnsi="Verdana"/>
        </w:rPr>
        <w:footnoteReference w:id="86"/>
      </w:r>
      <w:r w:rsidR="00134A10" w:rsidRPr="001E6E3F">
        <w:rPr>
          <w:rFonts w:ascii="Verdana" w:hAnsi="Verdana"/>
        </w:rPr>
        <w:t xml:space="preserve"> In 2021, the Department of Justice agreed in principle to define sectarian offences in NI legislation.</w:t>
      </w:r>
      <w:r w:rsidR="00134A10" w:rsidRPr="00CD5F57">
        <w:rPr>
          <w:rStyle w:val="FootnoteReference"/>
          <w:rFonts w:ascii="Verdana" w:hAnsi="Verdana"/>
        </w:rPr>
        <w:footnoteReference w:id="87"/>
      </w:r>
      <w:r w:rsidR="00CD5F57" w:rsidRPr="001E6E3F">
        <w:rPr>
          <w:rFonts w:ascii="Verdana" w:hAnsi="Verdana"/>
        </w:rPr>
        <w:t xml:space="preserve"> The Department of Justice also agreed in principle to include a new statutory aggravation for sectarian prejudice (subject to an agreed definition of sectarianism), which could be monitored by the Victims of Crime Commissioner</w:t>
      </w:r>
      <w:r w:rsidR="00CD5F57">
        <w:t>.</w:t>
      </w:r>
      <w:r w:rsidR="00CD5F57">
        <w:rPr>
          <w:rStyle w:val="FootnoteReference"/>
        </w:rPr>
        <w:footnoteReference w:id="88"/>
      </w:r>
      <w:r w:rsidR="001E6E3F">
        <w:t xml:space="preserve"> </w:t>
      </w:r>
      <w:r w:rsidR="009B2963">
        <w:rPr>
          <w:rFonts w:ascii="Verdana" w:hAnsi="Verdana"/>
        </w:rPr>
        <w:t>Progress on the commitment</w:t>
      </w:r>
      <w:r w:rsidR="002B22A9" w:rsidRPr="001E6E3F">
        <w:rPr>
          <w:rFonts w:ascii="Verdana" w:hAnsi="Verdana"/>
        </w:rPr>
        <w:t xml:space="preserve"> was hindered by the suspension of the NI Executive and NI Assembly.</w:t>
      </w:r>
    </w:p>
    <w:p w14:paraId="13768460" w14:textId="77777777" w:rsidR="00C848F7" w:rsidRPr="00C848F7" w:rsidRDefault="00C848F7" w:rsidP="00C848F7">
      <w:pPr>
        <w:pStyle w:val="ListParagraph"/>
        <w:rPr>
          <w:rFonts w:ascii="Verdana" w:hAnsi="Verdana"/>
          <w:b/>
          <w:bCs/>
        </w:rPr>
      </w:pPr>
    </w:p>
    <w:p w14:paraId="03D813A6" w14:textId="414684EC" w:rsidR="00C848F7" w:rsidRDefault="00C848F7" w:rsidP="00ED3C15">
      <w:pPr>
        <w:pStyle w:val="ListParagraph"/>
        <w:numPr>
          <w:ilvl w:val="1"/>
          <w:numId w:val="12"/>
        </w:numPr>
        <w:spacing w:line="276" w:lineRule="auto"/>
        <w:ind w:left="720"/>
        <w:rPr>
          <w:rFonts w:ascii="Verdana" w:hAnsi="Verdana"/>
          <w:b/>
          <w:bCs/>
        </w:rPr>
      </w:pPr>
      <w:r>
        <w:rPr>
          <w:rFonts w:ascii="Verdana" w:hAnsi="Verdana"/>
          <w:b/>
          <w:bCs/>
        </w:rPr>
        <w:t>The Committee may wish to ask the UK Govern</w:t>
      </w:r>
      <w:r w:rsidRPr="009A2843">
        <w:rPr>
          <w:rFonts w:ascii="Verdana" w:hAnsi="Verdana"/>
          <w:b/>
          <w:bCs/>
        </w:rPr>
        <w:t xml:space="preserve">ment and NI Executive what effective steps </w:t>
      </w:r>
      <w:r w:rsidR="005651C6">
        <w:rPr>
          <w:rFonts w:ascii="Verdana" w:hAnsi="Verdana"/>
          <w:b/>
          <w:bCs/>
        </w:rPr>
        <w:t>they are</w:t>
      </w:r>
      <w:r w:rsidRPr="009A2843">
        <w:rPr>
          <w:rFonts w:ascii="Verdana" w:hAnsi="Verdana"/>
          <w:b/>
          <w:bCs/>
        </w:rPr>
        <w:t xml:space="preserve"> taking to </w:t>
      </w:r>
      <w:r w:rsidR="009A2843" w:rsidRPr="009A2843">
        <w:rPr>
          <w:rFonts w:ascii="Verdana" w:hAnsi="Verdana"/>
          <w:b/>
          <w:bCs/>
        </w:rPr>
        <w:t>introduce statutory definitions of ‘sectarianism’ and ‘good relations’ in NI.</w:t>
      </w:r>
    </w:p>
    <w:p w14:paraId="3E5C1DA3" w14:textId="77777777" w:rsidR="007A141A" w:rsidRDefault="007A141A" w:rsidP="007A141A">
      <w:pPr>
        <w:rPr>
          <w:rFonts w:ascii="Verdana" w:hAnsi="Verdana"/>
          <w:b/>
          <w:bCs/>
        </w:rPr>
      </w:pPr>
    </w:p>
    <w:p w14:paraId="32A8B5E1" w14:textId="0F31CDC2" w:rsidR="007A141A" w:rsidRDefault="00BC7B0E" w:rsidP="007A141A">
      <w:pPr>
        <w:pStyle w:val="Heading1"/>
        <w:numPr>
          <w:ilvl w:val="0"/>
          <w:numId w:val="12"/>
        </w:numPr>
      </w:pPr>
      <w:bookmarkStart w:id="21" w:name="_Toc165632774"/>
      <w:r>
        <w:t>E</w:t>
      </w:r>
      <w:r w:rsidR="007A141A">
        <w:t>conomic, Social and Cultural Rights</w:t>
      </w:r>
      <w:bookmarkEnd w:id="21"/>
    </w:p>
    <w:p w14:paraId="4232B4F7" w14:textId="77777777" w:rsidR="007A141A" w:rsidRDefault="007A141A" w:rsidP="007A141A"/>
    <w:p w14:paraId="33F28201" w14:textId="294D56A8" w:rsidR="007F70FF" w:rsidRDefault="00EE40E0" w:rsidP="007F70FF">
      <w:pPr>
        <w:pStyle w:val="Heading2"/>
      </w:pPr>
      <w:bookmarkStart w:id="22" w:name="_Toc165632775"/>
      <w:r>
        <w:t>Poverty</w:t>
      </w:r>
      <w:bookmarkEnd w:id="22"/>
    </w:p>
    <w:p w14:paraId="01D5564A" w14:textId="77777777" w:rsidR="007F70FF" w:rsidRPr="007F70FF" w:rsidRDefault="007F70FF" w:rsidP="007F70FF"/>
    <w:p w14:paraId="32A2318C" w14:textId="00566959" w:rsidR="00C01F4B" w:rsidRPr="004B62C0" w:rsidRDefault="00AC44EF" w:rsidP="00206B06">
      <w:pPr>
        <w:pStyle w:val="ListParagraph"/>
        <w:numPr>
          <w:ilvl w:val="1"/>
          <w:numId w:val="12"/>
        </w:numPr>
        <w:ind w:left="709"/>
        <w:rPr>
          <w:rFonts w:ascii="Verdana" w:hAnsi="Verdana"/>
          <w:color w:val="000000"/>
        </w:rPr>
      </w:pPr>
      <w:r w:rsidRPr="004B62C0">
        <w:rPr>
          <w:rFonts w:ascii="Verdana" w:hAnsi="Verdana"/>
        </w:rPr>
        <w:t>In 2022/23, 18 per cent of individuals in NI (approximately 349,000), were considered to be in relative poverty, while 14 per cent of individuals (approximately 271,000) were considered to be in absolute poverty.</w:t>
      </w:r>
      <w:r w:rsidRPr="004B62C0">
        <w:rPr>
          <w:rStyle w:val="FootnoteReference"/>
          <w:rFonts w:ascii="Verdana" w:hAnsi="Verdana"/>
        </w:rPr>
        <w:footnoteReference w:id="89"/>
      </w:r>
      <w:r>
        <w:t xml:space="preserve"> </w:t>
      </w:r>
      <w:r w:rsidR="00501642" w:rsidRPr="004B62C0">
        <w:rPr>
          <w:rFonts w:ascii="Verdana" w:hAnsi="Verdana"/>
          <w:color w:val="000000"/>
        </w:rPr>
        <w:t xml:space="preserve">The need for </w:t>
      </w:r>
      <w:r w:rsidR="00501642" w:rsidRPr="004B62C0">
        <w:rPr>
          <w:rFonts w:ascii="Verdana" w:eastAsia="MS Mincho" w:hAnsi="Verdana"/>
          <w:color w:val="000000"/>
        </w:rPr>
        <w:t>warm banks was emerging across NI and the use of foodbanks increased.</w:t>
      </w:r>
      <w:r w:rsidR="00501642" w:rsidRPr="00382489">
        <w:rPr>
          <w:rStyle w:val="FootnoteReference"/>
          <w:rFonts w:ascii="Verdana" w:eastAsia="MS Mincho" w:hAnsi="Verdana"/>
          <w:color w:val="000000"/>
        </w:rPr>
        <w:footnoteReference w:id="90"/>
      </w:r>
      <w:r w:rsidR="00501642" w:rsidRPr="004B62C0">
        <w:rPr>
          <w:rFonts w:ascii="Verdana" w:eastAsia="MS Mincho" w:hAnsi="Verdana"/>
          <w:color w:val="000000"/>
        </w:rPr>
        <w:t xml:space="preserve"> </w:t>
      </w:r>
      <w:r w:rsidR="00382489" w:rsidRPr="004B62C0">
        <w:rPr>
          <w:rFonts w:ascii="Verdana" w:eastAsia="MS Mincho" w:hAnsi="Verdana"/>
          <w:color w:val="000000"/>
        </w:rPr>
        <w:t>Additionally, food costs rose, particularly for individuals with specific dietary requirements.</w:t>
      </w:r>
      <w:r w:rsidR="00382489" w:rsidRPr="00C01F4B">
        <w:rPr>
          <w:rStyle w:val="FootnoteReference"/>
          <w:rFonts w:ascii="Verdana" w:eastAsia="MS Mincho" w:hAnsi="Verdana"/>
          <w:color w:val="000000"/>
        </w:rPr>
        <w:footnoteReference w:id="91"/>
      </w:r>
      <w:r w:rsidR="00C01F4B" w:rsidRPr="004B62C0">
        <w:rPr>
          <w:rFonts w:ascii="Verdana" w:hAnsi="Verdana"/>
          <w:color w:val="000000"/>
        </w:rPr>
        <w:t xml:space="preserve"> In 2023, it was reported that the lack of a functioning NI Executive and Assembly means that NI is the only </w:t>
      </w:r>
      <w:r w:rsidR="00C01F4B" w:rsidRPr="004B62C0">
        <w:rPr>
          <w:rFonts w:ascii="Verdana" w:hAnsi="Verdana"/>
          <w:color w:val="000000"/>
        </w:rPr>
        <w:lastRenderedPageBreak/>
        <w:t>part of the UK without a policy response to the rising cost of living.</w:t>
      </w:r>
      <w:r w:rsidR="00C01F4B" w:rsidRPr="00C01F4B">
        <w:rPr>
          <w:rStyle w:val="FootnoteReference"/>
          <w:rFonts w:ascii="Verdana" w:hAnsi="Verdana"/>
          <w:color w:val="000000"/>
        </w:rPr>
        <w:footnoteReference w:id="92"/>
      </w:r>
      <w:r w:rsidR="00C01F4B" w:rsidRPr="004B62C0">
        <w:rPr>
          <w:rFonts w:ascii="Verdana" w:hAnsi="Verdana"/>
          <w:color w:val="000000"/>
        </w:rPr>
        <w:t xml:space="preserve"> </w:t>
      </w:r>
    </w:p>
    <w:p w14:paraId="3FA31955" w14:textId="77777777" w:rsidR="00952255" w:rsidRDefault="00952255" w:rsidP="00952255">
      <w:pPr>
        <w:pStyle w:val="ListParagraph"/>
        <w:ind w:left="709"/>
        <w:rPr>
          <w:rFonts w:ascii="Verdana" w:hAnsi="Verdana"/>
          <w:color w:val="000000"/>
        </w:rPr>
      </w:pPr>
    </w:p>
    <w:p w14:paraId="1E03C733" w14:textId="1672EC37" w:rsidR="00952255" w:rsidRDefault="00952255" w:rsidP="00952255">
      <w:pPr>
        <w:pStyle w:val="ListParagraph"/>
        <w:numPr>
          <w:ilvl w:val="1"/>
          <w:numId w:val="12"/>
        </w:numPr>
        <w:ind w:left="709"/>
        <w:rPr>
          <w:rFonts w:ascii="Verdana" w:hAnsi="Verdana"/>
          <w:color w:val="000000"/>
        </w:rPr>
      </w:pPr>
      <w:r>
        <w:rPr>
          <w:rFonts w:ascii="Verdana" w:hAnsi="Verdana"/>
          <w:color w:val="000000"/>
        </w:rPr>
        <w:t xml:space="preserve">In 2022, research identified that </w:t>
      </w:r>
      <w:r w:rsidR="70C25602">
        <w:rPr>
          <w:rFonts w:ascii="Verdana" w:hAnsi="Verdana"/>
          <w:color w:val="000000"/>
        </w:rPr>
        <w:t xml:space="preserve">inequalities </w:t>
      </w:r>
      <w:r>
        <w:rPr>
          <w:rFonts w:ascii="Verdana" w:hAnsi="Verdana"/>
          <w:color w:val="000000"/>
        </w:rPr>
        <w:t>in employment is a key issue impeding minority ethnic groups from moving out of poverty, with migrant workers over-represented in low paid work in NI, while Traveller</w:t>
      </w:r>
      <w:r w:rsidR="00A51EE8">
        <w:rPr>
          <w:rFonts w:ascii="Verdana" w:hAnsi="Verdana"/>
          <w:color w:val="000000"/>
        </w:rPr>
        <w:t>s</w:t>
      </w:r>
      <w:r>
        <w:rPr>
          <w:rFonts w:ascii="Verdana" w:hAnsi="Verdana"/>
          <w:color w:val="000000"/>
        </w:rPr>
        <w:t xml:space="preserve"> are less likely to be in employment than other ethnic groups.</w:t>
      </w:r>
      <w:r>
        <w:rPr>
          <w:rStyle w:val="FootnoteReference"/>
          <w:rFonts w:ascii="Verdana" w:hAnsi="Verdana"/>
          <w:color w:val="000000"/>
        </w:rPr>
        <w:footnoteReference w:id="93"/>
      </w:r>
      <w:r>
        <w:rPr>
          <w:rFonts w:ascii="Verdana" w:hAnsi="Verdana"/>
          <w:color w:val="000000"/>
        </w:rPr>
        <w:t xml:space="preserve"> </w:t>
      </w:r>
    </w:p>
    <w:p w14:paraId="254D4EF5" w14:textId="77777777" w:rsidR="00C01F4B" w:rsidRPr="00C01F4B" w:rsidRDefault="00C01F4B" w:rsidP="00C01F4B">
      <w:pPr>
        <w:rPr>
          <w:rFonts w:ascii="Verdana" w:hAnsi="Verdana"/>
          <w:color w:val="000000"/>
        </w:rPr>
      </w:pPr>
    </w:p>
    <w:p w14:paraId="563FA3E2" w14:textId="4A0BDE81" w:rsidR="00C0193F" w:rsidRPr="00B04421" w:rsidRDefault="00BA08B6">
      <w:pPr>
        <w:pStyle w:val="ListParagraph"/>
        <w:numPr>
          <w:ilvl w:val="1"/>
          <w:numId w:val="12"/>
        </w:numPr>
        <w:spacing w:line="276" w:lineRule="auto"/>
        <w:ind w:left="720"/>
        <w:rPr>
          <w:rFonts w:ascii="Verdana" w:hAnsi="Verdana"/>
        </w:rPr>
      </w:pPr>
      <w:r>
        <w:rPr>
          <w:rFonts w:ascii="Verdana" w:hAnsi="Verdana"/>
          <w:b/>
          <w:bCs/>
        </w:rPr>
        <w:t>The Committee may wish to ask</w:t>
      </w:r>
      <w:r w:rsidR="00D340FD" w:rsidRPr="00D340FD">
        <w:rPr>
          <w:rFonts w:ascii="Verdana" w:hAnsi="Verdana"/>
          <w:b/>
          <w:bCs/>
        </w:rPr>
        <w:t xml:space="preserve"> </w:t>
      </w:r>
      <w:r>
        <w:rPr>
          <w:rFonts w:ascii="Verdana" w:hAnsi="Verdana"/>
          <w:b/>
          <w:bCs/>
        </w:rPr>
        <w:t xml:space="preserve">the UK Government and NI Executive </w:t>
      </w:r>
      <w:r w:rsidR="005901AB">
        <w:rPr>
          <w:rFonts w:ascii="Verdana" w:hAnsi="Verdana"/>
          <w:b/>
          <w:bCs/>
        </w:rPr>
        <w:t>what effective steps they</w:t>
      </w:r>
      <w:r>
        <w:rPr>
          <w:rFonts w:ascii="Verdana" w:hAnsi="Verdana"/>
          <w:b/>
          <w:bCs/>
        </w:rPr>
        <w:t xml:space="preserve"> </w:t>
      </w:r>
      <w:r w:rsidR="00D75638">
        <w:rPr>
          <w:rFonts w:ascii="Verdana" w:hAnsi="Verdana"/>
          <w:b/>
          <w:bCs/>
        </w:rPr>
        <w:t>are</w:t>
      </w:r>
      <w:r w:rsidR="00A15782">
        <w:rPr>
          <w:rFonts w:ascii="Verdana" w:hAnsi="Verdana"/>
          <w:b/>
          <w:bCs/>
        </w:rPr>
        <w:t xml:space="preserve"> taking to eradicate </w:t>
      </w:r>
      <w:r w:rsidR="003C1768">
        <w:rPr>
          <w:rFonts w:ascii="Verdana" w:hAnsi="Verdana"/>
          <w:b/>
          <w:bCs/>
        </w:rPr>
        <w:t xml:space="preserve">the disproportionate </w:t>
      </w:r>
      <w:r w:rsidR="00B04421">
        <w:rPr>
          <w:rFonts w:ascii="Verdana" w:hAnsi="Verdana"/>
          <w:b/>
          <w:bCs/>
        </w:rPr>
        <w:t xml:space="preserve">effect of </w:t>
      </w:r>
      <w:r w:rsidR="00A15782">
        <w:rPr>
          <w:rFonts w:ascii="Verdana" w:hAnsi="Verdana"/>
          <w:b/>
          <w:bCs/>
        </w:rPr>
        <w:t>poverty</w:t>
      </w:r>
      <w:r w:rsidR="00B04421">
        <w:rPr>
          <w:rFonts w:ascii="Verdana" w:hAnsi="Verdana"/>
          <w:b/>
          <w:bCs/>
        </w:rPr>
        <w:t xml:space="preserve"> on minority ethnic groups</w:t>
      </w:r>
      <w:r w:rsidR="00A15782">
        <w:rPr>
          <w:rFonts w:ascii="Verdana" w:hAnsi="Verdana"/>
          <w:b/>
          <w:bCs/>
        </w:rPr>
        <w:t xml:space="preserve"> in NI</w:t>
      </w:r>
      <w:r w:rsidR="00B92D9A">
        <w:rPr>
          <w:rFonts w:ascii="Verdana" w:hAnsi="Verdana"/>
          <w:b/>
          <w:bCs/>
        </w:rPr>
        <w:t>.</w:t>
      </w:r>
    </w:p>
    <w:p w14:paraId="4A976B4A" w14:textId="77777777" w:rsidR="00BC7B0E" w:rsidRDefault="00BC7B0E" w:rsidP="00BC7B0E">
      <w:pPr>
        <w:rPr>
          <w:rFonts w:ascii="Verdana" w:hAnsi="Verdana"/>
        </w:rPr>
      </w:pPr>
    </w:p>
    <w:p w14:paraId="00630415" w14:textId="423C74DB" w:rsidR="00256DB9" w:rsidRDefault="00256DB9" w:rsidP="00256DB9">
      <w:pPr>
        <w:pStyle w:val="Heading2"/>
      </w:pPr>
      <w:bookmarkStart w:id="24" w:name="_Toc165632776"/>
      <w:r>
        <w:t>No Recourse to Public Funds</w:t>
      </w:r>
      <w:bookmarkEnd w:id="24"/>
    </w:p>
    <w:p w14:paraId="6EDD487F" w14:textId="77777777" w:rsidR="00256DB9" w:rsidRPr="00256DB9" w:rsidRDefault="00256DB9" w:rsidP="00256DB9"/>
    <w:p w14:paraId="6FD580D4" w14:textId="36BA275E" w:rsidR="00930302" w:rsidRDefault="00256DB9">
      <w:pPr>
        <w:pStyle w:val="ListParagraph"/>
        <w:numPr>
          <w:ilvl w:val="1"/>
          <w:numId w:val="12"/>
        </w:numPr>
        <w:spacing w:line="276" w:lineRule="auto"/>
        <w:ind w:left="720"/>
        <w:rPr>
          <w:rFonts w:ascii="Verdana" w:hAnsi="Verdana"/>
        </w:rPr>
      </w:pPr>
      <w:r w:rsidRPr="009D2B8F">
        <w:rPr>
          <w:rFonts w:ascii="Verdana" w:hAnsi="Verdana"/>
        </w:rPr>
        <w:t>Migrant women</w:t>
      </w:r>
      <w:r w:rsidR="00D61F65" w:rsidRPr="009D2B8F">
        <w:rPr>
          <w:rFonts w:ascii="Verdana" w:hAnsi="Verdana"/>
        </w:rPr>
        <w:t xml:space="preserve"> without recourse to public funds</w:t>
      </w:r>
      <w:r w:rsidRPr="009D2B8F">
        <w:rPr>
          <w:rFonts w:ascii="Verdana" w:hAnsi="Verdana"/>
        </w:rPr>
        <w:t xml:space="preserve"> </w:t>
      </w:r>
      <w:r w:rsidR="00340371">
        <w:rPr>
          <w:rFonts w:ascii="Verdana" w:hAnsi="Verdana"/>
        </w:rPr>
        <w:t xml:space="preserve">who </w:t>
      </w:r>
      <w:r w:rsidRPr="009D2B8F">
        <w:rPr>
          <w:rFonts w:ascii="Verdana" w:hAnsi="Verdana"/>
        </w:rPr>
        <w:t>experienc</w:t>
      </w:r>
      <w:r w:rsidR="00340371">
        <w:rPr>
          <w:rFonts w:ascii="Verdana" w:hAnsi="Verdana"/>
        </w:rPr>
        <w:t>e</w:t>
      </w:r>
      <w:r w:rsidRPr="009D2B8F">
        <w:rPr>
          <w:rFonts w:ascii="Verdana" w:hAnsi="Verdana"/>
        </w:rPr>
        <w:t xml:space="preserve"> domestic abuse in NI do not have the same </w:t>
      </w:r>
      <w:r w:rsidR="00D61F65" w:rsidRPr="009D2B8F">
        <w:rPr>
          <w:rFonts w:ascii="Verdana" w:hAnsi="Verdana"/>
        </w:rPr>
        <w:t xml:space="preserve">access to </w:t>
      </w:r>
      <w:r w:rsidR="00B4502B" w:rsidRPr="009D2B8F">
        <w:rPr>
          <w:rFonts w:ascii="Verdana" w:hAnsi="Verdana"/>
        </w:rPr>
        <w:t>safe refuge accommodation or other support, including financial support.</w:t>
      </w:r>
      <w:r w:rsidR="00A7643B">
        <w:rPr>
          <w:rStyle w:val="FootnoteReference"/>
          <w:rFonts w:ascii="Verdana" w:hAnsi="Verdana"/>
        </w:rPr>
        <w:footnoteReference w:id="94"/>
      </w:r>
      <w:r w:rsidR="00225B0F">
        <w:t xml:space="preserve"> </w:t>
      </w:r>
      <w:r w:rsidR="00225B0F" w:rsidRPr="009D2B8F">
        <w:rPr>
          <w:rFonts w:ascii="Verdana" w:hAnsi="Verdana"/>
        </w:rPr>
        <w:t>The Destitute Domestic Violence concession allows a person who has leave to remain in the UK as a spouse or partner to apply for indefinite leave to remain where a relationship has broken down due to domestic abuse.</w:t>
      </w:r>
      <w:r w:rsidR="001C718E">
        <w:rPr>
          <w:rStyle w:val="FootnoteReference"/>
          <w:rFonts w:ascii="Verdana" w:hAnsi="Verdana"/>
        </w:rPr>
        <w:footnoteReference w:id="95"/>
      </w:r>
      <w:r w:rsidR="00225B0F" w:rsidRPr="009D2B8F">
        <w:rPr>
          <w:rFonts w:ascii="Verdana" w:hAnsi="Verdana"/>
        </w:rPr>
        <w:t xml:space="preserve"> The strict criteria required to access this concession means that not all migrant victims and survivors of domestic abuse in NI will be able to use this option to access support services.</w:t>
      </w:r>
      <w:r w:rsidR="00BA0571">
        <w:rPr>
          <w:rStyle w:val="FootnoteReference"/>
          <w:rFonts w:ascii="Verdana" w:hAnsi="Verdana"/>
        </w:rPr>
        <w:footnoteReference w:id="96"/>
      </w:r>
      <w:r w:rsidR="00EE443A" w:rsidRPr="009D2B8F">
        <w:rPr>
          <w:rFonts w:ascii="Verdana" w:hAnsi="Verdana"/>
        </w:rPr>
        <w:t xml:space="preserve"> </w:t>
      </w:r>
    </w:p>
    <w:p w14:paraId="5CB60A61" w14:textId="77777777" w:rsidR="009D2B8F" w:rsidRPr="009D2B8F" w:rsidRDefault="009D2B8F" w:rsidP="009D2B8F">
      <w:pPr>
        <w:pStyle w:val="ListParagraph"/>
        <w:spacing w:line="276" w:lineRule="auto"/>
        <w:rPr>
          <w:rFonts w:ascii="Verdana" w:hAnsi="Verdana"/>
        </w:rPr>
      </w:pPr>
    </w:p>
    <w:p w14:paraId="706513E6" w14:textId="62B24211" w:rsidR="007E2837" w:rsidRPr="008E0F72" w:rsidRDefault="00930302">
      <w:pPr>
        <w:pStyle w:val="ListParagraph"/>
        <w:numPr>
          <w:ilvl w:val="1"/>
          <w:numId w:val="12"/>
        </w:numPr>
        <w:spacing w:line="276" w:lineRule="auto"/>
        <w:ind w:left="720"/>
        <w:rPr>
          <w:rFonts w:ascii="Verdana" w:hAnsi="Verdana"/>
        </w:rPr>
      </w:pPr>
      <w:r w:rsidRPr="008E0F72">
        <w:rPr>
          <w:rFonts w:ascii="Verdana" w:hAnsi="Verdana"/>
          <w:b/>
          <w:bCs/>
        </w:rPr>
        <w:t xml:space="preserve">The </w:t>
      </w:r>
      <w:r w:rsidR="00F54835" w:rsidRPr="008E0F72">
        <w:rPr>
          <w:rFonts w:ascii="Verdana" w:hAnsi="Verdana"/>
          <w:b/>
          <w:bCs/>
        </w:rPr>
        <w:t xml:space="preserve">Committee may wish to ask the UK Government and NI Executive </w:t>
      </w:r>
      <w:r w:rsidR="005901AB" w:rsidRPr="008E0F72">
        <w:rPr>
          <w:rFonts w:ascii="Verdana" w:hAnsi="Verdana"/>
          <w:b/>
          <w:bCs/>
        </w:rPr>
        <w:t xml:space="preserve">what effective steps </w:t>
      </w:r>
      <w:r w:rsidR="005901AB">
        <w:rPr>
          <w:rFonts w:ascii="Verdana" w:hAnsi="Verdana"/>
          <w:b/>
          <w:bCs/>
        </w:rPr>
        <w:t xml:space="preserve">they </w:t>
      </w:r>
      <w:r w:rsidR="00F54835" w:rsidRPr="008E0F72">
        <w:rPr>
          <w:rFonts w:ascii="Verdana" w:hAnsi="Verdana"/>
          <w:b/>
          <w:bCs/>
        </w:rPr>
        <w:t>ha</w:t>
      </w:r>
      <w:r w:rsidR="00D75638">
        <w:rPr>
          <w:rFonts w:ascii="Verdana" w:hAnsi="Verdana"/>
          <w:b/>
          <w:bCs/>
        </w:rPr>
        <w:t>ve</w:t>
      </w:r>
      <w:r w:rsidR="00F54835" w:rsidRPr="008E0F72">
        <w:rPr>
          <w:rFonts w:ascii="Verdana" w:hAnsi="Verdana"/>
          <w:b/>
          <w:bCs/>
        </w:rPr>
        <w:t xml:space="preserve"> taken to ensure that migrant women without recourse to public funds </w:t>
      </w:r>
      <w:r w:rsidR="00BA4A00" w:rsidRPr="008E0F72">
        <w:rPr>
          <w:rFonts w:ascii="Verdana" w:hAnsi="Verdana"/>
          <w:b/>
          <w:bCs/>
        </w:rPr>
        <w:t xml:space="preserve">who are victims of domestic abuse in NI can access </w:t>
      </w:r>
      <w:r w:rsidR="001A1158" w:rsidRPr="008E0F72">
        <w:rPr>
          <w:rFonts w:ascii="Verdana" w:hAnsi="Verdana"/>
          <w:b/>
          <w:bCs/>
        </w:rPr>
        <w:t>effective, specialised</w:t>
      </w:r>
      <w:r w:rsidR="00E3122E" w:rsidRPr="008E0F72">
        <w:rPr>
          <w:rFonts w:ascii="Verdana" w:hAnsi="Verdana"/>
          <w:b/>
          <w:bCs/>
        </w:rPr>
        <w:t xml:space="preserve"> services and support on an equal basis.</w:t>
      </w:r>
      <w:r w:rsidR="00CC44AC" w:rsidRPr="008E0F72">
        <w:rPr>
          <w:rFonts w:ascii="Verdana" w:hAnsi="Verdana"/>
          <w:b/>
          <w:bCs/>
        </w:rPr>
        <w:t xml:space="preserve"> </w:t>
      </w:r>
    </w:p>
    <w:p w14:paraId="76AE97EB" w14:textId="77777777" w:rsidR="00F40864" w:rsidRDefault="00F40864" w:rsidP="007E2837">
      <w:pPr>
        <w:pStyle w:val="ListParagraph"/>
        <w:spacing w:line="276" w:lineRule="auto"/>
        <w:rPr>
          <w:rFonts w:ascii="Verdana" w:hAnsi="Verdana"/>
        </w:rPr>
      </w:pPr>
    </w:p>
    <w:p w14:paraId="1F7638AE" w14:textId="77777777" w:rsidR="005B4837" w:rsidRPr="00A44EA8" w:rsidRDefault="005B4837" w:rsidP="007E2837">
      <w:pPr>
        <w:pStyle w:val="ListParagraph"/>
        <w:spacing w:line="276" w:lineRule="auto"/>
        <w:rPr>
          <w:rFonts w:ascii="Verdana" w:hAnsi="Verdana"/>
        </w:rPr>
      </w:pPr>
    </w:p>
    <w:p w14:paraId="3678DEC4" w14:textId="2123A61E" w:rsidR="00B04421" w:rsidRDefault="00D51D31" w:rsidP="00B04421">
      <w:pPr>
        <w:pStyle w:val="Heading2"/>
      </w:pPr>
      <w:bookmarkStart w:id="25" w:name="_Toc165632777"/>
      <w:r>
        <w:lastRenderedPageBreak/>
        <w:t>Irish Traveller Accommodation</w:t>
      </w:r>
      <w:bookmarkEnd w:id="25"/>
    </w:p>
    <w:p w14:paraId="35696D50" w14:textId="77777777" w:rsidR="00D51D31" w:rsidRPr="00D51D31" w:rsidRDefault="00D51D31" w:rsidP="00D51D31"/>
    <w:p w14:paraId="271C0DC1" w14:textId="054AFB5F" w:rsidR="00B04421" w:rsidRDefault="008D2CEC">
      <w:pPr>
        <w:pStyle w:val="ListParagraph"/>
        <w:numPr>
          <w:ilvl w:val="1"/>
          <w:numId w:val="12"/>
        </w:numPr>
        <w:spacing w:line="276" w:lineRule="auto"/>
        <w:ind w:left="720"/>
        <w:rPr>
          <w:rFonts w:ascii="Verdana" w:hAnsi="Verdana"/>
        </w:rPr>
      </w:pPr>
      <w:r w:rsidRPr="004A4746">
        <w:rPr>
          <w:rFonts w:ascii="Verdana" w:hAnsi="Verdana"/>
        </w:rPr>
        <w:t xml:space="preserve">Existing law and practice do not provide for sufficient, </w:t>
      </w:r>
      <w:proofErr w:type="gramStart"/>
      <w:r w:rsidRPr="004A4746">
        <w:rPr>
          <w:rFonts w:ascii="Verdana" w:hAnsi="Verdana"/>
        </w:rPr>
        <w:t>habitable</w:t>
      </w:r>
      <w:proofErr w:type="gramEnd"/>
      <w:r w:rsidRPr="004A4746">
        <w:rPr>
          <w:rFonts w:ascii="Verdana" w:hAnsi="Verdana"/>
        </w:rPr>
        <w:t xml:space="preserve"> and culturally adequate Travellers’ accommodation in NI.</w:t>
      </w:r>
      <w:r w:rsidRPr="004A4746">
        <w:rPr>
          <w:rStyle w:val="FootnoteReference"/>
          <w:rFonts w:ascii="Verdana" w:hAnsi="Verdana"/>
        </w:rPr>
        <w:footnoteReference w:id="97"/>
      </w:r>
      <w:r w:rsidRPr="004A4746">
        <w:rPr>
          <w:rFonts w:ascii="Verdana" w:hAnsi="Verdana"/>
        </w:rPr>
        <w:t xml:space="preserve"> The Unauthorised Encampments (NI) Order 2005 has a disproportionate impact on Traveller communities.</w:t>
      </w:r>
      <w:r w:rsidR="004A4746" w:rsidRPr="004A4746">
        <w:rPr>
          <w:rStyle w:val="FootnoteReference"/>
          <w:rFonts w:ascii="Verdana" w:hAnsi="Verdana"/>
        </w:rPr>
        <w:footnoteReference w:id="98"/>
      </w:r>
    </w:p>
    <w:p w14:paraId="06E1480D" w14:textId="77777777" w:rsidR="000630F0" w:rsidRDefault="000630F0" w:rsidP="000630F0">
      <w:pPr>
        <w:pStyle w:val="ListParagraph"/>
        <w:spacing w:line="276" w:lineRule="auto"/>
        <w:rPr>
          <w:rFonts w:ascii="Verdana" w:hAnsi="Verdana"/>
        </w:rPr>
      </w:pPr>
    </w:p>
    <w:p w14:paraId="52E4CFE9" w14:textId="16670128" w:rsidR="000630F0" w:rsidRPr="008173E7" w:rsidRDefault="000630F0">
      <w:pPr>
        <w:pStyle w:val="ListParagraph"/>
        <w:numPr>
          <w:ilvl w:val="1"/>
          <w:numId w:val="12"/>
        </w:numPr>
        <w:spacing w:line="276" w:lineRule="auto"/>
        <w:ind w:left="720"/>
        <w:rPr>
          <w:rFonts w:ascii="Verdana" w:hAnsi="Verdana"/>
        </w:rPr>
      </w:pPr>
      <w:r>
        <w:rPr>
          <w:rFonts w:ascii="Verdana" w:hAnsi="Verdana"/>
          <w:b/>
          <w:bCs/>
        </w:rPr>
        <w:t xml:space="preserve">The Committee may wish to ask the UK Government and NI Executive </w:t>
      </w:r>
      <w:r w:rsidR="00F544A7">
        <w:rPr>
          <w:rFonts w:ascii="Verdana" w:hAnsi="Verdana"/>
          <w:b/>
          <w:bCs/>
        </w:rPr>
        <w:t xml:space="preserve">what effective steps they </w:t>
      </w:r>
      <w:r w:rsidR="00102E24">
        <w:rPr>
          <w:rFonts w:ascii="Verdana" w:hAnsi="Verdana"/>
          <w:b/>
          <w:bCs/>
        </w:rPr>
        <w:t>ha</w:t>
      </w:r>
      <w:r w:rsidR="00D75638">
        <w:rPr>
          <w:rFonts w:ascii="Verdana" w:hAnsi="Verdana"/>
          <w:b/>
          <w:bCs/>
        </w:rPr>
        <w:t>ve</w:t>
      </w:r>
      <w:r w:rsidR="00102E24">
        <w:rPr>
          <w:rFonts w:ascii="Verdana" w:hAnsi="Verdana"/>
          <w:b/>
          <w:bCs/>
        </w:rPr>
        <w:t xml:space="preserve"> taken </w:t>
      </w:r>
      <w:r w:rsidR="00102E24" w:rsidRPr="00102E24">
        <w:rPr>
          <w:rFonts w:ascii="Verdana" w:hAnsi="Verdana"/>
          <w:b/>
          <w:bCs/>
        </w:rPr>
        <w:t>to ensure that it is recognising and facilitating the cultural rights of Travellers in NI to live their traditional lifestyle</w:t>
      </w:r>
      <w:r w:rsidR="0091741B">
        <w:rPr>
          <w:rFonts w:ascii="Verdana" w:hAnsi="Verdana"/>
          <w:b/>
          <w:bCs/>
        </w:rPr>
        <w:t>.</w:t>
      </w:r>
      <w:r w:rsidR="00102E24" w:rsidRPr="00102E24">
        <w:rPr>
          <w:rFonts w:ascii="Verdana" w:hAnsi="Verdana"/>
          <w:b/>
          <w:bCs/>
        </w:rPr>
        <w:t xml:space="preserve"> This includes ensuring that there is sufficient Traveller-specific accommodation available in NI with sufficient access to essential utilities on a long-term basis, and that the Unauthorised Encampments (NI) Order 2005 is promptly repealed.</w:t>
      </w:r>
    </w:p>
    <w:p w14:paraId="270809EE" w14:textId="77777777" w:rsidR="008173E7" w:rsidRPr="008173E7" w:rsidRDefault="008173E7" w:rsidP="008173E7">
      <w:pPr>
        <w:pStyle w:val="ListParagraph"/>
        <w:rPr>
          <w:rFonts w:ascii="Verdana" w:hAnsi="Verdana"/>
        </w:rPr>
      </w:pPr>
    </w:p>
    <w:p w14:paraId="0AC2EE60" w14:textId="45B616A3" w:rsidR="005741B7" w:rsidRDefault="008616B8" w:rsidP="008616B8">
      <w:pPr>
        <w:pStyle w:val="Heading2"/>
      </w:pPr>
      <w:bookmarkStart w:id="26" w:name="_Toc165632778"/>
      <w:r>
        <w:t>Educational needs of specific groups of children</w:t>
      </w:r>
      <w:bookmarkEnd w:id="26"/>
    </w:p>
    <w:p w14:paraId="41DF0BA6" w14:textId="77777777" w:rsidR="00CC3681" w:rsidRPr="00CC3681" w:rsidRDefault="00CC3681" w:rsidP="00CC3681"/>
    <w:p w14:paraId="050C30B0" w14:textId="7DA3D5A6" w:rsidR="005741B7" w:rsidRDefault="000A137A">
      <w:pPr>
        <w:pStyle w:val="ListParagraph"/>
        <w:numPr>
          <w:ilvl w:val="1"/>
          <w:numId w:val="12"/>
        </w:numPr>
        <w:spacing w:line="276" w:lineRule="auto"/>
        <w:ind w:left="720"/>
        <w:rPr>
          <w:rFonts w:ascii="Verdana" w:hAnsi="Verdana"/>
        </w:rPr>
      </w:pPr>
      <w:r w:rsidRPr="000A137A">
        <w:rPr>
          <w:rFonts w:ascii="Verdana" w:hAnsi="Verdana"/>
        </w:rPr>
        <w:t>I</w:t>
      </w:r>
      <w:r w:rsidR="00C339A3" w:rsidRPr="000A137A">
        <w:rPr>
          <w:rFonts w:ascii="Verdana" w:hAnsi="Verdana"/>
        </w:rPr>
        <w:t>n 2021/2022</w:t>
      </w:r>
      <w:r w:rsidR="008D4F43">
        <w:rPr>
          <w:rFonts w:ascii="Verdana" w:hAnsi="Verdana"/>
        </w:rPr>
        <w:t>,</w:t>
      </w:r>
      <w:r w:rsidR="00C339A3" w:rsidRPr="000A137A">
        <w:rPr>
          <w:rFonts w:ascii="Verdana" w:hAnsi="Verdana"/>
        </w:rPr>
        <w:t xml:space="preserve"> children of migrant families made up 5 percent of all school enrolments in NI.</w:t>
      </w:r>
      <w:r w:rsidR="0005518B">
        <w:rPr>
          <w:rStyle w:val="FootnoteReference"/>
          <w:rFonts w:ascii="Verdana" w:hAnsi="Verdana"/>
        </w:rPr>
        <w:footnoteReference w:id="99"/>
      </w:r>
      <w:r w:rsidR="00C339A3" w:rsidRPr="000A137A">
        <w:rPr>
          <w:rFonts w:ascii="Verdana" w:hAnsi="Verdana"/>
        </w:rPr>
        <w:t xml:space="preserve"> Support in NI is ad-hoc and short-term which impacts provision, including access to language supports, uniform grants, free school meals and free school transport.</w:t>
      </w:r>
      <w:r w:rsidR="0005518B">
        <w:rPr>
          <w:rStyle w:val="FootnoteReference"/>
          <w:rFonts w:ascii="Verdana" w:hAnsi="Verdana"/>
        </w:rPr>
        <w:footnoteReference w:id="100"/>
      </w:r>
    </w:p>
    <w:p w14:paraId="61B85462" w14:textId="77777777" w:rsidR="000A137A" w:rsidRDefault="000A137A" w:rsidP="000A137A">
      <w:pPr>
        <w:pStyle w:val="ListParagraph"/>
        <w:spacing w:line="276" w:lineRule="auto"/>
        <w:rPr>
          <w:rFonts w:ascii="Verdana" w:hAnsi="Verdana"/>
        </w:rPr>
      </w:pPr>
    </w:p>
    <w:p w14:paraId="20892648" w14:textId="307C7D73" w:rsidR="000A137A" w:rsidRPr="00B8119F" w:rsidRDefault="000A137A">
      <w:pPr>
        <w:pStyle w:val="ListParagraph"/>
        <w:numPr>
          <w:ilvl w:val="1"/>
          <w:numId w:val="12"/>
        </w:numPr>
        <w:spacing w:line="276" w:lineRule="auto"/>
        <w:ind w:left="720"/>
        <w:rPr>
          <w:rFonts w:ascii="Verdana" w:hAnsi="Verdana"/>
        </w:rPr>
      </w:pPr>
      <w:r>
        <w:rPr>
          <w:rFonts w:ascii="Verdana" w:hAnsi="Verdana"/>
          <w:b/>
          <w:bCs/>
        </w:rPr>
        <w:t>The Committee may wish to ask</w:t>
      </w:r>
      <w:r w:rsidR="0073230C" w:rsidRPr="0073230C">
        <w:rPr>
          <w:rFonts w:ascii="Verdana" w:hAnsi="Verdana"/>
          <w:b/>
          <w:bCs/>
        </w:rPr>
        <w:t xml:space="preserve"> </w:t>
      </w:r>
      <w:r>
        <w:rPr>
          <w:rFonts w:ascii="Verdana" w:hAnsi="Verdana"/>
          <w:b/>
          <w:bCs/>
        </w:rPr>
        <w:t xml:space="preserve">the UK Government and NI Executive </w:t>
      </w:r>
      <w:r w:rsidR="00F544A7">
        <w:rPr>
          <w:rFonts w:ascii="Verdana" w:hAnsi="Verdana"/>
          <w:b/>
          <w:bCs/>
        </w:rPr>
        <w:t xml:space="preserve">what effective steps they </w:t>
      </w:r>
      <w:r w:rsidR="0073230C">
        <w:rPr>
          <w:rFonts w:ascii="Verdana" w:hAnsi="Verdana"/>
          <w:b/>
          <w:bCs/>
        </w:rPr>
        <w:t>h</w:t>
      </w:r>
      <w:r>
        <w:rPr>
          <w:rFonts w:ascii="Verdana" w:hAnsi="Verdana"/>
          <w:b/>
          <w:bCs/>
        </w:rPr>
        <w:t>a</w:t>
      </w:r>
      <w:r w:rsidR="00D75638">
        <w:rPr>
          <w:rFonts w:ascii="Verdana" w:hAnsi="Verdana"/>
          <w:b/>
          <w:bCs/>
        </w:rPr>
        <w:t>ve</w:t>
      </w:r>
      <w:r>
        <w:rPr>
          <w:rFonts w:ascii="Verdana" w:hAnsi="Verdana"/>
          <w:b/>
          <w:bCs/>
        </w:rPr>
        <w:t xml:space="preserve"> taken to ensure that an </w:t>
      </w:r>
      <w:r w:rsidR="00406DB0">
        <w:rPr>
          <w:rFonts w:ascii="Verdana" w:hAnsi="Verdana"/>
          <w:b/>
          <w:bCs/>
        </w:rPr>
        <w:t xml:space="preserve">up-to-date </w:t>
      </w:r>
      <w:r w:rsidR="00406DB0" w:rsidRPr="00406DB0">
        <w:rPr>
          <w:rFonts w:ascii="Verdana" w:hAnsi="Verdana"/>
          <w:b/>
          <w:bCs/>
        </w:rPr>
        <w:t>policy and action plan for educating children of migrant families is in place in NI and that teacher training is provided that promotes cultural awareness within schools and ensures a curriculum bespoke to pupils’ specific needs and experiences is provided across NI</w:t>
      </w:r>
      <w:r w:rsidR="00BF13C1">
        <w:rPr>
          <w:rFonts w:ascii="Verdana" w:hAnsi="Verdana"/>
          <w:b/>
          <w:bCs/>
        </w:rPr>
        <w:t>.</w:t>
      </w:r>
    </w:p>
    <w:p w14:paraId="3A6ED041" w14:textId="77777777" w:rsidR="00B8119F" w:rsidRPr="00B8119F" w:rsidRDefault="00B8119F" w:rsidP="00B8119F">
      <w:pPr>
        <w:pStyle w:val="ListParagraph"/>
        <w:rPr>
          <w:rFonts w:ascii="Verdana" w:hAnsi="Verdana"/>
        </w:rPr>
      </w:pPr>
    </w:p>
    <w:p w14:paraId="73DE83AF" w14:textId="78B2059D" w:rsidR="00B8119F" w:rsidRDefault="00B8119F">
      <w:pPr>
        <w:pStyle w:val="ListParagraph"/>
        <w:numPr>
          <w:ilvl w:val="1"/>
          <w:numId w:val="12"/>
        </w:numPr>
        <w:spacing w:line="276" w:lineRule="auto"/>
        <w:ind w:left="720"/>
        <w:rPr>
          <w:rFonts w:ascii="Verdana" w:hAnsi="Verdana"/>
        </w:rPr>
      </w:pPr>
      <w:r w:rsidRPr="00B8119F">
        <w:rPr>
          <w:rFonts w:ascii="Verdana" w:hAnsi="Verdana"/>
        </w:rPr>
        <w:lastRenderedPageBreak/>
        <w:t xml:space="preserve">Traveller </w:t>
      </w:r>
      <w:r w:rsidR="00F13384">
        <w:rPr>
          <w:rFonts w:ascii="Verdana" w:hAnsi="Verdana"/>
        </w:rPr>
        <w:t xml:space="preserve">children </w:t>
      </w:r>
      <w:r w:rsidRPr="00B8119F">
        <w:rPr>
          <w:rFonts w:ascii="Verdana" w:hAnsi="Verdana"/>
        </w:rPr>
        <w:t>and Roma children have some of the lowest levels of educational attainment of all equality groups in NI.</w:t>
      </w:r>
      <w:r w:rsidR="00D10CE6">
        <w:rPr>
          <w:rStyle w:val="FootnoteReference"/>
          <w:rFonts w:ascii="Verdana" w:hAnsi="Verdana"/>
        </w:rPr>
        <w:footnoteReference w:id="101"/>
      </w:r>
      <w:r w:rsidRPr="00B8119F">
        <w:rPr>
          <w:rFonts w:ascii="Verdana" w:hAnsi="Verdana"/>
        </w:rPr>
        <w:t xml:space="preserve"> Early intervention, teacher training and a bespoke approach to </w:t>
      </w:r>
      <w:r w:rsidR="00904C6A">
        <w:rPr>
          <w:rFonts w:ascii="Verdana" w:hAnsi="Verdana"/>
        </w:rPr>
        <w:t xml:space="preserve">the </w:t>
      </w:r>
      <w:r w:rsidRPr="00B8119F">
        <w:rPr>
          <w:rFonts w:ascii="Verdana" w:hAnsi="Verdana"/>
        </w:rPr>
        <w:t>school curriculum reflecting a child’s specific needs is required.</w:t>
      </w:r>
      <w:r w:rsidR="000C7D57">
        <w:rPr>
          <w:rStyle w:val="FootnoteReference"/>
          <w:rFonts w:ascii="Verdana" w:hAnsi="Verdana"/>
        </w:rPr>
        <w:footnoteReference w:id="102"/>
      </w:r>
      <w:r w:rsidRPr="00B8119F">
        <w:rPr>
          <w:rFonts w:ascii="Verdana" w:hAnsi="Verdana"/>
        </w:rPr>
        <w:t xml:space="preserve"> The funding required to address the issue c</w:t>
      </w:r>
      <w:r w:rsidR="001E68A0">
        <w:rPr>
          <w:rFonts w:ascii="Verdana" w:hAnsi="Verdana"/>
        </w:rPr>
        <w:t xml:space="preserve">ould not </w:t>
      </w:r>
      <w:r w:rsidRPr="00B8119F">
        <w:rPr>
          <w:rFonts w:ascii="Verdana" w:hAnsi="Verdana"/>
        </w:rPr>
        <w:t xml:space="preserve">be progressed while the NI Executive </w:t>
      </w:r>
      <w:r w:rsidR="001E68A0">
        <w:rPr>
          <w:rFonts w:ascii="Verdana" w:hAnsi="Verdana"/>
        </w:rPr>
        <w:t>was</w:t>
      </w:r>
      <w:r w:rsidRPr="00B8119F">
        <w:rPr>
          <w:rFonts w:ascii="Verdana" w:hAnsi="Verdana"/>
        </w:rPr>
        <w:t xml:space="preserve"> suspended.</w:t>
      </w:r>
      <w:r w:rsidR="00D10CE6">
        <w:rPr>
          <w:rStyle w:val="FootnoteReference"/>
          <w:rFonts w:ascii="Verdana" w:hAnsi="Verdana"/>
        </w:rPr>
        <w:footnoteReference w:id="103"/>
      </w:r>
    </w:p>
    <w:p w14:paraId="3E098D78" w14:textId="77777777" w:rsidR="00B8119F" w:rsidRPr="00B8119F" w:rsidRDefault="00B8119F" w:rsidP="00B8119F">
      <w:pPr>
        <w:pStyle w:val="ListParagraph"/>
        <w:rPr>
          <w:rFonts w:ascii="Verdana" w:hAnsi="Verdana"/>
        </w:rPr>
      </w:pPr>
    </w:p>
    <w:p w14:paraId="017E8973" w14:textId="4F9C68C8" w:rsidR="00B8119F" w:rsidRPr="00F8717F" w:rsidRDefault="00B8119F">
      <w:pPr>
        <w:pStyle w:val="ListParagraph"/>
        <w:numPr>
          <w:ilvl w:val="1"/>
          <w:numId w:val="12"/>
        </w:numPr>
        <w:spacing w:line="276" w:lineRule="auto"/>
        <w:ind w:left="720"/>
        <w:rPr>
          <w:rFonts w:ascii="Verdana" w:hAnsi="Verdana"/>
        </w:rPr>
      </w:pPr>
      <w:r>
        <w:rPr>
          <w:rFonts w:ascii="Verdana" w:hAnsi="Verdana"/>
          <w:b/>
          <w:bCs/>
        </w:rPr>
        <w:t>The Committee may wish to ask</w:t>
      </w:r>
      <w:r w:rsidR="0073230C" w:rsidRPr="0073230C">
        <w:rPr>
          <w:rFonts w:ascii="Verdana" w:hAnsi="Verdana"/>
          <w:b/>
          <w:bCs/>
        </w:rPr>
        <w:t xml:space="preserve"> </w:t>
      </w:r>
      <w:r>
        <w:rPr>
          <w:rFonts w:ascii="Verdana" w:hAnsi="Verdana"/>
          <w:b/>
          <w:bCs/>
        </w:rPr>
        <w:t xml:space="preserve">the UK Government and NI Executive </w:t>
      </w:r>
      <w:r w:rsidR="00F544A7">
        <w:rPr>
          <w:rFonts w:ascii="Verdana" w:hAnsi="Verdana"/>
          <w:b/>
          <w:bCs/>
        </w:rPr>
        <w:t xml:space="preserve">what effective steps they </w:t>
      </w:r>
      <w:r>
        <w:rPr>
          <w:rFonts w:ascii="Verdana" w:hAnsi="Verdana"/>
          <w:b/>
          <w:bCs/>
        </w:rPr>
        <w:t>ha</w:t>
      </w:r>
      <w:r w:rsidR="00D75638">
        <w:rPr>
          <w:rFonts w:ascii="Verdana" w:hAnsi="Verdana"/>
          <w:b/>
          <w:bCs/>
        </w:rPr>
        <w:t>ve</w:t>
      </w:r>
      <w:r>
        <w:rPr>
          <w:rFonts w:ascii="Verdana" w:hAnsi="Verdana"/>
          <w:b/>
          <w:bCs/>
        </w:rPr>
        <w:t xml:space="preserve"> taken to </w:t>
      </w:r>
      <w:r w:rsidR="003E1C6C" w:rsidRPr="003E1C6C">
        <w:rPr>
          <w:rFonts w:ascii="Verdana" w:hAnsi="Verdana"/>
          <w:b/>
          <w:bCs/>
        </w:rPr>
        <w:t>ensure educational underachievement in NI, particularly for Traveller and Roma children, is addressed</w:t>
      </w:r>
      <w:r w:rsidR="004F16FA">
        <w:rPr>
          <w:rFonts w:ascii="Verdana" w:hAnsi="Verdana"/>
          <w:b/>
          <w:bCs/>
        </w:rPr>
        <w:t>.</w:t>
      </w:r>
    </w:p>
    <w:p w14:paraId="596EDD5C" w14:textId="77777777" w:rsidR="00F8717F" w:rsidRDefault="00F8717F" w:rsidP="00F8717F">
      <w:pPr>
        <w:rPr>
          <w:rFonts w:ascii="Verdana" w:hAnsi="Verdana"/>
        </w:rPr>
      </w:pPr>
    </w:p>
    <w:p w14:paraId="761150F1" w14:textId="49F2061E" w:rsidR="00F8717F" w:rsidRDefault="00D4174C" w:rsidP="00D4174C">
      <w:pPr>
        <w:pStyle w:val="Heading2"/>
      </w:pPr>
      <w:bookmarkStart w:id="27" w:name="_Toc165632779"/>
      <w:r>
        <w:t>Bullying in Schools</w:t>
      </w:r>
      <w:bookmarkEnd w:id="27"/>
    </w:p>
    <w:p w14:paraId="3A87D781" w14:textId="77777777" w:rsidR="00D4174C" w:rsidRPr="00D4174C" w:rsidRDefault="00D4174C" w:rsidP="00D4174C"/>
    <w:p w14:paraId="236449C5" w14:textId="0BE8B73F" w:rsidR="00F8717F" w:rsidRDefault="004F0A26">
      <w:pPr>
        <w:pStyle w:val="ListParagraph"/>
        <w:numPr>
          <w:ilvl w:val="1"/>
          <w:numId w:val="12"/>
        </w:numPr>
        <w:spacing w:line="276" w:lineRule="auto"/>
        <w:ind w:left="720"/>
        <w:rPr>
          <w:rFonts w:ascii="Verdana" w:hAnsi="Verdana"/>
        </w:rPr>
      </w:pPr>
      <w:r w:rsidRPr="009335E7">
        <w:rPr>
          <w:rFonts w:ascii="Verdana" w:hAnsi="Verdana"/>
          <w:color w:val="000000"/>
        </w:rPr>
        <w:t xml:space="preserve">In 2021, the Executive Office published an assessment of the current </w:t>
      </w:r>
      <w:r w:rsidR="0040179A">
        <w:rPr>
          <w:rFonts w:ascii="Verdana" w:hAnsi="Verdana"/>
          <w:color w:val="000000"/>
        </w:rPr>
        <w:t>R</w:t>
      </w:r>
      <w:r w:rsidRPr="009335E7">
        <w:rPr>
          <w:rFonts w:ascii="Verdana" w:hAnsi="Verdana"/>
          <w:color w:val="000000"/>
        </w:rPr>
        <w:t xml:space="preserve">acial </w:t>
      </w:r>
      <w:r w:rsidR="0040179A">
        <w:rPr>
          <w:rFonts w:ascii="Verdana" w:hAnsi="Verdana"/>
          <w:color w:val="000000"/>
        </w:rPr>
        <w:t>E</w:t>
      </w:r>
      <w:r w:rsidRPr="009335E7">
        <w:rPr>
          <w:rFonts w:ascii="Verdana" w:hAnsi="Verdana"/>
          <w:color w:val="000000"/>
        </w:rPr>
        <w:t xml:space="preserve">quality </w:t>
      </w:r>
      <w:r w:rsidR="0040179A">
        <w:rPr>
          <w:rFonts w:ascii="Verdana" w:hAnsi="Verdana"/>
          <w:color w:val="000000"/>
        </w:rPr>
        <w:t>S</w:t>
      </w:r>
      <w:r w:rsidRPr="009335E7">
        <w:rPr>
          <w:rFonts w:ascii="Verdana" w:hAnsi="Verdana"/>
          <w:color w:val="000000"/>
        </w:rPr>
        <w:t>trategy</w:t>
      </w:r>
      <w:r w:rsidR="007A47AF">
        <w:rPr>
          <w:rFonts w:ascii="Verdana" w:hAnsi="Verdana"/>
          <w:color w:val="000000"/>
        </w:rPr>
        <w:t xml:space="preserve"> (2015-2025)</w:t>
      </w:r>
      <w:r w:rsidRPr="009335E7">
        <w:rPr>
          <w:rFonts w:ascii="Verdana" w:hAnsi="Verdana"/>
        </w:rPr>
        <w:t>, which highlighted that in 2019, 45 per cent of young people said they had witnessed racist bullying or harassment in their school.</w:t>
      </w:r>
      <w:r w:rsidRPr="009335E7">
        <w:rPr>
          <w:rStyle w:val="FootnoteReference"/>
          <w:rFonts w:ascii="Verdana" w:hAnsi="Verdana"/>
        </w:rPr>
        <w:footnoteReference w:id="104"/>
      </w:r>
      <w:r w:rsidR="009335E7" w:rsidRPr="009335E7">
        <w:rPr>
          <w:rFonts w:ascii="Verdana" w:hAnsi="Verdana"/>
          <w:color w:val="000000"/>
        </w:rPr>
        <w:t xml:space="preserve"> In 2023, despite the Addressing Bullying in Schools (NI) Act 2016 coming into force,</w:t>
      </w:r>
      <w:r w:rsidR="009335E7" w:rsidRPr="009335E7">
        <w:rPr>
          <w:rStyle w:val="FootnoteReference"/>
          <w:rFonts w:ascii="Verdana" w:hAnsi="Verdana"/>
        </w:rPr>
        <w:footnoteReference w:id="105"/>
      </w:r>
      <w:r w:rsidR="009335E7" w:rsidRPr="009335E7">
        <w:rPr>
          <w:rFonts w:ascii="Verdana" w:hAnsi="Verdana"/>
          <w:color w:val="000000"/>
        </w:rPr>
        <w:t xml:space="preserve"> </w:t>
      </w:r>
      <w:r w:rsidR="009335E7" w:rsidRPr="009335E7">
        <w:rPr>
          <w:rFonts w:ascii="Verdana" w:hAnsi="Verdana"/>
        </w:rPr>
        <w:t>research identified that racist bullying remains prevalent and that schools’ responses to such incidents were often considered inadequate.</w:t>
      </w:r>
      <w:r w:rsidR="009335E7" w:rsidRPr="009335E7">
        <w:rPr>
          <w:rStyle w:val="FootnoteReference"/>
          <w:rFonts w:ascii="Verdana" w:hAnsi="Verdana"/>
        </w:rPr>
        <w:footnoteReference w:id="106"/>
      </w:r>
    </w:p>
    <w:p w14:paraId="2AFC84F9" w14:textId="77777777" w:rsidR="009335E7" w:rsidRDefault="009335E7" w:rsidP="009335E7">
      <w:pPr>
        <w:pStyle w:val="ListParagraph"/>
        <w:spacing w:line="276" w:lineRule="auto"/>
        <w:rPr>
          <w:rFonts w:ascii="Verdana" w:hAnsi="Verdana"/>
        </w:rPr>
      </w:pPr>
    </w:p>
    <w:p w14:paraId="55CED948" w14:textId="57AF9361" w:rsidR="009335E7" w:rsidRPr="009335E7" w:rsidRDefault="009335E7">
      <w:pPr>
        <w:pStyle w:val="ListParagraph"/>
        <w:numPr>
          <w:ilvl w:val="1"/>
          <w:numId w:val="12"/>
        </w:numPr>
        <w:spacing w:line="276" w:lineRule="auto"/>
        <w:ind w:left="720"/>
        <w:rPr>
          <w:rFonts w:ascii="Verdana" w:hAnsi="Verdana"/>
        </w:rPr>
      </w:pPr>
      <w:r>
        <w:rPr>
          <w:rFonts w:ascii="Verdana" w:hAnsi="Verdana"/>
          <w:b/>
          <w:bCs/>
        </w:rPr>
        <w:t xml:space="preserve">The Committee may wish to ask the UK Government and NI Executive </w:t>
      </w:r>
      <w:r w:rsidR="00F544A7">
        <w:rPr>
          <w:rFonts w:ascii="Verdana" w:hAnsi="Verdana"/>
          <w:b/>
          <w:bCs/>
        </w:rPr>
        <w:t xml:space="preserve">what effective steps they </w:t>
      </w:r>
      <w:r>
        <w:rPr>
          <w:rFonts w:ascii="Verdana" w:hAnsi="Verdana"/>
          <w:b/>
          <w:bCs/>
        </w:rPr>
        <w:t>ha</w:t>
      </w:r>
      <w:r w:rsidR="00D75638">
        <w:rPr>
          <w:rFonts w:ascii="Verdana" w:hAnsi="Verdana"/>
          <w:b/>
          <w:bCs/>
        </w:rPr>
        <w:t>ve</w:t>
      </w:r>
      <w:r>
        <w:rPr>
          <w:rFonts w:ascii="Verdana" w:hAnsi="Verdana"/>
          <w:b/>
          <w:bCs/>
        </w:rPr>
        <w:t xml:space="preserve"> taken to </w:t>
      </w:r>
      <w:r w:rsidR="001137FF">
        <w:rPr>
          <w:rFonts w:ascii="Verdana" w:hAnsi="Verdana"/>
          <w:b/>
          <w:bCs/>
        </w:rPr>
        <w:t>evaluate the effect of the Addressing Bullying in Schools (NI) Act 2016</w:t>
      </w:r>
      <w:r w:rsidR="00B46CA9">
        <w:rPr>
          <w:rFonts w:ascii="Verdana" w:hAnsi="Verdana"/>
          <w:b/>
          <w:bCs/>
        </w:rPr>
        <w:t xml:space="preserve"> to examine its effectiveness, with particular attention being </w:t>
      </w:r>
      <w:r w:rsidR="000A438D">
        <w:rPr>
          <w:rFonts w:ascii="Verdana" w:hAnsi="Verdana"/>
          <w:b/>
          <w:bCs/>
        </w:rPr>
        <w:t xml:space="preserve">given to reporting, </w:t>
      </w:r>
      <w:proofErr w:type="gramStart"/>
      <w:r w:rsidR="000A438D">
        <w:rPr>
          <w:rFonts w:ascii="Verdana" w:hAnsi="Verdana"/>
          <w:b/>
          <w:bCs/>
        </w:rPr>
        <w:t>monitoring</w:t>
      </w:r>
      <w:proofErr w:type="gramEnd"/>
      <w:r w:rsidR="000A438D">
        <w:rPr>
          <w:rFonts w:ascii="Verdana" w:hAnsi="Verdana"/>
          <w:b/>
          <w:bCs/>
        </w:rPr>
        <w:t xml:space="preserve"> and accountability mechanisms</w:t>
      </w:r>
      <w:r w:rsidR="00DF3011">
        <w:rPr>
          <w:rFonts w:ascii="Verdana" w:hAnsi="Verdana"/>
          <w:b/>
          <w:bCs/>
        </w:rPr>
        <w:t>.</w:t>
      </w:r>
    </w:p>
    <w:p w14:paraId="75041319" w14:textId="77777777" w:rsidR="00C0193F" w:rsidRPr="00C0193F" w:rsidRDefault="00C0193F" w:rsidP="00C0193F">
      <w:pPr>
        <w:pStyle w:val="ListParagraph"/>
        <w:spacing w:line="276" w:lineRule="auto"/>
        <w:rPr>
          <w:rFonts w:ascii="Verdana" w:hAnsi="Verdana"/>
        </w:rPr>
      </w:pPr>
    </w:p>
    <w:p w14:paraId="49F51791" w14:textId="77777777" w:rsidR="00CE79A6" w:rsidRDefault="00CE79A6" w:rsidP="00CE79A6"/>
    <w:p w14:paraId="3661C7B7" w14:textId="77777777" w:rsidR="00CE79A6" w:rsidRPr="00CE79A6" w:rsidRDefault="00CE79A6" w:rsidP="00CE79A6">
      <w:pPr>
        <w:pStyle w:val="ListParagraph"/>
        <w:numPr>
          <w:ilvl w:val="0"/>
          <w:numId w:val="14"/>
        </w:numPr>
        <w:rPr>
          <w:vanish/>
        </w:rPr>
      </w:pPr>
    </w:p>
    <w:p w14:paraId="5027B8F1" w14:textId="77777777" w:rsidR="00CE79A6" w:rsidRPr="00CE79A6" w:rsidRDefault="00CE79A6" w:rsidP="00CE79A6">
      <w:pPr>
        <w:pStyle w:val="ListParagraph"/>
        <w:numPr>
          <w:ilvl w:val="0"/>
          <w:numId w:val="14"/>
        </w:numPr>
        <w:rPr>
          <w:vanish/>
        </w:rPr>
      </w:pPr>
    </w:p>
    <w:p w14:paraId="45D13DE4" w14:textId="77777777" w:rsidR="004672AC" w:rsidRPr="00684703" w:rsidRDefault="004672AC" w:rsidP="00331C61">
      <w:pPr>
        <w:pStyle w:val="BasicParagraph"/>
        <w:suppressAutoHyphens/>
        <w:spacing w:line="240" w:lineRule="auto"/>
        <w:rPr>
          <w:rFonts w:ascii="Verdana" w:hAnsi="Verdana" w:cs="Arial"/>
          <w:b/>
          <w:bCs/>
          <w:color w:val="232120"/>
          <w:sz w:val="20"/>
          <w:szCs w:val="20"/>
        </w:rPr>
      </w:pPr>
    </w:p>
    <w:p w14:paraId="074039BC" w14:textId="77777777" w:rsidR="003B7D0E" w:rsidRPr="00331C61" w:rsidRDefault="003B7D0E" w:rsidP="00331C61">
      <w:pPr>
        <w:pStyle w:val="BasicParagraph"/>
        <w:suppressAutoHyphens/>
        <w:rPr>
          <w:rFonts w:ascii="Verdana" w:hAnsi="Verdana" w:cs="Arial"/>
          <w:color w:val="232120"/>
          <w:sz w:val="20"/>
          <w:szCs w:val="20"/>
        </w:rPr>
      </w:pPr>
    </w:p>
    <w:p w14:paraId="45F395F9" w14:textId="77777777" w:rsidR="003B7D0E" w:rsidRPr="00331C61" w:rsidRDefault="003B7D0E" w:rsidP="00331C61">
      <w:pPr>
        <w:pStyle w:val="BasicParagraph"/>
        <w:suppressAutoHyphens/>
        <w:rPr>
          <w:rFonts w:ascii="Verdana" w:hAnsi="Verdana" w:cs="Arial"/>
          <w:color w:val="232120"/>
          <w:sz w:val="20"/>
          <w:szCs w:val="20"/>
        </w:rPr>
      </w:pPr>
    </w:p>
    <w:p w14:paraId="2CCD3F89" w14:textId="77777777" w:rsidR="003B7D0E" w:rsidRDefault="003B7D0E" w:rsidP="003B7D0E">
      <w:pPr>
        <w:pStyle w:val="BasicParagraph"/>
        <w:suppressAutoHyphens/>
        <w:jc w:val="center"/>
        <w:rPr>
          <w:rFonts w:ascii="Verdana" w:hAnsi="Verdana" w:cs="Arial"/>
          <w:color w:val="3C3C3B"/>
          <w:sz w:val="20"/>
          <w:szCs w:val="20"/>
        </w:rPr>
      </w:pPr>
    </w:p>
    <w:p w14:paraId="590B2896" w14:textId="77777777" w:rsidR="003B7D0E" w:rsidRDefault="003B7D0E" w:rsidP="003B7D0E">
      <w:pPr>
        <w:pStyle w:val="BasicParagraph"/>
        <w:suppressAutoHyphens/>
        <w:jc w:val="center"/>
        <w:rPr>
          <w:rFonts w:ascii="Verdana" w:hAnsi="Verdana" w:cs="Arial"/>
          <w:color w:val="3C3C3B"/>
          <w:sz w:val="20"/>
          <w:szCs w:val="20"/>
        </w:rPr>
      </w:pPr>
    </w:p>
    <w:p w14:paraId="1C20D6B7" w14:textId="77777777" w:rsidR="003B7D0E" w:rsidRDefault="003B7D0E" w:rsidP="003B7D0E">
      <w:pPr>
        <w:pStyle w:val="BasicParagraph"/>
        <w:suppressAutoHyphens/>
        <w:jc w:val="center"/>
        <w:rPr>
          <w:rFonts w:ascii="Verdana" w:hAnsi="Verdana" w:cs="Arial"/>
          <w:color w:val="3C3C3B"/>
          <w:sz w:val="20"/>
          <w:szCs w:val="20"/>
        </w:rPr>
      </w:pPr>
    </w:p>
    <w:p w14:paraId="32D9E440" w14:textId="77777777" w:rsidR="003B7D0E" w:rsidRDefault="003B7D0E" w:rsidP="003B7D0E">
      <w:pPr>
        <w:pStyle w:val="BasicParagraph"/>
        <w:suppressAutoHyphens/>
        <w:jc w:val="center"/>
        <w:rPr>
          <w:rFonts w:ascii="Verdana" w:hAnsi="Verdana" w:cs="Arial"/>
          <w:color w:val="3C3C3B"/>
          <w:sz w:val="20"/>
          <w:szCs w:val="20"/>
        </w:rPr>
      </w:pPr>
    </w:p>
    <w:p w14:paraId="2A69A196" w14:textId="77777777" w:rsidR="003B7D0E" w:rsidRDefault="003B7D0E" w:rsidP="003B7D0E">
      <w:pPr>
        <w:pStyle w:val="BasicParagraph"/>
        <w:suppressAutoHyphens/>
        <w:jc w:val="center"/>
        <w:rPr>
          <w:rFonts w:ascii="Verdana" w:hAnsi="Verdana" w:cs="Arial"/>
          <w:color w:val="3C3C3B"/>
          <w:sz w:val="20"/>
          <w:szCs w:val="20"/>
        </w:rPr>
      </w:pPr>
    </w:p>
    <w:p w14:paraId="0AB81DCE" w14:textId="77777777" w:rsidR="003E1C6C" w:rsidRDefault="003E1C6C" w:rsidP="003B7D0E">
      <w:pPr>
        <w:pStyle w:val="BasicParagraph"/>
        <w:suppressAutoHyphens/>
        <w:jc w:val="center"/>
        <w:rPr>
          <w:rFonts w:ascii="Verdana" w:hAnsi="Verdana" w:cs="Arial"/>
          <w:color w:val="3C3C3B"/>
          <w:sz w:val="20"/>
          <w:szCs w:val="20"/>
        </w:rPr>
      </w:pPr>
    </w:p>
    <w:p w14:paraId="6A6E764E" w14:textId="77777777" w:rsidR="003E1C6C" w:rsidRDefault="003E1C6C" w:rsidP="003B7D0E">
      <w:pPr>
        <w:pStyle w:val="BasicParagraph"/>
        <w:suppressAutoHyphens/>
        <w:jc w:val="center"/>
        <w:rPr>
          <w:rFonts w:ascii="Verdana" w:hAnsi="Verdana" w:cs="Arial"/>
          <w:color w:val="3C3C3B"/>
          <w:sz w:val="20"/>
          <w:szCs w:val="20"/>
        </w:rPr>
      </w:pPr>
    </w:p>
    <w:p w14:paraId="419CBDA3" w14:textId="77777777" w:rsidR="003E1C6C" w:rsidRDefault="003E1C6C" w:rsidP="003B7D0E">
      <w:pPr>
        <w:pStyle w:val="BasicParagraph"/>
        <w:suppressAutoHyphens/>
        <w:jc w:val="center"/>
        <w:rPr>
          <w:rFonts w:ascii="Verdana" w:hAnsi="Verdana" w:cs="Arial"/>
          <w:color w:val="3C3C3B"/>
          <w:sz w:val="20"/>
          <w:szCs w:val="20"/>
        </w:rPr>
      </w:pPr>
    </w:p>
    <w:p w14:paraId="3F2A55D8" w14:textId="77777777" w:rsidR="003E1C6C" w:rsidRDefault="003E1C6C" w:rsidP="003B7D0E">
      <w:pPr>
        <w:pStyle w:val="BasicParagraph"/>
        <w:suppressAutoHyphens/>
        <w:jc w:val="center"/>
        <w:rPr>
          <w:rFonts w:ascii="Verdana" w:hAnsi="Verdana" w:cs="Arial"/>
          <w:color w:val="3C3C3B"/>
          <w:sz w:val="20"/>
          <w:szCs w:val="20"/>
        </w:rPr>
      </w:pPr>
    </w:p>
    <w:p w14:paraId="7449C393" w14:textId="77777777" w:rsidR="003E1C6C" w:rsidRDefault="003E1C6C" w:rsidP="003B7D0E">
      <w:pPr>
        <w:pStyle w:val="BasicParagraph"/>
        <w:suppressAutoHyphens/>
        <w:jc w:val="center"/>
        <w:rPr>
          <w:rFonts w:ascii="Verdana" w:hAnsi="Verdana" w:cs="Arial"/>
          <w:color w:val="3C3C3B"/>
          <w:sz w:val="20"/>
          <w:szCs w:val="20"/>
        </w:rPr>
      </w:pPr>
    </w:p>
    <w:p w14:paraId="6A9D687C" w14:textId="77777777" w:rsidR="003E1C6C" w:rsidRDefault="003E1C6C" w:rsidP="003B7D0E">
      <w:pPr>
        <w:pStyle w:val="BasicParagraph"/>
        <w:suppressAutoHyphens/>
        <w:jc w:val="center"/>
        <w:rPr>
          <w:rFonts w:ascii="Verdana" w:hAnsi="Verdana" w:cs="Arial"/>
          <w:color w:val="3C3C3B"/>
          <w:sz w:val="20"/>
          <w:szCs w:val="20"/>
        </w:rPr>
      </w:pPr>
    </w:p>
    <w:p w14:paraId="24914586" w14:textId="77777777" w:rsidR="003E1C6C" w:rsidRDefault="003E1C6C" w:rsidP="003B7D0E">
      <w:pPr>
        <w:pStyle w:val="BasicParagraph"/>
        <w:suppressAutoHyphens/>
        <w:jc w:val="center"/>
        <w:rPr>
          <w:rFonts w:ascii="Verdana" w:hAnsi="Verdana" w:cs="Arial"/>
          <w:color w:val="3C3C3B"/>
          <w:sz w:val="20"/>
          <w:szCs w:val="20"/>
        </w:rPr>
      </w:pPr>
    </w:p>
    <w:p w14:paraId="498E0CF2" w14:textId="77777777" w:rsidR="003E1C6C" w:rsidRDefault="003E1C6C" w:rsidP="003B7D0E">
      <w:pPr>
        <w:pStyle w:val="BasicParagraph"/>
        <w:suppressAutoHyphens/>
        <w:jc w:val="center"/>
        <w:rPr>
          <w:rFonts w:ascii="Verdana" w:hAnsi="Verdana" w:cs="Arial"/>
          <w:color w:val="3C3C3B"/>
          <w:sz w:val="20"/>
          <w:szCs w:val="20"/>
        </w:rPr>
      </w:pPr>
    </w:p>
    <w:p w14:paraId="3168BADB" w14:textId="77777777" w:rsidR="003B7D0E" w:rsidRDefault="003B7D0E" w:rsidP="003B7D0E">
      <w:pPr>
        <w:pStyle w:val="BasicParagraph"/>
        <w:suppressAutoHyphens/>
        <w:jc w:val="center"/>
        <w:rPr>
          <w:rFonts w:ascii="Verdana" w:hAnsi="Verdana" w:cs="Arial"/>
          <w:color w:val="3C3C3B"/>
          <w:sz w:val="20"/>
          <w:szCs w:val="20"/>
        </w:rPr>
      </w:pPr>
    </w:p>
    <w:p w14:paraId="19D5225A" w14:textId="77777777" w:rsidR="003B7D0E" w:rsidRDefault="003B7D0E" w:rsidP="003B7D0E">
      <w:pPr>
        <w:pStyle w:val="BasicParagraph"/>
        <w:suppressAutoHyphens/>
        <w:jc w:val="center"/>
        <w:rPr>
          <w:rFonts w:ascii="Verdana" w:hAnsi="Verdana" w:cs="Arial"/>
          <w:color w:val="3C3C3B"/>
          <w:sz w:val="20"/>
          <w:szCs w:val="20"/>
        </w:rPr>
      </w:pPr>
    </w:p>
    <w:p w14:paraId="420CFB5A" w14:textId="77777777" w:rsidR="000A438D" w:rsidRDefault="000A438D" w:rsidP="003B7D0E">
      <w:pPr>
        <w:pStyle w:val="BasicParagraph"/>
        <w:suppressAutoHyphens/>
        <w:jc w:val="center"/>
        <w:rPr>
          <w:rFonts w:ascii="Verdana" w:hAnsi="Verdana" w:cs="Arial"/>
          <w:color w:val="3C3C3B"/>
          <w:sz w:val="20"/>
          <w:szCs w:val="20"/>
        </w:rPr>
      </w:pPr>
    </w:p>
    <w:p w14:paraId="14583A8A" w14:textId="77777777" w:rsidR="000A438D" w:rsidRDefault="000A438D" w:rsidP="003B7D0E">
      <w:pPr>
        <w:pStyle w:val="BasicParagraph"/>
        <w:suppressAutoHyphens/>
        <w:jc w:val="center"/>
        <w:rPr>
          <w:rFonts w:ascii="Verdana" w:hAnsi="Verdana" w:cs="Arial"/>
          <w:color w:val="3C3C3B"/>
          <w:sz w:val="20"/>
          <w:szCs w:val="20"/>
        </w:rPr>
      </w:pPr>
    </w:p>
    <w:p w14:paraId="4B776837" w14:textId="77777777" w:rsidR="000A438D" w:rsidRDefault="000A438D" w:rsidP="003B7D0E">
      <w:pPr>
        <w:pStyle w:val="BasicParagraph"/>
        <w:suppressAutoHyphens/>
        <w:jc w:val="center"/>
        <w:rPr>
          <w:rFonts w:ascii="Verdana" w:hAnsi="Verdana" w:cs="Arial"/>
          <w:color w:val="3C3C3B"/>
          <w:sz w:val="20"/>
          <w:szCs w:val="20"/>
        </w:rPr>
      </w:pPr>
    </w:p>
    <w:p w14:paraId="15BF5655" w14:textId="77777777" w:rsidR="000A438D" w:rsidRDefault="000A438D" w:rsidP="003B7D0E">
      <w:pPr>
        <w:pStyle w:val="BasicParagraph"/>
        <w:suppressAutoHyphens/>
        <w:jc w:val="center"/>
        <w:rPr>
          <w:rFonts w:ascii="Verdana" w:hAnsi="Verdana" w:cs="Arial"/>
          <w:color w:val="3C3C3B"/>
          <w:sz w:val="20"/>
          <w:szCs w:val="20"/>
        </w:rPr>
      </w:pPr>
    </w:p>
    <w:p w14:paraId="3AC77E30" w14:textId="77777777" w:rsidR="000A438D" w:rsidRDefault="000A438D" w:rsidP="003B7D0E">
      <w:pPr>
        <w:pStyle w:val="BasicParagraph"/>
        <w:suppressAutoHyphens/>
        <w:jc w:val="center"/>
        <w:rPr>
          <w:rFonts w:ascii="Verdana" w:hAnsi="Verdana" w:cs="Arial"/>
          <w:color w:val="3C3C3B"/>
          <w:sz w:val="20"/>
          <w:szCs w:val="20"/>
        </w:rPr>
      </w:pPr>
    </w:p>
    <w:p w14:paraId="37F989D3" w14:textId="77777777" w:rsidR="000A438D" w:rsidRDefault="000A438D" w:rsidP="003B7D0E">
      <w:pPr>
        <w:pStyle w:val="BasicParagraph"/>
        <w:suppressAutoHyphens/>
        <w:jc w:val="center"/>
        <w:rPr>
          <w:rFonts w:ascii="Verdana" w:hAnsi="Verdana" w:cs="Arial"/>
          <w:color w:val="3C3C3B"/>
          <w:sz w:val="20"/>
          <w:szCs w:val="20"/>
        </w:rPr>
      </w:pPr>
    </w:p>
    <w:p w14:paraId="782E9C2F" w14:textId="77777777" w:rsidR="000A438D" w:rsidRDefault="000A438D" w:rsidP="003B7D0E">
      <w:pPr>
        <w:pStyle w:val="BasicParagraph"/>
        <w:suppressAutoHyphens/>
        <w:jc w:val="center"/>
        <w:rPr>
          <w:rFonts w:ascii="Verdana" w:hAnsi="Verdana" w:cs="Arial"/>
          <w:color w:val="3C3C3B"/>
          <w:sz w:val="20"/>
          <w:szCs w:val="20"/>
        </w:rPr>
      </w:pPr>
    </w:p>
    <w:p w14:paraId="4CCC1FB0" w14:textId="77777777" w:rsidR="007C0350" w:rsidRDefault="007C0350" w:rsidP="00331C61">
      <w:pPr>
        <w:pStyle w:val="BasicParagraph"/>
        <w:suppressAutoHyphens/>
        <w:jc w:val="center"/>
        <w:rPr>
          <w:rFonts w:ascii="Verdana" w:hAnsi="Verdana" w:cs="Arial"/>
          <w:b/>
          <w:bCs/>
          <w:color w:val="77328A"/>
          <w:sz w:val="36"/>
          <w:szCs w:val="36"/>
        </w:rPr>
      </w:pPr>
    </w:p>
    <w:p w14:paraId="107EB470" w14:textId="77777777" w:rsidR="00615160" w:rsidRDefault="00615160" w:rsidP="00331C61">
      <w:pPr>
        <w:pStyle w:val="BasicParagraph"/>
        <w:suppressAutoHyphens/>
        <w:jc w:val="center"/>
        <w:rPr>
          <w:rFonts w:ascii="Verdana" w:hAnsi="Verdana" w:cs="Arial"/>
          <w:b/>
          <w:bCs/>
          <w:color w:val="77328A"/>
          <w:sz w:val="36"/>
          <w:szCs w:val="36"/>
        </w:rPr>
      </w:pPr>
    </w:p>
    <w:p w14:paraId="1E17EDE0" w14:textId="77777777" w:rsidR="00615160" w:rsidRDefault="00615160" w:rsidP="00331C61">
      <w:pPr>
        <w:pStyle w:val="BasicParagraph"/>
        <w:suppressAutoHyphens/>
        <w:jc w:val="center"/>
        <w:rPr>
          <w:rFonts w:ascii="Verdana" w:hAnsi="Verdana" w:cs="Arial"/>
          <w:b/>
          <w:bCs/>
          <w:color w:val="77328A"/>
          <w:sz w:val="36"/>
          <w:szCs w:val="36"/>
        </w:rPr>
      </w:pPr>
    </w:p>
    <w:p w14:paraId="772F61DB" w14:textId="77777777" w:rsidR="00615160" w:rsidRDefault="00615160" w:rsidP="00331C61">
      <w:pPr>
        <w:pStyle w:val="BasicParagraph"/>
        <w:suppressAutoHyphens/>
        <w:jc w:val="center"/>
        <w:rPr>
          <w:rFonts w:ascii="Verdana" w:hAnsi="Verdana" w:cs="Arial"/>
          <w:b/>
          <w:bCs/>
          <w:color w:val="77328A"/>
          <w:sz w:val="36"/>
          <w:szCs w:val="36"/>
        </w:rPr>
      </w:pPr>
    </w:p>
    <w:p w14:paraId="33AE1725" w14:textId="77777777" w:rsidR="00615160" w:rsidRDefault="00615160" w:rsidP="00331C61">
      <w:pPr>
        <w:pStyle w:val="BasicParagraph"/>
        <w:suppressAutoHyphens/>
        <w:jc w:val="center"/>
        <w:rPr>
          <w:rFonts w:ascii="Verdana" w:hAnsi="Verdana" w:cs="Arial"/>
          <w:b/>
          <w:bCs/>
          <w:color w:val="77328A"/>
          <w:sz w:val="36"/>
          <w:szCs w:val="36"/>
        </w:rPr>
      </w:pPr>
    </w:p>
    <w:p w14:paraId="2093926A" w14:textId="70EE7FCB" w:rsidR="00705833" w:rsidRPr="00331C61" w:rsidRDefault="00705833" w:rsidP="00331C61">
      <w:pPr>
        <w:pStyle w:val="BasicParagraph"/>
        <w:suppressAutoHyphens/>
        <w:jc w:val="center"/>
        <w:rPr>
          <w:rFonts w:ascii="Verdana" w:hAnsi="Verdana" w:cs="Arial"/>
          <w:b/>
          <w:bCs/>
          <w:color w:val="77328A"/>
          <w:sz w:val="36"/>
          <w:szCs w:val="36"/>
        </w:rPr>
      </w:pPr>
      <w:r w:rsidRPr="2B5D1638">
        <w:rPr>
          <w:rFonts w:ascii="Verdana" w:hAnsi="Verdana" w:cs="Arial"/>
          <w:b/>
          <w:bCs/>
          <w:color w:val="77328A"/>
          <w:sz w:val="36"/>
          <w:szCs w:val="36"/>
        </w:rPr>
        <w:t>Co</w:t>
      </w:r>
      <w:r w:rsidR="0096459E" w:rsidRPr="2B5D1638">
        <w:rPr>
          <w:rFonts w:ascii="Verdana" w:hAnsi="Verdana" w:cs="Arial"/>
          <w:b/>
          <w:bCs/>
          <w:color w:val="77328A"/>
          <w:sz w:val="36"/>
          <w:szCs w:val="36"/>
        </w:rPr>
        <w:t>ntact us</w:t>
      </w:r>
      <w:r w:rsidR="00B90FD9" w:rsidRPr="2B5D1638">
        <w:rPr>
          <w:rFonts w:ascii="Verdana" w:hAnsi="Verdana" w:cs="Arial"/>
          <w:b/>
          <w:bCs/>
          <w:color w:val="77328A"/>
          <w:sz w:val="36"/>
          <w:szCs w:val="36"/>
        </w:rPr>
        <w:t>:</w:t>
      </w:r>
    </w:p>
    <w:p w14:paraId="5864BD6E" w14:textId="77777777" w:rsidR="00331C61" w:rsidRPr="00331C61" w:rsidRDefault="00331C61" w:rsidP="00331C61">
      <w:pPr>
        <w:pStyle w:val="BasicParagraph"/>
        <w:suppressAutoHyphens/>
        <w:jc w:val="center"/>
        <w:rPr>
          <w:rFonts w:ascii="Verdana" w:hAnsi="Verdana" w:cs="Arial"/>
          <w:b/>
          <w:color w:val="77328A"/>
          <w:sz w:val="36"/>
          <w:szCs w:val="36"/>
        </w:rPr>
      </w:pPr>
    </w:p>
    <w:p w14:paraId="1A0FC4C4" w14:textId="7B8B3101" w:rsidR="00331C61" w:rsidRPr="00331C61" w:rsidRDefault="00000000" w:rsidP="003B7D0E">
      <w:pPr>
        <w:spacing w:line="288" w:lineRule="auto"/>
        <w:jc w:val="center"/>
        <w:rPr>
          <w:rFonts w:ascii="Verdana" w:hAnsi="Verdana" w:cs="Arial"/>
          <w:b/>
          <w:color w:val="232120"/>
          <w:sz w:val="30"/>
          <w:szCs w:val="30"/>
        </w:rPr>
      </w:pPr>
      <w:hyperlink r:id="rId12" w:history="1">
        <w:r w:rsidR="00B90FD9" w:rsidRPr="00C93506">
          <w:rPr>
            <w:rStyle w:val="Hyperlink"/>
            <w:rFonts w:ascii="Verdana" w:hAnsi="Verdana" w:cs="Arial"/>
            <w:b/>
            <w:sz w:val="30"/>
            <w:szCs w:val="30"/>
          </w:rPr>
          <w:t>Colin.Caughey@NIHRC.org</w:t>
        </w:r>
      </w:hyperlink>
      <w:r w:rsidR="00B90FD9">
        <w:rPr>
          <w:rFonts w:ascii="Verdana" w:hAnsi="Verdana" w:cs="Arial"/>
          <w:b/>
          <w:color w:val="232120"/>
          <w:sz w:val="30"/>
          <w:szCs w:val="30"/>
        </w:rPr>
        <w:t xml:space="preserve"> </w:t>
      </w:r>
    </w:p>
    <w:p w14:paraId="69FC5B35" w14:textId="77777777" w:rsidR="00331C61" w:rsidRPr="00331C61" w:rsidRDefault="00331C61" w:rsidP="003B7D0E">
      <w:pPr>
        <w:spacing w:line="288" w:lineRule="auto"/>
        <w:jc w:val="center"/>
        <w:rPr>
          <w:rFonts w:ascii="Verdana" w:hAnsi="Verdana" w:cs="Arial"/>
          <w:b/>
          <w:color w:val="232120"/>
          <w:sz w:val="30"/>
          <w:szCs w:val="30"/>
        </w:rPr>
      </w:pPr>
    </w:p>
    <w:p w14:paraId="1143EF73" w14:textId="77777777" w:rsidR="00331C61" w:rsidRPr="00331C61" w:rsidRDefault="00000000" w:rsidP="00331C61">
      <w:pPr>
        <w:spacing w:line="288" w:lineRule="auto"/>
        <w:jc w:val="center"/>
        <w:rPr>
          <w:rFonts w:ascii="Verdana" w:hAnsi="Verdana" w:cs="Arial"/>
          <w:color w:val="232120"/>
          <w:sz w:val="28"/>
          <w:szCs w:val="28"/>
        </w:rPr>
      </w:pPr>
      <w:hyperlink r:id="rId13"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4"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7645D788"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706A648E" w14:textId="77777777" w:rsidR="00F56C78" w:rsidRPr="00331C61" w:rsidRDefault="00F56C78" w:rsidP="003B7D0E">
      <w:pPr>
        <w:spacing w:line="288" w:lineRule="auto"/>
        <w:jc w:val="center"/>
        <w:rPr>
          <w:rFonts w:ascii="Verdana" w:hAnsi="Verdana" w:cs="Arial"/>
          <w:b/>
          <w:color w:val="232120"/>
          <w:sz w:val="28"/>
          <w:szCs w:val="28"/>
        </w:rPr>
      </w:pPr>
    </w:p>
    <w:p w14:paraId="3CA08802" w14:textId="77777777" w:rsidR="00F56C78" w:rsidRPr="00331C61" w:rsidRDefault="00F56C78" w:rsidP="003B7D0E">
      <w:pPr>
        <w:spacing w:line="288" w:lineRule="auto"/>
        <w:jc w:val="center"/>
        <w:rPr>
          <w:rFonts w:ascii="Verdana" w:hAnsi="Verdana" w:cs="Arial"/>
          <w:color w:val="232120"/>
          <w:sz w:val="20"/>
          <w:szCs w:val="20"/>
        </w:rPr>
      </w:pPr>
    </w:p>
    <w:p w14:paraId="758E8845"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DAB86ED" wp14:editId="1829EE4E">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8B0B96">
      <w:footerReference w:type="default" r:id="rId16"/>
      <w:footerReference w:type="first" r:id="rId17"/>
      <w:pgSz w:w="11900" w:h="16820"/>
      <w:pgMar w:top="1440" w:right="1440" w:bottom="1440" w:left="1440"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E818" w14:textId="77777777" w:rsidR="008B0B96" w:rsidRDefault="008B0B96" w:rsidP="00962B2B">
      <w:r>
        <w:separator/>
      </w:r>
    </w:p>
  </w:endnote>
  <w:endnote w:type="continuationSeparator" w:id="0">
    <w:p w14:paraId="646EF6EC" w14:textId="77777777" w:rsidR="008B0B96" w:rsidRDefault="008B0B96" w:rsidP="00962B2B">
      <w:r>
        <w:continuationSeparator/>
      </w:r>
    </w:p>
  </w:endnote>
  <w:endnote w:type="continuationNotice" w:id="1">
    <w:p w14:paraId="76CFC014" w14:textId="77777777" w:rsidR="008B0B96" w:rsidRDefault="008B0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28D9" w14:textId="77777777" w:rsidR="00D2770F" w:rsidRDefault="00D2770F" w:rsidP="00656ECD">
    <w:pPr>
      <w:pStyle w:val="Footer"/>
      <w:jc w:val="right"/>
      <w:rPr>
        <w:rStyle w:val="PageNumber"/>
        <w:rFonts w:ascii="Arial" w:hAnsi="Arial" w:cs="Arial"/>
        <w:b/>
        <w:sz w:val="16"/>
        <w:szCs w:val="16"/>
      </w:rPr>
    </w:pPr>
  </w:p>
  <w:p w14:paraId="5CA2C494" w14:textId="77777777"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801600">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71AB" w14:textId="77777777" w:rsidR="00D2770F" w:rsidRDefault="00D2770F" w:rsidP="00046705">
    <w:pPr>
      <w:pStyle w:val="Footer"/>
      <w:jc w:val="right"/>
      <w:rPr>
        <w:rStyle w:val="PageNumber"/>
        <w:rFonts w:ascii="Arial" w:hAnsi="Arial" w:cs="Arial"/>
        <w:b/>
        <w:sz w:val="16"/>
        <w:szCs w:val="16"/>
      </w:rPr>
    </w:pPr>
  </w:p>
  <w:p w14:paraId="3CB390DA"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6EEE" w14:textId="77777777" w:rsidR="008B0B96" w:rsidRDefault="008B0B96" w:rsidP="00B96D34">
      <w:r>
        <w:continuationSeparator/>
      </w:r>
    </w:p>
    <w:p w14:paraId="6C1D69F7" w14:textId="77777777" w:rsidR="008B0B96" w:rsidRPr="00B96D34" w:rsidRDefault="008B0B96" w:rsidP="00B96D34">
      <w:pPr>
        <w:pStyle w:val="Footer"/>
      </w:pPr>
    </w:p>
  </w:footnote>
  <w:footnote w:type="continuationSeparator" w:id="0">
    <w:p w14:paraId="54C1402A" w14:textId="77777777" w:rsidR="008B0B96" w:rsidRDefault="008B0B96" w:rsidP="00962B2B">
      <w:r>
        <w:continuationSeparator/>
      </w:r>
    </w:p>
  </w:footnote>
  <w:footnote w:type="continuationNotice" w:id="1">
    <w:p w14:paraId="43C2BC1F" w14:textId="77777777" w:rsidR="008B0B96" w:rsidRDefault="008B0B96"/>
  </w:footnote>
  <w:footnote w:id="2">
    <w:p w14:paraId="7E2B6EC9" w14:textId="2D9B38CD" w:rsidR="001D4C18" w:rsidRPr="00FC04DA" w:rsidRDefault="001D4C18" w:rsidP="001D4C18">
      <w:pPr>
        <w:pStyle w:val="NIHRCFootnotes"/>
      </w:pPr>
      <w:r w:rsidRPr="00FC04DA">
        <w:rPr>
          <w:rStyle w:val="FootnoteReference"/>
        </w:rPr>
        <w:footnoteRef/>
      </w:r>
      <w:r w:rsidRPr="00FC04DA">
        <w:t xml:space="preserve"> The Windsor Framework was formerly known as the Protocol on Ireland/Northern Ireland to the UK-EU Withdrawal Agreement 2020 and all references to the Protocol in this document have been updated to reflect this change. (</w:t>
      </w:r>
      <w:r w:rsidR="00CA7F8D">
        <w:t>S</w:t>
      </w:r>
      <w:r w:rsidRPr="00FC04DA">
        <w:t>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r w:rsidR="007D7D22">
        <w:t>.</w:t>
      </w:r>
      <w:r w:rsidRPr="00FC04DA">
        <w:t>)</w:t>
      </w:r>
    </w:p>
  </w:footnote>
  <w:footnote w:id="3">
    <w:p w14:paraId="6346137F" w14:textId="77777777" w:rsidR="001D4C18" w:rsidRPr="00FC04DA" w:rsidRDefault="001D4C18" w:rsidP="001D4C18">
      <w:pPr>
        <w:pStyle w:val="NIHRCFootnotes"/>
      </w:pPr>
      <w:r w:rsidRPr="00FC04DA">
        <w:rPr>
          <w:rStyle w:val="FootnoteReference"/>
        </w:rPr>
        <w:footnoteRef/>
      </w:r>
      <w:r w:rsidRPr="00FC04DA">
        <w:t xml:space="preserve"> The UK-EU Withdrawal Agreement, including the Windsor Framework, is incorporated into UK law via the EU (Withdrawal) Act 2018, including Section 7A.</w:t>
      </w:r>
    </w:p>
  </w:footnote>
  <w:footnote w:id="4">
    <w:p w14:paraId="14C7568D" w14:textId="77777777" w:rsidR="00F704D9" w:rsidRDefault="00F704D9" w:rsidP="00F704D9">
      <w:pPr>
        <w:pStyle w:val="NIHRCFootnotes"/>
      </w:pPr>
      <w:r>
        <w:rPr>
          <w:rStyle w:val="FootnoteReference"/>
        </w:rPr>
        <w:footnoteRef/>
      </w:r>
      <w:r>
        <w:t xml:space="preserve"> </w:t>
      </w:r>
      <w:r w:rsidRPr="00FC04DA">
        <w:t>The previous suspension ran from January 2017 until January 2020.</w:t>
      </w:r>
    </w:p>
  </w:footnote>
  <w:footnote w:id="5">
    <w:p w14:paraId="4802616C" w14:textId="2D7A678B" w:rsidR="00135EAE" w:rsidRDefault="00135EAE" w:rsidP="004D734C">
      <w:pPr>
        <w:pStyle w:val="NIHRCFootnotes"/>
      </w:pPr>
      <w:r>
        <w:rPr>
          <w:rStyle w:val="FootnoteReference"/>
        </w:rPr>
        <w:footnoteRef/>
      </w:r>
      <w:r>
        <w:t xml:space="preserve"> </w:t>
      </w:r>
      <w:r w:rsidR="004D734C">
        <w:t>House of Commons and House of Lords Joint Committee on Human Rights, ‘Legislative Scrutiny: Bill of Rights Bill’ (H</w:t>
      </w:r>
      <w:r w:rsidR="002B05AB">
        <w:t>o</w:t>
      </w:r>
      <w:r w:rsidR="004D734C">
        <w:t>C and Ho</w:t>
      </w:r>
      <w:r w:rsidR="008024BF">
        <w:t>L</w:t>
      </w:r>
      <w:r w:rsidR="004D734C">
        <w:t>, 2023), Chapter 9.</w:t>
      </w:r>
    </w:p>
  </w:footnote>
  <w:footnote w:id="6">
    <w:p w14:paraId="514B37EC" w14:textId="60EEDBF8" w:rsidR="00815F7C" w:rsidRDefault="00815F7C" w:rsidP="00815F7C">
      <w:pPr>
        <w:pStyle w:val="NIHRCFootnotes"/>
      </w:pPr>
      <w:r>
        <w:rPr>
          <w:rStyle w:val="FootnoteReference"/>
        </w:rPr>
        <w:footnoteRef/>
      </w:r>
      <w:r>
        <w:t xml:space="preserve"> For example, the Illegal Migration Act, the NI Troubles (Legacy and Reconciliation) Act and the Safety of Rwanda (Asylum and Immigration) Bill. See ‘Government officially scraps Dominic Raab’s Bill of Rights plan’, Politics.Co.UK, 27 June 2023.</w:t>
      </w:r>
    </w:p>
  </w:footnote>
  <w:footnote w:id="7">
    <w:p w14:paraId="630BE924" w14:textId="04A54429" w:rsidR="00815F7C" w:rsidRDefault="00815F7C" w:rsidP="0055376B">
      <w:pPr>
        <w:pStyle w:val="NIHRCFootnotes"/>
      </w:pPr>
      <w:r>
        <w:rPr>
          <w:rStyle w:val="FootnoteReference"/>
        </w:rPr>
        <w:footnoteRef/>
      </w:r>
      <w:r>
        <w:t xml:space="preserve"> </w:t>
      </w:r>
      <w:r w:rsidR="0055376B">
        <w:t>NI Human Rights Commission, ‘Evidence to Joint Committee on Human Rights Legislative Scrutiny of the Bill of Rights Bill’ (NIHRC, 2022); NI Human Rights Commission, ‘Advice on the Bill of Rights Bill’ (NIHRC, 2022); NI Human Rights Commission, ‘Submission to the House of Lords on the Illegal Migration Bill’ (NIHRC, 2023); NI Human Rights Commission, ‘Advice on NI Troubles (Legacy and Reconciliation) Bill’ (NIHRC, 2022); NI Human Rights Commission, ‘Supplementary Briefing: UK Government’s Proposed Amendments to NI Troubles (Legacy and Reconciliation) Bill’ (NIHRC, 2023); Letter from the NI Human Rights Commission to the Lord Jay, Chair of the House of Lords Sub</w:t>
      </w:r>
      <w:r w:rsidR="008E7788">
        <w:t>-</w:t>
      </w:r>
      <w:r w:rsidR="0055376B">
        <w:t>Committee on the Ireland/Northern Ireland Protocol, 30 January 2023; NI Human Rights Commission, ‘Supplementary Briefing: UK Government’s Additional Proposed Amendments to NI Troubles (Legacy and Reconciliation) Bill’ (NIHRC, 2023).</w:t>
      </w:r>
    </w:p>
  </w:footnote>
  <w:footnote w:id="8">
    <w:p w14:paraId="4A0E5C9E" w14:textId="321F63B1" w:rsidR="0001628C" w:rsidRDefault="0001628C" w:rsidP="0001628C">
      <w:pPr>
        <w:pStyle w:val="NIHRCFootnotes"/>
      </w:pPr>
    </w:p>
  </w:footnote>
  <w:footnote w:id="9">
    <w:p w14:paraId="3E607A91" w14:textId="77777777" w:rsidR="005F2557" w:rsidRPr="00D6023F" w:rsidRDefault="005F2557" w:rsidP="005F2557">
      <w:pPr>
        <w:pStyle w:val="FootnoteText"/>
        <w:rPr>
          <w:rFonts w:ascii="Verdana" w:hAnsi="Verdana" w:cstheme="minorHAnsi"/>
          <w:color w:val="77328A"/>
          <w:sz w:val="16"/>
          <w:szCs w:val="16"/>
        </w:rPr>
      </w:pPr>
      <w:r w:rsidRPr="00D6023F">
        <w:rPr>
          <w:rStyle w:val="FootnoteReference"/>
          <w:rFonts w:ascii="Verdana" w:hAnsi="Verdana" w:cstheme="minorHAnsi"/>
          <w:color w:val="77328A"/>
          <w:sz w:val="16"/>
          <w:szCs w:val="16"/>
        </w:rPr>
        <w:footnoteRef/>
      </w:r>
      <w:r w:rsidRPr="00D6023F">
        <w:rPr>
          <w:rFonts w:ascii="Verdana" w:hAnsi="Verdana" w:cstheme="minorHAnsi"/>
          <w:color w:val="77328A"/>
          <w:sz w:val="16"/>
          <w:szCs w:val="16"/>
        </w:rPr>
        <w:t xml:space="preserve"> Section 7A of the </w:t>
      </w:r>
      <w:hyperlink r:id="rId1" w:history="1">
        <w:r w:rsidRPr="00D6023F">
          <w:rPr>
            <w:rStyle w:val="Hyperlink"/>
            <w:rFonts w:ascii="Verdana" w:hAnsi="Verdana" w:cstheme="minorHAnsi"/>
            <w:color w:val="77328A"/>
            <w:sz w:val="16"/>
            <w:szCs w:val="16"/>
          </w:rPr>
          <w:t>European Union (Withdrawal) Act 2018</w:t>
        </w:r>
      </w:hyperlink>
      <w:r w:rsidRPr="00D6023F">
        <w:rPr>
          <w:rFonts w:ascii="Verdana" w:hAnsi="Verdana" w:cstheme="minorHAnsi"/>
          <w:color w:val="77328A"/>
          <w:sz w:val="16"/>
          <w:szCs w:val="16"/>
        </w:rPr>
        <w:t xml:space="preserve"> gives effect to all the rights, obligations and remedies arising under the UK-EU Withdrawal Agreement in UK law without the need for further enactment.  The Northern Ireland Act has also been amended to prohibit the NI Assembly and NI departments from acting in a way that is incompatible with Article 2 of the Windsor Framework.</w:t>
      </w:r>
    </w:p>
  </w:footnote>
  <w:footnote w:id="10">
    <w:p w14:paraId="25D514FF" w14:textId="0A11D974" w:rsidR="003D42BD" w:rsidRDefault="003D42BD" w:rsidP="005F2557">
      <w:pPr>
        <w:pStyle w:val="NIHRCFootnotes"/>
      </w:pPr>
      <w:r>
        <w:rPr>
          <w:rStyle w:val="FootnoteReference"/>
        </w:rPr>
        <w:footnoteRef/>
      </w:r>
      <w:r>
        <w:t xml:space="preserve"> </w:t>
      </w:r>
      <w:r w:rsidR="005F2557">
        <w:t>Se</w:t>
      </w:r>
      <w:r w:rsidR="00D6023F">
        <w:t>e</w:t>
      </w:r>
      <w:r w:rsidR="005F2557">
        <w:t xml:space="preserve"> the to the </w:t>
      </w:r>
      <w:r w:rsidR="005508E9">
        <w:t>NI Human Rights Commission and Equality Commission NI, ‘Working Paper: The Scope of Article 2(1) of the Ireland/Northern Ireland Protocol’ (NIHRC and ECNI, 2022)</w:t>
      </w:r>
      <w:r w:rsidR="00800A56">
        <w:t>.</w:t>
      </w:r>
    </w:p>
  </w:footnote>
  <w:footnote w:id="11">
    <w:p w14:paraId="7CDF09FE" w14:textId="69CFE5AB" w:rsidR="005F2557" w:rsidRDefault="005F2557" w:rsidP="005F2557">
      <w:pPr>
        <w:pStyle w:val="NIHRCFootnotes"/>
      </w:pPr>
      <w:r>
        <w:rPr>
          <w:rStyle w:val="FootnoteReference"/>
        </w:rPr>
        <w:footnoteRef/>
      </w:r>
      <w:r>
        <w:t xml:space="preserve"> Directive 2000/43/EC, ‘EU Council Directive on Implementing the Principle of Equal Treatment between Persons Irrespective of Racial or Ethnic Origin’, 29 June </w:t>
      </w:r>
      <w:r w:rsidR="000F1DF5">
        <w:t xml:space="preserve">appendix </w:t>
      </w:r>
      <w:r>
        <w:t>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12">
    <w:p w14:paraId="6E8C02DB" w14:textId="223E2364" w:rsidR="00273C8F" w:rsidRPr="00D6023F" w:rsidRDefault="00273C8F">
      <w:pPr>
        <w:pStyle w:val="FootnoteText"/>
        <w:rPr>
          <w:rFonts w:ascii="Verdana" w:hAnsi="Verdana"/>
          <w:color w:val="77328A"/>
          <w:sz w:val="16"/>
          <w:szCs w:val="16"/>
        </w:rPr>
      </w:pPr>
      <w:r w:rsidRPr="00D6023F">
        <w:rPr>
          <w:rStyle w:val="FootnoteReference"/>
          <w:rFonts w:ascii="Verdana" w:hAnsi="Verdana"/>
          <w:color w:val="77328A"/>
          <w:sz w:val="16"/>
          <w:szCs w:val="16"/>
        </w:rPr>
        <w:footnoteRef/>
      </w:r>
      <w:r w:rsidRPr="00D6023F">
        <w:rPr>
          <w:rFonts w:ascii="Verdana" w:hAnsi="Verdana"/>
          <w:color w:val="77328A"/>
          <w:sz w:val="16"/>
          <w:szCs w:val="16"/>
        </w:rPr>
        <w:t xml:space="preserve"> </w:t>
      </w:r>
      <w:r w:rsidRPr="00D6023F">
        <w:rPr>
          <w:rFonts w:ascii="Verdana" w:hAnsi="Verdana"/>
          <w:i/>
          <w:iCs/>
          <w:color w:val="77328A"/>
          <w:sz w:val="16"/>
          <w:szCs w:val="16"/>
        </w:rPr>
        <w:t xml:space="preserve">In the matter of an application by Martina Dillon and others for Judicial Review </w:t>
      </w:r>
      <w:r w:rsidRPr="00D6023F">
        <w:rPr>
          <w:rFonts w:ascii="Verdana" w:hAnsi="Verdana"/>
          <w:color w:val="77328A"/>
          <w:sz w:val="16"/>
          <w:szCs w:val="16"/>
        </w:rPr>
        <w:t>[2024] NIKB 11, at para 535.</w:t>
      </w:r>
    </w:p>
  </w:footnote>
  <w:footnote w:id="13">
    <w:p w14:paraId="332BCCD1" w14:textId="128ED533" w:rsidR="00E43C6F" w:rsidRPr="00D6023F" w:rsidRDefault="00E43C6F" w:rsidP="00E43C6F">
      <w:pPr>
        <w:pStyle w:val="NIHRCFootnotes"/>
      </w:pPr>
      <w:r w:rsidRPr="00D6023F">
        <w:rPr>
          <w:rStyle w:val="FootnoteReference"/>
        </w:rPr>
        <w:footnoteRef/>
      </w:r>
      <w:r w:rsidRPr="00D6023F">
        <w:t xml:space="preserve"> </w:t>
      </w:r>
      <w:r w:rsidRPr="00800A56">
        <w:rPr>
          <w:i/>
          <w:iCs/>
        </w:rPr>
        <w:t xml:space="preserve">In the Matter of an Application by </w:t>
      </w:r>
      <w:r w:rsidR="00510EFD" w:rsidRPr="00800A56">
        <w:rPr>
          <w:i/>
          <w:iCs/>
        </w:rPr>
        <w:t xml:space="preserve">Angesom </w:t>
      </w:r>
      <w:r w:rsidRPr="00800A56">
        <w:rPr>
          <w:i/>
          <w:iCs/>
        </w:rPr>
        <w:t>for Judicial Review</w:t>
      </w:r>
      <w:r w:rsidRPr="00D6023F">
        <w:t xml:space="preserve"> [2023] NIKB 102, at para 95</w:t>
      </w:r>
      <w:r w:rsidR="00175CDE" w:rsidRPr="00D6023F">
        <w:t>;</w:t>
      </w:r>
      <w:r w:rsidRPr="00D6023F">
        <w:t xml:space="preserve"> </w:t>
      </w:r>
      <w:r w:rsidR="00510EFD" w:rsidRPr="00D6023F">
        <w:t xml:space="preserve">the Court of Appeal had previously </w:t>
      </w:r>
      <w:r w:rsidR="00510EFD" w:rsidRPr="00D6023F">
        <w:rPr>
          <w:rFonts w:cs="Calibri"/>
        </w:rPr>
        <w:t xml:space="preserve">set out a six-part to test the engagement of Article 2 of the Windsor Framework </w:t>
      </w:r>
      <w:r w:rsidR="00800A56" w:rsidRPr="00D6023F">
        <w:rPr>
          <w:rFonts w:cs="Calibri"/>
        </w:rPr>
        <w:t>test</w:t>
      </w:r>
      <w:r w:rsidR="00800A56" w:rsidRPr="00D6023F">
        <w:t xml:space="preserve"> -</w:t>
      </w:r>
      <w:r w:rsidR="00510EFD" w:rsidRPr="00D6023F">
        <w:t xml:space="preserve"> see </w:t>
      </w:r>
      <w:r w:rsidRPr="00800A56">
        <w:rPr>
          <w:i/>
          <w:iCs/>
        </w:rPr>
        <w:t>Society for the Protection of the Unborn Child Pro-Life Ltd v Secretary of State for NI</w:t>
      </w:r>
      <w:r w:rsidRPr="00D6023F">
        <w:t xml:space="preserve"> [2023] NICA 35, at para 54.</w:t>
      </w:r>
    </w:p>
  </w:footnote>
  <w:footnote w:id="14">
    <w:p w14:paraId="325D4F55" w14:textId="54E401D7" w:rsidR="00E43C6F" w:rsidRPr="00D6023F" w:rsidRDefault="00E43C6F" w:rsidP="00DE2AA4">
      <w:pPr>
        <w:pStyle w:val="Footnote"/>
      </w:pPr>
      <w:r w:rsidRPr="00D6023F">
        <w:rPr>
          <w:rStyle w:val="FootnoteReference"/>
        </w:rPr>
        <w:footnoteRef/>
      </w:r>
      <w:r w:rsidRPr="00D6023F">
        <w:t xml:space="preserve"> </w:t>
      </w:r>
      <w:r w:rsidRPr="00800A56">
        <w:rPr>
          <w:i/>
          <w:iCs/>
        </w:rPr>
        <w:t xml:space="preserve">In the Matter of an Application by </w:t>
      </w:r>
      <w:r w:rsidR="00510EFD" w:rsidRPr="00800A56">
        <w:rPr>
          <w:i/>
          <w:iCs/>
        </w:rPr>
        <w:t xml:space="preserve">Angesom </w:t>
      </w:r>
      <w:r w:rsidRPr="00800A56">
        <w:rPr>
          <w:i/>
          <w:iCs/>
        </w:rPr>
        <w:t>for Judicial Review</w:t>
      </w:r>
      <w:r w:rsidRPr="00D6023F">
        <w:t xml:space="preserve"> [2023] NIKB 102, at para 93</w:t>
      </w:r>
      <w:r w:rsidR="00842A2F" w:rsidRPr="00D6023F">
        <w:t xml:space="preserve">; </w:t>
      </w:r>
      <w:r w:rsidRPr="00800A56">
        <w:rPr>
          <w:i/>
          <w:iCs/>
        </w:rPr>
        <w:t>Secretary of State for Work and Pensions v AT</w:t>
      </w:r>
      <w:r w:rsidRPr="00D6023F">
        <w:t xml:space="preserve"> [2023] EWCA Civ 1307</w:t>
      </w:r>
      <w:r w:rsidR="00D6023F">
        <w:t>, at para 113</w:t>
      </w:r>
      <w:r w:rsidRPr="00D6023F">
        <w:t>.</w:t>
      </w:r>
    </w:p>
  </w:footnote>
  <w:footnote w:id="15">
    <w:p w14:paraId="40B94ED0" w14:textId="2974681C" w:rsidR="00E43C6F" w:rsidRDefault="00E43C6F" w:rsidP="00E43C6F">
      <w:pPr>
        <w:pStyle w:val="NIHRCFootnotes"/>
      </w:pPr>
      <w:r w:rsidRPr="00D6023F">
        <w:rPr>
          <w:rStyle w:val="FootnoteReference"/>
        </w:rPr>
        <w:footnoteRef/>
      </w:r>
      <w:r w:rsidR="007A12F2" w:rsidRPr="00D6023F">
        <w:t xml:space="preserve"> </w:t>
      </w:r>
      <w:r w:rsidR="00273C8F" w:rsidRPr="00D6023F">
        <w:rPr>
          <w:i/>
          <w:iCs/>
        </w:rPr>
        <w:t xml:space="preserve">In the matter of an application by Martina Dillon and others for Judicial Review </w:t>
      </w:r>
      <w:r w:rsidR="00273C8F" w:rsidRPr="00D6023F">
        <w:t xml:space="preserve">[2024] NIKB 11, at para 554.  See also </w:t>
      </w:r>
      <w:r w:rsidR="00D6023F" w:rsidRPr="00D6023F">
        <w:t xml:space="preserve">A case involving the removal of an asylum seeker from NI to Scotland - </w:t>
      </w:r>
      <w:r w:rsidR="00273C8F" w:rsidRPr="00D6023F">
        <w:t>In the Matter of an Application by Angesom for Judicial Review [2023] NIKB 102, at para</w:t>
      </w:r>
      <w:r w:rsidR="00D6023F" w:rsidRPr="00D6023F">
        <w:t xml:space="preserve"> 107.</w:t>
      </w:r>
      <w:r w:rsidR="00273C8F" w:rsidRPr="00D6023F" w:rsidDel="00273C8F">
        <w:t xml:space="preserve"> </w:t>
      </w:r>
    </w:p>
  </w:footnote>
  <w:footnote w:id="16">
    <w:p w14:paraId="1B6F9CB4" w14:textId="3EB573E0" w:rsidR="00785E84" w:rsidRDefault="00785E84" w:rsidP="00785E84">
      <w:pPr>
        <w:pStyle w:val="Footnote"/>
      </w:pPr>
      <w:r>
        <w:rPr>
          <w:rStyle w:val="FootnoteReference"/>
        </w:rPr>
        <w:footnoteRef/>
      </w:r>
      <w:r>
        <w:t xml:space="preserve"> </w:t>
      </w:r>
      <w:r w:rsidRPr="00785E84">
        <w:t>See Joint Committee on Human Rights, ’Safety of Rwanda (Asylum and Immigration) Bill, Second Report of Session 2023-2024' (H</w:t>
      </w:r>
      <w:r w:rsidR="00FC7116">
        <w:t>o</w:t>
      </w:r>
      <w:r w:rsidRPr="00785E84">
        <w:t>C and H</w:t>
      </w:r>
      <w:r w:rsidR="00FC7116">
        <w:t>o</w:t>
      </w:r>
      <w:r w:rsidRPr="00785E84">
        <w:t>L, 2024); Letter from Lord Jay of Ewelme, Chair of the Sub-Committee on the Windsor Framework, to Lord Sharpe of Epsom, Parliamentary Under Secretary of State Home Office, 7 March 2024; Letter from Lord Jay of Ewelme, Chair of the Protocol on Ireland/Northern Ireland Sub-Committee, to Rt Hon Kemi Badenoch, MP Secretary of State for Business and Trade, 12 July 2023.</w:t>
      </w:r>
    </w:p>
  </w:footnote>
  <w:footnote w:id="17">
    <w:p w14:paraId="106F26E8" w14:textId="77777777" w:rsidR="00E14D8C" w:rsidRDefault="00E14D8C" w:rsidP="00E14D8C">
      <w:pPr>
        <w:pStyle w:val="NIHRCFootnotes"/>
      </w:pPr>
      <w:r>
        <w:rPr>
          <w:rStyle w:val="FootnoteReference"/>
        </w:rPr>
        <w:footnoteRef/>
      </w:r>
      <w:r>
        <w:t xml:space="preserve"> The Belfast (Good Friday) Agreement 1998, at 17. </w:t>
      </w:r>
    </w:p>
  </w:footnote>
  <w:footnote w:id="18">
    <w:p w14:paraId="1334447C" w14:textId="77777777" w:rsidR="00E14D8C" w:rsidRDefault="00E14D8C" w:rsidP="00E14D8C">
      <w:pPr>
        <w:pStyle w:val="NIHRCFootnotes"/>
      </w:pPr>
      <w:r>
        <w:rPr>
          <w:rStyle w:val="FootnoteReference"/>
        </w:rPr>
        <w:footnoteRef/>
      </w:r>
      <w:r>
        <w:t xml:space="preserve"> NI Office, 'New Decade, New Approach' (NIO, 2020), at para 5.26.</w:t>
      </w:r>
    </w:p>
  </w:footnote>
  <w:footnote w:id="19">
    <w:p w14:paraId="57341759" w14:textId="77777777" w:rsidR="00E14D8C" w:rsidRDefault="00E14D8C" w:rsidP="00E14D8C">
      <w:pPr>
        <w:pStyle w:val="NIHRCFootnotes"/>
      </w:pPr>
      <w:r>
        <w:rPr>
          <w:rStyle w:val="FootnoteReference"/>
        </w:rPr>
        <w:footnoteRef/>
      </w:r>
      <w:r>
        <w:t xml:space="preserve"> NI Office, 'New Decade, New Approach' (NIO, 2020), at para 5.26.</w:t>
      </w:r>
    </w:p>
  </w:footnote>
  <w:footnote w:id="20">
    <w:p w14:paraId="0470840F" w14:textId="77777777" w:rsidR="00E14D8C" w:rsidRDefault="00E14D8C" w:rsidP="00E14D8C">
      <w:pPr>
        <w:pStyle w:val="NIHRCFootnotes"/>
      </w:pPr>
      <w:r>
        <w:rPr>
          <w:rStyle w:val="FootnoteReference"/>
        </w:rPr>
        <w:footnoteRef/>
      </w:r>
      <w:r>
        <w:t xml:space="preserve"> NI Assembly, 'Report of the Ad Hoc Committee on Bill of Rights' (NIA, 2022), at para 8.</w:t>
      </w:r>
    </w:p>
  </w:footnote>
  <w:footnote w:id="21">
    <w:p w14:paraId="6B86D4F1" w14:textId="77777777" w:rsidR="00E14D8C" w:rsidRDefault="00E14D8C" w:rsidP="00E14D8C">
      <w:pPr>
        <w:pStyle w:val="NIHRCFootnotes"/>
      </w:pPr>
      <w:r>
        <w:rPr>
          <w:rStyle w:val="FootnoteReference"/>
        </w:rPr>
        <w:footnoteRef/>
      </w:r>
      <w:r>
        <w:t xml:space="preserve"> It concluded that “human rights of many individuals and groups in NI are not sufficiently protected”. See NI Assembly, 'Report of the Ad Hoc Committee on Bill of Rights' (NIA, 2022), at paras 9 and 11.</w:t>
      </w:r>
    </w:p>
  </w:footnote>
  <w:footnote w:id="22">
    <w:p w14:paraId="2EA402CF" w14:textId="77777777" w:rsidR="00E14D8C" w:rsidRDefault="00E14D8C" w:rsidP="00E14D8C">
      <w:pPr>
        <w:pStyle w:val="NIHRCFootnotes"/>
      </w:pPr>
      <w:r>
        <w:rPr>
          <w:rStyle w:val="FootnoteReference"/>
        </w:rPr>
        <w:footnoteRef/>
      </w:r>
      <w:r>
        <w:t xml:space="preserve"> NI Assembly, 'Report of the Ad Hoc Committee on Bill of Rights' (NIA, 2022), at para 13.</w:t>
      </w:r>
    </w:p>
  </w:footnote>
  <w:footnote w:id="23">
    <w:p w14:paraId="14F432A8" w14:textId="77777777" w:rsidR="00F93FB9" w:rsidRDefault="00F93FB9" w:rsidP="00F93FB9">
      <w:pPr>
        <w:pStyle w:val="NIHRCFootnotes"/>
      </w:pPr>
      <w:r>
        <w:rPr>
          <w:rStyle w:val="FootnoteReference"/>
        </w:rPr>
        <w:footnoteRef/>
      </w:r>
      <w:r>
        <w:t xml:space="preserve"> The Single Equality Act 2010. In NI, equality legislation includes Employment Equality (Age) Regulations (NI) 2006; Disability Discrimination Act 1995; Special Educational Needs and Disability (NI) Order 2005; Equal Pay Act (NI) 1970; Sex Discrimination (NI) Order 1976; Race Relations (NI) Order 1997; Fair Employment and Treatment (NI) Order 1998; Employment Equality (Sexual Orientation) Regulations (NI) 2003; Equality Act (Sexual Orientation) Regulations (NI) 2006; NI Act 1998.</w:t>
      </w:r>
    </w:p>
  </w:footnote>
  <w:footnote w:id="24">
    <w:p w14:paraId="77481E0F" w14:textId="77777777" w:rsidR="00F93FB9" w:rsidRPr="000233FC" w:rsidRDefault="00F93FB9" w:rsidP="00F93FB9">
      <w:pPr>
        <w:pStyle w:val="NIHRCFootnotes"/>
      </w:pPr>
      <w:r>
        <w:rPr>
          <w:rStyle w:val="FootnoteReference"/>
        </w:rPr>
        <w:footnoteRef/>
      </w:r>
      <w:r>
        <w:t xml:space="preserve"> Equality Commission for NI, 'Recommendations for Law Reform: Strengthening Protection Against Racial </w:t>
      </w:r>
      <w:r w:rsidRPr="000233FC">
        <w:t>Discrimination' (ECNI, 2014), at 38.</w:t>
      </w:r>
    </w:p>
  </w:footnote>
  <w:footnote w:id="25">
    <w:p w14:paraId="7457EB01" w14:textId="49093095" w:rsidR="003718A2" w:rsidRPr="007E473C" w:rsidRDefault="003718A2" w:rsidP="000233FC">
      <w:pPr>
        <w:pStyle w:val="Footnote"/>
      </w:pPr>
      <w:r w:rsidRPr="00741005">
        <w:rPr>
          <w:rStyle w:val="FootnoteReference"/>
        </w:rPr>
        <w:footnoteRef/>
      </w:r>
      <w:r w:rsidRPr="00741005">
        <w:t xml:space="preserve"> </w:t>
      </w:r>
      <w:r w:rsidR="00D6023F" w:rsidRPr="00741005">
        <w:t>Article 3, Directive 2023/970/EU, ‘Directive of the EU Parliament and Council to strengthen the application of the principle of equal pay for equal work or work of equal value between men and women through pay transparency and enforcement mechanisms</w:t>
      </w:r>
      <w:r w:rsidR="000233FC" w:rsidRPr="00741005">
        <w:t xml:space="preserve">’, 10 May 2023. In accordance with Article 13(3), Windsor Framework this must be transposed into NI law by 7 June 2026 (See Article 34, Pay Transparency Directive). See Equality Commission for NI and NI Human Rights Commission, ‘Briefing Paper: The EU Pay Transparency Directive - The UK Government’s dynamic alignment obligations relating to Windsor Framework Article 2’ (ECNI and NIHRC, 2024). </w:t>
      </w:r>
      <w:r w:rsidR="007711FB" w:rsidRPr="00741005">
        <w:t xml:space="preserve">The EU Commission has </w:t>
      </w:r>
      <w:r w:rsidR="000233FC" w:rsidRPr="00741005">
        <w:t xml:space="preserve">also </w:t>
      </w:r>
      <w:r w:rsidR="007711FB" w:rsidRPr="00741005">
        <w:t xml:space="preserve">published proposals for two EU Directives on standards for equality bodies which </w:t>
      </w:r>
      <w:r w:rsidR="000233FC" w:rsidRPr="00741005">
        <w:t xml:space="preserve">will </w:t>
      </w:r>
      <w:r w:rsidR="007711FB" w:rsidRPr="00741005">
        <w:t>amend provisions of the EU Race Equality Directive,</w:t>
      </w:r>
      <w:r w:rsidR="00602BB1" w:rsidRPr="00741005">
        <w:t xml:space="preserve"> </w:t>
      </w:r>
      <w:r w:rsidR="007711FB" w:rsidRPr="00741005">
        <w:t>which is specified in Annex 1 to</w:t>
      </w:r>
      <w:r w:rsidR="00CB1AD5" w:rsidRPr="00741005">
        <w:t xml:space="preserve"> Windsor Framework</w:t>
      </w:r>
      <w:r w:rsidR="000B0AED" w:rsidRPr="00741005">
        <w:t>.</w:t>
      </w:r>
      <w:r w:rsidR="000B0AED" w:rsidRPr="000233FC">
        <w:t xml:space="preserve"> </w:t>
      </w:r>
    </w:p>
  </w:footnote>
  <w:footnote w:id="26">
    <w:p w14:paraId="60C0BD87" w14:textId="1E6CF752" w:rsidR="00E37801" w:rsidRDefault="00E37801" w:rsidP="00E37801">
      <w:pPr>
        <w:pStyle w:val="NIHRCFootnotes"/>
      </w:pPr>
      <w:r>
        <w:rPr>
          <w:rStyle w:val="FootnoteReference"/>
        </w:rPr>
        <w:footnoteRef/>
      </w:r>
      <w:r>
        <w:t xml:space="preserve"> The Executive Office, ‘Racial Equality’. Available at: </w:t>
      </w:r>
      <w:hyperlink r:id="rId2" w:history="1">
        <w:r>
          <w:rPr>
            <w:rStyle w:val="Hyperlink"/>
          </w:rPr>
          <w:t>Racial Equality | The Executive Office (executiveoffice-ni.gov.uk)</w:t>
        </w:r>
      </w:hyperlink>
      <w:r w:rsidR="00E710A1">
        <w:rPr>
          <w:rStyle w:val="Hyperlink"/>
        </w:rPr>
        <w:t xml:space="preserve">; </w:t>
      </w:r>
      <w:r w:rsidR="00E710A1">
        <w:t>The Executive Office, 'Racial Equality Strategy 2015-2025' (TEO, 2015).</w:t>
      </w:r>
    </w:p>
  </w:footnote>
  <w:footnote w:id="27">
    <w:p w14:paraId="21E5C2FC" w14:textId="5E06A435" w:rsidR="00E63E0E" w:rsidRDefault="00E63E0E" w:rsidP="00E63E0E">
      <w:pPr>
        <w:pStyle w:val="Footnote"/>
      </w:pPr>
      <w:r>
        <w:rPr>
          <w:rStyle w:val="FootnoteReference"/>
        </w:rPr>
        <w:footnoteRef/>
      </w:r>
      <w:r>
        <w:t xml:space="preserve"> </w:t>
      </w:r>
      <w:r w:rsidRPr="0064287F">
        <w:rPr>
          <w:rStyle w:val="FootnoteChar"/>
        </w:rPr>
        <w:t xml:space="preserve">NI Human Rights Commission roundtable meeting with civil society organisations, </w:t>
      </w:r>
      <w:r>
        <w:rPr>
          <w:rStyle w:val="FootnoteChar"/>
        </w:rPr>
        <w:t>10</w:t>
      </w:r>
      <w:r w:rsidRPr="0064287F">
        <w:rPr>
          <w:rStyle w:val="FootnoteChar"/>
        </w:rPr>
        <w:t xml:space="preserve"> April 2024</w:t>
      </w:r>
      <w:r>
        <w:t>.</w:t>
      </w:r>
    </w:p>
  </w:footnote>
  <w:footnote w:id="28">
    <w:p w14:paraId="72BF122F" w14:textId="13C1234B" w:rsidR="00D514CF" w:rsidRDefault="00D514CF" w:rsidP="00D514CF">
      <w:pPr>
        <w:pStyle w:val="Footnote"/>
      </w:pPr>
      <w:r>
        <w:rPr>
          <w:rStyle w:val="FootnoteReference"/>
        </w:rPr>
        <w:footnoteRef/>
      </w:r>
      <w:r>
        <w:t xml:space="preserve"> </w:t>
      </w:r>
      <w:r w:rsidRPr="0064287F">
        <w:rPr>
          <w:rStyle w:val="FootnoteChar"/>
        </w:rPr>
        <w:t xml:space="preserve">NI Human Rights Commission roundtable meeting with civil society organisations, </w:t>
      </w:r>
      <w:r>
        <w:rPr>
          <w:rStyle w:val="FootnoteChar"/>
        </w:rPr>
        <w:t>10</w:t>
      </w:r>
      <w:r w:rsidRPr="0064287F">
        <w:rPr>
          <w:rStyle w:val="FootnoteChar"/>
        </w:rPr>
        <w:t xml:space="preserve"> April 2024</w:t>
      </w:r>
      <w:r>
        <w:t xml:space="preserve">. It should be noted that </w:t>
      </w:r>
      <w:r w:rsidR="00F1640A">
        <w:t>T</w:t>
      </w:r>
      <w:r>
        <w:t xml:space="preserve">he Executive Office </w:t>
      </w:r>
      <w:r w:rsidR="00C8079F">
        <w:t xml:space="preserve">has </w:t>
      </w:r>
      <w:r w:rsidR="00F1640A">
        <w:t>indicated</w:t>
      </w:r>
      <w:r w:rsidR="00C8079F">
        <w:t xml:space="preserve"> that the current strategy can be continued until a replacement strategy is developed.</w:t>
      </w:r>
    </w:p>
  </w:footnote>
  <w:footnote w:id="29">
    <w:p w14:paraId="377E48C0" w14:textId="77777777" w:rsidR="00F374F3" w:rsidRDefault="00F374F3" w:rsidP="00F374F3">
      <w:pPr>
        <w:pStyle w:val="NIHRCFootnotes"/>
      </w:pPr>
      <w:r>
        <w:rPr>
          <w:rStyle w:val="FootnoteReference"/>
        </w:rPr>
        <w:footnoteRef/>
      </w:r>
      <w:r>
        <w:t xml:space="preserve"> NI Human Rights Commission, ‘Response to The Executive Office’s Consultation on the Review of the Race Relations (NI) Order 1997’ (NIHRC, 2023).</w:t>
      </w:r>
    </w:p>
  </w:footnote>
  <w:footnote w:id="30">
    <w:p w14:paraId="603C52B2" w14:textId="66F64119" w:rsidR="002F5BE6" w:rsidRDefault="002F5BE6" w:rsidP="00374708">
      <w:pPr>
        <w:pStyle w:val="Footnote"/>
      </w:pPr>
      <w:r w:rsidRPr="00374708">
        <w:rPr>
          <w:rStyle w:val="FootnoteChar"/>
          <w:sz w:val="12"/>
          <w:szCs w:val="12"/>
        </w:rPr>
        <w:footnoteRef/>
      </w:r>
      <w:r w:rsidRPr="0064287F">
        <w:rPr>
          <w:rStyle w:val="FootnoteChar"/>
        </w:rPr>
        <w:t xml:space="preserve"> </w:t>
      </w:r>
      <w:r w:rsidR="00690A0F" w:rsidRPr="0064287F">
        <w:rPr>
          <w:rStyle w:val="FootnoteChar"/>
        </w:rPr>
        <w:t xml:space="preserve">NI Human Rights Commission </w:t>
      </w:r>
      <w:r w:rsidR="00286F0C" w:rsidRPr="0064287F">
        <w:rPr>
          <w:rStyle w:val="FootnoteChar"/>
        </w:rPr>
        <w:t>r</w:t>
      </w:r>
      <w:r w:rsidR="00690A0F" w:rsidRPr="0064287F">
        <w:rPr>
          <w:rStyle w:val="FootnoteChar"/>
        </w:rPr>
        <w:t xml:space="preserve">oundtable </w:t>
      </w:r>
      <w:r w:rsidR="0064287F" w:rsidRPr="0064287F">
        <w:rPr>
          <w:rStyle w:val="FootnoteChar"/>
        </w:rPr>
        <w:t>meeting with civil society organisations, 9 April 2024</w:t>
      </w:r>
      <w:r w:rsidR="0064287F">
        <w:t>.</w:t>
      </w:r>
    </w:p>
  </w:footnote>
  <w:footnote w:id="31">
    <w:p w14:paraId="6BAC4A84" w14:textId="2AEED88E" w:rsidR="00DB2374" w:rsidRDefault="00DB2374" w:rsidP="00374708">
      <w:pPr>
        <w:pStyle w:val="Footnote"/>
      </w:pPr>
      <w:r>
        <w:rPr>
          <w:rStyle w:val="FootnoteReference"/>
        </w:rPr>
        <w:footnoteRef/>
      </w:r>
      <w:r>
        <w:t xml:space="preserve"> </w:t>
      </w:r>
      <w:r w:rsidR="009C1A3C">
        <w:t>Home Office</w:t>
      </w:r>
      <w:r w:rsidR="003D28CA">
        <w:t>, ‘</w:t>
      </w:r>
      <w:r w:rsidR="00DC292A">
        <w:t xml:space="preserve">Compliant </w:t>
      </w:r>
      <w:r w:rsidR="00F71A4A">
        <w:t>Envir</w:t>
      </w:r>
      <w:r w:rsidR="00993839">
        <w:t>onment: Overarching Equality Impact Assessment</w:t>
      </w:r>
      <w:r w:rsidR="00593556">
        <w:t>’ (UK Gov, 2023)</w:t>
      </w:r>
      <w:r w:rsidR="00374708">
        <w:t xml:space="preserve">. </w:t>
      </w:r>
    </w:p>
  </w:footnote>
  <w:footnote w:id="32">
    <w:p w14:paraId="0BED1C2D" w14:textId="218D0DF7" w:rsidR="00990251" w:rsidRDefault="00990251" w:rsidP="00C2765A">
      <w:pPr>
        <w:pStyle w:val="Footnote"/>
      </w:pPr>
      <w:r>
        <w:rPr>
          <w:rStyle w:val="FootnoteReference"/>
        </w:rPr>
        <w:footnoteRef/>
      </w:r>
      <w:r>
        <w:t xml:space="preserve"> Hope</w:t>
      </w:r>
      <w:r w:rsidR="009928AA">
        <w:t xml:space="preserve"> Not Hate, ‘State of Hate 2024: </w:t>
      </w:r>
      <w:r w:rsidR="00D81EAD">
        <w:t xml:space="preserve">Pessimism, </w:t>
      </w:r>
      <w:r w:rsidR="002565FD">
        <w:t>D</w:t>
      </w:r>
      <w:r w:rsidR="00D81EAD">
        <w:t xml:space="preserve">ecline and </w:t>
      </w:r>
      <w:r w:rsidR="002565FD">
        <w:t>the Rising Radical Right</w:t>
      </w:r>
      <w:r w:rsidR="00C2765A">
        <w:t>’ (Hope Not Hate, 2024)</w:t>
      </w:r>
      <w:r w:rsidR="008F4687">
        <w:t xml:space="preserve">; </w:t>
      </w:r>
      <w:r w:rsidR="001A00A2" w:rsidRPr="0064287F">
        <w:rPr>
          <w:rStyle w:val="FootnoteChar"/>
        </w:rPr>
        <w:t>NI Human Rights Commission roundtable meeting with civil society organisations, 9 April 2024</w:t>
      </w:r>
      <w:r w:rsidR="001A00A2">
        <w:t>.</w:t>
      </w:r>
    </w:p>
  </w:footnote>
  <w:footnote w:id="33">
    <w:p w14:paraId="1786CDDF" w14:textId="35A9F07B" w:rsidR="009F40D3" w:rsidRDefault="009F40D3" w:rsidP="00570110">
      <w:pPr>
        <w:pStyle w:val="Footnote"/>
      </w:pPr>
      <w:r>
        <w:rPr>
          <w:rStyle w:val="FootnoteReference"/>
        </w:rPr>
        <w:footnoteRef/>
      </w:r>
      <w:r>
        <w:t xml:space="preserve"> </w:t>
      </w:r>
      <w:r w:rsidR="00A60553">
        <w:t xml:space="preserve">Committee </w:t>
      </w:r>
      <w:r w:rsidR="00B83DAC">
        <w:t>for the Administration of Justice, ‘Can Stormont</w:t>
      </w:r>
      <w:r w:rsidR="002E761D">
        <w:t xml:space="preserve"> Rollback the Home Office “Hostile Env</w:t>
      </w:r>
      <w:r w:rsidR="002377A0">
        <w:t>ironment”</w:t>
      </w:r>
      <w:r w:rsidR="00570110">
        <w:t>?’ (CAJ, 2021).</w:t>
      </w:r>
    </w:p>
  </w:footnote>
  <w:footnote w:id="34">
    <w:p w14:paraId="1CC450C6" w14:textId="7B781F3A" w:rsidR="00670F72" w:rsidRDefault="00670F72" w:rsidP="0034015D">
      <w:pPr>
        <w:pStyle w:val="Footnote"/>
      </w:pPr>
      <w:r>
        <w:rPr>
          <w:rStyle w:val="FootnoteReference"/>
        </w:rPr>
        <w:footnoteRef/>
      </w:r>
      <w:r>
        <w:t xml:space="preserve"> </w:t>
      </w:r>
      <w:r w:rsidR="0034015D" w:rsidRPr="0064287F">
        <w:rPr>
          <w:rStyle w:val="FootnoteChar"/>
        </w:rPr>
        <w:t>NI Human Rights Commission roundtable meeting with civil society organisations, 9 April 2024</w:t>
      </w:r>
      <w:r w:rsidR="0034015D">
        <w:t>.</w:t>
      </w:r>
    </w:p>
  </w:footnote>
  <w:footnote w:id="35">
    <w:p w14:paraId="785A3F40" w14:textId="4646BC76" w:rsidR="0021466E" w:rsidRDefault="0021466E" w:rsidP="00D5083B">
      <w:pPr>
        <w:pStyle w:val="Footnote"/>
      </w:pPr>
      <w:r>
        <w:rPr>
          <w:rStyle w:val="FootnoteReference"/>
        </w:rPr>
        <w:footnoteRef/>
      </w:r>
      <w:r>
        <w:t xml:space="preserve"> Equality Commission, ‘Impact of Brexit on Minority Ethnic and Migrant People in NI’ (ECNI, 2022).</w:t>
      </w:r>
    </w:p>
  </w:footnote>
  <w:footnote w:id="36">
    <w:p w14:paraId="6565AE04" w14:textId="1A79A503" w:rsidR="0051321D" w:rsidRPr="004461B1" w:rsidRDefault="0051321D" w:rsidP="00D5083B">
      <w:pPr>
        <w:pStyle w:val="Footnote"/>
      </w:pPr>
      <w:r w:rsidRPr="004461B1">
        <w:rPr>
          <w:rStyle w:val="FootnoteReference"/>
          <w:rFonts w:eastAsiaTheme="majorEastAsia"/>
        </w:rPr>
        <w:footnoteRef/>
      </w:r>
      <w:r w:rsidRPr="004461B1">
        <w:t xml:space="preserve"> Home Office, ‘Common Travel Area - Version 11.0’ (HO, 2021), at 44-47.</w:t>
      </w:r>
      <w:r w:rsidR="00D5083B">
        <w:t xml:space="preserve"> </w:t>
      </w:r>
      <w:r w:rsidR="00D5083B" w:rsidRPr="00D5083B">
        <w:t>EEA and Swiss citizens may be asked to show their passport or identity card to enter Great Britain when travelling from Ireland if they are encountered by Border Force.</w:t>
      </w:r>
    </w:p>
  </w:footnote>
  <w:footnote w:id="37">
    <w:p w14:paraId="08D1ADF1" w14:textId="7064E22B" w:rsidR="0051321D" w:rsidRPr="004461B1" w:rsidRDefault="0051321D" w:rsidP="00D5083B">
      <w:pPr>
        <w:pStyle w:val="Footnote"/>
      </w:pPr>
      <w:r w:rsidRPr="004461B1">
        <w:rPr>
          <w:rStyle w:val="FootnoteReference"/>
        </w:rPr>
        <w:footnoteRef/>
      </w:r>
      <w:r w:rsidRPr="004461B1">
        <w:t xml:space="preserve"> Letter from NI Human Rights Commission to Home Office, 20 December 2021; Letter from Equality Commission for NI to Home Office, January 2021.</w:t>
      </w:r>
      <w:r w:rsidR="008D5B13">
        <w:t xml:space="preserve"> The NIHRC has asked the Home </w:t>
      </w:r>
      <w:r w:rsidR="008D5B13" w:rsidRPr="00464974">
        <w:t xml:space="preserve">Office about the training, guidance and procedures in place to prevent and address </w:t>
      </w:r>
      <w:r w:rsidR="0048123C" w:rsidRPr="00464974">
        <w:t xml:space="preserve">occurrences </w:t>
      </w:r>
      <w:r w:rsidR="00464974" w:rsidRPr="00464974">
        <w:t xml:space="preserve">of </w:t>
      </w:r>
      <w:r w:rsidR="0048123C" w:rsidRPr="00464974">
        <w:t>racial profiling in light of these new measures.</w:t>
      </w:r>
    </w:p>
  </w:footnote>
  <w:footnote w:id="38">
    <w:p w14:paraId="0710BE35" w14:textId="215E0552" w:rsidR="00E52B1A" w:rsidRDefault="00E52B1A" w:rsidP="00662E32">
      <w:pPr>
        <w:pStyle w:val="Footnote"/>
      </w:pPr>
      <w:r>
        <w:rPr>
          <w:rStyle w:val="FootnoteReference"/>
        </w:rPr>
        <w:footnoteRef/>
      </w:r>
      <w:r>
        <w:t xml:space="preserve"> </w:t>
      </w:r>
      <w:r w:rsidR="00662E32">
        <w:t xml:space="preserve">Section 75, Nationality and Borders Act 2022. The legislative framework was introduced in 2022, but ETAs started in November 2023 for Qatari Nationals and will be further extended in February 2024 to a limited number of other Gulf states. </w:t>
      </w:r>
    </w:p>
  </w:footnote>
  <w:footnote w:id="39">
    <w:p w14:paraId="0FF349B6" w14:textId="4A9F9E70" w:rsidR="00107925" w:rsidRDefault="00107925" w:rsidP="006969C4">
      <w:pPr>
        <w:pStyle w:val="Footnote"/>
      </w:pPr>
      <w:r>
        <w:rPr>
          <w:rStyle w:val="FootnoteReference"/>
        </w:rPr>
        <w:footnoteRef/>
      </w:r>
      <w:r>
        <w:t xml:space="preserve"> Section 3ZA, Immigration Act 1971.</w:t>
      </w:r>
    </w:p>
  </w:footnote>
  <w:footnote w:id="40">
    <w:p w14:paraId="11E8C8D5" w14:textId="27A79B43" w:rsidR="00107925" w:rsidRDefault="00107925" w:rsidP="006969C4">
      <w:pPr>
        <w:pStyle w:val="Footnote"/>
      </w:pPr>
      <w:r>
        <w:rPr>
          <w:rStyle w:val="FootnoteReference"/>
        </w:rPr>
        <w:footnoteRef/>
      </w:r>
      <w:r>
        <w:t xml:space="preserve"> Home Office, ‘Statement of Changes to the Immigration Rules - HC 1160’, 9 March 2023.</w:t>
      </w:r>
    </w:p>
  </w:footnote>
  <w:footnote w:id="41">
    <w:p w14:paraId="7AAFCA95" w14:textId="46B2CE8E" w:rsidR="00190FA2" w:rsidRDefault="00190FA2" w:rsidP="006969C4">
      <w:pPr>
        <w:pStyle w:val="Footnote"/>
      </w:pPr>
      <w:r>
        <w:rPr>
          <w:rStyle w:val="FootnoteReference"/>
        </w:rPr>
        <w:footnoteRef/>
      </w:r>
      <w:r>
        <w:t xml:space="preserve"> In October 2023, the Sovereign Affairs Committee to the British Irish Parliamentary Assembly published a report on the Common Travel Area post-Brexit. The Committee raised concerns about the incompatibility of the Electronic Travel Authorisation system with tourism on the island of Ireland and recommended that all permanent residents in NI or Ireland be exempt from the requirement to obtain a visa for short visits to other jurisdictions. See Sovereign Affairs Committee (Committee A) of the British Irish Parliamentary Assembly, ‘Protecting the Common Travel Area in the Post-Brexit Era’ (BIPA, 2023)</w:t>
      </w:r>
      <w:r w:rsidR="00E51411">
        <w:t>.</w:t>
      </w:r>
    </w:p>
  </w:footnote>
  <w:footnote w:id="42">
    <w:p w14:paraId="1B7CB919" w14:textId="5DADEAED" w:rsidR="006969C4" w:rsidRDefault="006969C4" w:rsidP="006969C4">
      <w:pPr>
        <w:pStyle w:val="Footnote"/>
      </w:pPr>
      <w:r>
        <w:rPr>
          <w:rStyle w:val="FootnoteReference"/>
        </w:rPr>
        <w:footnoteRef/>
      </w:r>
      <w:r>
        <w:t xml:space="preserve"> Committee on the Administration of Justice, ‘Briefing Note: Electronic Travel Authorisation (ETA) September 2023’ (CAJ, 2023).</w:t>
      </w:r>
    </w:p>
  </w:footnote>
  <w:footnote w:id="43">
    <w:p w14:paraId="3B1CC0A2" w14:textId="77777777" w:rsidR="00C33358" w:rsidRDefault="00C33358" w:rsidP="00C33358">
      <w:pPr>
        <w:pStyle w:val="Footnote"/>
      </w:pPr>
      <w:r>
        <w:rPr>
          <w:rStyle w:val="FootnoteReference"/>
        </w:rPr>
        <w:footnoteRef/>
      </w:r>
      <w:r>
        <w:t xml:space="preserve"> Police Service NI, ‘Use of Stop and Search Powers by the Police Service NI: 1 January 2023 to 31 December 2023’ (PSNI, 2024), at 4.2.</w:t>
      </w:r>
    </w:p>
  </w:footnote>
  <w:footnote w:id="44">
    <w:p w14:paraId="5916D394" w14:textId="77777777" w:rsidR="00C33358" w:rsidRDefault="00C33358" w:rsidP="00C33358">
      <w:pPr>
        <w:pStyle w:val="Footnote"/>
      </w:pPr>
      <w:r>
        <w:rPr>
          <w:rStyle w:val="FootnoteReference"/>
        </w:rPr>
        <w:footnoteRef/>
      </w:r>
      <w:r>
        <w:t xml:space="preserve"> Police Service NI, ‘Use of Stop and Search Powers by the Police Service NI: 1 January 2023 to 31 December 2023’ (PSNI, 2024), at 4.2. Police Service NI data identifies that a degree of undercounting of Irish Travellers may exist as they are likely to be categorised as white.</w:t>
      </w:r>
    </w:p>
  </w:footnote>
  <w:footnote w:id="45">
    <w:p w14:paraId="5BBFC59B" w14:textId="77777777" w:rsidR="00C33358" w:rsidRDefault="00C33358" w:rsidP="00C33358">
      <w:pPr>
        <w:pStyle w:val="Footnote"/>
      </w:pPr>
      <w:r>
        <w:rPr>
          <w:rStyle w:val="FootnoteReference"/>
        </w:rPr>
        <w:footnoteRef/>
      </w:r>
      <w:r>
        <w:t xml:space="preserve"> </w:t>
      </w:r>
      <w:r w:rsidRPr="0064287F">
        <w:rPr>
          <w:rStyle w:val="FootnoteChar"/>
        </w:rPr>
        <w:t>NI Human Rights Commission roundtable meeting with civil society organisations, 9 April 2024</w:t>
      </w:r>
      <w:r>
        <w:t>.</w:t>
      </w:r>
    </w:p>
  </w:footnote>
  <w:footnote w:id="46">
    <w:p w14:paraId="62248E36" w14:textId="191B915F" w:rsidR="0068752A" w:rsidRPr="00095A0B" w:rsidRDefault="0068752A" w:rsidP="00095A0B">
      <w:pPr>
        <w:pStyle w:val="Footnote"/>
        <w:rPr>
          <w:rStyle w:val="FootnoteReference"/>
        </w:rPr>
      </w:pPr>
      <w:r>
        <w:rPr>
          <w:rStyle w:val="FootnoteReference"/>
        </w:rPr>
        <w:footnoteRef/>
      </w:r>
      <w:r w:rsidRPr="00095A0B">
        <w:rPr>
          <w:rStyle w:val="FootnoteReference"/>
        </w:rPr>
        <w:t xml:space="preserve"> </w:t>
      </w:r>
      <w:r w:rsidR="00711220">
        <w:t>Independent Reviewer of Terrorism Legislation, ‘The Terrorism Acts in 2020 Report of the Independent Reviewer of Terrorism Legislation’ (IRTL, 2022).</w:t>
      </w:r>
    </w:p>
  </w:footnote>
  <w:footnote w:id="47">
    <w:p w14:paraId="0764268E" w14:textId="572CA14B" w:rsidR="001135F6" w:rsidRDefault="001135F6" w:rsidP="00EE58B1">
      <w:pPr>
        <w:pStyle w:val="Footnote"/>
      </w:pPr>
      <w:r>
        <w:rPr>
          <w:rStyle w:val="FootnoteReference"/>
        </w:rPr>
        <w:footnoteRef/>
      </w:r>
      <w:r>
        <w:t xml:space="preserve"> </w:t>
      </w:r>
      <w:r w:rsidR="00EE58B1">
        <w:t>In the Matter of an application by Stephen Ramsey (No 2) [2020] NICA 14, at paras 55-58; Professor Marie Breen-Smyth, 'Report of the Independent Reviewer Justice and Security (NI) Act 2007: Fifteenth Report - 1 August 2021-31 July 2022' (NIO, 2023), at para 2.35.</w:t>
      </w:r>
    </w:p>
  </w:footnote>
  <w:footnote w:id="48">
    <w:p w14:paraId="314F46B2" w14:textId="2DF93958" w:rsidR="00C94A9C" w:rsidRDefault="00C94A9C" w:rsidP="00C94A9C">
      <w:pPr>
        <w:pStyle w:val="NIHRCFootnotes"/>
      </w:pPr>
      <w:r>
        <w:rPr>
          <w:rStyle w:val="FootnoteReference"/>
        </w:rPr>
        <w:footnoteRef/>
      </w:r>
      <w:r>
        <w:t xml:space="preserve"> The Executive Office, 'Racial Equality Strategy 2015-2025' (TEO, 2015), at 5.</w:t>
      </w:r>
    </w:p>
  </w:footnote>
  <w:footnote w:id="49">
    <w:p w14:paraId="604F2F63" w14:textId="3E8D6B8B" w:rsidR="00A34108" w:rsidRDefault="00A34108" w:rsidP="00130393">
      <w:pPr>
        <w:pStyle w:val="NIHRCFootnotes"/>
      </w:pPr>
      <w:r>
        <w:rPr>
          <w:rStyle w:val="FootnoteReference"/>
        </w:rPr>
        <w:footnoteRef/>
      </w:r>
      <w:r>
        <w:t xml:space="preserve"> </w:t>
      </w:r>
      <w:r w:rsidR="00130393">
        <w:t>This would be analogous to sections 149 and 153 of the Equality Act 2010, which does not extend to NI.</w:t>
      </w:r>
    </w:p>
  </w:footnote>
  <w:footnote w:id="50">
    <w:p w14:paraId="76C2B4EA" w14:textId="2342CA00" w:rsidR="00AD0D2F" w:rsidRDefault="00AD0D2F" w:rsidP="005023D7">
      <w:pPr>
        <w:pStyle w:val="NIHRCFootnotes"/>
      </w:pPr>
      <w:r>
        <w:rPr>
          <w:rStyle w:val="FootnoteReference"/>
        </w:rPr>
        <w:footnoteRef/>
      </w:r>
      <w:r>
        <w:t xml:space="preserve"> </w:t>
      </w:r>
      <w:r w:rsidR="005023D7">
        <w:t>The Executive Office, 'Racial Equality Strategy 2015-2025' (TEO, 2015).</w:t>
      </w:r>
    </w:p>
  </w:footnote>
  <w:footnote w:id="51">
    <w:p w14:paraId="78DF5281" w14:textId="60B4C014" w:rsidR="005023D7" w:rsidRDefault="005023D7" w:rsidP="005023D7">
      <w:pPr>
        <w:pStyle w:val="NIHRCFootnotes"/>
      </w:pPr>
      <w:r>
        <w:rPr>
          <w:rStyle w:val="FootnoteReference"/>
        </w:rPr>
        <w:footnoteRef/>
      </w:r>
      <w:r>
        <w:t xml:space="preserve"> The NIHRC recommends stating early that the strategy is human rights-based, requiring public authorities to adopt this approach and to expand and clarify the list of relevant human rights standards, incorporating EU obligations supporting Windsor Framework Article 2's non-diminution commitment. NI Human Rights Commission, ‘Response to Public Consultation on Draft Refugee Integration Strategy’ (NIHRC, 2022), at para 2.12 and 2.13.</w:t>
      </w:r>
    </w:p>
  </w:footnote>
  <w:footnote w:id="52">
    <w:p w14:paraId="76B1CD23" w14:textId="164710C8" w:rsidR="00F77678" w:rsidRDefault="00F77678" w:rsidP="00ED3C15">
      <w:pPr>
        <w:pStyle w:val="NIHRCFootnotes"/>
      </w:pPr>
      <w:r>
        <w:rPr>
          <w:rStyle w:val="FootnoteReference"/>
        </w:rPr>
        <w:footnoteRef/>
      </w:r>
      <w:r>
        <w:t xml:space="preserve"> The Executive Office, 'Refugee Integration Strategy Consultation Document' (TEO, 2021).</w:t>
      </w:r>
    </w:p>
  </w:footnote>
  <w:footnote w:id="53">
    <w:p w14:paraId="70A65E9B" w14:textId="3B3B523A" w:rsidR="00F77678" w:rsidRDefault="00F77678" w:rsidP="00ED3C15">
      <w:pPr>
        <w:pStyle w:val="NIHRCFootnotes"/>
      </w:pPr>
      <w:r>
        <w:rPr>
          <w:rStyle w:val="FootnoteReference"/>
        </w:rPr>
        <w:footnoteRef/>
      </w:r>
      <w:r>
        <w:t xml:space="preserve"> </w:t>
      </w:r>
      <w:r w:rsidR="00ED3C15">
        <w:t>The Executive Office, ‘Racial Equality Subgroup: Minutes of the Meeting on 29 November 2022’ (TEO, 2022).</w:t>
      </w:r>
    </w:p>
  </w:footnote>
  <w:footnote w:id="54">
    <w:p w14:paraId="383F653C" w14:textId="4FAE491B" w:rsidR="00166735" w:rsidRDefault="00166735" w:rsidP="00A56660">
      <w:pPr>
        <w:pStyle w:val="NIHRCFootnotes"/>
      </w:pPr>
      <w:r>
        <w:rPr>
          <w:rStyle w:val="FootnoteReference"/>
        </w:rPr>
        <w:footnoteRef/>
      </w:r>
      <w:r>
        <w:t xml:space="preserve"> </w:t>
      </w:r>
      <w:r w:rsidR="00A56660">
        <w:t>Housing provision, access to healthcare services and the Belfast-centred provision of services were identified as particular issues facing refugees in NI. See House of Commons NI Affairs Committee, 'The Experiences of Minority Ethnic and Migrant People in NI' (HoC, 2022).</w:t>
      </w:r>
    </w:p>
  </w:footnote>
  <w:footnote w:id="55">
    <w:p w14:paraId="417DEBEE" w14:textId="5006CBA5" w:rsidR="00A56660" w:rsidRDefault="00A56660" w:rsidP="004A6EDD">
      <w:pPr>
        <w:pStyle w:val="NIHRCFootnotes"/>
      </w:pPr>
      <w:r>
        <w:rPr>
          <w:rStyle w:val="FootnoteReference"/>
        </w:rPr>
        <w:footnoteRef/>
      </w:r>
      <w:r>
        <w:t xml:space="preserve"> </w:t>
      </w:r>
      <w:r w:rsidR="004A6EDD">
        <w:t>Law Centre NI, ‘Refugee and Asylum Forum: Priorities for Action 2023’ (LCNI, 2023).</w:t>
      </w:r>
    </w:p>
  </w:footnote>
  <w:footnote w:id="56">
    <w:p w14:paraId="5A316156" w14:textId="45BDC810" w:rsidR="004E570A" w:rsidRDefault="004E570A" w:rsidP="00764B60">
      <w:pPr>
        <w:pStyle w:val="NIHRCFootnotes"/>
      </w:pPr>
      <w:r>
        <w:rPr>
          <w:rStyle w:val="FootnoteReference"/>
        </w:rPr>
        <w:footnoteRef/>
      </w:r>
      <w:r>
        <w:t xml:space="preserve"> </w:t>
      </w:r>
      <w:r w:rsidR="003A5876">
        <w:t>Section 1(1)-(2), Illegal Migration Act 2023.</w:t>
      </w:r>
    </w:p>
  </w:footnote>
  <w:footnote w:id="57">
    <w:p w14:paraId="0AEF1714" w14:textId="543493FA" w:rsidR="003A5876" w:rsidRDefault="003A5876" w:rsidP="00764B60">
      <w:pPr>
        <w:pStyle w:val="NIHRCFootnotes"/>
      </w:pPr>
      <w:r>
        <w:rPr>
          <w:rStyle w:val="FootnoteReference"/>
        </w:rPr>
        <w:footnoteRef/>
      </w:r>
      <w:r>
        <w:t xml:space="preserve"> </w:t>
      </w:r>
      <w:r w:rsidR="00403760">
        <w:t>Section 1(4), Illegal Migration Act 2023.</w:t>
      </w:r>
    </w:p>
  </w:footnote>
  <w:footnote w:id="58">
    <w:p w14:paraId="0B9A795F" w14:textId="2AD7705D" w:rsidR="00403760" w:rsidRDefault="00403760" w:rsidP="00764B60">
      <w:pPr>
        <w:pStyle w:val="NIHRCFootnotes"/>
      </w:pPr>
      <w:r>
        <w:rPr>
          <w:rStyle w:val="FootnoteReference"/>
        </w:rPr>
        <w:footnoteRef/>
      </w:r>
      <w:r>
        <w:t xml:space="preserve"> NI Human Rights Commission, ‘Submission to the House of Lords on the Illegal Migration Bill’ (NIHRC, 2023).</w:t>
      </w:r>
    </w:p>
  </w:footnote>
  <w:footnote w:id="59">
    <w:p w14:paraId="2AD197EE" w14:textId="0BA2BDD6" w:rsidR="00CE1794" w:rsidRPr="00615160" w:rsidRDefault="00CE1794">
      <w:pPr>
        <w:pStyle w:val="FootnoteText"/>
        <w:rPr>
          <w:rFonts w:ascii="Verdana" w:hAnsi="Verdana"/>
          <w:color w:val="77328A"/>
          <w:sz w:val="16"/>
          <w:szCs w:val="16"/>
        </w:rPr>
      </w:pPr>
      <w:r w:rsidRPr="00615160">
        <w:rPr>
          <w:rStyle w:val="FootnoteReference"/>
          <w:rFonts w:ascii="Verdana" w:hAnsi="Verdana"/>
          <w:color w:val="77328A"/>
          <w:sz w:val="16"/>
          <w:szCs w:val="16"/>
        </w:rPr>
        <w:footnoteRef/>
      </w:r>
      <w:r w:rsidRPr="00615160">
        <w:rPr>
          <w:rFonts w:ascii="Verdana" w:hAnsi="Verdana"/>
          <w:color w:val="77328A"/>
          <w:sz w:val="16"/>
          <w:szCs w:val="16"/>
        </w:rPr>
        <w:t xml:space="preserve"> Directive 2011/36/EU, ‘EU </w:t>
      </w:r>
      <w:r w:rsidRPr="00615160">
        <w:rPr>
          <w:rFonts w:ascii="Verdana" w:hAnsi="Verdana" w:cstheme="minorHAnsi"/>
          <w:color w:val="77328A"/>
          <w:sz w:val="16"/>
          <w:szCs w:val="16"/>
        </w:rPr>
        <w:t xml:space="preserve">Council </w:t>
      </w:r>
      <w:r w:rsidRPr="00615160">
        <w:rPr>
          <w:rFonts w:ascii="Verdana" w:hAnsi="Verdana"/>
          <w:color w:val="77328A"/>
          <w:sz w:val="16"/>
          <w:szCs w:val="16"/>
        </w:rPr>
        <w:t>Directive on Preventing and Combating Trafficking in Human Beings and Protecting Its Victims’, 5 April 2011.</w:t>
      </w:r>
    </w:p>
  </w:footnote>
  <w:footnote w:id="60">
    <w:p w14:paraId="4A6A0CB4" w14:textId="0AA51ED0" w:rsidR="00CE1794" w:rsidRPr="00615160" w:rsidRDefault="00CE1794" w:rsidP="00CE1794">
      <w:pPr>
        <w:pStyle w:val="FootnoteText"/>
        <w:rPr>
          <w:rFonts w:ascii="Verdana" w:hAnsi="Verdana"/>
          <w:color w:val="77328A"/>
          <w:sz w:val="16"/>
          <w:szCs w:val="16"/>
        </w:rPr>
      </w:pPr>
      <w:r w:rsidRPr="00615160">
        <w:rPr>
          <w:rStyle w:val="FootnoteReference"/>
          <w:rFonts w:ascii="Verdana" w:hAnsi="Verdana"/>
          <w:color w:val="77328A"/>
          <w:sz w:val="16"/>
          <w:szCs w:val="16"/>
        </w:rPr>
        <w:footnoteRef/>
      </w:r>
      <w:r w:rsidRPr="00615160">
        <w:rPr>
          <w:rFonts w:ascii="Verdana" w:hAnsi="Verdana"/>
          <w:color w:val="77328A"/>
          <w:sz w:val="16"/>
          <w:szCs w:val="16"/>
        </w:rPr>
        <w:t xml:space="preserve"> Directive 2005/85/EC, ‘EU Council Directive on Minimum Standards on Procedures in Member States for Granting and Withdrawing Refugee Status’, 1 December 2005; Directive 2003/9/EC, ‘EU Council Directive Laying Down Minimum Standards for the Reception of Asylum Seekers’ 27 January 2003; Directive 2004/83/EC ‘EU Council Directive on minimum standards for the qualification and status of third country nationals or stateless persons as refugees’, 29 April 2004; Regulation 2013/604/EU, ‘Dublin III Regulation’, 26 June 2013.</w:t>
      </w:r>
    </w:p>
  </w:footnote>
  <w:footnote w:id="61">
    <w:p w14:paraId="5C55C778" w14:textId="371425C2" w:rsidR="00470ABA" w:rsidRDefault="00470ABA" w:rsidP="00764B60">
      <w:pPr>
        <w:pStyle w:val="NIHRCFootnotes"/>
      </w:pPr>
      <w:r w:rsidRPr="00615160">
        <w:rPr>
          <w:rStyle w:val="FootnoteReference"/>
        </w:rPr>
        <w:footnoteRef/>
      </w:r>
      <w:r w:rsidRPr="00615160">
        <w:t xml:space="preserve"> The case was heard in the High Court in January 2024 and a judg</w:t>
      </w:r>
      <w:r w:rsidR="00563F7C" w:rsidRPr="00615160">
        <w:t>e</w:t>
      </w:r>
      <w:r w:rsidRPr="00615160">
        <w:t xml:space="preserve">ment is </w:t>
      </w:r>
      <w:r w:rsidR="00810ED4" w:rsidRPr="00615160">
        <w:t>pending.</w:t>
      </w:r>
    </w:p>
  </w:footnote>
  <w:footnote w:id="62">
    <w:p w14:paraId="32ACA949" w14:textId="1218D5C0" w:rsidR="00263CC1" w:rsidRDefault="00263CC1" w:rsidP="00764B60">
      <w:pPr>
        <w:pStyle w:val="NIHRCFootnotes"/>
      </w:pPr>
      <w:r>
        <w:rPr>
          <w:rStyle w:val="FootnoteReference"/>
        </w:rPr>
        <w:footnoteRef/>
      </w:r>
      <w:r>
        <w:t xml:space="preserve"> </w:t>
      </w:r>
      <w:r w:rsidR="008E4227">
        <w:t>It is intended that there are two types of asylum accommodation in the UK, including NI. The two types of accommodation are initial accommodation (short-term housing for first three to four weeks) and dispersal accommodation (longer-term housing while awaiting determination of asylum claim).</w:t>
      </w:r>
      <w:r w:rsidR="006C59AB">
        <w:t xml:space="preserve"> The Mears Group PLC is sub-contracted by the Home Office to provide accommodation for people seeking asylum in NI. See UK Visas and Immigration, 'A Home Office Guide to Living in Asylum Accommodation' (HO, 2019); UK Government, 'Contracts Finder – Asylum Accommodation and Support Services Contract NI’. Available at:</w:t>
      </w:r>
      <w:r w:rsidR="004D6CEF">
        <w:t xml:space="preserve"> </w:t>
      </w:r>
      <w:hyperlink r:id="rId3" w:history="1">
        <w:r w:rsidR="004D6CEF">
          <w:rPr>
            <w:rStyle w:val="Hyperlink"/>
          </w:rPr>
          <w:t>AASC - Asylum Accommodation &amp; Support Services Contract NI - Contracts Finder</w:t>
        </w:r>
      </w:hyperlink>
      <w:r w:rsidR="006C59AB">
        <w:t>; Independent Chief Inspector of Borders and Immigration, 'An Inspection of Contingency Asylum Accommodation May 2021-November 2021' (UK Gov, 2022).</w:t>
      </w:r>
    </w:p>
  </w:footnote>
  <w:footnote w:id="63">
    <w:p w14:paraId="688182D8" w14:textId="424BF357" w:rsidR="008E4227" w:rsidRDefault="008E4227" w:rsidP="00764B60">
      <w:pPr>
        <w:pStyle w:val="NIHRCFootnotes"/>
      </w:pPr>
      <w:r>
        <w:rPr>
          <w:rStyle w:val="FootnoteReference"/>
        </w:rPr>
        <w:footnoteRef/>
      </w:r>
      <w:r>
        <w:t xml:space="preserve"> </w:t>
      </w:r>
      <w:r w:rsidR="006C59AB">
        <w:t>Meetings between NI Human Rights Commission and civil society organisations, May 2022, August 2022 and October 2022.</w:t>
      </w:r>
    </w:p>
  </w:footnote>
  <w:footnote w:id="64">
    <w:p w14:paraId="43336B9E" w14:textId="590FA4DA" w:rsidR="00B56FF5" w:rsidRDefault="00B56FF5" w:rsidP="00764B60">
      <w:pPr>
        <w:pStyle w:val="NIHRCFootnotes"/>
      </w:pPr>
      <w:r>
        <w:rPr>
          <w:rStyle w:val="FootnoteReference"/>
        </w:rPr>
        <w:footnoteRef/>
      </w:r>
      <w:r>
        <w:t xml:space="preserve"> Meetings between NI Human Rights Commission and civil society organisations, May 2022, August 2022 and October 2022.</w:t>
      </w:r>
    </w:p>
  </w:footnote>
  <w:footnote w:id="65">
    <w:p w14:paraId="2FEF4735" w14:textId="06E16663" w:rsidR="0094367C" w:rsidRDefault="0094367C" w:rsidP="007C639D">
      <w:pPr>
        <w:pStyle w:val="Footnote"/>
      </w:pPr>
      <w:r>
        <w:rPr>
          <w:rStyle w:val="FootnoteReference"/>
        </w:rPr>
        <w:footnoteRef/>
      </w:r>
      <w:r>
        <w:t xml:space="preserve"> </w:t>
      </w:r>
      <w:r w:rsidR="007C639D" w:rsidRPr="0064287F">
        <w:rPr>
          <w:rStyle w:val="FootnoteChar"/>
        </w:rPr>
        <w:t>NI Human Rights Commission roundtable meeting with civil society organisations, 9 April 2024</w:t>
      </w:r>
      <w:r w:rsidR="007C639D">
        <w:t>.</w:t>
      </w:r>
    </w:p>
  </w:footnote>
  <w:footnote w:id="66">
    <w:p w14:paraId="3BAA95B7" w14:textId="4EC47A77" w:rsidR="00764B60" w:rsidRDefault="00764B60" w:rsidP="00764B60">
      <w:pPr>
        <w:pStyle w:val="NIHRCFootnotes"/>
      </w:pPr>
      <w:r>
        <w:rPr>
          <w:rStyle w:val="FootnoteReference"/>
        </w:rPr>
        <w:footnoteRef/>
      </w:r>
      <w:r>
        <w:t xml:space="preserve"> Such an approach is yet to be adopted in NI, but there is the possibility that people seeking asylum in NI could be moved to alternative accommodation such as this elsewhere in the UK. See Andrew McDonald, ‘UK to house migrants in ex-army barracks, mulls use of barges’, Politico, 29 March 2023; Home Office, ‘Factsheet: Asylum accommodation on a vessel in Portland Port’ 18 July 2023; Kiran Stacey, ‘UK ministers accused over asylum backlogs after 2,000 tents bought’, The Guardian, 28 July 2023; Rajeev Syal, ‘First occupants of Bibby Stockholm barge are taken onboard’, The Guardian, 7 August 2023.</w:t>
      </w:r>
    </w:p>
  </w:footnote>
  <w:footnote w:id="67">
    <w:p w14:paraId="491CC577" w14:textId="35C21BB2" w:rsidR="00B07351" w:rsidRDefault="00B07351" w:rsidP="00B07351">
      <w:pPr>
        <w:pStyle w:val="NIHRCFootnotes"/>
      </w:pPr>
      <w:r>
        <w:rPr>
          <w:rStyle w:val="FootnoteReference"/>
        </w:rPr>
        <w:footnoteRef/>
      </w:r>
      <w:r>
        <w:t xml:space="preserve"> The Memorandum of Understanding also contained a commitment by the UK and Rwanda to uphold “fundamental human rights and freedoms without discrimination”. Yet, it is not binding in international law and compliance with this arrangement is not “justiciable in any court of law by third-parties or individuals”. See Home Office, ‘Press Release: UK and Rwanda migration and economic development partnership’, 14 April 2022; Memorandum of Understanding Between the Government of the UK of Great Britain and NI and the Government of the Republic of Rwanda for the Provision of an Asylum Partnership Arrangement, 13 April 2022.</w:t>
      </w:r>
    </w:p>
  </w:footnote>
  <w:footnote w:id="68">
    <w:p w14:paraId="5B103B00" w14:textId="474DBD98" w:rsidR="00A31CEA" w:rsidRDefault="00A31CEA" w:rsidP="00E11466">
      <w:pPr>
        <w:pStyle w:val="NIHRCFootnotes"/>
      </w:pPr>
      <w:r>
        <w:rPr>
          <w:rStyle w:val="FootnoteReference"/>
        </w:rPr>
        <w:footnoteRef/>
      </w:r>
      <w:r>
        <w:t xml:space="preserve"> </w:t>
      </w:r>
      <w:r w:rsidR="00E11466">
        <w:t>The ECtHR issued the interim measure to prevent irreversible harm to an applicant challenging the legality of their deportation. See European Court of Human Rights, ‘Press Release: The European Court grants urgent interim measure in case concerning asylum-seeker’s imminent removal from the UK to Rwanda’, 14 June 2022.</w:t>
      </w:r>
    </w:p>
  </w:footnote>
  <w:footnote w:id="69">
    <w:p w14:paraId="3941752F" w14:textId="55435662" w:rsidR="00E11466" w:rsidRDefault="00E11466" w:rsidP="009B3195">
      <w:pPr>
        <w:pStyle w:val="NIHRCFootnotes"/>
      </w:pPr>
      <w:r>
        <w:rPr>
          <w:rStyle w:val="FootnoteReference"/>
        </w:rPr>
        <w:footnoteRef/>
      </w:r>
      <w:r>
        <w:t xml:space="preserve"> </w:t>
      </w:r>
      <w:r w:rsidR="009B3195">
        <w:t>AAA and Others Secretary of State for the Home Department [2023] UKSC 42.</w:t>
      </w:r>
    </w:p>
  </w:footnote>
  <w:footnote w:id="70">
    <w:p w14:paraId="52E95873" w14:textId="4C26AB6F" w:rsidR="009B3195" w:rsidRDefault="009B3195" w:rsidP="009B3195">
      <w:pPr>
        <w:pStyle w:val="NIHRCFootnotes"/>
      </w:pPr>
      <w:r>
        <w:rPr>
          <w:rStyle w:val="FootnoteReference"/>
        </w:rPr>
        <w:footnoteRef/>
      </w:r>
      <w:r>
        <w:t xml:space="preserve"> The definition of Rwanda as a safe third country is not subject to criteria, such as set out in Article 27 of the EU Procedures Directive, which were reflected in UK law prior to Brexit. The NIHRC considers this may diminish rights contrary to Windsor Framework Article 2</w:t>
      </w:r>
      <w:r w:rsidRPr="00636467">
        <w:t xml:space="preserve">. See </w:t>
      </w:r>
      <w:r w:rsidR="009712DE" w:rsidRPr="00636467">
        <w:t>NI Human Rights Commission, ‘Advice on the Safety of Rwanda (Asylum and Immigration) Bill’ (NIHRC, 2024);</w:t>
      </w:r>
      <w:r w:rsidR="009712DE">
        <w:t xml:space="preserve"> </w:t>
      </w:r>
      <w:r>
        <w:t>Home Office, ‘UK-Rwanda Treaty: Provision of an Asylum Partnership’ (HO, 2023).</w:t>
      </w:r>
    </w:p>
  </w:footnote>
  <w:footnote w:id="71">
    <w:p w14:paraId="4EDF0529" w14:textId="77777777" w:rsidR="001E10EC" w:rsidRPr="00071552" w:rsidRDefault="001E10EC" w:rsidP="001E10EC">
      <w:pPr>
        <w:pStyle w:val="NIHRCFootnotes"/>
      </w:pPr>
      <w:r w:rsidRPr="00071552">
        <w:rPr>
          <w:rStyle w:val="FootnoteReference"/>
          <w:rFonts w:eastAsiaTheme="majorEastAsia"/>
        </w:rPr>
        <w:footnoteRef/>
      </w:r>
      <w:r w:rsidRPr="00071552">
        <w:t xml:space="preserve"> Home Office, ‘Immigration Statistics: Asylum and Protection - Section 95 Support By Local Authority' (HO, 2023).</w:t>
      </w:r>
      <w:r>
        <w:t xml:space="preserve"> See also </w:t>
      </w:r>
      <w:r w:rsidRPr="00071552">
        <w:t xml:space="preserve">Gov.UK, ‘What You’ll Get’. Available at: </w:t>
      </w:r>
      <w:hyperlink r:id="rId4" w:history="1">
        <w:r w:rsidRPr="00BF4D0E">
          <w:rPr>
            <w:rStyle w:val="Hyperlink"/>
          </w:rPr>
          <w:t>https://www.gov.uk/asylum-support/what-youll-get</w:t>
        </w:r>
      </w:hyperlink>
      <w:r>
        <w:t xml:space="preserve">; </w:t>
      </w:r>
      <w:r w:rsidRPr="00650C2B">
        <w:rPr>
          <w:rStyle w:val="FootnoteChar"/>
        </w:rPr>
        <w:t>Section 95 support includes housing and £47.39 allowance per week for each person in self-catered accommodation. For people in accommodation that is catered they receive £9.58 allowance per week. Up to £3 per week is available for people seeking asylum that are pregnant or a mother of a child aged one to three years old. Up to £5 is available for a mother of a baby under 1 year old.</w:t>
      </w:r>
    </w:p>
  </w:footnote>
  <w:footnote w:id="72">
    <w:p w14:paraId="5CD5E35D" w14:textId="77777777" w:rsidR="001E10EC" w:rsidRPr="00654887" w:rsidRDefault="001E10EC" w:rsidP="001E10EC">
      <w:pPr>
        <w:pStyle w:val="NIHRCFootnotes"/>
      </w:pPr>
      <w:r w:rsidRPr="00071552">
        <w:rPr>
          <w:rStyle w:val="FootnoteReference"/>
          <w:rFonts w:eastAsiaTheme="majorEastAsia"/>
        </w:rPr>
        <w:footnoteRef/>
      </w:r>
      <w:r w:rsidRPr="00071552">
        <w:t xml:space="preserve"> British Red Cross, 'The Longest Year: Life Under Local Restrictions – NI Briefing' (BRC, 2021).</w:t>
      </w:r>
    </w:p>
  </w:footnote>
  <w:footnote w:id="73">
    <w:p w14:paraId="14804F17" w14:textId="77777777" w:rsidR="001E10EC" w:rsidRPr="00B4471E" w:rsidRDefault="001E10EC" w:rsidP="001E10EC">
      <w:pPr>
        <w:pStyle w:val="Footnote"/>
      </w:pPr>
      <w:r w:rsidRPr="00B4471E">
        <w:rPr>
          <w:rStyle w:val="FootnoteReference"/>
        </w:rPr>
        <w:footnoteRef/>
      </w:r>
      <w:r w:rsidRPr="00B4471E">
        <w:t xml:space="preserve"> </w:t>
      </w:r>
      <w:r w:rsidRPr="00B4471E">
        <w:rPr>
          <w:i/>
          <w:iCs/>
        </w:rPr>
        <w:t xml:space="preserve">HA, SXK, K, NY, and AM v Secretary of State for the Home Department </w:t>
      </w:r>
      <w:r w:rsidRPr="00B4471E">
        <w:t>[2023] EWHC 1876.</w:t>
      </w:r>
    </w:p>
  </w:footnote>
  <w:footnote w:id="74">
    <w:p w14:paraId="6778BCBC" w14:textId="2258936F" w:rsidR="00A64912" w:rsidRDefault="00A64912" w:rsidP="00E51674">
      <w:pPr>
        <w:pStyle w:val="Footnote"/>
      </w:pPr>
      <w:r>
        <w:rPr>
          <w:rStyle w:val="FootnoteReference"/>
        </w:rPr>
        <w:footnoteRef/>
      </w:r>
      <w:r>
        <w:t xml:space="preserve"> Police Service NI, ‘</w:t>
      </w:r>
      <w:r w:rsidR="00CB18E1">
        <w:t>Incidents and Crimes with a Hate Motivation Recorded by the Police Service NI</w:t>
      </w:r>
      <w:r w:rsidR="00E51674">
        <w:t>’ (PSNI, 2023), at Table 1.</w:t>
      </w:r>
    </w:p>
  </w:footnote>
  <w:footnote w:id="75">
    <w:p w14:paraId="50AC6E7B" w14:textId="07920BEF" w:rsidR="00CA38D1" w:rsidRDefault="00CA38D1" w:rsidP="004D4CAC">
      <w:pPr>
        <w:pStyle w:val="NIHRCFootnotes"/>
      </w:pPr>
      <w:r>
        <w:rPr>
          <w:rStyle w:val="FootnoteReference"/>
        </w:rPr>
        <w:footnoteRef/>
      </w:r>
      <w:r>
        <w:t xml:space="preserve"> </w:t>
      </w:r>
      <w:r w:rsidR="004D4CAC">
        <w:t>Meeting of refugee and ethnic minority business owners hosted by Participation and Practice of Rights, 31 August 2023; ‘Sandy Row: Belfast fire treated as racially motivated hate crime’, BBC News, 18 August 2023; ‘Belfast Multi-Cultural Association building for sale after arson attacks’, BBC News, 14 February 2023; ‘Belfast mosque leader’s worries after Nazi flags flown nearby’, BBC News, 23 August 2023; Sarah McKinley, ‘South Belfast businesses in emergency meeting over multiple racist attacks’, UTV News, 1 September 2023; Sara Girvan and Eimear Flanagan, ‘Syrian man to move shop</w:t>
      </w:r>
      <w:r w:rsidR="004D4CAC" w:rsidRPr="004D4CAC">
        <w:t xml:space="preserve"> </w:t>
      </w:r>
      <w:r w:rsidR="004D4CAC">
        <w:t>after four racist attacks’, BBC News, 18 September 2023; Sara Givern, ‘Why has there been a spike in racist attacks in south Belfast?’, BBC News, 17 October 2023; Paul Ainsworth, ‘SDLP councillor says Belvoir residents support removal of racist posters’, Irish News, 1 November 2023.</w:t>
      </w:r>
    </w:p>
  </w:footnote>
  <w:footnote w:id="76">
    <w:p w14:paraId="00B8AC45" w14:textId="61A86AE8" w:rsidR="00912F27" w:rsidRDefault="00912F27" w:rsidP="00936AC7">
      <w:pPr>
        <w:pStyle w:val="NIHRCFootnotes"/>
      </w:pPr>
      <w:r>
        <w:rPr>
          <w:rStyle w:val="FootnoteReference"/>
        </w:rPr>
        <w:footnoteRef/>
      </w:r>
      <w:r>
        <w:t xml:space="preserve"> </w:t>
      </w:r>
      <w:r w:rsidR="00936AC7">
        <w:t>Independent Hate Crime Review Team, 'Hate Crime Legislation in NI: An Independent Review - Consultation Paper' (IHCRT, 2020).</w:t>
      </w:r>
    </w:p>
  </w:footnote>
  <w:footnote w:id="77">
    <w:p w14:paraId="1E0EF88E" w14:textId="02A8EE29" w:rsidR="00912F27" w:rsidRPr="008173E7" w:rsidRDefault="00912F27" w:rsidP="00225C56">
      <w:pPr>
        <w:pStyle w:val="NIHRCFootnotes"/>
      </w:pPr>
      <w:r>
        <w:rPr>
          <w:rStyle w:val="FootnoteReference"/>
        </w:rPr>
        <w:footnoteRef/>
      </w:r>
      <w:r>
        <w:t xml:space="preserve"> </w:t>
      </w:r>
      <w:r w:rsidR="001217F9">
        <w:t xml:space="preserve"> </w:t>
      </w:r>
      <w:r w:rsidR="001217F9" w:rsidRPr="008173E7">
        <w:t xml:space="preserve">See </w:t>
      </w:r>
      <w:r w:rsidR="00936AC7" w:rsidRPr="008173E7">
        <w:t>NI Human Rights Commission, ‘Response to Public Consultation on Improving the Effectiveness of Hate Crime Legislation in NI’, (NIHRC, 2022).</w:t>
      </w:r>
      <w:r w:rsidR="001217F9" w:rsidRPr="008173E7">
        <w:t xml:space="preserve"> For example, the NIHRC has highlighted the relevance of Directive 2012/29/EU, ‘EU Parliament and Council Directive establishing minimum standards on the rights, support and protection of victims of crime’, 25 October 2012 (EU Victims Directive).</w:t>
      </w:r>
    </w:p>
  </w:footnote>
  <w:footnote w:id="78">
    <w:p w14:paraId="2EAFD44E" w14:textId="1FACD882" w:rsidR="00912F27" w:rsidRDefault="00912F27" w:rsidP="00225C56">
      <w:pPr>
        <w:pStyle w:val="NIHRCFootnotes"/>
      </w:pPr>
      <w:r w:rsidRPr="008173E7">
        <w:rPr>
          <w:rStyle w:val="FootnoteReference"/>
        </w:rPr>
        <w:footnoteRef/>
      </w:r>
      <w:r w:rsidRPr="008173E7">
        <w:t xml:space="preserve"> </w:t>
      </w:r>
      <w:r w:rsidR="00936AC7" w:rsidRPr="008173E7">
        <w:t>Email correspondence from Department of Justice NI to NI Human Rights</w:t>
      </w:r>
      <w:r w:rsidR="00936AC7">
        <w:t xml:space="preserve"> Commission, 20 June 2023.</w:t>
      </w:r>
    </w:p>
  </w:footnote>
  <w:footnote w:id="79">
    <w:p w14:paraId="4323B72A" w14:textId="1BC6249E" w:rsidR="00AA19C9" w:rsidRDefault="00AA19C9" w:rsidP="00AA19C9">
      <w:pPr>
        <w:pStyle w:val="Footnote"/>
      </w:pPr>
      <w:r>
        <w:rPr>
          <w:rStyle w:val="FootnoteReference"/>
        </w:rPr>
        <w:footnoteRef/>
      </w:r>
      <w:r>
        <w:t xml:space="preserve"> </w:t>
      </w:r>
      <w:r w:rsidRPr="0064287F">
        <w:rPr>
          <w:rStyle w:val="FootnoteChar"/>
        </w:rPr>
        <w:t>NI Human Rights Commission roundtable meeting with civil society organisations, 9 April 2024</w:t>
      </w:r>
      <w:r>
        <w:t>.</w:t>
      </w:r>
    </w:p>
  </w:footnote>
  <w:footnote w:id="80">
    <w:p w14:paraId="7E0F824F" w14:textId="1FDFCCDA" w:rsidR="004B36BF" w:rsidRDefault="004B36BF" w:rsidP="001D3715">
      <w:pPr>
        <w:pStyle w:val="Footnote"/>
      </w:pPr>
      <w:r>
        <w:rPr>
          <w:rStyle w:val="FootnoteReference"/>
        </w:rPr>
        <w:footnoteRef/>
      </w:r>
      <w:r>
        <w:t xml:space="preserve"> </w:t>
      </w:r>
      <w:r w:rsidR="00C14D23">
        <w:t>Public Prosecution Service, ‘</w:t>
      </w:r>
      <w:r w:rsidR="001D3715">
        <w:t>Statistical Bulletin: Cases Involving Hate Crime 1 April 2022 to 31 March 2023’ (PPS, 2023).</w:t>
      </w:r>
    </w:p>
  </w:footnote>
  <w:footnote w:id="81">
    <w:p w14:paraId="269C6FDF" w14:textId="21369434" w:rsidR="00326CCA" w:rsidRDefault="00326CCA" w:rsidP="000A2A3E">
      <w:pPr>
        <w:pStyle w:val="Footnote"/>
      </w:pPr>
      <w:r>
        <w:rPr>
          <w:rStyle w:val="FootnoteReference"/>
        </w:rPr>
        <w:footnoteRef/>
      </w:r>
      <w:r>
        <w:t xml:space="preserve"> </w:t>
      </w:r>
      <w:r w:rsidR="000A2A3E">
        <w:t>Committee on the Administration of Justice, ‘Written Evidence to the Northern Ireland Affairs Committee inquiry into ‘The effect of paramilitaries on society in Northern Ireland’: Paramilitarism and housing intimidation’ (CAJ, 2022).</w:t>
      </w:r>
    </w:p>
  </w:footnote>
  <w:footnote w:id="82">
    <w:p w14:paraId="602F7996" w14:textId="6BD8D6D1" w:rsidR="009805D7" w:rsidRPr="009805D7" w:rsidRDefault="009805D7" w:rsidP="009805D7">
      <w:pPr>
        <w:pStyle w:val="Footnote"/>
        <w:rPr>
          <w:b/>
          <w:bCs/>
        </w:rPr>
      </w:pPr>
      <w:r>
        <w:rPr>
          <w:rStyle w:val="FootnoteReference"/>
        </w:rPr>
        <w:footnoteRef/>
      </w:r>
      <w:r>
        <w:t xml:space="preserve"> Committee on the Administration of Justice, ‘Written Evidence to the Northern Ireland Affairs Committee inquiry into ‘The effect of paramilitaries on society in Northern Ireland’: Paramilitarism and housing intimidation’ (CAJ, 2022).</w:t>
      </w:r>
    </w:p>
  </w:footnote>
  <w:footnote w:id="83">
    <w:p w14:paraId="40863DFC" w14:textId="48B8E180" w:rsidR="00BE0867" w:rsidRDefault="00BE0867" w:rsidP="00BE0867">
      <w:pPr>
        <w:pStyle w:val="Footnote"/>
      </w:pPr>
      <w:r>
        <w:rPr>
          <w:rStyle w:val="FootnoteReference"/>
        </w:rPr>
        <w:footnoteRef/>
      </w:r>
      <w:r>
        <w:t xml:space="preserve"> </w:t>
      </w:r>
      <w:r w:rsidRPr="0064287F">
        <w:rPr>
          <w:rStyle w:val="FootnoteChar"/>
        </w:rPr>
        <w:t>NI Human Rights Commission roundtable meeting with civil society organisations, 9 April 2024</w:t>
      </w:r>
      <w:r>
        <w:t>.</w:t>
      </w:r>
    </w:p>
  </w:footnote>
  <w:footnote w:id="84">
    <w:p w14:paraId="68974C1E" w14:textId="1CC5807E" w:rsidR="003E029B" w:rsidRDefault="003E029B" w:rsidP="00081B16">
      <w:pPr>
        <w:pStyle w:val="Footnote"/>
      </w:pPr>
      <w:r>
        <w:rPr>
          <w:rStyle w:val="FootnoteReference"/>
        </w:rPr>
        <w:footnoteRef/>
      </w:r>
      <w:r>
        <w:t xml:space="preserve"> </w:t>
      </w:r>
      <w:r w:rsidR="00081B16">
        <w:t>The Executive Office, ‘Ending Violence Against Women and Girls Strategic Framework’ (TEO, 2023), at 19.</w:t>
      </w:r>
    </w:p>
  </w:footnote>
  <w:footnote w:id="85">
    <w:p w14:paraId="3D23F1DF" w14:textId="2B310AFB" w:rsidR="00FD3818" w:rsidRDefault="00FD3818" w:rsidP="00225C56">
      <w:pPr>
        <w:pStyle w:val="NIHRCFootnotes"/>
      </w:pPr>
      <w:r>
        <w:rPr>
          <w:rStyle w:val="FootnoteReference"/>
        </w:rPr>
        <w:footnoteRef/>
      </w:r>
      <w:r>
        <w:t xml:space="preserve"> </w:t>
      </w:r>
      <w:r w:rsidR="00225C56">
        <w:t>Police Service of NI, 'Incidents and Crimes with a Hate Motivation Recorded by the Police in NI: Financial Year Update' (PSNI, 2022), at 4.</w:t>
      </w:r>
    </w:p>
  </w:footnote>
  <w:footnote w:id="86">
    <w:p w14:paraId="0003C59C" w14:textId="0E48FF7F" w:rsidR="00225C56" w:rsidRDefault="00225C56" w:rsidP="00010549">
      <w:pPr>
        <w:pStyle w:val="NIHRCFootnotes"/>
      </w:pPr>
      <w:r>
        <w:rPr>
          <w:rStyle w:val="FootnoteReference"/>
        </w:rPr>
        <w:footnoteRef/>
      </w:r>
      <w:r>
        <w:t xml:space="preserve"> </w:t>
      </w:r>
      <w:r w:rsidR="00134A10">
        <w:t>NI Office, 'New Decade, New Approach' (NIO, 2020), at 43.</w:t>
      </w:r>
    </w:p>
  </w:footnote>
  <w:footnote w:id="87">
    <w:p w14:paraId="0213E2C0" w14:textId="67B67AE2" w:rsidR="00134A10" w:rsidRDefault="00134A10" w:rsidP="00010549">
      <w:pPr>
        <w:pStyle w:val="NIHRCFootnotes"/>
      </w:pPr>
      <w:r>
        <w:rPr>
          <w:rStyle w:val="FootnoteReference"/>
        </w:rPr>
        <w:footnoteRef/>
      </w:r>
      <w:r>
        <w:t xml:space="preserve"> </w:t>
      </w:r>
      <w:r w:rsidR="00D3184A">
        <w:t>Department of Justice, ‘Review of Hate Crime Legislation in NI - Departmental Response’ (DoJ, 2021), at 6-7; The Department of Justice agreed in principle to the recommendation of Judge Mar</w:t>
      </w:r>
      <w:r w:rsidR="00010549">
        <w:t>r</w:t>
      </w:r>
      <w:r w:rsidR="00D3184A">
        <w:t>inan</w:t>
      </w:r>
      <w:r w:rsidR="00010549">
        <w:t xml:space="preserve">; see Independent Hate Crime Review Team, ‘Hate Crime Legislation in NI: Independent Review’ (DoJ, 2020), at Recommendation 12. </w:t>
      </w:r>
      <w:r w:rsidR="00D3184A">
        <w:t xml:space="preserve"> </w:t>
      </w:r>
    </w:p>
  </w:footnote>
  <w:footnote w:id="88">
    <w:p w14:paraId="08E24786" w14:textId="2FA4D432" w:rsidR="00CD5F57" w:rsidRDefault="00CD5F57" w:rsidP="00B90FD9">
      <w:pPr>
        <w:pStyle w:val="NIHRCFootnotes"/>
      </w:pPr>
      <w:r>
        <w:rPr>
          <w:rStyle w:val="FootnoteReference"/>
        </w:rPr>
        <w:footnoteRef/>
      </w:r>
      <w:r>
        <w:t xml:space="preserve"> </w:t>
      </w:r>
      <w:r w:rsidR="00B90FD9">
        <w:t>Department of Justice, ‘Review of Hate Crime Legislation in NI - Departmental Response’ (DoJ, 2021), at 6-7.</w:t>
      </w:r>
    </w:p>
  </w:footnote>
  <w:footnote w:id="89">
    <w:p w14:paraId="0ADB8B18" w14:textId="77777777" w:rsidR="00AC44EF" w:rsidRDefault="00AC44EF" w:rsidP="00AC44EF">
      <w:pPr>
        <w:pStyle w:val="Footnote"/>
      </w:pPr>
      <w:r>
        <w:rPr>
          <w:rStyle w:val="FootnoteReference"/>
        </w:rPr>
        <w:footnoteRef/>
      </w:r>
      <w:r>
        <w:t xml:space="preserve"> Department for Communities, ‘NI Poverty and Income Inequality Report 2022/2023’, (DfC, 2024).</w:t>
      </w:r>
    </w:p>
  </w:footnote>
  <w:footnote w:id="90">
    <w:p w14:paraId="38BC09AE" w14:textId="77777777" w:rsidR="00501642" w:rsidRPr="00B4471E" w:rsidRDefault="00501642" w:rsidP="00501642">
      <w:pPr>
        <w:pStyle w:val="Footnote"/>
      </w:pPr>
      <w:r w:rsidRPr="00B4471E">
        <w:rPr>
          <w:rStyle w:val="FootnoteReference"/>
        </w:rPr>
        <w:footnoteRef/>
      </w:r>
      <w:r w:rsidRPr="00B4471E">
        <w:t xml:space="preserve"> ‘Urgent ‘warm banks’ demand’, </w:t>
      </w:r>
      <w:r w:rsidRPr="00B4471E">
        <w:rPr>
          <w:i/>
          <w:iCs/>
        </w:rPr>
        <w:t>The Irish News</w:t>
      </w:r>
      <w:r w:rsidRPr="00B4471E">
        <w:t xml:space="preserve">, 18 October 2022; Richard </w:t>
      </w:r>
      <w:proofErr w:type="spellStart"/>
      <w:r w:rsidRPr="00B4471E">
        <w:t>Vernalls</w:t>
      </w:r>
      <w:proofErr w:type="spellEnd"/>
      <w:r w:rsidRPr="00B4471E">
        <w:t>, ‘More councils looking at ‘warm banks’ for residents amid rising energy bills’,</w:t>
      </w:r>
      <w:r w:rsidRPr="00B4471E">
        <w:rPr>
          <w:i/>
          <w:iCs/>
        </w:rPr>
        <w:t xml:space="preserve"> Belfast Telegraph</w:t>
      </w:r>
      <w:r w:rsidRPr="00B4471E">
        <w:t xml:space="preserve">, 30 August 2022; Sherie Ryder and Rozina Sini, ‘Cost of living: ‘We started up a warm bank’, </w:t>
      </w:r>
      <w:r w:rsidRPr="00B4471E">
        <w:rPr>
          <w:i/>
          <w:iCs/>
        </w:rPr>
        <w:t>BBC News</w:t>
      </w:r>
      <w:r w:rsidRPr="00B4471E">
        <w:t>, 20 October 2022; Trussell Trust, ‘Emergency food parcel distribution in Northern Ireland: April 2022 – March 2023’ (TT, 2023); Trussell Trust and Ipsos, ‘Hunger in NI’ (TT and Ipsos, 2023), at 26.</w:t>
      </w:r>
    </w:p>
  </w:footnote>
  <w:footnote w:id="91">
    <w:p w14:paraId="21D6D5E2" w14:textId="77777777" w:rsidR="00382489" w:rsidRPr="00B4471E" w:rsidRDefault="00382489" w:rsidP="00382489">
      <w:pPr>
        <w:pStyle w:val="Footnote"/>
      </w:pPr>
      <w:r w:rsidRPr="00B4471E">
        <w:rPr>
          <w:rStyle w:val="FootnoteReference"/>
        </w:rPr>
        <w:footnoteRef/>
      </w:r>
      <w:r w:rsidRPr="00B4471E">
        <w:t xml:space="preserve"> Food Standards Agency, ‘NI Food Advisory Committee (NIFAC) Update from Director of Regulatory Compliance, People and NI to NI Food Advisory Committee 18th January 2023’. Available at: </w:t>
      </w:r>
      <w:r w:rsidRPr="00B4471E">
        <w:rPr>
          <w:rFonts w:cs="Times New Roman"/>
        </w:rPr>
        <w:t>https://www.food.gov.uk/our-work/northern-ireland-food-advisory-committee-nifac-update-from-director-of-regulatory-compliance-people-and-northern-ireland-to-1</w:t>
      </w:r>
      <w:r w:rsidRPr="00B4471E">
        <w:t xml:space="preserve">; Trussell Trust, ‘Emergency food parcel distribution in NI: April 2022 – March 2023’ (Trussell Trust, 2023); Trussell Trust and Ipsos, ‘Hunger in NI’ (TT and Ipsos, 2023), at 26; NI Commissioner for Children and Young People, ‘A Place to Call Home – Report Launch’, 23 February 2023; Sara Neill, ‘Cost of Living: NI woman with coeliac disease says food bill has doubled’, </w:t>
      </w:r>
      <w:r w:rsidRPr="00B4471E">
        <w:rPr>
          <w:i/>
          <w:iCs/>
        </w:rPr>
        <w:t>BBC News</w:t>
      </w:r>
      <w:r w:rsidRPr="00B4471E">
        <w:t>, 24 July 2023; NI Assembly Hansard, ‘Written Answers: Free School Meals – Minister of Education, Michelle McIlveen MLA – AQW 974/22-27’, 21 June 2022.</w:t>
      </w:r>
    </w:p>
  </w:footnote>
  <w:footnote w:id="92">
    <w:p w14:paraId="079AC24B" w14:textId="77777777" w:rsidR="00C01F4B" w:rsidRPr="00B4471E" w:rsidRDefault="00C01F4B" w:rsidP="00C01F4B">
      <w:pPr>
        <w:pStyle w:val="Footnote"/>
      </w:pPr>
      <w:r w:rsidRPr="00B4471E">
        <w:rPr>
          <w:rStyle w:val="FootnoteReference"/>
        </w:rPr>
        <w:footnoteRef/>
      </w:r>
      <w:r w:rsidRPr="00B4471E">
        <w:t xml:space="preserve"> ‘Lack of Stormont meant NI only part of UK without proper response to cost of living crisis’, </w:t>
      </w:r>
      <w:r w:rsidRPr="00B4471E">
        <w:rPr>
          <w:i/>
          <w:iCs/>
        </w:rPr>
        <w:t>UTV News</w:t>
      </w:r>
      <w:r w:rsidRPr="00B4471E">
        <w:t>, 19 July 2023.</w:t>
      </w:r>
    </w:p>
  </w:footnote>
  <w:footnote w:id="93">
    <w:p w14:paraId="11FDC420" w14:textId="77777777" w:rsidR="00952255" w:rsidRDefault="00952255" w:rsidP="00952255">
      <w:pPr>
        <w:pStyle w:val="Footnote"/>
      </w:pPr>
      <w:r>
        <w:rPr>
          <w:rStyle w:val="FootnoteReference"/>
        </w:rPr>
        <w:footnoteRef/>
      </w:r>
      <w:r>
        <w:t xml:space="preserve"> </w:t>
      </w:r>
      <w:bookmarkStart w:id="23" w:name="_Hlk164065351"/>
      <w:r>
        <w:t>Lucy Michael et al, ‘Inequalities experienced by Black Asian Minority Ethnic Traveller People: A report for Belfast City Council, Belfast Health and Social Care Trust and Public Health Agency NI’ (BCC, HSC and Public Health Agency NI, 2022)</w:t>
      </w:r>
      <w:bookmarkEnd w:id="23"/>
      <w:r>
        <w:t>, at 3 and 46.</w:t>
      </w:r>
    </w:p>
  </w:footnote>
  <w:footnote w:id="94">
    <w:p w14:paraId="7D5CFFCB" w14:textId="3B623FA2" w:rsidR="00A7643B" w:rsidRDefault="00A7643B" w:rsidP="00A7643B">
      <w:pPr>
        <w:pStyle w:val="Footnote"/>
      </w:pPr>
      <w:r>
        <w:rPr>
          <w:rStyle w:val="FootnoteReference"/>
        </w:rPr>
        <w:footnoteRef/>
      </w:r>
      <w:r>
        <w:t xml:space="preserve"> NI Human Rights Commission, ‘The 2022 Annual Statement: Human Rights in NI’ (NIHRC, 2022), at 103.</w:t>
      </w:r>
    </w:p>
  </w:footnote>
  <w:footnote w:id="95">
    <w:p w14:paraId="07D6387A" w14:textId="33321FA8" w:rsidR="001C718E" w:rsidRDefault="001C718E" w:rsidP="00930302">
      <w:pPr>
        <w:pStyle w:val="Footnote"/>
      </w:pPr>
      <w:r>
        <w:rPr>
          <w:rStyle w:val="FootnoteReference"/>
        </w:rPr>
        <w:footnoteRef/>
      </w:r>
      <w:r>
        <w:t xml:space="preserve"> </w:t>
      </w:r>
      <w:r w:rsidR="00BA0571">
        <w:t xml:space="preserve">No Recourse to Public Funds Network, ‘Immigration Options’. Available at: </w:t>
      </w:r>
      <w:hyperlink r:id="rId5" w:history="1">
        <w:r w:rsidR="00BA0571">
          <w:rPr>
            <w:rStyle w:val="Hyperlink"/>
          </w:rPr>
          <w:t>Migrant Victims of Domestic Abuse Concession | NRPF (nrpfnetwork.org.uk)</w:t>
        </w:r>
      </w:hyperlink>
    </w:p>
  </w:footnote>
  <w:footnote w:id="96">
    <w:p w14:paraId="7B98FF08" w14:textId="13F69D21" w:rsidR="00BA0571" w:rsidRDefault="00BA0571" w:rsidP="00930302">
      <w:pPr>
        <w:pStyle w:val="Footnote"/>
      </w:pPr>
      <w:r>
        <w:rPr>
          <w:rStyle w:val="FootnoteReference"/>
        </w:rPr>
        <w:footnoteRef/>
      </w:r>
      <w:r>
        <w:t xml:space="preserve"> </w:t>
      </w:r>
      <w:r w:rsidR="00930302">
        <w:t>NI Human Rights Commission roundtable with public authorities on CoE Istanbul Convention, 25 September 2023.</w:t>
      </w:r>
    </w:p>
  </w:footnote>
  <w:footnote w:id="97">
    <w:p w14:paraId="5A9C4E3E" w14:textId="7DE8BF62" w:rsidR="008D2CEC" w:rsidRDefault="008D2CEC" w:rsidP="004A4746">
      <w:pPr>
        <w:pStyle w:val="Footnote"/>
      </w:pPr>
      <w:r>
        <w:rPr>
          <w:rStyle w:val="FootnoteReference"/>
        </w:rPr>
        <w:footnoteRef/>
      </w:r>
      <w:r>
        <w:t xml:space="preserve"> </w:t>
      </w:r>
      <w:r w:rsidR="004A4746">
        <w:t>NI Human Rights Commission, 'Out of Sight, Out of Mind: Travellers' Accommodation in NI' (NIHRC, 2018); Children’s Law Centre and South Tyrone Empowerment Programme, ‘Joint Submission to the Framework Convention on the Protection of National Minorities Advisory Committee: Rights of Traveller Children and Families in NI’ (CLC and STEP, 2022).</w:t>
      </w:r>
    </w:p>
  </w:footnote>
  <w:footnote w:id="98">
    <w:p w14:paraId="0AAAFFA4" w14:textId="73FEB18D" w:rsidR="004A4746" w:rsidRDefault="004A4746" w:rsidP="004A4746">
      <w:pPr>
        <w:pStyle w:val="Footnote"/>
      </w:pPr>
      <w:r>
        <w:rPr>
          <w:rStyle w:val="FootnoteReference"/>
        </w:rPr>
        <w:footnoteRef/>
      </w:r>
      <w:r>
        <w:t xml:space="preserve"> NI Human Rights Commission, 'Out of Sight, Out of Mind: Travellers' Accommodation in NI' (NIHRC, 2018).</w:t>
      </w:r>
    </w:p>
  </w:footnote>
  <w:footnote w:id="99">
    <w:p w14:paraId="50790B81" w14:textId="34451316" w:rsidR="0005518B" w:rsidRDefault="0005518B" w:rsidP="00D10CE6">
      <w:pPr>
        <w:pStyle w:val="Footnote"/>
      </w:pPr>
      <w:r>
        <w:rPr>
          <w:rStyle w:val="FootnoteReference"/>
        </w:rPr>
        <w:footnoteRef/>
      </w:r>
      <w:r>
        <w:t xml:space="preserve"> In 2021/2022, there were 18,356 children of migrant families enrolled in NI schools, which equates to 5 per cent of all school enrolments. Of the 18,356 children of migrant families, 2,943 had special educational needs (17 per cent) and 5,003 were entitled to free school meals (28 per cent). See NI Statistics and Research Agency, 'Newcomer Pupils 2021/2022' (DoE, 2022).</w:t>
      </w:r>
    </w:p>
  </w:footnote>
  <w:footnote w:id="100">
    <w:p w14:paraId="4B3CCFEE" w14:textId="17D0C377" w:rsidR="0005518B" w:rsidRDefault="0005518B" w:rsidP="00D10CE6">
      <w:pPr>
        <w:pStyle w:val="Footnote"/>
      </w:pPr>
      <w:r>
        <w:rPr>
          <w:rStyle w:val="FootnoteReference"/>
        </w:rPr>
        <w:footnoteRef/>
      </w:r>
      <w:r>
        <w:t xml:space="preserve"> </w:t>
      </w:r>
      <w:r w:rsidR="00D10CE6">
        <w:t>Children’s Law Centre and South Tyrone Empowerment Programme, ‘Joint Submission to CoE Framework Convention on the Protection of National Minorities Advisory Committee: Rights of Asylum Seeker Children Living in Contingency Accommodation (Hotel Buildings) in NI, Run by Mears Group PLC’ (CLC and STEP, 2022).</w:t>
      </w:r>
    </w:p>
  </w:footnote>
  <w:footnote w:id="101">
    <w:p w14:paraId="13821C73" w14:textId="32CD1252" w:rsidR="00D10CE6" w:rsidRDefault="00D10CE6" w:rsidP="00D10CE6">
      <w:pPr>
        <w:pStyle w:val="Footnote"/>
      </w:pPr>
      <w:r>
        <w:rPr>
          <w:rStyle w:val="FootnoteReference"/>
        </w:rPr>
        <w:footnoteRef/>
      </w:r>
      <w:r>
        <w:t xml:space="preserve"> Expert Panel on Educational Underachievement, 'A Fair Start: Final Report and Action Plan' (DoE, 2021).</w:t>
      </w:r>
      <w:r w:rsidR="009C7C46">
        <w:t xml:space="preserve"> </w:t>
      </w:r>
      <w:r w:rsidR="00672193">
        <w:t xml:space="preserve">Reasons for </w:t>
      </w:r>
      <w:r w:rsidR="00B47971">
        <w:t>lower levels of educational a</w:t>
      </w:r>
      <w:r w:rsidR="00F13384">
        <w:t>ttainmen</w:t>
      </w:r>
      <w:r w:rsidR="00B47971">
        <w:t xml:space="preserve">t among Traveller and Roma children are </w:t>
      </w:r>
      <w:r w:rsidR="00520B2D">
        <w:t>nuanced, this is not a homogenous group.</w:t>
      </w:r>
    </w:p>
  </w:footnote>
  <w:footnote w:id="102">
    <w:p w14:paraId="49BAC20C" w14:textId="3DBFB33A" w:rsidR="000C7D57" w:rsidRDefault="000C7D57" w:rsidP="000C7D57">
      <w:pPr>
        <w:pStyle w:val="Footnote"/>
      </w:pPr>
      <w:r>
        <w:rPr>
          <w:rStyle w:val="FootnoteReference"/>
        </w:rPr>
        <w:footnoteRef/>
      </w:r>
      <w:r>
        <w:t xml:space="preserve"> Expert Panel on Educational Underachievement, 'A Fair Start: Final Report and Action Plan' (DoE, 2021).</w:t>
      </w:r>
    </w:p>
  </w:footnote>
  <w:footnote w:id="103">
    <w:p w14:paraId="5A25DCFC" w14:textId="3E105D01" w:rsidR="00D10CE6" w:rsidRDefault="00D10CE6" w:rsidP="00D10CE6">
      <w:pPr>
        <w:pStyle w:val="Footnote"/>
      </w:pPr>
      <w:r>
        <w:rPr>
          <w:rStyle w:val="FootnoteReference"/>
        </w:rPr>
        <w:footnoteRef/>
      </w:r>
      <w:r>
        <w:t xml:space="preserve"> Expert Panel on Educational Underachievement, 'A Fair Start: Final Report and Action Plan' (DoE, 2021).</w:t>
      </w:r>
    </w:p>
  </w:footnote>
  <w:footnote w:id="104">
    <w:p w14:paraId="315DED51" w14:textId="77777777" w:rsidR="004F0A26" w:rsidRPr="00654887" w:rsidRDefault="004F0A26" w:rsidP="004F0A26">
      <w:pPr>
        <w:pStyle w:val="NIHRCFootnotes"/>
      </w:pPr>
      <w:r w:rsidRPr="00654887">
        <w:rPr>
          <w:rStyle w:val="FootnoteReference"/>
          <w:rFonts w:eastAsiaTheme="majorEastAsia"/>
        </w:rPr>
        <w:footnoteRef/>
      </w:r>
      <w:r w:rsidRPr="00654887">
        <w:t xml:space="preserve"> NI Statistics and Research Agency, ‘NI Racial Equality Indicators Report: 2014-2019’ (TEO, 2021), at 18.</w:t>
      </w:r>
    </w:p>
  </w:footnote>
  <w:footnote w:id="105">
    <w:p w14:paraId="63244088" w14:textId="77777777" w:rsidR="009335E7" w:rsidRPr="00B4471E" w:rsidRDefault="009335E7" w:rsidP="009335E7">
      <w:pPr>
        <w:pStyle w:val="Footnote"/>
      </w:pPr>
      <w:r w:rsidRPr="00B4471E">
        <w:rPr>
          <w:rStyle w:val="FootnoteReference"/>
          <w:rFonts w:eastAsiaTheme="majorEastAsia"/>
        </w:rPr>
        <w:footnoteRef/>
      </w:r>
      <w:r w:rsidRPr="00B4471E">
        <w:t xml:space="preserve"> Department of Education, 'Press Release: Schools to implement Addressing Bullying Act', 21 April 2021.</w:t>
      </w:r>
    </w:p>
  </w:footnote>
  <w:footnote w:id="106">
    <w:p w14:paraId="00CC842A" w14:textId="77777777" w:rsidR="009335E7" w:rsidRPr="00B4471E" w:rsidRDefault="009335E7" w:rsidP="009335E7">
      <w:pPr>
        <w:pStyle w:val="Footnote"/>
      </w:pPr>
      <w:r w:rsidRPr="00B4471E">
        <w:rPr>
          <w:rStyle w:val="FootnoteReference"/>
        </w:rPr>
        <w:footnoteRef/>
      </w:r>
      <w:r w:rsidRPr="00B4471E">
        <w:t xml:space="preserve"> Rebecca Loader et al, ‘Experiences of Education among Minority Ethnic Groups in NI’ (QUB, 2023), at para 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52D"/>
    <w:multiLevelType w:val="multilevel"/>
    <w:tmpl w:val="75A4A99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850EA"/>
    <w:multiLevelType w:val="multilevel"/>
    <w:tmpl w:val="8B56EF5A"/>
    <w:lvl w:ilvl="0">
      <w:start w:val="1"/>
      <w:numFmt w:val="decimal"/>
      <w:lvlText w:val="%1.0"/>
      <w:lvlJc w:val="left"/>
      <w:pPr>
        <w:ind w:left="1080" w:hanging="7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1080"/>
      </w:pPr>
      <w:rPr>
        <w:rFonts w:hint="default"/>
        <w:b/>
      </w:rPr>
    </w:lvl>
    <w:lvl w:ilvl="3">
      <w:start w:val="1"/>
      <w:numFmt w:val="decimal"/>
      <w:lvlText w:val="%1.%2.%3.%4"/>
      <w:lvlJc w:val="left"/>
      <w:pPr>
        <w:ind w:left="3960" w:hanging="1440"/>
      </w:pPr>
      <w:rPr>
        <w:rFonts w:hint="default"/>
        <w:b/>
      </w:rPr>
    </w:lvl>
    <w:lvl w:ilvl="4">
      <w:start w:val="1"/>
      <w:numFmt w:val="decimal"/>
      <w:lvlText w:val="%1.%2.%3.%4.%5"/>
      <w:lvlJc w:val="left"/>
      <w:pPr>
        <w:ind w:left="5040" w:hanging="1800"/>
      </w:pPr>
      <w:rPr>
        <w:rFonts w:hint="default"/>
        <w:b/>
      </w:rPr>
    </w:lvl>
    <w:lvl w:ilvl="5">
      <w:start w:val="1"/>
      <w:numFmt w:val="decimal"/>
      <w:lvlText w:val="%1.%2.%3.%4.%5.%6"/>
      <w:lvlJc w:val="left"/>
      <w:pPr>
        <w:ind w:left="6120" w:hanging="2160"/>
      </w:pPr>
      <w:rPr>
        <w:rFonts w:hint="default"/>
        <w:b/>
      </w:rPr>
    </w:lvl>
    <w:lvl w:ilvl="6">
      <w:start w:val="1"/>
      <w:numFmt w:val="decimal"/>
      <w:lvlText w:val="%1.%2.%3.%4.%5.%6.%7"/>
      <w:lvlJc w:val="left"/>
      <w:pPr>
        <w:ind w:left="7200" w:hanging="2520"/>
      </w:pPr>
      <w:rPr>
        <w:rFonts w:hint="default"/>
        <w:b/>
      </w:rPr>
    </w:lvl>
    <w:lvl w:ilvl="7">
      <w:start w:val="1"/>
      <w:numFmt w:val="decimal"/>
      <w:lvlText w:val="%1.%2.%3.%4.%5.%6.%7.%8"/>
      <w:lvlJc w:val="left"/>
      <w:pPr>
        <w:ind w:left="8280" w:hanging="2880"/>
      </w:pPr>
      <w:rPr>
        <w:rFonts w:hint="default"/>
        <w:b/>
      </w:rPr>
    </w:lvl>
    <w:lvl w:ilvl="8">
      <w:start w:val="1"/>
      <w:numFmt w:val="decimal"/>
      <w:lvlText w:val="%1.%2.%3.%4.%5.%6.%7.%8.%9"/>
      <w:lvlJc w:val="left"/>
      <w:pPr>
        <w:ind w:left="9360" w:hanging="3240"/>
      </w:pPr>
      <w:rPr>
        <w:rFonts w:hint="default"/>
        <w:b/>
      </w:rPr>
    </w:lvl>
  </w:abstractNum>
  <w:abstractNum w:abstractNumId="3" w15:restartNumberingAfterBreak="0">
    <w:nsid w:val="1FB80E82"/>
    <w:multiLevelType w:val="multilevel"/>
    <w:tmpl w:val="FBE65ED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4"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224EA7"/>
    <w:multiLevelType w:val="multilevel"/>
    <w:tmpl w:val="6D827592"/>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2F9A658C"/>
    <w:multiLevelType w:val="hybridMultilevel"/>
    <w:tmpl w:val="ED2EB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CA695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360A21"/>
    <w:multiLevelType w:val="multilevel"/>
    <w:tmpl w:val="8B56EF5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1"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DF609B"/>
    <w:multiLevelType w:val="multilevel"/>
    <w:tmpl w:val="75A4A99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3" w15:restartNumberingAfterBreak="0">
    <w:nsid w:val="55450C0F"/>
    <w:multiLevelType w:val="multilevel"/>
    <w:tmpl w:val="210C32D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4" w15:restartNumberingAfterBreak="0">
    <w:nsid w:val="5604300D"/>
    <w:multiLevelType w:val="hybridMultilevel"/>
    <w:tmpl w:val="5BA07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951A5A"/>
    <w:multiLevelType w:val="multilevel"/>
    <w:tmpl w:val="210C32D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6" w15:restartNumberingAfterBreak="0">
    <w:nsid w:val="66D4103C"/>
    <w:multiLevelType w:val="multilevel"/>
    <w:tmpl w:val="75A4A99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7" w15:restartNumberingAfterBreak="0">
    <w:nsid w:val="6F137A89"/>
    <w:multiLevelType w:val="hybridMultilevel"/>
    <w:tmpl w:val="5D447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57719">
    <w:abstractNumId w:val="11"/>
  </w:num>
  <w:num w:numId="2" w16cid:durableId="1078675762">
    <w:abstractNumId w:val="19"/>
  </w:num>
  <w:num w:numId="3" w16cid:durableId="2004119531">
    <w:abstractNumId w:val="1"/>
  </w:num>
  <w:num w:numId="4" w16cid:durableId="1015310170">
    <w:abstractNumId w:val="8"/>
  </w:num>
  <w:num w:numId="5" w16cid:durableId="997923008">
    <w:abstractNumId w:val="18"/>
  </w:num>
  <w:num w:numId="6" w16cid:durableId="254099782">
    <w:abstractNumId w:val="4"/>
  </w:num>
  <w:num w:numId="7" w16cid:durableId="1565801387">
    <w:abstractNumId w:val="9"/>
  </w:num>
  <w:num w:numId="8" w16cid:durableId="1684043318">
    <w:abstractNumId w:val="7"/>
  </w:num>
  <w:num w:numId="9" w16cid:durableId="1532962580">
    <w:abstractNumId w:val="10"/>
  </w:num>
  <w:num w:numId="10" w16cid:durableId="223372169">
    <w:abstractNumId w:val="16"/>
  </w:num>
  <w:num w:numId="11" w16cid:durableId="880240030">
    <w:abstractNumId w:val="2"/>
  </w:num>
  <w:num w:numId="12" w16cid:durableId="516164727">
    <w:abstractNumId w:val="15"/>
  </w:num>
  <w:num w:numId="13" w16cid:durableId="1203590858">
    <w:abstractNumId w:val="5"/>
  </w:num>
  <w:num w:numId="14" w16cid:durableId="1011223562">
    <w:abstractNumId w:val="0"/>
  </w:num>
  <w:num w:numId="15" w16cid:durableId="1813674126">
    <w:abstractNumId w:val="6"/>
  </w:num>
  <w:num w:numId="16" w16cid:durableId="547373859">
    <w:abstractNumId w:val="14"/>
  </w:num>
  <w:num w:numId="17" w16cid:durableId="1933514141">
    <w:abstractNumId w:val="12"/>
  </w:num>
  <w:num w:numId="18" w16cid:durableId="989746561">
    <w:abstractNumId w:val="17"/>
  </w:num>
  <w:num w:numId="19" w16cid:durableId="2094621035">
    <w:abstractNumId w:val="3"/>
  </w:num>
  <w:num w:numId="20" w16cid:durableId="6208454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FC3"/>
    <w:rsid w:val="00001133"/>
    <w:rsid w:val="000027F1"/>
    <w:rsid w:val="000028AC"/>
    <w:rsid w:val="00005E0F"/>
    <w:rsid w:val="00010549"/>
    <w:rsid w:val="000105EA"/>
    <w:rsid w:val="000119A2"/>
    <w:rsid w:val="0001200A"/>
    <w:rsid w:val="000138CE"/>
    <w:rsid w:val="0001628C"/>
    <w:rsid w:val="000164DB"/>
    <w:rsid w:val="00021B77"/>
    <w:rsid w:val="000233FC"/>
    <w:rsid w:val="00024178"/>
    <w:rsid w:val="000260FC"/>
    <w:rsid w:val="00027184"/>
    <w:rsid w:val="000272BC"/>
    <w:rsid w:val="00027AB9"/>
    <w:rsid w:val="00033723"/>
    <w:rsid w:val="000363E2"/>
    <w:rsid w:val="00037B20"/>
    <w:rsid w:val="00041783"/>
    <w:rsid w:val="00045E16"/>
    <w:rsid w:val="00046705"/>
    <w:rsid w:val="00047A50"/>
    <w:rsid w:val="00051818"/>
    <w:rsid w:val="00052F4E"/>
    <w:rsid w:val="00053310"/>
    <w:rsid w:val="0005379E"/>
    <w:rsid w:val="00055138"/>
    <w:rsid w:val="0005518B"/>
    <w:rsid w:val="0005521B"/>
    <w:rsid w:val="0005594B"/>
    <w:rsid w:val="00056693"/>
    <w:rsid w:val="00057593"/>
    <w:rsid w:val="00057701"/>
    <w:rsid w:val="00060D0B"/>
    <w:rsid w:val="0006269F"/>
    <w:rsid w:val="000630F0"/>
    <w:rsid w:val="00063E4E"/>
    <w:rsid w:val="00065869"/>
    <w:rsid w:val="00067361"/>
    <w:rsid w:val="00074374"/>
    <w:rsid w:val="00076B0E"/>
    <w:rsid w:val="00077EE5"/>
    <w:rsid w:val="000809BE"/>
    <w:rsid w:val="00080EF1"/>
    <w:rsid w:val="00081B16"/>
    <w:rsid w:val="00081D34"/>
    <w:rsid w:val="000872BD"/>
    <w:rsid w:val="00090134"/>
    <w:rsid w:val="000902AE"/>
    <w:rsid w:val="00091337"/>
    <w:rsid w:val="00091445"/>
    <w:rsid w:val="00091E8B"/>
    <w:rsid w:val="00095A0B"/>
    <w:rsid w:val="00097198"/>
    <w:rsid w:val="00097310"/>
    <w:rsid w:val="000A137A"/>
    <w:rsid w:val="000A2A3E"/>
    <w:rsid w:val="000A3A73"/>
    <w:rsid w:val="000A438D"/>
    <w:rsid w:val="000A59CC"/>
    <w:rsid w:val="000A5ED4"/>
    <w:rsid w:val="000B0AED"/>
    <w:rsid w:val="000B2158"/>
    <w:rsid w:val="000B341C"/>
    <w:rsid w:val="000B3651"/>
    <w:rsid w:val="000B3F8C"/>
    <w:rsid w:val="000B6872"/>
    <w:rsid w:val="000C036C"/>
    <w:rsid w:val="000C1C02"/>
    <w:rsid w:val="000C6D78"/>
    <w:rsid w:val="000C7338"/>
    <w:rsid w:val="000C7D57"/>
    <w:rsid w:val="000D14BD"/>
    <w:rsid w:val="000D20DA"/>
    <w:rsid w:val="000D3664"/>
    <w:rsid w:val="000D3772"/>
    <w:rsid w:val="000D44D4"/>
    <w:rsid w:val="000D539C"/>
    <w:rsid w:val="000D624A"/>
    <w:rsid w:val="000D7A01"/>
    <w:rsid w:val="000E0FC6"/>
    <w:rsid w:val="000E1F61"/>
    <w:rsid w:val="000E34BF"/>
    <w:rsid w:val="000E3F27"/>
    <w:rsid w:val="000E4B5A"/>
    <w:rsid w:val="000E5A71"/>
    <w:rsid w:val="000E7F0C"/>
    <w:rsid w:val="000F0C7A"/>
    <w:rsid w:val="000F0C8C"/>
    <w:rsid w:val="000F1DF5"/>
    <w:rsid w:val="000F258E"/>
    <w:rsid w:val="000F2E77"/>
    <w:rsid w:val="000F534B"/>
    <w:rsid w:val="000F68B5"/>
    <w:rsid w:val="00102E24"/>
    <w:rsid w:val="00103438"/>
    <w:rsid w:val="00103477"/>
    <w:rsid w:val="001038EF"/>
    <w:rsid w:val="001063A9"/>
    <w:rsid w:val="00107925"/>
    <w:rsid w:val="001121D7"/>
    <w:rsid w:val="001135F6"/>
    <w:rsid w:val="001137FF"/>
    <w:rsid w:val="0011464A"/>
    <w:rsid w:val="00120797"/>
    <w:rsid w:val="001217F9"/>
    <w:rsid w:val="00127EE5"/>
    <w:rsid w:val="00130393"/>
    <w:rsid w:val="00134946"/>
    <w:rsid w:val="00134A10"/>
    <w:rsid w:val="00135EAE"/>
    <w:rsid w:val="00146646"/>
    <w:rsid w:val="00150A38"/>
    <w:rsid w:val="00151081"/>
    <w:rsid w:val="0015124C"/>
    <w:rsid w:val="00153B70"/>
    <w:rsid w:val="00154E65"/>
    <w:rsid w:val="0015529F"/>
    <w:rsid w:val="001552A7"/>
    <w:rsid w:val="00156FE1"/>
    <w:rsid w:val="00163042"/>
    <w:rsid w:val="0016358A"/>
    <w:rsid w:val="00164E9B"/>
    <w:rsid w:val="00166735"/>
    <w:rsid w:val="0017000B"/>
    <w:rsid w:val="0017163F"/>
    <w:rsid w:val="00172914"/>
    <w:rsid w:val="001737C5"/>
    <w:rsid w:val="00175CDE"/>
    <w:rsid w:val="001764F7"/>
    <w:rsid w:val="00176B1D"/>
    <w:rsid w:val="001822F5"/>
    <w:rsid w:val="00184451"/>
    <w:rsid w:val="00184B0B"/>
    <w:rsid w:val="00185AF4"/>
    <w:rsid w:val="00190190"/>
    <w:rsid w:val="00190FA2"/>
    <w:rsid w:val="00191946"/>
    <w:rsid w:val="00191A06"/>
    <w:rsid w:val="00194BAC"/>
    <w:rsid w:val="001A00A2"/>
    <w:rsid w:val="001A1158"/>
    <w:rsid w:val="001A3E1F"/>
    <w:rsid w:val="001A4B9E"/>
    <w:rsid w:val="001A53C7"/>
    <w:rsid w:val="001B0D0E"/>
    <w:rsid w:val="001B1530"/>
    <w:rsid w:val="001B15E7"/>
    <w:rsid w:val="001B3E0C"/>
    <w:rsid w:val="001B444D"/>
    <w:rsid w:val="001B49B1"/>
    <w:rsid w:val="001B4E6B"/>
    <w:rsid w:val="001C1A4D"/>
    <w:rsid w:val="001C33FC"/>
    <w:rsid w:val="001C40AD"/>
    <w:rsid w:val="001C4788"/>
    <w:rsid w:val="001C718E"/>
    <w:rsid w:val="001D3715"/>
    <w:rsid w:val="001D4C18"/>
    <w:rsid w:val="001D5542"/>
    <w:rsid w:val="001D624E"/>
    <w:rsid w:val="001E10EC"/>
    <w:rsid w:val="001E3462"/>
    <w:rsid w:val="001E68A0"/>
    <w:rsid w:val="001E6E3F"/>
    <w:rsid w:val="001E79A9"/>
    <w:rsid w:val="001F0863"/>
    <w:rsid w:val="001F087F"/>
    <w:rsid w:val="001F2E3D"/>
    <w:rsid w:val="0020160F"/>
    <w:rsid w:val="00202FF9"/>
    <w:rsid w:val="00204CCF"/>
    <w:rsid w:val="00206A72"/>
    <w:rsid w:val="00207BC9"/>
    <w:rsid w:val="00212248"/>
    <w:rsid w:val="00213384"/>
    <w:rsid w:val="00213B8A"/>
    <w:rsid w:val="0021466E"/>
    <w:rsid w:val="00221F15"/>
    <w:rsid w:val="00224140"/>
    <w:rsid w:val="00225B0F"/>
    <w:rsid w:val="00225C56"/>
    <w:rsid w:val="0022791A"/>
    <w:rsid w:val="00227B01"/>
    <w:rsid w:val="00227B91"/>
    <w:rsid w:val="00231951"/>
    <w:rsid w:val="00232984"/>
    <w:rsid w:val="00234935"/>
    <w:rsid w:val="002351CB"/>
    <w:rsid w:val="002360ED"/>
    <w:rsid w:val="002377A0"/>
    <w:rsid w:val="00240506"/>
    <w:rsid w:val="002409F4"/>
    <w:rsid w:val="002428EC"/>
    <w:rsid w:val="00245151"/>
    <w:rsid w:val="002477B6"/>
    <w:rsid w:val="00250353"/>
    <w:rsid w:val="0025141B"/>
    <w:rsid w:val="00252796"/>
    <w:rsid w:val="00252969"/>
    <w:rsid w:val="00254AA3"/>
    <w:rsid w:val="00255228"/>
    <w:rsid w:val="00255370"/>
    <w:rsid w:val="002565FD"/>
    <w:rsid w:val="00256DB9"/>
    <w:rsid w:val="00256F15"/>
    <w:rsid w:val="00260063"/>
    <w:rsid w:val="00261125"/>
    <w:rsid w:val="00261C22"/>
    <w:rsid w:val="00261D17"/>
    <w:rsid w:val="00262F63"/>
    <w:rsid w:val="00262FBC"/>
    <w:rsid w:val="00263CC1"/>
    <w:rsid w:val="00271F8E"/>
    <w:rsid w:val="00272ADE"/>
    <w:rsid w:val="0027375F"/>
    <w:rsid w:val="00273C8F"/>
    <w:rsid w:val="00274302"/>
    <w:rsid w:val="00274983"/>
    <w:rsid w:val="00274B59"/>
    <w:rsid w:val="0028495C"/>
    <w:rsid w:val="00286F0C"/>
    <w:rsid w:val="002922D1"/>
    <w:rsid w:val="00293DDF"/>
    <w:rsid w:val="00296DD3"/>
    <w:rsid w:val="00297BB2"/>
    <w:rsid w:val="002A0175"/>
    <w:rsid w:val="002A0219"/>
    <w:rsid w:val="002A0E88"/>
    <w:rsid w:val="002A33A9"/>
    <w:rsid w:val="002A3926"/>
    <w:rsid w:val="002A4E23"/>
    <w:rsid w:val="002A5A16"/>
    <w:rsid w:val="002A5BBF"/>
    <w:rsid w:val="002A635A"/>
    <w:rsid w:val="002B05AB"/>
    <w:rsid w:val="002B1272"/>
    <w:rsid w:val="002B22A9"/>
    <w:rsid w:val="002B22B0"/>
    <w:rsid w:val="002B2E3B"/>
    <w:rsid w:val="002B3B4D"/>
    <w:rsid w:val="002B6304"/>
    <w:rsid w:val="002B7A70"/>
    <w:rsid w:val="002C088B"/>
    <w:rsid w:val="002C15DF"/>
    <w:rsid w:val="002C1E6B"/>
    <w:rsid w:val="002C7572"/>
    <w:rsid w:val="002C7C7B"/>
    <w:rsid w:val="002C7ED5"/>
    <w:rsid w:val="002D548B"/>
    <w:rsid w:val="002D6A1D"/>
    <w:rsid w:val="002D6D2A"/>
    <w:rsid w:val="002E1EDF"/>
    <w:rsid w:val="002E4905"/>
    <w:rsid w:val="002E4AD7"/>
    <w:rsid w:val="002E55C5"/>
    <w:rsid w:val="002E613D"/>
    <w:rsid w:val="002E761D"/>
    <w:rsid w:val="002F1BD7"/>
    <w:rsid w:val="002F1CD5"/>
    <w:rsid w:val="002F4887"/>
    <w:rsid w:val="002F5BE6"/>
    <w:rsid w:val="00300169"/>
    <w:rsid w:val="003025D3"/>
    <w:rsid w:val="003032A2"/>
    <w:rsid w:val="003043C8"/>
    <w:rsid w:val="00306052"/>
    <w:rsid w:val="00306317"/>
    <w:rsid w:val="0030795B"/>
    <w:rsid w:val="00314F45"/>
    <w:rsid w:val="003153A1"/>
    <w:rsid w:val="003158CD"/>
    <w:rsid w:val="00315B11"/>
    <w:rsid w:val="00315DDA"/>
    <w:rsid w:val="0031752C"/>
    <w:rsid w:val="003223E1"/>
    <w:rsid w:val="00322EA8"/>
    <w:rsid w:val="00323F71"/>
    <w:rsid w:val="003267D3"/>
    <w:rsid w:val="00326CCA"/>
    <w:rsid w:val="003301FB"/>
    <w:rsid w:val="003309C4"/>
    <w:rsid w:val="00331779"/>
    <w:rsid w:val="00331839"/>
    <w:rsid w:val="00331C61"/>
    <w:rsid w:val="0033258E"/>
    <w:rsid w:val="00333AEC"/>
    <w:rsid w:val="00333B68"/>
    <w:rsid w:val="00335ED7"/>
    <w:rsid w:val="003364B5"/>
    <w:rsid w:val="00336E8C"/>
    <w:rsid w:val="00337371"/>
    <w:rsid w:val="00337C32"/>
    <w:rsid w:val="00337E31"/>
    <w:rsid w:val="0034015D"/>
    <w:rsid w:val="00340371"/>
    <w:rsid w:val="00341451"/>
    <w:rsid w:val="003415A9"/>
    <w:rsid w:val="00341BFE"/>
    <w:rsid w:val="00343AD9"/>
    <w:rsid w:val="003445B8"/>
    <w:rsid w:val="0034488A"/>
    <w:rsid w:val="003471DD"/>
    <w:rsid w:val="00347DEF"/>
    <w:rsid w:val="00353B35"/>
    <w:rsid w:val="00356827"/>
    <w:rsid w:val="00357B2D"/>
    <w:rsid w:val="00360F88"/>
    <w:rsid w:val="00365325"/>
    <w:rsid w:val="003656D3"/>
    <w:rsid w:val="00366086"/>
    <w:rsid w:val="003660E4"/>
    <w:rsid w:val="00366F0B"/>
    <w:rsid w:val="00367CCA"/>
    <w:rsid w:val="003718A2"/>
    <w:rsid w:val="00372C20"/>
    <w:rsid w:val="00373CFC"/>
    <w:rsid w:val="00373F3F"/>
    <w:rsid w:val="00374708"/>
    <w:rsid w:val="00374F48"/>
    <w:rsid w:val="00382489"/>
    <w:rsid w:val="003845E0"/>
    <w:rsid w:val="003943D0"/>
    <w:rsid w:val="003961E0"/>
    <w:rsid w:val="003A2339"/>
    <w:rsid w:val="003A4A13"/>
    <w:rsid w:val="003A54CC"/>
    <w:rsid w:val="003A5876"/>
    <w:rsid w:val="003A64E6"/>
    <w:rsid w:val="003A70A4"/>
    <w:rsid w:val="003B36DB"/>
    <w:rsid w:val="003B7444"/>
    <w:rsid w:val="003B7D0E"/>
    <w:rsid w:val="003B7EF4"/>
    <w:rsid w:val="003B7F6B"/>
    <w:rsid w:val="003C1768"/>
    <w:rsid w:val="003C1EA2"/>
    <w:rsid w:val="003C3B35"/>
    <w:rsid w:val="003C3BE9"/>
    <w:rsid w:val="003D09D2"/>
    <w:rsid w:val="003D135F"/>
    <w:rsid w:val="003D1B91"/>
    <w:rsid w:val="003D28CA"/>
    <w:rsid w:val="003D42BD"/>
    <w:rsid w:val="003D4604"/>
    <w:rsid w:val="003D521F"/>
    <w:rsid w:val="003D7D9C"/>
    <w:rsid w:val="003E029B"/>
    <w:rsid w:val="003E1C6C"/>
    <w:rsid w:val="003E2074"/>
    <w:rsid w:val="003E2AE7"/>
    <w:rsid w:val="003E56D9"/>
    <w:rsid w:val="003E7EDD"/>
    <w:rsid w:val="003F295A"/>
    <w:rsid w:val="003F3F91"/>
    <w:rsid w:val="0040179A"/>
    <w:rsid w:val="004022AE"/>
    <w:rsid w:val="00402467"/>
    <w:rsid w:val="0040265C"/>
    <w:rsid w:val="00402B53"/>
    <w:rsid w:val="00403760"/>
    <w:rsid w:val="00403B95"/>
    <w:rsid w:val="004041CC"/>
    <w:rsid w:val="00406DB0"/>
    <w:rsid w:val="0040748A"/>
    <w:rsid w:val="00410754"/>
    <w:rsid w:val="00411091"/>
    <w:rsid w:val="00412948"/>
    <w:rsid w:val="00415755"/>
    <w:rsid w:val="004209B3"/>
    <w:rsid w:val="00420CC8"/>
    <w:rsid w:val="00420D32"/>
    <w:rsid w:val="00425D91"/>
    <w:rsid w:val="00427335"/>
    <w:rsid w:val="00430A5E"/>
    <w:rsid w:val="00431081"/>
    <w:rsid w:val="00435D4E"/>
    <w:rsid w:val="004474B4"/>
    <w:rsid w:val="00451A45"/>
    <w:rsid w:val="00453F49"/>
    <w:rsid w:val="004546A6"/>
    <w:rsid w:val="0045605F"/>
    <w:rsid w:val="00463D6B"/>
    <w:rsid w:val="004648E7"/>
    <w:rsid w:val="00464974"/>
    <w:rsid w:val="00464F48"/>
    <w:rsid w:val="00466A2E"/>
    <w:rsid w:val="004672AC"/>
    <w:rsid w:val="0047046A"/>
    <w:rsid w:val="00470ABA"/>
    <w:rsid w:val="00471A4D"/>
    <w:rsid w:val="00471B4F"/>
    <w:rsid w:val="00474040"/>
    <w:rsid w:val="00474E2A"/>
    <w:rsid w:val="00476AAA"/>
    <w:rsid w:val="0048123C"/>
    <w:rsid w:val="00495115"/>
    <w:rsid w:val="00495465"/>
    <w:rsid w:val="00497793"/>
    <w:rsid w:val="00497AB7"/>
    <w:rsid w:val="004A4746"/>
    <w:rsid w:val="004A6EDD"/>
    <w:rsid w:val="004A7C3F"/>
    <w:rsid w:val="004B1187"/>
    <w:rsid w:val="004B36BF"/>
    <w:rsid w:val="004B62C0"/>
    <w:rsid w:val="004C0519"/>
    <w:rsid w:val="004C0E1B"/>
    <w:rsid w:val="004C2078"/>
    <w:rsid w:val="004C2963"/>
    <w:rsid w:val="004C4735"/>
    <w:rsid w:val="004C69FF"/>
    <w:rsid w:val="004C6EA2"/>
    <w:rsid w:val="004C7302"/>
    <w:rsid w:val="004C7C46"/>
    <w:rsid w:val="004C7C97"/>
    <w:rsid w:val="004D0953"/>
    <w:rsid w:val="004D0C4D"/>
    <w:rsid w:val="004D25DB"/>
    <w:rsid w:val="004D334B"/>
    <w:rsid w:val="004D391F"/>
    <w:rsid w:val="004D4CAC"/>
    <w:rsid w:val="004D5266"/>
    <w:rsid w:val="004D5BCC"/>
    <w:rsid w:val="004D634C"/>
    <w:rsid w:val="004D6CEF"/>
    <w:rsid w:val="004D734C"/>
    <w:rsid w:val="004E03EE"/>
    <w:rsid w:val="004E3335"/>
    <w:rsid w:val="004E3CBF"/>
    <w:rsid w:val="004E4377"/>
    <w:rsid w:val="004E570A"/>
    <w:rsid w:val="004E5B37"/>
    <w:rsid w:val="004F0333"/>
    <w:rsid w:val="004F0A26"/>
    <w:rsid w:val="004F16FA"/>
    <w:rsid w:val="004F1D25"/>
    <w:rsid w:val="004F2069"/>
    <w:rsid w:val="004F24EF"/>
    <w:rsid w:val="004F2F6A"/>
    <w:rsid w:val="004F3E67"/>
    <w:rsid w:val="004F4F4A"/>
    <w:rsid w:val="004F638B"/>
    <w:rsid w:val="00501642"/>
    <w:rsid w:val="00501CD5"/>
    <w:rsid w:val="005023D7"/>
    <w:rsid w:val="00502BD5"/>
    <w:rsid w:val="00504811"/>
    <w:rsid w:val="00510609"/>
    <w:rsid w:val="00510899"/>
    <w:rsid w:val="00510BE3"/>
    <w:rsid w:val="00510EFD"/>
    <w:rsid w:val="00511772"/>
    <w:rsid w:val="0051321D"/>
    <w:rsid w:val="00514FA1"/>
    <w:rsid w:val="00515588"/>
    <w:rsid w:val="0051665D"/>
    <w:rsid w:val="00520B2D"/>
    <w:rsid w:val="00521206"/>
    <w:rsid w:val="00521771"/>
    <w:rsid w:val="00521AF3"/>
    <w:rsid w:val="00524DCC"/>
    <w:rsid w:val="00532527"/>
    <w:rsid w:val="005327CE"/>
    <w:rsid w:val="00534307"/>
    <w:rsid w:val="005419EC"/>
    <w:rsid w:val="00550772"/>
    <w:rsid w:val="00550798"/>
    <w:rsid w:val="005508E9"/>
    <w:rsid w:val="00552293"/>
    <w:rsid w:val="0055294C"/>
    <w:rsid w:val="0055376B"/>
    <w:rsid w:val="005549C1"/>
    <w:rsid w:val="00555AE6"/>
    <w:rsid w:val="00555F6D"/>
    <w:rsid w:val="00556D94"/>
    <w:rsid w:val="0056321E"/>
    <w:rsid w:val="00563F7C"/>
    <w:rsid w:val="00564674"/>
    <w:rsid w:val="00564C93"/>
    <w:rsid w:val="005651C6"/>
    <w:rsid w:val="005651FC"/>
    <w:rsid w:val="00566574"/>
    <w:rsid w:val="005668C4"/>
    <w:rsid w:val="00570110"/>
    <w:rsid w:val="005741B7"/>
    <w:rsid w:val="00580197"/>
    <w:rsid w:val="0058252B"/>
    <w:rsid w:val="00582BAE"/>
    <w:rsid w:val="0058444B"/>
    <w:rsid w:val="00584E4B"/>
    <w:rsid w:val="00586084"/>
    <w:rsid w:val="005901AB"/>
    <w:rsid w:val="00590F5C"/>
    <w:rsid w:val="005915EF"/>
    <w:rsid w:val="0059234C"/>
    <w:rsid w:val="00593556"/>
    <w:rsid w:val="0059678A"/>
    <w:rsid w:val="00597896"/>
    <w:rsid w:val="00597AD6"/>
    <w:rsid w:val="005A2E5F"/>
    <w:rsid w:val="005A312C"/>
    <w:rsid w:val="005A38AA"/>
    <w:rsid w:val="005A592D"/>
    <w:rsid w:val="005B01C3"/>
    <w:rsid w:val="005B13EC"/>
    <w:rsid w:val="005B1BC0"/>
    <w:rsid w:val="005B24D1"/>
    <w:rsid w:val="005B4837"/>
    <w:rsid w:val="005B54D9"/>
    <w:rsid w:val="005B5ED8"/>
    <w:rsid w:val="005B723E"/>
    <w:rsid w:val="005B7FC4"/>
    <w:rsid w:val="005C0439"/>
    <w:rsid w:val="005C0655"/>
    <w:rsid w:val="005C35C7"/>
    <w:rsid w:val="005C39DC"/>
    <w:rsid w:val="005C3BCA"/>
    <w:rsid w:val="005D003D"/>
    <w:rsid w:val="005D2269"/>
    <w:rsid w:val="005D28EF"/>
    <w:rsid w:val="005D41C7"/>
    <w:rsid w:val="005D45CF"/>
    <w:rsid w:val="005D4B70"/>
    <w:rsid w:val="005D6042"/>
    <w:rsid w:val="005D70F9"/>
    <w:rsid w:val="005D7BF5"/>
    <w:rsid w:val="005E1B11"/>
    <w:rsid w:val="005F03B4"/>
    <w:rsid w:val="005F040B"/>
    <w:rsid w:val="005F14B1"/>
    <w:rsid w:val="005F2181"/>
    <w:rsid w:val="005F2557"/>
    <w:rsid w:val="005F3DDA"/>
    <w:rsid w:val="005F487F"/>
    <w:rsid w:val="005F4BE1"/>
    <w:rsid w:val="005F64FC"/>
    <w:rsid w:val="005F665D"/>
    <w:rsid w:val="005F708F"/>
    <w:rsid w:val="005F7B5B"/>
    <w:rsid w:val="00602998"/>
    <w:rsid w:val="00602BB1"/>
    <w:rsid w:val="0060376E"/>
    <w:rsid w:val="00605A8C"/>
    <w:rsid w:val="006125D4"/>
    <w:rsid w:val="00614B71"/>
    <w:rsid w:val="00615160"/>
    <w:rsid w:val="0061617A"/>
    <w:rsid w:val="00617DCE"/>
    <w:rsid w:val="0062190D"/>
    <w:rsid w:val="00625D4C"/>
    <w:rsid w:val="00633C3E"/>
    <w:rsid w:val="006362E2"/>
    <w:rsid w:val="00636338"/>
    <w:rsid w:val="00636467"/>
    <w:rsid w:val="006378DC"/>
    <w:rsid w:val="00640BDE"/>
    <w:rsid w:val="0064287F"/>
    <w:rsid w:val="0064428C"/>
    <w:rsid w:val="006470DE"/>
    <w:rsid w:val="006478B5"/>
    <w:rsid w:val="00647C09"/>
    <w:rsid w:val="006508FF"/>
    <w:rsid w:val="00650C2B"/>
    <w:rsid w:val="00650EBF"/>
    <w:rsid w:val="00650F12"/>
    <w:rsid w:val="00651E0A"/>
    <w:rsid w:val="00652096"/>
    <w:rsid w:val="006522E4"/>
    <w:rsid w:val="00653FAB"/>
    <w:rsid w:val="00654124"/>
    <w:rsid w:val="0065437A"/>
    <w:rsid w:val="00654BAD"/>
    <w:rsid w:val="00656ECD"/>
    <w:rsid w:val="006610E4"/>
    <w:rsid w:val="00661396"/>
    <w:rsid w:val="00662E32"/>
    <w:rsid w:val="006632EA"/>
    <w:rsid w:val="006708F4"/>
    <w:rsid w:val="00670E5B"/>
    <w:rsid w:val="00670F72"/>
    <w:rsid w:val="00672193"/>
    <w:rsid w:val="0067252A"/>
    <w:rsid w:val="00673E7F"/>
    <w:rsid w:val="0067655F"/>
    <w:rsid w:val="00677FF6"/>
    <w:rsid w:val="00681C13"/>
    <w:rsid w:val="006834A1"/>
    <w:rsid w:val="00684703"/>
    <w:rsid w:val="006855E6"/>
    <w:rsid w:val="00685F10"/>
    <w:rsid w:val="0068752A"/>
    <w:rsid w:val="00687ABE"/>
    <w:rsid w:val="00690A0F"/>
    <w:rsid w:val="00693AAD"/>
    <w:rsid w:val="00694DBD"/>
    <w:rsid w:val="006969C4"/>
    <w:rsid w:val="00696F25"/>
    <w:rsid w:val="006A1BC0"/>
    <w:rsid w:val="006A34EE"/>
    <w:rsid w:val="006A56D7"/>
    <w:rsid w:val="006A5ED9"/>
    <w:rsid w:val="006A7757"/>
    <w:rsid w:val="006A7872"/>
    <w:rsid w:val="006B1B42"/>
    <w:rsid w:val="006B376C"/>
    <w:rsid w:val="006B4225"/>
    <w:rsid w:val="006B66CE"/>
    <w:rsid w:val="006B6BD5"/>
    <w:rsid w:val="006B7091"/>
    <w:rsid w:val="006B781E"/>
    <w:rsid w:val="006C25D0"/>
    <w:rsid w:val="006C2FD7"/>
    <w:rsid w:val="006C4ACF"/>
    <w:rsid w:val="006C59AB"/>
    <w:rsid w:val="006D2337"/>
    <w:rsid w:val="006D3395"/>
    <w:rsid w:val="006D347F"/>
    <w:rsid w:val="006E0E0A"/>
    <w:rsid w:val="006E7619"/>
    <w:rsid w:val="006F0B72"/>
    <w:rsid w:val="006F1D30"/>
    <w:rsid w:val="006F29E1"/>
    <w:rsid w:val="006F492A"/>
    <w:rsid w:val="006F5505"/>
    <w:rsid w:val="006F63E1"/>
    <w:rsid w:val="006F6DA5"/>
    <w:rsid w:val="006F73BA"/>
    <w:rsid w:val="006F7B6A"/>
    <w:rsid w:val="00700A85"/>
    <w:rsid w:val="00700BDE"/>
    <w:rsid w:val="0070154F"/>
    <w:rsid w:val="00703A83"/>
    <w:rsid w:val="00704404"/>
    <w:rsid w:val="00705833"/>
    <w:rsid w:val="00705A0D"/>
    <w:rsid w:val="00706A1A"/>
    <w:rsid w:val="00711220"/>
    <w:rsid w:val="00712670"/>
    <w:rsid w:val="00713467"/>
    <w:rsid w:val="00713A17"/>
    <w:rsid w:val="0071749C"/>
    <w:rsid w:val="0072503E"/>
    <w:rsid w:val="00725C2A"/>
    <w:rsid w:val="0072610E"/>
    <w:rsid w:val="0073230C"/>
    <w:rsid w:val="00735D54"/>
    <w:rsid w:val="00741005"/>
    <w:rsid w:val="00742501"/>
    <w:rsid w:val="00746157"/>
    <w:rsid w:val="0074726D"/>
    <w:rsid w:val="00751C67"/>
    <w:rsid w:val="007549BB"/>
    <w:rsid w:val="00755287"/>
    <w:rsid w:val="00755D54"/>
    <w:rsid w:val="0075639D"/>
    <w:rsid w:val="007569C1"/>
    <w:rsid w:val="00757E01"/>
    <w:rsid w:val="00757F45"/>
    <w:rsid w:val="00760BEC"/>
    <w:rsid w:val="007621CE"/>
    <w:rsid w:val="00763132"/>
    <w:rsid w:val="007637D9"/>
    <w:rsid w:val="00764198"/>
    <w:rsid w:val="00764B60"/>
    <w:rsid w:val="00764B77"/>
    <w:rsid w:val="00767FD6"/>
    <w:rsid w:val="00770CFD"/>
    <w:rsid w:val="00771050"/>
    <w:rsid w:val="007711FB"/>
    <w:rsid w:val="0077388A"/>
    <w:rsid w:val="00785AF4"/>
    <w:rsid w:val="00785E84"/>
    <w:rsid w:val="00786153"/>
    <w:rsid w:val="00791A5E"/>
    <w:rsid w:val="00793028"/>
    <w:rsid w:val="00793AA1"/>
    <w:rsid w:val="00796689"/>
    <w:rsid w:val="007A0A37"/>
    <w:rsid w:val="007A12F2"/>
    <w:rsid w:val="007A141A"/>
    <w:rsid w:val="007A143E"/>
    <w:rsid w:val="007A2D10"/>
    <w:rsid w:val="007A3B0B"/>
    <w:rsid w:val="007A3E99"/>
    <w:rsid w:val="007A47AF"/>
    <w:rsid w:val="007A5BD1"/>
    <w:rsid w:val="007B0263"/>
    <w:rsid w:val="007B0672"/>
    <w:rsid w:val="007B0AC1"/>
    <w:rsid w:val="007B179A"/>
    <w:rsid w:val="007B487D"/>
    <w:rsid w:val="007B4CD8"/>
    <w:rsid w:val="007B5175"/>
    <w:rsid w:val="007B6820"/>
    <w:rsid w:val="007B6AAE"/>
    <w:rsid w:val="007B79B0"/>
    <w:rsid w:val="007C0350"/>
    <w:rsid w:val="007C0E41"/>
    <w:rsid w:val="007C2B24"/>
    <w:rsid w:val="007C639D"/>
    <w:rsid w:val="007D299B"/>
    <w:rsid w:val="007D463A"/>
    <w:rsid w:val="007D54F4"/>
    <w:rsid w:val="007D7D22"/>
    <w:rsid w:val="007E0686"/>
    <w:rsid w:val="007E1A37"/>
    <w:rsid w:val="007E2837"/>
    <w:rsid w:val="007E473C"/>
    <w:rsid w:val="007E4FFE"/>
    <w:rsid w:val="007E5AE3"/>
    <w:rsid w:val="007E71D0"/>
    <w:rsid w:val="007E75E4"/>
    <w:rsid w:val="007E7E21"/>
    <w:rsid w:val="007F021C"/>
    <w:rsid w:val="007F266D"/>
    <w:rsid w:val="007F31F9"/>
    <w:rsid w:val="007F3916"/>
    <w:rsid w:val="007F3C26"/>
    <w:rsid w:val="007F604E"/>
    <w:rsid w:val="007F61A2"/>
    <w:rsid w:val="007F70FF"/>
    <w:rsid w:val="00800A56"/>
    <w:rsid w:val="00801600"/>
    <w:rsid w:val="00801AD1"/>
    <w:rsid w:val="008024BF"/>
    <w:rsid w:val="0080469C"/>
    <w:rsid w:val="00806A71"/>
    <w:rsid w:val="00810ED4"/>
    <w:rsid w:val="00810EF8"/>
    <w:rsid w:val="008123AA"/>
    <w:rsid w:val="00812D47"/>
    <w:rsid w:val="00813B06"/>
    <w:rsid w:val="008159E8"/>
    <w:rsid w:val="00815F7C"/>
    <w:rsid w:val="008173E7"/>
    <w:rsid w:val="0082341A"/>
    <w:rsid w:val="00827648"/>
    <w:rsid w:val="008277E1"/>
    <w:rsid w:val="00831766"/>
    <w:rsid w:val="00832FE4"/>
    <w:rsid w:val="00835004"/>
    <w:rsid w:val="0083629E"/>
    <w:rsid w:val="008367E1"/>
    <w:rsid w:val="00842A2F"/>
    <w:rsid w:val="00844F69"/>
    <w:rsid w:val="00846E8F"/>
    <w:rsid w:val="008563E2"/>
    <w:rsid w:val="00857AAD"/>
    <w:rsid w:val="00860102"/>
    <w:rsid w:val="008616B8"/>
    <w:rsid w:val="00864300"/>
    <w:rsid w:val="00864F73"/>
    <w:rsid w:val="0086538C"/>
    <w:rsid w:val="00870228"/>
    <w:rsid w:val="008711F5"/>
    <w:rsid w:val="0087161B"/>
    <w:rsid w:val="00872187"/>
    <w:rsid w:val="008727FF"/>
    <w:rsid w:val="00875E68"/>
    <w:rsid w:val="00876C9E"/>
    <w:rsid w:val="00881042"/>
    <w:rsid w:val="00882045"/>
    <w:rsid w:val="008876B7"/>
    <w:rsid w:val="0089022B"/>
    <w:rsid w:val="00896017"/>
    <w:rsid w:val="008A04B2"/>
    <w:rsid w:val="008A128E"/>
    <w:rsid w:val="008A2292"/>
    <w:rsid w:val="008A488F"/>
    <w:rsid w:val="008A4C43"/>
    <w:rsid w:val="008A6144"/>
    <w:rsid w:val="008A7815"/>
    <w:rsid w:val="008A7AFD"/>
    <w:rsid w:val="008A7C2A"/>
    <w:rsid w:val="008B03B7"/>
    <w:rsid w:val="008B0B96"/>
    <w:rsid w:val="008B0FFF"/>
    <w:rsid w:val="008B197C"/>
    <w:rsid w:val="008B3A9C"/>
    <w:rsid w:val="008B4F78"/>
    <w:rsid w:val="008B75B4"/>
    <w:rsid w:val="008B75DC"/>
    <w:rsid w:val="008B79B2"/>
    <w:rsid w:val="008C09C8"/>
    <w:rsid w:val="008C2960"/>
    <w:rsid w:val="008C2AFD"/>
    <w:rsid w:val="008C6316"/>
    <w:rsid w:val="008D0A60"/>
    <w:rsid w:val="008D18A4"/>
    <w:rsid w:val="008D19F6"/>
    <w:rsid w:val="008D25B6"/>
    <w:rsid w:val="008D2CEC"/>
    <w:rsid w:val="008D2E39"/>
    <w:rsid w:val="008D36DC"/>
    <w:rsid w:val="008D4CB7"/>
    <w:rsid w:val="008D4ECA"/>
    <w:rsid w:val="008D4F43"/>
    <w:rsid w:val="008D5209"/>
    <w:rsid w:val="008D5B13"/>
    <w:rsid w:val="008D6F0B"/>
    <w:rsid w:val="008D74D4"/>
    <w:rsid w:val="008D7C32"/>
    <w:rsid w:val="008E0DC2"/>
    <w:rsid w:val="008E0F72"/>
    <w:rsid w:val="008E4227"/>
    <w:rsid w:val="008E6C4C"/>
    <w:rsid w:val="008E7788"/>
    <w:rsid w:val="008F1C39"/>
    <w:rsid w:val="008F1E9A"/>
    <w:rsid w:val="008F3C66"/>
    <w:rsid w:val="008F4687"/>
    <w:rsid w:val="009005A5"/>
    <w:rsid w:val="00904C6A"/>
    <w:rsid w:val="00905055"/>
    <w:rsid w:val="00911DBB"/>
    <w:rsid w:val="0091251E"/>
    <w:rsid w:val="0091291B"/>
    <w:rsid w:val="00912F27"/>
    <w:rsid w:val="00914007"/>
    <w:rsid w:val="00914F34"/>
    <w:rsid w:val="00915247"/>
    <w:rsid w:val="00915844"/>
    <w:rsid w:val="00915AD8"/>
    <w:rsid w:val="00916756"/>
    <w:rsid w:val="0091741B"/>
    <w:rsid w:val="00923487"/>
    <w:rsid w:val="00923F95"/>
    <w:rsid w:val="009255F5"/>
    <w:rsid w:val="00927E63"/>
    <w:rsid w:val="00930302"/>
    <w:rsid w:val="009335E7"/>
    <w:rsid w:val="009338B6"/>
    <w:rsid w:val="00936054"/>
    <w:rsid w:val="009369C2"/>
    <w:rsid w:val="00936AC7"/>
    <w:rsid w:val="009377E6"/>
    <w:rsid w:val="0094187B"/>
    <w:rsid w:val="009429D3"/>
    <w:rsid w:val="00942CC5"/>
    <w:rsid w:val="0094367C"/>
    <w:rsid w:val="00947012"/>
    <w:rsid w:val="00947BCE"/>
    <w:rsid w:val="00951D3C"/>
    <w:rsid w:val="00952255"/>
    <w:rsid w:val="009544A6"/>
    <w:rsid w:val="00955F0F"/>
    <w:rsid w:val="00956DE5"/>
    <w:rsid w:val="00960951"/>
    <w:rsid w:val="00960C5B"/>
    <w:rsid w:val="00962224"/>
    <w:rsid w:val="009625A7"/>
    <w:rsid w:val="00962B2B"/>
    <w:rsid w:val="00962C16"/>
    <w:rsid w:val="00963511"/>
    <w:rsid w:val="0096459E"/>
    <w:rsid w:val="00964E97"/>
    <w:rsid w:val="00966136"/>
    <w:rsid w:val="009712DE"/>
    <w:rsid w:val="00971CA2"/>
    <w:rsid w:val="00971F13"/>
    <w:rsid w:val="00974066"/>
    <w:rsid w:val="00974F5D"/>
    <w:rsid w:val="00977E08"/>
    <w:rsid w:val="009805D7"/>
    <w:rsid w:val="00982622"/>
    <w:rsid w:val="00983646"/>
    <w:rsid w:val="00984CB6"/>
    <w:rsid w:val="00986A5F"/>
    <w:rsid w:val="00990251"/>
    <w:rsid w:val="009904E6"/>
    <w:rsid w:val="00991F97"/>
    <w:rsid w:val="009928AA"/>
    <w:rsid w:val="00993839"/>
    <w:rsid w:val="00994847"/>
    <w:rsid w:val="0099489B"/>
    <w:rsid w:val="00996DEA"/>
    <w:rsid w:val="00997F18"/>
    <w:rsid w:val="009A092B"/>
    <w:rsid w:val="009A1671"/>
    <w:rsid w:val="009A2639"/>
    <w:rsid w:val="009A2843"/>
    <w:rsid w:val="009A284B"/>
    <w:rsid w:val="009A42D9"/>
    <w:rsid w:val="009A62D8"/>
    <w:rsid w:val="009A6D4F"/>
    <w:rsid w:val="009A71BB"/>
    <w:rsid w:val="009B25F5"/>
    <w:rsid w:val="009B2963"/>
    <w:rsid w:val="009B3195"/>
    <w:rsid w:val="009B338B"/>
    <w:rsid w:val="009B3B28"/>
    <w:rsid w:val="009B4317"/>
    <w:rsid w:val="009B4EED"/>
    <w:rsid w:val="009B5EF3"/>
    <w:rsid w:val="009C10AF"/>
    <w:rsid w:val="009C1A3C"/>
    <w:rsid w:val="009C1A8A"/>
    <w:rsid w:val="009C3C21"/>
    <w:rsid w:val="009C471E"/>
    <w:rsid w:val="009C677D"/>
    <w:rsid w:val="009C7C46"/>
    <w:rsid w:val="009C7D83"/>
    <w:rsid w:val="009D2062"/>
    <w:rsid w:val="009D2B8F"/>
    <w:rsid w:val="009D2CF5"/>
    <w:rsid w:val="009D359F"/>
    <w:rsid w:val="009D3D1E"/>
    <w:rsid w:val="009D53BF"/>
    <w:rsid w:val="009E1029"/>
    <w:rsid w:val="009E2860"/>
    <w:rsid w:val="009F038E"/>
    <w:rsid w:val="009F04B0"/>
    <w:rsid w:val="009F1926"/>
    <w:rsid w:val="009F40D3"/>
    <w:rsid w:val="009F4E5D"/>
    <w:rsid w:val="00A00982"/>
    <w:rsid w:val="00A01E56"/>
    <w:rsid w:val="00A02773"/>
    <w:rsid w:val="00A05EAA"/>
    <w:rsid w:val="00A10F95"/>
    <w:rsid w:val="00A14AC5"/>
    <w:rsid w:val="00A15782"/>
    <w:rsid w:val="00A20D57"/>
    <w:rsid w:val="00A22DB5"/>
    <w:rsid w:val="00A2367A"/>
    <w:rsid w:val="00A23F46"/>
    <w:rsid w:val="00A243AD"/>
    <w:rsid w:val="00A268FA"/>
    <w:rsid w:val="00A31CEA"/>
    <w:rsid w:val="00A32415"/>
    <w:rsid w:val="00A32754"/>
    <w:rsid w:val="00A32B03"/>
    <w:rsid w:val="00A33337"/>
    <w:rsid w:val="00A34108"/>
    <w:rsid w:val="00A349F7"/>
    <w:rsid w:val="00A36003"/>
    <w:rsid w:val="00A41972"/>
    <w:rsid w:val="00A44EA8"/>
    <w:rsid w:val="00A51EE8"/>
    <w:rsid w:val="00A51F22"/>
    <w:rsid w:val="00A533BE"/>
    <w:rsid w:val="00A539A9"/>
    <w:rsid w:val="00A54933"/>
    <w:rsid w:val="00A5607E"/>
    <w:rsid w:val="00A561F5"/>
    <w:rsid w:val="00A56660"/>
    <w:rsid w:val="00A56FC7"/>
    <w:rsid w:val="00A60461"/>
    <w:rsid w:val="00A60553"/>
    <w:rsid w:val="00A6075F"/>
    <w:rsid w:val="00A616C2"/>
    <w:rsid w:val="00A638F1"/>
    <w:rsid w:val="00A63CC7"/>
    <w:rsid w:val="00A64912"/>
    <w:rsid w:val="00A6780A"/>
    <w:rsid w:val="00A679F2"/>
    <w:rsid w:val="00A71123"/>
    <w:rsid w:val="00A724D7"/>
    <w:rsid w:val="00A72E18"/>
    <w:rsid w:val="00A731BC"/>
    <w:rsid w:val="00A7481F"/>
    <w:rsid w:val="00A7643B"/>
    <w:rsid w:val="00A77AF8"/>
    <w:rsid w:val="00A84A5F"/>
    <w:rsid w:val="00A85BC4"/>
    <w:rsid w:val="00A86C0F"/>
    <w:rsid w:val="00A870B5"/>
    <w:rsid w:val="00A93BC7"/>
    <w:rsid w:val="00A95E33"/>
    <w:rsid w:val="00A97407"/>
    <w:rsid w:val="00A978BE"/>
    <w:rsid w:val="00AA1509"/>
    <w:rsid w:val="00AA19C9"/>
    <w:rsid w:val="00AA3504"/>
    <w:rsid w:val="00AA50D5"/>
    <w:rsid w:val="00AA5941"/>
    <w:rsid w:val="00AA5F62"/>
    <w:rsid w:val="00AA69F0"/>
    <w:rsid w:val="00AA6D14"/>
    <w:rsid w:val="00AB29A9"/>
    <w:rsid w:val="00AB3E9E"/>
    <w:rsid w:val="00AB5F1F"/>
    <w:rsid w:val="00AB5F74"/>
    <w:rsid w:val="00AB7547"/>
    <w:rsid w:val="00AC27DD"/>
    <w:rsid w:val="00AC44EF"/>
    <w:rsid w:val="00AD0D2F"/>
    <w:rsid w:val="00AD1B4F"/>
    <w:rsid w:val="00AD347A"/>
    <w:rsid w:val="00AD41A7"/>
    <w:rsid w:val="00AD5C88"/>
    <w:rsid w:val="00AE3592"/>
    <w:rsid w:val="00AE78D2"/>
    <w:rsid w:val="00AF0AF5"/>
    <w:rsid w:val="00AF0F0B"/>
    <w:rsid w:val="00AF38EE"/>
    <w:rsid w:val="00AF4593"/>
    <w:rsid w:val="00AF6659"/>
    <w:rsid w:val="00B00DDA"/>
    <w:rsid w:val="00B04421"/>
    <w:rsid w:val="00B07351"/>
    <w:rsid w:val="00B106E1"/>
    <w:rsid w:val="00B122E1"/>
    <w:rsid w:val="00B14EEC"/>
    <w:rsid w:val="00B15E3B"/>
    <w:rsid w:val="00B16ECA"/>
    <w:rsid w:val="00B21DD2"/>
    <w:rsid w:val="00B24157"/>
    <w:rsid w:val="00B242FD"/>
    <w:rsid w:val="00B24BD0"/>
    <w:rsid w:val="00B24F7F"/>
    <w:rsid w:val="00B25609"/>
    <w:rsid w:val="00B3116B"/>
    <w:rsid w:val="00B31598"/>
    <w:rsid w:val="00B31CAD"/>
    <w:rsid w:val="00B37D93"/>
    <w:rsid w:val="00B401A0"/>
    <w:rsid w:val="00B41AC6"/>
    <w:rsid w:val="00B4222F"/>
    <w:rsid w:val="00B4502B"/>
    <w:rsid w:val="00B4537E"/>
    <w:rsid w:val="00B46CA9"/>
    <w:rsid w:val="00B47971"/>
    <w:rsid w:val="00B50169"/>
    <w:rsid w:val="00B508B3"/>
    <w:rsid w:val="00B557B7"/>
    <w:rsid w:val="00B56FF5"/>
    <w:rsid w:val="00B63C5E"/>
    <w:rsid w:val="00B7073B"/>
    <w:rsid w:val="00B707C1"/>
    <w:rsid w:val="00B710E7"/>
    <w:rsid w:val="00B73995"/>
    <w:rsid w:val="00B740C1"/>
    <w:rsid w:val="00B802C1"/>
    <w:rsid w:val="00B80B88"/>
    <w:rsid w:val="00B8119F"/>
    <w:rsid w:val="00B83438"/>
    <w:rsid w:val="00B839B3"/>
    <w:rsid w:val="00B83DAC"/>
    <w:rsid w:val="00B852DB"/>
    <w:rsid w:val="00B85C5F"/>
    <w:rsid w:val="00B8725B"/>
    <w:rsid w:val="00B90FD9"/>
    <w:rsid w:val="00B91ABD"/>
    <w:rsid w:val="00B92D9A"/>
    <w:rsid w:val="00B94666"/>
    <w:rsid w:val="00B96D34"/>
    <w:rsid w:val="00B96F65"/>
    <w:rsid w:val="00B97513"/>
    <w:rsid w:val="00B979B2"/>
    <w:rsid w:val="00BA00E0"/>
    <w:rsid w:val="00BA03BB"/>
    <w:rsid w:val="00BA0571"/>
    <w:rsid w:val="00BA08B6"/>
    <w:rsid w:val="00BA1245"/>
    <w:rsid w:val="00BA1904"/>
    <w:rsid w:val="00BA36A4"/>
    <w:rsid w:val="00BA4315"/>
    <w:rsid w:val="00BA4A00"/>
    <w:rsid w:val="00BB0438"/>
    <w:rsid w:val="00BB0663"/>
    <w:rsid w:val="00BB5568"/>
    <w:rsid w:val="00BB5AC9"/>
    <w:rsid w:val="00BB77F5"/>
    <w:rsid w:val="00BC19DE"/>
    <w:rsid w:val="00BC1ACB"/>
    <w:rsid w:val="00BC53D9"/>
    <w:rsid w:val="00BC7B0E"/>
    <w:rsid w:val="00BD1D6A"/>
    <w:rsid w:val="00BD279D"/>
    <w:rsid w:val="00BD58C9"/>
    <w:rsid w:val="00BD6AA8"/>
    <w:rsid w:val="00BD72F7"/>
    <w:rsid w:val="00BE0867"/>
    <w:rsid w:val="00BE51C6"/>
    <w:rsid w:val="00BE5849"/>
    <w:rsid w:val="00BE62C4"/>
    <w:rsid w:val="00BE6AEE"/>
    <w:rsid w:val="00BF13C1"/>
    <w:rsid w:val="00BF13CB"/>
    <w:rsid w:val="00BF40C3"/>
    <w:rsid w:val="00BF50A8"/>
    <w:rsid w:val="00BF635B"/>
    <w:rsid w:val="00BF7148"/>
    <w:rsid w:val="00C0011B"/>
    <w:rsid w:val="00C0193F"/>
    <w:rsid w:val="00C01F4B"/>
    <w:rsid w:val="00C0598C"/>
    <w:rsid w:val="00C069EB"/>
    <w:rsid w:val="00C11632"/>
    <w:rsid w:val="00C12B3F"/>
    <w:rsid w:val="00C14D23"/>
    <w:rsid w:val="00C20267"/>
    <w:rsid w:val="00C20CBE"/>
    <w:rsid w:val="00C2725D"/>
    <w:rsid w:val="00C2765A"/>
    <w:rsid w:val="00C30C42"/>
    <w:rsid w:val="00C31B05"/>
    <w:rsid w:val="00C33358"/>
    <w:rsid w:val="00C339A3"/>
    <w:rsid w:val="00C34986"/>
    <w:rsid w:val="00C35E0A"/>
    <w:rsid w:val="00C41263"/>
    <w:rsid w:val="00C415F0"/>
    <w:rsid w:val="00C42179"/>
    <w:rsid w:val="00C444D3"/>
    <w:rsid w:val="00C45045"/>
    <w:rsid w:val="00C6100D"/>
    <w:rsid w:val="00C610B0"/>
    <w:rsid w:val="00C62814"/>
    <w:rsid w:val="00C62A0C"/>
    <w:rsid w:val="00C6384F"/>
    <w:rsid w:val="00C664E2"/>
    <w:rsid w:val="00C66C70"/>
    <w:rsid w:val="00C67618"/>
    <w:rsid w:val="00C70C50"/>
    <w:rsid w:val="00C7102A"/>
    <w:rsid w:val="00C74BFE"/>
    <w:rsid w:val="00C74EDD"/>
    <w:rsid w:val="00C7536C"/>
    <w:rsid w:val="00C75D29"/>
    <w:rsid w:val="00C76E49"/>
    <w:rsid w:val="00C77367"/>
    <w:rsid w:val="00C7737E"/>
    <w:rsid w:val="00C8023E"/>
    <w:rsid w:val="00C8079F"/>
    <w:rsid w:val="00C80BF5"/>
    <w:rsid w:val="00C80ECF"/>
    <w:rsid w:val="00C8326B"/>
    <w:rsid w:val="00C848F7"/>
    <w:rsid w:val="00C912FD"/>
    <w:rsid w:val="00C94A9C"/>
    <w:rsid w:val="00C95CF1"/>
    <w:rsid w:val="00C96779"/>
    <w:rsid w:val="00C9728B"/>
    <w:rsid w:val="00CA0B48"/>
    <w:rsid w:val="00CA312E"/>
    <w:rsid w:val="00CA38D1"/>
    <w:rsid w:val="00CA4222"/>
    <w:rsid w:val="00CA6C7B"/>
    <w:rsid w:val="00CA7F8D"/>
    <w:rsid w:val="00CB1814"/>
    <w:rsid w:val="00CB18E1"/>
    <w:rsid w:val="00CB1AD5"/>
    <w:rsid w:val="00CB2D5B"/>
    <w:rsid w:val="00CB671F"/>
    <w:rsid w:val="00CC08EE"/>
    <w:rsid w:val="00CC232E"/>
    <w:rsid w:val="00CC3557"/>
    <w:rsid w:val="00CC3681"/>
    <w:rsid w:val="00CC44AC"/>
    <w:rsid w:val="00CC64DA"/>
    <w:rsid w:val="00CD0015"/>
    <w:rsid w:val="00CD0790"/>
    <w:rsid w:val="00CD26E0"/>
    <w:rsid w:val="00CD3472"/>
    <w:rsid w:val="00CD3A12"/>
    <w:rsid w:val="00CD46C8"/>
    <w:rsid w:val="00CD4CA4"/>
    <w:rsid w:val="00CD55DC"/>
    <w:rsid w:val="00CD5BA5"/>
    <w:rsid w:val="00CD5F57"/>
    <w:rsid w:val="00CE1794"/>
    <w:rsid w:val="00CE3039"/>
    <w:rsid w:val="00CE486E"/>
    <w:rsid w:val="00CE5C4E"/>
    <w:rsid w:val="00CE5CB7"/>
    <w:rsid w:val="00CE5F58"/>
    <w:rsid w:val="00CE79A6"/>
    <w:rsid w:val="00CF0261"/>
    <w:rsid w:val="00CF274B"/>
    <w:rsid w:val="00CF27B7"/>
    <w:rsid w:val="00CF2EB3"/>
    <w:rsid w:val="00CF3F89"/>
    <w:rsid w:val="00CF5CF1"/>
    <w:rsid w:val="00D05BB8"/>
    <w:rsid w:val="00D0775A"/>
    <w:rsid w:val="00D07A8F"/>
    <w:rsid w:val="00D10CE6"/>
    <w:rsid w:val="00D11662"/>
    <w:rsid w:val="00D12EF8"/>
    <w:rsid w:val="00D14F99"/>
    <w:rsid w:val="00D16532"/>
    <w:rsid w:val="00D17A5F"/>
    <w:rsid w:val="00D2111D"/>
    <w:rsid w:val="00D22CBE"/>
    <w:rsid w:val="00D23264"/>
    <w:rsid w:val="00D252A6"/>
    <w:rsid w:val="00D2770F"/>
    <w:rsid w:val="00D30ABB"/>
    <w:rsid w:val="00D310D9"/>
    <w:rsid w:val="00D314B2"/>
    <w:rsid w:val="00D3184A"/>
    <w:rsid w:val="00D33BDC"/>
    <w:rsid w:val="00D340FD"/>
    <w:rsid w:val="00D361F4"/>
    <w:rsid w:val="00D4106F"/>
    <w:rsid w:val="00D4174C"/>
    <w:rsid w:val="00D41B42"/>
    <w:rsid w:val="00D42B93"/>
    <w:rsid w:val="00D42DCC"/>
    <w:rsid w:val="00D4393F"/>
    <w:rsid w:val="00D45562"/>
    <w:rsid w:val="00D46A0A"/>
    <w:rsid w:val="00D5083B"/>
    <w:rsid w:val="00D514CF"/>
    <w:rsid w:val="00D51D31"/>
    <w:rsid w:val="00D54DB3"/>
    <w:rsid w:val="00D5576E"/>
    <w:rsid w:val="00D55A62"/>
    <w:rsid w:val="00D55B1F"/>
    <w:rsid w:val="00D56363"/>
    <w:rsid w:val="00D56C9C"/>
    <w:rsid w:val="00D56DBB"/>
    <w:rsid w:val="00D6023F"/>
    <w:rsid w:val="00D61321"/>
    <w:rsid w:val="00D61F65"/>
    <w:rsid w:val="00D6337C"/>
    <w:rsid w:val="00D64407"/>
    <w:rsid w:val="00D652E6"/>
    <w:rsid w:val="00D65EA6"/>
    <w:rsid w:val="00D65F73"/>
    <w:rsid w:val="00D7015F"/>
    <w:rsid w:val="00D745E7"/>
    <w:rsid w:val="00D75638"/>
    <w:rsid w:val="00D775A6"/>
    <w:rsid w:val="00D77724"/>
    <w:rsid w:val="00D77EDD"/>
    <w:rsid w:val="00D8023B"/>
    <w:rsid w:val="00D8106A"/>
    <w:rsid w:val="00D81EAD"/>
    <w:rsid w:val="00D833BD"/>
    <w:rsid w:val="00D84D13"/>
    <w:rsid w:val="00D84E24"/>
    <w:rsid w:val="00D85885"/>
    <w:rsid w:val="00D86812"/>
    <w:rsid w:val="00D87CB7"/>
    <w:rsid w:val="00D92896"/>
    <w:rsid w:val="00D94CF4"/>
    <w:rsid w:val="00D968AB"/>
    <w:rsid w:val="00DA1618"/>
    <w:rsid w:val="00DA1C16"/>
    <w:rsid w:val="00DA374A"/>
    <w:rsid w:val="00DA4247"/>
    <w:rsid w:val="00DA4F39"/>
    <w:rsid w:val="00DA558D"/>
    <w:rsid w:val="00DA5C23"/>
    <w:rsid w:val="00DB055A"/>
    <w:rsid w:val="00DB2331"/>
    <w:rsid w:val="00DB2374"/>
    <w:rsid w:val="00DB6659"/>
    <w:rsid w:val="00DB676B"/>
    <w:rsid w:val="00DC03BA"/>
    <w:rsid w:val="00DC0D4A"/>
    <w:rsid w:val="00DC1B77"/>
    <w:rsid w:val="00DC292A"/>
    <w:rsid w:val="00DC50BA"/>
    <w:rsid w:val="00DC6859"/>
    <w:rsid w:val="00DD111A"/>
    <w:rsid w:val="00DD173D"/>
    <w:rsid w:val="00DD1BEF"/>
    <w:rsid w:val="00DD7468"/>
    <w:rsid w:val="00DD796C"/>
    <w:rsid w:val="00DE1D92"/>
    <w:rsid w:val="00DE2AA4"/>
    <w:rsid w:val="00DE44A0"/>
    <w:rsid w:val="00DE4C4B"/>
    <w:rsid w:val="00DE53C9"/>
    <w:rsid w:val="00DE5A75"/>
    <w:rsid w:val="00DF3011"/>
    <w:rsid w:val="00DF5EAF"/>
    <w:rsid w:val="00DF7598"/>
    <w:rsid w:val="00DF75B9"/>
    <w:rsid w:val="00DF7CF3"/>
    <w:rsid w:val="00E01C35"/>
    <w:rsid w:val="00E01C81"/>
    <w:rsid w:val="00E05982"/>
    <w:rsid w:val="00E07834"/>
    <w:rsid w:val="00E10AC8"/>
    <w:rsid w:val="00E11466"/>
    <w:rsid w:val="00E116D3"/>
    <w:rsid w:val="00E14D8C"/>
    <w:rsid w:val="00E15F9D"/>
    <w:rsid w:val="00E2021F"/>
    <w:rsid w:val="00E206CD"/>
    <w:rsid w:val="00E20D65"/>
    <w:rsid w:val="00E23160"/>
    <w:rsid w:val="00E23DBC"/>
    <w:rsid w:val="00E24345"/>
    <w:rsid w:val="00E251E6"/>
    <w:rsid w:val="00E3122E"/>
    <w:rsid w:val="00E363FC"/>
    <w:rsid w:val="00E37801"/>
    <w:rsid w:val="00E4181B"/>
    <w:rsid w:val="00E42D59"/>
    <w:rsid w:val="00E43C6F"/>
    <w:rsid w:val="00E4597E"/>
    <w:rsid w:val="00E46B63"/>
    <w:rsid w:val="00E51411"/>
    <w:rsid w:val="00E51674"/>
    <w:rsid w:val="00E528F6"/>
    <w:rsid w:val="00E52B1A"/>
    <w:rsid w:val="00E5302C"/>
    <w:rsid w:val="00E548C3"/>
    <w:rsid w:val="00E55C17"/>
    <w:rsid w:val="00E579FA"/>
    <w:rsid w:val="00E60E91"/>
    <w:rsid w:val="00E61D43"/>
    <w:rsid w:val="00E633B5"/>
    <w:rsid w:val="00E63E0E"/>
    <w:rsid w:val="00E64D2F"/>
    <w:rsid w:val="00E67442"/>
    <w:rsid w:val="00E704A7"/>
    <w:rsid w:val="00E710A1"/>
    <w:rsid w:val="00E712E9"/>
    <w:rsid w:val="00E73A4E"/>
    <w:rsid w:val="00E73DD5"/>
    <w:rsid w:val="00E747FF"/>
    <w:rsid w:val="00E75EC9"/>
    <w:rsid w:val="00E762D0"/>
    <w:rsid w:val="00E811E5"/>
    <w:rsid w:val="00E82185"/>
    <w:rsid w:val="00E82E5D"/>
    <w:rsid w:val="00E83E9C"/>
    <w:rsid w:val="00E85CDC"/>
    <w:rsid w:val="00E90420"/>
    <w:rsid w:val="00E904ED"/>
    <w:rsid w:val="00E914A2"/>
    <w:rsid w:val="00E92C47"/>
    <w:rsid w:val="00EA12CE"/>
    <w:rsid w:val="00EA170E"/>
    <w:rsid w:val="00EA24EE"/>
    <w:rsid w:val="00EA2EB7"/>
    <w:rsid w:val="00EA3448"/>
    <w:rsid w:val="00EA56DE"/>
    <w:rsid w:val="00EB12F1"/>
    <w:rsid w:val="00EB3873"/>
    <w:rsid w:val="00EB63B4"/>
    <w:rsid w:val="00EC0286"/>
    <w:rsid w:val="00EC1815"/>
    <w:rsid w:val="00EC66DE"/>
    <w:rsid w:val="00EC7FC8"/>
    <w:rsid w:val="00ED0B9D"/>
    <w:rsid w:val="00ED2F1B"/>
    <w:rsid w:val="00ED3C15"/>
    <w:rsid w:val="00ED40E9"/>
    <w:rsid w:val="00ED4C15"/>
    <w:rsid w:val="00ED7E68"/>
    <w:rsid w:val="00EE1FE3"/>
    <w:rsid w:val="00EE406E"/>
    <w:rsid w:val="00EE40E0"/>
    <w:rsid w:val="00EE443A"/>
    <w:rsid w:val="00EE58B1"/>
    <w:rsid w:val="00EE6AB1"/>
    <w:rsid w:val="00EF056B"/>
    <w:rsid w:val="00EF108D"/>
    <w:rsid w:val="00EF486C"/>
    <w:rsid w:val="00EF49EA"/>
    <w:rsid w:val="00F0033E"/>
    <w:rsid w:val="00F003AA"/>
    <w:rsid w:val="00F065B8"/>
    <w:rsid w:val="00F0690B"/>
    <w:rsid w:val="00F1076D"/>
    <w:rsid w:val="00F13384"/>
    <w:rsid w:val="00F1640A"/>
    <w:rsid w:val="00F17B3B"/>
    <w:rsid w:val="00F17CAF"/>
    <w:rsid w:val="00F20371"/>
    <w:rsid w:val="00F209CF"/>
    <w:rsid w:val="00F21E64"/>
    <w:rsid w:val="00F22FCB"/>
    <w:rsid w:val="00F27ABB"/>
    <w:rsid w:val="00F31387"/>
    <w:rsid w:val="00F35C67"/>
    <w:rsid w:val="00F36A91"/>
    <w:rsid w:val="00F374F3"/>
    <w:rsid w:val="00F40864"/>
    <w:rsid w:val="00F4198D"/>
    <w:rsid w:val="00F41A2B"/>
    <w:rsid w:val="00F42AA7"/>
    <w:rsid w:val="00F43CE4"/>
    <w:rsid w:val="00F43D21"/>
    <w:rsid w:val="00F46F68"/>
    <w:rsid w:val="00F47624"/>
    <w:rsid w:val="00F544A7"/>
    <w:rsid w:val="00F54821"/>
    <w:rsid w:val="00F54835"/>
    <w:rsid w:val="00F56C78"/>
    <w:rsid w:val="00F56F3D"/>
    <w:rsid w:val="00F56FB9"/>
    <w:rsid w:val="00F605A5"/>
    <w:rsid w:val="00F63A69"/>
    <w:rsid w:val="00F6751E"/>
    <w:rsid w:val="00F67C01"/>
    <w:rsid w:val="00F704D9"/>
    <w:rsid w:val="00F71A4A"/>
    <w:rsid w:val="00F71A6A"/>
    <w:rsid w:val="00F720F1"/>
    <w:rsid w:val="00F7277C"/>
    <w:rsid w:val="00F7534E"/>
    <w:rsid w:val="00F76E1A"/>
    <w:rsid w:val="00F77678"/>
    <w:rsid w:val="00F82AC7"/>
    <w:rsid w:val="00F8355C"/>
    <w:rsid w:val="00F83DCA"/>
    <w:rsid w:val="00F857FC"/>
    <w:rsid w:val="00F85E49"/>
    <w:rsid w:val="00F86A2F"/>
    <w:rsid w:val="00F8717F"/>
    <w:rsid w:val="00F87F9D"/>
    <w:rsid w:val="00F93142"/>
    <w:rsid w:val="00F93A2E"/>
    <w:rsid w:val="00F93FB9"/>
    <w:rsid w:val="00F94C98"/>
    <w:rsid w:val="00F97B72"/>
    <w:rsid w:val="00FA0ABE"/>
    <w:rsid w:val="00FA1EEB"/>
    <w:rsid w:val="00FA4F8D"/>
    <w:rsid w:val="00FA7306"/>
    <w:rsid w:val="00FB01DE"/>
    <w:rsid w:val="00FB0B54"/>
    <w:rsid w:val="00FB3713"/>
    <w:rsid w:val="00FB7D6F"/>
    <w:rsid w:val="00FC0B2D"/>
    <w:rsid w:val="00FC4043"/>
    <w:rsid w:val="00FC5195"/>
    <w:rsid w:val="00FC6055"/>
    <w:rsid w:val="00FC6662"/>
    <w:rsid w:val="00FC7116"/>
    <w:rsid w:val="00FC7847"/>
    <w:rsid w:val="00FC7DCB"/>
    <w:rsid w:val="00FD09FC"/>
    <w:rsid w:val="00FD0C40"/>
    <w:rsid w:val="00FD3818"/>
    <w:rsid w:val="00FD387E"/>
    <w:rsid w:val="00FD4667"/>
    <w:rsid w:val="00FD7AA0"/>
    <w:rsid w:val="00FE2846"/>
    <w:rsid w:val="00FE4601"/>
    <w:rsid w:val="00FE66F0"/>
    <w:rsid w:val="00FE70FB"/>
    <w:rsid w:val="00FF16C6"/>
    <w:rsid w:val="00FF3CBA"/>
    <w:rsid w:val="00FF5ABA"/>
    <w:rsid w:val="00FF7ADB"/>
    <w:rsid w:val="02912108"/>
    <w:rsid w:val="0B2608E1"/>
    <w:rsid w:val="0CC1D942"/>
    <w:rsid w:val="0E4F5891"/>
    <w:rsid w:val="133BE965"/>
    <w:rsid w:val="15BA572F"/>
    <w:rsid w:val="168A0246"/>
    <w:rsid w:val="1764E69A"/>
    <w:rsid w:val="176FE366"/>
    <w:rsid w:val="1C0D6E5D"/>
    <w:rsid w:val="1DA64673"/>
    <w:rsid w:val="245089A2"/>
    <w:rsid w:val="25347A5F"/>
    <w:rsid w:val="26D04AC0"/>
    <w:rsid w:val="2B5D1638"/>
    <w:rsid w:val="2C13C2AE"/>
    <w:rsid w:val="2DAF930F"/>
    <w:rsid w:val="2E17E164"/>
    <w:rsid w:val="2E2A9863"/>
    <w:rsid w:val="2EAA1103"/>
    <w:rsid w:val="30578477"/>
    <w:rsid w:val="35A31E5B"/>
    <w:rsid w:val="36E5DD64"/>
    <w:rsid w:val="3ABD4F0A"/>
    <w:rsid w:val="3C9ED223"/>
    <w:rsid w:val="3E234A0B"/>
    <w:rsid w:val="41E973B0"/>
    <w:rsid w:val="4290FCA5"/>
    <w:rsid w:val="439EB2A6"/>
    <w:rsid w:val="4740FD5E"/>
    <w:rsid w:val="477791B3"/>
    <w:rsid w:val="482A4315"/>
    <w:rsid w:val="49842643"/>
    <w:rsid w:val="4BCB07D7"/>
    <w:rsid w:val="4C11017C"/>
    <w:rsid w:val="4CCA8F98"/>
    <w:rsid w:val="4DA6AC70"/>
    <w:rsid w:val="4E665FF9"/>
    <w:rsid w:val="5002305A"/>
    <w:rsid w:val="513CAFA9"/>
    <w:rsid w:val="53FDA320"/>
    <w:rsid w:val="5D7A7B51"/>
    <w:rsid w:val="5F9CD3FE"/>
    <w:rsid w:val="623705D7"/>
    <w:rsid w:val="62E3B15B"/>
    <w:rsid w:val="6962C166"/>
    <w:rsid w:val="6B5A2227"/>
    <w:rsid w:val="6C78953E"/>
    <w:rsid w:val="6F34B15A"/>
    <w:rsid w:val="70C25602"/>
    <w:rsid w:val="728589CD"/>
    <w:rsid w:val="7462FC6C"/>
    <w:rsid w:val="7487874E"/>
    <w:rsid w:val="75C1269E"/>
    <w:rsid w:val="77D89E63"/>
    <w:rsid w:val="7B6744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CE248"/>
  <w14:defaultImageDpi w14:val="300"/>
  <w15:docId w15:val="{B943C6B6-0B4C-4382-8536-BACF3F02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015"/>
    <w:pPr>
      <w:keepNext/>
      <w:keepLines/>
      <w:spacing w:before="240"/>
      <w:outlineLvl w:val="0"/>
    </w:pPr>
    <w:rPr>
      <w:rFonts w:ascii="Verdana" w:eastAsiaTheme="majorEastAsia" w:hAnsi="Verdana" w:cstheme="majorBidi"/>
      <w:b/>
      <w:color w:val="77328A"/>
      <w:sz w:val="30"/>
      <w:szCs w:val="32"/>
    </w:rPr>
  </w:style>
  <w:style w:type="paragraph" w:styleId="Heading2">
    <w:name w:val="heading 2"/>
    <w:basedOn w:val="Normal"/>
    <w:next w:val="Normal"/>
    <w:link w:val="Heading2Char"/>
    <w:uiPriority w:val="9"/>
    <w:unhideWhenUsed/>
    <w:qFormat/>
    <w:rsid w:val="00564C93"/>
    <w:pPr>
      <w:keepNext/>
      <w:keepLines/>
      <w:spacing w:before="40"/>
      <w:outlineLvl w:val="1"/>
    </w:pPr>
    <w:rPr>
      <w:rFonts w:ascii="Verdana" w:eastAsiaTheme="majorEastAsia" w:hAnsi="Verdana" w:cstheme="majorBidi"/>
      <w:b/>
      <w:color w:val="000000" w:themeColor="text1"/>
      <w:sz w:val="28"/>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Char,Footnote Quot, Char,f"/>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Char Char,Footnote Quo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_"/>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1"/>
    <w:qFormat/>
    <w:rsid w:val="008A4C43"/>
    <w:pPr>
      <w:ind w:left="720"/>
      <w:contextualSpacing/>
    </w:pPr>
  </w:style>
  <w:style w:type="character" w:customStyle="1" w:styleId="Heading1Char">
    <w:name w:val="Heading 1 Char"/>
    <w:basedOn w:val="DefaultParagraphFont"/>
    <w:link w:val="Heading1"/>
    <w:uiPriority w:val="9"/>
    <w:rsid w:val="00CD0015"/>
    <w:rPr>
      <w:rFonts w:ascii="Verdana" w:eastAsiaTheme="majorEastAsia" w:hAnsi="Verdana" w:cstheme="majorBidi"/>
      <w:b/>
      <w:color w:val="77328A"/>
      <w:sz w:val="30"/>
      <w:szCs w:val="32"/>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1D4C18"/>
    <w:pPr>
      <w:spacing w:after="160" w:line="240" w:lineRule="exact"/>
      <w:ind w:left="720"/>
      <w:jc w:val="both"/>
    </w:pPr>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1"/>
    <w:qFormat/>
    <w:locked/>
    <w:rsid w:val="001D4C18"/>
  </w:style>
  <w:style w:type="character" w:customStyle="1" w:styleId="Heading2Char">
    <w:name w:val="Heading 2 Char"/>
    <w:basedOn w:val="DefaultParagraphFont"/>
    <w:link w:val="Heading2"/>
    <w:uiPriority w:val="9"/>
    <w:rsid w:val="00564C93"/>
    <w:rPr>
      <w:rFonts w:ascii="Verdana" w:eastAsiaTheme="majorEastAsia" w:hAnsi="Verdana" w:cstheme="majorBidi"/>
      <w:b/>
      <w:color w:val="000000" w:themeColor="text1"/>
      <w:sz w:val="28"/>
      <w:szCs w:val="26"/>
    </w:rPr>
  </w:style>
  <w:style w:type="character" w:styleId="UnresolvedMention">
    <w:name w:val="Unresolved Mention"/>
    <w:basedOn w:val="DefaultParagraphFont"/>
    <w:uiPriority w:val="99"/>
    <w:semiHidden/>
    <w:unhideWhenUsed/>
    <w:rsid w:val="00B90FD9"/>
    <w:rPr>
      <w:color w:val="605E5C"/>
      <w:shd w:val="clear" w:color="auto" w:fill="E1DFDD"/>
    </w:rPr>
  </w:style>
  <w:style w:type="paragraph" w:customStyle="1" w:styleId="Footnote">
    <w:name w:val="Footnote"/>
    <w:basedOn w:val="FootnoteText"/>
    <w:link w:val="FootnoteChar"/>
    <w:qFormat/>
    <w:rsid w:val="002409F4"/>
    <w:rPr>
      <w:rFonts w:ascii="Verdana" w:eastAsia="Verdana" w:hAnsi="Verdana" w:cs="Verdana"/>
      <w:color w:val="77328A"/>
      <w:sz w:val="16"/>
      <w:szCs w:val="16"/>
      <w:lang w:eastAsia="en-GB"/>
    </w:rPr>
  </w:style>
  <w:style w:type="character" w:customStyle="1" w:styleId="FootnoteChar">
    <w:name w:val="Footnote Char"/>
    <w:basedOn w:val="DefaultParagraphFont"/>
    <w:link w:val="Footnote"/>
    <w:rsid w:val="002409F4"/>
    <w:rPr>
      <w:rFonts w:ascii="Verdana" w:eastAsia="Verdana" w:hAnsi="Verdana" w:cs="Verdana"/>
      <w:color w:val="77328A"/>
      <w:sz w:val="16"/>
      <w:szCs w:val="16"/>
      <w:lang w:eastAsia="en-GB"/>
    </w:rPr>
  </w:style>
  <w:style w:type="paragraph" w:styleId="TOCHeading">
    <w:name w:val="TOC Heading"/>
    <w:basedOn w:val="Heading1"/>
    <w:next w:val="Normal"/>
    <w:uiPriority w:val="39"/>
    <w:unhideWhenUsed/>
    <w:qFormat/>
    <w:rsid w:val="000C036C"/>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4F3E67"/>
    <w:pPr>
      <w:tabs>
        <w:tab w:val="left" w:pos="660"/>
        <w:tab w:val="right" w:leader="dot" w:pos="9848"/>
      </w:tabs>
      <w:spacing w:after="100"/>
    </w:pPr>
    <w:rPr>
      <w:rFonts w:ascii="Verdana" w:hAnsi="Verdana"/>
      <w:b/>
      <w:bCs/>
      <w:noProof/>
    </w:rPr>
  </w:style>
  <w:style w:type="paragraph" w:styleId="TOC2">
    <w:name w:val="toc 2"/>
    <w:basedOn w:val="Normal"/>
    <w:next w:val="Normal"/>
    <w:autoRedefine/>
    <w:uiPriority w:val="39"/>
    <w:unhideWhenUsed/>
    <w:rsid w:val="000C036C"/>
    <w:pPr>
      <w:spacing w:after="100"/>
      <w:ind w:left="24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0011B"/>
    <w:rPr>
      <w:b/>
      <w:bCs/>
    </w:rPr>
  </w:style>
  <w:style w:type="character" w:customStyle="1" w:styleId="CommentSubjectChar">
    <w:name w:val="Comment Subject Char"/>
    <w:basedOn w:val="CommentTextChar"/>
    <w:link w:val="CommentSubject"/>
    <w:uiPriority w:val="99"/>
    <w:semiHidden/>
    <w:rsid w:val="00C0011B"/>
    <w:rPr>
      <w:b/>
      <w:bCs/>
      <w:sz w:val="20"/>
      <w:szCs w:val="20"/>
    </w:rPr>
  </w:style>
  <w:style w:type="paragraph" w:styleId="Revision">
    <w:name w:val="Revision"/>
    <w:hidden/>
    <w:uiPriority w:val="99"/>
    <w:semiHidden/>
    <w:rsid w:val="00CA0B48"/>
  </w:style>
  <w:style w:type="character" w:styleId="Mention">
    <w:name w:val="Mention"/>
    <w:basedOn w:val="DefaultParagraphFont"/>
    <w:uiPriority w:val="99"/>
    <w:unhideWhenUsed/>
    <w:rsid w:val="00685F10"/>
    <w:rPr>
      <w:color w:val="2B579A"/>
      <w:shd w:val="clear" w:color="auto" w:fill="E1DFDD"/>
    </w:rPr>
  </w:style>
  <w:style w:type="paragraph" w:styleId="EndnoteText">
    <w:name w:val="endnote text"/>
    <w:basedOn w:val="Normal"/>
    <w:link w:val="EndnoteTextChar"/>
    <w:uiPriority w:val="99"/>
    <w:semiHidden/>
    <w:unhideWhenUsed/>
    <w:rsid w:val="00AF4593"/>
    <w:rPr>
      <w:sz w:val="20"/>
      <w:szCs w:val="20"/>
    </w:rPr>
  </w:style>
  <w:style w:type="character" w:customStyle="1" w:styleId="EndnoteTextChar">
    <w:name w:val="Endnote Text Char"/>
    <w:basedOn w:val="DefaultParagraphFont"/>
    <w:link w:val="EndnoteText"/>
    <w:uiPriority w:val="99"/>
    <w:semiHidden/>
    <w:rsid w:val="00AF4593"/>
    <w:rPr>
      <w:sz w:val="20"/>
      <w:szCs w:val="20"/>
    </w:rPr>
  </w:style>
  <w:style w:type="character" w:styleId="EndnoteReference">
    <w:name w:val="endnote reference"/>
    <w:basedOn w:val="DefaultParagraphFont"/>
    <w:uiPriority w:val="99"/>
    <w:semiHidden/>
    <w:unhideWhenUsed/>
    <w:rsid w:val="00AF4593"/>
    <w:rPr>
      <w:vertAlign w:val="superscript"/>
    </w:rPr>
  </w:style>
  <w:style w:type="character" w:styleId="FollowedHyperlink">
    <w:name w:val="FollowedHyperlink"/>
    <w:basedOn w:val="DefaultParagraphFont"/>
    <w:uiPriority w:val="99"/>
    <w:semiHidden/>
    <w:unhideWhenUsed/>
    <w:rsid w:val="00041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9754">
      <w:bodyDiv w:val="1"/>
      <w:marLeft w:val="0"/>
      <w:marRight w:val="0"/>
      <w:marTop w:val="0"/>
      <w:marBottom w:val="0"/>
      <w:divBdr>
        <w:top w:val="none" w:sz="0" w:space="0" w:color="auto"/>
        <w:left w:val="none" w:sz="0" w:space="0" w:color="auto"/>
        <w:bottom w:val="none" w:sz="0" w:space="0" w:color="auto"/>
        <w:right w:val="none" w:sz="0" w:space="0" w:color="auto"/>
      </w:divBdr>
    </w:div>
    <w:div w:id="766116381">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500001841">
      <w:bodyDiv w:val="1"/>
      <w:marLeft w:val="0"/>
      <w:marRight w:val="0"/>
      <w:marTop w:val="0"/>
      <w:marBottom w:val="0"/>
      <w:divBdr>
        <w:top w:val="none" w:sz="0" w:space="0" w:color="auto"/>
        <w:left w:val="none" w:sz="0" w:space="0" w:color="auto"/>
        <w:bottom w:val="none" w:sz="0" w:space="0" w:color="auto"/>
        <w:right w:val="none" w:sz="0" w:space="0" w:color="auto"/>
      </w:divBdr>
    </w:div>
    <w:div w:id="1707900114">
      <w:bodyDiv w:val="1"/>
      <w:marLeft w:val="0"/>
      <w:marRight w:val="0"/>
      <w:marTop w:val="0"/>
      <w:marBottom w:val="0"/>
      <w:divBdr>
        <w:top w:val="none" w:sz="0" w:space="0" w:color="auto"/>
        <w:left w:val="none" w:sz="0" w:space="0" w:color="auto"/>
        <w:bottom w:val="none" w:sz="0" w:space="0" w:color="auto"/>
        <w:right w:val="none" w:sz="0" w:space="0" w:color="auto"/>
      </w:divBdr>
    </w:div>
    <w:div w:id="1824350058">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Caughey@NIHR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ntractsfinder.service.gov.uk/Notice/af043016-dd83-4308-8b3c-0d134a3a89c9" TargetMode="External"/><Relationship Id="rId2" Type="http://schemas.openxmlformats.org/officeDocument/2006/relationships/hyperlink" Target="https://www.executiveoffice-ni.gov.uk/articles/racial-equality" TargetMode="External"/><Relationship Id="rId1" Type="http://schemas.openxmlformats.org/officeDocument/2006/relationships/hyperlink" Target="https://www.legislation.gov.uk/ukpga/2018/16/contents/enacted" TargetMode="External"/><Relationship Id="rId5" Type="http://schemas.openxmlformats.org/officeDocument/2006/relationships/hyperlink" Target="https://www.nrpfnetwork.org.uk/information-and-resources/rights-and-entitlements/support-options-for-people-with-nrpf/immigration-options/destitution-domestic-violence-concession" TargetMode="External"/><Relationship Id="rId4" Type="http://schemas.openxmlformats.org/officeDocument/2006/relationships/hyperlink" Target="https://www.gov.uk/asylum-support/what-youll-g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taff%20Information\Branding%20&amp;%20Guidance%20-%20Staff\Templates\27689%20-%20HUMAN%20RIGHTS%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479bdc-b58c-44ab-9f0f-fa5baefb3da2">
      <Terms xmlns="http://schemas.microsoft.com/office/infopath/2007/PartnerControls"/>
    </lcf76f155ced4ddcb4097134ff3c332f>
    <TaxCatchAll xmlns="806d6863-a85d-4a14-ba5d-ada9e5b222dd" xsi:nil="true"/>
    <Date_x002f_Time xmlns="12479bdc-b58c-44ab-9f0f-fa5baefb3da2" xsi:nil="true"/>
  </documentManagement>
</p:properties>
</file>

<file path=customXml/itemProps1.xml><?xml version="1.0" encoding="utf-8"?>
<ds:datastoreItem xmlns:ds="http://schemas.openxmlformats.org/officeDocument/2006/customXml" ds:itemID="{3A384150-B37B-41D5-8D0B-6D64543DD0F5}">
  <ds:schemaRefs>
    <ds:schemaRef ds:uri="http://schemas.openxmlformats.org/officeDocument/2006/bibliography"/>
  </ds:schemaRefs>
</ds:datastoreItem>
</file>

<file path=customXml/itemProps2.xml><?xml version="1.0" encoding="utf-8"?>
<ds:datastoreItem xmlns:ds="http://schemas.openxmlformats.org/officeDocument/2006/customXml" ds:itemID="{C19D53B8-1BD6-4E0A-9E0D-B2BFB6D6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D8F7C-7DC4-4732-B951-2B306E4420F6}">
  <ds:schemaRefs>
    <ds:schemaRef ds:uri="http://schemas.microsoft.com/sharepoint/v3/contenttype/forms"/>
  </ds:schemaRefs>
</ds:datastoreItem>
</file>

<file path=customXml/itemProps4.xml><?xml version="1.0" encoding="utf-8"?>
<ds:datastoreItem xmlns:ds="http://schemas.openxmlformats.org/officeDocument/2006/customXml" ds:itemID="{BC86F525-4C4E-4D94-8900-2A14AABA9D09}">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docProps/app.xml><?xml version="1.0" encoding="utf-8"?>
<Properties xmlns="http://schemas.openxmlformats.org/officeDocument/2006/extended-properties" xmlns:vt="http://schemas.openxmlformats.org/officeDocument/2006/docPropsVTypes">
  <Template>27689 - HUMAN RIGHTS Research</Template>
  <TotalTime>138</TotalTime>
  <Pages>22</Pages>
  <Words>4422</Words>
  <Characters>25212</Characters>
  <Application>Microsoft Office Word</Application>
  <DocSecurity>0</DocSecurity>
  <Lines>210</Lines>
  <Paragraphs>59</Paragraphs>
  <ScaleCrop>false</ScaleCrop>
  <Company>Whitenoise</Company>
  <LinksUpToDate>false</LinksUpToDate>
  <CharactersWithSpaces>29575</CharactersWithSpaces>
  <SharedDoc>false</SharedDoc>
  <HLinks>
    <vt:vector size="204" baseType="variant">
      <vt:variant>
        <vt:i4>6946881</vt:i4>
      </vt:variant>
      <vt:variant>
        <vt:i4>165</vt:i4>
      </vt:variant>
      <vt:variant>
        <vt:i4>0</vt:i4>
      </vt:variant>
      <vt:variant>
        <vt:i4>5</vt:i4>
      </vt:variant>
      <vt:variant>
        <vt:lpwstr>mailto:info@nihrc.org</vt:lpwstr>
      </vt:variant>
      <vt:variant>
        <vt:lpwstr/>
      </vt:variant>
      <vt:variant>
        <vt:i4>4587543</vt:i4>
      </vt:variant>
      <vt:variant>
        <vt:i4>162</vt:i4>
      </vt:variant>
      <vt:variant>
        <vt:i4>0</vt:i4>
      </vt:variant>
      <vt:variant>
        <vt:i4>5</vt:i4>
      </vt:variant>
      <vt:variant>
        <vt:lpwstr>http://www.nihrc.org/</vt:lpwstr>
      </vt:variant>
      <vt:variant>
        <vt:lpwstr/>
      </vt:variant>
      <vt:variant>
        <vt:i4>6881286</vt:i4>
      </vt:variant>
      <vt:variant>
        <vt:i4>159</vt:i4>
      </vt:variant>
      <vt:variant>
        <vt:i4>0</vt:i4>
      </vt:variant>
      <vt:variant>
        <vt:i4>5</vt:i4>
      </vt:variant>
      <vt:variant>
        <vt:lpwstr>mailto:Colin.Caughey@NIHRC.org</vt:lpwstr>
      </vt:variant>
      <vt:variant>
        <vt:lpwstr/>
      </vt:variant>
      <vt:variant>
        <vt:i4>1703998</vt:i4>
      </vt:variant>
      <vt:variant>
        <vt:i4>152</vt:i4>
      </vt:variant>
      <vt:variant>
        <vt:i4>0</vt:i4>
      </vt:variant>
      <vt:variant>
        <vt:i4>5</vt:i4>
      </vt:variant>
      <vt:variant>
        <vt:lpwstr/>
      </vt:variant>
      <vt:variant>
        <vt:lpwstr>_Toc163745897</vt:lpwstr>
      </vt:variant>
      <vt:variant>
        <vt:i4>1703998</vt:i4>
      </vt:variant>
      <vt:variant>
        <vt:i4>146</vt:i4>
      </vt:variant>
      <vt:variant>
        <vt:i4>0</vt:i4>
      </vt:variant>
      <vt:variant>
        <vt:i4>5</vt:i4>
      </vt:variant>
      <vt:variant>
        <vt:lpwstr/>
      </vt:variant>
      <vt:variant>
        <vt:lpwstr>_Toc163745896</vt:lpwstr>
      </vt:variant>
      <vt:variant>
        <vt:i4>1703998</vt:i4>
      </vt:variant>
      <vt:variant>
        <vt:i4>140</vt:i4>
      </vt:variant>
      <vt:variant>
        <vt:i4>0</vt:i4>
      </vt:variant>
      <vt:variant>
        <vt:i4>5</vt:i4>
      </vt:variant>
      <vt:variant>
        <vt:lpwstr/>
      </vt:variant>
      <vt:variant>
        <vt:lpwstr>_Toc163745895</vt:lpwstr>
      </vt:variant>
      <vt:variant>
        <vt:i4>1703998</vt:i4>
      </vt:variant>
      <vt:variant>
        <vt:i4>134</vt:i4>
      </vt:variant>
      <vt:variant>
        <vt:i4>0</vt:i4>
      </vt:variant>
      <vt:variant>
        <vt:i4>5</vt:i4>
      </vt:variant>
      <vt:variant>
        <vt:lpwstr/>
      </vt:variant>
      <vt:variant>
        <vt:lpwstr>_Toc163745894</vt:lpwstr>
      </vt:variant>
      <vt:variant>
        <vt:i4>1703998</vt:i4>
      </vt:variant>
      <vt:variant>
        <vt:i4>128</vt:i4>
      </vt:variant>
      <vt:variant>
        <vt:i4>0</vt:i4>
      </vt:variant>
      <vt:variant>
        <vt:i4>5</vt:i4>
      </vt:variant>
      <vt:variant>
        <vt:lpwstr/>
      </vt:variant>
      <vt:variant>
        <vt:lpwstr>_Toc163745893</vt:lpwstr>
      </vt:variant>
      <vt:variant>
        <vt:i4>1703998</vt:i4>
      </vt:variant>
      <vt:variant>
        <vt:i4>122</vt:i4>
      </vt:variant>
      <vt:variant>
        <vt:i4>0</vt:i4>
      </vt:variant>
      <vt:variant>
        <vt:i4>5</vt:i4>
      </vt:variant>
      <vt:variant>
        <vt:lpwstr/>
      </vt:variant>
      <vt:variant>
        <vt:lpwstr>_Toc163745892</vt:lpwstr>
      </vt:variant>
      <vt:variant>
        <vt:i4>1703998</vt:i4>
      </vt:variant>
      <vt:variant>
        <vt:i4>116</vt:i4>
      </vt:variant>
      <vt:variant>
        <vt:i4>0</vt:i4>
      </vt:variant>
      <vt:variant>
        <vt:i4>5</vt:i4>
      </vt:variant>
      <vt:variant>
        <vt:lpwstr/>
      </vt:variant>
      <vt:variant>
        <vt:lpwstr>_Toc163745891</vt:lpwstr>
      </vt:variant>
      <vt:variant>
        <vt:i4>1703998</vt:i4>
      </vt:variant>
      <vt:variant>
        <vt:i4>110</vt:i4>
      </vt:variant>
      <vt:variant>
        <vt:i4>0</vt:i4>
      </vt:variant>
      <vt:variant>
        <vt:i4>5</vt:i4>
      </vt:variant>
      <vt:variant>
        <vt:lpwstr/>
      </vt:variant>
      <vt:variant>
        <vt:lpwstr>_Toc163745890</vt:lpwstr>
      </vt:variant>
      <vt:variant>
        <vt:i4>1769534</vt:i4>
      </vt:variant>
      <vt:variant>
        <vt:i4>104</vt:i4>
      </vt:variant>
      <vt:variant>
        <vt:i4>0</vt:i4>
      </vt:variant>
      <vt:variant>
        <vt:i4>5</vt:i4>
      </vt:variant>
      <vt:variant>
        <vt:lpwstr/>
      </vt:variant>
      <vt:variant>
        <vt:lpwstr>_Toc163745889</vt:lpwstr>
      </vt:variant>
      <vt:variant>
        <vt:i4>1769534</vt:i4>
      </vt:variant>
      <vt:variant>
        <vt:i4>98</vt:i4>
      </vt:variant>
      <vt:variant>
        <vt:i4>0</vt:i4>
      </vt:variant>
      <vt:variant>
        <vt:i4>5</vt:i4>
      </vt:variant>
      <vt:variant>
        <vt:lpwstr/>
      </vt:variant>
      <vt:variant>
        <vt:lpwstr>_Toc163745888</vt:lpwstr>
      </vt:variant>
      <vt:variant>
        <vt:i4>1769534</vt:i4>
      </vt:variant>
      <vt:variant>
        <vt:i4>92</vt:i4>
      </vt:variant>
      <vt:variant>
        <vt:i4>0</vt:i4>
      </vt:variant>
      <vt:variant>
        <vt:i4>5</vt:i4>
      </vt:variant>
      <vt:variant>
        <vt:lpwstr/>
      </vt:variant>
      <vt:variant>
        <vt:lpwstr>_Toc163745887</vt:lpwstr>
      </vt:variant>
      <vt:variant>
        <vt:i4>1769534</vt:i4>
      </vt:variant>
      <vt:variant>
        <vt:i4>86</vt:i4>
      </vt:variant>
      <vt:variant>
        <vt:i4>0</vt:i4>
      </vt:variant>
      <vt:variant>
        <vt:i4>5</vt:i4>
      </vt:variant>
      <vt:variant>
        <vt:lpwstr/>
      </vt:variant>
      <vt:variant>
        <vt:lpwstr>_Toc163745886</vt:lpwstr>
      </vt:variant>
      <vt:variant>
        <vt:i4>1769534</vt:i4>
      </vt:variant>
      <vt:variant>
        <vt:i4>80</vt:i4>
      </vt:variant>
      <vt:variant>
        <vt:i4>0</vt:i4>
      </vt:variant>
      <vt:variant>
        <vt:i4>5</vt:i4>
      </vt:variant>
      <vt:variant>
        <vt:lpwstr/>
      </vt:variant>
      <vt:variant>
        <vt:lpwstr>_Toc163745885</vt:lpwstr>
      </vt:variant>
      <vt:variant>
        <vt:i4>1769534</vt:i4>
      </vt:variant>
      <vt:variant>
        <vt:i4>74</vt:i4>
      </vt:variant>
      <vt:variant>
        <vt:i4>0</vt:i4>
      </vt:variant>
      <vt:variant>
        <vt:i4>5</vt:i4>
      </vt:variant>
      <vt:variant>
        <vt:lpwstr/>
      </vt:variant>
      <vt:variant>
        <vt:lpwstr>_Toc163745884</vt:lpwstr>
      </vt:variant>
      <vt:variant>
        <vt:i4>1769534</vt:i4>
      </vt:variant>
      <vt:variant>
        <vt:i4>68</vt:i4>
      </vt:variant>
      <vt:variant>
        <vt:i4>0</vt:i4>
      </vt:variant>
      <vt:variant>
        <vt:i4>5</vt:i4>
      </vt:variant>
      <vt:variant>
        <vt:lpwstr/>
      </vt:variant>
      <vt:variant>
        <vt:lpwstr>_Toc163745883</vt:lpwstr>
      </vt:variant>
      <vt:variant>
        <vt:i4>1769534</vt:i4>
      </vt:variant>
      <vt:variant>
        <vt:i4>62</vt:i4>
      </vt:variant>
      <vt:variant>
        <vt:i4>0</vt:i4>
      </vt:variant>
      <vt:variant>
        <vt:i4>5</vt:i4>
      </vt:variant>
      <vt:variant>
        <vt:lpwstr/>
      </vt:variant>
      <vt:variant>
        <vt:lpwstr>_Toc163745882</vt:lpwstr>
      </vt:variant>
      <vt:variant>
        <vt:i4>1769534</vt:i4>
      </vt:variant>
      <vt:variant>
        <vt:i4>56</vt:i4>
      </vt:variant>
      <vt:variant>
        <vt:i4>0</vt:i4>
      </vt:variant>
      <vt:variant>
        <vt:i4>5</vt:i4>
      </vt:variant>
      <vt:variant>
        <vt:lpwstr/>
      </vt:variant>
      <vt:variant>
        <vt:lpwstr>_Toc163745881</vt:lpwstr>
      </vt:variant>
      <vt:variant>
        <vt:i4>1769534</vt:i4>
      </vt:variant>
      <vt:variant>
        <vt:i4>50</vt:i4>
      </vt:variant>
      <vt:variant>
        <vt:i4>0</vt:i4>
      </vt:variant>
      <vt:variant>
        <vt:i4>5</vt:i4>
      </vt:variant>
      <vt:variant>
        <vt:lpwstr/>
      </vt:variant>
      <vt:variant>
        <vt:lpwstr>_Toc163745880</vt:lpwstr>
      </vt:variant>
      <vt:variant>
        <vt:i4>1310782</vt:i4>
      </vt:variant>
      <vt:variant>
        <vt:i4>44</vt:i4>
      </vt:variant>
      <vt:variant>
        <vt:i4>0</vt:i4>
      </vt:variant>
      <vt:variant>
        <vt:i4>5</vt:i4>
      </vt:variant>
      <vt:variant>
        <vt:lpwstr/>
      </vt:variant>
      <vt:variant>
        <vt:lpwstr>_Toc163745879</vt:lpwstr>
      </vt:variant>
      <vt:variant>
        <vt:i4>1310782</vt:i4>
      </vt:variant>
      <vt:variant>
        <vt:i4>38</vt:i4>
      </vt:variant>
      <vt:variant>
        <vt:i4>0</vt:i4>
      </vt:variant>
      <vt:variant>
        <vt:i4>5</vt:i4>
      </vt:variant>
      <vt:variant>
        <vt:lpwstr/>
      </vt:variant>
      <vt:variant>
        <vt:lpwstr>_Toc163745878</vt:lpwstr>
      </vt:variant>
      <vt:variant>
        <vt:i4>1310782</vt:i4>
      </vt:variant>
      <vt:variant>
        <vt:i4>32</vt:i4>
      </vt:variant>
      <vt:variant>
        <vt:i4>0</vt:i4>
      </vt:variant>
      <vt:variant>
        <vt:i4>5</vt:i4>
      </vt:variant>
      <vt:variant>
        <vt:lpwstr/>
      </vt:variant>
      <vt:variant>
        <vt:lpwstr>_Toc163745877</vt:lpwstr>
      </vt:variant>
      <vt:variant>
        <vt:i4>1310782</vt:i4>
      </vt:variant>
      <vt:variant>
        <vt:i4>26</vt:i4>
      </vt:variant>
      <vt:variant>
        <vt:i4>0</vt:i4>
      </vt:variant>
      <vt:variant>
        <vt:i4>5</vt:i4>
      </vt:variant>
      <vt:variant>
        <vt:lpwstr/>
      </vt:variant>
      <vt:variant>
        <vt:lpwstr>_Toc163745876</vt:lpwstr>
      </vt:variant>
      <vt:variant>
        <vt:i4>1310782</vt:i4>
      </vt:variant>
      <vt:variant>
        <vt:i4>20</vt:i4>
      </vt:variant>
      <vt:variant>
        <vt:i4>0</vt:i4>
      </vt:variant>
      <vt:variant>
        <vt:i4>5</vt:i4>
      </vt:variant>
      <vt:variant>
        <vt:lpwstr/>
      </vt:variant>
      <vt:variant>
        <vt:lpwstr>_Toc163745875</vt:lpwstr>
      </vt:variant>
      <vt:variant>
        <vt:i4>1310782</vt:i4>
      </vt:variant>
      <vt:variant>
        <vt:i4>14</vt:i4>
      </vt:variant>
      <vt:variant>
        <vt:i4>0</vt:i4>
      </vt:variant>
      <vt:variant>
        <vt:i4>5</vt:i4>
      </vt:variant>
      <vt:variant>
        <vt:lpwstr/>
      </vt:variant>
      <vt:variant>
        <vt:lpwstr>_Toc163745874</vt:lpwstr>
      </vt:variant>
      <vt:variant>
        <vt:i4>1310782</vt:i4>
      </vt:variant>
      <vt:variant>
        <vt:i4>8</vt:i4>
      </vt:variant>
      <vt:variant>
        <vt:i4>0</vt:i4>
      </vt:variant>
      <vt:variant>
        <vt:i4>5</vt:i4>
      </vt:variant>
      <vt:variant>
        <vt:lpwstr/>
      </vt:variant>
      <vt:variant>
        <vt:lpwstr>_Toc163745873</vt:lpwstr>
      </vt:variant>
      <vt:variant>
        <vt:i4>1310782</vt:i4>
      </vt:variant>
      <vt:variant>
        <vt:i4>2</vt:i4>
      </vt:variant>
      <vt:variant>
        <vt:i4>0</vt:i4>
      </vt:variant>
      <vt:variant>
        <vt:i4>5</vt:i4>
      </vt:variant>
      <vt:variant>
        <vt:lpwstr/>
      </vt:variant>
      <vt:variant>
        <vt:lpwstr>_Toc163745872</vt:lpwstr>
      </vt:variant>
      <vt:variant>
        <vt:i4>3276850</vt:i4>
      </vt:variant>
      <vt:variant>
        <vt:i4>12</vt:i4>
      </vt:variant>
      <vt:variant>
        <vt:i4>0</vt:i4>
      </vt:variant>
      <vt:variant>
        <vt:i4>5</vt:i4>
      </vt:variant>
      <vt:variant>
        <vt:lpwstr>https://www.nrpfnetwork.org.uk/information-and-resources/rights-and-entitlements/support-options-for-people-with-nrpf/immigration-options/destitution-domestic-violence-concession</vt:lpwstr>
      </vt:variant>
      <vt:variant>
        <vt:lpwstr/>
      </vt:variant>
      <vt:variant>
        <vt:i4>1376273</vt:i4>
      </vt:variant>
      <vt:variant>
        <vt:i4>9</vt:i4>
      </vt:variant>
      <vt:variant>
        <vt:i4>0</vt:i4>
      </vt:variant>
      <vt:variant>
        <vt:i4>5</vt:i4>
      </vt:variant>
      <vt:variant>
        <vt:lpwstr>https://www.gov.uk/asylum-support/what-youll-get</vt:lpwstr>
      </vt:variant>
      <vt:variant>
        <vt:lpwstr/>
      </vt:variant>
      <vt:variant>
        <vt:i4>7864361</vt:i4>
      </vt:variant>
      <vt:variant>
        <vt:i4>6</vt:i4>
      </vt:variant>
      <vt:variant>
        <vt:i4>0</vt:i4>
      </vt:variant>
      <vt:variant>
        <vt:i4>5</vt:i4>
      </vt:variant>
      <vt:variant>
        <vt:lpwstr>https://www.contractsfinder.service.gov.uk/Notice/af043016-dd83-4308-8b3c-0d134a3a89c9</vt:lpwstr>
      </vt:variant>
      <vt:variant>
        <vt:lpwstr/>
      </vt:variant>
      <vt:variant>
        <vt:i4>7143529</vt:i4>
      </vt:variant>
      <vt:variant>
        <vt:i4>3</vt:i4>
      </vt:variant>
      <vt:variant>
        <vt:i4>0</vt:i4>
      </vt:variant>
      <vt:variant>
        <vt:i4>5</vt:i4>
      </vt:variant>
      <vt:variant>
        <vt:lpwstr>https://www.executiveoffice-ni.gov.uk/articles/racial-equality</vt:lpwstr>
      </vt:variant>
      <vt:variant>
        <vt:lpwstr/>
      </vt:variant>
      <vt:variant>
        <vt:i4>1179734</vt:i4>
      </vt:variant>
      <vt:variant>
        <vt:i4>0</vt:i4>
      </vt:variant>
      <vt:variant>
        <vt:i4>0</vt:i4>
      </vt:variant>
      <vt:variant>
        <vt:i4>5</vt:i4>
      </vt:variant>
      <vt:variant>
        <vt:lpwstr>https://www.legislation.gov.uk/ukpga/2018/16/contents/enacted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Emma Osborne</cp:lastModifiedBy>
  <cp:revision>10</cp:revision>
  <cp:lastPrinted>2024-05-03T11:46:00Z</cp:lastPrinted>
  <dcterms:created xsi:type="dcterms:W3CDTF">2024-04-24T08:52:00Z</dcterms:created>
  <dcterms:modified xsi:type="dcterms:W3CDTF">2024-05-03T11:46:00Z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0x010100F41320E77E35C644A511CBC5C12B0A0B</vt:lpwstr>
  </property>
</Properties>
</file>