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4C53" w14:textId="77777777" w:rsidR="00F31387" w:rsidRDefault="00F31387" w:rsidP="003B7D0E">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52ED4076" wp14:editId="72CEE314">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01B4E266" w14:textId="77777777" w:rsidR="003B7D0E" w:rsidRPr="00EA12CE" w:rsidRDefault="003B7D0E" w:rsidP="003B7D0E">
      <w:pPr>
        <w:pStyle w:val="BasicParagraph"/>
        <w:suppressAutoHyphens/>
        <w:jc w:val="center"/>
        <w:rPr>
          <w:rFonts w:ascii="Verdana" w:hAnsi="Verdana" w:cs="Arial"/>
          <w:b/>
          <w:bCs/>
          <w:color w:val="734791"/>
          <w:sz w:val="36"/>
          <w:szCs w:val="36"/>
        </w:rPr>
      </w:pPr>
    </w:p>
    <w:p w14:paraId="135E1928" w14:textId="52B5016F" w:rsidR="0096459E" w:rsidRPr="003B7D0E" w:rsidRDefault="007100E4" w:rsidP="007100E4">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 xml:space="preserve">NIHRC Response to the Committee </w:t>
      </w:r>
      <w:r w:rsidR="00A931D1">
        <w:rPr>
          <w:rFonts w:ascii="Verdana" w:hAnsi="Verdana" w:cs="Arial"/>
          <w:b/>
          <w:bCs/>
          <w:color w:val="77328A"/>
          <w:sz w:val="36"/>
          <w:szCs w:val="36"/>
        </w:rPr>
        <w:t xml:space="preserve">for Health </w:t>
      </w:r>
      <w:r>
        <w:rPr>
          <w:rFonts w:ascii="Verdana" w:hAnsi="Verdana" w:cs="Arial"/>
          <w:b/>
          <w:bCs/>
          <w:color w:val="77328A"/>
          <w:sz w:val="36"/>
          <w:szCs w:val="36"/>
        </w:rPr>
        <w:t xml:space="preserve">Call for Evidence: Abortion </w:t>
      </w:r>
      <w:r w:rsidR="008671EF">
        <w:rPr>
          <w:rFonts w:ascii="Verdana" w:hAnsi="Verdana" w:cs="Arial"/>
          <w:b/>
          <w:bCs/>
          <w:color w:val="77328A"/>
          <w:sz w:val="36"/>
          <w:szCs w:val="36"/>
        </w:rPr>
        <w:t xml:space="preserve">Services </w:t>
      </w:r>
      <w:r>
        <w:rPr>
          <w:rFonts w:ascii="Verdana" w:hAnsi="Verdana" w:cs="Arial"/>
          <w:b/>
          <w:bCs/>
          <w:color w:val="77328A"/>
          <w:sz w:val="36"/>
          <w:szCs w:val="36"/>
        </w:rPr>
        <w:t xml:space="preserve">(Safe </w:t>
      </w:r>
      <w:r w:rsidR="008671EF">
        <w:rPr>
          <w:rFonts w:ascii="Verdana" w:hAnsi="Verdana" w:cs="Arial"/>
          <w:b/>
          <w:bCs/>
          <w:color w:val="77328A"/>
          <w:sz w:val="36"/>
          <w:szCs w:val="36"/>
        </w:rPr>
        <w:t xml:space="preserve">Access </w:t>
      </w:r>
      <w:r>
        <w:rPr>
          <w:rFonts w:ascii="Verdana" w:hAnsi="Verdana" w:cs="Arial"/>
          <w:b/>
          <w:bCs/>
          <w:color w:val="77328A"/>
          <w:sz w:val="36"/>
          <w:szCs w:val="36"/>
        </w:rPr>
        <w:t xml:space="preserve">Zones) Bill </w:t>
      </w:r>
    </w:p>
    <w:p w14:paraId="1BF7CC8E" w14:textId="77777777" w:rsidR="00F31387" w:rsidRPr="00331C61" w:rsidRDefault="00F31387" w:rsidP="003B7D0E">
      <w:pPr>
        <w:pStyle w:val="Default"/>
        <w:spacing w:line="288" w:lineRule="auto"/>
        <w:jc w:val="center"/>
        <w:rPr>
          <w:rFonts w:cs="Arial"/>
          <w:color w:val="232120"/>
          <w:sz w:val="36"/>
          <w:szCs w:val="36"/>
        </w:rPr>
      </w:pPr>
    </w:p>
    <w:p w14:paraId="0C6F36D6" w14:textId="77777777" w:rsidR="008159E8" w:rsidRPr="00331C61" w:rsidRDefault="00230CB7" w:rsidP="003B7D0E">
      <w:pPr>
        <w:spacing w:line="288" w:lineRule="auto"/>
        <w:jc w:val="center"/>
        <w:rPr>
          <w:rFonts w:cs="Arial"/>
          <w:b/>
          <w:color w:val="232120"/>
          <w:sz w:val="30"/>
          <w:szCs w:val="30"/>
        </w:rPr>
      </w:pPr>
      <w:r>
        <w:rPr>
          <w:rFonts w:cs="Arial"/>
          <w:b/>
          <w:color w:val="232120"/>
          <w:sz w:val="30"/>
          <w:szCs w:val="30"/>
        </w:rPr>
        <w:t>November</w:t>
      </w:r>
      <w:r w:rsidR="007100E4">
        <w:rPr>
          <w:rFonts w:cs="Arial"/>
          <w:b/>
          <w:color w:val="232120"/>
          <w:sz w:val="30"/>
          <w:szCs w:val="30"/>
        </w:rPr>
        <w:t xml:space="preserve"> 2021</w:t>
      </w:r>
    </w:p>
    <w:p w14:paraId="21975BA7" w14:textId="77777777" w:rsidR="00046705" w:rsidRPr="00331C61" w:rsidRDefault="00046705" w:rsidP="003B7D0E">
      <w:pPr>
        <w:spacing w:line="288" w:lineRule="auto"/>
        <w:jc w:val="center"/>
        <w:rPr>
          <w:rFonts w:cs="Arial"/>
          <w:b/>
          <w:color w:val="232120"/>
          <w:sz w:val="28"/>
          <w:szCs w:val="28"/>
        </w:rPr>
      </w:pPr>
    </w:p>
    <w:p w14:paraId="46A3DA14" w14:textId="77777777" w:rsidR="00046705" w:rsidRPr="00331C61" w:rsidRDefault="00046705" w:rsidP="003B7D0E">
      <w:pPr>
        <w:spacing w:line="288" w:lineRule="auto"/>
        <w:jc w:val="center"/>
        <w:rPr>
          <w:rFonts w:cs="Arial"/>
          <w:b/>
          <w:color w:val="232120"/>
          <w:sz w:val="28"/>
          <w:szCs w:val="28"/>
        </w:rPr>
      </w:pPr>
    </w:p>
    <w:p w14:paraId="16F204E3" w14:textId="77777777" w:rsidR="00EA12CE" w:rsidRPr="00331C61" w:rsidRDefault="00EA12CE" w:rsidP="003B7D0E">
      <w:pPr>
        <w:pStyle w:val="Default"/>
        <w:spacing w:line="288" w:lineRule="auto"/>
        <w:jc w:val="center"/>
        <w:rPr>
          <w:rFonts w:cs="Arial"/>
          <w:b/>
          <w:color w:val="232120"/>
          <w:sz w:val="28"/>
          <w:szCs w:val="28"/>
          <w:lang w:val="en-GB"/>
        </w:rPr>
      </w:pPr>
    </w:p>
    <w:p w14:paraId="5DB24737" w14:textId="77777777" w:rsidR="003B7D0E" w:rsidRPr="00331C61" w:rsidRDefault="003B7D0E" w:rsidP="003B7D0E">
      <w:pPr>
        <w:pStyle w:val="Default"/>
        <w:spacing w:line="480" w:lineRule="auto"/>
        <w:jc w:val="center"/>
        <w:rPr>
          <w:rFonts w:cs="Arial"/>
          <w:b/>
          <w:color w:val="232120"/>
          <w:sz w:val="36"/>
          <w:szCs w:val="36"/>
        </w:rPr>
      </w:pPr>
    </w:p>
    <w:p w14:paraId="1B62DF27" w14:textId="77777777" w:rsidR="003B7D0E" w:rsidRDefault="003B7D0E" w:rsidP="003B7D0E">
      <w:pPr>
        <w:pStyle w:val="Default"/>
        <w:spacing w:line="480" w:lineRule="auto"/>
        <w:jc w:val="center"/>
        <w:rPr>
          <w:rFonts w:cs="Arial"/>
          <w:b/>
          <w:color w:val="232120"/>
          <w:sz w:val="36"/>
          <w:szCs w:val="36"/>
        </w:rPr>
      </w:pPr>
    </w:p>
    <w:p w14:paraId="3B178A4C" w14:textId="77777777" w:rsidR="0096459E" w:rsidRPr="00331C61" w:rsidRDefault="0096459E" w:rsidP="003B7D0E">
      <w:pPr>
        <w:pStyle w:val="Default"/>
        <w:spacing w:line="480" w:lineRule="auto"/>
        <w:jc w:val="center"/>
        <w:rPr>
          <w:rFonts w:cs="Arial"/>
          <w:b/>
          <w:color w:val="232120"/>
          <w:sz w:val="36"/>
          <w:szCs w:val="36"/>
        </w:rPr>
      </w:pPr>
    </w:p>
    <w:p w14:paraId="1121691E" w14:textId="77777777" w:rsidR="003B7D0E" w:rsidRPr="00331C61" w:rsidRDefault="003B7D0E" w:rsidP="003B7D0E">
      <w:pPr>
        <w:pStyle w:val="Default"/>
        <w:spacing w:line="480" w:lineRule="auto"/>
        <w:jc w:val="center"/>
        <w:rPr>
          <w:rFonts w:cs="Arial"/>
          <w:b/>
          <w:color w:val="232120"/>
          <w:sz w:val="36"/>
          <w:szCs w:val="36"/>
        </w:rPr>
      </w:pPr>
    </w:p>
    <w:p w14:paraId="49CA5FC4" w14:textId="77777777" w:rsidR="00412DB6" w:rsidRDefault="00412DB6" w:rsidP="00331C61">
      <w:pPr>
        <w:pStyle w:val="Default"/>
        <w:spacing w:line="480" w:lineRule="auto"/>
        <w:rPr>
          <w:rFonts w:cs="Arial"/>
          <w:b/>
          <w:color w:val="77328A"/>
          <w:sz w:val="30"/>
          <w:szCs w:val="30"/>
        </w:rPr>
      </w:pPr>
    </w:p>
    <w:sdt>
      <w:sdtPr>
        <w:rPr>
          <w:rFonts w:cstheme="minorBidi"/>
          <w:color w:val="auto"/>
          <w:lang w:val="en-GB"/>
        </w:rPr>
        <w:id w:val="941111856"/>
        <w:docPartObj>
          <w:docPartGallery w:val="Table of Contents"/>
          <w:docPartUnique/>
        </w:docPartObj>
      </w:sdtPr>
      <w:sdtEndPr>
        <w:rPr>
          <w:b/>
          <w:bCs/>
          <w:noProof/>
        </w:rPr>
      </w:sdtEndPr>
      <w:sdtContent>
        <w:p w14:paraId="73C8C10F" w14:textId="77777777" w:rsidR="00230CB7" w:rsidRPr="00230CB7" w:rsidRDefault="00230CB7" w:rsidP="00230CB7">
          <w:pPr>
            <w:pStyle w:val="Default"/>
            <w:spacing w:line="480" w:lineRule="auto"/>
            <w:rPr>
              <w:rFonts w:cs="Arial"/>
              <w:b/>
              <w:color w:val="77328A"/>
              <w:sz w:val="30"/>
              <w:szCs w:val="30"/>
            </w:rPr>
          </w:pPr>
          <w:r w:rsidRPr="00412DB6">
            <w:rPr>
              <w:rFonts w:cs="Arial"/>
              <w:b/>
              <w:color w:val="77328A"/>
              <w:sz w:val="30"/>
              <w:szCs w:val="30"/>
            </w:rPr>
            <w:t>Table of Contents</w:t>
          </w:r>
        </w:p>
        <w:p w14:paraId="2C60FBA5" w14:textId="0466B699" w:rsidR="002926E3" w:rsidRDefault="00230CB7">
          <w:pPr>
            <w:pStyle w:val="TOC1"/>
            <w:rPr>
              <w:rFonts w:asciiTheme="minorHAnsi" w:hAnsiTheme="minorHAnsi"/>
              <w:b w:val="0"/>
              <w:sz w:val="22"/>
              <w:szCs w:val="22"/>
              <w:lang w:eastAsia="en-GB"/>
            </w:rPr>
          </w:pPr>
          <w:r>
            <w:fldChar w:fldCharType="begin"/>
          </w:r>
          <w:r>
            <w:instrText xml:space="preserve"> TOC \o "1-3" \h \z \u </w:instrText>
          </w:r>
          <w:r>
            <w:fldChar w:fldCharType="separate"/>
          </w:r>
          <w:hyperlink w:anchor="_Toc87636817" w:history="1">
            <w:r w:rsidR="002926E3" w:rsidRPr="00C955E1">
              <w:rPr>
                <w:rStyle w:val="Hyperlink"/>
              </w:rPr>
              <w:t>Summary of Recommendations</w:t>
            </w:r>
            <w:r w:rsidR="002926E3">
              <w:rPr>
                <w:webHidden/>
              </w:rPr>
              <w:tab/>
            </w:r>
            <w:r w:rsidR="002926E3">
              <w:rPr>
                <w:webHidden/>
              </w:rPr>
              <w:fldChar w:fldCharType="begin"/>
            </w:r>
            <w:r w:rsidR="002926E3">
              <w:rPr>
                <w:webHidden/>
              </w:rPr>
              <w:instrText xml:space="preserve"> PAGEREF _Toc87636817 \h </w:instrText>
            </w:r>
            <w:r w:rsidR="002926E3">
              <w:rPr>
                <w:webHidden/>
              </w:rPr>
            </w:r>
            <w:r w:rsidR="002926E3">
              <w:rPr>
                <w:webHidden/>
              </w:rPr>
              <w:fldChar w:fldCharType="separate"/>
            </w:r>
            <w:r w:rsidR="005E52F6">
              <w:rPr>
                <w:webHidden/>
              </w:rPr>
              <w:t>3</w:t>
            </w:r>
            <w:r w:rsidR="002926E3">
              <w:rPr>
                <w:webHidden/>
              </w:rPr>
              <w:fldChar w:fldCharType="end"/>
            </w:r>
          </w:hyperlink>
        </w:p>
        <w:p w14:paraId="1FA2B24C" w14:textId="4DEC5414" w:rsidR="002926E3" w:rsidRDefault="005E52F6">
          <w:pPr>
            <w:pStyle w:val="TOC1"/>
            <w:rPr>
              <w:rFonts w:asciiTheme="minorHAnsi" w:hAnsiTheme="minorHAnsi"/>
              <w:b w:val="0"/>
              <w:sz w:val="22"/>
              <w:szCs w:val="22"/>
              <w:lang w:eastAsia="en-GB"/>
            </w:rPr>
          </w:pPr>
          <w:hyperlink w:anchor="_Toc87636818" w:history="1">
            <w:r w:rsidR="002926E3" w:rsidRPr="00C955E1">
              <w:rPr>
                <w:rStyle w:val="Hyperlink"/>
              </w:rPr>
              <w:t>1.0</w:t>
            </w:r>
            <w:r w:rsidR="002926E3">
              <w:rPr>
                <w:rFonts w:asciiTheme="minorHAnsi" w:hAnsiTheme="minorHAnsi"/>
                <w:b w:val="0"/>
                <w:sz w:val="22"/>
                <w:szCs w:val="22"/>
                <w:lang w:eastAsia="en-GB"/>
              </w:rPr>
              <w:tab/>
            </w:r>
            <w:r w:rsidR="002926E3" w:rsidRPr="00C955E1">
              <w:rPr>
                <w:rStyle w:val="Hyperlink"/>
              </w:rPr>
              <w:t>Introduction</w:t>
            </w:r>
            <w:r w:rsidR="002926E3">
              <w:rPr>
                <w:webHidden/>
              </w:rPr>
              <w:tab/>
            </w:r>
            <w:r w:rsidR="002926E3">
              <w:rPr>
                <w:webHidden/>
              </w:rPr>
              <w:fldChar w:fldCharType="begin"/>
            </w:r>
            <w:r w:rsidR="002926E3">
              <w:rPr>
                <w:webHidden/>
              </w:rPr>
              <w:instrText xml:space="preserve"> PAGEREF _Toc87636818 \h </w:instrText>
            </w:r>
            <w:r w:rsidR="002926E3">
              <w:rPr>
                <w:webHidden/>
              </w:rPr>
            </w:r>
            <w:r w:rsidR="002926E3">
              <w:rPr>
                <w:webHidden/>
              </w:rPr>
              <w:fldChar w:fldCharType="separate"/>
            </w:r>
            <w:r>
              <w:rPr>
                <w:webHidden/>
              </w:rPr>
              <w:t>5</w:t>
            </w:r>
            <w:r w:rsidR="002926E3">
              <w:rPr>
                <w:webHidden/>
              </w:rPr>
              <w:fldChar w:fldCharType="end"/>
            </w:r>
          </w:hyperlink>
        </w:p>
        <w:p w14:paraId="3F9EE0C8" w14:textId="1F1920CB" w:rsidR="002926E3" w:rsidRDefault="005E52F6">
          <w:pPr>
            <w:pStyle w:val="TOC1"/>
            <w:rPr>
              <w:rFonts w:asciiTheme="minorHAnsi" w:hAnsiTheme="minorHAnsi"/>
              <w:b w:val="0"/>
              <w:sz w:val="22"/>
              <w:szCs w:val="22"/>
              <w:lang w:eastAsia="en-GB"/>
            </w:rPr>
          </w:pPr>
          <w:hyperlink w:anchor="_Toc87636819" w:history="1">
            <w:r w:rsidR="002926E3" w:rsidRPr="00C955E1">
              <w:rPr>
                <w:rStyle w:val="Hyperlink"/>
              </w:rPr>
              <w:t>2.0</w:t>
            </w:r>
            <w:r w:rsidR="002926E3">
              <w:rPr>
                <w:rFonts w:asciiTheme="minorHAnsi" w:hAnsiTheme="minorHAnsi"/>
                <w:b w:val="0"/>
                <w:sz w:val="22"/>
                <w:szCs w:val="22"/>
                <w:lang w:eastAsia="en-GB"/>
              </w:rPr>
              <w:tab/>
            </w:r>
            <w:r w:rsidR="002926E3" w:rsidRPr="00C955E1">
              <w:rPr>
                <w:rStyle w:val="Hyperlink"/>
              </w:rPr>
              <w:t>Human Rights Standards</w:t>
            </w:r>
            <w:r w:rsidR="002926E3">
              <w:rPr>
                <w:webHidden/>
              </w:rPr>
              <w:tab/>
            </w:r>
            <w:r w:rsidR="002926E3">
              <w:rPr>
                <w:webHidden/>
              </w:rPr>
              <w:fldChar w:fldCharType="begin"/>
            </w:r>
            <w:r w:rsidR="002926E3">
              <w:rPr>
                <w:webHidden/>
              </w:rPr>
              <w:instrText xml:space="preserve"> PAGEREF _Toc87636819 \h </w:instrText>
            </w:r>
            <w:r w:rsidR="002926E3">
              <w:rPr>
                <w:webHidden/>
              </w:rPr>
            </w:r>
            <w:r w:rsidR="002926E3">
              <w:rPr>
                <w:webHidden/>
              </w:rPr>
              <w:fldChar w:fldCharType="separate"/>
            </w:r>
            <w:r>
              <w:rPr>
                <w:webHidden/>
              </w:rPr>
              <w:t>6</w:t>
            </w:r>
            <w:r w:rsidR="002926E3">
              <w:rPr>
                <w:webHidden/>
              </w:rPr>
              <w:fldChar w:fldCharType="end"/>
            </w:r>
          </w:hyperlink>
        </w:p>
        <w:p w14:paraId="4D2223F5" w14:textId="393AADCB" w:rsidR="002926E3" w:rsidRDefault="005E52F6">
          <w:pPr>
            <w:pStyle w:val="TOC2"/>
            <w:tabs>
              <w:tab w:val="right" w:leader="dot" w:pos="9848"/>
            </w:tabs>
            <w:rPr>
              <w:rFonts w:asciiTheme="minorHAnsi" w:hAnsiTheme="minorHAnsi"/>
              <w:noProof/>
              <w:sz w:val="22"/>
              <w:szCs w:val="22"/>
              <w:lang w:eastAsia="en-GB"/>
            </w:rPr>
          </w:pPr>
          <w:hyperlink w:anchor="_Toc87636820" w:history="1">
            <w:r w:rsidR="002926E3" w:rsidRPr="00C955E1">
              <w:rPr>
                <w:rStyle w:val="Hyperlink"/>
                <w:noProof/>
              </w:rPr>
              <w:t>European Convention on Human Rights (ECHR)</w:t>
            </w:r>
            <w:r w:rsidR="002926E3">
              <w:rPr>
                <w:noProof/>
                <w:webHidden/>
              </w:rPr>
              <w:tab/>
            </w:r>
            <w:r w:rsidR="002926E3">
              <w:rPr>
                <w:noProof/>
                <w:webHidden/>
              </w:rPr>
              <w:fldChar w:fldCharType="begin"/>
            </w:r>
            <w:r w:rsidR="002926E3">
              <w:rPr>
                <w:noProof/>
                <w:webHidden/>
              </w:rPr>
              <w:instrText xml:space="preserve"> PAGEREF _Toc87636820 \h </w:instrText>
            </w:r>
            <w:r w:rsidR="002926E3">
              <w:rPr>
                <w:noProof/>
                <w:webHidden/>
              </w:rPr>
            </w:r>
            <w:r w:rsidR="002926E3">
              <w:rPr>
                <w:noProof/>
                <w:webHidden/>
              </w:rPr>
              <w:fldChar w:fldCharType="separate"/>
            </w:r>
            <w:r>
              <w:rPr>
                <w:noProof/>
                <w:webHidden/>
              </w:rPr>
              <w:t>7</w:t>
            </w:r>
            <w:r w:rsidR="002926E3">
              <w:rPr>
                <w:noProof/>
                <w:webHidden/>
              </w:rPr>
              <w:fldChar w:fldCharType="end"/>
            </w:r>
          </w:hyperlink>
        </w:p>
        <w:p w14:paraId="31CA5CE6" w14:textId="36521B4A" w:rsidR="002926E3" w:rsidRDefault="005E52F6">
          <w:pPr>
            <w:pStyle w:val="TOC1"/>
            <w:rPr>
              <w:rFonts w:asciiTheme="minorHAnsi" w:hAnsiTheme="minorHAnsi"/>
              <w:b w:val="0"/>
              <w:sz w:val="22"/>
              <w:szCs w:val="22"/>
              <w:lang w:eastAsia="en-GB"/>
            </w:rPr>
          </w:pPr>
          <w:hyperlink w:anchor="_Toc87636821" w:history="1">
            <w:r w:rsidR="002926E3" w:rsidRPr="00C955E1">
              <w:rPr>
                <w:rStyle w:val="Hyperlink"/>
              </w:rPr>
              <w:t>3.0</w:t>
            </w:r>
            <w:r w:rsidR="002926E3">
              <w:rPr>
                <w:rFonts w:asciiTheme="minorHAnsi" w:hAnsiTheme="minorHAnsi"/>
                <w:b w:val="0"/>
                <w:sz w:val="22"/>
                <w:szCs w:val="22"/>
                <w:lang w:eastAsia="en-GB"/>
              </w:rPr>
              <w:tab/>
            </w:r>
            <w:r w:rsidR="002926E3" w:rsidRPr="00C955E1">
              <w:rPr>
                <w:rStyle w:val="Hyperlink"/>
              </w:rPr>
              <w:t>General Comments on the Bill</w:t>
            </w:r>
            <w:r w:rsidR="002926E3">
              <w:rPr>
                <w:webHidden/>
              </w:rPr>
              <w:tab/>
            </w:r>
            <w:r w:rsidR="002926E3">
              <w:rPr>
                <w:webHidden/>
              </w:rPr>
              <w:fldChar w:fldCharType="begin"/>
            </w:r>
            <w:r w:rsidR="002926E3">
              <w:rPr>
                <w:webHidden/>
              </w:rPr>
              <w:instrText xml:space="preserve"> PAGEREF _Toc87636821 \h </w:instrText>
            </w:r>
            <w:r w:rsidR="002926E3">
              <w:rPr>
                <w:webHidden/>
              </w:rPr>
            </w:r>
            <w:r w:rsidR="002926E3">
              <w:rPr>
                <w:webHidden/>
              </w:rPr>
              <w:fldChar w:fldCharType="separate"/>
            </w:r>
            <w:r>
              <w:rPr>
                <w:webHidden/>
              </w:rPr>
              <w:t>11</w:t>
            </w:r>
            <w:r w:rsidR="002926E3">
              <w:rPr>
                <w:webHidden/>
              </w:rPr>
              <w:fldChar w:fldCharType="end"/>
            </w:r>
          </w:hyperlink>
        </w:p>
        <w:p w14:paraId="3B5AB6CD" w14:textId="6ABB640C" w:rsidR="002926E3" w:rsidRDefault="005E52F6">
          <w:pPr>
            <w:pStyle w:val="TOC2"/>
            <w:tabs>
              <w:tab w:val="right" w:leader="dot" w:pos="9848"/>
            </w:tabs>
            <w:rPr>
              <w:rFonts w:asciiTheme="minorHAnsi" w:hAnsiTheme="minorHAnsi"/>
              <w:noProof/>
              <w:sz w:val="22"/>
              <w:szCs w:val="22"/>
              <w:lang w:eastAsia="en-GB"/>
            </w:rPr>
          </w:pPr>
          <w:hyperlink w:anchor="_Toc87636822" w:history="1">
            <w:r w:rsidR="002926E3" w:rsidRPr="00C955E1">
              <w:rPr>
                <w:rStyle w:val="Hyperlink"/>
                <w:noProof/>
              </w:rPr>
              <w:t>Safe Access Zone</w:t>
            </w:r>
            <w:r w:rsidR="002926E3">
              <w:rPr>
                <w:noProof/>
                <w:webHidden/>
              </w:rPr>
              <w:tab/>
            </w:r>
            <w:r w:rsidR="002926E3">
              <w:rPr>
                <w:noProof/>
                <w:webHidden/>
              </w:rPr>
              <w:fldChar w:fldCharType="begin"/>
            </w:r>
            <w:r w:rsidR="002926E3">
              <w:rPr>
                <w:noProof/>
                <w:webHidden/>
              </w:rPr>
              <w:instrText xml:space="preserve"> PAGEREF _Toc87636822 \h </w:instrText>
            </w:r>
            <w:r w:rsidR="002926E3">
              <w:rPr>
                <w:noProof/>
                <w:webHidden/>
              </w:rPr>
            </w:r>
            <w:r w:rsidR="002926E3">
              <w:rPr>
                <w:noProof/>
                <w:webHidden/>
              </w:rPr>
              <w:fldChar w:fldCharType="separate"/>
            </w:r>
            <w:r>
              <w:rPr>
                <w:noProof/>
                <w:webHidden/>
              </w:rPr>
              <w:t>11</w:t>
            </w:r>
            <w:r w:rsidR="002926E3">
              <w:rPr>
                <w:noProof/>
                <w:webHidden/>
              </w:rPr>
              <w:fldChar w:fldCharType="end"/>
            </w:r>
          </w:hyperlink>
        </w:p>
        <w:p w14:paraId="2223A8BF" w14:textId="62BD519F" w:rsidR="002926E3" w:rsidRDefault="005E52F6">
          <w:pPr>
            <w:pStyle w:val="TOC2"/>
            <w:tabs>
              <w:tab w:val="right" w:leader="dot" w:pos="9848"/>
            </w:tabs>
            <w:rPr>
              <w:rFonts w:asciiTheme="minorHAnsi" w:hAnsiTheme="minorHAnsi"/>
              <w:noProof/>
              <w:sz w:val="22"/>
              <w:szCs w:val="22"/>
              <w:lang w:eastAsia="en-GB"/>
            </w:rPr>
          </w:pPr>
          <w:hyperlink w:anchor="_Toc87636823" w:history="1">
            <w:r w:rsidR="002926E3" w:rsidRPr="00C955E1">
              <w:rPr>
                <w:rStyle w:val="Hyperlink"/>
                <w:noProof/>
              </w:rPr>
              <w:t>Offences in respect of a safe access zone</w:t>
            </w:r>
            <w:r w:rsidR="002926E3">
              <w:rPr>
                <w:noProof/>
                <w:webHidden/>
              </w:rPr>
              <w:tab/>
            </w:r>
            <w:r w:rsidR="002926E3">
              <w:rPr>
                <w:noProof/>
                <w:webHidden/>
              </w:rPr>
              <w:fldChar w:fldCharType="begin"/>
            </w:r>
            <w:r w:rsidR="002926E3">
              <w:rPr>
                <w:noProof/>
                <w:webHidden/>
              </w:rPr>
              <w:instrText xml:space="preserve"> PAGEREF _Toc87636823 \h </w:instrText>
            </w:r>
            <w:r w:rsidR="002926E3">
              <w:rPr>
                <w:noProof/>
                <w:webHidden/>
              </w:rPr>
            </w:r>
            <w:r w:rsidR="002926E3">
              <w:rPr>
                <w:noProof/>
                <w:webHidden/>
              </w:rPr>
              <w:fldChar w:fldCharType="separate"/>
            </w:r>
            <w:r>
              <w:rPr>
                <w:noProof/>
                <w:webHidden/>
              </w:rPr>
              <w:t>12</w:t>
            </w:r>
            <w:r w:rsidR="002926E3">
              <w:rPr>
                <w:noProof/>
                <w:webHidden/>
              </w:rPr>
              <w:fldChar w:fldCharType="end"/>
            </w:r>
          </w:hyperlink>
        </w:p>
        <w:p w14:paraId="4D0D6BCC" w14:textId="275C2C2A" w:rsidR="002926E3" w:rsidRDefault="005E52F6">
          <w:pPr>
            <w:pStyle w:val="TOC2"/>
            <w:tabs>
              <w:tab w:val="right" w:leader="dot" w:pos="9848"/>
            </w:tabs>
            <w:rPr>
              <w:rFonts w:asciiTheme="minorHAnsi" w:hAnsiTheme="minorHAnsi"/>
              <w:noProof/>
              <w:sz w:val="22"/>
              <w:szCs w:val="22"/>
              <w:lang w:eastAsia="en-GB"/>
            </w:rPr>
          </w:pPr>
          <w:hyperlink w:anchor="_Toc87636824" w:history="1">
            <w:r w:rsidR="002926E3" w:rsidRPr="00C955E1">
              <w:rPr>
                <w:rStyle w:val="Hyperlink"/>
                <w:noProof/>
              </w:rPr>
              <w:t>Enforcement of a safe access zone by a police constable</w:t>
            </w:r>
            <w:r w:rsidR="002926E3">
              <w:rPr>
                <w:noProof/>
                <w:webHidden/>
              </w:rPr>
              <w:tab/>
            </w:r>
            <w:r w:rsidR="002926E3">
              <w:rPr>
                <w:noProof/>
                <w:webHidden/>
              </w:rPr>
              <w:fldChar w:fldCharType="begin"/>
            </w:r>
            <w:r w:rsidR="002926E3">
              <w:rPr>
                <w:noProof/>
                <w:webHidden/>
              </w:rPr>
              <w:instrText xml:space="preserve"> PAGEREF _Toc87636824 \h </w:instrText>
            </w:r>
            <w:r w:rsidR="002926E3">
              <w:rPr>
                <w:noProof/>
                <w:webHidden/>
              </w:rPr>
            </w:r>
            <w:r w:rsidR="002926E3">
              <w:rPr>
                <w:noProof/>
                <w:webHidden/>
              </w:rPr>
              <w:fldChar w:fldCharType="separate"/>
            </w:r>
            <w:r>
              <w:rPr>
                <w:noProof/>
                <w:webHidden/>
              </w:rPr>
              <w:t>13</w:t>
            </w:r>
            <w:r w:rsidR="002926E3">
              <w:rPr>
                <w:noProof/>
                <w:webHidden/>
              </w:rPr>
              <w:fldChar w:fldCharType="end"/>
            </w:r>
          </w:hyperlink>
        </w:p>
        <w:p w14:paraId="16ED44BB" w14:textId="0FC254BE" w:rsidR="002926E3" w:rsidRDefault="005E52F6">
          <w:pPr>
            <w:pStyle w:val="TOC2"/>
            <w:tabs>
              <w:tab w:val="right" w:leader="dot" w:pos="9848"/>
            </w:tabs>
            <w:rPr>
              <w:rFonts w:asciiTheme="minorHAnsi" w:hAnsiTheme="minorHAnsi"/>
              <w:noProof/>
              <w:sz w:val="22"/>
              <w:szCs w:val="22"/>
              <w:lang w:eastAsia="en-GB"/>
            </w:rPr>
          </w:pPr>
          <w:hyperlink w:anchor="_Toc87636825" w:history="1">
            <w:r w:rsidR="002926E3" w:rsidRPr="00C955E1">
              <w:rPr>
                <w:rStyle w:val="Hyperlink"/>
                <w:noProof/>
              </w:rPr>
              <w:t>Procedure for designating a safe access zone</w:t>
            </w:r>
            <w:r w:rsidR="002926E3">
              <w:rPr>
                <w:noProof/>
                <w:webHidden/>
              </w:rPr>
              <w:tab/>
            </w:r>
            <w:r w:rsidR="002926E3">
              <w:rPr>
                <w:noProof/>
                <w:webHidden/>
              </w:rPr>
              <w:fldChar w:fldCharType="begin"/>
            </w:r>
            <w:r w:rsidR="002926E3">
              <w:rPr>
                <w:noProof/>
                <w:webHidden/>
              </w:rPr>
              <w:instrText xml:space="preserve"> PAGEREF _Toc87636825 \h </w:instrText>
            </w:r>
            <w:r w:rsidR="002926E3">
              <w:rPr>
                <w:noProof/>
                <w:webHidden/>
              </w:rPr>
            </w:r>
            <w:r w:rsidR="002926E3">
              <w:rPr>
                <w:noProof/>
                <w:webHidden/>
              </w:rPr>
              <w:fldChar w:fldCharType="separate"/>
            </w:r>
            <w:r>
              <w:rPr>
                <w:noProof/>
                <w:webHidden/>
              </w:rPr>
              <w:t>14</w:t>
            </w:r>
            <w:r w:rsidR="002926E3">
              <w:rPr>
                <w:noProof/>
                <w:webHidden/>
              </w:rPr>
              <w:fldChar w:fldCharType="end"/>
            </w:r>
          </w:hyperlink>
        </w:p>
        <w:p w14:paraId="277288AF" w14:textId="17FE7E24" w:rsidR="002926E3" w:rsidRDefault="005E52F6">
          <w:pPr>
            <w:pStyle w:val="TOC2"/>
            <w:tabs>
              <w:tab w:val="right" w:leader="dot" w:pos="9848"/>
            </w:tabs>
            <w:rPr>
              <w:rFonts w:asciiTheme="minorHAnsi" w:hAnsiTheme="minorHAnsi"/>
              <w:noProof/>
              <w:sz w:val="22"/>
              <w:szCs w:val="22"/>
              <w:lang w:eastAsia="en-GB"/>
            </w:rPr>
          </w:pPr>
          <w:hyperlink w:anchor="_Toc87636826" w:history="1">
            <w:r w:rsidR="002926E3" w:rsidRPr="00C955E1">
              <w:rPr>
                <w:rStyle w:val="Hyperlink"/>
                <w:noProof/>
              </w:rPr>
              <w:t>Monitoring of effectiveness of safe access zones</w:t>
            </w:r>
            <w:r w:rsidR="002926E3">
              <w:rPr>
                <w:noProof/>
                <w:webHidden/>
              </w:rPr>
              <w:tab/>
            </w:r>
            <w:r w:rsidR="002926E3">
              <w:rPr>
                <w:noProof/>
                <w:webHidden/>
              </w:rPr>
              <w:fldChar w:fldCharType="begin"/>
            </w:r>
            <w:r w:rsidR="002926E3">
              <w:rPr>
                <w:noProof/>
                <w:webHidden/>
              </w:rPr>
              <w:instrText xml:space="preserve"> PAGEREF _Toc87636826 \h </w:instrText>
            </w:r>
            <w:r w:rsidR="002926E3">
              <w:rPr>
                <w:noProof/>
                <w:webHidden/>
              </w:rPr>
            </w:r>
            <w:r w:rsidR="002926E3">
              <w:rPr>
                <w:noProof/>
                <w:webHidden/>
              </w:rPr>
              <w:fldChar w:fldCharType="separate"/>
            </w:r>
            <w:r>
              <w:rPr>
                <w:noProof/>
                <w:webHidden/>
              </w:rPr>
              <w:t>15</w:t>
            </w:r>
            <w:r w:rsidR="002926E3">
              <w:rPr>
                <w:noProof/>
                <w:webHidden/>
              </w:rPr>
              <w:fldChar w:fldCharType="end"/>
            </w:r>
          </w:hyperlink>
        </w:p>
        <w:p w14:paraId="4ED26B27" w14:textId="6FF277BD" w:rsidR="00230CB7" w:rsidRDefault="00230CB7">
          <w:r>
            <w:rPr>
              <w:b/>
              <w:bCs/>
              <w:noProof/>
            </w:rPr>
            <w:fldChar w:fldCharType="end"/>
          </w:r>
        </w:p>
      </w:sdtContent>
    </w:sdt>
    <w:p w14:paraId="7965A48F" w14:textId="77777777" w:rsidR="00230CB7" w:rsidRDefault="00230CB7" w:rsidP="00331C61">
      <w:pPr>
        <w:pStyle w:val="Default"/>
        <w:spacing w:line="480" w:lineRule="auto"/>
        <w:rPr>
          <w:rFonts w:cs="Arial"/>
          <w:b/>
          <w:color w:val="77328A"/>
          <w:sz w:val="30"/>
          <w:szCs w:val="30"/>
        </w:rPr>
      </w:pPr>
    </w:p>
    <w:p w14:paraId="4B6709A5" w14:textId="77777777" w:rsidR="00230CB7" w:rsidRDefault="00230CB7" w:rsidP="00331C61">
      <w:pPr>
        <w:pStyle w:val="Default"/>
        <w:spacing w:line="480" w:lineRule="auto"/>
        <w:rPr>
          <w:rFonts w:cs="Arial"/>
          <w:b/>
          <w:color w:val="77328A"/>
          <w:sz w:val="30"/>
          <w:szCs w:val="30"/>
        </w:rPr>
      </w:pPr>
    </w:p>
    <w:p w14:paraId="4AE9D6FB" w14:textId="77777777" w:rsidR="00230CB7" w:rsidRDefault="00230CB7" w:rsidP="00331C61">
      <w:pPr>
        <w:pStyle w:val="Default"/>
        <w:spacing w:line="480" w:lineRule="auto"/>
        <w:rPr>
          <w:rFonts w:cs="Arial"/>
          <w:b/>
          <w:color w:val="77328A"/>
          <w:sz w:val="30"/>
          <w:szCs w:val="30"/>
        </w:rPr>
      </w:pPr>
    </w:p>
    <w:p w14:paraId="07E94570" w14:textId="77777777" w:rsidR="00230CB7" w:rsidRDefault="00230CB7" w:rsidP="00331C61">
      <w:pPr>
        <w:pStyle w:val="Default"/>
        <w:spacing w:line="480" w:lineRule="auto"/>
        <w:rPr>
          <w:rFonts w:cs="Arial"/>
          <w:b/>
          <w:color w:val="77328A"/>
          <w:sz w:val="30"/>
          <w:szCs w:val="30"/>
        </w:rPr>
      </w:pPr>
    </w:p>
    <w:p w14:paraId="1B197C88" w14:textId="77777777" w:rsidR="00230CB7" w:rsidRDefault="00230CB7" w:rsidP="00331C61">
      <w:pPr>
        <w:pStyle w:val="Default"/>
        <w:spacing w:line="480" w:lineRule="auto"/>
        <w:rPr>
          <w:rFonts w:cs="Arial"/>
          <w:b/>
          <w:color w:val="77328A"/>
          <w:sz w:val="30"/>
          <w:szCs w:val="30"/>
        </w:rPr>
      </w:pPr>
    </w:p>
    <w:p w14:paraId="3BCB32A4" w14:textId="77777777" w:rsidR="00230CB7" w:rsidRDefault="00230CB7" w:rsidP="00331C61">
      <w:pPr>
        <w:pStyle w:val="Default"/>
        <w:spacing w:line="480" w:lineRule="auto"/>
        <w:rPr>
          <w:rFonts w:cs="Arial"/>
          <w:b/>
          <w:color w:val="77328A"/>
          <w:sz w:val="30"/>
          <w:szCs w:val="30"/>
        </w:rPr>
      </w:pPr>
    </w:p>
    <w:p w14:paraId="7D62911F" w14:textId="77777777" w:rsidR="00230CB7" w:rsidRDefault="00230CB7" w:rsidP="00331C61">
      <w:pPr>
        <w:pStyle w:val="Default"/>
        <w:spacing w:line="480" w:lineRule="auto"/>
        <w:rPr>
          <w:rFonts w:cs="Arial"/>
          <w:b/>
          <w:color w:val="77328A"/>
          <w:sz w:val="30"/>
          <w:szCs w:val="30"/>
        </w:rPr>
      </w:pPr>
    </w:p>
    <w:p w14:paraId="49664068" w14:textId="77777777" w:rsidR="00230CB7" w:rsidRDefault="00230CB7" w:rsidP="00331C61">
      <w:pPr>
        <w:pStyle w:val="Default"/>
        <w:spacing w:line="480" w:lineRule="auto"/>
        <w:rPr>
          <w:rFonts w:cs="Arial"/>
          <w:b/>
          <w:color w:val="77328A"/>
          <w:sz w:val="30"/>
          <w:szCs w:val="30"/>
        </w:rPr>
      </w:pPr>
    </w:p>
    <w:p w14:paraId="72C1B038" w14:textId="77777777" w:rsidR="00230CB7" w:rsidRDefault="00230CB7" w:rsidP="00331C61">
      <w:pPr>
        <w:pStyle w:val="Default"/>
        <w:spacing w:line="480" w:lineRule="auto"/>
        <w:rPr>
          <w:rFonts w:cs="Arial"/>
          <w:b/>
          <w:color w:val="77328A"/>
          <w:sz w:val="30"/>
          <w:szCs w:val="30"/>
        </w:rPr>
      </w:pPr>
    </w:p>
    <w:p w14:paraId="0B923767" w14:textId="77777777" w:rsidR="00230CB7" w:rsidRDefault="00230CB7" w:rsidP="00331C61">
      <w:pPr>
        <w:pStyle w:val="Default"/>
        <w:spacing w:line="480" w:lineRule="auto"/>
        <w:rPr>
          <w:rFonts w:cs="Arial"/>
          <w:b/>
          <w:color w:val="77328A"/>
          <w:sz w:val="30"/>
          <w:szCs w:val="30"/>
        </w:rPr>
      </w:pPr>
    </w:p>
    <w:p w14:paraId="036422FE" w14:textId="77777777" w:rsidR="00230CB7" w:rsidRDefault="00230CB7" w:rsidP="00331C61">
      <w:pPr>
        <w:pStyle w:val="Default"/>
        <w:spacing w:line="480" w:lineRule="auto"/>
        <w:rPr>
          <w:rFonts w:cs="Arial"/>
          <w:b/>
          <w:color w:val="77328A"/>
          <w:sz w:val="30"/>
          <w:szCs w:val="30"/>
        </w:rPr>
      </w:pPr>
    </w:p>
    <w:p w14:paraId="339F2312" w14:textId="77777777" w:rsidR="00230CB7" w:rsidRDefault="00230CB7" w:rsidP="00331C61">
      <w:pPr>
        <w:pStyle w:val="Default"/>
        <w:spacing w:line="480" w:lineRule="auto"/>
        <w:rPr>
          <w:rFonts w:cs="Arial"/>
          <w:b/>
          <w:color w:val="77328A"/>
          <w:sz w:val="30"/>
          <w:szCs w:val="30"/>
        </w:rPr>
      </w:pPr>
    </w:p>
    <w:p w14:paraId="7B11373D" w14:textId="77777777" w:rsidR="00230CB7" w:rsidRPr="00412DB6" w:rsidRDefault="00230CB7" w:rsidP="00331C61">
      <w:pPr>
        <w:pStyle w:val="Default"/>
        <w:spacing w:line="480" w:lineRule="auto"/>
        <w:rPr>
          <w:rFonts w:cs="Arial"/>
          <w:b/>
          <w:color w:val="77328A"/>
          <w:sz w:val="30"/>
          <w:szCs w:val="30"/>
        </w:rPr>
      </w:pPr>
    </w:p>
    <w:p w14:paraId="5E8106DC" w14:textId="77777777" w:rsidR="00412DB6" w:rsidRPr="003B7D0E" w:rsidRDefault="00412DB6" w:rsidP="00412DB6">
      <w:pPr>
        <w:pStyle w:val="Heading1"/>
        <w:rPr>
          <w:color w:val="3C3C3B"/>
        </w:rPr>
      </w:pPr>
      <w:bookmarkStart w:id="0" w:name="_Toc87636817"/>
      <w:r>
        <w:lastRenderedPageBreak/>
        <w:t>Summary of Recommendations</w:t>
      </w:r>
      <w:bookmarkEnd w:id="0"/>
      <w:r>
        <w:t xml:space="preserve"> </w:t>
      </w:r>
    </w:p>
    <w:p w14:paraId="16F10EC0" w14:textId="77777777" w:rsidR="001E79A9" w:rsidRPr="00331C61" w:rsidRDefault="00230CB7" w:rsidP="00331C61">
      <w:pPr>
        <w:pStyle w:val="Default"/>
        <w:spacing w:line="288" w:lineRule="auto"/>
        <w:rPr>
          <w:rFonts w:cs="Arial"/>
          <w:b/>
          <w:color w:val="232120"/>
        </w:rPr>
      </w:pPr>
      <w:r w:rsidRPr="00230CB7">
        <w:rPr>
          <w:rFonts w:cs="Arial"/>
          <w:b/>
          <w:noProof/>
          <w:color w:val="232120"/>
          <w:lang w:val="en-GB" w:eastAsia="en-GB"/>
        </w:rPr>
        <mc:AlternateContent>
          <mc:Choice Requires="wps">
            <w:drawing>
              <wp:anchor distT="45720" distB="45720" distL="114300" distR="114300" simplePos="0" relativeHeight="251659264" behindDoc="0" locked="0" layoutInCell="1" allowOverlap="1" wp14:anchorId="05EA6BE8" wp14:editId="01236F45">
                <wp:simplePos x="0" y="0"/>
                <wp:positionH relativeFrom="margin">
                  <wp:align>right</wp:align>
                </wp:positionH>
                <wp:positionV relativeFrom="paragraph">
                  <wp:posOffset>286384</wp:posOffset>
                </wp:positionV>
                <wp:extent cx="6238875" cy="8601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601075"/>
                        </a:xfrm>
                        <a:prstGeom prst="rect">
                          <a:avLst/>
                        </a:prstGeom>
                        <a:solidFill>
                          <a:srgbClr val="FFFFFF"/>
                        </a:solidFill>
                        <a:ln w="9525">
                          <a:solidFill>
                            <a:srgbClr val="000000"/>
                          </a:solidFill>
                          <a:miter lim="800000"/>
                          <a:headEnd/>
                          <a:tailEnd/>
                        </a:ln>
                      </wps:spPr>
                      <wps:txbx>
                        <w:txbxContent>
                          <w:p w14:paraId="370DC72E" w14:textId="49052782" w:rsidR="004773A1" w:rsidRDefault="006A39A4" w:rsidP="00961BDF">
                            <w:pPr>
                              <w:ind w:left="720" w:hanging="720"/>
                            </w:pPr>
                            <w:r w:rsidRPr="006A39A4">
                              <w:t>2.15</w:t>
                            </w:r>
                            <w:r w:rsidRPr="006A39A4">
                              <w:tab/>
                              <w:t>The Commission recommends the Committee ensure the Department conduct a human rights impact assessment on a case-by-case basis when considering the introduction of a particular safe access zone.</w:t>
                            </w:r>
                          </w:p>
                          <w:p w14:paraId="65C99040" w14:textId="468C7A3A" w:rsidR="006A39A4" w:rsidRDefault="006A39A4"/>
                          <w:p w14:paraId="1639D56B" w14:textId="4A68B7D3" w:rsidR="006A39A4" w:rsidRDefault="006A39A4" w:rsidP="00961BDF">
                            <w:pPr>
                              <w:ind w:left="720" w:hanging="720"/>
                            </w:pPr>
                            <w:r w:rsidRPr="006A39A4">
                              <w:t>2.20</w:t>
                            </w:r>
                            <w:r w:rsidRPr="006A39A4">
                              <w:tab/>
                              <w:t>The Commission recommends that the Department of Health should give due consideration to the jurisprudence of the ECtHR in determining the introduction of safe access zones. The Commission recommends further that the Department of Health should keep pace with upcoming cases of the ECtHR on safe access or buffer zones to ensure legislation can evolve and reflect the decision of the ECtHR and therefore compliance with, not least, the ECHR.</w:t>
                            </w:r>
                          </w:p>
                          <w:p w14:paraId="2E60EEC6" w14:textId="1918FC06" w:rsidR="006A39A4" w:rsidRDefault="006A39A4"/>
                          <w:p w14:paraId="6E893FA5" w14:textId="02262669" w:rsidR="006A39A4" w:rsidRDefault="006A39A4" w:rsidP="00961BDF">
                            <w:pPr>
                              <w:ind w:left="720" w:hanging="720"/>
                            </w:pPr>
                            <w:r w:rsidRPr="006A39A4">
                              <w:t>3.7</w:t>
                            </w:r>
                            <w:r w:rsidRPr="006A39A4">
                              <w:tab/>
                              <w:t>The Commission recommends that the “immediate vicinity” of a safe access zone is carefully considered to ensure protection of the Article 8 ECHR rights of patients and staff while ensuring that limitations on the Articles 9, 10 and 11 ECHR rights of protesters are restricted or limited proportionately. The “immediate vicinity” definition should include provision for multi-purpose sites and take account of the layout of health and social care estates.</w:t>
                            </w:r>
                          </w:p>
                          <w:p w14:paraId="0C9C42B8" w14:textId="1B233987" w:rsidR="006A39A4" w:rsidRDefault="006A39A4"/>
                          <w:p w14:paraId="5735CEF5" w14:textId="77777777" w:rsidR="006A39A4" w:rsidRDefault="006A39A4" w:rsidP="00961BDF">
                            <w:pPr>
                              <w:ind w:left="720" w:hanging="720"/>
                            </w:pPr>
                            <w:r>
                              <w:t>3.12</w:t>
                            </w:r>
                            <w:r>
                              <w:tab/>
                              <w:t xml:space="preserve">The Commission recommends that the Committee propose an amendment to the Bill to ensure the offence of photographing and audio recording as well as video recording is explicitly included within the Bill. The Commission also recommends that the use of posters, leaflets and banners can be a form of harassment. </w:t>
                            </w:r>
                          </w:p>
                          <w:p w14:paraId="465165A5" w14:textId="77777777" w:rsidR="006A39A4" w:rsidRDefault="006A39A4" w:rsidP="006A39A4"/>
                          <w:p w14:paraId="3BB54036" w14:textId="77777777" w:rsidR="006A39A4" w:rsidRDefault="006A39A4" w:rsidP="00961BDF">
                            <w:pPr>
                              <w:ind w:left="720" w:hanging="720"/>
                            </w:pPr>
                            <w:r>
                              <w:t>3.13</w:t>
                            </w:r>
                            <w:r>
                              <w:tab/>
                              <w:t xml:space="preserve">The Commission recommends that chanting and the use of loudspeakers can also be a form of harassment. </w:t>
                            </w:r>
                          </w:p>
                          <w:p w14:paraId="336D2638" w14:textId="77777777" w:rsidR="006A39A4" w:rsidRDefault="006A39A4" w:rsidP="006A39A4"/>
                          <w:p w14:paraId="3162A372" w14:textId="5C309779" w:rsidR="006A39A4" w:rsidRDefault="006A39A4" w:rsidP="00961BDF">
                            <w:pPr>
                              <w:ind w:left="720" w:hanging="720"/>
                            </w:pPr>
                            <w:r>
                              <w:t>3.14</w:t>
                            </w:r>
                            <w:r>
                              <w:tab/>
                              <w:t>The Commission recommends the development of guidance for operators. Such guidance should include notification and dissemination of the nature and extent of the zones.</w:t>
                            </w:r>
                          </w:p>
                          <w:p w14:paraId="4F2FDFC9" w14:textId="203FA2A7" w:rsidR="006A39A4" w:rsidRDefault="006A39A4" w:rsidP="006A39A4"/>
                          <w:p w14:paraId="444FAD65" w14:textId="7CDDCA9F" w:rsidR="006A39A4" w:rsidRDefault="006A39A4" w:rsidP="00961BDF">
                            <w:pPr>
                              <w:ind w:left="720" w:hanging="720"/>
                            </w:pPr>
                            <w:r w:rsidRPr="006A39A4">
                              <w:t>3.17</w:t>
                            </w:r>
                            <w:r w:rsidRPr="006A39A4">
                              <w:tab/>
                              <w:t>The Commission recommends the Bill is amended to ensure a police officer can direct a person to cease taking photographs.</w:t>
                            </w:r>
                          </w:p>
                          <w:p w14:paraId="63B33969" w14:textId="323FC408" w:rsidR="00961BDF" w:rsidRDefault="00961BDF" w:rsidP="006A39A4"/>
                          <w:p w14:paraId="344CA1A9" w14:textId="77777777" w:rsidR="00961BDF" w:rsidRDefault="00961BDF" w:rsidP="00961BDF">
                            <w:pPr>
                              <w:ind w:left="720" w:hanging="720"/>
                            </w:pPr>
                            <w:r>
                              <w:t>3.21</w:t>
                            </w:r>
                            <w:r>
                              <w:tab/>
                              <w:t xml:space="preserve">The Commission recommends the Committee consider an amendment to the Bill to provide the Department with an additional power to introduce a safe access zone, without an application by an operator, where it sees necessary. </w:t>
                            </w:r>
                          </w:p>
                          <w:p w14:paraId="7AE291F4" w14:textId="77777777" w:rsidR="00961BDF" w:rsidRDefault="00961BDF" w:rsidP="00961BDF"/>
                          <w:p w14:paraId="61063B5E" w14:textId="77777777" w:rsidR="00961BDF" w:rsidRDefault="00961BDF" w:rsidP="00961BDF">
                            <w:pPr>
                              <w:ind w:left="720" w:hanging="720"/>
                            </w:pPr>
                            <w:r>
                              <w:t>3.22</w:t>
                            </w:r>
                            <w:r>
                              <w:tab/>
                              <w:t xml:space="preserve">The Commission recommends the Department ensure consultation on safe access zones extends to surrounding business owners and residents where appropriate.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A6BE8" id="_x0000_t202" coordsize="21600,21600" o:spt="202" path="m,l,21600r21600,l21600,xe">
                <v:stroke joinstyle="miter"/>
                <v:path gradientshapeok="t" o:connecttype="rect"/>
              </v:shapetype>
              <v:shape id="Text Box 2" o:spid="_x0000_s1026" type="#_x0000_t202" style="position:absolute;margin-left:440.05pt;margin-top:22.55pt;width:491.25pt;height:67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">
                <v:textbox>
                  <w:txbxContent>
                    <w:p w14:paraId="370DC72E" w14:textId="49052782" w:rsidR="004773A1" w:rsidRDefault="006A39A4" w:rsidP="00961BDF">
                      <w:pPr>
                        <w:ind w:left="720" w:hanging="720"/>
                      </w:pPr>
                      <w:r w:rsidRPr="006A39A4">
                        <w:t>2.15</w:t>
                      </w:r>
                      <w:r w:rsidRPr="006A39A4">
                        <w:tab/>
                        <w:t>The Commission recommends the Committee ensure the Department conduct a human rights impact assessment on a case-by-case basis when considering the introduction of a particular safe access zone.</w:t>
                      </w:r>
                    </w:p>
                    <w:p w14:paraId="65C99040" w14:textId="468C7A3A" w:rsidR="006A39A4" w:rsidRDefault="006A39A4"/>
                    <w:p w14:paraId="1639D56B" w14:textId="4A68B7D3" w:rsidR="006A39A4" w:rsidRDefault="006A39A4" w:rsidP="00961BDF">
                      <w:pPr>
                        <w:ind w:left="720" w:hanging="720"/>
                      </w:pPr>
                      <w:r w:rsidRPr="006A39A4">
                        <w:t>2.20</w:t>
                      </w:r>
                      <w:r w:rsidRPr="006A39A4">
                        <w:tab/>
                        <w:t>The Commission recommends that the Department of Health should give due consideration to the jurisprudence of the ECtHR in determining the introduction of safe access zones. The Commission recommends further that the Department of Health should keep pace with upcoming cases of the ECtHR on safe access or buffer zones to ensure legislation can evolve and reflect the decision of the ECtHR and therefore compliance with, not least, the ECHR.</w:t>
                      </w:r>
                    </w:p>
                    <w:p w14:paraId="2E60EEC6" w14:textId="1918FC06" w:rsidR="006A39A4" w:rsidRDefault="006A39A4"/>
                    <w:p w14:paraId="6E893FA5" w14:textId="02262669" w:rsidR="006A39A4" w:rsidRDefault="006A39A4" w:rsidP="00961BDF">
                      <w:pPr>
                        <w:ind w:left="720" w:hanging="720"/>
                      </w:pPr>
                      <w:r w:rsidRPr="006A39A4">
                        <w:t>3.7</w:t>
                      </w:r>
                      <w:r w:rsidRPr="006A39A4">
                        <w:tab/>
                        <w:t>The Commission recommends that the “immediate vicinity” of a safe access zone is carefully considered to ensure protection of the Article 8 ECHR rights of patients and staff while ensuring that limitations on the Articles 9, 10 and 11 ECHR rights of protesters are restricted or limited proportionately. The “immediate vicinity” definition should include provision for multi-purpose sites and take account of the layout of health and social care estates.</w:t>
                      </w:r>
                    </w:p>
                    <w:p w14:paraId="0C9C42B8" w14:textId="1B233987" w:rsidR="006A39A4" w:rsidRDefault="006A39A4"/>
                    <w:p w14:paraId="5735CEF5" w14:textId="77777777" w:rsidR="006A39A4" w:rsidRDefault="006A39A4" w:rsidP="00961BDF">
                      <w:pPr>
                        <w:ind w:left="720" w:hanging="720"/>
                      </w:pPr>
                      <w:r>
                        <w:t>3.12</w:t>
                      </w:r>
                      <w:r>
                        <w:tab/>
                        <w:t xml:space="preserve">The Commission recommends that the Committee propose an amendment to the Bill to ensure the offence of photographing and audio recording as well as video recording is explicitly included within the Bill. The Commission also recommends that the use of posters, leaflets and banners can be a form of harassment. </w:t>
                      </w:r>
                    </w:p>
                    <w:p w14:paraId="465165A5" w14:textId="77777777" w:rsidR="006A39A4" w:rsidRDefault="006A39A4" w:rsidP="006A39A4"/>
                    <w:p w14:paraId="3BB54036" w14:textId="77777777" w:rsidR="006A39A4" w:rsidRDefault="006A39A4" w:rsidP="00961BDF">
                      <w:pPr>
                        <w:ind w:left="720" w:hanging="720"/>
                      </w:pPr>
                      <w:r>
                        <w:t>3.13</w:t>
                      </w:r>
                      <w:r>
                        <w:tab/>
                        <w:t xml:space="preserve">The Commission recommends that chanting and the use of loudspeakers can also be a form of harassment. </w:t>
                      </w:r>
                    </w:p>
                    <w:p w14:paraId="336D2638" w14:textId="77777777" w:rsidR="006A39A4" w:rsidRDefault="006A39A4" w:rsidP="006A39A4"/>
                    <w:p w14:paraId="3162A372" w14:textId="5C309779" w:rsidR="006A39A4" w:rsidRDefault="006A39A4" w:rsidP="00961BDF">
                      <w:pPr>
                        <w:ind w:left="720" w:hanging="720"/>
                      </w:pPr>
                      <w:r>
                        <w:t>3.14</w:t>
                      </w:r>
                      <w:r>
                        <w:tab/>
                        <w:t>The Commission recommends the development of guidance for operators. Such guidance should include notification and dissemination of the nature and extent of the zones.</w:t>
                      </w:r>
                    </w:p>
                    <w:p w14:paraId="4F2FDFC9" w14:textId="203FA2A7" w:rsidR="006A39A4" w:rsidRDefault="006A39A4" w:rsidP="006A39A4"/>
                    <w:p w14:paraId="444FAD65" w14:textId="7CDDCA9F" w:rsidR="006A39A4" w:rsidRDefault="006A39A4" w:rsidP="00961BDF">
                      <w:pPr>
                        <w:ind w:left="720" w:hanging="720"/>
                      </w:pPr>
                      <w:r w:rsidRPr="006A39A4">
                        <w:t>3.17</w:t>
                      </w:r>
                      <w:r w:rsidRPr="006A39A4">
                        <w:tab/>
                        <w:t>The Commission recommends the Bill is amended to ensure a police officer can direct a person to cease taking photographs.</w:t>
                      </w:r>
                    </w:p>
                    <w:p w14:paraId="63B33969" w14:textId="323FC408" w:rsidR="00961BDF" w:rsidRDefault="00961BDF" w:rsidP="006A39A4"/>
                    <w:p w14:paraId="344CA1A9" w14:textId="77777777" w:rsidR="00961BDF" w:rsidRDefault="00961BDF" w:rsidP="00961BDF">
                      <w:pPr>
                        <w:ind w:left="720" w:hanging="720"/>
                      </w:pPr>
                      <w:r>
                        <w:t>3.21</w:t>
                      </w:r>
                      <w:r>
                        <w:tab/>
                        <w:t xml:space="preserve">The Commission recommends the Committee consider an amendment to the Bill to provide the Department with an additional power to introduce a safe access zone, without an application by an operator, where it sees necessary. </w:t>
                      </w:r>
                    </w:p>
                    <w:p w14:paraId="7AE291F4" w14:textId="77777777" w:rsidR="00961BDF" w:rsidRDefault="00961BDF" w:rsidP="00961BDF"/>
                    <w:p w14:paraId="61063B5E" w14:textId="77777777" w:rsidR="00961BDF" w:rsidRDefault="00961BDF" w:rsidP="00961BDF">
                      <w:pPr>
                        <w:ind w:left="720" w:hanging="720"/>
                      </w:pPr>
                      <w:r>
                        <w:t>3.22</w:t>
                      </w:r>
                      <w:r>
                        <w:tab/>
                        <w:t xml:space="preserve">The Commission recommends the Department ensure consultation on safe access zones extends to surrounding business owners and residents where appropriate. </w:t>
                      </w:r>
                    </w:p>
                  </w:txbxContent>
                </v:textbox>
                <w10:wrap type="square" anchorx="margin"/>
              </v:shape>
            </w:pict>
          </mc:Fallback>
        </mc:AlternateContent>
      </w:r>
    </w:p>
    <w:p w14:paraId="38CF93A6" w14:textId="5B3C2A4B" w:rsidR="007569C1" w:rsidRDefault="00961BDF" w:rsidP="00331C61">
      <w:pPr>
        <w:pStyle w:val="BasicParagraph"/>
        <w:suppressAutoHyphens/>
        <w:rPr>
          <w:rFonts w:ascii="Verdana" w:hAnsi="Verdana" w:cs="Arial"/>
          <w:color w:val="232120"/>
        </w:rPr>
      </w:pPr>
      <w:r w:rsidRPr="00961BDF">
        <w:rPr>
          <w:rFonts w:ascii="Verdana" w:hAnsi="Verdana" w:cs="Arial"/>
          <w:noProof/>
          <w:color w:val="232120"/>
          <w:lang w:eastAsia="en-GB"/>
        </w:rPr>
        <w:lastRenderedPageBreak/>
        <mc:AlternateContent>
          <mc:Choice Requires="wps">
            <w:drawing>
              <wp:anchor distT="45720" distB="45720" distL="114300" distR="114300" simplePos="0" relativeHeight="251661312" behindDoc="0" locked="0" layoutInCell="1" allowOverlap="1" wp14:anchorId="6BAFF81D" wp14:editId="6629B10F">
                <wp:simplePos x="0" y="0"/>
                <wp:positionH relativeFrom="column">
                  <wp:posOffset>60960</wp:posOffset>
                </wp:positionH>
                <wp:positionV relativeFrom="paragraph">
                  <wp:posOffset>227965</wp:posOffset>
                </wp:positionV>
                <wp:extent cx="6153150" cy="28384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838450"/>
                        </a:xfrm>
                        <a:prstGeom prst="rect">
                          <a:avLst/>
                        </a:prstGeom>
                        <a:solidFill>
                          <a:srgbClr val="FFFFFF"/>
                        </a:solidFill>
                        <a:ln w="9525">
                          <a:solidFill>
                            <a:srgbClr val="000000"/>
                          </a:solidFill>
                          <a:miter lim="800000"/>
                          <a:headEnd/>
                          <a:tailEnd/>
                        </a:ln>
                      </wps:spPr>
                      <wps:txbx>
                        <w:txbxContent>
                          <w:p w14:paraId="0215BCC9" w14:textId="77777777" w:rsidR="00961BDF" w:rsidRDefault="00961BDF" w:rsidP="00961BDF"/>
                          <w:p w14:paraId="4BC30D92" w14:textId="173EA1DA" w:rsidR="00961BDF" w:rsidRDefault="00961BDF" w:rsidP="00961BDF">
                            <w:pPr>
                              <w:ind w:left="720" w:hanging="720"/>
                            </w:pPr>
                            <w:r>
                              <w:t>3.23</w:t>
                            </w:r>
                            <w:r>
                              <w:tab/>
                              <w:t>The Commission recommends that safe access zones should be for a time limited period which may be extended following a review.</w:t>
                            </w:r>
                          </w:p>
                          <w:p w14:paraId="58D3E7F5" w14:textId="0E0576A7" w:rsidR="00961BDF" w:rsidRDefault="00961BDF" w:rsidP="00961BDF">
                            <w:pPr>
                              <w:ind w:left="720" w:hanging="720"/>
                            </w:pPr>
                          </w:p>
                          <w:p w14:paraId="02A5A51C" w14:textId="236B0274" w:rsidR="00961BDF" w:rsidRDefault="00961BDF" w:rsidP="00961BDF">
                            <w:pPr>
                              <w:ind w:left="720" w:hanging="720"/>
                            </w:pPr>
                            <w:r w:rsidRPr="00961BDF">
                              <w:t>3.26</w:t>
                            </w:r>
                            <w:r w:rsidRPr="00961BDF">
                              <w:tab/>
                              <w:t>The Commission recommends the Department’s annual effectiveness report includes data on the number of offences and prosecutions.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FF81D" id="_x0000_s1027" type="#_x0000_t202" style="position:absolute;margin-left:4.8pt;margin-top:17.95pt;width:484.5pt;height:22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">
                <v:textbox>
                  <w:txbxContent>
                    <w:p w14:paraId="0215BCC9" w14:textId="77777777" w:rsidR="00961BDF" w:rsidRDefault="00961BDF" w:rsidP="00961BDF"/>
                    <w:p w14:paraId="4BC30D92" w14:textId="173EA1DA" w:rsidR="00961BDF" w:rsidRDefault="00961BDF" w:rsidP="00961BDF">
                      <w:pPr>
                        <w:ind w:left="720" w:hanging="720"/>
                      </w:pPr>
                      <w:r>
                        <w:t>3.23</w:t>
                      </w:r>
                      <w:r>
                        <w:tab/>
                        <w:t>The Commission recommends that safe access zones should be for a time limited period which may be extended following a review.</w:t>
                      </w:r>
                    </w:p>
                    <w:p w14:paraId="58D3E7F5" w14:textId="0E0576A7" w:rsidR="00961BDF" w:rsidRDefault="00961BDF" w:rsidP="00961BDF">
                      <w:pPr>
                        <w:ind w:left="720" w:hanging="720"/>
                      </w:pPr>
                    </w:p>
                    <w:p w14:paraId="02A5A51C" w14:textId="236B0274" w:rsidR="00961BDF" w:rsidRDefault="00961BDF" w:rsidP="00961BDF">
                      <w:pPr>
                        <w:ind w:left="720" w:hanging="720"/>
                      </w:pPr>
                      <w:r w:rsidRPr="00961BDF">
                        <w:t>3.26</w:t>
                      </w:r>
                      <w:r w:rsidRPr="00961BDF">
                        <w:tab/>
                        <w:t>The Commission recommends the Department’s annual effectiveness report includes data on the number of offences and prosecutions.</w:t>
                      </w:r>
                    </w:p>
                  </w:txbxContent>
                </v:textbox>
                <w10:wrap type="square"/>
              </v:shape>
            </w:pict>
          </mc:Fallback>
        </mc:AlternateContent>
      </w:r>
    </w:p>
    <w:p w14:paraId="10FBD582" w14:textId="15C9011B" w:rsidR="00961BDF" w:rsidRDefault="00961BDF" w:rsidP="00331C61">
      <w:pPr>
        <w:pStyle w:val="BasicParagraph"/>
        <w:suppressAutoHyphens/>
        <w:rPr>
          <w:rFonts w:ascii="Verdana" w:hAnsi="Verdana" w:cs="Arial"/>
          <w:color w:val="232120"/>
        </w:rPr>
      </w:pPr>
    </w:p>
    <w:p w14:paraId="6C4C47C9" w14:textId="72A68A90" w:rsidR="00961BDF" w:rsidRDefault="00961BDF" w:rsidP="00331C61">
      <w:pPr>
        <w:pStyle w:val="BasicParagraph"/>
        <w:suppressAutoHyphens/>
        <w:rPr>
          <w:rFonts w:ascii="Verdana" w:hAnsi="Verdana" w:cs="Arial"/>
          <w:color w:val="232120"/>
        </w:rPr>
      </w:pPr>
    </w:p>
    <w:p w14:paraId="7A1E9B8A" w14:textId="61AF1A62" w:rsidR="00961BDF" w:rsidRDefault="00961BDF" w:rsidP="00331C61">
      <w:pPr>
        <w:pStyle w:val="BasicParagraph"/>
        <w:suppressAutoHyphens/>
        <w:rPr>
          <w:rFonts w:ascii="Verdana" w:hAnsi="Verdana" w:cs="Arial"/>
          <w:color w:val="232120"/>
        </w:rPr>
      </w:pPr>
    </w:p>
    <w:p w14:paraId="15940BC7" w14:textId="52B11CEB" w:rsidR="00961BDF" w:rsidRDefault="00961BDF" w:rsidP="00331C61">
      <w:pPr>
        <w:pStyle w:val="BasicParagraph"/>
        <w:suppressAutoHyphens/>
        <w:rPr>
          <w:rFonts w:ascii="Verdana" w:hAnsi="Verdana" w:cs="Arial"/>
          <w:color w:val="232120"/>
        </w:rPr>
      </w:pPr>
    </w:p>
    <w:p w14:paraId="6FAF4BF8" w14:textId="7DE4B6DE" w:rsidR="00961BDF" w:rsidRDefault="00961BDF" w:rsidP="00331C61">
      <w:pPr>
        <w:pStyle w:val="BasicParagraph"/>
        <w:suppressAutoHyphens/>
        <w:rPr>
          <w:rFonts w:ascii="Verdana" w:hAnsi="Verdana" w:cs="Arial"/>
          <w:color w:val="232120"/>
        </w:rPr>
      </w:pPr>
    </w:p>
    <w:p w14:paraId="4A4864F3" w14:textId="7C1FC89E" w:rsidR="00961BDF" w:rsidRDefault="00961BDF" w:rsidP="00331C61">
      <w:pPr>
        <w:pStyle w:val="BasicParagraph"/>
        <w:suppressAutoHyphens/>
        <w:rPr>
          <w:rFonts w:ascii="Verdana" w:hAnsi="Verdana" w:cs="Arial"/>
          <w:color w:val="232120"/>
        </w:rPr>
      </w:pPr>
    </w:p>
    <w:p w14:paraId="6A603F6B" w14:textId="1A120DCD" w:rsidR="00961BDF" w:rsidRDefault="00961BDF" w:rsidP="00331C61">
      <w:pPr>
        <w:pStyle w:val="BasicParagraph"/>
        <w:suppressAutoHyphens/>
        <w:rPr>
          <w:rFonts w:ascii="Verdana" w:hAnsi="Verdana" w:cs="Arial"/>
          <w:color w:val="232120"/>
        </w:rPr>
      </w:pPr>
    </w:p>
    <w:p w14:paraId="41A8227A" w14:textId="455AE40A" w:rsidR="00961BDF" w:rsidRDefault="00961BDF" w:rsidP="00331C61">
      <w:pPr>
        <w:pStyle w:val="BasicParagraph"/>
        <w:suppressAutoHyphens/>
        <w:rPr>
          <w:rFonts w:ascii="Verdana" w:hAnsi="Verdana" w:cs="Arial"/>
          <w:color w:val="232120"/>
        </w:rPr>
      </w:pPr>
    </w:p>
    <w:p w14:paraId="4AEB2B73" w14:textId="43EFB11A" w:rsidR="00961BDF" w:rsidRDefault="00961BDF" w:rsidP="00331C61">
      <w:pPr>
        <w:pStyle w:val="BasicParagraph"/>
        <w:suppressAutoHyphens/>
        <w:rPr>
          <w:rFonts w:ascii="Verdana" w:hAnsi="Verdana" w:cs="Arial"/>
          <w:color w:val="232120"/>
        </w:rPr>
      </w:pPr>
    </w:p>
    <w:p w14:paraId="5D69FAC0" w14:textId="2F89BE3A" w:rsidR="00961BDF" w:rsidRDefault="00961BDF" w:rsidP="00331C61">
      <w:pPr>
        <w:pStyle w:val="BasicParagraph"/>
        <w:suppressAutoHyphens/>
        <w:rPr>
          <w:rFonts w:ascii="Verdana" w:hAnsi="Verdana" w:cs="Arial"/>
          <w:color w:val="232120"/>
        </w:rPr>
      </w:pPr>
    </w:p>
    <w:p w14:paraId="52537D6E" w14:textId="1FF926BC" w:rsidR="00961BDF" w:rsidRDefault="00961BDF" w:rsidP="00331C61">
      <w:pPr>
        <w:pStyle w:val="BasicParagraph"/>
        <w:suppressAutoHyphens/>
        <w:rPr>
          <w:rFonts w:ascii="Verdana" w:hAnsi="Verdana" w:cs="Arial"/>
          <w:color w:val="232120"/>
        </w:rPr>
      </w:pPr>
    </w:p>
    <w:p w14:paraId="344FB3D8" w14:textId="4BF955C3" w:rsidR="00961BDF" w:rsidRDefault="00961BDF" w:rsidP="00331C61">
      <w:pPr>
        <w:pStyle w:val="BasicParagraph"/>
        <w:suppressAutoHyphens/>
        <w:rPr>
          <w:rFonts w:ascii="Verdana" w:hAnsi="Verdana" w:cs="Arial"/>
          <w:color w:val="232120"/>
        </w:rPr>
      </w:pPr>
    </w:p>
    <w:p w14:paraId="375BF208" w14:textId="2819FAE5" w:rsidR="00961BDF" w:rsidRDefault="00961BDF" w:rsidP="00331C61">
      <w:pPr>
        <w:pStyle w:val="BasicParagraph"/>
        <w:suppressAutoHyphens/>
        <w:rPr>
          <w:rFonts w:ascii="Verdana" w:hAnsi="Verdana" w:cs="Arial"/>
          <w:color w:val="232120"/>
        </w:rPr>
      </w:pPr>
    </w:p>
    <w:p w14:paraId="07BAFD1C" w14:textId="3B6BFFB2" w:rsidR="00961BDF" w:rsidRDefault="00961BDF" w:rsidP="00331C61">
      <w:pPr>
        <w:pStyle w:val="BasicParagraph"/>
        <w:suppressAutoHyphens/>
        <w:rPr>
          <w:rFonts w:ascii="Verdana" w:hAnsi="Verdana" w:cs="Arial"/>
          <w:color w:val="232120"/>
        </w:rPr>
      </w:pPr>
    </w:p>
    <w:p w14:paraId="393D314C" w14:textId="10E044CB" w:rsidR="00961BDF" w:rsidRDefault="00961BDF" w:rsidP="00331C61">
      <w:pPr>
        <w:pStyle w:val="BasicParagraph"/>
        <w:suppressAutoHyphens/>
        <w:rPr>
          <w:rFonts w:ascii="Verdana" w:hAnsi="Verdana" w:cs="Arial"/>
          <w:color w:val="232120"/>
        </w:rPr>
      </w:pPr>
    </w:p>
    <w:p w14:paraId="06BBD22D" w14:textId="1F2616C1" w:rsidR="00961BDF" w:rsidRDefault="00961BDF" w:rsidP="00331C61">
      <w:pPr>
        <w:pStyle w:val="BasicParagraph"/>
        <w:suppressAutoHyphens/>
        <w:rPr>
          <w:rFonts w:ascii="Verdana" w:hAnsi="Verdana" w:cs="Arial"/>
          <w:color w:val="232120"/>
        </w:rPr>
      </w:pPr>
    </w:p>
    <w:p w14:paraId="1343A2C3" w14:textId="6C21828F" w:rsidR="00961BDF" w:rsidRDefault="00961BDF" w:rsidP="00331C61">
      <w:pPr>
        <w:pStyle w:val="BasicParagraph"/>
        <w:suppressAutoHyphens/>
        <w:rPr>
          <w:rFonts w:ascii="Verdana" w:hAnsi="Verdana" w:cs="Arial"/>
          <w:color w:val="232120"/>
        </w:rPr>
      </w:pPr>
    </w:p>
    <w:p w14:paraId="5C9A8AEE" w14:textId="1BA65977" w:rsidR="00961BDF" w:rsidRDefault="00961BDF" w:rsidP="00331C61">
      <w:pPr>
        <w:pStyle w:val="BasicParagraph"/>
        <w:suppressAutoHyphens/>
        <w:rPr>
          <w:rFonts w:ascii="Verdana" w:hAnsi="Verdana" w:cs="Arial"/>
          <w:color w:val="232120"/>
        </w:rPr>
      </w:pPr>
    </w:p>
    <w:p w14:paraId="57C2E4AC" w14:textId="77A8E0CF" w:rsidR="00961BDF" w:rsidRDefault="00961BDF" w:rsidP="00331C61">
      <w:pPr>
        <w:pStyle w:val="BasicParagraph"/>
        <w:suppressAutoHyphens/>
        <w:rPr>
          <w:rFonts w:ascii="Verdana" w:hAnsi="Verdana" w:cs="Arial"/>
          <w:color w:val="232120"/>
        </w:rPr>
      </w:pPr>
    </w:p>
    <w:p w14:paraId="24C55FEF" w14:textId="5F7ABAC0" w:rsidR="00961BDF" w:rsidRDefault="00961BDF" w:rsidP="00331C61">
      <w:pPr>
        <w:pStyle w:val="BasicParagraph"/>
        <w:suppressAutoHyphens/>
        <w:rPr>
          <w:rFonts w:ascii="Verdana" w:hAnsi="Verdana" w:cs="Arial"/>
          <w:color w:val="232120"/>
        </w:rPr>
      </w:pPr>
    </w:p>
    <w:p w14:paraId="025B31E5" w14:textId="31700189" w:rsidR="00961BDF" w:rsidRDefault="00961BDF" w:rsidP="00331C61">
      <w:pPr>
        <w:pStyle w:val="BasicParagraph"/>
        <w:suppressAutoHyphens/>
        <w:rPr>
          <w:rFonts w:ascii="Verdana" w:hAnsi="Verdana" w:cs="Arial"/>
          <w:color w:val="232120"/>
        </w:rPr>
      </w:pPr>
    </w:p>
    <w:p w14:paraId="30F7A8F5" w14:textId="42C87D28" w:rsidR="00961BDF" w:rsidRDefault="00961BDF" w:rsidP="00331C61">
      <w:pPr>
        <w:pStyle w:val="BasicParagraph"/>
        <w:suppressAutoHyphens/>
        <w:rPr>
          <w:rFonts w:ascii="Verdana" w:hAnsi="Verdana" w:cs="Arial"/>
          <w:color w:val="232120"/>
        </w:rPr>
      </w:pPr>
    </w:p>
    <w:p w14:paraId="207649C4" w14:textId="788ABA42" w:rsidR="00961BDF" w:rsidRDefault="00961BDF" w:rsidP="00331C61">
      <w:pPr>
        <w:pStyle w:val="BasicParagraph"/>
        <w:suppressAutoHyphens/>
        <w:rPr>
          <w:rFonts w:ascii="Verdana" w:hAnsi="Verdana" w:cs="Arial"/>
          <w:color w:val="232120"/>
        </w:rPr>
      </w:pPr>
    </w:p>
    <w:p w14:paraId="7D188144" w14:textId="47274657" w:rsidR="00961BDF" w:rsidRDefault="00961BDF" w:rsidP="00331C61">
      <w:pPr>
        <w:pStyle w:val="BasicParagraph"/>
        <w:suppressAutoHyphens/>
        <w:rPr>
          <w:rFonts w:ascii="Verdana" w:hAnsi="Verdana" w:cs="Arial"/>
          <w:color w:val="232120"/>
        </w:rPr>
      </w:pPr>
    </w:p>
    <w:p w14:paraId="2C9A58E3" w14:textId="1BD7D514" w:rsidR="00961BDF" w:rsidRPr="00331C61" w:rsidRDefault="00961BDF" w:rsidP="00331C61">
      <w:pPr>
        <w:pStyle w:val="BasicParagraph"/>
        <w:suppressAutoHyphens/>
        <w:rPr>
          <w:rFonts w:ascii="Verdana" w:hAnsi="Verdana" w:cs="Arial"/>
          <w:color w:val="232120"/>
        </w:rPr>
      </w:pPr>
    </w:p>
    <w:p w14:paraId="0E600E1E" w14:textId="77777777" w:rsidR="007100E4" w:rsidRPr="003726CC" w:rsidRDefault="007100E4" w:rsidP="003726CC">
      <w:pPr>
        <w:pStyle w:val="Heading1"/>
        <w:numPr>
          <w:ilvl w:val="0"/>
          <w:numId w:val="14"/>
        </w:numPr>
      </w:pPr>
      <w:bookmarkStart w:id="1" w:name="_Toc87636818"/>
      <w:r w:rsidRPr="003726CC">
        <w:lastRenderedPageBreak/>
        <w:t>Introduction</w:t>
      </w:r>
      <w:bookmarkEnd w:id="1"/>
      <w:r w:rsidRPr="003726CC">
        <w:t xml:space="preserve"> </w:t>
      </w:r>
    </w:p>
    <w:p w14:paraId="160A3AF7" w14:textId="77777777" w:rsidR="00412DB6" w:rsidRPr="00412DB6" w:rsidRDefault="00412DB6" w:rsidP="00412DB6">
      <w:pPr>
        <w:widowControl w:val="0"/>
        <w:suppressAutoHyphens/>
        <w:autoSpaceDE w:val="0"/>
        <w:autoSpaceDN w:val="0"/>
        <w:adjustRightInd w:val="0"/>
        <w:spacing w:before="24" w:after="24" w:line="288" w:lineRule="auto"/>
        <w:textAlignment w:val="center"/>
        <w:rPr>
          <w:rFonts w:cs="Arial"/>
          <w:color w:val="77328A"/>
          <w:sz w:val="30"/>
          <w:szCs w:val="30"/>
        </w:rPr>
      </w:pPr>
    </w:p>
    <w:p w14:paraId="2184D3B3" w14:textId="17EFB183" w:rsidR="00412DB6" w:rsidRPr="008671EF" w:rsidRDefault="00412DB6" w:rsidP="00661644">
      <w:pPr>
        <w:widowControl w:val="0"/>
        <w:numPr>
          <w:ilvl w:val="1"/>
          <w:numId w:val="15"/>
        </w:numPr>
        <w:autoSpaceDE w:val="0"/>
        <w:autoSpaceDN w:val="0"/>
        <w:adjustRightInd w:val="0"/>
        <w:spacing w:before="24" w:after="24" w:line="288" w:lineRule="auto"/>
        <w:rPr>
          <w:rFonts w:cs="Arial"/>
          <w:lang w:val="en-US"/>
        </w:rPr>
      </w:pPr>
      <w:r w:rsidRPr="008671EF">
        <w:rPr>
          <w:rFonts w:cs="Arial"/>
          <w:lang w:val="en-US"/>
        </w:rPr>
        <w:t>The Northern Ireland Human Rights Commission (</w:t>
      </w:r>
      <w:r w:rsidR="009D0DA9">
        <w:rPr>
          <w:rFonts w:cs="Arial"/>
          <w:lang w:val="en-US"/>
        </w:rPr>
        <w:t>the Commission</w:t>
      </w:r>
      <w:r w:rsidRPr="008671EF">
        <w:rPr>
          <w:rFonts w:cs="Arial"/>
          <w:lang w:val="en-US"/>
        </w:rPr>
        <w:t>), pursuant to section 69(</w:t>
      </w:r>
      <w:r w:rsidR="008671EF" w:rsidRPr="008671EF">
        <w:rPr>
          <w:rFonts w:cs="Arial"/>
          <w:lang w:val="en-US"/>
        </w:rPr>
        <w:t>4</w:t>
      </w:r>
      <w:r w:rsidRPr="008671EF">
        <w:rPr>
          <w:rFonts w:cs="Arial"/>
          <w:lang w:val="en-US"/>
        </w:rPr>
        <w:t>) of the Northern Ireland Act 1998</w:t>
      </w:r>
      <w:r w:rsidR="005C3BD7">
        <w:rPr>
          <w:rFonts w:cs="Arial"/>
          <w:lang w:val="en-US"/>
        </w:rPr>
        <w:t>,</w:t>
      </w:r>
      <w:r w:rsidRPr="008671EF">
        <w:rPr>
          <w:rFonts w:cs="Arial"/>
          <w:lang w:val="en-US"/>
        </w:rPr>
        <w:t xml:space="preserve"> </w:t>
      </w:r>
      <w:r w:rsidR="00A46D3B">
        <w:rPr>
          <w:rFonts w:cs="Arial"/>
          <w:lang w:val="en-US"/>
        </w:rPr>
        <w:t xml:space="preserve">if requested to do so or </w:t>
      </w:r>
      <w:r w:rsidR="009D0DA9">
        <w:rPr>
          <w:rFonts w:cs="Arial"/>
          <w:lang w:val="en-US"/>
        </w:rPr>
        <w:t>as</w:t>
      </w:r>
      <w:r w:rsidR="00A46D3B">
        <w:rPr>
          <w:rFonts w:cs="Arial"/>
          <w:lang w:val="en-US"/>
        </w:rPr>
        <w:t xml:space="preserve"> </w:t>
      </w:r>
      <w:r w:rsidR="009D0DA9">
        <w:rPr>
          <w:rFonts w:cs="Arial"/>
          <w:lang w:val="en-US"/>
        </w:rPr>
        <w:t>the Commission</w:t>
      </w:r>
      <w:r w:rsidR="00A46D3B">
        <w:rPr>
          <w:rFonts w:cs="Arial"/>
          <w:lang w:val="en-US"/>
        </w:rPr>
        <w:t xml:space="preserve"> thinks appropriate,</w:t>
      </w:r>
      <w:r w:rsidR="005C3BD7">
        <w:rPr>
          <w:rFonts w:cs="Arial"/>
          <w:lang w:val="en-US"/>
        </w:rPr>
        <w:t xml:space="preserve"> </w:t>
      </w:r>
      <w:r w:rsidR="00A46D3B">
        <w:rPr>
          <w:rFonts w:cs="Arial"/>
          <w:lang w:val="en-US"/>
        </w:rPr>
        <w:t xml:space="preserve">must </w:t>
      </w:r>
      <w:r w:rsidRPr="008671EF">
        <w:rPr>
          <w:rFonts w:cs="Arial"/>
          <w:lang w:val="en-US"/>
        </w:rPr>
        <w:t>advise the</w:t>
      </w:r>
      <w:r w:rsidR="007A5016">
        <w:rPr>
          <w:rFonts w:cs="Arial"/>
          <w:lang w:val="en-US"/>
        </w:rPr>
        <w:t xml:space="preserve"> </w:t>
      </w:r>
      <w:r w:rsidR="008671EF" w:rsidRPr="008671EF">
        <w:rPr>
          <w:rFonts w:cs="Arial"/>
          <w:lang w:val="en-US"/>
        </w:rPr>
        <w:t>Assembly whether a Bill is compatible with human rights.</w:t>
      </w:r>
      <w:r w:rsidR="00134931">
        <w:rPr>
          <w:rFonts w:cs="Arial"/>
          <w:lang w:val="en-US"/>
        </w:rPr>
        <w:t xml:space="preserve"> </w:t>
      </w:r>
      <w:r w:rsidR="0040428E" w:rsidRPr="008671EF">
        <w:rPr>
          <w:rFonts w:cs="Arial"/>
          <w:lang w:val="en-US"/>
        </w:rPr>
        <w:t>Furthermore,</w:t>
      </w:r>
      <w:r w:rsidR="00A46D3B">
        <w:rPr>
          <w:rFonts w:cs="Arial"/>
          <w:lang w:val="en-US"/>
        </w:rPr>
        <w:t xml:space="preserve"> and in any event</w:t>
      </w:r>
      <w:r w:rsidRPr="008671EF">
        <w:rPr>
          <w:rFonts w:cs="Arial"/>
          <w:lang w:val="en-US"/>
        </w:rPr>
        <w:t>, under section 69(1) of th</w:t>
      </w:r>
      <w:r w:rsidR="00A46D3B">
        <w:rPr>
          <w:rFonts w:cs="Arial"/>
          <w:lang w:val="en-US"/>
        </w:rPr>
        <w:t>at Act</w:t>
      </w:r>
      <w:r w:rsidRPr="008671EF">
        <w:rPr>
          <w:rFonts w:cs="Arial"/>
          <w:lang w:val="en-US"/>
        </w:rPr>
        <w:t xml:space="preserve"> the NIHRC </w:t>
      </w:r>
      <w:r w:rsidR="00A46D3B">
        <w:rPr>
          <w:rFonts w:cs="Arial"/>
          <w:lang w:val="en-US"/>
        </w:rPr>
        <w:t>is obliged to keep under review</w:t>
      </w:r>
      <w:r w:rsidR="00A46D3B" w:rsidRPr="008671EF">
        <w:rPr>
          <w:rFonts w:cs="Arial"/>
          <w:lang w:val="en-US"/>
        </w:rPr>
        <w:t xml:space="preserve"> </w:t>
      </w:r>
      <w:r w:rsidRPr="008671EF">
        <w:rPr>
          <w:rFonts w:cs="Arial"/>
          <w:lang w:val="en-US"/>
        </w:rPr>
        <w:t>the adequacy and effectiveness of law and practice relating to the protection of human rights in Northern Ireland (NI). In accordance with</w:t>
      </w:r>
      <w:r w:rsidR="0014617A">
        <w:rPr>
          <w:rFonts w:cs="Arial"/>
          <w:lang w:val="en-US"/>
        </w:rPr>
        <w:t xml:space="preserve"> </w:t>
      </w:r>
      <w:r w:rsidRPr="008671EF">
        <w:rPr>
          <w:rFonts w:cs="Arial"/>
          <w:lang w:val="en-US"/>
        </w:rPr>
        <w:t xml:space="preserve">these </w:t>
      </w:r>
      <w:r w:rsidR="00A46D3B">
        <w:rPr>
          <w:rFonts w:cs="Arial"/>
          <w:lang w:val="en-US"/>
        </w:rPr>
        <w:t xml:space="preserve">statutory </w:t>
      </w:r>
      <w:r w:rsidRPr="008671EF">
        <w:rPr>
          <w:rFonts w:cs="Arial"/>
          <w:lang w:val="en-US"/>
        </w:rPr>
        <w:t xml:space="preserve">functions, the </w:t>
      </w:r>
      <w:r w:rsidR="00A46D3B">
        <w:rPr>
          <w:rFonts w:cs="Arial"/>
          <w:lang w:val="en-US"/>
        </w:rPr>
        <w:t xml:space="preserve">NIHRC provides this advice </w:t>
      </w:r>
      <w:r w:rsidRPr="008671EF">
        <w:rPr>
          <w:rFonts w:cs="Arial"/>
          <w:lang w:val="en-US"/>
        </w:rPr>
        <w:t>to the Committee for Health</w:t>
      </w:r>
      <w:r w:rsidR="00A46D3B">
        <w:rPr>
          <w:rFonts w:cs="Arial"/>
          <w:lang w:val="en-US"/>
        </w:rPr>
        <w:t xml:space="preserve">. This advice concerns the </w:t>
      </w:r>
      <w:r w:rsidRPr="008671EF">
        <w:rPr>
          <w:rFonts w:cs="Arial"/>
          <w:lang w:val="en-US"/>
        </w:rPr>
        <w:t>Abortion</w:t>
      </w:r>
      <w:r w:rsidR="008671EF">
        <w:rPr>
          <w:rFonts w:cs="Arial"/>
          <w:lang w:val="en-US"/>
        </w:rPr>
        <w:t xml:space="preserve"> Services</w:t>
      </w:r>
      <w:r w:rsidRPr="008671EF">
        <w:rPr>
          <w:rFonts w:cs="Arial"/>
          <w:lang w:val="en-US"/>
        </w:rPr>
        <w:t xml:space="preserve"> (Safe </w:t>
      </w:r>
      <w:r w:rsidR="008671EF">
        <w:rPr>
          <w:rFonts w:cs="Arial"/>
          <w:lang w:val="en-US"/>
        </w:rPr>
        <w:t>Access</w:t>
      </w:r>
      <w:r w:rsidR="008671EF" w:rsidRPr="008671EF">
        <w:rPr>
          <w:rFonts w:cs="Arial"/>
          <w:lang w:val="en-US"/>
        </w:rPr>
        <w:t xml:space="preserve"> </w:t>
      </w:r>
      <w:r w:rsidRPr="008671EF">
        <w:rPr>
          <w:rFonts w:cs="Arial"/>
          <w:lang w:val="en-US"/>
        </w:rPr>
        <w:t xml:space="preserve">Zones) Bill. </w:t>
      </w:r>
    </w:p>
    <w:p w14:paraId="7FBA35D1" w14:textId="77777777" w:rsidR="00412DB6" w:rsidRPr="00412DB6" w:rsidRDefault="00412DB6" w:rsidP="00412DB6">
      <w:pPr>
        <w:widowControl w:val="0"/>
        <w:autoSpaceDE w:val="0"/>
        <w:autoSpaceDN w:val="0"/>
        <w:adjustRightInd w:val="0"/>
        <w:spacing w:before="24" w:after="24" w:line="288" w:lineRule="auto"/>
        <w:ind w:left="720"/>
        <w:rPr>
          <w:rFonts w:cs="Arial"/>
          <w:lang w:val="en-US"/>
        </w:rPr>
      </w:pPr>
    </w:p>
    <w:p w14:paraId="25AF912F" w14:textId="3DD1A7AC" w:rsidR="00412DB6" w:rsidRPr="00412DB6" w:rsidRDefault="00412DB6" w:rsidP="00412DB6">
      <w:pPr>
        <w:widowControl w:val="0"/>
        <w:numPr>
          <w:ilvl w:val="1"/>
          <w:numId w:val="15"/>
        </w:numPr>
        <w:autoSpaceDE w:val="0"/>
        <w:autoSpaceDN w:val="0"/>
        <w:adjustRightInd w:val="0"/>
        <w:spacing w:before="24" w:after="24" w:line="288" w:lineRule="auto"/>
        <w:rPr>
          <w:rFonts w:cs="Arial"/>
          <w:b/>
          <w:lang w:val="en-US"/>
        </w:rPr>
      </w:pPr>
      <w:r w:rsidRPr="00412DB6">
        <w:rPr>
          <w:rFonts w:cs="Arial"/>
          <w:lang w:val="en-US"/>
        </w:rPr>
        <w:t>The NIHRC bases its advice on the full range of internationally accepted human rights standards</w:t>
      </w:r>
      <w:r w:rsidR="00586DB9">
        <w:rPr>
          <w:rFonts w:cs="Arial"/>
          <w:lang w:val="en-US"/>
        </w:rPr>
        <w:t>. This includes</w:t>
      </w:r>
      <w:r w:rsidRPr="00412DB6">
        <w:rPr>
          <w:rFonts w:cs="Arial"/>
          <w:lang w:val="en-US"/>
        </w:rPr>
        <w:t xml:space="preserve"> the European Convention on Human Rights, as incorporated by the Human Rights Act 1998, and </w:t>
      </w:r>
      <w:r w:rsidR="00586DB9">
        <w:rPr>
          <w:rFonts w:cs="Arial"/>
          <w:lang w:val="en-US"/>
        </w:rPr>
        <w:t>other relevant</w:t>
      </w:r>
      <w:r w:rsidR="00586DB9" w:rsidRPr="00412DB6">
        <w:rPr>
          <w:rFonts w:cs="Arial"/>
          <w:lang w:val="en-US"/>
        </w:rPr>
        <w:t xml:space="preserve"> </w:t>
      </w:r>
      <w:r w:rsidRPr="00412DB6">
        <w:rPr>
          <w:rFonts w:cs="Arial"/>
          <w:lang w:val="en-US"/>
        </w:rPr>
        <w:t>treaty obligations of the Council of Europe (</w:t>
      </w:r>
      <w:proofErr w:type="spellStart"/>
      <w:r w:rsidRPr="00412DB6">
        <w:rPr>
          <w:rFonts w:cs="Arial"/>
          <w:lang w:val="en-US"/>
        </w:rPr>
        <w:t>CoE</w:t>
      </w:r>
      <w:proofErr w:type="spellEnd"/>
      <w:r w:rsidRPr="00412DB6">
        <w:rPr>
          <w:rFonts w:cs="Arial"/>
          <w:lang w:val="en-US"/>
        </w:rPr>
        <w:t>) and United Nations (UN).</w:t>
      </w:r>
      <w:r w:rsidR="00586DB9">
        <w:rPr>
          <w:rFonts w:cs="Arial"/>
          <w:lang w:val="en-US"/>
        </w:rPr>
        <w:t xml:space="preserve"> </w:t>
      </w:r>
      <w:r w:rsidRPr="00412DB6">
        <w:rPr>
          <w:rFonts w:cs="Arial"/>
          <w:lang w:val="en-US"/>
        </w:rPr>
        <w:t>The regional and international treaties</w:t>
      </w:r>
      <w:r w:rsidR="00586DB9">
        <w:rPr>
          <w:rFonts w:cs="Arial"/>
          <w:lang w:val="en-US"/>
        </w:rPr>
        <w:t xml:space="preserve"> that are relevant to this advice</w:t>
      </w:r>
      <w:r w:rsidRPr="00412DB6">
        <w:rPr>
          <w:rFonts w:cs="Arial"/>
          <w:lang w:val="en-US"/>
        </w:rPr>
        <w:t xml:space="preserve"> include:</w:t>
      </w:r>
    </w:p>
    <w:p w14:paraId="5B616E19" w14:textId="77777777" w:rsidR="00412DB6" w:rsidRPr="00412DB6" w:rsidRDefault="00412DB6" w:rsidP="00412DB6">
      <w:pPr>
        <w:spacing w:line="288" w:lineRule="auto"/>
        <w:ind w:left="720"/>
        <w:contextualSpacing/>
        <w:rPr>
          <w:rFonts w:cs="Arial"/>
        </w:rPr>
      </w:pPr>
    </w:p>
    <w:p w14:paraId="43C98D7F" w14:textId="77777777" w:rsidR="00412DB6" w:rsidRPr="00412DB6" w:rsidRDefault="00412DB6" w:rsidP="00412DB6">
      <w:pPr>
        <w:widowControl w:val="0"/>
        <w:numPr>
          <w:ilvl w:val="0"/>
          <w:numId w:val="16"/>
        </w:numPr>
        <w:autoSpaceDE w:val="0"/>
        <w:autoSpaceDN w:val="0"/>
        <w:adjustRightInd w:val="0"/>
        <w:spacing w:before="24" w:after="24" w:line="288" w:lineRule="auto"/>
        <w:rPr>
          <w:rFonts w:cs="Arial"/>
          <w:b/>
          <w:lang w:val="en-US"/>
        </w:rPr>
      </w:pPr>
      <w:r w:rsidRPr="00412DB6">
        <w:rPr>
          <w:rFonts w:cs="Arial"/>
          <w:lang w:val="en-US"/>
        </w:rPr>
        <w:t>European Convention on Human Rights (ECHR);</w:t>
      </w:r>
      <w:r w:rsidRPr="00412DB6">
        <w:rPr>
          <w:rFonts w:cs="Arial"/>
          <w:vertAlign w:val="superscript"/>
          <w:lang w:val="en-US"/>
        </w:rPr>
        <w:footnoteReference w:id="2"/>
      </w:r>
      <w:r w:rsidRPr="00412DB6">
        <w:rPr>
          <w:rFonts w:cs="Arial"/>
          <w:lang w:val="en-US"/>
        </w:rPr>
        <w:t xml:space="preserve"> </w:t>
      </w:r>
    </w:p>
    <w:p w14:paraId="264627DE" w14:textId="77777777" w:rsidR="00412DB6" w:rsidRPr="00412DB6" w:rsidRDefault="00412DB6" w:rsidP="00412DB6">
      <w:pPr>
        <w:widowControl w:val="0"/>
        <w:numPr>
          <w:ilvl w:val="0"/>
          <w:numId w:val="16"/>
        </w:numPr>
        <w:autoSpaceDE w:val="0"/>
        <w:autoSpaceDN w:val="0"/>
        <w:adjustRightInd w:val="0"/>
        <w:spacing w:before="24" w:after="24" w:line="288" w:lineRule="auto"/>
        <w:rPr>
          <w:rFonts w:cs="Arial"/>
          <w:lang w:val="en-US"/>
        </w:rPr>
      </w:pPr>
      <w:proofErr w:type="spellStart"/>
      <w:r w:rsidRPr="00412DB6">
        <w:rPr>
          <w:rFonts w:cs="Arial"/>
          <w:lang w:val="en-US"/>
        </w:rPr>
        <w:t>CoE</w:t>
      </w:r>
      <w:proofErr w:type="spellEnd"/>
      <w:r w:rsidRPr="00412DB6">
        <w:rPr>
          <w:rFonts w:cs="Arial"/>
          <w:lang w:val="en-US"/>
        </w:rPr>
        <w:t xml:space="preserve"> Convention on Preventing and Combating Violence against Women (Istanbul Convention);</w:t>
      </w:r>
      <w:r w:rsidRPr="00412DB6">
        <w:rPr>
          <w:rFonts w:cs="Arial"/>
          <w:vertAlign w:val="superscript"/>
          <w:lang w:val="en-US"/>
        </w:rPr>
        <w:footnoteReference w:id="3"/>
      </w:r>
    </w:p>
    <w:p w14:paraId="6C74243F" w14:textId="77777777" w:rsidR="00412DB6" w:rsidRPr="00412DB6" w:rsidRDefault="00412DB6" w:rsidP="00412DB6">
      <w:pPr>
        <w:widowControl w:val="0"/>
        <w:numPr>
          <w:ilvl w:val="0"/>
          <w:numId w:val="16"/>
        </w:numPr>
        <w:autoSpaceDE w:val="0"/>
        <w:autoSpaceDN w:val="0"/>
        <w:adjustRightInd w:val="0"/>
        <w:spacing w:before="24" w:after="24" w:line="288" w:lineRule="auto"/>
        <w:rPr>
          <w:rFonts w:cs="Arial"/>
          <w:lang w:val="en-US"/>
        </w:rPr>
      </w:pPr>
      <w:r w:rsidRPr="00412DB6">
        <w:rPr>
          <w:rFonts w:cs="Arial"/>
          <w:lang w:val="en-US"/>
        </w:rPr>
        <w:t>UN Convention on Civil and Political Rights (UN ICCPR);</w:t>
      </w:r>
      <w:r w:rsidRPr="00412DB6">
        <w:rPr>
          <w:rFonts w:cs="Arial"/>
          <w:vertAlign w:val="superscript"/>
          <w:lang w:val="en-US"/>
        </w:rPr>
        <w:footnoteReference w:id="4"/>
      </w:r>
    </w:p>
    <w:p w14:paraId="3E9F725B" w14:textId="77777777" w:rsidR="00412DB6" w:rsidRPr="00412DB6" w:rsidRDefault="00412DB6" w:rsidP="00412DB6">
      <w:pPr>
        <w:widowControl w:val="0"/>
        <w:numPr>
          <w:ilvl w:val="0"/>
          <w:numId w:val="16"/>
        </w:numPr>
        <w:autoSpaceDE w:val="0"/>
        <w:autoSpaceDN w:val="0"/>
        <w:adjustRightInd w:val="0"/>
        <w:spacing w:before="24" w:after="24" w:line="288" w:lineRule="auto"/>
        <w:rPr>
          <w:rFonts w:cs="Arial"/>
          <w:lang w:val="en-US"/>
        </w:rPr>
      </w:pPr>
      <w:r w:rsidRPr="00412DB6">
        <w:rPr>
          <w:rFonts w:cs="Verdana"/>
          <w:color w:val="000000"/>
          <w:lang w:val="en-US"/>
        </w:rPr>
        <w:t>UN Convention on Elimination of Discrimi</w:t>
      </w:r>
      <w:r w:rsidR="00FD5C8B">
        <w:rPr>
          <w:rFonts w:cs="Verdana"/>
          <w:color w:val="000000"/>
          <w:lang w:val="en-US"/>
        </w:rPr>
        <w:t>nation against Women (UN CEDAW)</w:t>
      </w:r>
      <w:r w:rsidRPr="00412DB6">
        <w:rPr>
          <w:rFonts w:cs="Verdana"/>
          <w:color w:val="000000"/>
          <w:vertAlign w:val="superscript"/>
          <w:lang w:val="en-US"/>
        </w:rPr>
        <w:footnoteReference w:id="5"/>
      </w:r>
      <w:r w:rsidR="00FD5C8B">
        <w:rPr>
          <w:rFonts w:cs="Verdana"/>
          <w:color w:val="000000"/>
          <w:lang w:val="en-US"/>
        </w:rPr>
        <w:t xml:space="preserve"> </w:t>
      </w:r>
      <w:proofErr w:type="gramStart"/>
      <w:r w:rsidR="00FD5C8B">
        <w:rPr>
          <w:rFonts w:cs="Verdana"/>
          <w:color w:val="000000"/>
          <w:lang w:val="en-US"/>
        </w:rPr>
        <w:t>and;</w:t>
      </w:r>
      <w:proofErr w:type="gramEnd"/>
    </w:p>
    <w:p w14:paraId="05F2F570" w14:textId="77777777" w:rsidR="00412DB6" w:rsidRPr="00412DB6" w:rsidRDefault="00412DB6" w:rsidP="00412DB6">
      <w:pPr>
        <w:widowControl w:val="0"/>
        <w:numPr>
          <w:ilvl w:val="0"/>
          <w:numId w:val="16"/>
        </w:numPr>
        <w:autoSpaceDE w:val="0"/>
        <w:autoSpaceDN w:val="0"/>
        <w:adjustRightInd w:val="0"/>
        <w:spacing w:before="24" w:after="24" w:line="288" w:lineRule="auto"/>
        <w:rPr>
          <w:rFonts w:cs="Arial"/>
          <w:lang w:val="en-US"/>
        </w:rPr>
      </w:pPr>
      <w:r w:rsidRPr="00412DB6">
        <w:rPr>
          <w:rFonts w:cs="Verdana"/>
          <w:color w:val="000000"/>
          <w:lang w:val="en-US"/>
        </w:rPr>
        <w:t>UN Convention against Torture (UN CAT)</w:t>
      </w:r>
      <w:r w:rsidRPr="00412DB6">
        <w:rPr>
          <w:rFonts w:cs="Verdana"/>
          <w:color w:val="000000"/>
          <w:vertAlign w:val="superscript"/>
          <w:lang w:val="en-US"/>
        </w:rPr>
        <w:footnoteReference w:id="6"/>
      </w:r>
      <w:r w:rsidR="00FD5C8B">
        <w:rPr>
          <w:rFonts w:cs="Verdana"/>
          <w:color w:val="000000"/>
          <w:lang w:val="en-US"/>
        </w:rPr>
        <w:t>.</w:t>
      </w:r>
    </w:p>
    <w:p w14:paraId="54BE7E23" w14:textId="77777777" w:rsidR="00412DB6" w:rsidRPr="00412DB6" w:rsidRDefault="00412DB6" w:rsidP="00412DB6">
      <w:pPr>
        <w:spacing w:line="288" w:lineRule="auto"/>
        <w:ind w:left="720"/>
        <w:contextualSpacing/>
        <w:rPr>
          <w:rFonts w:cs="Arial"/>
        </w:rPr>
      </w:pPr>
    </w:p>
    <w:p w14:paraId="2AF9E440" w14:textId="23E94E6F" w:rsidR="00412DB6" w:rsidRPr="00412DB6" w:rsidRDefault="00412DB6" w:rsidP="00412DB6">
      <w:pPr>
        <w:numPr>
          <w:ilvl w:val="1"/>
          <w:numId w:val="15"/>
        </w:numPr>
        <w:spacing w:line="288" w:lineRule="auto"/>
        <w:contextualSpacing/>
        <w:rPr>
          <w:rFonts w:cs="Arial"/>
          <w:lang w:val="en-US"/>
        </w:rPr>
      </w:pPr>
      <w:r w:rsidRPr="00412DB6">
        <w:rPr>
          <w:rFonts w:cs="Arial"/>
          <w:lang w:val="en-US"/>
        </w:rPr>
        <w:t xml:space="preserve">In addition to treaty standards, there exists a body of ‘soft law’ developed by the human rights bodies of the </w:t>
      </w:r>
      <w:proofErr w:type="spellStart"/>
      <w:r w:rsidRPr="00412DB6">
        <w:rPr>
          <w:rFonts w:cs="Arial"/>
          <w:lang w:val="en-US"/>
        </w:rPr>
        <w:t>CoE</w:t>
      </w:r>
      <w:proofErr w:type="spellEnd"/>
      <w:r w:rsidRPr="00412DB6">
        <w:rPr>
          <w:rFonts w:cs="Arial"/>
          <w:lang w:val="en-US"/>
        </w:rPr>
        <w:t xml:space="preserve"> and UN.</w:t>
      </w:r>
      <w:r w:rsidR="00750CBA">
        <w:rPr>
          <w:rStyle w:val="FootnoteReference"/>
          <w:rFonts w:cs="Arial"/>
          <w:lang w:val="en-US"/>
        </w:rPr>
        <w:footnoteReference w:id="7"/>
      </w:r>
      <w:r w:rsidRPr="00412DB6">
        <w:rPr>
          <w:rFonts w:cs="Arial"/>
          <w:lang w:val="en-US"/>
        </w:rPr>
        <w:t xml:space="preserve"> These declarations and principles are non-</w:t>
      </w:r>
      <w:proofErr w:type="gramStart"/>
      <w:r w:rsidRPr="00412DB6">
        <w:rPr>
          <w:rFonts w:cs="Arial"/>
          <w:lang w:val="en-US"/>
        </w:rPr>
        <w:t>binding, but</w:t>
      </w:r>
      <w:proofErr w:type="gramEnd"/>
      <w:r w:rsidRPr="00412DB6">
        <w:rPr>
          <w:rFonts w:cs="Arial"/>
          <w:lang w:val="en-US"/>
        </w:rPr>
        <w:t xml:space="preserve"> provide further guidance in respect of specific areas. The relevant standards in this context include:</w:t>
      </w:r>
    </w:p>
    <w:p w14:paraId="4FB6356E" w14:textId="77777777" w:rsidR="00412DB6" w:rsidRPr="00412DB6" w:rsidRDefault="00412DB6" w:rsidP="00412DB6">
      <w:pPr>
        <w:spacing w:line="288" w:lineRule="auto"/>
        <w:ind w:left="720"/>
        <w:contextualSpacing/>
        <w:rPr>
          <w:rFonts w:cs="Arial"/>
          <w:lang w:val="en-US"/>
        </w:rPr>
      </w:pPr>
    </w:p>
    <w:p w14:paraId="1C2C900F" w14:textId="77777777" w:rsidR="00412DB6" w:rsidRPr="00412DB6" w:rsidRDefault="00412DB6" w:rsidP="00412DB6">
      <w:pPr>
        <w:numPr>
          <w:ilvl w:val="0"/>
          <w:numId w:val="17"/>
        </w:numPr>
        <w:spacing w:line="288" w:lineRule="auto"/>
        <w:contextualSpacing/>
        <w:rPr>
          <w:rFonts w:cs="Arial"/>
          <w:lang w:val="en-US"/>
        </w:rPr>
      </w:pPr>
      <w:r w:rsidRPr="00412DB6">
        <w:rPr>
          <w:rFonts w:cs="Arial"/>
          <w:lang w:val="en-US"/>
        </w:rPr>
        <w:t>UN CAT Committee Concluding Observations 2019;</w:t>
      </w:r>
      <w:r w:rsidRPr="00412DB6">
        <w:rPr>
          <w:rFonts w:cs="Arial"/>
          <w:vertAlign w:val="superscript"/>
          <w:lang w:val="en-US"/>
        </w:rPr>
        <w:footnoteReference w:id="8"/>
      </w:r>
    </w:p>
    <w:p w14:paraId="749F53C8" w14:textId="77777777" w:rsidR="00412DB6" w:rsidRPr="00412DB6" w:rsidRDefault="00412DB6" w:rsidP="00412DB6">
      <w:pPr>
        <w:numPr>
          <w:ilvl w:val="0"/>
          <w:numId w:val="17"/>
        </w:numPr>
        <w:spacing w:line="288" w:lineRule="auto"/>
        <w:contextualSpacing/>
        <w:rPr>
          <w:rFonts w:cs="Arial"/>
          <w:lang w:val="en-US"/>
        </w:rPr>
      </w:pPr>
      <w:r w:rsidRPr="00412DB6">
        <w:rPr>
          <w:rFonts w:cs="Arial"/>
          <w:lang w:val="en-US"/>
        </w:rPr>
        <w:t>UN CEDAW Committee Concluding Observations 2019;</w:t>
      </w:r>
      <w:r w:rsidRPr="00412DB6">
        <w:rPr>
          <w:rFonts w:cs="Arial"/>
          <w:vertAlign w:val="superscript"/>
          <w:lang w:val="en-US"/>
        </w:rPr>
        <w:footnoteReference w:id="9"/>
      </w:r>
    </w:p>
    <w:p w14:paraId="76FF236D" w14:textId="3A4382A9" w:rsidR="001C5EFB" w:rsidRDefault="00412DB6" w:rsidP="00661644">
      <w:pPr>
        <w:numPr>
          <w:ilvl w:val="0"/>
          <w:numId w:val="17"/>
        </w:numPr>
        <w:spacing w:line="288" w:lineRule="auto"/>
        <w:contextualSpacing/>
        <w:rPr>
          <w:rFonts w:cs="Arial"/>
          <w:lang w:val="en-US"/>
        </w:rPr>
      </w:pPr>
      <w:r w:rsidRPr="003358EE">
        <w:rPr>
          <w:rFonts w:cs="Arial"/>
          <w:lang w:val="en-US"/>
        </w:rPr>
        <w:t>UN Human Rights Committee General Comment 32</w:t>
      </w:r>
      <w:r w:rsidR="003358EE">
        <w:rPr>
          <w:rFonts w:cs="Arial"/>
          <w:lang w:val="en-US"/>
        </w:rPr>
        <w:t>.</w:t>
      </w:r>
      <w:r w:rsidRPr="00412DB6">
        <w:rPr>
          <w:rFonts w:cs="Arial"/>
          <w:vertAlign w:val="superscript"/>
          <w:lang w:val="en-US"/>
        </w:rPr>
        <w:footnoteReference w:id="10"/>
      </w:r>
      <w:r w:rsidRPr="003358EE">
        <w:rPr>
          <w:rFonts w:cs="Arial"/>
          <w:lang w:val="en-US"/>
        </w:rPr>
        <w:t xml:space="preserve"> </w:t>
      </w:r>
    </w:p>
    <w:p w14:paraId="74D3579B" w14:textId="77777777" w:rsidR="003358EE" w:rsidRPr="003358EE" w:rsidRDefault="003358EE" w:rsidP="003358EE">
      <w:pPr>
        <w:spacing w:line="288" w:lineRule="auto"/>
        <w:ind w:left="1440"/>
        <w:contextualSpacing/>
        <w:rPr>
          <w:rFonts w:cs="Arial"/>
          <w:lang w:val="en-US"/>
        </w:rPr>
      </w:pPr>
    </w:p>
    <w:p w14:paraId="34FF0FB9" w14:textId="056F77ED" w:rsidR="001C5EFB" w:rsidRPr="007A5016" w:rsidRDefault="001C5EFB" w:rsidP="007A5016">
      <w:pPr>
        <w:pStyle w:val="ListParagraph"/>
      </w:pPr>
      <w:r w:rsidRPr="007A5016">
        <w:t xml:space="preserve">The Commission </w:t>
      </w:r>
      <w:r w:rsidR="00C01DA0" w:rsidRPr="007A5016">
        <w:t xml:space="preserve">welcomes the Bill </w:t>
      </w:r>
      <w:r w:rsidR="00750CBA" w:rsidRPr="007A5016">
        <w:t>which aims to protect women a</w:t>
      </w:r>
      <w:r w:rsidR="007A5016" w:rsidRPr="007A5016">
        <w:t xml:space="preserve">nd girls from harassment </w:t>
      </w:r>
      <w:r w:rsidRPr="007A5016">
        <w:t>when accessing family planning information and termination services</w:t>
      </w:r>
      <w:r w:rsidR="00750CBA" w:rsidRPr="007A5016">
        <w:t>. To protect women and girls, the Bill provides for safe access zones, also referred to as buffer zones, which is</w:t>
      </w:r>
      <w:r w:rsidRPr="007A5016">
        <w:t xml:space="preserve"> in line with the UN CEDAW Inquiry recommendations. </w:t>
      </w:r>
      <w:r w:rsidR="00750CBA" w:rsidRPr="007A5016">
        <w:t>In particular that</w:t>
      </w:r>
      <w:r w:rsidR="00A94A68" w:rsidRPr="007A5016">
        <w:t>:</w:t>
      </w:r>
      <w:r w:rsidR="00750CBA" w:rsidRPr="007A5016">
        <w:t xml:space="preserve"> there is provision for the creation of such zones</w:t>
      </w:r>
      <w:r w:rsidR="00A94A68" w:rsidRPr="007A5016">
        <w:t xml:space="preserve">; there are effective </w:t>
      </w:r>
      <w:r w:rsidRPr="007A5016">
        <w:t>laws in place and fully implemented to enable complaints of harassment to be investigated</w:t>
      </w:r>
      <w:r w:rsidR="00A94A68" w:rsidRPr="007A5016">
        <w:t xml:space="preserve"> effectively;</w:t>
      </w:r>
      <w:r w:rsidRPr="007A5016">
        <w:t xml:space="preserve"> </w:t>
      </w:r>
      <w:proofErr w:type="gramStart"/>
      <w:r w:rsidRPr="007A5016">
        <w:t>and</w:t>
      </w:r>
      <w:r w:rsidR="00A94A68" w:rsidRPr="007A5016">
        <w:t>,</w:t>
      </w:r>
      <w:proofErr w:type="gramEnd"/>
      <w:r w:rsidRPr="007A5016">
        <w:t xml:space="preserve"> perpetrators are dealt with in accordance with such laws.</w:t>
      </w:r>
    </w:p>
    <w:p w14:paraId="380B0140" w14:textId="77777777" w:rsidR="00412DB6" w:rsidRPr="003726CC" w:rsidRDefault="00412DB6" w:rsidP="002D55D1">
      <w:pPr>
        <w:ind w:left="720"/>
      </w:pPr>
    </w:p>
    <w:p w14:paraId="193BD450" w14:textId="77777777" w:rsidR="00FA6B11" w:rsidRPr="003726CC" w:rsidRDefault="00FA6B11" w:rsidP="003726CC">
      <w:pPr>
        <w:pStyle w:val="Heading1"/>
        <w:numPr>
          <w:ilvl w:val="0"/>
          <w:numId w:val="14"/>
        </w:numPr>
      </w:pPr>
      <w:bookmarkStart w:id="2" w:name="_Toc87636819"/>
      <w:r w:rsidRPr="003726CC">
        <w:t>Human Rights Standards</w:t>
      </w:r>
      <w:bookmarkEnd w:id="2"/>
      <w:r w:rsidRPr="003726CC">
        <w:t xml:space="preserve"> </w:t>
      </w:r>
    </w:p>
    <w:p w14:paraId="274CAF4C" w14:textId="77777777" w:rsidR="00836185" w:rsidRDefault="00836185" w:rsidP="002D55D1">
      <w:pPr>
        <w:ind w:left="720"/>
      </w:pPr>
    </w:p>
    <w:p w14:paraId="43EDACDC" w14:textId="2B0530A9" w:rsidR="006F1D6E" w:rsidRDefault="00836185" w:rsidP="007A5016">
      <w:pPr>
        <w:pStyle w:val="ListParagraph"/>
      </w:pPr>
      <w:r>
        <w:t xml:space="preserve">The </w:t>
      </w:r>
      <w:r w:rsidR="00FD5C8B">
        <w:t xml:space="preserve">Commission </w:t>
      </w:r>
      <w:r>
        <w:t xml:space="preserve">has </w:t>
      </w:r>
      <w:r w:rsidR="00B36BBE">
        <w:t>consistently advised of</w:t>
      </w:r>
      <w:r w:rsidR="006F1D6E">
        <w:t xml:space="preserve"> the </w:t>
      </w:r>
      <w:r w:rsidR="00B36BBE">
        <w:t>imperative to</w:t>
      </w:r>
      <w:r w:rsidR="0051683C">
        <w:t xml:space="preserve"> </w:t>
      </w:r>
      <w:r>
        <w:t>e</w:t>
      </w:r>
      <w:r w:rsidR="006F1D6E">
        <w:t>nsur</w:t>
      </w:r>
      <w:r w:rsidR="0051683C">
        <w:t>e</w:t>
      </w:r>
      <w:r>
        <w:t xml:space="preserve"> a human </w:t>
      </w:r>
      <w:r w:rsidR="0040428E">
        <w:t>rights-based</w:t>
      </w:r>
      <w:r>
        <w:t xml:space="preserve"> approach to reproductive healthcare in NI. </w:t>
      </w:r>
    </w:p>
    <w:p w14:paraId="100D3AE2" w14:textId="77777777" w:rsidR="006F1D6E" w:rsidRDefault="006F1D6E" w:rsidP="006F1D6E">
      <w:pPr>
        <w:ind w:left="720"/>
      </w:pPr>
    </w:p>
    <w:p w14:paraId="6698A41A" w14:textId="5382650B" w:rsidR="0028270A" w:rsidRDefault="006F1D6E" w:rsidP="007A5016">
      <w:pPr>
        <w:pStyle w:val="ListParagraph"/>
      </w:pPr>
      <w:r>
        <w:t>T</w:t>
      </w:r>
      <w:r w:rsidR="00836185">
        <w:t xml:space="preserve">he United Nations Committee on the Elimination of All Forms of Discrimination against Women (UN CEDAW Committee) </w:t>
      </w:r>
      <w:r w:rsidRPr="006F1D6E">
        <w:t>published its inquiry report on 6 March 2018. Th</w:t>
      </w:r>
      <w:r w:rsidR="00B36BBE">
        <w:t>at</w:t>
      </w:r>
      <w:r w:rsidRPr="006F1D6E">
        <w:t xml:space="preserve"> report made </w:t>
      </w:r>
      <w:proofErr w:type="gramStart"/>
      <w:r w:rsidRPr="006F1D6E">
        <w:t>a number of</w:t>
      </w:r>
      <w:proofErr w:type="gramEnd"/>
      <w:r w:rsidRPr="006F1D6E">
        <w:t xml:space="preserve"> recommendations </w:t>
      </w:r>
      <w:r w:rsidR="00B36BBE">
        <w:t>for</w:t>
      </w:r>
      <w:r w:rsidR="00B36BBE" w:rsidRPr="006F1D6E">
        <w:t xml:space="preserve"> </w:t>
      </w:r>
      <w:r w:rsidRPr="006F1D6E">
        <w:t>the law governing termination of pregnancy in NI.</w:t>
      </w:r>
      <w:r>
        <w:t xml:space="preserve"> </w:t>
      </w:r>
      <w:r w:rsidR="0028270A" w:rsidRPr="0028270A">
        <w:t xml:space="preserve">The UN CEDAW report </w:t>
      </w:r>
      <w:r w:rsidR="00B36BBE">
        <w:t xml:space="preserve">for example recommended, at </w:t>
      </w:r>
      <w:r w:rsidR="0028270A" w:rsidRPr="0028270A">
        <w:t>86(g)</w:t>
      </w:r>
      <w:r w:rsidR="00B36BBE">
        <w:t>,</w:t>
      </w:r>
      <w:r w:rsidR="0028270A" w:rsidRPr="0028270A">
        <w:t xml:space="preserve"> that the NI Executive “protect women from harassment by pro-life protesters by investigating complaints and prosecuting and punishing perpetrators.”</w:t>
      </w:r>
      <w:r w:rsidR="0028270A">
        <w:rPr>
          <w:rStyle w:val="FootnoteReference"/>
        </w:rPr>
        <w:footnoteReference w:id="11"/>
      </w:r>
      <w:r w:rsidR="0028270A" w:rsidRPr="0028270A">
        <w:t xml:space="preserve"> </w:t>
      </w:r>
    </w:p>
    <w:p w14:paraId="08DC5589" w14:textId="77777777" w:rsidR="0028270A" w:rsidRDefault="0028270A" w:rsidP="002D55D1">
      <w:pPr>
        <w:ind w:left="720"/>
      </w:pPr>
    </w:p>
    <w:p w14:paraId="07CA2551" w14:textId="481D8954" w:rsidR="00836185" w:rsidRDefault="00836185" w:rsidP="007A5016">
      <w:pPr>
        <w:pStyle w:val="ListParagraph"/>
      </w:pPr>
      <w:r>
        <w:t>The Commission welcomed the decision of the Westminster Parliament to impleme</w:t>
      </w:r>
      <w:r w:rsidR="00C01DA0">
        <w:t xml:space="preserve">nt the recommendations in full through the </w:t>
      </w:r>
      <w:r>
        <w:t>NI (Executive Formation etc</w:t>
      </w:r>
      <w:r w:rsidR="00AA1AF2">
        <w:t>.</w:t>
      </w:r>
      <w:r>
        <w:t>) Act 2019</w:t>
      </w:r>
      <w:r w:rsidR="00C01DA0">
        <w:t xml:space="preserve">. </w:t>
      </w:r>
      <w:r>
        <w:t>The Commission further welcomed the enactment of the Abortion Regulations (NI) 2020 and subsequent Abortion (NI) (No 2) Regulations 2020 (the Abortion Regulations), which allow terminations to be conducted in NI in a range of circumstances.</w:t>
      </w:r>
      <w:r w:rsidR="001C5EFB">
        <w:t xml:space="preserve"> However,</w:t>
      </w:r>
      <w:r w:rsidR="00C01DA0">
        <w:t xml:space="preserve"> the Commission</w:t>
      </w:r>
      <w:r w:rsidR="000C5FFD">
        <w:t xml:space="preserve"> remained</w:t>
      </w:r>
      <w:r w:rsidR="006F1D6E">
        <w:t xml:space="preserve"> concerned that t</w:t>
      </w:r>
      <w:r w:rsidR="006F1D6E" w:rsidRPr="006F1D6E">
        <w:t xml:space="preserve">he Abortion Regulations did not </w:t>
      </w:r>
      <w:r w:rsidR="006F1D6E" w:rsidRPr="006F1D6E">
        <w:lastRenderedPageBreak/>
        <w:t xml:space="preserve">include provision for safe </w:t>
      </w:r>
      <w:r w:rsidR="00C2055B">
        <w:t xml:space="preserve">access </w:t>
      </w:r>
      <w:r w:rsidR="006F1D6E" w:rsidRPr="006F1D6E">
        <w:t>or buffer zones</w:t>
      </w:r>
      <w:r w:rsidR="00C2055B">
        <w:t>,</w:t>
      </w:r>
      <w:r w:rsidR="006F1D6E">
        <w:t xml:space="preserve"> as </w:t>
      </w:r>
      <w:r w:rsidR="00C2055B">
        <w:t xml:space="preserve">recommended </w:t>
      </w:r>
      <w:r w:rsidR="006F1D6E">
        <w:t xml:space="preserve">by the UN CEDAW </w:t>
      </w:r>
      <w:r w:rsidR="00C2055B">
        <w:t>Committee</w:t>
      </w:r>
      <w:r w:rsidR="006F1D6E">
        <w:t xml:space="preserve">. </w:t>
      </w:r>
    </w:p>
    <w:p w14:paraId="71063EE8" w14:textId="77777777" w:rsidR="006F1D6E" w:rsidRDefault="006F1D6E" w:rsidP="006F1D6E">
      <w:pPr>
        <w:ind w:left="720"/>
      </w:pPr>
    </w:p>
    <w:p w14:paraId="0AF73153" w14:textId="77777777" w:rsidR="007A5016" w:rsidRDefault="00C2055B" w:rsidP="007A5016">
      <w:pPr>
        <w:pStyle w:val="ListParagraph"/>
      </w:pPr>
      <w:r>
        <w:t>S</w:t>
      </w:r>
      <w:r w:rsidR="006F1D6E">
        <w:t xml:space="preserve">ince the </w:t>
      </w:r>
      <w:r w:rsidR="00F41DCD">
        <w:t xml:space="preserve">UN CEDAW </w:t>
      </w:r>
      <w:r w:rsidR="006F1D6E">
        <w:t>report</w:t>
      </w:r>
      <w:r w:rsidR="00AE5852">
        <w:t xml:space="preserve"> in 2018</w:t>
      </w:r>
      <w:r>
        <w:t>,</w:t>
      </w:r>
      <w:r w:rsidR="006F1D6E">
        <w:t xml:space="preserve"> the </w:t>
      </w:r>
      <w:r w:rsidR="006F1D6E" w:rsidRPr="003F3A16">
        <w:t xml:space="preserve">relevant UN treaty monitoring bodies have continued to </w:t>
      </w:r>
      <w:r w:rsidR="006F1D6E">
        <w:t>h</w:t>
      </w:r>
      <w:r w:rsidR="006F1D6E" w:rsidRPr="003F3A16">
        <w:t>ighlight the inadequacy of the law in NI</w:t>
      </w:r>
      <w:r>
        <w:t xml:space="preserve">. Those bodies have found that the current law in NI is not </w:t>
      </w:r>
      <w:r w:rsidR="006F1D6E" w:rsidRPr="003F3A16">
        <w:t xml:space="preserve">human rights compliant. </w:t>
      </w:r>
    </w:p>
    <w:p w14:paraId="4E59296A" w14:textId="77777777" w:rsidR="007A5016" w:rsidRDefault="007A5016" w:rsidP="007A5016">
      <w:pPr>
        <w:ind w:left="720"/>
      </w:pPr>
    </w:p>
    <w:p w14:paraId="36CB9297" w14:textId="77777777" w:rsidR="007A5016" w:rsidRDefault="006F1D6E" w:rsidP="007A5016">
      <w:pPr>
        <w:pStyle w:val="ListParagraph"/>
      </w:pPr>
      <w:r w:rsidRPr="003F3A16">
        <w:t xml:space="preserve">In </w:t>
      </w:r>
      <w:r w:rsidR="00AE5852">
        <w:t xml:space="preserve">March </w:t>
      </w:r>
      <w:r w:rsidRPr="003F3A16">
        <w:t>2019</w:t>
      </w:r>
      <w:r w:rsidR="00AE5852">
        <w:t>, in its</w:t>
      </w:r>
      <w:r w:rsidRPr="003F3A16">
        <w:t xml:space="preserve"> concluding observations on the UK, the UN CEDAW Committee called for the implementation of the </w:t>
      </w:r>
      <w:r w:rsidRPr="00CD6B9E">
        <w:t xml:space="preserve">recommendations contained in the UN CEDAW Committee’s </w:t>
      </w:r>
      <w:r w:rsidR="00AE5852">
        <w:t>2018</w:t>
      </w:r>
      <w:r w:rsidR="00AE5852" w:rsidRPr="00CD6B9E">
        <w:t xml:space="preserve"> </w:t>
      </w:r>
      <w:r w:rsidRPr="00CD6B9E">
        <w:t xml:space="preserve">report. The UN CEDAW Committee </w:t>
      </w:r>
      <w:r w:rsidR="00AE5852">
        <w:t>stressed that it remained “</w:t>
      </w:r>
      <w:r w:rsidRPr="00CD6B9E">
        <w:t xml:space="preserve">concerned about obstacles faced by women belonging to </w:t>
      </w:r>
      <w:proofErr w:type="spellStart"/>
      <w:r w:rsidRPr="00CD6B9E">
        <w:t>marginalised</w:t>
      </w:r>
      <w:proofErr w:type="spellEnd"/>
      <w:r w:rsidRPr="00CD6B9E">
        <w:t xml:space="preserve"> groups, such as asylum-seeking and refugee women, migrant women, Roma and </w:t>
      </w:r>
      <w:proofErr w:type="spellStart"/>
      <w:r w:rsidRPr="00CD6B9E">
        <w:t>Traveller</w:t>
      </w:r>
      <w:proofErr w:type="spellEnd"/>
      <w:r w:rsidRPr="00CD6B9E">
        <w:t xml:space="preserve"> women, and victims of trafficking in gaining access to healthcare services, including as a result of their inability to provide identity documentation, proof of address or immigration status.</w:t>
      </w:r>
      <w:r w:rsidR="00AE5852">
        <w:t>”</w:t>
      </w:r>
      <w:r w:rsidRPr="00CD6B9E">
        <w:rPr>
          <w:rStyle w:val="FootnoteReference"/>
        </w:rPr>
        <w:footnoteReference w:id="12"/>
      </w:r>
    </w:p>
    <w:p w14:paraId="0C40C4E9" w14:textId="77777777" w:rsidR="007A5016" w:rsidRDefault="007A5016" w:rsidP="007A5016">
      <w:pPr>
        <w:ind w:left="720"/>
      </w:pPr>
    </w:p>
    <w:p w14:paraId="59C5F0A2" w14:textId="6B730674" w:rsidR="00FD5C8B" w:rsidRPr="007A5016" w:rsidRDefault="00FD5C8B" w:rsidP="007A5016">
      <w:pPr>
        <w:pStyle w:val="ListParagraph"/>
      </w:pPr>
      <w:r w:rsidRPr="00FD5C8B">
        <w:t xml:space="preserve">In June 2019, the UN </w:t>
      </w:r>
      <w:r>
        <w:t xml:space="preserve">CAT </w:t>
      </w:r>
      <w:r w:rsidRPr="00FD5C8B">
        <w:t>Committee</w:t>
      </w:r>
      <w:r w:rsidR="00C73D28">
        <w:t>,</w:t>
      </w:r>
      <w:r w:rsidRPr="00FD5C8B">
        <w:t xml:space="preserve"> in its concluding observations</w:t>
      </w:r>
      <w:r w:rsidR="00C73D28">
        <w:t xml:space="preserve">, cited UN CEDAW with approval and recommended that </w:t>
      </w:r>
      <w:r w:rsidRPr="00FD5C8B">
        <w:t>the UK and NI Executive</w:t>
      </w:r>
      <w:r w:rsidR="00C73D28">
        <w:t xml:space="preserve"> should “</w:t>
      </w:r>
      <w:r w:rsidRPr="007A5016">
        <w:rPr>
          <w:iCs/>
        </w:rPr>
        <w:t xml:space="preserve">ensure that all women and girls in the State Party, including in NI, have effective access to the means of terminating a pregnancy when not doing so is likely to result in severe pain and suffering, such as when the pregnancy is the result of rape or incest, when the life or health of the pregnant woman or girl is at risk and in cases of fatal </w:t>
      </w:r>
      <w:proofErr w:type="spellStart"/>
      <w:r w:rsidRPr="007A5016">
        <w:rPr>
          <w:iCs/>
        </w:rPr>
        <w:t>foetal</w:t>
      </w:r>
      <w:proofErr w:type="spellEnd"/>
      <w:r w:rsidRPr="007A5016">
        <w:rPr>
          <w:iCs/>
        </w:rPr>
        <w:t xml:space="preserve"> impairment. The State Party should also ensure that women and girls in NI have effective access to post-abortion health care and that neither patients nor their doctors face criminal sanctions or other threats for seeking or providing such care.</w:t>
      </w:r>
      <w:r w:rsidR="00C73D28" w:rsidRPr="007A5016">
        <w:rPr>
          <w:iCs/>
        </w:rPr>
        <w:t>”</w:t>
      </w:r>
      <w:r w:rsidRPr="00FD5C8B">
        <w:rPr>
          <w:vertAlign w:val="superscript"/>
        </w:rPr>
        <w:footnoteReference w:id="13"/>
      </w:r>
    </w:p>
    <w:p w14:paraId="19AD635A" w14:textId="77777777" w:rsidR="00FA6B11" w:rsidRPr="003B7D0E" w:rsidRDefault="00FA6B11" w:rsidP="00FD5C8B">
      <w:pPr>
        <w:pStyle w:val="BasicParagraph"/>
        <w:suppressAutoHyphens/>
        <w:spacing w:before="24" w:after="24"/>
        <w:ind w:left="720"/>
        <w:rPr>
          <w:rFonts w:ascii="Verdana" w:hAnsi="Verdana" w:cs="Arial"/>
          <w:color w:val="77328A"/>
          <w:sz w:val="30"/>
          <w:szCs w:val="30"/>
        </w:rPr>
      </w:pPr>
    </w:p>
    <w:p w14:paraId="2BC927C6" w14:textId="12AF5DF5" w:rsidR="00FA6B11" w:rsidRDefault="00FA6B11" w:rsidP="00FD5C8B">
      <w:pPr>
        <w:pStyle w:val="Heading2"/>
        <w:spacing w:before="24" w:after="24"/>
      </w:pPr>
      <w:bookmarkStart w:id="3" w:name="_Toc87636820"/>
      <w:r>
        <w:t xml:space="preserve">European Convention </w:t>
      </w:r>
      <w:r w:rsidR="00AA1AF2">
        <w:t xml:space="preserve">on </w:t>
      </w:r>
      <w:r>
        <w:t xml:space="preserve">Human Rights </w:t>
      </w:r>
      <w:r w:rsidR="00995977">
        <w:t>(ECHR)</w:t>
      </w:r>
      <w:bookmarkEnd w:id="3"/>
    </w:p>
    <w:p w14:paraId="5F07939F" w14:textId="77777777" w:rsidR="00FE665F" w:rsidRDefault="00FE665F" w:rsidP="00FE665F">
      <w:pPr>
        <w:pStyle w:val="BasicParagraph"/>
        <w:suppressAutoHyphens/>
        <w:jc w:val="both"/>
        <w:rPr>
          <w:rFonts w:ascii="Verdana" w:hAnsi="Verdana" w:cs="Arial"/>
          <w:b/>
          <w:color w:val="232120"/>
        </w:rPr>
      </w:pPr>
    </w:p>
    <w:p w14:paraId="40B7198C" w14:textId="1A8FA91A" w:rsidR="006F1D6E" w:rsidRPr="007A5016" w:rsidRDefault="00FD5C8B" w:rsidP="007A5016">
      <w:pPr>
        <w:pStyle w:val="ListParagraph"/>
        <w:rPr>
          <w:rFonts w:cs="Arial"/>
          <w:color w:val="232120"/>
        </w:rPr>
      </w:pPr>
      <w:r w:rsidRPr="007A5016">
        <w:t xml:space="preserve">The introduction of safe </w:t>
      </w:r>
      <w:r w:rsidR="00AA1AF2" w:rsidRPr="007A5016">
        <w:t>access</w:t>
      </w:r>
      <w:r w:rsidRPr="007A5016">
        <w:t xml:space="preserve"> zones engage</w:t>
      </w:r>
      <w:r w:rsidR="00AA1AF2" w:rsidRPr="007A5016">
        <w:t>s</w:t>
      </w:r>
      <w:r w:rsidRPr="007A5016">
        <w:t xml:space="preserve"> several Articles of the ECHR that require consideration. </w:t>
      </w:r>
      <w:r w:rsidR="00C73D28" w:rsidRPr="007A5016">
        <w:t xml:space="preserve">The most relevant are set out below. </w:t>
      </w:r>
    </w:p>
    <w:p w14:paraId="4B5BE115" w14:textId="77777777" w:rsidR="00514708" w:rsidRPr="007A5016" w:rsidRDefault="00514708" w:rsidP="00A81CD8">
      <w:pPr>
        <w:ind w:left="720"/>
      </w:pPr>
    </w:p>
    <w:p w14:paraId="1ED6B893" w14:textId="56D64817" w:rsidR="008F5645" w:rsidRPr="007A5016" w:rsidRDefault="00FE2F8E" w:rsidP="007A5016">
      <w:pPr>
        <w:pStyle w:val="ListParagraph"/>
      </w:pPr>
      <w:r w:rsidRPr="007A5016">
        <w:t>Article 8 ECHR</w:t>
      </w:r>
      <w:r w:rsidR="001A56C1" w:rsidRPr="007A5016">
        <w:t xml:space="preserve"> provides </w:t>
      </w:r>
      <w:r w:rsidR="00C73D28" w:rsidRPr="007A5016">
        <w:t xml:space="preserve">that </w:t>
      </w:r>
      <w:r w:rsidR="001A56C1" w:rsidRPr="007A5016">
        <w:t xml:space="preserve">everyone has the right to respect for </w:t>
      </w:r>
      <w:r w:rsidR="00C73D28" w:rsidRPr="007A5016">
        <w:t xml:space="preserve">his/her </w:t>
      </w:r>
      <w:r w:rsidR="001A56C1" w:rsidRPr="007A5016">
        <w:t xml:space="preserve">private and family life, </w:t>
      </w:r>
      <w:r w:rsidR="00C73D28" w:rsidRPr="007A5016">
        <w:t xml:space="preserve">his/her </w:t>
      </w:r>
      <w:proofErr w:type="gramStart"/>
      <w:r w:rsidR="001A56C1" w:rsidRPr="007A5016">
        <w:t>home</w:t>
      </w:r>
      <w:proofErr w:type="gramEnd"/>
      <w:r w:rsidR="001A56C1" w:rsidRPr="007A5016">
        <w:t xml:space="preserve"> and correspondence.</w:t>
      </w:r>
      <w:r w:rsidR="00995977" w:rsidRPr="007A5016">
        <w:t xml:space="preserve"> </w:t>
      </w:r>
      <w:r w:rsidR="00E53E26" w:rsidRPr="007A5016">
        <w:t xml:space="preserve">Article 9 ECHR </w:t>
      </w:r>
      <w:r w:rsidR="00C73D28" w:rsidRPr="007A5016">
        <w:lastRenderedPageBreak/>
        <w:t xml:space="preserve">protects </w:t>
      </w:r>
      <w:r w:rsidR="00E53E26" w:rsidRPr="007A5016">
        <w:t xml:space="preserve">the right to freedom of thought, </w:t>
      </w:r>
      <w:proofErr w:type="gramStart"/>
      <w:r w:rsidR="00E53E26" w:rsidRPr="007A5016">
        <w:t>conscience</w:t>
      </w:r>
      <w:proofErr w:type="gramEnd"/>
      <w:r w:rsidR="00E53E26" w:rsidRPr="007A5016">
        <w:t xml:space="preserve"> and religion. Article 10 ECHR </w:t>
      </w:r>
      <w:r w:rsidR="00C73D28" w:rsidRPr="007A5016">
        <w:t xml:space="preserve">protects the </w:t>
      </w:r>
      <w:r w:rsidR="00E53E26" w:rsidRPr="007A5016">
        <w:t xml:space="preserve">right to freedom of expression. </w:t>
      </w:r>
      <w:r w:rsidR="00C73D28" w:rsidRPr="007A5016">
        <w:t xml:space="preserve">Article 10 </w:t>
      </w:r>
      <w:r w:rsidR="00E53E26" w:rsidRPr="007A5016">
        <w:t xml:space="preserve">includes </w:t>
      </w:r>
      <w:r w:rsidR="00C73D28" w:rsidRPr="007A5016">
        <w:t xml:space="preserve">the </w:t>
      </w:r>
      <w:r w:rsidR="00E53E26" w:rsidRPr="007A5016">
        <w:t xml:space="preserve">freedom to hold opinions and to receive and impart information and ideas without interference by </w:t>
      </w:r>
      <w:r w:rsidR="00C73D28" w:rsidRPr="007A5016">
        <w:t xml:space="preserve">a </w:t>
      </w:r>
      <w:r w:rsidR="00E53E26" w:rsidRPr="007A5016">
        <w:t xml:space="preserve">public authority. Article 11 ECHR provides </w:t>
      </w:r>
      <w:r w:rsidR="00C73D28" w:rsidRPr="007A5016">
        <w:t xml:space="preserve">that </w:t>
      </w:r>
      <w:r w:rsidR="00E53E26" w:rsidRPr="007A5016">
        <w:t>everyone has the right to freedom of peaceful assembly and to freedom of association with others.</w:t>
      </w:r>
      <w:r w:rsidR="008F5645" w:rsidRPr="007A5016">
        <w:t xml:space="preserve"> </w:t>
      </w:r>
    </w:p>
    <w:p w14:paraId="2E739FFE" w14:textId="77777777" w:rsidR="00E53E26" w:rsidRPr="007A5016" w:rsidRDefault="00E53E26" w:rsidP="00A81CD8">
      <w:pPr>
        <w:ind w:left="720"/>
      </w:pPr>
    </w:p>
    <w:p w14:paraId="24CD9CC8" w14:textId="5F6A165F" w:rsidR="00BE6E2B" w:rsidRPr="007A5016" w:rsidRDefault="00C73D28" w:rsidP="007A5016">
      <w:pPr>
        <w:pStyle w:val="ListParagraph"/>
      </w:pPr>
      <w:r w:rsidRPr="007A5016">
        <w:t>None of</w:t>
      </w:r>
      <w:r w:rsidR="00E53E26" w:rsidRPr="007A5016">
        <w:t xml:space="preserve"> the above ECHR rights are absolute rights</w:t>
      </w:r>
      <w:r w:rsidRPr="007A5016">
        <w:t>. That means</w:t>
      </w:r>
      <w:r w:rsidR="00E53E26" w:rsidRPr="007A5016">
        <w:t xml:space="preserve"> </w:t>
      </w:r>
      <w:r w:rsidR="00AA1AF2" w:rsidRPr="007A5016">
        <w:t xml:space="preserve">that </w:t>
      </w:r>
      <w:r w:rsidR="00E53E26" w:rsidRPr="007A5016">
        <w:t xml:space="preserve">they can be interfered </w:t>
      </w:r>
      <w:r w:rsidR="00AA1AF2" w:rsidRPr="007A5016">
        <w:t xml:space="preserve">with </w:t>
      </w:r>
      <w:r w:rsidR="00E53E26" w:rsidRPr="007A5016">
        <w:t>and limited under certain circumstances</w:t>
      </w:r>
      <w:r w:rsidR="00262A6C" w:rsidRPr="007A5016">
        <w:t xml:space="preserve">. Those circumstances are set out </w:t>
      </w:r>
      <w:r w:rsidR="00E53E26" w:rsidRPr="007A5016">
        <w:t>within the ECHR Articles</w:t>
      </w:r>
      <w:r w:rsidR="00262A6C" w:rsidRPr="007A5016">
        <w:t>.</w:t>
      </w:r>
      <w:r w:rsidR="00E53E26" w:rsidRPr="007A5016">
        <w:t xml:space="preserve"> </w:t>
      </w:r>
      <w:r w:rsidR="008F5645" w:rsidRPr="007A5016">
        <w:t xml:space="preserve">Articles 8, 9, 10 and 11 ECHR </w:t>
      </w:r>
      <w:r w:rsidR="00262A6C" w:rsidRPr="007A5016">
        <w:t xml:space="preserve">provide the </w:t>
      </w:r>
      <w:r w:rsidR="008F5645" w:rsidRPr="007A5016">
        <w:t>conditions for restricti</w:t>
      </w:r>
      <w:r w:rsidR="00262A6C" w:rsidRPr="007A5016">
        <w:t>ng</w:t>
      </w:r>
      <w:r w:rsidR="008F5645" w:rsidRPr="007A5016">
        <w:t xml:space="preserve"> </w:t>
      </w:r>
      <w:r w:rsidR="00262A6C" w:rsidRPr="007A5016">
        <w:t xml:space="preserve">those </w:t>
      </w:r>
      <w:r w:rsidR="008F5645" w:rsidRPr="007A5016">
        <w:t xml:space="preserve">rights and freedoms. </w:t>
      </w:r>
      <w:r w:rsidR="00262A6C" w:rsidRPr="007A5016">
        <w:t xml:space="preserve">For example, </w:t>
      </w:r>
      <w:r w:rsidR="00E53E26" w:rsidRPr="007A5016">
        <w:t>t</w:t>
      </w:r>
      <w:r w:rsidR="000713E3" w:rsidRPr="007A5016">
        <w:t xml:space="preserve">here shall be no interference </w:t>
      </w:r>
      <w:r w:rsidR="00514708" w:rsidRPr="007A5016">
        <w:t xml:space="preserve">or </w:t>
      </w:r>
      <w:r w:rsidR="00262A6C" w:rsidRPr="007A5016">
        <w:t xml:space="preserve">limitation on the exercise of the rights </w:t>
      </w:r>
      <w:r w:rsidR="007A5016" w:rsidRPr="007A5016">
        <w:t xml:space="preserve">except where </w:t>
      </w:r>
      <w:r w:rsidR="000713E3" w:rsidRPr="007A5016">
        <w:t>in accordance with the law</w:t>
      </w:r>
      <w:r w:rsidR="00262A6C" w:rsidRPr="007A5016">
        <w:t xml:space="preserve"> </w:t>
      </w:r>
      <w:r w:rsidR="0040428E" w:rsidRPr="007A5016">
        <w:t>and necessary</w:t>
      </w:r>
      <w:r w:rsidR="000713E3" w:rsidRPr="007A5016">
        <w:t xml:space="preserve"> in a democratic society</w:t>
      </w:r>
      <w:r w:rsidR="00262A6C" w:rsidRPr="007A5016">
        <w:t>. Necessity must be</w:t>
      </w:r>
      <w:r w:rsidR="000713E3" w:rsidRPr="007A5016">
        <w:t xml:space="preserve"> </w:t>
      </w:r>
      <w:r w:rsidR="007A5016" w:rsidRPr="007A5016">
        <w:t xml:space="preserve">confined to </w:t>
      </w:r>
      <w:r w:rsidR="00262A6C" w:rsidRPr="007A5016">
        <w:t xml:space="preserve">which is necessary: </w:t>
      </w:r>
      <w:r w:rsidR="000713E3" w:rsidRPr="007A5016">
        <w:t xml:space="preserve">in the interests of national security, public </w:t>
      </w:r>
      <w:proofErr w:type="gramStart"/>
      <w:r w:rsidR="000713E3" w:rsidRPr="007A5016">
        <w:t>safety</w:t>
      </w:r>
      <w:proofErr w:type="gramEnd"/>
      <w:r w:rsidR="000713E3" w:rsidRPr="007A5016">
        <w:t xml:space="preserve"> or the economic well-being of the country</w:t>
      </w:r>
      <w:r w:rsidR="00262A6C" w:rsidRPr="007A5016">
        <w:t>;</w:t>
      </w:r>
      <w:r w:rsidR="000713E3" w:rsidRPr="007A5016">
        <w:t xml:space="preserve"> for the prevention of disorder or crime</w:t>
      </w:r>
      <w:r w:rsidR="00262A6C" w:rsidRPr="007A5016">
        <w:t>;</w:t>
      </w:r>
      <w:r w:rsidR="000713E3" w:rsidRPr="007A5016">
        <w:t xml:space="preserve"> for the protection of health or morals</w:t>
      </w:r>
      <w:r w:rsidR="00262A6C" w:rsidRPr="007A5016">
        <w:t>;</w:t>
      </w:r>
      <w:r w:rsidR="000713E3" w:rsidRPr="007A5016">
        <w:t xml:space="preserve"> or</w:t>
      </w:r>
      <w:r w:rsidR="00262A6C" w:rsidRPr="007A5016">
        <w:t>,</w:t>
      </w:r>
      <w:r w:rsidR="000713E3" w:rsidRPr="007A5016">
        <w:t xml:space="preserve"> for the protection of the rights and freedoms of other</w:t>
      </w:r>
      <w:r w:rsidR="00E53E26" w:rsidRPr="007A5016">
        <w:t>s.</w:t>
      </w:r>
      <w:r w:rsidR="00514708" w:rsidRPr="007A5016">
        <w:rPr>
          <w:rStyle w:val="FootnoteReference"/>
        </w:rPr>
        <w:footnoteReference w:id="14"/>
      </w:r>
      <w:r w:rsidR="00E53E26" w:rsidRPr="007A5016">
        <w:t xml:space="preserve"> </w:t>
      </w:r>
    </w:p>
    <w:p w14:paraId="7F045F66" w14:textId="77777777" w:rsidR="00BE6E2B" w:rsidRPr="007A5016" w:rsidRDefault="00BE6E2B" w:rsidP="00A81CD8">
      <w:pPr>
        <w:ind w:left="720"/>
      </w:pPr>
    </w:p>
    <w:p w14:paraId="3210C7CE" w14:textId="79AA4051" w:rsidR="00BE6E2B" w:rsidRPr="007A5016" w:rsidRDefault="00262A6C" w:rsidP="007A5016">
      <w:pPr>
        <w:pStyle w:val="ListParagraph"/>
      </w:pPr>
      <w:r w:rsidRPr="007A5016">
        <w:t>The</w:t>
      </w:r>
      <w:r w:rsidR="00BE6E2B" w:rsidRPr="007A5016">
        <w:t xml:space="preserve"> </w:t>
      </w:r>
      <w:r w:rsidR="00554FBF" w:rsidRPr="007A5016">
        <w:t>European Court of Human Rights (</w:t>
      </w:r>
      <w:r w:rsidR="00BE6E2B" w:rsidRPr="007A5016">
        <w:t>ECtHR</w:t>
      </w:r>
      <w:r w:rsidR="00554FBF" w:rsidRPr="007A5016">
        <w:t>)</w:t>
      </w:r>
      <w:r w:rsidRPr="007A5016">
        <w:t>, in considering restrictions or limitations</w:t>
      </w:r>
      <w:r w:rsidR="00D93E79" w:rsidRPr="007A5016">
        <w:t>,</w:t>
      </w:r>
      <w:r w:rsidR="00BE6E2B" w:rsidRPr="007A5016">
        <w:t xml:space="preserve"> has</w:t>
      </w:r>
      <w:r w:rsidR="00D93E79" w:rsidRPr="007A5016">
        <w:t xml:space="preserve"> held that the restriction must be </w:t>
      </w:r>
      <w:r w:rsidR="00BE6E2B" w:rsidRPr="007A5016">
        <w:t>"prescribed by law"</w:t>
      </w:r>
      <w:r w:rsidR="008F5645" w:rsidRPr="007A5016">
        <w:t xml:space="preserve">; </w:t>
      </w:r>
      <w:r w:rsidR="00D93E79" w:rsidRPr="007A5016">
        <w:t xml:space="preserve">have a </w:t>
      </w:r>
      <w:r w:rsidR="00BE6E2B" w:rsidRPr="007A5016">
        <w:t xml:space="preserve">legitimate </w:t>
      </w:r>
      <w:r w:rsidR="00D93E79" w:rsidRPr="007A5016">
        <w:t xml:space="preserve">aim </w:t>
      </w:r>
      <w:r w:rsidR="00BE6E2B" w:rsidRPr="007A5016">
        <w:t>under the relevant Article</w:t>
      </w:r>
      <w:r w:rsidR="00D93E79" w:rsidRPr="007A5016">
        <w:t>;</w:t>
      </w:r>
      <w:r w:rsidR="00BE6E2B" w:rsidRPr="007A5016">
        <w:t xml:space="preserve"> </w:t>
      </w:r>
      <w:r w:rsidR="008F5645" w:rsidRPr="007A5016">
        <w:t xml:space="preserve">and </w:t>
      </w:r>
      <w:r w:rsidR="00D93E79" w:rsidRPr="007A5016">
        <w:t>must be</w:t>
      </w:r>
      <w:r w:rsidR="00BE6E2B" w:rsidRPr="007A5016">
        <w:t xml:space="preserve"> </w:t>
      </w:r>
      <w:r w:rsidR="00FC13B1" w:rsidRPr="007A5016">
        <w:t>“necessary in a democratic society”</w:t>
      </w:r>
      <w:r w:rsidR="00BE6E2B" w:rsidRPr="007A5016">
        <w:t>.</w:t>
      </w:r>
      <w:r w:rsidR="008F5645" w:rsidRPr="007A5016">
        <w:rPr>
          <w:rStyle w:val="FootnoteReference"/>
          <w:rFonts w:cs="Arial"/>
        </w:rPr>
        <w:footnoteReference w:id="15"/>
      </w:r>
      <w:r w:rsidR="00BE6E2B" w:rsidRPr="007A5016">
        <w:t xml:space="preserve"> </w:t>
      </w:r>
      <w:r w:rsidR="00FC13B1" w:rsidRPr="007A5016">
        <w:t xml:space="preserve">Contracting States enjoy </w:t>
      </w:r>
      <w:r w:rsidR="00D93E79" w:rsidRPr="007A5016">
        <w:t xml:space="preserve">some </w:t>
      </w:r>
      <w:r w:rsidR="00FC13B1" w:rsidRPr="007A5016">
        <w:t>margin of appreciation</w:t>
      </w:r>
      <w:r w:rsidR="00BE6E2B" w:rsidRPr="007A5016">
        <w:t xml:space="preserve"> in determining these.</w:t>
      </w:r>
      <w:r w:rsidR="00FC13B1" w:rsidRPr="007A5016">
        <w:t xml:space="preserve"> </w:t>
      </w:r>
      <w:r w:rsidR="00D93E79" w:rsidRPr="007A5016">
        <w:t xml:space="preserve">To demonstrate that a restriction is necessary in a democratic society, it must be proportionate. In other words, </w:t>
      </w:r>
      <w:r w:rsidR="00BE6E2B" w:rsidRPr="007A5016">
        <w:t xml:space="preserve">there </w:t>
      </w:r>
      <w:r w:rsidR="00D93E79" w:rsidRPr="007A5016">
        <w:t>must be</w:t>
      </w:r>
      <w:r w:rsidR="00BE6E2B" w:rsidRPr="007A5016">
        <w:t xml:space="preserve"> a reasonable relationship between </w:t>
      </w:r>
      <w:r w:rsidR="00D93E79" w:rsidRPr="007A5016">
        <w:t>the legitimate aim</w:t>
      </w:r>
      <w:r w:rsidR="00BE6E2B" w:rsidRPr="007A5016">
        <w:t xml:space="preserve"> to be achieved and the means used to achieve that </w:t>
      </w:r>
      <w:r w:rsidR="00D93E79" w:rsidRPr="007A5016">
        <w:t>aim</w:t>
      </w:r>
      <w:r w:rsidR="00BE6E2B" w:rsidRPr="007A5016">
        <w:t>.</w:t>
      </w:r>
      <w:r w:rsidR="008F5645" w:rsidRPr="007A5016">
        <w:rPr>
          <w:rStyle w:val="FootnoteReference"/>
          <w:rFonts w:cs="MinionPro-Regular"/>
          <w:color w:val="000000"/>
        </w:rPr>
        <w:footnoteReference w:id="16"/>
      </w:r>
      <w:r w:rsidR="00BE6E2B" w:rsidRPr="007A5016">
        <w:t xml:space="preserve"> </w:t>
      </w:r>
    </w:p>
    <w:p w14:paraId="48CDF54A" w14:textId="77777777" w:rsidR="00BE6E2B" w:rsidRPr="007A5016" w:rsidRDefault="00BE6E2B" w:rsidP="00A81CD8">
      <w:pPr>
        <w:ind w:left="720"/>
      </w:pPr>
    </w:p>
    <w:p w14:paraId="2047EE5A" w14:textId="3988C8E1" w:rsidR="00717E82" w:rsidRPr="007A5016" w:rsidRDefault="0079648D" w:rsidP="007A5016">
      <w:pPr>
        <w:pStyle w:val="ListParagraph"/>
      </w:pPr>
      <w:proofErr w:type="gramStart"/>
      <w:r w:rsidRPr="007A5016">
        <w:t>In light of</w:t>
      </w:r>
      <w:proofErr w:type="gramEnd"/>
      <w:r w:rsidRPr="007A5016">
        <w:t xml:space="preserve"> the above, the Commission advises that in</w:t>
      </w:r>
      <w:r w:rsidR="00717E82" w:rsidRPr="007A5016">
        <w:t xml:space="preserve"> the case of </w:t>
      </w:r>
      <w:r w:rsidR="00554FBF" w:rsidRPr="007A5016">
        <w:t xml:space="preserve">safe access </w:t>
      </w:r>
      <w:r w:rsidR="00717E82" w:rsidRPr="007A5016">
        <w:t>zones,</w:t>
      </w:r>
      <w:r w:rsidR="00554FBF" w:rsidRPr="007A5016">
        <w:t xml:space="preserve"> the</w:t>
      </w:r>
      <w:r w:rsidRPr="007A5016">
        <w:t xml:space="preserve">re </w:t>
      </w:r>
      <w:r w:rsidR="0040428E" w:rsidRPr="007A5016">
        <w:t>are legitimate</w:t>
      </w:r>
      <w:r w:rsidRPr="007A5016">
        <w:t xml:space="preserve"> </w:t>
      </w:r>
      <w:r w:rsidR="00554FBF" w:rsidRPr="007A5016">
        <w:t>aim</w:t>
      </w:r>
      <w:r w:rsidRPr="007A5016">
        <w:t>s</w:t>
      </w:r>
      <w:r w:rsidR="00554FBF" w:rsidRPr="007A5016">
        <w:t xml:space="preserve"> </w:t>
      </w:r>
      <w:r w:rsidRPr="007A5016">
        <w:t xml:space="preserve">such as </w:t>
      </w:r>
      <w:r w:rsidR="00717E82" w:rsidRPr="007A5016">
        <w:t>the</w:t>
      </w:r>
      <w:r w:rsidR="00FD5C8B" w:rsidRPr="007A5016">
        <w:t xml:space="preserve"> protection of health</w:t>
      </w:r>
      <w:r w:rsidRPr="007A5016">
        <w:t>.</w:t>
      </w:r>
      <w:r w:rsidR="00FD5C8B" w:rsidRPr="007A5016">
        <w:t xml:space="preserve"> </w:t>
      </w:r>
      <w:r w:rsidRPr="007A5016">
        <w:t>W</w:t>
      </w:r>
      <w:r w:rsidR="00FD5C8B" w:rsidRPr="007A5016">
        <w:t xml:space="preserve">here protests are preventing access to necessary healthcare, causing </w:t>
      </w:r>
      <w:proofErr w:type="gramStart"/>
      <w:r w:rsidR="00FD5C8B" w:rsidRPr="007A5016">
        <w:t>distress</w:t>
      </w:r>
      <w:proofErr w:type="gramEnd"/>
      <w:r w:rsidR="00FD5C8B" w:rsidRPr="007A5016">
        <w:t xml:space="preserve"> or possibly leading to harassment of patients and staff, protecting their right to physical and psychological integrity (</w:t>
      </w:r>
      <w:r w:rsidRPr="007A5016">
        <w:t xml:space="preserve">under </w:t>
      </w:r>
      <w:r w:rsidR="00FD5C8B" w:rsidRPr="007A5016">
        <w:t xml:space="preserve">Article 8 ECHR) </w:t>
      </w:r>
      <w:r w:rsidRPr="007A5016">
        <w:t xml:space="preserve">is </w:t>
      </w:r>
      <w:r w:rsidR="00FD5C8B" w:rsidRPr="007A5016">
        <w:t xml:space="preserve">a </w:t>
      </w:r>
      <w:r w:rsidRPr="007A5016">
        <w:t xml:space="preserve">very important </w:t>
      </w:r>
      <w:r w:rsidR="00FD5C8B" w:rsidRPr="007A5016">
        <w:t xml:space="preserve">factor. </w:t>
      </w:r>
    </w:p>
    <w:p w14:paraId="028FBDB4" w14:textId="77777777" w:rsidR="00717E82" w:rsidRPr="00717E82" w:rsidRDefault="00717E82" w:rsidP="00A81CD8">
      <w:pPr>
        <w:ind w:left="720"/>
      </w:pPr>
    </w:p>
    <w:p w14:paraId="4CD71FD0" w14:textId="6A4AC1D8" w:rsidR="00965F25" w:rsidRPr="007A5016" w:rsidRDefault="0079648D" w:rsidP="007A5016">
      <w:pPr>
        <w:pStyle w:val="ListParagraph"/>
      </w:pPr>
      <w:r w:rsidRPr="007A5016">
        <w:t>Moreover, i</w:t>
      </w:r>
      <w:r w:rsidR="00FE2F8E" w:rsidRPr="007A5016">
        <w:t xml:space="preserve">n extreme cases, </w:t>
      </w:r>
      <w:r w:rsidRPr="007A5016">
        <w:t xml:space="preserve">the attempt by protesters to prevent (physically or psychologically) women and girls from accessing </w:t>
      </w:r>
      <w:r w:rsidR="00FE2F8E" w:rsidRPr="007A5016">
        <w:t xml:space="preserve">vital reproductive healthcare their right to life (Article 2 ECHR) </w:t>
      </w:r>
      <w:r w:rsidR="005B11F4" w:rsidRPr="007A5016">
        <w:t xml:space="preserve">is engaged and </w:t>
      </w:r>
      <w:r w:rsidR="005B11F4" w:rsidRPr="007A5016">
        <w:lastRenderedPageBreak/>
        <w:t xml:space="preserve">potentially infringed. In such </w:t>
      </w:r>
      <w:r w:rsidR="0040428E" w:rsidRPr="007A5016">
        <w:t>circumstances</w:t>
      </w:r>
      <w:r w:rsidR="005B11F4" w:rsidRPr="007A5016">
        <w:t>, the</w:t>
      </w:r>
      <w:r w:rsidR="00FE2F8E" w:rsidRPr="007A5016">
        <w:t xml:space="preserve"> Article 2 ECHR right </w:t>
      </w:r>
      <w:r w:rsidR="005B11F4" w:rsidRPr="007A5016">
        <w:t xml:space="preserve">of </w:t>
      </w:r>
      <w:r w:rsidR="0040428E" w:rsidRPr="007A5016">
        <w:t>women</w:t>
      </w:r>
      <w:r w:rsidR="005B11F4" w:rsidRPr="007A5016">
        <w:t xml:space="preserve"> and girls will </w:t>
      </w:r>
      <w:r w:rsidR="00FE2F8E" w:rsidRPr="007A5016">
        <w:t>prevail over a protest</w:t>
      </w:r>
      <w:r w:rsidR="00C0376B" w:rsidRPr="007A5016">
        <w:t>e</w:t>
      </w:r>
      <w:r w:rsidR="00FE2F8E" w:rsidRPr="007A5016">
        <w:t>r’s Articles 10 and 11 ECHR rights. Additionally, the protest</w:t>
      </w:r>
      <w:r w:rsidR="005B11F4" w:rsidRPr="007A5016">
        <w:t xml:space="preserve">ers’ actions may amount to torture, inhuman or degrading </w:t>
      </w:r>
      <w:r w:rsidR="00FE2F8E" w:rsidRPr="007A5016">
        <w:t>treatment (Article 3 ECHR)</w:t>
      </w:r>
      <w:r w:rsidR="005B11F4" w:rsidRPr="007A5016">
        <w:t>. Article 3 is</w:t>
      </w:r>
      <w:r w:rsidR="00FE2F8E" w:rsidRPr="007A5016">
        <w:t xml:space="preserve"> an absolute right, </w:t>
      </w:r>
      <w:r w:rsidR="005B11F4" w:rsidRPr="007A5016">
        <w:t>which may never be derogated from. Tha</w:t>
      </w:r>
      <w:r w:rsidR="007A5016" w:rsidRPr="007A5016">
        <w:t xml:space="preserve">t being the case, the Article 3 </w:t>
      </w:r>
      <w:r w:rsidR="005B11F4" w:rsidRPr="007A5016">
        <w:t xml:space="preserve">rights of women and girls will </w:t>
      </w:r>
      <w:r w:rsidR="00FE2F8E" w:rsidRPr="007A5016">
        <w:t>prevail over a protest</w:t>
      </w:r>
      <w:r w:rsidR="007B16AB" w:rsidRPr="007A5016">
        <w:t>e</w:t>
      </w:r>
      <w:r w:rsidR="007A5016" w:rsidRPr="007A5016">
        <w:t>r’s Article</w:t>
      </w:r>
      <w:r w:rsidR="00FE2F8E" w:rsidRPr="007A5016">
        <w:t xml:space="preserve"> 10 and 11 ECHR rights.</w:t>
      </w:r>
      <w:r w:rsidR="006C6331" w:rsidRPr="007A5016">
        <w:t xml:space="preserve"> The range of circumstances in different scenarios should be considered by the Committee and weighed up bearing in mind the rights set out above.</w:t>
      </w:r>
    </w:p>
    <w:p w14:paraId="058A6509" w14:textId="77777777" w:rsidR="007A5016" w:rsidRPr="007A5016" w:rsidRDefault="007A5016" w:rsidP="007A5016">
      <w:pPr>
        <w:ind w:left="720"/>
      </w:pPr>
    </w:p>
    <w:p w14:paraId="0D850EDD" w14:textId="77777777" w:rsidR="007A5016" w:rsidRPr="007A5016" w:rsidRDefault="007A5016" w:rsidP="007A5016">
      <w:pPr>
        <w:pStyle w:val="ListParagraph"/>
      </w:pPr>
      <w:r w:rsidRPr="007A5016">
        <w:t xml:space="preserve">The Commission welcomes the Bill’s inclusion of ECHR rights within the face of the Bill and that the Department must </w:t>
      </w:r>
      <w:proofErr w:type="gramStart"/>
      <w:r w:rsidRPr="007A5016">
        <w:t>give consideration to</w:t>
      </w:r>
      <w:proofErr w:type="gramEnd"/>
      <w:r w:rsidRPr="007A5016">
        <w:t xml:space="preserve"> these rights. The Commission advises that the Department should be required to carry out a human rights impact assessment when considering safe access zones. </w:t>
      </w:r>
    </w:p>
    <w:p w14:paraId="4497E9C9" w14:textId="77777777" w:rsidR="007A5016" w:rsidRPr="007A5016" w:rsidRDefault="007A5016" w:rsidP="007A5016">
      <w:pPr>
        <w:ind w:left="720"/>
      </w:pPr>
    </w:p>
    <w:p w14:paraId="12F09206" w14:textId="77777777" w:rsidR="007A5016" w:rsidRPr="007A5016" w:rsidRDefault="007A5016" w:rsidP="007A5016">
      <w:pPr>
        <w:pStyle w:val="ListParagraph"/>
      </w:pPr>
      <w:r w:rsidRPr="007A5016">
        <w:t xml:space="preserve">A human rights impact assessment is an important element to ensuring compliance with the Human Right Act 1998. The Human Rights Act 1998, section 6, requires that public authorities do not act in a way that is incompatible with the ECHR. The Human Rights Act 1998, section 3, further requires that “so far as it is possible to do so, primary legislation and subordinate legislation must be read and given effect in a way which is compatible with [ECHR] rights”. To ensure these two requirements are adhered to it is important that a human rights impact assessment is conducted regarding any laws, strategies, </w:t>
      </w:r>
      <w:proofErr w:type="gramStart"/>
      <w:r w:rsidRPr="007A5016">
        <w:t>policies</w:t>
      </w:r>
      <w:proofErr w:type="gramEnd"/>
      <w:r w:rsidRPr="007A5016">
        <w:t xml:space="preserve"> and practices. Such an assessment provides policy makers with a focused approach to ensure human rights issues are fully considered and addressed. The purpose of the assessment is to help identify the potential rights engaged and if there are </w:t>
      </w:r>
      <w:proofErr w:type="gramStart"/>
      <w:r w:rsidRPr="007A5016">
        <w:t>particular aspects</w:t>
      </w:r>
      <w:proofErr w:type="gramEnd"/>
      <w:r w:rsidRPr="007A5016">
        <w:t xml:space="preserve"> that need to be considered, for example, if it is a right that should not be interfered with or if it is a right that can be limited, can any possible limitation be justified.</w:t>
      </w:r>
    </w:p>
    <w:p w14:paraId="321EA707" w14:textId="77777777" w:rsidR="007A5016" w:rsidRPr="000713E3" w:rsidRDefault="007A5016" w:rsidP="007A5016">
      <w:pPr>
        <w:ind w:left="720"/>
      </w:pPr>
    </w:p>
    <w:p w14:paraId="50FB608C" w14:textId="4894F829" w:rsidR="007A5016" w:rsidRPr="007A5016" w:rsidRDefault="007A5016" w:rsidP="007A5016">
      <w:pPr>
        <w:pStyle w:val="ListParagraph"/>
        <w:rPr>
          <w:rFonts w:cs="Arial"/>
          <w:b/>
          <w:color w:val="232120"/>
        </w:rPr>
      </w:pPr>
      <w:r w:rsidRPr="007A5016">
        <w:rPr>
          <w:b/>
        </w:rPr>
        <w:t xml:space="preserve">The Commission recommends the Committee ensure the Department conduct a human rights impact assessment on a case-by-case basis when considering the introduction of a particular safe access zone. </w:t>
      </w:r>
    </w:p>
    <w:p w14:paraId="4C74DF44" w14:textId="0461CF04" w:rsidR="0014617A" w:rsidRDefault="0014617A" w:rsidP="007A5016">
      <w:pPr>
        <w:ind w:left="720"/>
      </w:pPr>
    </w:p>
    <w:p w14:paraId="0A03DA31" w14:textId="1383D943" w:rsidR="00FC13B1" w:rsidRPr="007A5016" w:rsidRDefault="00965F25" w:rsidP="007A5016">
      <w:pPr>
        <w:pStyle w:val="ListParagraph"/>
      </w:pPr>
      <w:r w:rsidRPr="007A5016">
        <w:t xml:space="preserve">The Commission </w:t>
      </w:r>
      <w:r w:rsidR="006C6331" w:rsidRPr="007A5016">
        <w:t xml:space="preserve">draws the Committee’s attention to </w:t>
      </w:r>
      <w:proofErr w:type="gramStart"/>
      <w:r w:rsidR="006C6331" w:rsidRPr="007A5016">
        <w:t>a number of</w:t>
      </w:r>
      <w:proofErr w:type="gramEnd"/>
      <w:r w:rsidR="006C6331" w:rsidRPr="007A5016">
        <w:t xml:space="preserve"> cases determined by </w:t>
      </w:r>
      <w:r w:rsidR="007811BA" w:rsidRPr="007A5016">
        <w:t>the</w:t>
      </w:r>
      <w:r w:rsidRPr="007A5016">
        <w:t xml:space="preserve"> European Court of Human Rights</w:t>
      </w:r>
      <w:r w:rsidR="00FC13B1" w:rsidRPr="007A5016">
        <w:t xml:space="preserve"> </w:t>
      </w:r>
      <w:r w:rsidR="006C6331" w:rsidRPr="007A5016">
        <w:t xml:space="preserve">(ECtHR). These cases have involved the balancing exercise required in the context of </w:t>
      </w:r>
      <w:r w:rsidRPr="007A5016">
        <w:t xml:space="preserve">Article 8 ECHR </w:t>
      </w:r>
      <w:r w:rsidR="006C6331" w:rsidRPr="007A5016">
        <w:t xml:space="preserve">rights against the </w:t>
      </w:r>
      <w:r w:rsidRPr="007A5016">
        <w:t>Article 9, 10 and 11 ECHR rights</w:t>
      </w:r>
      <w:r w:rsidR="007F7C22" w:rsidRPr="007A5016">
        <w:t xml:space="preserve"> of protesters</w:t>
      </w:r>
      <w:r w:rsidRPr="007A5016">
        <w:t>.</w:t>
      </w:r>
    </w:p>
    <w:p w14:paraId="50D64A77" w14:textId="77777777" w:rsidR="00FC13B1" w:rsidRPr="007A5016" w:rsidRDefault="00FC13B1" w:rsidP="00A81CD8">
      <w:pPr>
        <w:ind w:left="720"/>
      </w:pPr>
    </w:p>
    <w:p w14:paraId="47F387B4" w14:textId="50745772" w:rsidR="00FE2F8E" w:rsidRPr="007A5016" w:rsidRDefault="00FE2F8E" w:rsidP="007A5016">
      <w:pPr>
        <w:pStyle w:val="ListParagraph"/>
      </w:pPr>
      <w:r w:rsidRPr="007A5016">
        <w:lastRenderedPageBreak/>
        <w:t xml:space="preserve">In </w:t>
      </w:r>
      <w:r w:rsidRPr="007A5016">
        <w:rPr>
          <w:i/>
        </w:rPr>
        <w:t xml:space="preserve">Van den </w:t>
      </w:r>
      <w:proofErr w:type="spellStart"/>
      <w:r w:rsidRPr="007A5016">
        <w:rPr>
          <w:i/>
        </w:rPr>
        <w:t>Dungen</w:t>
      </w:r>
      <w:proofErr w:type="spellEnd"/>
      <w:r w:rsidRPr="007A5016">
        <w:rPr>
          <w:i/>
        </w:rPr>
        <w:t xml:space="preserve"> v The Netherlands</w:t>
      </w:r>
      <w:r w:rsidRPr="007A5016">
        <w:t xml:space="preserve">, the </w:t>
      </w:r>
      <w:r w:rsidR="005776D3" w:rsidRPr="007A5016">
        <w:t xml:space="preserve">ECtHR </w:t>
      </w:r>
      <w:r w:rsidRPr="007A5016">
        <w:t xml:space="preserve">upheld an injunction in which the applicant was prohibited </w:t>
      </w:r>
      <w:r w:rsidR="005776D3" w:rsidRPr="007A5016">
        <w:t>from being</w:t>
      </w:r>
      <w:r w:rsidRPr="007A5016">
        <w:t xml:space="preserve"> within 250 </w:t>
      </w:r>
      <w:proofErr w:type="spellStart"/>
      <w:r w:rsidR="005776D3" w:rsidRPr="007A5016">
        <w:t>metres</w:t>
      </w:r>
      <w:proofErr w:type="spellEnd"/>
      <w:r w:rsidR="005776D3" w:rsidRPr="007A5016">
        <w:t xml:space="preserve"> </w:t>
      </w:r>
      <w:r w:rsidRPr="007A5016">
        <w:t xml:space="preserve">of an abortion clinic. The applicant </w:t>
      </w:r>
      <w:r w:rsidR="005776D3" w:rsidRPr="007A5016">
        <w:t xml:space="preserve">had </w:t>
      </w:r>
      <w:r w:rsidRPr="007A5016">
        <w:t xml:space="preserve">tried to persuade </w:t>
      </w:r>
      <w:r w:rsidR="005776D3" w:rsidRPr="007A5016">
        <w:t xml:space="preserve">patients </w:t>
      </w:r>
      <w:r w:rsidRPr="007A5016">
        <w:t xml:space="preserve">not to </w:t>
      </w:r>
      <w:r w:rsidR="005776D3" w:rsidRPr="007A5016">
        <w:t>proceed</w:t>
      </w:r>
      <w:r w:rsidR="00DD1E51" w:rsidRPr="007A5016">
        <w:t xml:space="preserve"> and handed out leaflets </w:t>
      </w:r>
      <w:r w:rsidR="005776D3" w:rsidRPr="007A5016">
        <w:t xml:space="preserve">on abortion </w:t>
      </w:r>
      <w:r w:rsidR="00DD1E51" w:rsidRPr="007A5016">
        <w:t>with</w:t>
      </w:r>
      <w:r w:rsidRPr="007A5016">
        <w:t xml:space="preserve"> photographs. The Court </w:t>
      </w:r>
      <w:r w:rsidR="005776D3" w:rsidRPr="007A5016">
        <w:t xml:space="preserve">held </w:t>
      </w:r>
      <w:r w:rsidR="00DD1E51" w:rsidRPr="007A5016">
        <w:t xml:space="preserve">that the interference with </w:t>
      </w:r>
      <w:r w:rsidR="005776D3" w:rsidRPr="007A5016">
        <w:t xml:space="preserve">the applicant’s </w:t>
      </w:r>
      <w:r w:rsidR="00DD1E51" w:rsidRPr="007A5016">
        <w:t>Article 10</w:t>
      </w:r>
      <w:r w:rsidR="00275775" w:rsidRPr="007A5016">
        <w:t xml:space="preserve"> </w:t>
      </w:r>
      <w:r w:rsidR="005776D3" w:rsidRPr="007A5016">
        <w:t>right to</w:t>
      </w:r>
      <w:r w:rsidR="00DD1E51" w:rsidRPr="007A5016">
        <w:t xml:space="preserve"> </w:t>
      </w:r>
      <w:r w:rsidRPr="007A5016">
        <w:t>freedom of expression was justified</w:t>
      </w:r>
      <w:r w:rsidR="005776D3" w:rsidRPr="007A5016">
        <w:t xml:space="preserve">. It observed that </w:t>
      </w:r>
      <w:r w:rsidRPr="007A5016">
        <w:t>the injunction was aimed at protecting the</w:t>
      </w:r>
      <w:r w:rsidR="00275775" w:rsidRPr="007A5016">
        <w:t xml:space="preserve"> Article 8 ECHR</w:t>
      </w:r>
      <w:r w:rsidRPr="007A5016">
        <w:t xml:space="preserve"> rights of the clinic’s visitors</w:t>
      </w:r>
      <w:r w:rsidR="005776D3" w:rsidRPr="007A5016">
        <w:t xml:space="preserve"> and was </w:t>
      </w:r>
      <w:r w:rsidRPr="007A5016">
        <w:t>proportionate</w:t>
      </w:r>
      <w:r w:rsidR="005776D3" w:rsidRPr="007A5016">
        <w:t xml:space="preserve">; the </w:t>
      </w:r>
      <w:r w:rsidR="0040428E" w:rsidRPr="007A5016">
        <w:t>injunction</w:t>
      </w:r>
      <w:r w:rsidR="005776D3" w:rsidRPr="007A5016">
        <w:t xml:space="preserve"> </w:t>
      </w:r>
      <w:r w:rsidRPr="007A5016">
        <w:t xml:space="preserve">was for a limited duration and </w:t>
      </w:r>
      <w:r w:rsidR="00275775" w:rsidRPr="007A5016">
        <w:t xml:space="preserve">within </w:t>
      </w:r>
      <w:r w:rsidRPr="007A5016">
        <w:t>a specified area.</w:t>
      </w:r>
      <w:r w:rsidR="0038168D" w:rsidRPr="007A5016">
        <w:rPr>
          <w:rStyle w:val="FootnoteReference"/>
        </w:rPr>
        <w:footnoteReference w:id="17"/>
      </w:r>
    </w:p>
    <w:p w14:paraId="64A9E160" w14:textId="77777777" w:rsidR="00FE2F8E" w:rsidRPr="007A5016" w:rsidRDefault="00FE2F8E" w:rsidP="00FE2F8E">
      <w:pPr>
        <w:pStyle w:val="BasicParagraph"/>
        <w:suppressAutoHyphens/>
        <w:ind w:left="720"/>
        <w:rPr>
          <w:rFonts w:ascii="Verdana" w:hAnsi="Verdana" w:cs="Arial"/>
          <w:color w:val="232120"/>
        </w:rPr>
      </w:pPr>
    </w:p>
    <w:p w14:paraId="643809AC" w14:textId="72C6F7EE" w:rsidR="00FE2F8E" w:rsidRPr="007A5016" w:rsidRDefault="00FE2F8E" w:rsidP="007A5016">
      <w:pPr>
        <w:pStyle w:val="ListParagraph"/>
      </w:pPr>
      <w:r w:rsidRPr="007A5016">
        <w:t xml:space="preserve">In </w:t>
      </w:r>
      <w:proofErr w:type="spellStart"/>
      <w:r w:rsidRPr="007A5016">
        <w:rPr>
          <w:i/>
        </w:rPr>
        <w:t>Annen</w:t>
      </w:r>
      <w:proofErr w:type="spellEnd"/>
      <w:r w:rsidRPr="007A5016">
        <w:rPr>
          <w:i/>
        </w:rPr>
        <w:t xml:space="preserve"> v Germany</w:t>
      </w:r>
      <w:r w:rsidRPr="007A5016">
        <w:t>, the ECtHR took a different direction. In this case, the applicant was ordered by a German court not to disseminate leaflets in the immediate vicinity of a clinic. In the leaflets, the applicant listed the full names of two of the clinic’s doctors and asserted that they p</w:t>
      </w:r>
      <w:r w:rsidR="00DD1E51" w:rsidRPr="007A5016">
        <w:t xml:space="preserve">erformed unlawful abortions. </w:t>
      </w:r>
      <w:r w:rsidRPr="007A5016">
        <w:t>The ECtHR stated that the injunction violated the appl</w:t>
      </w:r>
      <w:r w:rsidR="00DD1E51" w:rsidRPr="007A5016">
        <w:t xml:space="preserve">icant’s </w:t>
      </w:r>
      <w:r w:rsidR="00275775" w:rsidRPr="007A5016">
        <w:t xml:space="preserve">Article 10 ECHR </w:t>
      </w:r>
      <w:r w:rsidR="00DD1E51" w:rsidRPr="007A5016">
        <w:t>right to free</w:t>
      </w:r>
      <w:r w:rsidR="00275775" w:rsidRPr="007A5016">
        <w:t>dom of expression</w:t>
      </w:r>
      <w:r w:rsidR="00DD1E51" w:rsidRPr="007A5016">
        <w:t>.</w:t>
      </w:r>
      <w:r w:rsidR="0038168D" w:rsidRPr="007A5016">
        <w:rPr>
          <w:rStyle w:val="FootnoteReference"/>
        </w:rPr>
        <w:footnoteReference w:id="18"/>
      </w:r>
      <w:r w:rsidR="0071022C" w:rsidRPr="007A5016">
        <w:t xml:space="preserve"> The </w:t>
      </w:r>
      <w:r w:rsidR="005776D3" w:rsidRPr="007A5016">
        <w:t xml:space="preserve">ECtHR </w:t>
      </w:r>
      <w:r w:rsidR="0071022C" w:rsidRPr="007A5016">
        <w:t xml:space="preserve">found that the domestic courts had failed to </w:t>
      </w:r>
      <w:r w:rsidR="009031A2" w:rsidRPr="007A5016">
        <w:t xml:space="preserve">consider properly </w:t>
      </w:r>
      <w:r w:rsidR="0071022C" w:rsidRPr="007A5016">
        <w:t>the impact of publication and that the applicant had correctly stated that abortion was technically unlawful under the complicated laws in force in Germany.</w:t>
      </w:r>
    </w:p>
    <w:p w14:paraId="54D7F79B" w14:textId="77777777" w:rsidR="00FE2F8E" w:rsidRPr="007A5016" w:rsidRDefault="00FE2F8E" w:rsidP="00FE2F8E">
      <w:pPr>
        <w:pStyle w:val="BasicParagraph"/>
        <w:suppressAutoHyphens/>
        <w:ind w:left="720"/>
        <w:rPr>
          <w:rFonts w:ascii="Verdana" w:hAnsi="Verdana" w:cs="Arial"/>
          <w:color w:val="232120"/>
        </w:rPr>
      </w:pPr>
    </w:p>
    <w:p w14:paraId="7C42D344" w14:textId="6CED0309" w:rsidR="00A931D1" w:rsidRPr="007A5016" w:rsidRDefault="009031A2" w:rsidP="007A5016">
      <w:pPr>
        <w:pStyle w:val="ListParagraph"/>
      </w:pPr>
      <w:r w:rsidRPr="007A5016">
        <w:t xml:space="preserve">The domestic courts have also considered the issue. </w:t>
      </w:r>
      <w:r w:rsidR="00B179BC" w:rsidRPr="007A5016">
        <w:t xml:space="preserve">In 2018, a Public Space Protection Order was put in place by the London Borough of </w:t>
      </w:r>
      <w:proofErr w:type="spellStart"/>
      <w:r w:rsidR="00B179BC" w:rsidRPr="007A5016">
        <w:t>Ealing</w:t>
      </w:r>
      <w:proofErr w:type="spellEnd"/>
      <w:r w:rsidRPr="007A5016">
        <w:t xml:space="preserve">. It </w:t>
      </w:r>
      <w:r w:rsidR="00B179BC" w:rsidRPr="007A5016">
        <w:t>prohibit</w:t>
      </w:r>
      <w:r w:rsidRPr="007A5016">
        <w:t>ed</w:t>
      </w:r>
      <w:r w:rsidR="00B179BC" w:rsidRPr="007A5016">
        <w:t xml:space="preserve"> protests, prayer vigils and counselling within an area of 100 </w:t>
      </w:r>
      <w:proofErr w:type="spellStart"/>
      <w:r w:rsidRPr="007A5016">
        <w:t>metres</w:t>
      </w:r>
      <w:proofErr w:type="spellEnd"/>
      <w:r w:rsidRPr="007A5016">
        <w:t xml:space="preserve"> of </w:t>
      </w:r>
      <w:r w:rsidR="00275775" w:rsidRPr="007A5016">
        <w:t>the abortion clinic.</w:t>
      </w:r>
      <w:r w:rsidR="00275775" w:rsidRPr="007A5016">
        <w:rPr>
          <w:rStyle w:val="FootnoteReference"/>
        </w:rPr>
        <w:footnoteReference w:id="19"/>
      </w:r>
      <w:r w:rsidR="00B179BC" w:rsidRPr="007A5016">
        <w:t xml:space="preserve"> </w:t>
      </w:r>
      <w:r w:rsidR="00275775" w:rsidRPr="007A5016">
        <w:t xml:space="preserve">The order </w:t>
      </w:r>
      <w:r w:rsidR="00B179BC" w:rsidRPr="007A5016">
        <w:t xml:space="preserve">was challenged </w:t>
      </w:r>
      <w:r w:rsidRPr="007A5016">
        <w:t>by</w:t>
      </w:r>
      <w:r w:rsidR="00B179BC" w:rsidRPr="007A5016">
        <w:t xml:space="preserve"> the applicants </w:t>
      </w:r>
      <w:r w:rsidRPr="007A5016">
        <w:t xml:space="preserve">who </w:t>
      </w:r>
      <w:r w:rsidR="00B179BC" w:rsidRPr="007A5016">
        <w:t>claimed a violation of the</w:t>
      </w:r>
      <w:r w:rsidRPr="007A5016">
        <w:t>ir</w:t>
      </w:r>
      <w:r w:rsidR="00B179BC" w:rsidRPr="007A5016">
        <w:t xml:space="preserve"> right to freedom of speech and assembly. </w:t>
      </w:r>
      <w:r w:rsidR="00275775" w:rsidRPr="007A5016">
        <w:t xml:space="preserve">The </w:t>
      </w:r>
      <w:r w:rsidR="00B179BC" w:rsidRPr="007A5016">
        <w:t>High Court</w:t>
      </w:r>
      <w:r w:rsidRPr="007A5016">
        <w:t xml:space="preserve"> held</w:t>
      </w:r>
      <w:r w:rsidR="00275775" w:rsidRPr="007A5016">
        <w:t xml:space="preserve"> that the order was </w:t>
      </w:r>
      <w:r w:rsidR="00B179BC" w:rsidRPr="007A5016">
        <w:t>justified based on the right to priv</w:t>
      </w:r>
      <w:r w:rsidR="00275775" w:rsidRPr="007A5016">
        <w:t>acy of the clinic’s visitors.</w:t>
      </w:r>
      <w:r w:rsidR="002F13A7" w:rsidRPr="007A5016">
        <w:rPr>
          <w:rStyle w:val="FootnoteReference"/>
        </w:rPr>
        <w:footnoteReference w:id="20"/>
      </w:r>
      <w:r w:rsidR="00B179BC" w:rsidRPr="007A5016">
        <w:t xml:space="preserve"> Th</w:t>
      </w:r>
      <w:r w:rsidRPr="007A5016">
        <w:t xml:space="preserve">at was upheld </w:t>
      </w:r>
      <w:r w:rsidR="0040428E" w:rsidRPr="007A5016">
        <w:t>in both</w:t>
      </w:r>
      <w:r w:rsidR="00B179BC" w:rsidRPr="007A5016">
        <w:t xml:space="preserve"> the Court of Appeal and </w:t>
      </w:r>
      <w:r w:rsidRPr="007A5016">
        <w:t xml:space="preserve">then the UK </w:t>
      </w:r>
      <w:r w:rsidR="00B179BC" w:rsidRPr="007A5016">
        <w:t>Supreme Court</w:t>
      </w:r>
      <w:r w:rsidR="00275775" w:rsidRPr="007A5016">
        <w:t>.</w:t>
      </w:r>
      <w:r w:rsidR="00275775" w:rsidRPr="007A5016">
        <w:rPr>
          <w:rStyle w:val="FootnoteReference"/>
        </w:rPr>
        <w:footnoteReference w:id="21"/>
      </w:r>
      <w:r w:rsidR="00B179BC" w:rsidRPr="007A5016">
        <w:t>.</w:t>
      </w:r>
      <w:r w:rsidR="00275775" w:rsidRPr="007A5016">
        <w:t xml:space="preserve"> </w:t>
      </w:r>
      <w:r w:rsidR="001407B6" w:rsidRPr="007A5016">
        <w:t>T</w:t>
      </w:r>
      <w:r w:rsidR="00275775" w:rsidRPr="007A5016">
        <w:t xml:space="preserve">he </w:t>
      </w:r>
      <w:r w:rsidRPr="007A5016">
        <w:t xml:space="preserve">applicants </w:t>
      </w:r>
      <w:r w:rsidR="001407B6" w:rsidRPr="007A5016">
        <w:t xml:space="preserve">have </w:t>
      </w:r>
      <w:r w:rsidR="00275775" w:rsidRPr="007A5016">
        <w:t xml:space="preserve">since </w:t>
      </w:r>
      <w:r w:rsidRPr="007A5016">
        <w:t xml:space="preserve">applied directly </w:t>
      </w:r>
      <w:r w:rsidR="002F13A7" w:rsidRPr="007A5016">
        <w:t>to the ECtHR</w:t>
      </w:r>
      <w:r w:rsidRPr="007A5016">
        <w:t>.</w:t>
      </w:r>
      <w:r w:rsidR="002F13A7" w:rsidRPr="007A5016">
        <w:t xml:space="preserve"> Th</w:t>
      </w:r>
      <w:r w:rsidRPr="007A5016">
        <w:t>at application</w:t>
      </w:r>
      <w:r w:rsidR="002F13A7" w:rsidRPr="007A5016">
        <w:t xml:space="preserve"> is pending before the ECtHR. </w:t>
      </w:r>
    </w:p>
    <w:p w14:paraId="2AAFCF5E" w14:textId="77777777" w:rsidR="00FC13B1" w:rsidRDefault="00FC13B1" w:rsidP="00A81CD8">
      <w:pPr>
        <w:ind w:left="720"/>
      </w:pPr>
    </w:p>
    <w:p w14:paraId="2F0B125E" w14:textId="5CCAD4F3" w:rsidR="001407B6" w:rsidRPr="007A5016" w:rsidRDefault="00FC13B1" w:rsidP="007A5016">
      <w:pPr>
        <w:pStyle w:val="ListParagraph"/>
        <w:rPr>
          <w:rFonts w:cs="Arial"/>
          <w:b/>
          <w:color w:val="232120"/>
        </w:rPr>
      </w:pPr>
      <w:r w:rsidRPr="007A5016">
        <w:rPr>
          <w:b/>
        </w:rPr>
        <w:t xml:space="preserve">The Commission recommends </w:t>
      </w:r>
      <w:r w:rsidR="006C334F" w:rsidRPr="007A5016">
        <w:rPr>
          <w:b/>
        </w:rPr>
        <w:t xml:space="preserve">that </w:t>
      </w:r>
      <w:r w:rsidRPr="007A5016">
        <w:rPr>
          <w:b/>
        </w:rPr>
        <w:t xml:space="preserve">the Department </w:t>
      </w:r>
      <w:r w:rsidR="006C334F" w:rsidRPr="007A5016">
        <w:rPr>
          <w:b/>
        </w:rPr>
        <w:t xml:space="preserve">of Health should give due </w:t>
      </w:r>
      <w:r w:rsidRPr="007A5016">
        <w:rPr>
          <w:b/>
        </w:rPr>
        <w:t>consider</w:t>
      </w:r>
      <w:r w:rsidR="006C334F" w:rsidRPr="007A5016">
        <w:rPr>
          <w:b/>
        </w:rPr>
        <w:t>ation</w:t>
      </w:r>
      <w:r w:rsidRPr="007A5016">
        <w:rPr>
          <w:b/>
        </w:rPr>
        <w:t xml:space="preserve"> </w:t>
      </w:r>
      <w:r w:rsidR="006C334F" w:rsidRPr="007A5016">
        <w:rPr>
          <w:b/>
        </w:rPr>
        <w:t xml:space="preserve">to </w:t>
      </w:r>
      <w:r w:rsidRPr="007A5016">
        <w:rPr>
          <w:b/>
        </w:rPr>
        <w:t xml:space="preserve">the </w:t>
      </w:r>
      <w:r w:rsidR="00A81CD8" w:rsidRPr="007A5016">
        <w:rPr>
          <w:b/>
        </w:rPr>
        <w:t>jurisprudence of the E</w:t>
      </w:r>
      <w:r w:rsidR="002F13A7" w:rsidRPr="007A5016">
        <w:rPr>
          <w:b/>
        </w:rPr>
        <w:t xml:space="preserve">CtHR in determining </w:t>
      </w:r>
      <w:r w:rsidR="00A81CD8" w:rsidRPr="007A5016">
        <w:rPr>
          <w:b/>
        </w:rPr>
        <w:t>the introduction of safe access zones</w:t>
      </w:r>
      <w:r w:rsidR="006C334F" w:rsidRPr="007A5016">
        <w:rPr>
          <w:b/>
        </w:rPr>
        <w:t>.</w:t>
      </w:r>
      <w:r w:rsidR="00A81CD8" w:rsidRPr="007A5016">
        <w:rPr>
          <w:b/>
        </w:rPr>
        <w:t xml:space="preserve"> </w:t>
      </w:r>
      <w:r w:rsidR="002F13A7" w:rsidRPr="007A5016">
        <w:rPr>
          <w:b/>
        </w:rPr>
        <w:t>The Commission recommends</w:t>
      </w:r>
      <w:r w:rsidR="006C334F" w:rsidRPr="007A5016">
        <w:rPr>
          <w:b/>
        </w:rPr>
        <w:t xml:space="preserve"> further that</w:t>
      </w:r>
      <w:r w:rsidR="002F13A7" w:rsidRPr="007A5016">
        <w:rPr>
          <w:b/>
        </w:rPr>
        <w:t xml:space="preserve"> the Department </w:t>
      </w:r>
      <w:r w:rsidR="006C334F" w:rsidRPr="007A5016">
        <w:rPr>
          <w:b/>
        </w:rPr>
        <w:t xml:space="preserve">of Health should </w:t>
      </w:r>
      <w:r w:rsidRPr="007A5016">
        <w:rPr>
          <w:b/>
        </w:rPr>
        <w:t>keep pace with</w:t>
      </w:r>
      <w:r w:rsidR="00A81CD8" w:rsidRPr="007A5016">
        <w:rPr>
          <w:b/>
        </w:rPr>
        <w:t xml:space="preserve"> upcoming</w:t>
      </w:r>
      <w:r w:rsidRPr="007A5016">
        <w:rPr>
          <w:b/>
        </w:rPr>
        <w:t xml:space="preserve"> </w:t>
      </w:r>
      <w:r w:rsidR="00A81CD8" w:rsidRPr="007A5016">
        <w:rPr>
          <w:b/>
        </w:rPr>
        <w:t xml:space="preserve">cases </w:t>
      </w:r>
      <w:r w:rsidRPr="007A5016">
        <w:rPr>
          <w:b/>
        </w:rPr>
        <w:t xml:space="preserve">of the ECtHR on safe </w:t>
      </w:r>
      <w:r w:rsidR="004F42F8" w:rsidRPr="007A5016">
        <w:rPr>
          <w:b/>
        </w:rPr>
        <w:t xml:space="preserve">access </w:t>
      </w:r>
      <w:r w:rsidRPr="007A5016">
        <w:rPr>
          <w:b/>
        </w:rPr>
        <w:t xml:space="preserve">or buffer </w:t>
      </w:r>
      <w:r w:rsidRPr="007A5016">
        <w:rPr>
          <w:b/>
        </w:rPr>
        <w:lastRenderedPageBreak/>
        <w:t>zones</w:t>
      </w:r>
      <w:r w:rsidR="00A81CD8" w:rsidRPr="007A5016">
        <w:rPr>
          <w:b/>
        </w:rPr>
        <w:t xml:space="preserve"> to ensure legislation can evolve and reflect the decision of the </w:t>
      </w:r>
      <w:r w:rsidR="006C334F" w:rsidRPr="007A5016">
        <w:rPr>
          <w:b/>
        </w:rPr>
        <w:t xml:space="preserve">ECtHR </w:t>
      </w:r>
      <w:r w:rsidR="00A81CD8" w:rsidRPr="007A5016">
        <w:rPr>
          <w:b/>
        </w:rPr>
        <w:t>and therefore compliance with</w:t>
      </w:r>
      <w:r w:rsidR="006C334F" w:rsidRPr="007A5016">
        <w:rPr>
          <w:b/>
        </w:rPr>
        <w:t>, not least,</w:t>
      </w:r>
      <w:r w:rsidR="00A81CD8" w:rsidRPr="007A5016">
        <w:rPr>
          <w:b/>
        </w:rPr>
        <w:t xml:space="preserve"> the </w:t>
      </w:r>
      <w:r w:rsidR="006C334F" w:rsidRPr="007A5016">
        <w:rPr>
          <w:b/>
        </w:rPr>
        <w:t xml:space="preserve">ECHR. </w:t>
      </w:r>
    </w:p>
    <w:p w14:paraId="56CC65E8" w14:textId="7E6FA575" w:rsidR="00A931D1" w:rsidRDefault="002D55D1" w:rsidP="006D6202">
      <w:pPr>
        <w:pStyle w:val="Heading1"/>
        <w:numPr>
          <w:ilvl w:val="0"/>
          <w:numId w:val="14"/>
        </w:numPr>
      </w:pPr>
      <w:bookmarkStart w:id="4" w:name="_Toc87636821"/>
      <w:r>
        <w:t>General Comments on the Bill</w:t>
      </w:r>
      <w:bookmarkEnd w:id="4"/>
      <w:r>
        <w:t xml:space="preserve"> </w:t>
      </w:r>
    </w:p>
    <w:p w14:paraId="7A6E533D" w14:textId="77777777" w:rsidR="002D55D1" w:rsidRDefault="002D55D1" w:rsidP="002D55D1"/>
    <w:p w14:paraId="65EF6396" w14:textId="580F5E4B" w:rsidR="007811BA" w:rsidRPr="007A5016" w:rsidRDefault="00717E82" w:rsidP="007A5016">
      <w:pPr>
        <w:pStyle w:val="ListParagraph"/>
      </w:pPr>
      <w:r w:rsidRPr="007A5016">
        <w:t>The Commission welcomes the</w:t>
      </w:r>
      <w:r w:rsidR="006D6202" w:rsidRPr="007A5016">
        <w:t xml:space="preserve"> legislation to provide safe </w:t>
      </w:r>
      <w:r w:rsidR="002F13A7" w:rsidRPr="007A5016">
        <w:t>access</w:t>
      </w:r>
      <w:r w:rsidR="00D90A8C" w:rsidRPr="007A5016">
        <w:t xml:space="preserve"> </w:t>
      </w:r>
      <w:r w:rsidR="006D6202" w:rsidRPr="007A5016">
        <w:t>zones for premises where abortion treatments are carried</w:t>
      </w:r>
      <w:r w:rsidR="004F42F8" w:rsidRPr="007A5016">
        <w:t xml:space="preserve"> out,</w:t>
      </w:r>
      <w:r w:rsidR="006D6202" w:rsidRPr="007A5016">
        <w:t xml:space="preserve"> including provision for </w:t>
      </w:r>
      <w:r w:rsidRPr="007A5016">
        <w:t xml:space="preserve">premises where information, advice or counselling about abortion treatments are provided. </w:t>
      </w:r>
    </w:p>
    <w:p w14:paraId="60A13D15" w14:textId="77777777" w:rsidR="00727663" w:rsidRPr="007A5016" w:rsidRDefault="00727663" w:rsidP="00544E65">
      <w:pPr>
        <w:ind w:left="720"/>
      </w:pPr>
    </w:p>
    <w:p w14:paraId="6C4BEE47" w14:textId="5A58E603" w:rsidR="00727663" w:rsidRPr="007A5016" w:rsidRDefault="00727663" w:rsidP="007A5016">
      <w:pPr>
        <w:pStyle w:val="ListParagraph"/>
      </w:pPr>
      <w:r w:rsidRPr="007A5016">
        <w:t>The UN CEDAW Committee Inquiry found that women’s access to legal abor</w:t>
      </w:r>
      <w:r w:rsidR="00503B70" w:rsidRPr="007A5016">
        <w:t xml:space="preserve">tion services in NI </w:t>
      </w:r>
      <w:r w:rsidR="00661644" w:rsidRPr="007A5016">
        <w:t>was</w:t>
      </w:r>
      <w:r w:rsidRPr="007A5016">
        <w:t xml:space="preserve"> impeded by the presence and actions of anti-abortion protest</w:t>
      </w:r>
      <w:r w:rsidR="00951B77" w:rsidRPr="007A5016">
        <w:t>e</w:t>
      </w:r>
      <w:r w:rsidRPr="007A5016">
        <w:t xml:space="preserve">rs stationed at entrances of public and private health facilities. </w:t>
      </w:r>
      <w:r w:rsidR="00B4318B" w:rsidRPr="007A5016">
        <w:t xml:space="preserve">During their inquiry they </w:t>
      </w:r>
      <w:r w:rsidRPr="007A5016">
        <w:t xml:space="preserve">witnessed </w:t>
      </w:r>
      <w:r w:rsidR="00B4318B" w:rsidRPr="007A5016">
        <w:t xml:space="preserve">how </w:t>
      </w:r>
      <w:r w:rsidRPr="007A5016">
        <w:t>anti-abortion protest</w:t>
      </w:r>
      <w:r w:rsidR="00951B77" w:rsidRPr="007A5016">
        <w:t>e</w:t>
      </w:r>
      <w:r w:rsidRPr="007A5016">
        <w:t xml:space="preserve">rs monitored women entering and exiting </w:t>
      </w:r>
      <w:r w:rsidR="00B4318B" w:rsidRPr="007A5016">
        <w:t>premises</w:t>
      </w:r>
      <w:r w:rsidRPr="007A5016">
        <w:t xml:space="preserve"> and displayed large graphic posters of disfigured </w:t>
      </w:r>
      <w:proofErr w:type="spellStart"/>
      <w:r w:rsidRPr="007A5016">
        <w:t>foetuses</w:t>
      </w:r>
      <w:proofErr w:type="spellEnd"/>
      <w:r w:rsidRPr="007A5016">
        <w:t xml:space="preserve">. They also heard testimony </w:t>
      </w:r>
      <w:r w:rsidR="00B4318B" w:rsidRPr="007A5016">
        <w:t xml:space="preserve">that </w:t>
      </w:r>
      <w:r w:rsidRPr="007A5016">
        <w:t>anti-abortion protest</w:t>
      </w:r>
      <w:r w:rsidR="00951B77" w:rsidRPr="007A5016">
        <w:t>e</w:t>
      </w:r>
      <w:r w:rsidRPr="007A5016">
        <w:t xml:space="preserve">rs </w:t>
      </w:r>
      <w:r w:rsidR="00B4318B" w:rsidRPr="007A5016">
        <w:t xml:space="preserve">had </w:t>
      </w:r>
      <w:r w:rsidRPr="007A5016">
        <w:t>“chased women exiting the facilities, forcing plastic baby dolls into their arms and pro-life literature into their bags, pleading with them “not to murder their babies”.</w:t>
      </w:r>
      <w:r w:rsidRPr="007A5016">
        <w:rPr>
          <w:rStyle w:val="FootnoteReference"/>
        </w:rPr>
        <w:footnoteReference w:id="22"/>
      </w:r>
    </w:p>
    <w:p w14:paraId="35BF97C1" w14:textId="42D0E3AD" w:rsidR="00F41DCD" w:rsidRPr="007A5016" w:rsidRDefault="00F41DCD" w:rsidP="00544E65">
      <w:pPr>
        <w:ind w:left="720"/>
      </w:pPr>
    </w:p>
    <w:p w14:paraId="757C42D1" w14:textId="15859B83" w:rsidR="00717E82" w:rsidRPr="007A5016" w:rsidRDefault="00717E82" w:rsidP="007A5016">
      <w:pPr>
        <w:pStyle w:val="ListParagraph"/>
      </w:pPr>
      <w:r w:rsidRPr="007A5016">
        <w:t xml:space="preserve">The Commission welcomes the definition of protected persons to extend to </w:t>
      </w:r>
      <w:r w:rsidR="00BA4387" w:rsidRPr="007A5016">
        <w:t xml:space="preserve">a </w:t>
      </w:r>
      <w:r w:rsidRPr="007A5016">
        <w:t>person</w:t>
      </w:r>
      <w:r w:rsidR="00BA4387" w:rsidRPr="007A5016">
        <w:t>(s)</w:t>
      </w:r>
      <w:r w:rsidRPr="007A5016">
        <w:t xml:space="preserve"> accompanying a person and working in or providing services to protected premises. </w:t>
      </w:r>
      <w:r w:rsidR="002F13A7" w:rsidRPr="007A5016">
        <w:t xml:space="preserve">The Commission advises that a </w:t>
      </w:r>
      <w:r w:rsidR="00FC37EE" w:rsidRPr="007A5016">
        <w:t xml:space="preserve">broad and </w:t>
      </w:r>
      <w:r w:rsidR="002F13A7" w:rsidRPr="007A5016">
        <w:t>inclusi</w:t>
      </w:r>
      <w:r w:rsidR="00FC37EE" w:rsidRPr="007A5016">
        <w:t>ve</w:t>
      </w:r>
      <w:r w:rsidR="002F13A7" w:rsidRPr="007A5016">
        <w:t xml:space="preserve"> approach </w:t>
      </w:r>
      <w:r w:rsidR="00BA4387" w:rsidRPr="007A5016">
        <w:t xml:space="preserve">should be </w:t>
      </w:r>
      <w:r w:rsidR="002F13A7" w:rsidRPr="007A5016">
        <w:t xml:space="preserve">applied to these definitions. </w:t>
      </w:r>
    </w:p>
    <w:p w14:paraId="3B1C4F47" w14:textId="6ACC3CAA" w:rsidR="00717E82" w:rsidRPr="007A5016" w:rsidRDefault="00717E82" w:rsidP="00A81CD8">
      <w:pPr>
        <w:ind w:left="720"/>
      </w:pPr>
    </w:p>
    <w:p w14:paraId="481A1A4E" w14:textId="6C4B2088" w:rsidR="00FD5C8B" w:rsidRPr="007A5016" w:rsidRDefault="00717E82" w:rsidP="007A5016">
      <w:pPr>
        <w:pStyle w:val="ListParagraph"/>
      </w:pPr>
      <w:r w:rsidRPr="007A5016">
        <w:t>Through the Commission’</w:t>
      </w:r>
      <w:r w:rsidR="006D6202" w:rsidRPr="007A5016">
        <w:t>s ‘Monitoring Project on Reproductive H</w:t>
      </w:r>
      <w:r w:rsidRPr="007A5016">
        <w:t>ealthcare in NI</w:t>
      </w:r>
      <w:r w:rsidR="006D6202" w:rsidRPr="007A5016">
        <w:t>’</w:t>
      </w:r>
      <w:r w:rsidRPr="007A5016">
        <w:t xml:space="preserve"> the Commission engaged with </w:t>
      </w:r>
      <w:proofErr w:type="gramStart"/>
      <w:r w:rsidRPr="007A5016">
        <w:t>a number of</w:t>
      </w:r>
      <w:proofErr w:type="gramEnd"/>
      <w:r w:rsidRPr="007A5016">
        <w:t xml:space="preserve"> </w:t>
      </w:r>
      <w:proofErr w:type="spellStart"/>
      <w:r w:rsidRPr="007A5016">
        <w:t>organisations</w:t>
      </w:r>
      <w:proofErr w:type="spellEnd"/>
      <w:r w:rsidRPr="007A5016">
        <w:t xml:space="preserve"> </w:t>
      </w:r>
      <w:r w:rsidR="006D6202" w:rsidRPr="007A5016">
        <w:t xml:space="preserve">involved in </w:t>
      </w:r>
      <w:r w:rsidRPr="007A5016">
        <w:t xml:space="preserve">the provision of reproductive healthcare including those involved in advice </w:t>
      </w:r>
      <w:r w:rsidR="00BA4387" w:rsidRPr="007A5016">
        <w:t xml:space="preserve">and </w:t>
      </w:r>
      <w:r w:rsidRPr="007A5016">
        <w:t>counselling.</w:t>
      </w:r>
      <w:r w:rsidR="0038168D" w:rsidRPr="007A5016">
        <w:rPr>
          <w:rStyle w:val="FootnoteReference"/>
        </w:rPr>
        <w:footnoteReference w:id="23"/>
      </w:r>
      <w:r w:rsidRPr="007A5016">
        <w:t xml:space="preserve"> The Commission </w:t>
      </w:r>
      <w:r w:rsidR="00BA4387" w:rsidRPr="007A5016">
        <w:t xml:space="preserve">heard from </w:t>
      </w:r>
      <w:proofErr w:type="spellStart"/>
      <w:r w:rsidRPr="007A5016">
        <w:t>organisations</w:t>
      </w:r>
      <w:proofErr w:type="spellEnd"/>
      <w:r w:rsidRPr="007A5016">
        <w:t xml:space="preserve"> </w:t>
      </w:r>
      <w:r w:rsidR="00BA4387" w:rsidRPr="007A5016">
        <w:t xml:space="preserve">providing services that </w:t>
      </w:r>
      <w:r w:rsidRPr="007A5016">
        <w:t>that</w:t>
      </w:r>
      <w:r w:rsidR="00BA4387" w:rsidRPr="007A5016">
        <w:t xml:space="preserve"> the</w:t>
      </w:r>
      <w:r w:rsidRPr="007A5016">
        <w:t xml:space="preserve"> </w:t>
      </w:r>
      <w:r w:rsidR="00D90A8C" w:rsidRPr="007A5016">
        <w:t xml:space="preserve">location of clinics </w:t>
      </w:r>
      <w:r w:rsidRPr="007A5016">
        <w:t>had to be</w:t>
      </w:r>
      <w:r w:rsidR="00FD5C8B" w:rsidRPr="007A5016">
        <w:t xml:space="preserve"> kept out of the public domain. </w:t>
      </w:r>
      <w:r w:rsidR="00BA4387" w:rsidRPr="007A5016">
        <w:t>Follo</w:t>
      </w:r>
      <w:r w:rsidR="0014617A" w:rsidRPr="007A5016">
        <w:t>wing the slight easing of Covid-</w:t>
      </w:r>
      <w:r w:rsidR="00BA4387" w:rsidRPr="007A5016">
        <w:t xml:space="preserve">19 restrictions, </w:t>
      </w:r>
      <w:r w:rsidR="00FD5C8B" w:rsidRPr="007A5016">
        <w:t>protest</w:t>
      </w:r>
      <w:r w:rsidR="00BA4387" w:rsidRPr="007A5016">
        <w:t>o</w:t>
      </w:r>
      <w:r w:rsidR="00FD5C8B" w:rsidRPr="007A5016">
        <w:t xml:space="preserve">rs </w:t>
      </w:r>
      <w:r w:rsidR="00BA4387" w:rsidRPr="007A5016">
        <w:t xml:space="preserve">have again </w:t>
      </w:r>
      <w:r w:rsidR="00FD5C8B" w:rsidRPr="007A5016">
        <w:t>started to ga</w:t>
      </w:r>
      <w:r w:rsidR="0038168D" w:rsidRPr="007A5016">
        <w:t>ther outside clinics</w:t>
      </w:r>
      <w:r w:rsidR="00BA4387" w:rsidRPr="007A5016">
        <w:t>, often</w:t>
      </w:r>
      <w:r w:rsidR="0038168D" w:rsidRPr="007A5016">
        <w:t xml:space="preserve"> on a weekly basis</w:t>
      </w:r>
      <w:r w:rsidR="00BA4387" w:rsidRPr="007A5016">
        <w:t>,</w:t>
      </w:r>
      <w:r w:rsidR="0038168D" w:rsidRPr="007A5016">
        <w:t xml:space="preserve"> </w:t>
      </w:r>
      <w:r w:rsidR="00BA4387" w:rsidRPr="007A5016">
        <w:t xml:space="preserve">while </w:t>
      </w:r>
      <w:r w:rsidR="00FD5C8B" w:rsidRPr="007A5016">
        <w:t>carrying graphic placards and verbally abusi</w:t>
      </w:r>
      <w:r w:rsidR="00BA4387" w:rsidRPr="007A5016">
        <w:t>ng</w:t>
      </w:r>
      <w:r w:rsidR="00FD5C8B" w:rsidRPr="007A5016">
        <w:t xml:space="preserve"> staff.</w:t>
      </w:r>
      <w:r w:rsidR="0038168D" w:rsidRPr="007A5016">
        <w:rPr>
          <w:rStyle w:val="FootnoteReference"/>
        </w:rPr>
        <w:footnoteReference w:id="24"/>
      </w:r>
      <w:r w:rsidR="00FD5C8B" w:rsidRPr="007A5016">
        <w:t xml:space="preserve"> </w:t>
      </w:r>
    </w:p>
    <w:p w14:paraId="2C6FEF10" w14:textId="77777777" w:rsidR="006D6202" w:rsidRDefault="006D6202" w:rsidP="00A81CD8">
      <w:pPr>
        <w:ind w:left="720"/>
      </w:pPr>
    </w:p>
    <w:p w14:paraId="5D3312A6" w14:textId="77777777" w:rsidR="00D90A8C" w:rsidRDefault="00D90A8C" w:rsidP="00D90A8C">
      <w:pPr>
        <w:pStyle w:val="Heading2"/>
      </w:pPr>
      <w:bookmarkStart w:id="5" w:name="_Toc87636822"/>
      <w:r>
        <w:t>Safe Access Zone</w:t>
      </w:r>
      <w:bookmarkEnd w:id="5"/>
      <w:r>
        <w:t xml:space="preserve"> </w:t>
      </w:r>
    </w:p>
    <w:p w14:paraId="0B5F6258" w14:textId="77777777" w:rsidR="00D90A8C" w:rsidRPr="00D90A8C" w:rsidRDefault="00D90A8C" w:rsidP="00D90A8C"/>
    <w:p w14:paraId="426410DD" w14:textId="3FCBCE14" w:rsidR="003D7DB9" w:rsidRDefault="006D6202" w:rsidP="007A5016">
      <w:pPr>
        <w:pStyle w:val="ListParagraph"/>
      </w:pPr>
      <w:proofErr w:type="gramStart"/>
      <w:r>
        <w:t>In regards to</w:t>
      </w:r>
      <w:proofErr w:type="gramEnd"/>
      <w:r>
        <w:t xml:space="preserve"> the application of a safe</w:t>
      </w:r>
      <w:r w:rsidR="00D90A8C">
        <w:t xml:space="preserve"> </w:t>
      </w:r>
      <w:r w:rsidR="00FC37EE">
        <w:t>access</w:t>
      </w:r>
      <w:r w:rsidR="00D90A8C">
        <w:t xml:space="preserve"> zone </w:t>
      </w:r>
      <w:r>
        <w:t xml:space="preserve">within the </w:t>
      </w:r>
      <w:r w:rsidR="00D90A8C">
        <w:t>“</w:t>
      </w:r>
      <w:r w:rsidR="00741F18">
        <w:t>immediate vicinity</w:t>
      </w:r>
      <w:r w:rsidR="00D90A8C">
        <w:t>”</w:t>
      </w:r>
      <w:r>
        <w:t xml:space="preserve"> of a premises</w:t>
      </w:r>
      <w:r w:rsidR="00727663">
        <w:t>,</w:t>
      </w:r>
      <w:r>
        <w:t xml:space="preserve"> the Commission </w:t>
      </w:r>
      <w:r w:rsidR="00727663">
        <w:t>advise</w:t>
      </w:r>
      <w:r w:rsidR="00BE188C">
        <w:t>s</w:t>
      </w:r>
      <w:r w:rsidR="00727663">
        <w:t xml:space="preserve"> that the </w:t>
      </w:r>
      <w:r w:rsidR="00BE188C">
        <w:t xml:space="preserve">extent and nature </w:t>
      </w:r>
      <w:r w:rsidR="00BE188C">
        <w:lastRenderedPageBreak/>
        <w:t xml:space="preserve">of the </w:t>
      </w:r>
      <w:r w:rsidR="00727663">
        <w:t xml:space="preserve">zone </w:t>
      </w:r>
      <w:r w:rsidR="00BE188C">
        <w:t xml:space="preserve">should ensure </w:t>
      </w:r>
      <w:r w:rsidR="00727663">
        <w:t>protection from harassment as a priority</w:t>
      </w:r>
      <w:r w:rsidR="00BE188C">
        <w:t xml:space="preserve"> but </w:t>
      </w:r>
      <w:r w:rsidR="00727663">
        <w:t xml:space="preserve">while limiting </w:t>
      </w:r>
      <w:r w:rsidR="003D7DB9">
        <w:t>interference with</w:t>
      </w:r>
      <w:r>
        <w:t xml:space="preserve"> Article 9, Articl</w:t>
      </w:r>
      <w:r w:rsidR="00727663">
        <w:t xml:space="preserve">e 10 and Article 11 ECHR rights. </w:t>
      </w:r>
      <w:r w:rsidR="000A1B48">
        <w:t xml:space="preserve">The </w:t>
      </w:r>
      <w:r w:rsidR="00FC4AEE">
        <w:t xml:space="preserve">nature and extent of each zone should be determined following consideration of relevant factors such as geography. The aim should be to </w:t>
      </w:r>
      <w:r w:rsidR="0040428E">
        <w:t>ensure the</w:t>
      </w:r>
      <w:r w:rsidR="000A1B48">
        <w:t xml:space="preserve"> privacy and protection of those accessing </w:t>
      </w:r>
      <w:r w:rsidR="00FC4AEE">
        <w:t xml:space="preserve">services </w:t>
      </w:r>
      <w:r w:rsidR="000A1B48">
        <w:t xml:space="preserve">and working within the premises. Individual </w:t>
      </w:r>
      <w:r>
        <w:t xml:space="preserve">assessment </w:t>
      </w:r>
      <w:r w:rsidR="000A1B48">
        <w:t xml:space="preserve">of the premises and assessment of the balance of rights </w:t>
      </w:r>
      <w:r>
        <w:t>will assist with striking the correct balance</w:t>
      </w:r>
      <w:r w:rsidR="00FC4AEE">
        <w:t>. This is</w:t>
      </w:r>
      <w:r w:rsidR="000A1B48">
        <w:t xml:space="preserve"> discussed in further detail below</w:t>
      </w:r>
      <w:proofErr w:type="gramStart"/>
      <w:r w:rsidR="000A1B48">
        <w:t xml:space="preserve">. </w:t>
      </w:r>
      <w:r>
        <w:t xml:space="preserve"> </w:t>
      </w:r>
      <w:proofErr w:type="gramEnd"/>
    </w:p>
    <w:p w14:paraId="4518A0A7" w14:textId="77777777" w:rsidR="00E73686" w:rsidRDefault="00E73686" w:rsidP="00E73686">
      <w:pPr>
        <w:ind w:left="720"/>
      </w:pPr>
    </w:p>
    <w:p w14:paraId="13E7BA0A" w14:textId="2B7E9F76" w:rsidR="003D7DB9" w:rsidRDefault="000A1B48" w:rsidP="007A5016">
      <w:pPr>
        <w:pStyle w:val="ListParagraph"/>
      </w:pPr>
      <w:r>
        <w:t xml:space="preserve">The Commission </w:t>
      </w:r>
      <w:r w:rsidR="00CB5F55">
        <w:t xml:space="preserve">also </w:t>
      </w:r>
      <w:r>
        <w:t>advise</w:t>
      </w:r>
      <w:r w:rsidR="00CB5F55">
        <w:t>s</w:t>
      </w:r>
      <w:r w:rsidR="006D6202">
        <w:t xml:space="preserve"> that when considering </w:t>
      </w:r>
      <w:r w:rsidR="00CB5F55">
        <w:t>the definition of ‘</w:t>
      </w:r>
      <w:r w:rsidR="006D6202">
        <w:t>vicinity</w:t>
      </w:r>
      <w:r w:rsidR="00CB5F55">
        <w:t>’,</w:t>
      </w:r>
      <w:r w:rsidR="006D6202">
        <w:t xml:space="preserve"> </w:t>
      </w:r>
      <w:r w:rsidR="003D7DB9">
        <w:t xml:space="preserve">the Department </w:t>
      </w:r>
      <w:r w:rsidR="00CB5F55">
        <w:t xml:space="preserve">of Health should consider expressly </w:t>
      </w:r>
      <w:r>
        <w:t>whether</w:t>
      </w:r>
      <w:r w:rsidR="00D90A8C">
        <w:t xml:space="preserve"> the operator is </w:t>
      </w:r>
      <w:r>
        <w:t xml:space="preserve">within </w:t>
      </w:r>
      <w:r w:rsidR="00D90A8C">
        <w:t xml:space="preserve">a </w:t>
      </w:r>
      <w:r w:rsidR="003D7DB9">
        <w:t xml:space="preserve">health and social care </w:t>
      </w:r>
      <w:r>
        <w:t xml:space="preserve">premises and </w:t>
      </w:r>
      <w:r w:rsidR="00661644">
        <w:t>whether</w:t>
      </w:r>
      <w:r w:rsidR="00D90A8C">
        <w:t xml:space="preserve"> </w:t>
      </w:r>
      <w:r w:rsidR="006D6202">
        <w:t>this</w:t>
      </w:r>
      <w:r w:rsidR="00661644">
        <w:t xml:space="preserve"> is w</w:t>
      </w:r>
      <w:r w:rsidR="003D7DB9">
        <w:t xml:space="preserve">ithin a larger premises offering a range of </w:t>
      </w:r>
      <w:r w:rsidR="00D90A8C">
        <w:t>health care services</w:t>
      </w:r>
      <w:r>
        <w:t>, for example a hospital site</w:t>
      </w:r>
      <w:r w:rsidR="00D90A8C">
        <w:t xml:space="preserve">. </w:t>
      </w:r>
      <w:r w:rsidR="00CB5F55">
        <w:t>Consideration should not be limited to distance. For example, in some geographical locations a protest could occur at some distance from the premises but still have a negative</w:t>
      </w:r>
      <w:r w:rsidR="00A444F4">
        <w:t xml:space="preserve"> impact on</w:t>
      </w:r>
      <w:r>
        <w:t xml:space="preserve"> patients and staff. </w:t>
      </w:r>
      <w:r w:rsidR="00A444F4">
        <w:t xml:space="preserve">The Department should consider </w:t>
      </w:r>
      <w:r>
        <w:t xml:space="preserve">the </w:t>
      </w:r>
      <w:r w:rsidR="00A444F4">
        <w:t xml:space="preserve">wider </w:t>
      </w:r>
      <w:r>
        <w:t xml:space="preserve">geography of the area and </w:t>
      </w:r>
      <w:r w:rsidR="00D90A8C">
        <w:t>the</w:t>
      </w:r>
      <w:r w:rsidR="006D6202">
        <w:t xml:space="preserve"> </w:t>
      </w:r>
      <w:r>
        <w:t xml:space="preserve">potential </w:t>
      </w:r>
      <w:r w:rsidR="00A444F4">
        <w:t xml:space="preserve">impact of </w:t>
      </w:r>
      <w:r w:rsidR="006D6202">
        <w:t>protests within these areas on staff and patients</w:t>
      </w:r>
      <w:r w:rsidR="00CB5F55">
        <w:t>’</w:t>
      </w:r>
      <w:r w:rsidR="00D90A8C">
        <w:t xml:space="preserve"> Article 8 ECHR rights</w:t>
      </w:r>
      <w:r w:rsidR="006D6202">
        <w:t xml:space="preserve">. </w:t>
      </w:r>
    </w:p>
    <w:p w14:paraId="3BD8DD9C" w14:textId="77777777" w:rsidR="00781A71" w:rsidRDefault="00781A71" w:rsidP="00A81CD8">
      <w:pPr>
        <w:ind w:left="720"/>
      </w:pPr>
    </w:p>
    <w:p w14:paraId="09BA8A8F" w14:textId="4B1CA492" w:rsidR="00781A71" w:rsidRPr="007A5016" w:rsidRDefault="00781A71" w:rsidP="007A5016">
      <w:pPr>
        <w:pStyle w:val="ListParagraph"/>
        <w:rPr>
          <w:b/>
        </w:rPr>
      </w:pPr>
      <w:r w:rsidRPr="007A5016">
        <w:rPr>
          <w:b/>
        </w:rPr>
        <w:t xml:space="preserve">The Commission recommends </w:t>
      </w:r>
      <w:r w:rsidR="00332082" w:rsidRPr="007A5016">
        <w:rPr>
          <w:b/>
        </w:rPr>
        <w:t xml:space="preserve">that </w:t>
      </w:r>
      <w:r w:rsidRPr="007A5016">
        <w:rPr>
          <w:b/>
        </w:rPr>
        <w:t xml:space="preserve">the </w:t>
      </w:r>
      <w:r w:rsidR="003355BA" w:rsidRPr="007A5016">
        <w:rPr>
          <w:b/>
        </w:rPr>
        <w:t>“</w:t>
      </w:r>
      <w:r w:rsidRPr="007A5016">
        <w:rPr>
          <w:b/>
        </w:rPr>
        <w:t>immediate vicinity</w:t>
      </w:r>
      <w:r w:rsidR="003355BA" w:rsidRPr="007A5016">
        <w:rPr>
          <w:b/>
        </w:rPr>
        <w:t>”</w:t>
      </w:r>
      <w:r w:rsidRPr="007A5016">
        <w:rPr>
          <w:b/>
        </w:rPr>
        <w:t xml:space="preserve"> of </w:t>
      </w:r>
      <w:r w:rsidR="003355BA" w:rsidRPr="007A5016">
        <w:rPr>
          <w:b/>
        </w:rPr>
        <w:t xml:space="preserve">a </w:t>
      </w:r>
      <w:r w:rsidR="000A1B48" w:rsidRPr="007A5016">
        <w:rPr>
          <w:b/>
        </w:rPr>
        <w:t xml:space="preserve">safe access zone is carefully considered to ensure protection of </w:t>
      </w:r>
      <w:r w:rsidR="00332082" w:rsidRPr="007A5016">
        <w:rPr>
          <w:b/>
        </w:rPr>
        <w:t xml:space="preserve">the Article 8 ECHR rights of </w:t>
      </w:r>
      <w:r w:rsidR="000A1B48" w:rsidRPr="007A5016">
        <w:rPr>
          <w:b/>
        </w:rPr>
        <w:t xml:space="preserve">patients and staff while ensuring </w:t>
      </w:r>
      <w:r w:rsidR="00332082" w:rsidRPr="007A5016">
        <w:rPr>
          <w:b/>
        </w:rPr>
        <w:t>that limitations on the</w:t>
      </w:r>
      <w:r w:rsidR="00D350FA" w:rsidRPr="007A5016">
        <w:rPr>
          <w:b/>
        </w:rPr>
        <w:t xml:space="preserve"> Articles 9, 10 and 11 ECHR rights</w:t>
      </w:r>
      <w:r w:rsidR="00332082" w:rsidRPr="007A5016">
        <w:rPr>
          <w:b/>
        </w:rPr>
        <w:t xml:space="preserve"> of protest</w:t>
      </w:r>
      <w:r w:rsidR="00951B77" w:rsidRPr="007A5016">
        <w:rPr>
          <w:b/>
        </w:rPr>
        <w:t>e</w:t>
      </w:r>
      <w:r w:rsidR="00332082" w:rsidRPr="007A5016">
        <w:rPr>
          <w:b/>
        </w:rPr>
        <w:t xml:space="preserve">rs are restricted or limited proportionately. </w:t>
      </w:r>
      <w:r w:rsidR="003355BA" w:rsidRPr="007A5016">
        <w:rPr>
          <w:b/>
          <w:bCs/>
        </w:rPr>
        <w:t>Th</w:t>
      </w:r>
      <w:r w:rsidR="00332082" w:rsidRPr="007A5016">
        <w:rPr>
          <w:b/>
          <w:bCs/>
        </w:rPr>
        <w:t>e “immediate vicinity”</w:t>
      </w:r>
      <w:r w:rsidR="003355BA" w:rsidRPr="007A5016">
        <w:rPr>
          <w:b/>
          <w:bCs/>
        </w:rPr>
        <w:t xml:space="preserve"> definition should </w:t>
      </w:r>
      <w:r w:rsidR="00332082" w:rsidRPr="007A5016">
        <w:rPr>
          <w:b/>
          <w:bCs/>
        </w:rPr>
        <w:t>include provision for</w:t>
      </w:r>
      <w:r w:rsidR="003355BA" w:rsidRPr="007A5016">
        <w:rPr>
          <w:b/>
          <w:bCs/>
        </w:rPr>
        <w:t xml:space="preserve"> multi-purpose sites and </w:t>
      </w:r>
      <w:r w:rsidR="00332082" w:rsidRPr="007A5016">
        <w:rPr>
          <w:b/>
          <w:bCs/>
        </w:rPr>
        <w:t xml:space="preserve">take account of </w:t>
      </w:r>
      <w:r w:rsidR="003355BA" w:rsidRPr="007A5016">
        <w:rPr>
          <w:b/>
          <w:bCs/>
        </w:rPr>
        <w:t xml:space="preserve">the layout of health and social care estates. </w:t>
      </w:r>
    </w:p>
    <w:p w14:paraId="54623E1B" w14:textId="66EB68C0" w:rsidR="006D0C4A" w:rsidRDefault="006D0C4A" w:rsidP="006F1D6E">
      <w:pPr>
        <w:ind w:left="720"/>
      </w:pPr>
    </w:p>
    <w:p w14:paraId="57F56773" w14:textId="77777777" w:rsidR="00C62297" w:rsidRDefault="00C62297" w:rsidP="00C62297">
      <w:pPr>
        <w:pStyle w:val="Heading2"/>
      </w:pPr>
      <w:bookmarkStart w:id="6" w:name="_Toc87636823"/>
      <w:r>
        <w:t>Offences in respect of a safe access zone</w:t>
      </w:r>
      <w:bookmarkEnd w:id="6"/>
    </w:p>
    <w:p w14:paraId="7C8E9837" w14:textId="77777777" w:rsidR="003D7DB9" w:rsidRDefault="003D7DB9" w:rsidP="006F1D6E">
      <w:pPr>
        <w:ind w:left="720"/>
      </w:pPr>
    </w:p>
    <w:p w14:paraId="05727656" w14:textId="509C4B36" w:rsidR="0038168D" w:rsidRDefault="00965F25" w:rsidP="007A5016">
      <w:pPr>
        <w:pStyle w:val="ListParagraph"/>
      </w:pPr>
      <w:r>
        <w:t>The Commission welcomes</w:t>
      </w:r>
      <w:r w:rsidR="00364C1A">
        <w:t>, for the purposes of making protection of the rights effective,</w:t>
      </w:r>
      <w:r>
        <w:t xml:space="preserve"> the </w:t>
      </w:r>
      <w:r w:rsidR="00364C1A">
        <w:t xml:space="preserve">creation </w:t>
      </w:r>
      <w:r>
        <w:t>of offences in respect of a safe access zone</w:t>
      </w:r>
      <w:r w:rsidR="00364C1A">
        <w:t xml:space="preserve">. The offences created </w:t>
      </w:r>
      <w:r w:rsidR="00544E65">
        <w:t>enable complaints of</w:t>
      </w:r>
      <w:r w:rsidRPr="00965F25">
        <w:t xml:space="preserve"> harassment to be investigated and perpetrators </w:t>
      </w:r>
      <w:r w:rsidR="00364C1A">
        <w:t>held to account</w:t>
      </w:r>
      <w:proofErr w:type="gramStart"/>
      <w:r w:rsidR="00364C1A">
        <w:t xml:space="preserve">.  </w:t>
      </w:r>
      <w:proofErr w:type="gramEnd"/>
      <w:r w:rsidR="00364C1A">
        <w:t>The Commission however advises that further is required</w:t>
      </w:r>
      <w:proofErr w:type="gramStart"/>
      <w:r w:rsidR="00364C1A">
        <w:t>.</w:t>
      </w:r>
      <w:r w:rsidR="006D6202">
        <w:t xml:space="preserve"> </w:t>
      </w:r>
      <w:r w:rsidR="006D0C4A">
        <w:t xml:space="preserve"> </w:t>
      </w:r>
      <w:proofErr w:type="gramEnd"/>
    </w:p>
    <w:p w14:paraId="13327A91" w14:textId="77777777" w:rsidR="0038168D" w:rsidRDefault="0038168D" w:rsidP="00A81CD8">
      <w:pPr>
        <w:ind w:left="720"/>
      </w:pPr>
    </w:p>
    <w:p w14:paraId="1294BE6E" w14:textId="1C6E4712" w:rsidR="0038168D" w:rsidRDefault="0038168D" w:rsidP="007A5016">
      <w:pPr>
        <w:pStyle w:val="ListParagraph"/>
      </w:pPr>
      <w:r>
        <w:t xml:space="preserve">The Commission welcomes the </w:t>
      </w:r>
      <w:r w:rsidR="00364C1A">
        <w:t xml:space="preserve">creation </w:t>
      </w:r>
      <w:r>
        <w:t xml:space="preserve">of </w:t>
      </w:r>
      <w:r w:rsidR="00364C1A">
        <w:t xml:space="preserve">the </w:t>
      </w:r>
      <w:r w:rsidR="00741F18">
        <w:t xml:space="preserve">offence </w:t>
      </w:r>
      <w:r w:rsidR="00364C1A">
        <w:t xml:space="preserve">of </w:t>
      </w:r>
      <w:r w:rsidR="00741F18">
        <w:t>record</w:t>
      </w:r>
      <w:r w:rsidR="00364C1A">
        <w:t>ing</w:t>
      </w:r>
      <w:r w:rsidR="00741F18">
        <w:t xml:space="preserve"> a protected person in a safe access zone without the consent of that person</w:t>
      </w:r>
      <w:r w:rsidR="00C62297">
        <w:t>.</w:t>
      </w:r>
      <w:r w:rsidR="00741F18">
        <w:t xml:space="preserve"> The Commission recommend</w:t>
      </w:r>
      <w:r w:rsidR="00364C1A">
        <w:t>s</w:t>
      </w:r>
      <w:r w:rsidR="00741F18">
        <w:t xml:space="preserve"> that this is expanded to include</w:t>
      </w:r>
      <w:r w:rsidR="00C62297">
        <w:t xml:space="preserve"> reference to</w:t>
      </w:r>
      <w:r w:rsidR="00741F18">
        <w:t xml:space="preserve"> </w:t>
      </w:r>
      <w:r w:rsidR="00F34864">
        <w:t xml:space="preserve">the </w:t>
      </w:r>
      <w:r w:rsidR="00C62297">
        <w:t xml:space="preserve">taking </w:t>
      </w:r>
      <w:r w:rsidR="00741F18">
        <w:t>photographs</w:t>
      </w:r>
      <w:r w:rsidR="00503B70">
        <w:t xml:space="preserve"> and audio recording</w:t>
      </w:r>
      <w:r w:rsidR="00F34864">
        <w:t xml:space="preserve">s. This should not be limited to </w:t>
      </w:r>
      <w:r w:rsidR="00C62297">
        <w:t>videoing</w:t>
      </w:r>
      <w:r w:rsidR="00741F18">
        <w:t xml:space="preserve">. </w:t>
      </w:r>
    </w:p>
    <w:p w14:paraId="6F5A4CD0" w14:textId="77777777" w:rsidR="0038168D" w:rsidRDefault="0038168D" w:rsidP="00A81CD8">
      <w:pPr>
        <w:ind w:left="720"/>
      </w:pPr>
    </w:p>
    <w:p w14:paraId="7641B302" w14:textId="151E2BE1" w:rsidR="006D0C4A" w:rsidRDefault="0038168D" w:rsidP="007A5016">
      <w:pPr>
        <w:pStyle w:val="ListParagraph"/>
      </w:pPr>
      <w:r>
        <w:lastRenderedPageBreak/>
        <w:t>Furthermore, the Commission advise</w:t>
      </w:r>
      <w:r w:rsidR="00F34864">
        <w:t>s that</w:t>
      </w:r>
      <w:r>
        <w:t xml:space="preserve"> the legislation </w:t>
      </w:r>
      <w:r w:rsidR="00F34864">
        <w:t>should</w:t>
      </w:r>
      <w:r>
        <w:t xml:space="preserve"> </w:t>
      </w:r>
      <w:r w:rsidR="00F34864">
        <w:t xml:space="preserve">prohibit specifically </w:t>
      </w:r>
      <w:r w:rsidR="003358EE">
        <w:t xml:space="preserve">the use of </w:t>
      </w:r>
      <w:r w:rsidR="00A36BA0">
        <w:t xml:space="preserve">audio </w:t>
      </w:r>
      <w:r w:rsidR="003358EE">
        <w:t>to harass</w:t>
      </w:r>
      <w:r w:rsidR="00F34864">
        <w:t xml:space="preserve">. This should address for example the use of </w:t>
      </w:r>
      <w:r w:rsidRPr="0038168D">
        <w:t xml:space="preserve">loudspeakers and chanting </w:t>
      </w:r>
      <w:r w:rsidR="00F34864">
        <w:t xml:space="preserve">as a form </w:t>
      </w:r>
      <w:r>
        <w:t>of harassment</w:t>
      </w:r>
      <w:proofErr w:type="gramStart"/>
      <w:r>
        <w:t xml:space="preserve">. </w:t>
      </w:r>
      <w:r w:rsidRPr="0038168D">
        <w:t xml:space="preserve"> </w:t>
      </w:r>
      <w:proofErr w:type="gramEnd"/>
      <w:r w:rsidR="001108B6">
        <w:t>The</w:t>
      </w:r>
      <w:r w:rsidR="00544E65">
        <w:t xml:space="preserve"> Commission advise</w:t>
      </w:r>
      <w:r w:rsidR="00F34864">
        <w:t>s</w:t>
      </w:r>
      <w:r w:rsidR="00544E65">
        <w:t xml:space="preserve"> </w:t>
      </w:r>
      <w:r w:rsidR="00F34864">
        <w:t xml:space="preserve">that </w:t>
      </w:r>
      <w:r w:rsidR="00544E65">
        <w:t xml:space="preserve">the Bill </w:t>
      </w:r>
      <w:r w:rsidR="00F34864">
        <w:t xml:space="preserve">should state expressly </w:t>
      </w:r>
      <w:r w:rsidR="00544E65">
        <w:t>that</w:t>
      </w:r>
      <w:r w:rsidR="001108B6">
        <w:t xml:space="preserve"> harassment </w:t>
      </w:r>
      <w:r w:rsidR="00544E65">
        <w:t>can include</w:t>
      </w:r>
      <w:r w:rsidR="001108B6">
        <w:t xml:space="preserve"> the use of posters, </w:t>
      </w:r>
      <w:proofErr w:type="gramStart"/>
      <w:r w:rsidR="001108B6">
        <w:t>banners</w:t>
      </w:r>
      <w:proofErr w:type="gramEnd"/>
      <w:r w:rsidR="001108B6">
        <w:t xml:space="preserve"> and the distribution of leaflets with graphic imagery and </w:t>
      </w:r>
      <w:r w:rsidR="00544E65">
        <w:t>offensive language.</w:t>
      </w:r>
    </w:p>
    <w:p w14:paraId="517D3FD9" w14:textId="77777777" w:rsidR="00741F18" w:rsidRDefault="00741F18" w:rsidP="006F1D6E">
      <w:pPr>
        <w:ind w:left="720"/>
      </w:pPr>
    </w:p>
    <w:p w14:paraId="4D0745DE" w14:textId="675584AE" w:rsidR="00C36A9E" w:rsidRDefault="00F34864" w:rsidP="007A5016">
      <w:pPr>
        <w:pStyle w:val="ListParagraph"/>
      </w:pPr>
      <w:r>
        <w:t>As for</w:t>
      </w:r>
      <w:r w:rsidR="00741F18">
        <w:t xml:space="preserve"> </w:t>
      </w:r>
      <w:r w:rsidR="006B5129">
        <w:t xml:space="preserve">clause </w:t>
      </w:r>
      <w:proofErr w:type="gramStart"/>
      <w:r w:rsidR="00741F18">
        <w:t xml:space="preserve">6(4) </w:t>
      </w:r>
      <w:r>
        <w:t xml:space="preserve">in particular, </w:t>
      </w:r>
      <w:r w:rsidR="00741F18">
        <w:t>which</w:t>
      </w:r>
      <w:proofErr w:type="gramEnd"/>
      <w:r w:rsidR="00741F18">
        <w:t xml:space="preserve"> states “It is a </w:t>
      </w:r>
      <w:proofErr w:type="spellStart"/>
      <w:r w:rsidR="00741F18">
        <w:t>defence</w:t>
      </w:r>
      <w:proofErr w:type="spellEnd"/>
      <w:r w:rsidR="00741F18">
        <w:t xml:space="preserve"> for D to show that D did not know, and had no reasonable way of knowing, that the protected person was in a safe access zone”</w:t>
      </w:r>
      <w:r w:rsidR="003355BA">
        <w:t>,</w:t>
      </w:r>
      <w:r w:rsidR="00D90A8C">
        <w:t xml:space="preserve"> </w:t>
      </w:r>
      <w:r w:rsidR="003355BA">
        <w:t>t</w:t>
      </w:r>
      <w:r w:rsidR="00D90A8C">
        <w:t>he Commission advise</w:t>
      </w:r>
      <w:r>
        <w:t>s</w:t>
      </w:r>
      <w:r w:rsidR="00741F18">
        <w:t xml:space="preserve"> that further consideration </w:t>
      </w:r>
      <w:r>
        <w:t xml:space="preserve">is necessary as to </w:t>
      </w:r>
      <w:r w:rsidR="00741F18">
        <w:t>how the Department will work with operator</w:t>
      </w:r>
      <w:r>
        <w:t>s</w:t>
      </w:r>
      <w:r w:rsidR="00741F18">
        <w:t xml:space="preserve"> to </w:t>
      </w:r>
      <w:r>
        <w:t>determine the nature and extent of each zone</w:t>
      </w:r>
      <w:r w:rsidR="00E9754A">
        <w:t>. Furthermore, that there is careful consideration given to any provisions for notification of zones. Notice should be clear and should i</w:t>
      </w:r>
      <w:r w:rsidR="003358EE">
        <w:t>nclud</w:t>
      </w:r>
      <w:r w:rsidR="00E9754A">
        <w:t>e</w:t>
      </w:r>
      <w:r w:rsidR="003358EE">
        <w:t xml:space="preserve"> the </w:t>
      </w:r>
      <w:r w:rsidR="00E9754A">
        <w:t>precise</w:t>
      </w:r>
      <w:r w:rsidR="003358EE">
        <w:t xml:space="preserve"> requirements </w:t>
      </w:r>
      <w:r w:rsidR="00E9754A">
        <w:t xml:space="preserve">within </w:t>
      </w:r>
      <w:r w:rsidR="003358EE">
        <w:t xml:space="preserve">the safe zone. </w:t>
      </w:r>
      <w:r w:rsidR="003355BA">
        <w:t xml:space="preserve">Guidance for should be developed to ensure consistent implementation. </w:t>
      </w:r>
    </w:p>
    <w:p w14:paraId="2B102DEA" w14:textId="77777777" w:rsidR="00781A71" w:rsidRDefault="00781A71" w:rsidP="00A81CD8">
      <w:pPr>
        <w:ind w:left="720"/>
      </w:pPr>
    </w:p>
    <w:p w14:paraId="26BE42CD" w14:textId="5C5E06CA" w:rsidR="00E53E26" w:rsidRPr="007A5016" w:rsidRDefault="00781A71" w:rsidP="007A5016">
      <w:pPr>
        <w:pStyle w:val="ListParagraph"/>
        <w:rPr>
          <w:b/>
        </w:rPr>
      </w:pPr>
      <w:r w:rsidRPr="007A5016">
        <w:rPr>
          <w:b/>
        </w:rPr>
        <w:t xml:space="preserve">The Commission recommends that the </w:t>
      </w:r>
      <w:r w:rsidR="00E53E26" w:rsidRPr="007A5016">
        <w:rPr>
          <w:b/>
        </w:rPr>
        <w:t xml:space="preserve">Committee propose an amendment to the Bill to ensure the </w:t>
      </w:r>
      <w:r w:rsidRPr="007A5016">
        <w:rPr>
          <w:b/>
        </w:rPr>
        <w:t>offence of photographing</w:t>
      </w:r>
      <w:r w:rsidR="00503B70" w:rsidRPr="007A5016">
        <w:rPr>
          <w:b/>
        </w:rPr>
        <w:t xml:space="preserve"> and audio recording</w:t>
      </w:r>
      <w:r w:rsidRPr="007A5016">
        <w:rPr>
          <w:b/>
        </w:rPr>
        <w:t xml:space="preserve"> as well as</w:t>
      </w:r>
      <w:r w:rsidR="00503B70" w:rsidRPr="007A5016">
        <w:rPr>
          <w:b/>
        </w:rPr>
        <w:t xml:space="preserve"> video</w:t>
      </w:r>
      <w:r w:rsidRPr="007A5016">
        <w:rPr>
          <w:b/>
        </w:rPr>
        <w:t xml:space="preserve"> recording is explicitly included within the Bill. </w:t>
      </w:r>
      <w:r w:rsidR="0014617A" w:rsidRPr="007A5016">
        <w:rPr>
          <w:b/>
        </w:rPr>
        <w:t>T</w:t>
      </w:r>
      <w:r w:rsidR="00E9754A" w:rsidRPr="007A5016">
        <w:rPr>
          <w:b/>
        </w:rPr>
        <w:t xml:space="preserve">he Commission also recommends that </w:t>
      </w:r>
      <w:r w:rsidR="00544E65" w:rsidRPr="007A5016">
        <w:rPr>
          <w:b/>
        </w:rPr>
        <w:t xml:space="preserve">the use of posters, leaflets and banners can </w:t>
      </w:r>
      <w:r w:rsidR="00E9754A" w:rsidRPr="007A5016">
        <w:rPr>
          <w:b/>
        </w:rPr>
        <w:t xml:space="preserve">be a </w:t>
      </w:r>
      <w:r w:rsidR="00544E65" w:rsidRPr="007A5016">
        <w:rPr>
          <w:b/>
        </w:rPr>
        <w:t xml:space="preserve">form of harassment. </w:t>
      </w:r>
    </w:p>
    <w:p w14:paraId="6C156F50" w14:textId="77777777" w:rsidR="00E53E26" w:rsidRPr="007A5016" w:rsidRDefault="00E53E26" w:rsidP="00A81CD8">
      <w:pPr>
        <w:ind w:left="720"/>
        <w:rPr>
          <w:b/>
        </w:rPr>
      </w:pPr>
    </w:p>
    <w:p w14:paraId="0D5C3CC9" w14:textId="53E1255D" w:rsidR="00781A71" w:rsidRPr="007A5016" w:rsidRDefault="00781A71" w:rsidP="007A5016">
      <w:pPr>
        <w:pStyle w:val="ListParagraph"/>
        <w:rPr>
          <w:b/>
        </w:rPr>
      </w:pPr>
      <w:r w:rsidRPr="007A5016">
        <w:rPr>
          <w:b/>
        </w:rPr>
        <w:t xml:space="preserve">The Commission recommends </w:t>
      </w:r>
      <w:r w:rsidR="00E9754A" w:rsidRPr="007A5016">
        <w:rPr>
          <w:b/>
        </w:rPr>
        <w:t xml:space="preserve">that </w:t>
      </w:r>
      <w:r w:rsidRPr="007A5016">
        <w:rPr>
          <w:b/>
        </w:rPr>
        <w:t xml:space="preserve">chanting and </w:t>
      </w:r>
      <w:r w:rsidR="00E9754A" w:rsidRPr="007A5016">
        <w:rPr>
          <w:b/>
        </w:rPr>
        <w:t xml:space="preserve">the </w:t>
      </w:r>
      <w:r w:rsidRPr="007A5016">
        <w:rPr>
          <w:b/>
        </w:rPr>
        <w:t xml:space="preserve">use of loudspeakers </w:t>
      </w:r>
      <w:r w:rsidR="00E9754A" w:rsidRPr="007A5016">
        <w:rPr>
          <w:b/>
        </w:rPr>
        <w:t>can also be a form of harassment.</w:t>
      </w:r>
      <w:r w:rsidRPr="007A5016">
        <w:rPr>
          <w:b/>
        </w:rPr>
        <w:t xml:space="preserve"> </w:t>
      </w:r>
    </w:p>
    <w:p w14:paraId="2694B414" w14:textId="77777777" w:rsidR="00C36A9E" w:rsidRPr="007A5016" w:rsidRDefault="00C36A9E" w:rsidP="00A81CD8">
      <w:pPr>
        <w:ind w:left="720"/>
        <w:rPr>
          <w:b/>
        </w:rPr>
      </w:pPr>
    </w:p>
    <w:p w14:paraId="31CD1A90" w14:textId="3F71242C" w:rsidR="00C36A9E" w:rsidRPr="007A5016" w:rsidRDefault="00C36A9E" w:rsidP="007A5016">
      <w:pPr>
        <w:pStyle w:val="ListParagraph"/>
      </w:pPr>
      <w:r w:rsidRPr="007A5016">
        <w:rPr>
          <w:b/>
        </w:rPr>
        <w:t>The Commission recommend</w:t>
      </w:r>
      <w:r w:rsidR="00E9754A" w:rsidRPr="007A5016">
        <w:rPr>
          <w:b/>
        </w:rPr>
        <w:t>s</w:t>
      </w:r>
      <w:r w:rsidRPr="007A5016">
        <w:rPr>
          <w:b/>
        </w:rPr>
        <w:t xml:space="preserve"> the </w:t>
      </w:r>
      <w:r w:rsidR="00E9754A" w:rsidRPr="007A5016">
        <w:rPr>
          <w:b/>
        </w:rPr>
        <w:t>development of guidance for</w:t>
      </w:r>
      <w:r w:rsidRPr="007A5016">
        <w:rPr>
          <w:b/>
        </w:rPr>
        <w:t xml:space="preserve"> operators</w:t>
      </w:r>
      <w:r w:rsidR="00E9754A" w:rsidRPr="007A5016">
        <w:rPr>
          <w:b/>
        </w:rPr>
        <w:t>. Such guidance should include notification and dissemination of the nature and extent of the zones.</w:t>
      </w:r>
      <w:r w:rsidRPr="007A5016">
        <w:t xml:space="preserve"> </w:t>
      </w:r>
    </w:p>
    <w:p w14:paraId="2480E21A" w14:textId="77777777" w:rsidR="003D7DB9" w:rsidRDefault="003D7DB9" w:rsidP="00A81CD8">
      <w:pPr>
        <w:ind w:left="720"/>
      </w:pPr>
    </w:p>
    <w:p w14:paraId="7F6EC679" w14:textId="1E5BFEAB" w:rsidR="003D7DB9" w:rsidRDefault="003D7DB9" w:rsidP="003D7DB9">
      <w:pPr>
        <w:pStyle w:val="Heading2"/>
      </w:pPr>
      <w:bookmarkStart w:id="7" w:name="_Toc87636824"/>
      <w:r w:rsidRPr="003D7DB9">
        <w:t xml:space="preserve">Enforcement of </w:t>
      </w:r>
      <w:r w:rsidR="00A611B4">
        <w:t xml:space="preserve">a </w:t>
      </w:r>
      <w:r w:rsidRPr="003D7DB9">
        <w:t xml:space="preserve">safe access zone by a </w:t>
      </w:r>
      <w:r w:rsidR="00E9754A">
        <w:t xml:space="preserve">police </w:t>
      </w:r>
      <w:r w:rsidRPr="003D7DB9">
        <w:t>constable</w:t>
      </w:r>
      <w:bookmarkEnd w:id="7"/>
    </w:p>
    <w:p w14:paraId="57C117A7" w14:textId="77777777" w:rsidR="00D90A8C" w:rsidRDefault="00D90A8C" w:rsidP="00D90A8C"/>
    <w:p w14:paraId="25B539B6" w14:textId="0F7AD3B3" w:rsidR="00536F2E" w:rsidRPr="00536F2E" w:rsidRDefault="00A81CD8" w:rsidP="007A5016">
      <w:pPr>
        <w:pStyle w:val="ListParagraph"/>
      </w:pPr>
      <w:r>
        <w:t xml:space="preserve">The Commission welcomes </w:t>
      </w:r>
      <w:r w:rsidR="00536F2E">
        <w:t xml:space="preserve">measures to provide the police with enforcement powers to ensure </w:t>
      </w:r>
      <w:r w:rsidR="00D403FC">
        <w:t xml:space="preserve">that safe access zones </w:t>
      </w:r>
      <w:r w:rsidR="00A611B4">
        <w:t>do</w:t>
      </w:r>
      <w:r w:rsidR="00D403FC">
        <w:t xml:space="preserve"> </w:t>
      </w:r>
      <w:proofErr w:type="gramStart"/>
      <w:r w:rsidR="00D403FC">
        <w:t xml:space="preserve">protect </w:t>
      </w:r>
      <w:r w:rsidR="00A611B4">
        <w:t>effectively</w:t>
      </w:r>
      <w:proofErr w:type="gramEnd"/>
      <w:r w:rsidR="00A611B4">
        <w:t xml:space="preserve"> </w:t>
      </w:r>
      <w:r w:rsidR="00D403FC">
        <w:t>the rights of those accessing protected premises.</w:t>
      </w:r>
      <w:r w:rsidR="00536F2E" w:rsidRPr="00536F2E">
        <w:t xml:space="preserve"> </w:t>
      </w:r>
      <w:r w:rsidR="00A36D2E">
        <w:t>T</w:t>
      </w:r>
      <w:r w:rsidR="00601924">
        <w:t>his</w:t>
      </w:r>
      <w:r w:rsidR="00A36D2E">
        <w:t xml:space="preserve"> should include enforcement powers in relation to </w:t>
      </w:r>
      <w:r w:rsidR="00A611B4">
        <w:t xml:space="preserve">the other </w:t>
      </w:r>
      <w:r w:rsidR="00A36D2E">
        <w:t>offences identified above</w:t>
      </w:r>
      <w:r w:rsidR="00A611B4">
        <w:t xml:space="preserve"> and cover</w:t>
      </w:r>
      <w:r w:rsidR="00601924">
        <w:t xml:space="preserve"> all forms of harassment including</w:t>
      </w:r>
      <w:r w:rsidR="00A36D2E">
        <w:t xml:space="preserve"> the use of posters, </w:t>
      </w:r>
      <w:proofErr w:type="gramStart"/>
      <w:r w:rsidR="00A36D2E">
        <w:t>leaflets</w:t>
      </w:r>
      <w:proofErr w:type="gramEnd"/>
      <w:r w:rsidR="00A36D2E">
        <w:t xml:space="preserve"> and banners</w:t>
      </w:r>
      <w:r w:rsidR="00A611B4">
        <w:t xml:space="preserve">, </w:t>
      </w:r>
      <w:r w:rsidR="00A36D2E">
        <w:t xml:space="preserve">chanting and </w:t>
      </w:r>
      <w:r w:rsidR="00A611B4">
        <w:t xml:space="preserve">the use of </w:t>
      </w:r>
      <w:r w:rsidR="00A36D2E">
        <w:t xml:space="preserve">loudspeakers. </w:t>
      </w:r>
    </w:p>
    <w:p w14:paraId="3473BF01" w14:textId="77777777" w:rsidR="00A81CD8" w:rsidRDefault="00A81CD8" w:rsidP="00772BCF">
      <w:pPr>
        <w:ind w:left="720"/>
      </w:pPr>
    </w:p>
    <w:p w14:paraId="57735291" w14:textId="53456189" w:rsidR="00D90A8C" w:rsidRDefault="00536F2E" w:rsidP="007A5016">
      <w:pPr>
        <w:pStyle w:val="ListParagraph"/>
      </w:pPr>
      <w:r>
        <w:t>The Commission highlight</w:t>
      </w:r>
      <w:r w:rsidR="00A611B4">
        <w:t>s</w:t>
      </w:r>
      <w:r>
        <w:t xml:space="preserve"> that further clarification is needed </w:t>
      </w:r>
      <w:proofErr w:type="gramStart"/>
      <w:r>
        <w:t>in regards to</w:t>
      </w:r>
      <w:proofErr w:type="gramEnd"/>
      <w:r>
        <w:t xml:space="preserve"> “</w:t>
      </w:r>
      <w:r w:rsidR="00A81CD8">
        <w:t xml:space="preserve">Where a constable has reasonable grounds to believe that a person has committed, is committing, or is about to commit an offence under section </w:t>
      </w:r>
      <w:r w:rsidR="00A81CD8">
        <w:lastRenderedPageBreak/>
        <w:t>6(3), the constable may direc</w:t>
      </w:r>
      <w:r>
        <w:t xml:space="preserve">t the person to cease recording”. The Commission </w:t>
      </w:r>
      <w:r w:rsidR="00A611B4">
        <w:t xml:space="preserve">suggests this should extend expressly to situations where </w:t>
      </w:r>
      <w:r>
        <w:t xml:space="preserve">the constable believes photographs </w:t>
      </w:r>
      <w:r w:rsidR="00A611B4">
        <w:t xml:space="preserve">have been </w:t>
      </w:r>
      <w:r>
        <w:t>taken</w:t>
      </w:r>
      <w:r w:rsidR="00A611B4">
        <w:t>, are being taken or are about to be taken.</w:t>
      </w:r>
      <w:r>
        <w:t xml:space="preserve"> </w:t>
      </w:r>
    </w:p>
    <w:p w14:paraId="39E8E8F9" w14:textId="77777777" w:rsidR="00F41DCD" w:rsidRDefault="00F41DCD" w:rsidP="00E73686">
      <w:pPr>
        <w:ind w:left="720"/>
      </w:pPr>
    </w:p>
    <w:p w14:paraId="3E183C26" w14:textId="6DEC9F5C" w:rsidR="00F41DCD" w:rsidRPr="007A5016" w:rsidRDefault="00F41DCD" w:rsidP="007A5016">
      <w:pPr>
        <w:pStyle w:val="ListParagraph"/>
        <w:rPr>
          <w:b/>
        </w:rPr>
      </w:pPr>
      <w:r w:rsidRPr="007A5016">
        <w:rPr>
          <w:b/>
        </w:rPr>
        <w:t xml:space="preserve">The Commission recommends </w:t>
      </w:r>
      <w:r w:rsidR="00A444F4" w:rsidRPr="007A5016">
        <w:rPr>
          <w:b/>
        </w:rPr>
        <w:t>the Bill is amended to ensure a police officer can direct a person to cease taking photographs.</w:t>
      </w:r>
    </w:p>
    <w:p w14:paraId="7E337045" w14:textId="77777777" w:rsidR="00A931D1" w:rsidRDefault="00A931D1" w:rsidP="00A931D1">
      <w:pPr>
        <w:pStyle w:val="BasicParagraph"/>
        <w:suppressAutoHyphens/>
        <w:rPr>
          <w:rFonts w:ascii="Verdana" w:hAnsi="Verdana" w:cs="Arial"/>
          <w:color w:val="232120"/>
          <w:sz w:val="20"/>
          <w:szCs w:val="20"/>
        </w:rPr>
      </w:pPr>
    </w:p>
    <w:p w14:paraId="166700FA" w14:textId="77777777" w:rsidR="00A931D1" w:rsidRDefault="003D7DB9" w:rsidP="003D7DB9">
      <w:pPr>
        <w:pStyle w:val="Heading2"/>
      </w:pPr>
      <w:bookmarkStart w:id="8" w:name="_Toc87636825"/>
      <w:r w:rsidRPr="003D7DB9">
        <w:t>Procedure for designating a safe access zone</w:t>
      </w:r>
      <w:bookmarkEnd w:id="8"/>
    </w:p>
    <w:p w14:paraId="089D3EAE" w14:textId="77777777" w:rsidR="00A931D1" w:rsidRDefault="00A931D1" w:rsidP="00A931D1">
      <w:pPr>
        <w:pStyle w:val="BasicParagraph"/>
        <w:suppressAutoHyphens/>
        <w:rPr>
          <w:rFonts w:ascii="Verdana" w:hAnsi="Verdana" w:cs="Arial"/>
          <w:color w:val="232120"/>
          <w:sz w:val="20"/>
          <w:szCs w:val="20"/>
        </w:rPr>
      </w:pPr>
    </w:p>
    <w:p w14:paraId="137A541C" w14:textId="20527B1F" w:rsidR="00A931D1" w:rsidRDefault="0038168D" w:rsidP="007A5016">
      <w:pPr>
        <w:pStyle w:val="ListParagraph"/>
      </w:pPr>
      <w:proofErr w:type="gramStart"/>
      <w:r>
        <w:t>In regards to</w:t>
      </w:r>
      <w:proofErr w:type="gramEnd"/>
      <w:r>
        <w:t xml:space="preserve"> the procedure for designating a safe access zone the Commission recommend</w:t>
      </w:r>
      <w:r w:rsidR="00A611B4">
        <w:t>s that</w:t>
      </w:r>
      <w:r>
        <w:t xml:space="preserve"> </w:t>
      </w:r>
      <w:r w:rsidR="00D90A8C">
        <w:t xml:space="preserve">the Department </w:t>
      </w:r>
      <w:r w:rsidR="00A611B4">
        <w:t xml:space="preserve">of Health should have the </w:t>
      </w:r>
      <w:r w:rsidR="00D90A8C">
        <w:t>additional</w:t>
      </w:r>
      <w:r>
        <w:t xml:space="preserve"> power to direct and apply a safe zone where it </w:t>
      </w:r>
      <w:r w:rsidR="00A611B4">
        <w:t xml:space="preserve">is satisfied that it is </w:t>
      </w:r>
      <w:r>
        <w:t>necessary</w:t>
      </w:r>
      <w:r w:rsidR="00A611B4">
        <w:t>,</w:t>
      </w:r>
      <w:r>
        <w:t xml:space="preserve"> without the need for an operator to submit an application. </w:t>
      </w:r>
    </w:p>
    <w:p w14:paraId="56F960CE" w14:textId="77777777" w:rsidR="00D90A8C" w:rsidRDefault="00D90A8C" w:rsidP="00A81CD8">
      <w:pPr>
        <w:ind w:left="720"/>
      </w:pPr>
    </w:p>
    <w:p w14:paraId="3803A63D" w14:textId="718CC31F" w:rsidR="00D90A8C" w:rsidRDefault="00D90A8C" w:rsidP="007A5016">
      <w:pPr>
        <w:pStyle w:val="ListParagraph"/>
      </w:pPr>
      <w:r>
        <w:t xml:space="preserve">The Commission welcomes the requirement </w:t>
      </w:r>
      <w:r w:rsidR="00D65EE3">
        <w:t xml:space="preserve">for </w:t>
      </w:r>
      <w:r>
        <w:t xml:space="preserve">the Department to consult with the operator and </w:t>
      </w:r>
      <w:r w:rsidR="00D65EE3">
        <w:t xml:space="preserve">the </w:t>
      </w:r>
      <w:r>
        <w:t>police in de</w:t>
      </w:r>
      <w:r w:rsidR="00275775">
        <w:t xml:space="preserve">termining the </w:t>
      </w:r>
      <w:r>
        <w:t xml:space="preserve">safe access zone. </w:t>
      </w:r>
      <w:r w:rsidR="00D65EE3">
        <w:t xml:space="preserve">This should be in addition to </w:t>
      </w:r>
      <w:r w:rsidR="00275775">
        <w:t>“</w:t>
      </w:r>
      <w:r w:rsidRPr="00D90A8C">
        <w:t>such other pers</w:t>
      </w:r>
      <w:r w:rsidR="00275775">
        <w:t xml:space="preserve">ons as it considers appropriate”. The Commission </w:t>
      </w:r>
      <w:r w:rsidR="00D65EE3">
        <w:t xml:space="preserve">advises </w:t>
      </w:r>
      <w:r w:rsidR="00275775">
        <w:t xml:space="preserve">that </w:t>
      </w:r>
      <w:r w:rsidR="00D65EE3">
        <w:t xml:space="preserve">the guidance should make it clear that consultation may also be required with local </w:t>
      </w:r>
      <w:r w:rsidR="00275775">
        <w:t>business</w:t>
      </w:r>
      <w:r w:rsidR="00D65EE3">
        <w:t>es</w:t>
      </w:r>
      <w:r w:rsidR="00275775">
        <w:t xml:space="preserve"> and </w:t>
      </w:r>
      <w:proofErr w:type="gramStart"/>
      <w:r w:rsidR="00D65EE3">
        <w:t xml:space="preserve">local </w:t>
      </w:r>
      <w:r w:rsidR="00275775">
        <w:t>residents</w:t>
      </w:r>
      <w:proofErr w:type="gramEnd"/>
      <w:r w:rsidR="00D65EE3">
        <w:t>.</w:t>
      </w:r>
      <w:r w:rsidR="00275775">
        <w:t xml:space="preserve"> </w:t>
      </w:r>
    </w:p>
    <w:p w14:paraId="3E71CBC9" w14:textId="186C5E82" w:rsidR="005E0705" w:rsidRDefault="005E0705" w:rsidP="00544E65">
      <w:pPr>
        <w:ind w:left="720"/>
      </w:pPr>
    </w:p>
    <w:p w14:paraId="245D77BE" w14:textId="2791DEF0" w:rsidR="001108B6" w:rsidRDefault="00544E65" w:rsidP="007A5016">
      <w:pPr>
        <w:pStyle w:val="ListParagraph"/>
      </w:pPr>
      <w:r>
        <w:t xml:space="preserve">The Commission is concerned that the Bill doesn’t </w:t>
      </w:r>
      <w:r w:rsidR="009F1D15">
        <w:t xml:space="preserve">provide any guidance on the duration of </w:t>
      </w:r>
      <w:r>
        <w:t>safe zone</w:t>
      </w:r>
      <w:r w:rsidR="009F1D15">
        <w:t>s</w:t>
      </w:r>
      <w:r>
        <w:t xml:space="preserve"> </w:t>
      </w:r>
      <w:r w:rsidR="009F1D15">
        <w:t xml:space="preserve">or the operation of </w:t>
      </w:r>
      <w:r>
        <w:t xml:space="preserve">a review mechanism. The Bill currently provides </w:t>
      </w:r>
      <w:r w:rsidR="006E30E0">
        <w:t xml:space="preserve">it </w:t>
      </w:r>
      <w:r>
        <w:t>remain</w:t>
      </w:r>
      <w:r w:rsidR="006E30E0">
        <w:t>s</w:t>
      </w:r>
      <w:r>
        <w:t xml:space="preserve"> until the operator no longer wishes </w:t>
      </w:r>
      <w:r w:rsidR="006E30E0">
        <w:t xml:space="preserve">it. </w:t>
      </w:r>
      <w:proofErr w:type="gramStart"/>
      <w:r w:rsidR="006E30E0">
        <w:t>A</w:t>
      </w:r>
      <w:r>
        <w:t xml:space="preserve"> ti</w:t>
      </w:r>
      <w:r w:rsidR="00661644">
        <w:t>me period</w:t>
      </w:r>
      <w:proofErr w:type="gramEnd"/>
      <w:r w:rsidR="00661644">
        <w:t xml:space="preserve"> </w:t>
      </w:r>
      <w:r w:rsidR="006E30E0">
        <w:t xml:space="preserve">for </w:t>
      </w:r>
      <w:r>
        <w:t xml:space="preserve">the </w:t>
      </w:r>
      <w:r w:rsidR="006E30E0">
        <w:t xml:space="preserve">duration of the </w:t>
      </w:r>
      <w:r w:rsidR="00661644">
        <w:t>safe zone</w:t>
      </w:r>
      <w:r w:rsidR="006E30E0">
        <w:t>, which can be extended easily if necessary and</w:t>
      </w:r>
      <w:r w:rsidR="00661644">
        <w:t xml:space="preserve"> a </w:t>
      </w:r>
      <w:r>
        <w:t xml:space="preserve">review mechanism </w:t>
      </w:r>
      <w:r w:rsidR="006E30E0">
        <w:t xml:space="preserve">to </w:t>
      </w:r>
      <w:r w:rsidR="001108B6">
        <w:t>allow for consideration of the proportionality and balancing of E</w:t>
      </w:r>
      <w:r w:rsidR="00661644">
        <w:t>CHR rights</w:t>
      </w:r>
      <w:r w:rsidR="006E30E0">
        <w:t xml:space="preserve"> is advisable</w:t>
      </w:r>
      <w:r w:rsidR="00661644">
        <w:t>.</w:t>
      </w:r>
      <w:r w:rsidRPr="00544E65">
        <w:t xml:space="preserve"> </w:t>
      </w:r>
    </w:p>
    <w:p w14:paraId="07A625F1" w14:textId="26A2F675" w:rsidR="00544E65" w:rsidRDefault="00544E65" w:rsidP="007A5016">
      <w:pPr>
        <w:ind w:left="720"/>
      </w:pPr>
    </w:p>
    <w:p w14:paraId="4052951E" w14:textId="77777777" w:rsidR="00544E65" w:rsidRPr="007A5016" w:rsidRDefault="00544E65" w:rsidP="007A5016">
      <w:pPr>
        <w:pStyle w:val="ListParagraph"/>
        <w:rPr>
          <w:b/>
        </w:rPr>
      </w:pPr>
      <w:r w:rsidRPr="007A5016">
        <w:rPr>
          <w:b/>
        </w:rPr>
        <w:t xml:space="preserve">The Commission recommends the Committee consider an amendment to the Bill to provide the Department with an additional power to introduce a safe access zone, without an application by an operator, where it sees necessary. </w:t>
      </w:r>
    </w:p>
    <w:p w14:paraId="3B2F83A1" w14:textId="77777777" w:rsidR="00544E65" w:rsidRPr="007A5016" w:rsidRDefault="00544E65" w:rsidP="00544E65">
      <w:pPr>
        <w:ind w:left="720"/>
        <w:rPr>
          <w:b/>
        </w:rPr>
      </w:pPr>
    </w:p>
    <w:p w14:paraId="28D98843" w14:textId="6565BD43" w:rsidR="00544E65" w:rsidRPr="007A5016" w:rsidRDefault="00544E65" w:rsidP="007A5016">
      <w:pPr>
        <w:pStyle w:val="ListParagraph"/>
        <w:rPr>
          <w:b/>
        </w:rPr>
      </w:pPr>
      <w:r w:rsidRPr="007A5016">
        <w:rPr>
          <w:b/>
        </w:rPr>
        <w:t xml:space="preserve">The Commission recommends the Department ensure </w:t>
      </w:r>
      <w:r w:rsidR="006E30E0" w:rsidRPr="007A5016">
        <w:rPr>
          <w:b/>
        </w:rPr>
        <w:t xml:space="preserve">consultation </w:t>
      </w:r>
      <w:r w:rsidRPr="007A5016">
        <w:rPr>
          <w:b/>
        </w:rPr>
        <w:t xml:space="preserve">on safe access zones extends to surrounding business owners and residents where </w:t>
      </w:r>
      <w:r w:rsidR="006E30E0" w:rsidRPr="007A5016">
        <w:rPr>
          <w:b/>
        </w:rPr>
        <w:t>appropriate</w:t>
      </w:r>
      <w:r w:rsidRPr="007A5016">
        <w:rPr>
          <w:b/>
        </w:rPr>
        <w:t xml:space="preserve">. </w:t>
      </w:r>
    </w:p>
    <w:p w14:paraId="5484EA15" w14:textId="33B66BEC" w:rsidR="00544E65" w:rsidRPr="007A5016" w:rsidRDefault="00544E65" w:rsidP="007A5016">
      <w:pPr>
        <w:ind w:left="720"/>
        <w:rPr>
          <w:b/>
        </w:rPr>
      </w:pPr>
    </w:p>
    <w:p w14:paraId="37DA09FA" w14:textId="79AA63B2" w:rsidR="00544E65" w:rsidRPr="007A5016" w:rsidRDefault="00544E65" w:rsidP="007A5016">
      <w:pPr>
        <w:pStyle w:val="ListParagraph"/>
      </w:pPr>
      <w:r w:rsidRPr="007A5016">
        <w:rPr>
          <w:b/>
        </w:rPr>
        <w:t xml:space="preserve">The Commission recommends </w:t>
      </w:r>
      <w:r w:rsidR="00352289" w:rsidRPr="007A5016">
        <w:rPr>
          <w:b/>
        </w:rPr>
        <w:t xml:space="preserve">that </w:t>
      </w:r>
      <w:r w:rsidR="00661644" w:rsidRPr="007A5016">
        <w:rPr>
          <w:b/>
        </w:rPr>
        <w:t>safe access zone</w:t>
      </w:r>
      <w:r w:rsidR="00352289" w:rsidRPr="007A5016">
        <w:rPr>
          <w:b/>
        </w:rPr>
        <w:t>s should be for a time limited period which may be extended following</w:t>
      </w:r>
      <w:r w:rsidR="00661644" w:rsidRPr="007A5016">
        <w:rPr>
          <w:b/>
        </w:rPr>
        <w:t xml:space="preserve"> a review</w:t>
      </w:r>
      <w:r w:rsidR="00352289" w:rsidRPr="007A5016">
        <w:t>.</w:t>
      </w:r>
    </w:p>
    <w:p w14:paraId="260299B3" w14:textId="77777777" w:rsidR="00E73686" w:rsidRDefault="00E73686" w:rsidP="00E73686">
      <w:pPr>
        <w:ind w:left="720"/>
      </w:pPr>
    </w:p>
    <w:p w14:paraId="4A5EFD81" w14:textId="3FDB01F2" w:rsidR="00C36A9E" w:rsidRPr="00C36A9E" w:rsidRDefault="00C36A9E" w:rsidP="00C36A9E">
      <w:pPr>
        <w:pStyle w:val="Heading2"/>
      </w:pPr>
      <w:bookmarkStart w:id="9" w:name="_Toc87636826"/>
      <w:r w:rsidRPr="00C36A9E">
        <w:lastRenderedPageBreak/>
        <w:t>Monitoring of effectiveness of safe access zones</w:t>
      </w:r>
      <w:bookmarkEnd w:id="9"/>
    </w:p>
    <w:p w14:paraId="3930086B" w14:textId="77777777" w:rsidR="00C36A9E" w:rsidRDefault="00C36A9E" w:rsidP="00A81CD8">
      <w:pPr>
        <w:ind w:left="720"/>
      </w:pPr>
    </w:p>
    <w:p w14:paraId="02BFC073" w14:textId="0D42DC02" w:rsidR="00C36A9E" w:rsidRDefault="00A81CD8" w:rsidP="007A5016">
      <w:pPr>
        <w:pStyle w:val="ListParagraph"/>
      </w:pPr>
      <w:r>
        <w:t xml:space="preserve">The Commission welcomes the inclusion within the Bill </w:t>
      </w:r>
      <w:r w:rsidR="008E3CB3">
        <w:t xml:space="preserve">of </w:t>
      </w:r>
      <w:r>
        <w:t>a requirement on the</w:t>
      </w:r>
      <w:r w:rsidR="00C36A9E" w:rsidRPr="00A81CD8">
        <w:t xml:space="preserve"> Department </w:t>
      </w:r>
      <w:r w:rsidR="00745CBE">
        <w:t>“</w:t>
      </w:r>
      <w:r>
        <w:t xml:space="preserve">to </w:t>
      </w:r>
      <w:r w:rsidR="00C36A9E" w:rsidRPr="00A81CD8">
        <w:t>publish an annual report, setting out whether, in the opinion of the Department, each safe access zone has been effective in protecting the safety and dignity of protected persons</w:t>
      </w:r>
      <w:r w:rsidR="00745CBE">
        <w:t>”</w:t>
      </w:r>
      <w:r w:rsidR="00C36A9E" w:rsidRPr="00A81CD8">
        <w:t>.</w:t>
      </w:r>
      <w:r>
        <w:t xml:space="preserve"> </w:t>
      </w:r>
    </w:p>
    <w:p w14:paraId="706AA040" w14:textId="77777777" w:rsidR="00745CBE" w:rsidRDefault="00745CBE" w:rsidP="00544E65">
      <w:pPr>
        <w:ind w:left="720"/>
      </w:pPr>
    </w:p>
    <w:p w14:paraId="50B4141C" w14:textId="07CC7A86" w:rsidR="00745CBE" w:rsidRDefault="00745CBE" w:rsidP="007A5016">
      <w:pPr>
        <w:pStyle w:val="ListParagraph"/>
      </w:pPr>
      <w:r>
        <w:t>However, the Commission is concerned that as th</w:t>
      </w:r>
      <w:r w:rsidR="008E3CB3">
        <w:t>at</w:t>
      </w:r>
      <w:r>
        <w:t xml:space="preserve"> provision </w:t>
      </w:r>
      <w:r w:rsidR="00544E65">
        <w:t xml:space="preserve">is currently worded, </w:t>
      </w:r>
      <w:r>
        <w:t xml:space="preserve">only the opinion of the Department will be considered on whether safe access zones have been effective. This should be expanded to ensure that it is not limited to the </w:t>
      </w:r>
      <w:r w:rsidR="00544E65">
        <w:t>opinion of the Department</w:t>
      </w:r>
      <w:r w:rsidR="008E3CB3">
        <w:t xml:space="preserve">. The </w:t>
      </w:r>
      <w:r>
        <w:t xml:space="preserve">Department </w:t>
      </w:r>
      <w:r w:rsidR="008E3CB3">
        <w:t>should be</w:t>
      </w:r>
      <w:r>
        <w:t xml:space="preserve"> required to consult with those directly </w:t>
      </w:r>
      <w:r w:rsidR="00544E65">
        <w:t>affected</w:t>
      </w:r>
      <w:r>
        <w:t xml:space="preserve"> by the zone </w:t>
      </w:r>
      <w:r w:rsidR="00544E65">
        <w:t>i</w:t>
      </w:r>
      <w:r>
        <w:t>ncluding patients, staff</w:t>
      </w:r>
      <w:r w:rsidR="00503B70">
        <w:t>,</w:t>
      </w:r>
      <w:r>
        <w:t xml:space="preserve"> </w:t>
      </w:r>
      <w:proofErr w:type="gramStart"/>
      <w:r>
        <w:t>local residents</w:t>
      </w:r>
      <w:proofErr w:type="gramEnd"/>
      <w:r>
        <w:t xml:space="preserve"> and businesses</w:t>
      </w:r>
      <w:r w:rsidR="008E3CB3">
        <w:t xml:space="preserve"> and</w:t>
      </w:r>
      <w:r>
        <w:t xml:space="preserve"> the </w:t>
      </w:r>
      <w:r w:rsidR="008E3CB3">
        <w:t>P</w:t>
      </w:r>
      <w:r>
        <w:t xml:space="preserve">olice </w:t>
      </w:r>
      <w:r w:rsidR="008E3CB3">
        <w:t>S</w:t>
      </w:r>
      <w:r>
        <w:t xml:space="preserve">ervice for NI. </w:t>
      </w:r>
      <w:r w:rsidR="008E3CB3">
        <w:t xml:space="preserve">Thereafter, their views should be </w:t>
      </w:r>
      <w:proofErr w:type="gramStart"/>
      <w:r w:rsidR="008E3CB3">
        <w:t>taken into account</w:t>
      </w:r>
      <w:proofErr w:type="gramEnd"/>
      <w:r w:rsidR="008E3CB3">
        <w:t xml:space="preserve"> in the Department’s assessment of the effectiveness of the zone(s).</w:t>
      </w:r>
    </w:p>
    <w:p w14:paraId="1146AB83" w14:textId="77777777" w:rsidR="00A81CD8" w:rsidRDefault="00A81CD8" w:rsidP="00A81CD8">
      <w:pPr>
        <w:ind w:left="720"/>
      </w:pPr>
    </w:p>
    <w:p w14:paraId="5F2E68C1" w14:textId="6ED64760" w:rsidR="00A81CD8" w:rsidRPr="007A5016" w:rsidRDefault="00A81CD8" w:rsidP="007A5016">
      <w:pPr>
        <w:pStyle w:val="ListParagraph"/>
        <w:rPr>
          <w:b/>
        </w:rPr>
      </w:pPr>
      <w:r w:rsidRPr="007A5016">
        <w:rPr>
          <w:b/>
        </w:rPr>
        <w:t xml:space="preserve">The Commission recommends the Department’s annual </w:t>
      </w:r>
      <w:r w:rsidR="008E3CB3" w:rsidRPr="007A5016">
        <w:rPr>
          <w:b/>
        </w:rPr>
        <w:t xml:space="preserve">effectiveness </w:t>
      </w:r>
      <w:r w:rsidRPr="007A5016">
        <w:rPr>
          <w:b/>
        </w:rPr>
        <w:t>report include</w:t>
      </w:r>
      <w:r w:rsidR="008E3CB3" w:rsidRPr="007A5016">
        <w:rPr>
          <w:b/>
        </w:rPr>
        <w:t>s data on the number of</w:t>
      </w:r>
      <w:r w:rsidRPr="007A5016">
        <w:rPr>
          <w:b/>
        </w:rPr>
        <w:t xml:space="preserve"> offences and prosecutions. </w:t>
      </w:r>
    </w:p>
    <w:p w14:paraId="10C44A22" w14:textId="2A484E75" w:rsidR="00D350FA" w:rsidRDefault="00D350FA" w:rsidP="00544E65">
      <w:pPr>
        <w:ind w:left="720"/>
      </w:pPr>
    </w:p>
    <w:p w14:paraId="12758C62" w14:textId="77777777" w:rsidR="00C36A9E" w:rsidRPr="00781A71" w:rsidRDefault="00C36A9E" w:rsidP="00A81CD8">
      <w:pPr>
        <w:ind w:left="720"/>
      </w:pPr>
    </w:p>
    <w:p w14:paraId="42973E07" w14:textId="77777777" w:rsidR="00A931D1" w:rsidRDefault="00A931D1" w:rsidP="00A931D1">
      <w:pPr>
        <w:pStyle w:val="BasicParagraph"/>
        <w:suppressAutoHyphens/>
        <w:rPr>
          <w:rFonts w:ascii="Verdana" w:hAnsi="Verdana" w:cs="Arial"/>
          <w:color w:val="232120"/>
          <w:sz w:val="20"/>
          <w:szCs w:val="20"/>
        </w:rPr>
      </w:pPr>
    </w:p>
    <w:p w14:paraId="3F3375C0" w14:textId="77777777" w:rsidR="00A931D1" w:rsidRDefault="00A931D1" w:rsidP="00A931D1">
      <w:pPr>
        <w:pStyle w:val="BasicParagraph"/>
        <w:suppressAutoHyphens/>
        <w:rPr>
          <w:rFonts w:ascii="Verdana" w:hAnsi="Verdana" w:cs="Arial"/>
          <w:color w:val="232120"/>
          <w:sz w:val="20"/>
          <w:szCs w:val="20"/>
        </w:rPr>
      </w:pPr>
    </w:p>
    <w:p w14:paraId="34390D1C" w14:textId="77777777" w:rsidR="00A931D1" w:rsidRDefault="00A931D1" w:rsidP="00A931D1">
      <w:pPr>
        <w:pStyle w:val="BasicParagraph"/>
        <w:suppressAutoHyphens/>
        <w:rPr>
          <w:rFonts w:ascii="Verdana" w:hAnsi="Verdana" w:cs="Arial"/>
          <w:color w:val="232120"/>
          <w:sz w:val="20"/>
          <w:szCs w:val="20"/>
        </w:rPr>
      </w:pPr>
    </w:p>
    <w:p w14:paraId="0BB8B428" w14:textId="77777777" w:rsidR="00A931D1" w:rsidRDefault="00A931D1" w:rsidP="00A931D1">
      <w:pPr>
        <w:pStyle w:val="BasicParagraph"/>
        <w:suppressAutoHyphens/>
        <w:rPr>
          <w:rFonts w:ascii="Verdana" w:hAnsi="Verdana" w:cs="Arial"/>
          <w:color w:val="232120"/>
          <w:sz w:val="20"/>
          <w:szCs w:val="20"/>
        </w:rPr>
      </w:pPr>
    </w:p>
    <w:p w14:paraId="47E412DC" w14:textId="77777777" w:rsidR="00A931D1" w:rsidRDefault="00A931D1" w:rsidP="00A931D1">
      <w:pPr>
        <w:pStyle w:val="BasicParagraph"/>
        <w:suppressAutoHyphens/>
        <w:rPr>
          <w:rFonts w:ascii="Verdana" w:hAnsi="Verdana" w:cs="Arial"/>
          <w:color w:val="232120"/>
          <w:sz w:val="20"/>
          <w:szCs w:val="20"/>
        </w:rPr>
      </w:pPr>
    </w:p>
    <w:p w14:paraId="13B461D5" w14:textId="77777777" w:rsidR="00A931D1" w:rsidRDefault="00A931D1" w:rsidP="00A931D1">
      <w:pPr>
        <w:pStyle w:val="BasicParagraph"/>
        <w:suppressAutoHyphens/>
        <w:rPr>
          <w:rFonts w:ascii="Verdana" w:hAnsi="Verdana" w:cs="Arial"/>
          <w:color w:val="232120"/>
          <w:sz w:val="20"/>
          <w:szCs w:val="20"/>
        </w:rPr>
      </w:pPr>
    </w:p>
    <w:p w14:paraId="0A19EF0A" w14:textId="77777777" w:rsidR="00A931D1" w:rsidRDefault="00A931D1" w:rsidP="00A931D1">
      <w:pPr>
        <w:pStyle w:val="BasicParagraph"/>
        <w:suppressAutoHyphens/>
        <w:rPr>
          <w:rFonts w:ascii="Verdana" w:hAnsi="Verdana" w:cs="Arial"/>
          <w:color w:val="232120"/>
          <w:sz w:val="20"/>
          <w:szCs w:val="20"/>
        </w:rPr>
      </w:pPr>
    </w:p>
    <w:p w14:paraId="09BEF171" w14:textId="716113AA" w:rsidR="00D350FA" w:rsidRDefault="00D350FA" w:rsidP="00A931D1">
      <w:pPr>
        <w:pStyle w:val="BasicParagraph"/>
        <w:suppressAutoHyphens/>
        <w:rPr>
          <w:rFonts w:ascii="Verdana" w:hAnsi="Verdana" w:cs="Arial"/>
          <w:color w:val="232120"/>
          <w:sz w:val="20"/>
          <w:szCs w:val="20"/>
        </w:rPr>
      </w:pPr>
    </w:p>
    <w:p w14:paraId="1442EF39" w14:textId="77777777" w:rsidR="000713E3" w:rsidRDefault="000713E3" w:rsidP="00FE2F8E">
      <w:pPr>
        <w:pStyle w:val="BasicParagraph"/>
        <w:suppressAutoHyphens/>
        <w:rPr>
          <w:rFonts w:ascii="Verdana" w:hAnsi="Verdana" w:cs="Arial"/>
          <w:color w:val="232120"/>
          <w:sz w:val="20"/>
          <w:szCs w:val="20"/>
        </w:rPr>
      </w:pPr>
    </w:p>
    <w:p w14:paraId="66E01E85" w14:textId="4DF97605" w:rsidR="006D6202" w:rsidRDefault="006D6202" w:rsidP="00FE2F8E">
      <w:pPr>
        <w:pStyle w:val="BasicParagraph"/>
        <w:suppressAutoHyphens/>
        <w:rPr>
          <w:rFonts w:ascii="Verdana" w:hAnsi="Verdana" w:cs="Arial"/>
          <w:color w:val="232120"/>
          <w:sz w:val="20"/>
          <w:szCs w:val="20"/>
        </w:rPr>
      </w:pPr>
    </w:p>
    <w:p w14:paraId="76316AEA" w14:textId="36D4F08B" w:rsidR="00661644" w:rsidRDefault="00661644" w:rsidP="00FE2F8E">
      <w:pPr>
        <w:pStyle w:val="BasicParagraph"/>
        <w:suppressAutoHyphens/>
        <w:rPr>
          <w:rFonts w:ascii="Verdana" w:hAnsi="Verdana" w:cs="Arial"/>
          <w:color w:val="232120"/>
          <w:sz w:val="20"/>
          <w:szCs w:val="20"/>
        </w:rPr>
      </w:pPr>
    </w:p>
    <w:p w14:paraId="221CD9D7" w14:textId="5C1FE8BE" w:rsidR="00661644" w:rsidRDefault="00661644" w:rsidP="00FE2F8E">
      <w:pPr>
        <w:pStyle w:val="BasicParagraph"/>
        <w:suppressAutoHyphens/>
        <w:rPr>
          <w:rFonts w:ascii="Verdana" w:hAnsi="Verdana" w:cs="Arial"/>
          <w:color w:val="232120"/>
          <w:sz w:val="20"/>
          <w:szCs w:val="20"/>
        </w:rPr>
      </w:pPr>
    </w:p>
    <w:p w14:paraId="4F30AF3E" w14:textId="58AC9C7B" w:rsidR="00661644" w:rsidRDefault="00661644" w:rsidP="00FE2F8E">
      <w:pPr>
        <w:pStyle w:val="BasicParagraph"/>
        <w:suppressAutoHyphens/>
        <w:rPr>
          <w:rFonts w:ascii="Verdana" w:hAnsi="Verdana" w:cs="Arial"/>
          <w:color w:val="232120"/>
          <w:sz w:val="20"/>
          <w:szCs w:val="20"/>
        </w:rPr>
      </w:pPr>
    </w:p>
    <w:p w14:paraId="70FBED67" w14:textId="36332FFD" w:rsidR="00661644" w:rsidRDefault="00661644" w:rsidP="00FE2F8E">
      <w:pPr>
        <w:pStyle w:val="BasicParagraph"/>
        <w:suppressAutoHyphens/>
        <w:rPr>
          <w:rFonts w:ascii="Verdana" w:hAnsi="Verdana" w:cs="Arial"/>
          <w:color w:val="232120"/>
          <w:sz w:val="20"/>
          <w:szCs w:val="20"/>
        </w:rPr>
      </w:pPr>
    </w:p>
    <w:p w14:paraId="64C4D985" w14:textId="4CB1E96F" w:rsidR="00661644" w:rsidRDefault="00661644" w:rsidP="00FE2F8E">
      <w:pPr>
        <w:pStyle w:val="BasicParagraph"/>
        <w:suppressAutoHyphens/>
        <w:rPr>
          <w:rFonts w:ascii="Verdana" w:hAnsi="Verdana" w:cs="Arial"/>
          <w:color w:val="232120"/>
          <w:sz w:val="20"/>
          <w:szCs w:val="20"/>
        </w:rPr>
      </w:pPr>
    </w:p>
    <w:p w14:paraId="60553192" w14:textId="27EB6CE8" w:rsidR="00661644" w:rsidRDefault="00661644" w:rsidP="00FE2F8E">
      <w:pPr>
        <w:pStyle w:val="BasicParagraph"/>
        <w:suppressAutoHyphens/>
        <w:rPr>
          <w:rFonts w:ascii="Verdana" w:hAnsi="Verdana" w:cs="Arial"/>
          <w:color w:val="232120"/>
          <w:sz w:val="20"/>
          <w:szCs w:val="20"/>
        </w:rPr>
      </w:pPr>
    </w:p>
    <w:p w14:paraId="0DBDB7F5" w14:textId="4E629DE6" w:rsidR="00661644" w:rsidRDefault="00661644" w:rsidP="00FE2F8E">
      <w:pPr>
        <w:pStyle w:val="BasicParagraph"/>
        <w:suppressAutoHyphens/>
        <w:rPr>
          <w:rFonts w:ascii="Verdana" w:hAnsi="Verdana" w:cs="Arial"/>
          <w:color w:val="232120"/>
          <w:sz w:val="20"/>
          <w:szCs w:val="20"/>
        </w:rPr>
      </w:pPr>
    </w:p>
    <w:p w14:paraId="3850573F" w14:textId="0864216D" w:rsidR="00661644" w:rsidRDefault="00661644" w:rsidP="00FE2F8E">
      <w:pPr>
        <w:pStyle w:val="BasicParagraph"/>
        <w:suppressAutoHyphens/>
        <w:rPr>
          <w:rFonts w:ascii="Verdana" w:hAnsi="Verdana" w:cs="Arial"/>
          <w:color w:val="232120"/>
          <w:sz w:val="20"/>
          <w:szCs w:val="20"/>
        </w:rPr>
      </w:pPr>
    </w:p>
    <w:p w14:paraId="3A5976E9" w14:textId="517F9486" w:rsidR="00601924" w:rsidRDefault="00601924" w:rsidP="00FE2F8E">
      <w:pPr>
        <w:pStyle w:val="BasicParagraph"/>
        <w:suppressAutoHyphens/>
        <w:rPr>
          <w:rFonts w:ascii="Verdana" w:hAnsi="Verdana" w:cs="Arial"/>
          <w:color w:val="3C3C3B"/>
          <w:sz w:val="20"/>
          <w:szCs w:val="20"/>
        </w:rPr>
      </w:pPr>
    </w:p>
    <w:p w14:paraId="7C5528B3" w14:textId="547C100A" w:rsidR="00601924" w:rsidRDefault="00601924" w:rsidP="00FE2F8E">
      <w:pPr>
        <w:pStyle w:val="BasicParagraph"/>
        <w:suppressAutoHyphens/>
        <w:rPr>
          <w:rFonts w:ascii="Verdana" w:hAnsi="Verdana" w:cs="Arial"/>
          <w:color w:val="3C3C3B"/>
          <w:sz w:val="20"/>
          <w:szCs w:val="20"/>
        </w:rPr>
      </w:pPr>
    </w:p>
    <w:p w14:paraId="36804559" w14:textId="0FBA3618" w:rsidR="00601924" w:rsidRDefault="00601924" w:rsidP="00FE2F8E">
      <w:pPr>
        <w:pStyle w:val="BasicParagraph"/>
        <w:suppressAutoHyphens/>
        <w:rPr>
          <w:rFonts w:ascii="Verdana" w:hAnsi="Verdana" w:cs="Arial"/>
          <w:color w:val="3C3C3B"/>
          <w:sz w:val="20"/>
          <w:szCs w:val="20"/>
        </w:rPr>
      </w:pPr>
    </w:p>
    <w:p w14:paraId="75B9E8FE" w14:textId="1B252A79" w:rsidR="00601924" w:rsidRDefault="00601924" w:rsidP="00FE2F8E">
      <w:pPr>
        <w:pStyle w:val="BasicParagraph"/>
        <w:suppressAutoHyphens/>
        <w:rPr>
          <w:rFonts w:ascii="Verdana" w:hAnsi="Verdana" w:cs="Arial"/>
          <w:color w:val="3C3C3B"/>
          <w:sz w:val="20"/>
          <w:szCs w:val="20"/>
        </w:rPr>
      </w:pPr>
    </w:p>
    <w:p w14:paraId="7BDB1E06" w14:textId="1329B531" w:rsidR="007A5016" w:rsidRDefault="007A5016" w:rsidP="00FE2F8E">
      <w:pPr>
        <w:pStyle w:val="BasicParagraph"/>
        <w:suppressAutoHyphens/>
        <w:rPr>
          <w:rFonts w:ascii="Verdana" w:hAnsi="Verdana" w:cs="Arial"/>
          <w:color w:val="3C3C3B"/>
          <w:sz w:val="20"/>
          <w:szCs w:val="20"/>
        </w:rPr>
      </w:pPr>
    </w:p>
    <w:p w14:paraId="4218DAE3" w14:textId="2FFF2263" w:rsidR="007A5016" w:rsidRDefault="007A5016" w:rsidP="00FE2F8E">
      <w:pPr>
        <w:pStyle w:val="BasicParagraph"/>
        <w:suppressAutoHyphens/>
        <w:rPr>
          <w:rFonts w:ascii="Verdana" w:hAnsi="Verdana" w:cs="Arial"/>
          <w:color w:val="3C3C3B"/>
          <w:sz w:val="20"/>
          <w:szCs w:val="20"/>
        </w:rPr>
      </w:pPr>
    </w:p>
    <w:p w14:paraId="69D70468" w14:textId="2FF4AF14" w:rsidR="007A5016" w:rsidRDefault="007A5016" w:rsidP="00FE2F8E">
      <w:pPr>
        <w:pStyle w:val="BasicParagraph"/>
        <w:suppressAutoHyphens/>
        <w:rPr>
          <w:rFonts w:ascii="Verdana" w:hAnsi="Verdana" w:cs="Arial"/>
          <w:color w:val="3C3C3B"/>
          <w:sz w:val="20"/>
          <w:szCs w:val="20"/>
        </w:rPr>
      </w:pPr>
    </w:p>
    <w:p w14:paraId="58ED70F9" w14:textId="25CA2AFA" w:rsidR="007A5016" w:rsidRDefault="007A5016" w:rsidP="00FE2F8E">
      <w:pPr>
        <w:pStyle w:val="BasicParagraph"/>
        <w:suppressAutoHyphens/>
        <w:rPr>
          <w:rFonts w:ascii="Verdana" w:hAnsi="Verdana" w:cs="Arial"/>
          <w:color w:val="3C3C3B"/>
          <w:sz w:val="20"/>
          <w:szCs w:val="20"/>
        </w:rPr>
      </w:pPr>
    </w:p>
    <w:p w14:paraId="57DF9030" w14:textId="4468ABDE" w:rsidR="007A5016" w:rsidRDefault="007A5016" w:rsidP="00FE2F8E">
      <w:pPr>
        <w:pStyle w:val="BasicParagraph"/>
        <w:suppressAutoHyphens/>
        <w:rPr>
          <w:rFonts w:ascii="Verdana" w:hAnsi="Verdana" w:cs="Arial"/>
          <w:color w:val="3C3C3B"/>
          <w:sz w:val="20"/>
          <w:szCs w:val="20"/>
        </w:rPr>
      </w:pPr>
    </w:p>
    <w:p w14:paraId="7E964234" w14:textId="6AA36A92" w:rsidR="007A5016" w:rsidRDefault="007A5016" w:rsidP="00FE2F8E">
      <w:pPr>
        <w:pStyle w:val="BasicParagraph"/>
        <w:suppressAutoHyphens/>
        <w:rPr>
          <w:rFonts w:ascii="Verdana" w:hAnsi="Verdana" w:cs="Arial"/>
          <w:color w:val="3C3C3B"/>
          <w:sz w:val="20"/>
          <w:szCs w:val="20"/>
        </w:rPr>
      </w:pPr>
    </w:p>
    <w:p w14:paraId="773F1FE2" w14:textId="272BD5B1" w:rsidR="007A5016" w:rsidRDefault="007A5016" w:rsidP="00FE2F8E">
      <w:pPr>
        <w:pStyle w:val="BasicParagraph"/>
        <w:suppressAutoHyphens/>
        <w:rPr>
          <w:rFonts w:ascii="Verdana" w:hAnsi="Verdana" w:cs="Arial"/>
          <w:color w:val="3C3C3B"/>
          <w:sz w:val="20"/>
          <w:szCs w:val="20"/>
        </w:rPr>
      </w:pPr>
    </w:p>
    <w:p w14:paraId="57B1AD35" w14:textId="77777777" w:rsidR="006A39A4" w:rsidRDefault="006A39A4" w:rsidP="00FE2F8E">
      <w:pPr>
        <w:pStyle w:val="BasicParagraph"/>
        <w:suppressAutoHyphens/>
        <w:rPr>
          <w:rFonts w:ascii="Verdana" w:hAnsi="Verdana" w:cs="Arial"/>
          <w:color w:val="3C3C3B"/>
          <w:sz w:val="20"/>
          <w:szCs w:val="20"/>
        </w:rPr>
      </w:pPr>
    </w:p>
    <w:p w14:paraId="1DC15EDB" w14:textId="77777777" w:rsidR="007A5016" w:rsidRDefault="007A5016" w:rsidP="00FE2F8E">
      <w:pPr>
        <w:pStyle w:val="BasicParagraph"/>
        <w:suppressAutoHyphens/>
        <w:rPr>
          <w:rFonts w:ascii="Verdana" w:hAnsi="Verdana" w:cs="Arial"/>
          <w:color w:val="3C3C3B"/>
          <w:sz w:val="20"/>
          <w:szCs w:val="20"/>
        </w:rPr>
      </w:pPr>
    </w:p>
    <w:p w14:paraId="72785E50" w14:textId="77777777" w:rsidR="00331C61" w:rsidRDefault="00705833" w:rsidP="00331C61">
      <w:pPr>
        <w:pStyle w:val="BasicParagraph"/>
        <w:suppressAutoHyphens/>
        <w:jc w:val="center"/>
        <w:rPr>
          <w:rFonts w:ascii="Verdana" w:hAnsi="Verdana" w:cs="Arial"/>
          <w:b/>
          <w:bCs/>
          <w:color w:val="77328A"/>
          <w:sz w:val="36"/>
          <w:szCs w:val="36"/>
        </w:rPr>
      </w:pPr>
      <w:r w:rsidRPr="00331C61">
        <w:rPr>
          <w:rFonts w:ascii="Verdana" w:hAnsi="Verdana" w:cs="Arial"/>
          <w:b/>
          <w:bCs/>
          <w:color w:val="77328A"/>
          <w:sz w:val="36"/>
          <w:szCs w:val="36"/>
        </w:rPr>
        <w:t>Co</w:t>
      </w:r>
      <w:r w:rsidR="0096459E">
        <w:rPr>
          <w:rFonts w:ascii="Verdana" w:hAnsi="Verdana" w:cs="Arial"/>
          <w:b/>
          <w:bCs/>
          <w:color w:val="77328A"/>
          <w:sz w:val="36"/>
          <w:szCs w:val="36"/>
        </w:rPr>
        <w:t xml:space="preserve">ntact us </w:t>
      </w:r>
    </w:p>
    <w:p w14:paraId="0EC70D9D" w14:textId="77777777" w:rsidR="007100E4" w:rsidRPr="00331C61" w:rsidRDefault="007100E4" w:rsidP="00331C61">
      <w:pPr>
        <w:pStyle w:val="BasicParagraph"/>
        <w:suppressAutoHyphens/>
        <w:jc w:val="center"/>
        <w:rPr>
          <w:rFonts w:ascii="Verdana" w:hAnsi="Verdana" w:cs="Arial"/>
          <w:b/>
          <w:color w:val="77328A"/>
          <w:sz w:val="36"/>
          <w:szCs w:val="36"/>
        </w:rPr>
      </w:pPr>
    </w:p>
    <w:p w14:paraId="0561FEE7" w14:textId="77777777" w:rsidR="00331C61" w:rsidRPr="00331C61" w:rsidRDefault="007100E4" w:rsidP="003B7D0E">
      <w:pPr>
        <w:spacing w:line="288" w:lineRule="auto"/>
        <w:jc w:val="center"/>
        <w:rPr>
          <w:rFonts w:cs="Arial"/>
          <w:b/>
          <w:color w:val="232120"/>
          <w:sz w:val="30"/>
          <w:szCs w:val="30"/>
        </w:rPr>
      </w:pPr>
      <w:r w:rsidRPr="007100E4">
        <w:rPr>
          <w:rFonts w:cs="Arial"/>
          <w:b/>
          <w:sz w:val="30"/>
          <w:szCs w:val="30"/>
        </w:rPr>
        <w:t>Rhyannon</w:t>
      </w:r>
      <w:r>
        <w:rPr>
          <w:rFonts w:cs="Arial"/>
          <w:b/>
          <w:color w:val="232120"/>
          <w:sz w:val="30"/>
          <w:szCs w:val="30"/>
        </w:rPr>
        <w:t xml:space="preserve"> Blythe – Director Legal, Policy, </w:t>
      </w:r>
      <w:proofErr w:type="gramStart"/>
      <w:r>
        <w:rPr>
          <w:rFonts w:cs="Arial"/>
          <w:b/>
          <w:color w:val="232120"/>
          <w:sz w:val="30"/>
          <w:szCs w:val="30"/>
        </w:rPr>
        <w:t>Research</w:t>
      </w:r>
      <w:proofErr w:type="gramEnd"/>
      <w:r>
        <w:rPr>
          <w:rFonts w:cs="Arial"/>
          <w:b/>
          <w:color w:val="232120"/>
          <w:sz w:val="30"/>
          <w:szCs w:val="30"/>
        </w:rPr>
        <w:t xml:space="preserve"> and Investigations </w:t>
      </w:r>
    </w:p>
    <w:p w14:paraId="1B7CA69B" w14:textId="77777777" w:rsidR="00331C61" w:rsidRPr="00331C61" w:rsidRDefault="00331C61" w:rsidP="003B7D0E">
      <w:pPr>
        <w:spacing w:line="288" w:lineRule="auto"/>
        <w:jc w:val="center"/>
        <w:rPr>
          <w:rFonts w:cs="Arial"/>
          <w:b/>
          <w:color w:val="232120"/>
          <w:sz w:val="30"/>
          <w:szCs w:val="30"/>
        </w:rPr>
      </w:pPr>
    </w:p>
    <w:p w14:paraId="1810551D" w14:textId="77777777" w:rsidR="00331C61" w:rsidRPr="00331C61" w:rsidRDefault="005E52F6" w:rsidP="00331C61">
      <w:pPr>
        <w:spacing w:line="288" w:lineRule="auto"/>
        <w:jc w:val="center"/>
        <w:rPr>
          <w:rFonts w:cs="Arial"/>
          <w:color w:val="232120"/>
          <w:sz w:val="28"/>
          <w:szCs w:val="28"/>
        </w:rPr>
      </w:pPr>
      <w:hyperlink r:id="rId9" w:history="1">
        <w:r w:rsidR="00331C61" w:rsidRPr="00331C61">
          <w:rPr>
            <w:rStyle w:val="Hyperlink"/>
            <w:rFonts w:cs="Arial"/>
            <w:color w:val="232120"/>
            <w:sz w:val="28"/>
            <w:szCs w:val="28"/>
            <w:u w:val="none"/>
            <w:lang w:val="en-US"/>
          </w:rPr>
          <w:t>www.nihrc.org</w:t>
        </w:r>
      </w:hyperlink>
      <w:r w:rsidR="00331C61" w:rsidRPr="00331C61">
        <w:rPr>
          <w:rFonts w:cs="Arial"/>
          <w:color w:val="232120"/>
          <w:sz w:val="28"/>
          <w:szCs w:val="28"/>
          <w:lang w:val="en-US"/>
        </w:rPr>
        <w:t xml:space="preserve">  |  </w:t>
      </w:r>
      <w:hyperlink r:id="rId10" w:history="1">
        <w:r w:rsidR="00331C61" w:rsidRPr="00331C61">
          <w:rPr>
            <w:rStyle w:val="Hyperlink"/>
            <w:rFonts w:cs="Arial"/>
            <w:color w:val="232120"/>
            <w:sz w:val="28"/>
            <w:szCs w:val="28"/>
            <w:u w:val="none"/>
            <w:lang w:val="en-US"/>
          </w:rPr>
          <w:t>info@nihrc.org</w:t>
        </w:r>
      </w:hyperlink>
      <w:r w:rsidR="00331C61" w:rsidRPr="00331C61">
        <w:rPr>
          <w:rFonts w:cs="Arial"/>
          <w:color w:val="232120"/>
          <w:sz w:val="28"/>
          <w:szCs w:val="28"/>
          <w:lang w:val="en-US"/>
        </w:rPr>
        <w:t xml:space="preserve">  |  +44 (0)28 9024 3987</w:t>
      </w:r>
    </w:p>
    <w:p w14:paraId="459DF3FB" w14:textId="77777777" w:rsidR="00F56C78" w:rsidRPr="00331C61" w:rsidRDefault="00D16532" w:rsidP="00331C61">
      <w:pPr>
        <w:spacing w:line="288" w:lineRule="auto"/>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57A5B1BC" w14:textId="77777777" w:rsidR="00F56C78" w:rsidRPr="00331C61" w:rsidRDefault="00F56C78" w:rsidP="003B7D0E">
      <w:pPr>
        <w:spacing w:line="288" w:lineRule="auto"/>
        <w:jc w:val="center"/>
        <w:rPr>
          <w:rFonts w:cs="Arial"/>
          <w:b/>
          <w:color w:val="232120"/>
          <w:sz w:val="28"/>
          <w:szCs w:val="28"/>
        </w:rPr>
      </w:pPr>
    </w:p>
    <w:p w14:paraId="0AA05311" w14:textId="77777777" w:rsidR="00F56C78" w:rsidRPr="00331C61" w:rsidRDefault="00F56C78" w:rsidP="003B7D0E">
      <w:pPr>
        <w:spacing w:line="288" w:lineRule="auto"/>
        <w:jc w:val="center"/>
        <w:rPr>
          <w:rFonts w:cs="Arial"/>
          <w:color w:val="232120"/>
          <w:sz w:val="20"/>
          <w:szCs w:val="20"/>
        </w:rPr>
      </w:pPr>
    </w:p>
    <w:p w14:paraId="439F5784" w14:textId="77777777" w:rsidR="00705833" w:rsidRPr="00331C61" w:rsidRDefault="00F56C78" w:rsidP="003B7D0E">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13279641" wp14:editId="70BBF322">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3B7D0E">
      <w:footerReference w:type="default" r:id="rId12"/>
      <w:footerReference w:type="first" r:id="rId13"/>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DF868" w14:textId="77777777" w:rsidR="004773A1" w:rsidRDefault="004773A1" w:rsidP="00962B2B">
      <w:r>
        <w:separator/>
      </w:r>
    </w:p>
  </w:endnote>
  <w:endnote w:type="continuationSeparator" w:id="0">
    <w:p w14:paraId="0FCA3C56" w14:textId="77777777" w:rsidR="004773A1" w:rsidRDefault="004773A1" w:rsidP="0096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C9DB" w14:textId="77777777" w:rsidR="004773A1" w:rsidRDefault="004773A1" w:rsidP="00656ECD">
    <w:pPr>
      <w:pStyle w:val="Footer"/>
      <w:jc w:val="right"/>
      <w:rPr>
        <w:rStyle w:val="PageNumber"/>
        <w:rFonts w:ascii="Arial" w:hAnsi="Arial" w:cs="Arial"/>
        <w:b/>
        <w:sz w:val="16"/>
        <w:szCs w:val="16"/>
      </w:rPr>
    </w:pPr>
  </w:p>
  <w:p w14:paraId="624EDBA1" w14:textId="6C1D4685" w:rsidR="004773A1" w:rsidRPr="007569C1" w:rsidRDefault="004773A1" w:rsidP="00656ECD">
    <w:pPr>
      <w:pStyle w:val="Footer"/>
      <w:jc w:val="right"/>
      <w:rPr>
        <w:rFonts w:ascii="Arial" w:hAnsi="Arial" w:cs="Arial"/>
        <w:b/>
        <w:color w:val="77328A"/>
        <w:sz w:val="16"/>
        <w:szCs w:val="16"/>
      </w:rPr>
    </w:pPr>
    <w:r w:rsidRPr="007569C1">
      <w:rPr>
        <w:rStyle w:val="PageNumber"/>
        <w:rFonts w:ascii="Arial" w:hAnsi="Arial" w:cs="Arial"/>
        <w:b/>
        <w:color w:val="77328A"/>
        <w:sz w:val="16"/>
        <w:szCs w:val="16"/>
      </w:rPr>
      <w:fldChar w:fldCharType="begin"/>
    </w:r>
    <w:r w:rsidRPr="007569C1">
      <w:rPr>
        <w:rStyle w:val="PageNumber"/>
        <w:rFonts w:ascii="Arial" w:hAnsi="Arial" w:cs="Arial"/>
        <w:b/>
        <w:color w:val="77328A"/>
        <w:sz w:val="16"/>
        <w:szCs w:val="16"/>
      </w:rPr>
      <w:instrText xml:space="preserve"> PAGE </w:instrText>
    </w:r>
    <w:r w:rsidRPr="007569C1">
      <w:rPr>
        <w:rStyle w:val="PageNumber"/>
        <w:rFonts w:ascii="Arial" w:hAnsi="Arial" w:cs="Arial"/>
        <w:b/>
        <w:color w:val="77328A"/>
        <w:sz w:val="16"/>
        <w:szCs w:val="16"/>
      </w:rPr>
      <w:fldChar w:fldCharType="separate"/>
    </w:r>
    <w:r w:rsidR="0033445E">
      <w:rPr>
        <w:rStyle w:val="PageNumber"/>
        <w:rFonts w:ascii="Arial" w:hAnsi="Arial" w:cs="Arial"/>
        <w:b/>
        <w:noProof/>
        <w:color w:val="77328A"/>
        <w:sz w:val="16"/>
        <w:szCs w:val="16"/>
      </w:rPr>
      <w:t>2</w:t>
    </w:r>
    <w:r w:rsidRPr="007569C1">
      <w:rPr>
        <w:rStyle w:val="PageNumber"/>
        <w:rFonts w:ascii="Arial" w:hAnsi="Arial" w:cs="Arial"/>
        <w:b/>
        <w:color w:val="77328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05DF" w14:textId="77777777" w:rsidR="004773A1" w:rsidRDefault="004773A1" w:rsidP="00046705">
    <w:pPr>
      <w:pStyle w:val="Footer"/>
      <w:jc w:val="right"/>
      <w:rPr>
        <w:rStyle w:val="PageNumber"/>
        <w:rFonts w:ascii="Arial" w:hAnsi="Arial" w:cs="Arial"/>
        <w:b/>
        <w:sz w:val="16"/>
        <w:szCs w:val="16"/>
      </w:rPr>
    </w:pPr>
  </w:p>
  <w:p w14:paraId="56992296" w14:textId="77777777" w:rsidR="004773A1" w:rsidRPr="00D12EF8" w:rsidRDefault="004773A1"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36EE2" w14:textId="77777777" w:rsidR="004773A1" w:rsidRDefault="004773A1" w:rsidP="00B96D34">
      <w:r>
        <w:continuationSeparator/>
      </w:r>
    </w:p>
    <w:p w14:paraId="6211DE44" w14:textId="77777777" w:rsidR="004773A1" w:rsidRPr="00B96D34" w:rsidRDefault="004773A1" w:rsidP="00B96D34">
      <w:pPr>
        <w:pStyle w:val="Footer"/>
      </w:pPr>
    </w:p>
  </w:footnote>
  <w:footnote w:type="continuationSeparator" w:id="0">
    <w:p w14:paraId="3658D793" w14:textId="77777777" w:rsidR="004773A1" w:rsidRDefault="004773A1" w:rsidP="00962B2B">
      <w:r>
        <w:continuationSeparator/>
      </w:r>
    </w:p>
  </w:footnote>
  <w:footnote w:type="continuationNotice" w:id="1">
    <w:p w14:paraId="4F9DE874" w14:textId="77777777" w:rsidR="004773A1" w:rsidRDefault="004773A1"/>
  </w:footnote>
  <w:footnote w:id="2">
    <w:p w14:paraId="0B983B55" w14:textId="77777777" w:rsidR="004773A1" w:rsidRPr="007A5016" w:rsidRDefault="004773A1" w:rsidP="00412DB6">
      <w:pPr>
        <w:pStyle w:val="FootnoteText"/>
        <w:rPr>
          <w:color w:val="76328A"/>
          <w:sz w:val="16"/>
          <w:szCs w:val="16"/>
        </w:rPr>
      </w:pPr>
      <w:r w:rsidRPr="007A5016">
        <w:rPr>
          <w:rStyle w:val="FootnoteReference"/>
          <w:color w:val="76328A"/>
          <w:sz w:val="16"/>
          <w:szCs w:val="16"/>
        </w:rPr>
        <w:footnoteRef/>
      </w:r>
      <w:r w:rsidRPr="007A5016">
        <w:rPr>
          <w:color w:val="76328A"/>
          <w:sz w:val="16"/>
          <w:szCs w:val="16"/>
        </w:rPr>
        <w:t xml:space="preserve"> Ratified by the UK 1951. Further guidance is also taken from the body of case law from the European Court of Human</w:t>
      </w:r>
    </w:p>
    <w:p w14:paraId="6A28E067" w14:textId="77777777" w:rsidR="004773A1" w:rsidRPr="007A5016" w:rsidRDefault="004773A1" w:rsidP="00412DB6">
      <w:pPr>
        <w:pStyle w:val="FootnoteText"/>
        <w:rPr>
          <w:color w:val="76328A"/>
          <w:sz w:val="16"/>
          <w:szCs w:val="16"/>
        </w:rPr>
      </w:pPr>
      <w:r w:rsidRPr="007A5016">
        <w:rPr>
          <w:color w:val="76328A"/>
          <w:sz w:val="16"/>
          <w:szCs w:val="16"/>
        </w:rPr>
        <w:t>Rights (ECtHR).</w:t>
      </w:r>
    </w:p>
  </w:footnote>
  <w:footnote w:id="3">
    <w:p w14:paraId="3D35B5EC" w14:textId="77777777" w:rsidR="004773A1" w:rsidRPr="007A5016" w:rsidRDefault="004773A1" w:rsidP="00412DB6">
      <w:pPr>
        <w:pStyle w:val="FootnoteText"/>
        <w:rPr>
          <w:color w:val="76328A"/>
          <w:sz w:val="16"/>
          <w:szCs w:val="16"/>
        </w:rPr>
      </w:pPr>
      <w:r w:rsidRPr="007A5016">
        <w:rPr>
          <w:rStyle w:val="FootnoteReference"/>
          <w:color w:val="76328A"/>
          <w:sz w:val="16"/>
          <w:szCs w:val="16"/>
        </w:rPr>
        <w:footnoteRef/>
      </w:r>
      <w:r w:rsidRPr="007A5016">
        <w:rPr>
          <w:color w:val="76328A"/>
          <w:sz w:val="16"/>
          <w:szCs w:val="16"/>
        </w:rPr>
        <w:t xml:space="preserve"> Council of Europe Convention on preventing and combating violence against women and domestic violence (Istanbul Convention), 11 April 2011.</w:t>
      </w:r>
    </w:p>
  </w:footnote>
  <w:footnote w:id="4">
    <w:p w14:paraId="5090E4CB" w14:textId="77777777" w:rsidR="004773A1" w:rsidRPr="007A5016" w:rsidRDefault="004773A1" w:rsidP="00412DB6">
      <w:pPr>
        <w:pStyle w:val="FootnoteText"/>
        <w:rPr>
          <w:color w:val="76328A"/>
          <w:sz w:val="16"/>
          <w:szCs w:val="16"/>
        </w:rPr>
      </w:pPr>
      <w:r w:rsidRPr="007A5016">
        <w:rPr>
          <w:rStyle w:val="FootnoteReference"/>
          <w:color w:val="76328A"/>
          <w:sz w:val="16"/>
          <w:szCs w:val="16"/>
        </w:rPr>
        <w:footnoteRef/>
      </w:r>
      <w:r w:rsidRPr="007A5016">
        <w:rPr>
          <w:color w:val="76328A"/>
          <w:sz w:val="16"/>
          <w:szCs w:val="16"/>
        </w:rPr>
        <w:t xml:space="preserve"> Ratified by the UK 1966. </w:t>
      </w:r>
    </w:p>
  </w:footnote>
  <w:footnote w:id="5">
    <w:p w14:paraId="61A61337" w14:textId="77777777" w:rsidR="004773A1" w:rsidRPr="007A5016" w:rsidRDefault="004773A1" w:rsidP="00412DB6">
      <w:pPr>
        <w:pStyle w:val="FootnoteText"/>
        <w:rPr>
          <w:color w:val="76328A"/>
          <w:sz w:val="16"/>
          <w:szCs w:val="16"/>
        </w:rPr>
      </w:pPr>
      <w:r w:rsidRPr="007A5016">
        <w:rPr>
          <w:rStyle w:val="FootnoteReference"/>
          <w:color w:val="76328A"/>
          <w:sz w:val="16"/>
          <w:szCs w:val="16"/>
        </w:rPr>
        <w:footnoteRef/>
      </w:r>
      <w:r w:rsidRPr="007A5016">
        <w:rPr>
          <w:color w:val="76328A"/>
          <w:sz w:val="16"/>
          <w:szCs w:val="16"/>
        </w:rPr>
        <w:t xml:space="preserve"> Ratified by the UK 1986.</w:t>
      </w:r>
    </w:p>
  </w:footnote>
  <w:footnote w:id="6">
    <w:p w14:paraId="3B3C0C28" w14:textId="77777777" w:rsidR="004773A1" w:rsidRPr="007A5016" w:rsidRDefault="004773A1" w:rsidP="00412DB6">
      <w:pPr>
        <w:pStyle w:val="FootnoteText"/>
        <w:rPr>
          <w:color w:val="76328A"/>
          <w:sz w:val="16"/>
          <w:szCs w:val="16"/>
        </w:rPr>
      </w:pPr>
      <w:r w:rsidRPr="007A5016">
        <w:rPr>
          <w:rStyle w:val="FootnoteReference"/>
          <w:color w:val="76328A"/>
          <w:sz w:val="16"/>
          <w:szCs w:val="16"/>
        </w:rPr>
        <w:footnoteRef/>
      </w:r>
      <w:r w:rsidRPr="007A5016">
        <w:rPr>
          <w:color w:val="76328A"/>
          <w:sz w:val="16"/>
          <w:szCs w:val="16"/>
        </w:rPr>
        <w:t xml:space="preserve"> Ratified by the UK 1988. </w:t>
      </w:r>
    </w:p>
  </w:footnote>
  <w:footnote w:id="7">
    <w:p w14:paraId="5067E041" w14:textId="77777777" w:rsidR="004773A1" w:rsidRPr="007A5016" w:rsidRDefault="004773A1" w:rsidP="00750CBA">
      <w:pPr>
        <w:rPr>
          <w:color w:val="76328A"/>
          <w:sz w:val="16"/>
          <w:szCs w:val="16"/>
        </w:rPr>
      </w:pPr>
      <w:r w:rsidRPr="007A5016">
        <w:rPr>
          <w:rStyle w:val="FootnoteReference"/>
          <w:color w:val="76328A"/>
          <w:sz w:val="16"/>
          <w:szCs w:val="16"/>
        </w:rPr>
        <w:footnoteRef/>
      </w:r>
      <w:r w:rsidRPr="007A5016">
        <w:rPr>
          <w:color w:val="76328A"/>
          <w:sz w:val="16"/>
          <w:szCs w:val="16"/>
        </w:rPr>
        <w:t xml:space="preserve"> </w:t>
      </w:r>
      <w:r w:rsidRPr="007A5016">
        <w:rPr>
          <w:color w:val="76328A"/>
          <w:sz w:val="16"/>
          <w:szCs w:val="16"/>
          <w:shd w:val="clear" w:color="auto" w:fill="FFFFFF"/>
        </w:rPr>
        <w:t xml:space="preserve">So-called ‘soft law’ denotes international agreements, principles and declarations that are not directly enforceable or legally binding, such as UN General Assembly resolutions. They can assist in interpreting hard law and can be transitioned into hard law at a future date. </w:t>
      </w:r>
    </w:p>
    <w:p w14:paraId="4925A45D" w14:textId="3C130E9B" w:rsidR="004773A1" w:rsidRDefault="004773A1">
      <w:pPr>
        <w:pStyle w:val="FootnoteText"/>
      </w:pPr>
    </w:p>
  </w:footnote>
  <w:footnote w:id="8">
    <w:p w14:paraId="09AB38F2" w14:textId="77777777" w:rsidR="004773A1" w:rsidRPr="0028270A" w:rsidRDefault="004773A1" w:rsidP="00412DB6">
      <w:pPr>
        <w:pStyle w:val="FootnoteText"/>
        <w:rPr>
          <w:color w:val="77328A"/>
          <w:sz w:val="16"/>
          <w:szCs w:val="16"/>
        </w:rPr>
      </w:pPr>
      <w:r w:rsidRPr="0028270A">
        <w:rPr>
          <w:rStyle w:val="FootnoteReference"/>
          <w:color w:val="77328A"/>
          <w:sz w:val="16"/>
          <w:szCs w:val="16"/>
        </w:rPr>
        <w:footnoteRef/>
      </w:r>
      <w:r w:rsidRPr="0028270A">
        <w:rPr>
          <w:color w:val="77328A"/>
          <w:sz w:val="16"/>
          <w:szCs w:val="16"/>
        </w:rPr>
        <w:t xml:space="preserve"> CAT/C/GBR/CO/6, ‘UN CAT Committee Concluding Observations on the Sixth Periodic Report of the UK of Great Britain and NI’, 7 June 2019.</w:t>
      </w:r>
    </w:p>
  </w:footnote>
  <w:footnote w:id="9">
    <w:p w14:paraId="08B44A4C" w14:textId="77777777" w:rsidR="004773A1" w:rsidRPr="0028270A" w:rsidRDefault="004773A1" w:rsidP="00412DB6">
      <w:pPr>
        <w:pStyle w:val="FootnoteText"/>
        <w:rPr>
          <w:color w:val="77328A"/>
          <w:sz w:val="16"/>
          <w:szCs w:val="16"/>
        </w:rPr>
      </w:pPr>
      <w:r w:rsidRPr="0028270A">
        <w:rPr>
          <w:rStyle w:val="FootnoteReference"/>
          <w:color w:val="77328A"/>
          <w:sz w:val="16"/>
          <w:szCs w:val="16"/>
        </w:rPr>
        <w:footnoteRef/>
      </w:r>
      <w:r w:rsidRPr="0028270A">
        <w:rPr>
          <w:color w:val="77328A"/>
          <w:sz w:val="16"/>
          <w:szCs w:val="16"/>
        </w:rPr>
        <w:t xml:space="preserve"> CEDAW/C/GBR/CO/8, ‘UN CEDAW Committee Concluding Observations on the UK Eighth Periodic Report’, 8 March 2019.</w:t>
      </w:r>
    </w:p>
  </w:footnote>
  <w:footnote w:id="10">
    <w:p w14:paraId="079309CC" w14:textId="77777777" w:rsidR="004773A1" w:rsidRPr="0028270A" w:rsidRDefault="004773A1" w:rsidP="00412DB6">
      <w:pPr>
        <w:pStyle w:val="FootnoteText"/>
        <w:rPr>
          <w:color w:val="77328A"/>
          <w:sz w:val="16"/>
          <w:szCs w:val="16"/>
        </w:rPr>
      </w:pPr>
      <w:r w:rsidRPr="0028270A">
        <w:rPr>
          <w:rStyle w:val="FootnoteReference"/>
          <w:color w:val="77328A"/>
          <w:sz w:val="16"/>
          <w:szCs w:val="16"/>
        </w:rPr>
        <w:footnoteRef/>
      </w:r>
      <w:r w:rsidRPr="0028270A">
        <w:rPr>
          <w:color w:val="77328A"/>
          <w:sz w:val="16"/>
          <w:szCs w:val="16"/>
        </w:rPr>
        <w:t xml:space="preserve"> CCPR/C/GC/32, ‘UN Human Rights Committee General Comment No 32: Article 14 on the Right to Equality Before the Courts and Tribunals and to a Fair Trial’, 23 August 2007, at para 29.</w:t>
      </w:r>
    </w:p>
  </w:footnote>
  <w:footnote w:id="11">
    <w:p w14:paraId="2EEB95D3" w14:textId="77777777" w:rsidR="004773A1" w:rsidRDefault="004773A1">
      <w:pPr>
        <w:pStyle w:val="FootnoteText"/>
      </w:pPr>
      <w:r w:rsidRPr="0028270A">
        <w:rPr>
          <w:rStyle w:val="FootnoteReference"/>
          <w:color w:val="77328A"/>
          <w:sz w:val="16"/>
          <w:szCs w:val="16"/>
        </w:rPr>
        <w:footnoteRef/>
      </w:r>
      <w:r w:rsidRPr="0028270A">
        <w:rPr>
          <w:color w:val="77328A"/>
          <w:sz w:val="16"/>
          <w:szCs w:val="16"/>
        </w:rPr>
        <w:t xml:space="preserve"> CEDAW/C/OP.8/GBR/1, ‘UN CEDAW Committee Inquiry Concerning the UK of Great Britain and NI under Article 8 of the Optional Protocol to the UN CEDAW’, 6 March 2018, at para 86(g).</w:t>
      </w:r>
    </w:p>
  </w:footnote>
  <w:footnote w:id="12">
    <w:p w14:paraId="1EDF9AC4" w14:textId="77777777" w:rsidR="004773A1" w:rsidRPr="00130C8A" w:rsidRDefault="004773A1" w:rsidP="006F1D6E">
      <w:pPr>
        <w:pStyle w:val="FootnoteText"/>
        <w:rPr>
          <w:color w:val="77328A"/>
          <w:sz w:val="16"/>
          <w:szCs w:val="16"/>
        </w:rPr>
      </w:pPr>
      <w:r w:rsidRPr="00130C8A">
        <w:rPr>
          <w:rStyle w:val="FootnoteReference"/>
          <w:color w:val="77328A"/>
          <w:sz w:val="16"/>
          <w:szCs w:val="16"/>
        </w:rPr>
        <w:footnoteRef/>
      </w:r>
      <w:r w:rsidRPr="00130C8A">
        <w:rPr>
          <w:color w:val="77328A"/>
          <w:sz w:val="16"/>
          <w:szCs w:val="16"/>
        </w:rPr>
        <w:t xml:space="preserve"> CEDAW/C/GBR/CO/8, ‘UN CEDAW Committee Concluding Observations on the UK Eighth Periodic Report’, 8 March 2019, at para 49 and 50.</w:t>
      </w:r>
    </w:p>
  </w:footnote>
  <w:footnote w:id="13">
    <w:p w14:paraId="03412640" w14:textId="77777777" w:rsidR="004773A1" w:rsidRPr="00122CE0" w:rsidRDefault="004773A1" w:rsidP="00FD5C8B">
      <w:pPr>
        <w:pStyle w:val="FootnoteText"/>
        <w:jc w:val="both"/>
        <w:rPr>
          <w:color w:val="7030A0"/>
          <w:sz w:val="16"/>
          <w:szCs w:val="16"/>
        </w:rPr>
      </w:pPr>
      <w:r w:rsidRPr="00130C8A">
        <w:rPr>
          <w:rStyle w:val="FootnoteReference"/>
          <w:color w:val="77328A"/>
          <w:sz w:val="16"/>
          <w:szCs w:val="16"/>
        </w:rPr>
        <w:footnoteRef/>
      </w:r>
      <w:r w:rsidRPr="00130C8A">
        <w:rPr>
          <w:color w:val="77328A"/>
          <w:sz w:val="16"/>
          <w:szCs w:val="16"/>
        </w:rPr>
        <w:t xml:space="preserve"> CAT/C/GBR/CO/6, ‘UN CAT Committee Concluding Observations on the Sixth Periodic Report of the UK of Great Britain and NI’, 7 June 2019, at para 46. </w:t>
      </w:r>
    </w:p>
  </w:footnote>
  <w:footnote w:id="14">
    <w:p w14:paraId="75651EF1" w14:textId="77777777" w:rsidR="004773A1" w:rsidRPr="00C36A9E" w:rsidRDefault="004773A1">
      <w:pPr>
        <w:pStyle w:val="FootnoteText"/>
        <w:rPr>
          <w:color w:val="77328A"/>
          <w:sz w:val="16"/>
          <w:szCs w:val="16"/>
        </w:rPr>
      </w:pPr>
      <w:r w:rsidRPr="00C36A9E">
        <w:rPr>
          <w:rStyle w:val="FootnoteReference"/>
          <w:color w:val="77328A"/>
          <w:sz w:val="16"/>
          <w:szCs w:val="16"/>
        </w:rPr>
        <w:footnoteRef/>
      </w:r>
      <w:r w:rsidRPr="00C36A9E">
        <w:rPr>
          <w:color w:val="77328A"/>
          <w:sz w:val="16"/>
          <w:szCs w:val="16"/>
        </w:rPr>
        <w:t xml:space="preserve"> Article 8 ECHR; Article 9 ECHR; Article 10 ECHR &amp; Article 11 ECHR. </w:t>
      </w:r>
    </w:p>
  </w:footnote>
  <w:footnote w:id="15">
    <w:p w14:paraId="4360FE83" w14:textId="77777777" w:rsidR="004773A1" w:rsidRDefault="004773A1">
      <w:pPr>
        <w:pStyle w:val="FootnoteText"/>
      </w:pPr>
      <w:r w:rsidRPr="00C36A9E">
        <w:rPr>
          <w:rStyle w:val="FootnoteReference"/>
          <w:color w:val="77328A"/>
          <w:sz w:val="16"/>
          <w:szCs w:val="16"/>
        </w:rPr>
        <w:footnoteRef/>
      </w:r>
      <w:r w:rsidRPr="00C36A9E">
        <w:rPr>
          <w:color w:val="77328A"/>
          <w:sz w:val="16"/>
          <w:szCs w:val="16"/>
        </w:rPr>
        <w:t xml:space="preserve"> For example, </w:t>
      </w:r>
      <w:r w:rsidRPr="00C36A9E">
        <w:rPr>
          <w:i/>
          <w:color w:val="77328A"/>
          <w:sz w:val="16"/>
          <w:szCs w:val="16"/>
        </w:rPr>
        <w:t>Barraco v. France</w:t>
      </w:r>
      <w:r w:rsidRPr="00C36A9E">
        <w:rPr>
          <w:color w:val="77328A"/>
          <w:sz w:val="16"/>
          <w:szCs w:val="16"/>
        </w:rPr>
        <w:t xml:space="preserve"> (2009); </w:t>
      </w:r>
      <w:r w:rsidRPr="00C36A9E">
        <w:rPr>
          <w:i/>
          <w:color w:val="77328A"/>
          <w:sz w:val="16"/>
          <w:szCs w:val="16"/>
        </w:rPr>
        <w:t>Galstyan v. Armenia</w:t>
      </w:r>
      <w:r w:rsidRPr="00C36A9E">
        <w:rPr>
          <w:color w:val="77328A"/>
          <w:sz w:val="16"/>
          <w:szCs w:val="16"/>
        </w:rPr>
        <w:t xml:space="preserve"> (2007)</w:t>
      </w:r>
      <w:r>
        <w:rPr>
          <w:color w:val="77328A"/>
          <w:sz w:val="16"/>
          <w:szCs w:val="16"/>
        </w:rPr>
        <w:t xml:space="preserve"> &amp;;</w:t>
      </w:r>
      <w:r w:rsidRPr="00C36A9E">
        <w:rPr>
          <w:color w:val="77328A"/>
          <w:sz w:val="16"/>
          <w:szCs w:val="16"/>
        </w:rPr>
        <w:t xml:space="preserve"> </w:t>
      </w:r>
      <w:r w:rsidRPr="00C36A9E">
        <w:rPr>
          <w:i/>
          <w:color w:val="77328A"/>
          <w:sz w:val="16"/>
          <w:szCs w:val="16"/>
        </w:rPr>
        <w:t>Vyerentsov v. Ukraine</w:t>
      </w:r>
      <w:r w:rsidRPr="00C36A9E">
        <w:rPr>
          <w:color w:val="77328A"/>
          <w:sz w:val="16"/>
          <w:szCs w:val="16"/>
        </w:rPr>
        <w:t xml:space="preserve"> (2013)</w:t>
      </w:r>
      <w:r>
        <w:rPr>
          <w:color w:val="77328A"/>
          <w:sz w:val="16"/>
          <w:szCs w:val="16"/>
        </w:rPr>
        <w:t xml:space="preserve">. </w:t>
      </w:r>
    </w:p>
  </w:footnote>
  <w:footnote w:id="16">
    <w:p w14:paraId="7B10B4D6" w14:textId="4B68B0DD" w:rsidR="004773A1" w:rsidRPr="00C36A9E" w:rsidRDefault="004773A1">
      <w:pPr>
        <w:pStyle w:val="FootnoteText"/>
        <w:rPr>
          <w:sz w:val="16"/>
          <w:szCs w:val="16"/>
        </w:rPr>
      </w:pPr>
      <w:r w:rsidRPr="00C36A9E">
        <w:rPr>
          <w:rStyle w:val="FootnoteReference"/>
          <w:color w:val="77328A"/>
          <w:sz w:val="16"/>
          <w:szCs w:val="16"/>
        </w:rPr>
        <w:footnoteRef/>
      </w:r>
      <w:r w:rsidRPr="00C36A9E">
        <w:rPr>
          <w:color w:val="77328A"/>
          <w:sz w:val="16"/>
          <w:szCs w:val="16"/>
        </w:rPr>
        <w:t xml:space="preserve"> </w:t>
      </w:r>
      <w:r>
        <w:rPr>
          <w:color w:val="77328A"/>
          <w:sz w:val="16"/>
          <w:szCs w:val="16"/>
        </w:rPr>
        <w:t xml:space="preserve">For example, </w:t>
      </w:r>
      <w:r w:rsidRPr="00D4779F">
        <w:rPr>
          <w:color w:val="77328A"/>
          <w:sz w:val="16"/>
          <w:szCs w:val="16"/>
        </w:rPr>
        <w:t>Dudgeon v United Kingdom (1981) ECHR 5, at para 53.</w:t>
      </w:r>
    </w:p>
  </w:footnote>
  <w:footnote w:id="17">
    <w:p w14:paraId="4AF6805C" w14:textId="0C28608D" w:rsidR="004773A1" w:rsidRPr="0071022C" w:rsidRDefault="004773A1">
      <w:pPr>
        <w:pStyle w:val="FootnoteText"/>
        <w:rPr>
          <w:color w:val="77328A"/>
          <w:sz w:val="16"/>
          <w:szCs w:val="16"/>
        </w:rPr>
      </w:pPr>
      <w:r w:rsidRPr="0071022C">
        <w:rPr>
          <w:rStyle w:val="FootnoteReference"/>
          <w:color w:val="77328A"/>
          <w:sz w:val="16"/>
          <w:szCs w:val="16"/>
        </w:rPr>
        <w:footnoteRef/>
      </w:r>
      <w:r w:rsidRPr="0071022C">
        <w:rPr>
          <w:color w:val="77328A"/>
          <w:sz w:val="16"/>
          <w:szCs w:val="16"/>
        </w:rPr>
        <w:t xml:space="preserve"> </w:t>
      </w:r>
      <w:r w:rsidRPr="0071022C">
        <w:rPr>
          <w:i/>
          <w:color w:val="77328A"/>
          <w:sz w:val="16"/>
          <w:szCs w:val="16"/>
        </w:rPr>
        <w:t>Van den Dungen v The Netherlands</w:t>
      </w:r>
      <w:r w:rsidRPr="0071022C">
        <w:rPr>
          <w:color w:val="77328A"/>
          <w:sz w:val="16"/>
          <w:szCs w:val="16"/>
        </w:rPr>
        <w:t xml:space="preserve"> (1995) ECHR 59.</w:t>
      </w:r>
    </w:p>
  </w:footnote>
  <w:footnote w:id="18">
    <w:p w14:paraId="6DA724C2" w14:textId="77777777" w:rsidR="004773A1" w:rsidRPr="00781A71" w:rsidRDefault="004773A1">
      <w:pPr>
        <w:pStyle w:val="FootnoteText"/>
        <w:rPr>
          <w:sz w:val="16"/>
          <w:szCs w:val="16"/>
        </w:rPr>
      </w:pPr>
      <w:r w:rsidRPr="0071022C">
        <w:rPr>
          <w:rStyle w:val="FootnoteReference"/>
          <w:color w:val="77328A"/>
          <w:sz w:val="16"/>
          <w:szCs w:val="16"/>
        </w:rPr>
        <w:footnoteRef/>
      </w:r>
      <w:r w:rsidRPr="0071022C">
        <w:rPr>
          <w:color w:val="77328A"/>
          <w:sz w:val="16"/>
          <w:szCs w:val="16"/>
        </w:rPr>
        <w:t xml:space="preserve"> </w:t>
      </w:r>
      <w:r w:rsidRPr="00781A71">
        <w:rPr>
          <w:i/>
          <w:color w:val="77328A"/>
          <w:sz w:val="16"/>
          <w:szCs w:val="16"/>
        </w:rPr>
        <w:t>Annen v Germany</w:t>
      </w:r>
      <w:r>
        <w:rPr>
          <w:i/>
          <w:color w:val="77328A"/>
          <w:sz w:val="16"/>
          <w:szCs w:val="16"/>
        </w:rPr>
        <w:t xml:space="preserve"> </w:t>
      </w:r>
      <w:r w:rsidRPr="00781A71">
        <w:rPr>
          <w:color w:val="77328A"/>
          <w:sz w:val="16"/>
          <w:szCs w:val="16"/>
        </w:rPr>
        <w:t>(2018) ECHR 20.</w:t>
      </w:r>
      <w:r>
        <w:rPr>
          <w:i/>
          <w:color w:val="77328A"/>
          <w:sz w:val="16"/>
          <w:szCs w:val="16"/>
        </w:rPr>
        <w:t xml:space="preserve"> </w:t>
      </w:r>
    </w:p>
  </w:footnote>
  <w:footnote w:id="19">
    <w:p w14:paraId="403A106D" w14:textId="77777777" w:rsidR="004773A1" w:rsidRPr="00781A71" w:rsidRDefault="004773A1">
      <w:pPr>
        <w:pStyle w:val="FootnoteText"/>
        <w:rPr>
          <w:color w:val="77328A"/>
          <w:sz w:val="16"/>
          <w:szCs w:val="16"/>
        </w:rPr>
      </w:pPr>
      <w:r w:rsidRPr="00781A71">
        <w:rPr>
          <w:rStyle w:val="FootnoteReference"/>
          <w:color w:val="77328A"/>
          <w:sz w:val="16"/>
          <w:szCs w:val="16"/>
        </w:rPr>
        <w:footnoteRef/>
      </w:r>
      <w:r w:rsidRPr="00781A71">
        <w:rPr>
          <w:color w:val="77328A"/>
          <w:sz w:val="16"/>
          <w:szCs w:val="16"/>
        </w:rPr>
        <w:t xml:space="preserve"> Mattock Lane Public Spaces Protection Order. Available at: </w:t>
      </w:r>
      <w:hyperlink r:id="rId1" w:history="1">
        <w:r w:rsidRPr="00781A71">
          <w:rPr>
            <w:rStyle w:val="Hyperlink"/>
            <w:color w:val="77328A"/>
            <w:sz w:val="16"/>
            <w:szCs w:val="16"/>
          </w:rPr>
          <w:t>https://www.ealing.gov.uk/downloads/download/4795/mattock_lane_public_spaces_protection_order</w:t>
        </w:r>
      </w:hyperlink>
      <w:r w:rsidRPr="00781A71">
        <w:rPr>
          <w:color w:val="77328A"/>
          <w:sz w:val="16"/>
          <w:szCs w:val="16"/>
        </w:rPr>
        <w:t xml:space="preserve"> </w:t>
      </w:r>
    </w:p>
  </w:footnote>
  <w:footnote w:id="20">
    <w:p w14:paraId="0E94F972" w14:textId="77777777" w:rsidR="004773A1" w:rsidRPr="00781A71" w:rsidRDefault="004773A1">
      <w:pPr>
        <w:pStyle w:val="FootnoteText"/>
        <w:rPr>
          <w:color w:val="77328A"/>
          <w:sz w:val="16"/>
          <w:szCs w:val="16"/>
        </w:rPr>
      </w:pPr>
      <w:r w:rsidRPr="00781A71">
        <w:rPr>
          <w:rStyle w:val="FootnoteReference"/>
          <w:color w:val="77328A"/>
          <w:sz w:val="16"/>
          <w:szCs w:val="16"/>
        </w:rPr>
        <w:footnoteRef/>
      </w:r>
      <w:r w:rsidRPr="00781A71">
        <w:rPr>
          <w:color w:val="77328A"/>
          <w:sz w:val="16"/>
          <w:szCs w:val="16"/>
        </w:rPr>
        <w:t xml:space="preserve"> </w:t>
      </w:r>
      <w:r w:rsidRPr="00781A71">
        <w:rPr>
          <w:i/>
          <w:color w:val="77328A"/>
          <w:sz w:val="16"/>
          <w:szCs w:val="16"/>
        </w:rPr>
        <w:t>Dulgheriu v Ealing LBC</w:t>
      </w:r>
      <w:r>
        <w:rPr>
          <w:color w:val="77328A"/>
          <w:sz w:val="16"/>
          <w:szCs w:val="16"/>
        </w:rPr>
        <w:t xml:space="preserve"> </w:t>
      </w:r>
      <w:r w:rsidRPr="00781A71">
        <w:rPr>
          <w:color w:val="77328A"/>
          <w:sz w:val="16"/>
          <w:szCs w:val="16"/>
        </w:rPr>
        <w:t xml:space="preserve">[2018] EWHC 1667. </w:t>
      </w:r>
    </w:p>
  </w:footnote>
  <w:footnote w:id="21">
    <w:p w14:paraId="043247B6" w14:textId="77777777" w:rsidR="004773A1" w:rsidRPr="00781A71" w:rsidRDefault="004773A1">
      <w:pPr>
        <w:pStyle w:val="FootnoteText"/>
        <w:rPr>
          <w:color w:val="77328A"/>
        </w:rPr>
      </w:pPr>
      <w:r w:rsidRPr="00781A71">
        <w:rPr>
          <w:rStyle w:val="FootnoteReference"/>
          <w:color w:val="77328A"/>
          <w:sz w:val="16"/>
          <w:szCs w:val="16"/>
        </w:rPr>
        <w:footnoteRef/>
      </w:r>
      <w:r w:rsidRPr="00781A71">
        <w:rPr>
          <w:color w:val="77328A"/>
          <w:sz w:val="16"/>
          <w:szCs w:val="16"/>
        </w:rPr>
        <w:t xml:space="preserve"> </w:t>
      </w:r>
      <w:r w:rsidRPr="00781A71">
        <w:rPr>
          <w:i/>
          <w:color w:val="77328A"/>
          <w:sz w:val="16"/>
          <w:szCs w:val="16"/>
        </w:rPr>
        <w:t>Dulgheriu v Ealing</w:t>
      </w:r>
      <w:r w:rsidRPr="00781A71">
        <w:rPr>
          <w:color w:val="77328A"/>
          <w:sz w:val="16"/>
          <w:szCs w:val="16"/>
        </w:rPr>
        <w:t xml:space="preserve"> LBC [2020] 1 WLR 609.</w:t>
      </w:r>
    </w:p>
  </w:footnote>
  <w:footnote w:id="22">
    <w:p w14:paraId="7B9F58D1" w14:textId="13407134" w:rsidR="004773A1" w:rsidRPr="001108B6" w:rsidRDefault="004773A1">
      <w:pPr>
        <w:pStyle w:val="FootnoteText"/>
        <w:rPr>
          <w:sz w:val="16"/>
          <w:szCs w:val="16"/>
        </w:rPr>
      </w:pPr>
      <w:r w:rsidRPr="001108B6">
        <w:rPr>
          <w:rStyle w:val="FootnoteReference"/>
          <w:sz w:val="16"/>
          <w:szCs w:val="16"/>
        </w:rPr>
        <w:footnoteRef/>
      </w:r>
      <w:r w:rsidRPr="001108B6">
        <w:rPr>
          <w:sz w:val="16"/>
          <w:szCs w:val="16"/>
        </w:rPr>
        <w:t xml:space="preserve"> </w:t>
      </w:r>
      <w:r w:rsidRPr="0028270A">
        <w:rPr>
          <w:color w:val="77328A"/>
          <w:sz w:val="16"/>
          <w:szCs w:val="16"/>
        </w:rPr>
        <w:t xml:space="preserve">CEDAW/C/OP.8/GBR/1, ‘UN CEDAW Committee Inquiry Concerning the UK of Great Britain and NI under Article 8 of the Optional Protocol to the UN CEDAW’, 6 March 2018, at </w:t>
      </w:r>
      <w:r>
        <w:rPr>
          <w:color w:val="77328A"/>
          <w:sz w:val="16"/>
          <w:szCs w:val="16"/>
        </w:rPr>
        <w:t xml:space="preserve">19. </w:t>
      </w:r>
    </w:p>
  </w:footnote>
  <w:footnote w:id="23">
    <w:p w14:paraId="17F5B490" w14:textId="77777777" w:rsidR="004773A1" w:rsidRPr="0038168D" w:rsidRDefault="004773A1" w:rsidP="0038168D">
      <w:pPr>
        <w:pStyle w:val="FootnoteText"/>
        <w:rPr>
          <w:color w:val="77328A"/>
          <w:sz w:val="16"/>
          <w:szCs w:val="16"/>
        </w:rPr>
      </w:pPr>
      <w:r w:rsidRPr="00781A71">
        <w:rPr>
          <w:rStyle w:val="FootnoteReference"/>
          <w:color w:val="77328A"/>
          <w:sz w:val="16"/>
          <w:szCs w:val="16"/>
        </w:rPr>
        <w:footnoteRef/>
      </w:r>
      <w:r w:rsidRPr="00781A71">
        <w:rPr>
          <w:color w:val="77328A"/>
          <w:sz w:val="16"/>
          <w:szCs w:val="16"/>
        </w:rPr>
        <w:t xml:space="preserve"> NI Human Rights Commission, ‘Monitoring Report on Reproductive Health</w:t>
      </w:r>
      <w:r>
        <w:rPr>
          <w:color w:val="77328A"/>
          <w:sz w:val="16"/>
          <w:szCs w:val="16"/>
        </w:rPr>
        <w:t xml:space="preserve">care Provision in NI’, May 2021. </w:t>
      </w:r>
    </w:p>
  </w:footnote>
  <w:footnote w:id="24">
    <w:p w14:paraId="481CA891" w14:textId="77777777" w:rsidR="004773A1" w:rsidRDefault="004773A1" w:rsidP="0038168D">
      <w:pPr>
        <w:pStyle w:val="FootnoteText"/>
      </w:pPr>
      <w:r w:rsidRPr="00781A71">
        <w:rPr>
          <w:rStyle w:val="FootnoteReference"/>
          <w:color w:val="77328A"/>
          <w:sz w:val="16"/>
          <w:szCs w:val="16"/>
        </w:rPr>
        <w:footnoteRef/>
      </w:r>
      <w:r w:rsidRPr="00781A71">
        <w:rPr>
          <w:color w:val="77328A"/>
          <w:sz w:val="16"/>
          <w:szCs w:val="16"/>
        </w:rPr>
        <w:t xml:space="preserve"> NI Human Rights Commission, ‘Monitoring Report on Reproductive Healthcare Provision in NI’, May 2021 at 56.</w:t>
      </w:r>
      <w:r w:rsidRPr="00781A71">
        <w:rPr>
          <w:color w:val="77328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557"/>
    <w:multiLevelType w:val="multilevel"/>
    <w:tmpl w:val="D0FAA262"/>
    <w:lvl w:ilvl="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13D74158"/>
    <w:multiLevelType w:val="hybridMultilevel"/>
    <w:tmpl w:val="378A0B9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176A6BC2"/>
    <w:multiLevelType w:val="hybridMultilevel"/>
    <w:tmpl w:val="6366D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470887"/>
    <w:multiLevelType w:val="hybridMultilevel"/>
    <w:tmpl w:val="864CA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8D21B1"/>
    <w:multiLevelType w:val="hybridMultilevel"/>
    <w:tmpl w:val="657A5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5F63C3"/>
    <w:multiLevelType w:val="multilevel"/>
    <w:tmpl w:val="3118D430"/>
    <w:lvl w:ilvl="0">
      <w:start w:val="1"/>
      <w:numFmt w:val="decimal"/>
      <w:lvlText w:val="%1.0"/>
      <w:lvlJc w:val="left"/>
      <w:pPr>
        <w:ind w:left="720" w:hanging="720"/>
      </w:pPr>
      <w:rPr>
        <w:rFonts w:hint="default"/>
      </w:rPr>
    </w:lvl>
    <w:lvl w:ilvl="1">
      <w:start w:val="1"/>
      <w:numFmt w:val="decimal"/>
      <w:pStyle w:val="ListParagraph"/>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8" w15:restartNumberingAfterBreak="0">
    <w:nsid w:val="320F155C"/>
    <w:multiLevelType w:val="multilevel"/>
    <w:tmpl w:val="4E38224A"/>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9" w15:restartNumberingAfterBreak="0">
    <w:nsid w:val="33AC1954"/>
    <w:multiLevelType w:val="multilevel"/>
    <w:tmpl w:val="FCD8B772"/>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0" w15:restartNumberingAfterBreak="0">
    <w:nsid w:val="358B559F"/>
    <w:multiLevelType w:val="multilevel"/>
    <w:tmpl w:val="FEC20594"/>
    <w:lvl w:ilvl="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1"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D0799D"/>
    <w:multiLevelType w:val="multilevel"/>
    <w:tmpl w:val="7BDE8CA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3" w15:restartNumberingAfterBreak="0">
    <w:nsid w:val="3D093C58"/>
    <w:multiLevelType w:val="multilevel"/>
    <w:tmpl w:val="47247F52"/>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4"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924AF8"/>
    <w:multiLevelType w:val="hybridMultilevel"/>
    <w:tmpl w:val="C0805E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430F21"/>
    <w:multiLevelType w:val="multilevel"/>
    <w:tmpl w:val="D0FAA262"/>
    <w:lvl w:ilvl="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6A464472"/>
    <w:multiLevelType w:val="multilevel"/>
    <w:tmpl w:val="2A8C99D6"/>
    <w:lvl w:ilvl="0">
      <w:start w:val="1"/>
      <w:numFmt w:val="decimal"/>
      <w:lvlText w:val="%1.0"/>
      <w:lvlJc w:val="left"/>
      <w:pPr>
        <w:ind w:left="720" w:hanging="720"/>
      </w:pPr>
      <w:rPr>
        <w:rFonts w:hint="default"/>
        <w:color w:val="77328A"/>
      </w:rPr>
    </w:lvl>
    <w:lvl w:ilvl="1">
      <w:start w:val="1"/>
      <w:numFmt w:val="decimal"/>
      <w:lvlText w:val="%1.%2"/>
      <w:lvlJc w:val="left"/>
      <w:pPr>
        <w:ind w:left="720" w:hanging="720"/>
      </w:pPr>
      <w:rPr>
        <w:rFonts w:hint="default"/>
        <w:b w:val="0"/>
        <w:color w:val="auto"/>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9"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FC17DE"/>
    <w:multiLevelType w:val="multilevel"/>
    <w:tmpl w:val="DAD0DF54"/>
    <w:lvl w:ilvl="0">
      <w:start w:val="4"/>
      <w:numFmt w:val="decimal"/>
      <w:lvlText w:val="%1.0"/>
      <w:lvlJc w:val="left"/>
      <w:pPr>
        <w:ind w:left="720" w:hanging="72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1" w15:restartNumberingAfterBreak="0">
    <w:nsid w:val="7CD83C24"/>
    <w:multiLevelType w:val="hybridMultilevel"/>
    <w:tmpl w:val="F640A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2"/>
  </w:num>
  <w:num w:numId="3">
    <w:abstractNumId w:val="3"/>
  </w:num>
  <w:num w:numId="4">
    <w:abstractNumId w:val="11"/>
  </w:num>
  <w:num w:numId="5">
    <w:abstractNumId w:val="19"/>
  </w:num>
  <w:num w:numId="6">
    <w:abstractNumId w:val="5"/>
  </w:num>
  <w:num w:numId="7">
    <w:abstractNumId w:val="14"/>
  </w:num>
  <w:num w:numId="8">
    <w:abstractNumId w:val="10"/>
  </w:num>
  <w:num w:numId="9">
    <w:abstractNumId w:val="8"/>
  </w:num>
  <w:num w:numId="10">
    <w:abstractNumId w:val="0"/>
  </w:num>
  <w:num w:numId="11">
    <w:abstractNumId w:val="17"/>
  </w:num>
  <w:num w:numId="12">
    <w:abstractNumId w:val="20"/>
  </w:num>
  <w:num w:numId="13">
    <w:abstractNumId w:val="13"/>
  </w:num>
  <w:num w:numId="14">
    <w:abstractNumId w:val="7"/>
  </w:num>
  <w:num w:numId="15">
    <w:abstractNumId w:val="18"/>
  </w:num>
  <w:num w:numId="16">
    <w:abstractNumId w:val="1"/>
  </w:num>
  <w:num w:numId="17">
    <w:abstractNumId w:val="21"/>
  </w:num>
  <w:num w:numId="18">
    <w:abstractNumId w:val="4"/>
  </w:num>
  <w:num w:numId="19">
    <w:abstractNumId w:val="16"/>
  </w:num>
  <w:num w:numId="20">
    <w:abstractNumId w:val="6"/>
  </w:num>
  <w:num w:numId="21">
    <w:abstractNumId w:val="12"/>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32"/>
    <w:rsid w:val="00046705"/>
    <w:rsid w:val="00047B5B"/>
    <w:rsid w:val="0005379E"/>
    <w:rsid w:val="000713E3"/>
    <w:rsid w:val="000A1B48"/>
    <w:rsid w:val="000C5FFD"/>
    <w:rsid w:val="000E1F61"/>
    <w:rsid w:val="000E7F0C"/>
    <w:rsid w:val="001108B6"/>
    <w:rsid w:val="00134931"/>
    <w:rsid w:val="001407B6"/>
    <w:rsid w:val="0014617A"/>
    <w:rsid w:val="001A56C1"/>
    <w:rsid w:val="001C5EFB"/>
    <w:rsid w:val="001E79A9"/>
    <w:rsid w:val="002100FC"/>
    <w:rsid w:val="00213B8A"/>
    <w:rsid w:val="00224140"/>
    <w:rsid w:val="00224510"/>
    <w:rsid w:val="00230CB7"/>
    <w:rsid w:val="002351CB"/>
    <w:rsid w:val="002428EC"/>
    <w:rsid w:val="00262A6C"/>
    <w:rsid w:val="00275775"/>
    <w:rsid w:val="0028270A"/>
    <w:rsid w:val="002926E3"/>
    <w:rsid w:val="002A5A62"/>
    <w:rsid w:val="002B1272"/>
    <w:rsid w:val="002D55D1"/>
    <w:rsid w:val="002F13A7"/>
    <w:rsid w:val="00303BF9"/>
    <w:rsid w:val="00306317"/>
    <w:rsid w:val="00331C61"/>
    <w:rsid w:val="00332082"/>
    <w:rsid w:val="0033445E"/>
    <w:rsid w:val="003355BA"/>
    <w:rsid w:val="003358EE"/>
    <w:rsid w:val="00341BFE"/>
    <w:rsid w:val="00352289"/>
    <w:rsid w:val="00364C1A"/>
    <w:rsid w:val="00367CCA"/>
    <w:rsid w:val="003726CC"/>
    <w:rsid w:val="0038147A"/>
    <w:rsid w:val="0038168D"/>
    <w:rsid w:val="003B7D0E"/>
    <w:rsid w:val="003C7AA7"/>
    <w:rsid w:val="003D09D2"/>
    <w:rsid w:val="003D7DB9"/>
    <w:rsid w:val="0040428E"/>
    <w:rsid w:val="00412DB6"/>
    <w:rsid w:val="00463D6B"/>
    <w:rsid w:val="00466A2E"/>
    <w:rsid w:val="004672AC"/>
    <w:rsid w:val="004773A1"/>
    <w:rsid w:val="004F42F8"/>
    <w:rsid w:val="00503B70"/>
    <w:rsid w:val="00514708"/>
    <w:rsid w:val="0051683C"/>
    <w:rsid w:val="00536F2E"/>
    <w:rsid w:val="00544E65"/>
    <w:rsid w:val="00552293"/>
    <w:rsid w:val="00554FBF"/>
    <w:rsid w:val="005651FC"/>
    <w:rsid w:val="00566574"/>
    <w:rsid w:val="005776D3"/>
    <w:rsid w:val="00586DB9"/>
    <w:rsid w:val="005B11F4"/>
    <w:rsid w:val="005B723E"/>
    <w:rsid w:val="005C3BD7"/>
    <w:rsid w:val="005E0705"/>
    <w:rsid w:val="005E52F6"/>
    <w:rsid w:val="00601924"/>
    <w:rsid w:val="00656ECD"/>
    <w:rsid w:val="00661644"/>
    <w:rsid w:val="006A39A4"/>
    <w:rsid w:val="006B5129"/>
    <w:rsid w:val="006C334F"/>
    <w:rsid w:val="006C6331"/>
    <w:rsid w:val="006D0C4A"/>
    <w:rsid w:val="006D6202"/>
    <w:rsid w:val="006E30E0"/>
    <w:rsid w:val="006F1D6E"/>
    <w:rsid w:val="00705833"/>
    <w:rsid w:val="007100E4"/>
    <w:rsid w:val="0071022C"/>
    <w:rsid w:val="00717E82"/>
    <w:rsid w:val="007267F2"/>
    <w:rsid w:val="00727663"/>
    <w:rsid w:val="00741F18"/>
    <w:rsid w:val="00745CBE"/>
    <w:rsid w:val="00750CBA"/>
    <w:rsid w:val="007532C8"/>
    <w:rsid w:val="007569C1"/>
    <w:rsid w:val="00772BCF"/>
    <w:rsid w:val="007811BA"/>
    <w:rsid w:val="00781A71"/>
    <w:rsid w:val="0079648D"/>
    <w:rsid w:val="007A5016"/>
    <w:rsid w:val="007B16AB"/>
    <w:rsid w:val="007F266D"/>
    <w:rsid w:val="007F7C22"/>
    <w:rsid w:val="00812D47"/>
    <w:rsid w:val="008159E8"/>
    <w:rsid w:val="0081705B"/>
    <w:rsid w:val="00836185"/>
    <w:rsid w:val="008671EF"/>
    <w:rsid w:val="0087161B"/>
    <w:rsid w:val="00872187"/>
    <w:rsid w:val="00875E68"/>
    <w:rsid w:val="008D7C32"/>
    <w:rsid w:val="008E3CB3"/>
    <w:rsid w:val="008F5645"/>
    <w:rsid w:val="009031A2"/>
    <w:rsid w:val="00906364"/>
    <w:rsid w:val="00951B77"/>
    <w:rsid w:val="00961BDF"/>
    <w:rsid w:val="00962B2B"/>
    <w:rsid w:val="0096459E"/>
    <w:rsid w:val="00965F25"/>
    <w:rsid w:val="009855A6"/>
    <w:rsid w:val="00991F97"/>
    <w:rsid w:val="00995977"/>
    <w:rsid w:val="009D0DA9"/>
    <w:rsid w:val="009F1D15"/>
    <w:rsid w:val="00A33337"/>
    <w:rsid w:val="00A349F7"/>
    <w:rsid w:val="00A36BA0"/>
    <w:rsid w:val="00A36D2E"/>
    <w:rsid w:val="00A444F4"/>
    <w:rsid w:val="00A46D3B"/>
    <w:rsid w:val="00A611B4"/>
    <w:rsid w:val="00A63623"/>
    <w:rsid w:val="00A81CD8"/>
    <w:rsid w:val="00A931D1"/>
    <w:rsid w:val="00A94A68"/>
    <w:rsid w:val="00AA1AF2"/>
    <w:rsid w:val="00AE5852"/>
    <w:rsid w:val="00B179BC"/>
    <w:rsid w:val="00B36BBE"/>
    <w:rsid w:val="00B4318B"/>
    <w:rsid w:val="00B96D34"/>
    <w:rsid w:val="00BA4387"/>
    <w:rsid w:val="00BE188C"/>
    <w:rsid w:val="00BE5849"/>
    <w:rsid w:val="00BE6E2B"/>
    <w:rsid w:val="00C01DA0"/>
    <w:rsid w:val="00C0376B"/>
    <w:rsid w:val="00C2055B"/>
    <w:rsid w:val="00C2725D"/>
    <w:rsid w:val="00C36A9E"/>
    <w:rsid w:val="00C62297"/>
    <w:rsid w:val="00C73D28"/>
    <w:rsid w:val="00C76E49"/>
    <w:rsid w:val="00CB5F55"/>
    <w:rsid w:val="00CE3039"/>
    <w:rsid w:val="00CF0261"/>
    <w:rsid w:val="00D12EF8"/>
    <w:rsid w:val="00D16532"/>
    <w:rsid w:val="00D2770F"/>
    <w:rsid w:val="00D336A1"/>
    <w:rsid w:val="00D350FA"/>
    <w:rsid w:val="00D403FC"/>
    <w:rsid w:val="00D4779F"/>
    <w:rsid w:val="00D65EE3"/>
    <w:rsid w:val="00D90A8C"/>
    <w:rsid w:val="00D93E79"/>
    <w:rsid w:val="00DD1E51"/>
    <w:rsid w:val="00E030A9"/>
    <w:rsid w:val="00E53E26"/>
    <w:rsid w:val="00E722E5"/>
    <w:rsid w:val="00E73686"/>
    <w:rsid w:val="00E9754A"/>
    <w:rsid w:val="00EA12CE"/>
    <w:rsid w:val="00EA2EB7"/>
    <w:rsid w:val="00EC0096"/>
    <w:rsid w:val="00F31387"/>
    <w:rsid w:val="00F34864"/>
    <w:rsid w:val="00F41DCD"/>
    <w:rsid w:val="00F43CE4"/>
    <w:rsid w:val="00F56C78"/>
    <w:rsid w:val="00FA6B11"/>
    <w:rsid w:val="00FC13B1"/>
    <w:rsid w:val="00FC37EE"/>
    <w:rsid w:val="00FC4AEE"/>
    <w:rsid w:val="00FD5C8B"/>
    <w:rsid w:val="00FE2F8E"/>
    <w:rsid w:val="00FE665F"/>
    <w:rsid w:val="00FF3C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A9A855"/>
  <w14:defaultImageDpi w14:val="300"/>
  <w15:docId w15:val="{CC4997BB-8FE9-49D1-BB35-C9A8DC93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D1"/>
    <w:rPr>
      <w:rFonts w:ascii="Verdana" w:hAnsi="Verdana"/>
    </w:rPr>
  </w:style>
  <w:style w:type="paragraph" w:styleId="Heading1">
    <w:name w:val="heading 1"/>
    <w:basedOn w:val="Normal"/>
    <w:next w:val="Normal"/>
    <w:link w:val="Heading1Char"/>
    <w:uiPriority w:val="9"/>
    <w:qFormat/>
    <w:rsid w:val="003726CC"/>
    <w:pPr>
      <w:keepNext/>
      <w:keepLines/>
      <w:spacing w:before="240"/>
      <w:outlineLvl w:val="0"/>
    </w:pPr>
    <w:rPr>
      <w:rFonts w:eastAsiaTheme="majorEastAsia" w:cstheme="majorBidi"/>
      <w:b/>
      <w:color w:val="77328A"/>
      <w:sz w:val="30"/>
      <w:szCs w:val="32"/>
    </w:rPr>
  </w:style>
  <w:style w:type="paragraph" w:styleId="Heading2">
    <w:name w:val="heading 2"/>
    <w:basedOn w:val="Normal"/>
    <w:next w:val="Normal"/>
    <w:link w:val="Heading2Char"/>
    <w:uiPriority w:val="9"/>
    <w:unhideWhenUsed/>
    <w:qFormat/>
    <w:rsid w:val="003726CC"/>
    <w:pPr>
      <w:keepNext/>
      <w:keepLines/>
      <w:spacing w:before="40"/>
      <w:outlineLvl w:val="1"/>
    </w:pPr>
    <w:rPr>
      <w:rFonts w:eastAsiaTheme="majorEastAsia" w:cstheme="majorBidi"/>
      <w:b/>
      <w:szCs w:val="26"/>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f"/>
    <w:basedOn w:val="Normal"/>
    <w:link w:val="FootnoteTextChar"/>
    <w:uiPriority w:val="99"/>
    <w:unhideWhenUsed/>
    <w:qFormat/>
    <w:rsid w:val="00224140"/>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f Char"/>
    <w:basedOn w:val="DefaultParagraphFont"/>
    <w:link w:val="FootnoteText"/>
    <w:uiPriority w:val="99"/>
    <w:rsid w:val="00224140"/>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4_"/>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paragraph" w:styleId="ListParagraph">
    <w:name w:val="List Paragraph"/>
    <w:basedOn w:val="Normal"/>
    <w:autoRedefine/>
    <w:uiPriority w:val="34"/>
    <w:qFormat/>
    <w:rsid w:val="007A5016"/>
    <w:pPr>
      <w:numPr>
        <w:ilvl w:val="1"/>
        <w:numId w:val="14"/>
      </w:numPr>
      <w:spacing w:line="288" w:lineRule="auto"/>
      <w:contextualSpacing/>
    </w:pPr>
    <w:rPr>
      <w:lang w:val="en-US"/>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FE2F8E"/>
    <w:pPr>
      <w:spacing w:after="160" w:line="240" w:lineRule="exact"/>
      <w:jc w:val="both"/>
    </w:pPr>
    <w:rPr>
      <w:vertAlign w:val="superscript"/>
    </w:rPr>
  </w:style>
  <w:style w:type="character" w:customStyle="1" w:styleId="Heading2Char">
    <w:name w:val="Heading 2 Char"/>
    <w:basedOn w:val="DefaultParagraphFont"/>
    <w:link w:val="Heading2"/>
    <w:uiPriority w:val="9"/>
    <w:rsid w:val="003726CC"/>
    <w:rPr>
      <w:rFonts w:ascii="Verdana" w:eastAsiaTheme="majorEastAsia" w:hAnsi="Verdana" w:cstheme="majorBidi"/>
      <w:b/>
      <w:szCs w:val="26"/>
    </w:rPr>
  </w:style>
  <w:style w:type="character" w:customStyle="1" w:styleId="Heading1Char">
    <w:name w:val="Heading 1 Char"/>
    <w:basedOn w:val="DefaultParagraphFont"/>
    <w:link w:val="Heading1"/>
    <w:uiPriority w:val="9"/>
    <w:rsid w:val="003726CC"/>
    <w:rPr>
      <w:rFonts w:ascii="Verdana" w:eastAsiaTheme="majorEastAsia" w:hAnsi="Verdana" w:cstheme="majorBidi"/>
      <w:b/>
      <w:color w:val="77328A"/>
      <w:sz w:val="30"/>
      <w:szCs w:val="32"/>
    </w:rPr>
  </w:style>
  <w:style w:type="paragraph" w:styleId="Quote">
    <w:name w:val="Quote"/>
    <w:basedOn w:val="Normal"/>
    <w:next w:val="Normal"/>
    <w:link w:val="QuoteChar"/>
    <w:autoRedefine/>
    <w:uiPriority w:val="29"/>
    <w:qFormat/>
    <w:rsid w:val="00FD5C8B"/>
    <w:pPr>
      <w:spacing w:before="24" w:after="24" w:line="288" w:lineRule="auto"/>
      <w:ind w:left="862" w:right="862"/>
    </w:pPr>
    <w:rPr>
      <w:iCs/>
    </w:rPr>
  </w:style>
  <w:style w:type="character" w:customStyle="1" w:styleId="QuoteChar">
    <w:name w:val="Quote Char"/>
    <w:basedOn w:val="DefaultParagraphFont"/>
    <w:link w:val="Quote"/>
    <w:uiPriority w:val="29"/>
    <w:rsid w:val="00FD5C8B"/>
    <w:rPr>
      <w:rFonts w:ascii="Verdana" w:hAnsi="Verdana"/>
      <w:iCs/>
    </w:rPr>
  </w:style>
  <w:style w:type="paragraph" w:styleId="TOCHeading">
    <w:name w:val="TOC Heading"/>
    <w:basedOn w:val="Heading1"/>
    <w:next w:val="Normal"/>
    <w:uiPriority w:val="39"/>
    <w:unhideWhenUsed/>
    <w:qFormat/>
    <w:rsid w:val="00230CB7"/>
    <w:p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230CB7"/>
    <w:pPr>
      <w:tabs>
        <w:tab w:val="left" w:pos="660"/>
        <w:tab w:val="right" w:leader="dot" w:pos="9848"/>
      </w:tabs>
      <w:spacing w:after="100"/>
    </w:pPr>
    <w:rPr>
      <w:b/>
      <w:noProof/>
    </w:rPr>
  </w:style>
  <w:style w:type="paragraph" w:styleId="TOC2">
    <w:name w:val="toc 2"/>
    <w:basedOn w:val="Normal"/>
    <w:next w:val="Normal"/>
    <w:autoRedefine/>
    <w:uiPriority w:val="39"/>
    <w:unhideWhenUsed/>
    <w:rsid w:val="00230CB7"/>
    <w:pPr>
      <w:spacing w:after="100"/>
      <w:ind w:left="240"/>
    </w:pPr>
  </w:style>
  <w:style w:type="character" w:styleId="BookTitle">
    <w:name w:val="Book Title"/>
    <w:basedOn w:val="DefaultParagraphFont"/>
    <w:uiPriority w:val="33"/>
    <w:qFormat/>
    <w:rsid w:val="0038168D"/>
    <w:rPr>
      <w:b/>
      <w:bCs/>
      <w:i/>
      <w:iCs/>
      <w:spacing w:val="5"/>
    </w:rPr>
  </w:style>
  <w:style w:type="character" w:styleId="CommentReference">
    <w:name w:val="annotation reference"/>
    <w:basedOn w:val="DefaultParagraphFont"/>
    <w:uiPriority w:val="99"/>
    <w:semiHidden/>
    <w:unhideWhenUsed/>
    <w:rsid w:val="00FC37EE"/>
    <w:rPr>
      <w:sz w:val="16"/>
      <w:szCs w:val="16"/>
    </w:rPr>
  </w:style>
  <w:style w:type="paragraph" w:styleId="CommentText">
    <w:name w:val="annotation text"/>
    <w:basedOn w:val="Normal"/>
    <w:link w:val="CommentTextChar"/>
    <w:uiPriority w:val="99"/>
    <w:semiHidden/>
    <w:unhideWhenUsed/>
    <w:rsid w:val="00FC37EE"/>
    <w:rPr>
      <w:sz w:val="20"/>
      <w:szCs w:val="20"/>
    </w:rPr>
  </w:style>
  <w:style w:type="character" w:customStyle="1" w:styleId="CommentTextChar">
    <w:name w:val="Comment Text Char"/>
    <w:basedOn w:val="DefaultParagraphFont"/>
    <w:link w:val="CommentText"/>
    <w:uiPriority w:val="99"/>
    <w:semiHidden/>
    <w:rsid w:val="00FC37EE"/>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FC37EE"/>
    <w:rPr>
      <w:b/>
      <w:bCs/>
    </w:rPr>
  </w:style>
  <w:style w:type="character" w:customStyle="1" w:styleId="CommentSubjectChar">
    <w:name w:val="Comment Subject Char"/>
    <w:basedOn w:val="CommentTextChar"/>
    <w:link w:val="CommentSubject"/>
    <w:uiPriority w:val="99"/>
    <w:semiHidden/>
    <w:rsid w:val="00FC37EE"/>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8470">
      <w:bodyDiv w:val="1"/>
      <w:marLeft w:val="0"/>
      <w:marRight w:val="0"/>
      <w:marTop w:val="0"/>
      <w:marBottom w:val="0"/>
      <w:divBdr>
        <w:top w:val="none" w:sz="0" w:space="0" w:color="auto"/>
        <w:left w:val="none" w:sz="0" w:space="0" w:color="auto"/>
        <w:bottom w:val="none" w:sz="0" w:space="0" w:color="auto"/>
        <w:right w:val="none" w:sz="0" w:space="0" w:color="auto"/>
      </w:divBdr>
    </w:div>
    <w:div w:id="695348982">
      <w:bodyDiv w:val="1"/>
      <w:marLeft w:val="0"/>
      <w:marRight w:val="0"/>
      <w:marTop w:val="0"/>
      <w:marBottom w:val="0"/>
      <w:divBdr>
        <w:top w:val="none" w:sz="0" w:space="0" w:color="auto"/>
        <w:left w:val="none" w:sz="0" w:space="0" w:color="auto"/>
        <w:bottom w:val="none" w:sz="0" w:space="0" w:color="auto"/>
        <w:right w:val="none" w:sz="0" w:space="0" w:color="auto"/>
      </w:divBdr>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1616056029">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ihrc.org" TargetMode="External"/><Relationship Id="rId4" Type="http://schemas.openxmlformats.org/officeDocument/2006/relationships/settings" Target="settings.xml"/><Relationship Id="rId9" Type="http://schemas.openxmlformats.org/officeDocument/2006/relationships/hyperlink" Target="http://www.nihrc.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aling.gov.uk/downloads/download/4795/mattock_lane_public_spaces_protection_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E2F2C-8049-4182-9CFC-10BEB740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3536</Words>
  <Characters>20159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Julia Buchanan</cp:lastModifiedBy>
  <cp:revision>4</cp:revision>
  <cp:lastPrinted>2021-11-12T19:14:00Z</cp:lastPrinted>
  <dcterms:created xsi:type="dcterms:W3CDTF">2021-11-10T16:11:00Z</dcterms:created>
  <dcterms:modified xsi:type="dcterms:W3CDTF">2021-11-12T19:14:00Z</dcterms:modified>
</cp:coreProperties>
</file>