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58466" w14:textId="2911ADCF" w:rsidR="00F31387" w:rsidRPr="00091080" w:rsidRDefault="00F31387" w:rsidP="003B7D0E">
      <w:pPr>
        <w:pStyle w:val="BasicParagraph"/>
        <w:suppressAutoHyphens/>
        <w:jc w:val="center"/>
        <w:rPr>
          <w:rFonts w:ascii="Verdana" w:hAnsi="Verdana" w:cs="Arial"/>
          <w:b/>
          <w:bCs/>
          <w:color w:val="734791"/>
          <w:sz w:val="36"/>
          <w:szCs w:val="36"/>
        </w:rPr>
      </w:pPr>
      <w:r w:rsidRPr="00091080">
        <w:rPr>
          <w:rFonts w:ascii="Verdana" w:hAnsi="Verdana" w:cs="Arial"/>
          <w:b/>
          <w:bCs/>
          <w:noProof/>
          <w:color w:val="734791"/>
          <w:sz w:val="36"/>
          <w:szCs w:val="36"/>
          <w:lang w:eastAsia="en-GB"/>
        </w:rPr>
        <w:drawing>
          <wp:inline distT="0" distB="0" distL="0" distR="0" wp14:anchorId="2408A7EB" wp14:editId="488E2E01">
            <wp:extent cx="2908485" cy="3886623"/>
            <wp:effectExtent l="0" t="0" r="0" b="0"/>
            <wp:docPr id="7" name="Picture 7" descr="Studio Volume:Corey Watson:Corey Watson CURRENT WORK:27689 - HUMAN RIGHTS Brand Guidelines:PDF:NIHRC LOGOs-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udio Volume:Corey Watson:Corey Watson CURRENT WORK:27689 - HUMAN RIGHTS Brand Guidelines:PDF:NIHRC LOGOs-06.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8982" cy="3887287"/>
                    </a:xfrm>
                    <a:prstGeom prst="rect">
                      <a:avLst/>
                    </a:prstGeom>
                    <a:noFill/>
                    <a:ln>
                      <a:noFill/>
                    </a:ln>
                  </pic:spPr>
                </pic:pic>
              </a:graphicData>
            </a:graphic>
          </wp:inline>
        </w:drawing>
      </w:r>
    </w:p>
    <w:p w14:paraId="04852BE1" w14:textId="77777777" w:rsidR="003B7D0E" w:rsidRPr="00091080" w:rsidRDefault="003B7D0E" w:rsidP="003B7D0E">
      <w:pPr>
        <w:pStyle w:val="BasicParagraph"/>
        <w:suppressAutoHyphens/>
        <w:jc w:val="center"/>
        <w:rPr>
          <w:rFonts w:ascii="Verdana" w:hAnsi="Verdana" w:cs="Arial"/>
          <w:b/>
          <w:bCs/>
          <w:color w:val="734791"/>
          <w:sz w:val="36"/>
          <w:szCs w:val="36"/>
        </w:rPr>
      </w:pPr>
    </w:p>
    <w:p w14:paraId="0B26B8BE" w14:textId="4FDC575F" w:rsidR="00F31387" w:rsidRPr="00091080" w:rsidRDefault="00217DE2" w:rsidP="00C05FA5">
      <w:pPr>
        <w:pStyle w:val="BasicParagraph"/>
        <w:suppressAutoHyphens/>
        <w:jc w:val="center"/>
        <w:rPr>
          <w:rFonts w:ascii="Verdana" w:hAnsi="Verdana" w:cs="Arial"/>
          <w:b/>
          <w:bCs/>
          <w:color w:val="77328A"/>
          <w:sz w:val="36"/>
          <w:szCs w:val="36"/>
        </w:rPr>
      </w:pPr>
      <w:r w:rsidRPr="00091080">
        <w:rPr>
          <w:rFonts w:ascii="Verdana" w:hAnsi="Verdana" w:cs="Arial"/>
          <w:b/>
          <w:bCs/>
          <w:color w:val="77328A"/>
          <w:sz w:val="36"/>
          <w:szCs w:val="36"/>
        </w:rPr>
        <w:t xml:space="preserve">Submission to the Committee for Justice’s </w:t>
      </w:r>
      <w:r w:rsidR="00C05FA5" w:rsidRPr="00091080">
        <w:rPr>
          <w:rFonts w:ascii="Verdana" w:hAnsi="Verdana" w:cs="Arial"/>
          <w:b/>
          <w:bCs/>
          <w:color w:val="77328A"/>
          <w:sz w:val="36"/>
          <w:szCs w:val="36"/>
        </w:rPr>
        <w:t>Call for Evidence on the Victims and Witnesses of Crime Bill</w:t>
      </w:r>
    </w:p>
    <w:p w14:paraId="4422A7D7" w14:textId="77777777" w:rsidR="00C05FA5" w:rsidRPr="00091080" w:rsidRDefault="00C05FA5" w:rsidP="00C05FA5">
      <w:pPr>
        <w:pStyle w:val="BasicParagraph"/>
        <w:suppressAutoHyphens/>
        <w:jc w:val="center"/>
        <w:rPr>
          <w:rFonts w:ascii="Verdana" w:hAnsi="Verdana" w:cs="Arial"/>
          <w:b/>
          <w:color w:val="77328A"/>
          <w:sz w:val="36"/>
          <w:szCs w:val="36"/>
        </w:rPr>
      </w:pPr>
    </w:p>
    <w:p w14:paraId="678A022D" w14:textId="60E0D5AA" w:rsidR="008159E8" w:rsidRPr="00091080" w:rsidRDefault="00DC36CF" w:rsidP="003B7D0E">
      <w:pPr>
        <w:spacing w:line="288" w:lineRule="auto"/>
        <w:jc w:val="center"/>
        <w:rPr>
          <w:rFonts w:cs="Arial"/>
          <w:b/>
          <w:color w:val="232120"/>
          <w:sz w:val="30"/>
          <w:szCs w:val="30"/>
        </w:rPr>
      </w:pPr>
      <w:r>
        <w:rPr>
          <w:rFonts w:cs="Arial"/>
          <w:b/>
          <w:color w:val="232120"/>
          <w:sz w:val="30"/>
          <w:szCs w:val="30"/>
        </w:rPr>
        <w:t xml:space="preserve">October </w:t>
      </w:r>
      <w:r w:rsidR="00C05FA5" w:rsidRPr="00091080">
        <w:rPr>
          <w:rFonts w:cs="Arial"/>
          <w:b/>
          <w:color w:val="232120"/>
          <w:sz w:val="30"/>
          <w:szCs w:val="30"/>
        </w:rPr>
        <w:t>2026</w:t>
      </w:r>
    </w:p>
    <w:p w14:paraId="3482582F" w14:textId="77777777" w:rsidR="00046705" w:rsidRPr="00091080" w:rsidRDefault="00046705" w:rsidP="003B7D0E">
      <w:pPr>
        <w:spacing w:line="288" w:lineRule="auto"/>
        <w:jc w:val="center"/>
        <w:rPr>
          <w:rFonts w:cs="Arial"/>
          <w:b/>
          <w:color w:val="232120"/>
          <w:sz w:val="28"/>
          <w:szCs w:val="28"/>
        </w:rPr>
      </w:pPr>
    </w:p>
    <w:p w14:paraId="077DC2C4" w14:textId="77777777" w:rsidR="00046705" w:rsidRPr="00091080" w:rsidRDefault="00046705" w:rsidP="003B7D0E">
      <w:pPr>
        <w:spacing w:line="288" w:lineRule="auto"/>
        <w:jc w:val="center"/>
        <w:rPr>
          <w:rFonts w:cs="Arial"/>
          <w:b/>
          <w:color w:val="232120"/>
          <w:sz w:val="28"/>
          <w:szCs w:val="28"/>
        </w:rPr>
      </w:pPr>
    </w:p>
    <w:p w14:paraId="7EA59BD0" w14:textId="77777777" w:rsidR="00EA12CE" w:rsidRPr="00091080" w:rsidRDefault="00EA12CE" w:rsidP="003B7D0E">
      <w:pPr>
        <w:pStyle w:val="Default"/>
        <w:spacing w:line="288" w:lineRule="auto"/>
        <w:jc w:val="center"/>
        <w:rPr>
          <w:rFonts w:cs="Arial"/>
          <w:b/>
          <w:color w:val="232120"/>
          <w:sz w:val="28"/>
          <w:szCs w:val="28"/>
          <w:lang w:val="en-GB"/>
        </w:rPr>
      </w:pPr>
    </w:p>
    <w:p w14:paraId="325766C3" w14:textId="77777777" w:rsidR="003B7D0E" w:rsidRPr="00091080" w:rsidRDefault="003B7D0E" w:rsidP="003B7D0E">
      <w:pPr>
        <w:pStyle w:val="Default"/>
        <w:spacing w:line="480" w:lineRule="auto"/>
        <w:jc w:val="center"/>
        <w:rPr>
          <w:rFonts w:cs="Arial"/>
          <w:b/>
          <w:color w:val="232120"/>
          <w:sz w:val="36"/>
          <w:szCs w:val="36"/>
          <w:lang w:val="en-GB"/>
        </w:rPr>
      </w:pPr>
    </w:p>
    <w:p w14:paraId="5E0E0567" w14:textId="77777777" w:rsidR="003B7D0E" w:rsidRPr="00091080" w:rsidRDefault="003B7D0E" w:rsidP="003B7D0E">
      <w:pPr>
        <w:pStyle w:val="Default"/>
        <w:spacing w:line="480" w:lineRule="auto"/>
        <w:jc w:val="center"/>
        <w:rPr>
          <w:rFonts w:cs="Arial"/>
          <w:b/>
          <w:color w:val="232120"/>
          <w:sz w:val="36"/>
          <w:szCs w:val="36"/>
          <w:lang w:val="en-GB"/>
        </w:rPr>
      </w:pPr>
    </w:p>
    <w:p w14:paraId="5AF233F5" w14:textId="77777777" w:rsidR="0096459E" w:rsidRPr="00091080" w:rsidRDefault="0096459E" w:rsidP="003B7D0E">
      <w:pPr>
        <w:pStyle w:val="Default"/>
        <w:spacing w:line="480" w:lineRule="auto"/>
        <w:jc w:val="center"/>
        <w:rPr>
          <w:rFonts w:cs="Arial"/>
          <w:b/>
          <w:color w:val="232120"/>
          <w:sz w:val="36"/>
          <w:szCs w:val="36"/>
          <w:lang w:val="en-GB"/>
        </w:rPr>
      </w:pPr>
    </w:p>
    <w:p w14:paraId="18C01B4B" w14:textId="77777777" w:rsidR="003B7D0E" w:rsidRPr="00091080" w:rsidRDefault="003B7D0E" w:rsidP="003B7D0E">
      <w:pPr>
        <w:pStyle w:val="Default"/>
        <w:spacing w:line="480" w:lineRule="auto"/>
        <w:jc w:val="center"/>
        <w:rPr>
          <w:rFonts w:cs="Arial"/>
          <w:b/>
          <w:color w:val="232120"/>
          <w:sz w:val="36"/>
          <w:szCs w:val="36"/>
          <w:lang w:val="en-GB"/>
        </w:rPr>
      </w:pPr>
    </w:p>
    <w:p w14:paraId="1CE3C532" w14:textId="77777777" w:rsidR="00EA12CE" w:rsidRPr="00091080" w:rsidRDefault="00EA12CE" w:rsidP="00475117">
      <w:pPr>
        <w:pStyle w:val="Default"/>
        <w:spacing w:line="276" w:lineRule="auto"/>
        <w:rPr>
          <w:rFonts w:cs="Arial"/>
          <w:b/>
          <w:color w:val="77328A"/>
          <w:sz w:val="36"/>
          <w:szCs w:val="36"/>
          <w:lang w:val="en-GB"/>
        </w:rPr>
      </w:pPr>
      <w:r w:rsidRPr="00091080">
        <w:rPr>
          <w:rFonts w:cs="Arial"/>
          <w:b/>
          <w:color w:val="77328A"/>
          <w:sz w:val="36"/>
          <w:szCs w:val="36"/>
          <w:lang w:val="en-GB"/>
        </w:rPr>
        <w:lastRenderedPageBreak/>
        <w:t>Table of Contents</w:t>
      </w:r>
    </w:p>
    <w:sdt>
      <w:sdtPr>
        <w:id w:val="563374493"/>
        <w:docPartObj>
          <w:docPartGallery w:val="Table of Contents"/>
          <w:docPartUnique/>
        </w:docPartObj>
      </w:sdtPr>
      <w:sdtEndPr>
        <w:rPr>
          <w:b/>
          <w:bCs/>
        </w:rPr>
      </w:sdtEndPr>
      <w:sdtContent>
        <w:p w14:paraId="2430E0F4" w14:textId="133C4F99" w:rsidR="003047F5" w:rsidRPr="003047F5" w:rsidRDefault="003047F5" w:rsidP="003047F5"/>
        <w:p w14:paraId="0253CC1B" w14:textId="32A4A6D2" w:rsidR="00216637" w:rsidRDefault="003047F5">
          <w:pPr>
            <w:pStyle w:val="TOC1"/>
            <w:rPr>
              <w:rFonts w:asciiTheme="minorHAnsi" w:hAnsiTheme="minorHAnsi" w:cstheme="minorBidi"/>
              <w:b w:val="0"/>
              <w:bCs w:val="0"/>
              <w:kern w:val="2"/>
              <w14:ligatures w14:val="standardContextual"/>
            </w:rPr>
          </w:pPr>
          <w:r w:rsidRPr="003047F5">
            <w:fldChar w:fldCharType="begin"/>
          </w:r>
          <w:r w:rsidRPr="003047F5">
            <w:instrText xml:space="preserve"> TOC \o "1-3" \h \z \u </w:instrText>
          </w:r>
          <w:r w:rsidRPr="003047F5">
            <w:fldChar w:fldCharType="separate"/>
          </w:r>
          <w:hyperlink w:anchor="_Toc242693106" w:history="1">
            <w:r w:rsidR="00216637" w:rsidRPr="009A6F85">
              <w:rPr>
                <w:rStyle w:val="Hyperlink"/>
              </w:rPr>
              <w:t>Summary of Recommendations</w:t>
            </w:r>
            <w:r w:rsidR="00216637">
              <w:rPr>
                <w:webHidden/>
              </w:rPr>
              <w:tab/>
            </w:r>
            <w:r w:rsidR="00216637">
              <w:rPr>
                <w:webHidden/>
              </w:rPr>
              <w:fldChar w:fldCharType="begin"/>
            </w:r>
            <w:r w:rsidR="00216637">
              <w:rPr>
                <w:webHidden/>
              </w:rPr>
              <w:instrText xml:space="preserve"> PAGEREF _Toc242693106 \h </w:instrText>
            </w:r>
            <w:r w:rsidR="00216637">
              <w:rPr>
                <w:webHidden/>
              </w:rPr>
            </w:r>
            <w:r w:rsidR="00216637">
              <w:rPr>
                <w:webHidden/>
              </w:rPr>
              <w:fldChar w:fldCharType="separate"/>
            </w:r>
            <w:r w:rsidR="0055477F">
              <w:rPr>
                <w:webHidden/>
              </w:rPr>
              <w:t>3</w:t>
            </w:r>
            <w:r w:rsidR="00216637">
              <w:rPr>
                <w:webHidden/>
              </w:rPr>
              <w:fldChar w:fldCharType="end"/>
            </w:r>
          </w:hyperlink>
        </w:p>
        <w:p w14:paraId="63C9D1FE" w14:textId="2C624DD5" w:rsidR="00216637" w:rsidRDefault="00216637">
          <w:pPr>
            <w:pStyle w:val="TOC1"/>
            <w:rPr>
              <w:rFonts w:asciiTheme="minorHAnsi" w:hAnsiTheme="minorHAnsi" w:cstheme="minorBidi"/>
              <w:b w:val="0"/>
              <w:bCs w:val="0"/>
              <w:kern w:val="2"/>
              <w14:ligatures w14:val="standardContextual"/>
            </w:rPr>
          </w:pPr>
          <w:hyperlink w:anchor="_Toc242693107" w:history="1">
            <w:r w:rsidRPr="009A6F85">
              <w:rPr>
                <w:rStyle w:val="Hyperlink"/>
              </w:rPr>
              <w:t>1.0</w:t>
            </w:r>
            <w:r>
              <w:rPr>
                <w:rFonts w:asciiTheme="minorHAnsi" w:hAnsiTheme="minorHAnsi" w:cstheme="minorBidi"/>
                <w:b w:val="0"/>
                <w:bCs w:val="0"/>
                <w:kern w:val="2"/>
                <w14:ligatures w14:val="standardContextual"/>
              </w:rPr>
              <w:tab/>
            </w:r>
            <w:r w:rsidRPr="009A6F85">
              <w:rPr>
                <w:rStyle w:val="Hyperlink"/>
              </w:rPr>
              <w:t>Introduction</w:t>
            </w:r>
            <w:r>
              <w:rPr>
                <w:webHidden/>
              </w:rPr>
              <w:tab/>
            </w:r>
            <w:r>
              <w:rPr>
                <w:webHidden/>
              </w:rPr>
              <w:fldChar w:fldCharType="begin"/>
            </w:r>
            <w:r>
              <w:rPr>
                <w:webHidden/>
              </w:rPr>
              <w:instrText xml:space="preserve"> PAGEREF _Toc242693107 \h </w:instrText>
            </w:r>
            <w:r>
              <w:rPr>
                <w:webHidden/>
              </w:rPr>
            </w:r>
            <w:r>
              <w:rPr>
                <w:webHidden/>
              </w:rPr>
              <w:fldChar w:fldCharType="separate"/>
            </w:r>
            <w:r w:rsidR="0055477F">
              <w:rPr>
                <w:webHidden/>
              </w:rPr>
              <w:t>4</w:t>
            </w:r>
            <w:r>
              <w:rPr>
                <w:webHidden/>
              </w:rPr>
              <w:fldChar w:fldCharType="end"/>
            </w:r>
          </w:hyperlink>
        </w:p>
        <w:p w14:paraId="5089E13B" w14:textId="4887D17A" w:rsidR="00216637" w:rsidRDefault="00216637">
          <w:pPr>
            <w:pStyle w:val="TOC1"/>
            <w:rPr>
              <w:rFonts w:asciiTheme="minorHAnsi" w:hAnsiTheme="minorHAnsi" w:cstheme="minorBidi"/>
              <w:b w:val="0"/>
              <w:bCs w:val="0"/>
              <w:kern w:val="2"/>
              <w14:ligatures w14:val="standardContextual"/>
            </w:rPr>
          </w:pPr>
          <w:hyperlink w:anchor="_Toc242693108" w:history="1">
            <w:r w:rsidRPr="009A6F85">
              <w:rPr>
                <w:rStyle w:val="Hyperlink"/>
              </w:rPr>
              <w:t>2.0</w:t>
            </w:r>
            <w:r>
              <w:rPr>
                <w:rFonts w:asciiTheme="minorHAnsi" w:hAnsiTheme="minorHAnsi" w:cstheme="minorBidi"/>
                <w:b w:val="0"/>
                <w:bCs w:val="0"/>
                <w:kern w:val="2"/>
                <w14:ligatures w14:val="standardContextual"/>
              </w:rPr>
              <w:tab/>
            </w:r>
            <w:r w:rsidRPr="009A6F85">
              <w:rPr>
                <w:rStyle w:val="Hyperlink"/>
              </w:rPr>
              <w:t>Clause 24 - Special measures in cases involving aggravation by hostility</w:t>
            </w:r>
            <w:r>
              <w:rPr>
                <w:webHidden/>
              </w:rPr>
              <w:tab/>
            </w:r>
            <w:r>
              <w:rPr>
                <w:webHidden/>
              </w:rPr>
              <w:fldChar w:fldCharType="begin"/>
            </w:r>
            <w:r>
              <w:rPr>
                <w:webHidden/>
              </w:rPr>
              <w:instrText xml:space="preserve"> PAGEREF _Toc242693108 \h </w:instrText>
            </w:r>
            <w:r>
              <w:rPr>
                <w:webHidden/>
              </w:rPr>
            </w:r>
            <w:r>
              <w:rPr>
                <w:webHidden/>
              </w:rPr>
              <w:fldChar w:fldCharType="separate"/>
            </w:r>
            <w:r w:rsidR="0055477F">
              <w:rPr>
                <w:webHidden/>
              </w:rPr>
              <w:t>5</w:t>
            </w:r>
            <w:r>
              <w:rPr>
                <w:webHidden/>
              </w:rPr>
              <w:fldChar w:fldCharType="end"/>
            </w:r>
          </w:hyperlink>
        </w:p>
        <w:p w14:paraId="54926AC0" w14:textId="362C6621" w:rsidR="00216637" w:rsidRDefault="00216637">
          <w:pPr>
            <w:pStyle w:val="TOC1"/>
            <w:rPr>
              <w:rFonts w:asciiTheme="minorHAnsi" w:hAnsiTheme="minorHAnsi" w:cstheme="minorBidi"/>
              <w:b w:val="0"/>
              <w:bCs w:val="0"/>
              <w:kern w:val="2"/>
              <w14:ligatures w14:val="standardContextual"/>
            </w:rPr>
          </w:pPr>
          <w:hyperlink w:anchor="_Toc242693109" w:history="1">
            <w:r w:rsidRPr="009A6F85">
              <w:rPr>
                <w:rStyle w:val="Hyperlink"/>
              </w:rPr>
              <w:t>3.0</w:t>
            </w:r>
            <w:r>
              <w:rPr>
                <w:rFonts w:asciiTheme="minorHAnsi" w:hAnsiTheme="minorHAnsi" w:cstheme="minorBidi"/>
                <w:b w:val="0"/>
                <w:bCs w:val="0"/>
                <w:kern w:val="2"/>
                <w14:ligatures w14:val="standardContextual"/>
              </w:rPr>
              <w:tab/>
            </w:r>
            <w:r w:rsidRPr="009A6F85">
              <w:rPr>
                <w:rStyle w:val="Hyperlink"/>
              </w:rPr>
              <w:t>Clause 25 – Cross-Examination</w:t>
            </w:r>
            <w:r>
              <w:rPr>
                <w:webHidden/>
              </w:rPr>
              <w:tab/>
            </w:r>
            <w:r>
              <w:rPr>
                <w:webHidden/>
              </w:rPr>
              <w:fldChar w:fldCharType="begin"/>
            </w:r>
            <w:r>
              <w:rPr>
                <w:webHidden/>
              </w:rPr>
              <w:instrText xml:space="preserve"> PAGEREF _Toc242693109 \h </w:instrText>
            </w:r>
            <w:r>
              <w:rPr>
                <w:webHidden/>
              </w:rPr>
            </w:r>
            <w:r>
              <w:rPr>
                <w:webHidden/>
              </w:rPr>
              <w:fldChar w:fldCharType="separate"/>
            </w:r>
            <w:r w:rsidR="0055477F">
              <w:rPr>
                <w:webHidden/>
              </w:rPr>
              <w:t>9</w:t>
            </w:r>
            <w:r>
              <w:rPr>
                <w:webHidden/>
              </w:rPr>
              <w:fldChar w:fldCharType="end"/>
            </w:r>
          </w:hyperlink>
        </w:p>
        <w:p w14:paraId="10162B2F" w14:textId="3749675C" w:rsidR="00216637" w:rsidRDefault="00216637">
          <w:pPr>
            <w:pStyle w:val="TOC1"/>
            <w:rPr>
              <w:rFonts w:asciiTheme="minorHAnsi" w:hAnsiTheme="minorHAnsi" w:cstheme="minorBidi"/>
              <w:b w:val="0"/>
              <w:bCs w:val="0"/>
              <w:kern w:val="2"/>
              <w14:ligatures w14:val="standardContextual"/>
            </w:rPr>
          </w:pPr>
          <w:hyperlink w:anchor="_Toc242693110" w:history="1">
            <w:r w:rsidRPr="009A6F85">
              <w:rPr>
                <w:rStyle w:val="Hyperlink"/>
              </w:rPr>
              <w:t>4.0</w:t>
            </w:r>
            <w:r>
              <w:rPr>
                <w:rFonts w:asciiTheme="minorHAnsi" w:hAnsiTheme="minorHAnsi" w:cstheme="minorBidi"/>
                <w:b w:val="0"/>
                <w:bCs w:val="0"/>
                <w:kern w:val="2"/>
                <w14:ligatures w14:val="standardContextual"/>
              </w:rPr>
              <w:tab/>
            </w:r>
            <w:r w:rsidRPr="009A6F85">
              <w:rPr>
                <w:rStyle w:val="Hyperlink"/>
              </w:rPr>
              <w:t>Clause 26 – Protection of Complainants in Proceedings for Sexual Offences</w:t>
            </w:r>
            <w:r>
              <w:rPr>
                <w:webHidden/>
              </w:rPr>
              <w:tab/>
            </w:r>
            <w:r>
              <w:rPr>
                <w:webHidden/>
              </w:rPr>
              <w:fldChar w:fldCharType="begin"/>
            </w:r>
            <w:r>
              <w:rPr>
                <w:webHidden/>
              </w:rPr>
              <w:instrText xml:space="preserve"> PAGEREF _Toc242693110 \h </w:instrText>
            </w:r>
            <w:r>
              <w:rPr>
                <w:webHidden/>
              </w:rPr>
            </w:r>
            <w:r>
              <w:rPr>
                <w:webHidden/>
              </w:rPr>
              <w:fldChar w:fldCharType="separate"/>
            </w:r>
            <w:r w:rsidR="0055477F">
              <w:rPr>
                <w:webHidden/>
              </w:rPr>
              <w:t>12</w:t>
            </w:r>
            <w:r>
              <w:rPr>
                <w:webHidden/>
              </w:rPr>
              <w:fldChar w:fldCharType="end"/>
            </w:r>
          </w:hyperlink>
        </w:p>
        <w:p w14:paraId="3D835EF9" w14:textId="32186F2B" w:rsidR="00216637" w:rsidRDefault="00216637" w:rsidP="00FA7DC8">
          <w:pPr>
            <w:pStyle w:val="TOC2"/>
            <w:rPr>
              <w:rFonts w:cstheme="minorBidi"/>
              <w:kern w:val="2"/>
              <w14:ligatures w14:val="standardContextual"/>
            </w:rPr>
          </w:pPr>
          <w:hyperlink w:anchor="_Toc242693111" w:history="1">
            <w:r w:rsidRPr="009A6F85">
              <w:rPr>
                <w:rStyle w:val="Hyperlink"/>
              </w:rPr>
              <w:t>Divergence of Victims’ Rights on the Island of Ireland</w:t>
            </w:r>
            <w:r>
              <w:rPr>
                <w:webHidden/>
              </w:rPr>
              <w:tab/>
            </w:r>
            <w:r>
              <w:rPr>
                <w:webHidden/>
              </w:rPr>
              <w:fldChar w:fldCharType="begin"/>
            </w:r>
            <w:r>
              <w:rPr>
                <w:webHidden/>
              </w:rPr>
              <w:instrText xml:space="preserve"> PAGEREF _Toc242693111 \h </w:instrText>
            </w:r>
            <w:r>
              <w:rPr>
                <w:webHidden/>
              </w:rPr>
            </w:r>
            <w:r>
              <w:rPr>
                <w:webHidden/>
              </w:rPr>
              <w:fldChar w:fldCharType="separate"/>
            </w:r>
            <w:r w:rsidR="0055477F">
              <w:rPr>
                <w:webHidden/>
              </w:rPr>
              <w:t>16</w:t>
            </w:r>
            <w:r>
              <w:rPr>
                <w:webHidden/>
              </w:rPr>
              <w:fldChar w:fldCharType="end"/>
            </w:r>
          </w:hyperlink>
        </w:p>
        <w:p w14:paraId="73DF596F" w14:textId="535F153B" w:rsidR="00216637" w:rsidRDefault="00216637">
          <w:pPr>
            <w:pStyle w:val="TOC1"/>
            <w:rPr>
              <w:rFonts w:asciiTheme="minorHAnsi" w:hAnsiTheme="minorHAnsi" w:cstheme="minorBidi"/>
              <w:b w:val="0"/>
              <w:bCs w:val="0"/>
              <w:kern w:val="2"/>
              <w14:ligatures w14:val="standardContextual"/>
            </w:rPr>
          </w:pPr>
          <w:hyperlink w:anchor="_Toc242693112" w:history="1">
            <w:r w:rsidRPr="009A6F85">
              <w:rPr>
                <w:rStyle w:val="Hyperlink"/>
              </w:rPr>
              <w:t>5.0</w:t>
            </w:r>
            <w:r>
              <w:rPr>
                <w:rFonts w:asciiTheme="minorHAnsi" w:hAnsiTheme="minorHAnsi" w:cstheme="minorBidi"/>
                <w:b w:val="0"/>
                <w:bCs w:val="0"/>
                <w:kern w:val="2"/>
                <w14:ligatures w14:val="standardContextual"/>
              </w:rPr>
              <w:tab/>
            </w:r>
            <w:r w:rsidRPr="009A6F85">
              <w:rPr>
                <w:rStyle w:val="Hyperlink"/>
              </w:rPr>
              <w:t>Windsor Framework Article 2</w:t>
            </w:r>
            <w:r>
              <w:rPr>
                <w:webHidden/>
              </w:rPr>
              <w:tab/>
            </w:r>
            <w:r>
              <w:rPr>
                <w:webHidden/>
              </w:rPr>
              <w:fldChar w:fldCharType="begin"/>
            </w:r>
            <w:r>
              <w:rPr>
                <w:webHidden/>
              </w:rPr>
              <w:instrText xml:space="preserve"> PAGEREF _Toc242693112 \h </w:instrText>
            </w:r>
            <w:r>
              <w:rPr>
                <w:webHidden/>
              </w:rPr>
            </w:r>
            <w:r>
              <w:rPr>
                <w:webHidden/>
              </w:rPr>
              <w:fldChar w:fldCharType="separate"/>
            </w:r>
            <w:r w:rsidR="0055477F">
              <w:rPr>
                <w:webHidden/>
              </w:rPr>
              <w:t>18</w:t>
            </w:r>
            <w:r>
              <w:rPr>
                <w:webHidden/>
              </w:rPr>
              <w:fldChar w:fldCharType="end"/>
            </w:r>
          </w:hyperlink>
        </w:p>
        <w:p w14:paraId="5A76F581" w14:textId="69E9192C" w:rsidR="00216637" w:rsidRPr="00FA7DC8" w:rsidRDefault="00216637" w:rsidP="00FA7DC8">
          <w:pPr>
            <w:pStyle w:val="TOC2"/>
            <w:rPr>
              <w:rFonts w:cstheme="minorBidi"/>
              <w:kern w:val="2"/>
              <w14:ligatures w14:val="standardContextual"/>
            </w:rPr>
          </w:pPr>
          <w:hyperlink w:anchor="_Toc242693113" w:history="1">
            <w:r w:rsidRPr="00FA7DC8">
              <w:rPr>
                <w:rStyle w:val="Hyperlink"/>
              </w:rPr>
              <w:t xml:space="preserve">Victims’ </w:t>
            </w:r>
            <w:r w:rsidRPr="00FA7DC8">
              <w:rPr>
                <w:rStyle w:val="Hyperlink"/>
                <w:bCs/>
              </w:rPr>
              <w:t>rights within scope of Article 2 Windsor Framework</w:t>
            </w:r>
            <w:r w:rsidRPr="00FA7DC8">
              <w:rPr>
                <w:webHidden/>
              </w:rPr>
              <w:tab/>
            </w:r>
            <w:r w:rsidRPr="00FA7DC8">
              <w:rPr>
                <w:webHidden/>
              </w:rPr>
              <w:fldChar w:fldCharType="begin"/>
            </w:r>
            <w:r w:rsidRPr="00FA7DC8">
              <w:rPr>
                <w:webHidden/>
              </w:rPr>
              <w:instrText xml:space="preserve"> PAGEREF _Toc242693113 \h </w:instrText>
            </w:r>
            <w:r w:rsidRPr="00FA7DC8">
              <w:rPr>
                <w:webHidden/>
              </w:rPr>
            </w:r>
            <w:r w:rsidRPr="00FA7DC8">
              <w:rPr>
                <w:webHidden/>
              </w:rPr>
              <w:fldChar w:fldCharType="separate"/>
            </w:r>
            <w:r w:rsidR="0055477F">
              <w:rPr>
                <w:webHidden/>
              </w:rPr>
              <w:t>19</w:t>
            </w:r>
            <w:r w:rsidRPr="00FA7DC8">
              <w:rPr>
                <w:webHidden/>
              </w:rPr>
              <w:fldChar w:fldCharType="end"/>
            </w:r>
          </w:hyperlink>
        </w:p>
        <w:p w14:paraId="20B52B35" w14:textId="420FBF74" w:rsidR="00216637" w:rsidRPr="00216637" w:rsidRDefault="00216637" w:rsidP="00FA7DC8">
          <w:pPr>
            <w:pStyle w:val="TOC2"/>
            <w:rPr>
              <w:rFonts w:cstheme="minorBidi"/>
              <w:kern w:val="2"/>
              <w14:ligatures w14:val="standardContextual"/>
            </w:rPr>
          </w:pPr>
          <w:hyperlink w:anchor="_Toc242693114" w:history="1">
            <w:r w:rsidRPr="00216637">
              <w:rPr>
                <w:rStyle w:val="Hyperlink"/>
              </w:rPr>
              <w:t xml:space="preserve">ECHR rights relevant to </w:t>
            </w:r>
            <w:r w:rsidRPr="00216637">
              <w:rPr>
                <w:rStyle w:val="Hyperlink"/>
                <w:bCs/>
              </w:rPr>
              <w:t>W</w:t>
            </w:r>
            <w:r w:rsidRPr="00216637">
              <w:rPr>
                <w:rStyle w:val="Hyperlink"/>
              </w:rPr>
              <w:t>indsor Framework Article 2</w:t>
            </w:r>
            <w:r w:rsidRPr="00216637">
              <w:rPr>
                <w:webHidden/>
              </w:rPr>
              <w:tab/>
            </w:r>
            <w:r w:rsidRPr="00216637">
              <w:rPr>
                <w:webHidden/>
              </w:rPr>
              <w:fldChar w:fldCharType="begin"/>
            </w:r>
            <w:r w:rsidRPr="00216637">
              <w:rPr>
                <w:webHidden/>
              </w:rPr>
              <w:instrText xml:space="preserve"> PAGEREF _Toc242693114 \h </w:instrText>
            </w:r>
            <w:r w:rsidRPr="00216637">
              <w:rPr>
                <w:webHidden/>
              </w:rPr>
            </w:r>
            <w:r w:rsidRPr="00216637">
              <w:rPr>
                <w:webHidden/>
              </w:rPr>
              <w:fldChar w:fldCharType="separate"/>
            </w:r>
            <w:r w:rsidR="0055477F">
              <w:rPr>
                <w:webHidden/>
              </w:rPr>
              <w:t>21</w:t>
            </w:r>
            <w:r w:rsidRPr="00216637">
              <w:rPr>
                <w:webHidden/>
              </w:rPr>
              <w:fldChar w:fldCharType="end"/>
            </w:r>
          </w:hyperlink>
        </w:p>
        <w:p w14:paraId="614765D2" w14:textId="53CF85D7" w:rsidR="00216637" w:rsidRPr="00216637" w:rsidRDefault="00216637" w:rsidP="00FA7DC8">
          <w:pPr>
            <w:pStyle w:val="TOC2"/>
            <w:rPr>
              <w:rFonts w:cstheme="minorBidi"/>
              <w:kern w:val="2"/>
              <w14:ligatures w14:val="standardContextual"/>
            </w:rPr>
          </w:pPr>
          <w:hyperlink w:anchor="_Toc242693115" w:history="1">
            <w:r w:rsidRPr="00216637">
              <w:rPr>
                <w:rStyle w:val="Hyperlink"/>
              </w:rPr>
              <w:t>Direct effect</w:t>
            </w:r>
            <w:r w:rsidRPr="00216637">
              <w:rPr>
                <w:webHidden/>
              </w:rPr>
              <w:tab/>
            </w:r>
            <w:r w:rsidRPr="00216637">
              <w:rPr>
                <w:webHidden/>
              </w:rPr>
              <w:fldChar w:fldCharType="begin"/>
            </w:r>
            <w:r w:rsidRPr="00216637">
              <w:rPr>
                <w:webHidden/>
              </w:rPr>
              <w:instrText xml:space="preserve"> PAGEREF _Toc242693115 \h </w:instrText>
            </w:r>
            <w:r w:rsidRPr="00216637">
              <w:rPr>
                <w:webHidden/>
              </w:rPr>
            </w:r>
            <w:r w:rsidRPr="00216637">
              <w:rPr>
                <w:webHidden/>
              </w:rPr>
              <w:fldChar w:fldCharType="separate"/>
            </w:r>
            <w:r w:rsidR="0055477F">
              <w:rPr>
                <w:webHidden/>
              </w:rPr>
              <w:t>21</w:t>
            </w:r>
            <w:r w:rsidRPr="00216637">
              <w:rPr>
                <w:webHidden/>
              </w:rPr>
              <w:fldChar w:fldCharType="end"/>
            </w:r>
          </w:hyperlink>
        </w:p>
        <w:p w14:paraId="0B1A13C4" w14:textId="6F046541" w:rsidR="00216637" w:rsidRPr="00216637" w:rsidRDefault="00216637" w:rsidP="00FA7DC8">
          <w:pPr>
            <w:pStyle w:val="TOC2"/>
            <w:rPr>
              <w:rFonts w:cstheme="minorBidi"/>
              <w:kern w:val="2"/>
              <w14:ligatures w14:val="standardContextual"/>
            </w:rPr>
          </w:pPr>
          <w:hyperlink w:anchor="_Toc242693116" w:history="1">
            <w:r w:rsidRPr="00216637">
              <w:rPr>
                <w:rStyle w:val="Hyperlink"/>
              </w:rPr>
              <w:t>Sectarian conflict</w:t>
            </w:r>
            <w:r w:rsidRPr="00216637">
              <w:rPr>
                <w:webHidden/>
              </w:rPr>
              <w:tab/>
            </w:r>
            <w:r w:rsidRPr="00216637">
              <w:rPr>
                <w:webHidden/>
              </w:rPr>
              <w:fldChar w:fldCharType="begin"/>
            </w:r>
            <w:r w:rsidRPr="00216637">
              <w:rPr>
                <w:webHidden/>
              </w:rPr>
              <w:instrText xml:space="preserve"> PAGEREF _Toc242693116 \h </w:instrText>
            </w:r>
            <w:r w:rsidRPr="00216637">
              <w:rPr>
                <w:webHidden/>
              </w:rPr>
            </w:r>
            <w:r w:rsidRPr="00216637">
              <w:rPr>
                <w:webHidden/>
              </w:rPr>
              <w:fldChar w:fldCharType="separate"/>
            </w:r>
            <w:r w:rsidR="0055477F">
              <w:rPr>
                <w:webHidden/>
              </w:rPr>
              <w:t>22</w:t>
            </w:r>
            <w:r w:rsidRPr="00216637">
              <w:rPr>
                <w:webHidden/>
              </w:rPr>
              <w:fldChar w:fldCharType="end"/>
            </w:r>
          </w:hyperlink>
        </w:p>
        <w:p w14:paraId="0232C7C9" w14:textId="0274FDF4" w:rsidR="003047F5" w:rsidRDefault="003047F5">
          <w:r w:rsidRPr="003047F5">
            <w:rPr>
              <w:b/>
              <w:bCs/>
            </w:rPr>
            <w:fldChar w:fldCharType="end"/>
          </w:r>
        </w:p>
      </w:sdtContent>
    </w:sdt>
    <w:p w14:paraId="68CA2461" w14:textId="77777777" w:rsidR="00C05FA5" w:rsidRDefault="00C05FA5" w:rsidP="00475117">
      <w:pPr>
        <w:pStyle w:val="Default"/>
        <w:spacing w:line="276" w:lineRule="auto"/>
        <w:rPr>
          <w:rFonts w:cs="Arial"/>
          <w:b/>
          <w:color w:val="77328A"/>
          <w:sz w:val="36"/>
          <w:szCs w:val="36"/>
          <w:lang w:val="en-GB"/>
        </w:rPr>
      </w:pPr>
    </w:p>
    <w:p w14:paraId="0FCEC8AB" w14:textId="77777777" w:rsidR="003047F5" w:rsidRDefault="003047F5" w:rsidP="00475117">
      <w:pPr>
        <w:pStyle w:val="Default"/>
        <w:spacing w:line="276" w:lineRule="auto"/>
        <w:rPr>
          <w:rFonts w:cs="Arial"/>
          <w:b/>
          <w:color w:val="77328A"/>
          <w:sz w:val="36"/>
          <w:szCs w:val="36"/>
          <w:lang w:val="en-GB"/>
        </w:rPr>
      </w:pPr>
    </w:p>
    <w:p w14:paraId="73AC2356" w14:textId="77777777" w:rsidR="00EA1CCD" w:rsidRDefault="00EA1CCD" w:rsidP="00475117">
      <w:pPr>
        <w:pStyle w:val="Default"/>
        <w:spacing w:line="276" w:lineRule="auto"/>
        <w:rPr>
          <w:rFonts w:cs="Arial"/>
          <w:b/>
          <w:color w:val="77328A"/>
          <w:sz w:val="36"/>
          <w:szCs w:val="36"/>
          <w:lang w:val="en-GB"/>
        </w:rPr>
      </w:pPr>
    </w:p>
    <w:p w14:paraId="4EC309EB" w14:textId="77777777" w:rsidR="00EA1CCD" w:rsidRDefault="00EA1CCD" w:rsidP="00475117">
      <w:pPr>
        <w:pStyle w:val="Default"/>
        <w:spacing w:line="276" w:lineRule="auto"/>
        <w:rPr>
          <w:rFonts w:cs="Arial"/>
          <w:b/>
          <w:color w:val="77328A"/>
          <w:sz w:val="36"/>
          <w:szCs w:val="36"/>
          <w:lang w:val="en-GB"/>
        </w:rPr>
      </w:pPr>
    </w:p>
    <w:p w14:paraId="76A15506" w14:textId="77777777" w:rsidR="00EA1CCD" w:rsidRDefault="00EA1CCD" w:rsidP="00475117">
      <w:pPr>
        <w:pStyle w:val="Default"/>
        <w:spacing w:line="276" w:lineRule="auto"/>
        <w:rPr>
          <w:rFonts w:cs="Arial"/>
          <w:b/>
          <w:color w:val="77328A"/>
          <w:sz w:val="36"/>
          <w:szCs w:val="36"/>
          <w:lang w:val="en-GB"/>
        </w:rPr>
      </w:pPr>
    </w:p>
    <w:p w14:paraId="7AC85DD0" w14:textId="77777777" w:rsidR="00EA1CCD" w:rsidRDefault="00EA1CCD" w:rsidP="00475117">
      <w:pPr>
        <w:pStyle w:val="Default"/>
        <w:spacing w:line="276" w:lineRule="auto"/>
        <w:rPr>
          <w:rFonts w:cs="Arial"/>
          <w:b/>
          <w:color w:val="77328A"/>
          <w:sz w:val="36"/>
          <w:szCs w:val="36"/>
          <w:lang w:val="en-GB"/>
        </w:rPr>
      </w:pPr>
    </w:p>
    <w:p w14:paraId="68858F9D" w14:textId="77777777" w:rsidR="00EA1CCD" w:rsidRDefault="00EA1CCD" w:rsidP="00475117">
      <w:pPr>
        <w:pStyle w:val="Default"/>
        <w:spacing w:line="276" w:lineRule="auto"/>
        <w:rPr>
          <w:rFonts w:cs="Arial"/>
          <w:b/>
          <w:color w:val="77328A"/>
          <w:sz w:val="36"/>
          <w:szCs w:val="36"/>
          <w:lang w:val="en-GB"/>
        </w:rPr>
      </w:pPr>
    </w:p>
    <w:p w14:paraId="5539F4FB" w14:textId="77777777" w:rsidR="00EA1CCD" w:rsidRDefault="00EA1CCD" w:rsidP="00475117">
      <w:pPr>
        <w:pStyle w:val="Default"/>
        <w:spacing w:line="276" w:lineRule="auto"/>
        <w:rPr>
          <w:rFonts w:cs="Arial"/>
          <w:b/>
          <w:color w:val="77328A"/>
          <w:sz w:val="36"/>
          <w:szCs w:val="36"/>
          <w:lang w:val="en-GB"/>
        </w:rPr>
      </w:pPr>
    </w:p>
    <w:p w14:paraId="508370C5" w14:textId="77777777" w:rsidR="00EA1CCD" w:rsidRDefault="00EA1CCD" w:rsidP="00475117">
      <w:pPr>
        <w:pStyle w:val="Default"/>
        <w:spacing w:line="276" w:lineRule="auto"/>
        <w:rPr>
          <w:rFonts w:cs="Arial"/>
          <w:b/>
          <w:color w:val="77328A"/>
          <w:sz w:val="36"/>
          <w:szCs w:val="36"/>
          <w:lang w:val="en-GB"/>
        </w:rPr>
      </w:pPr>
    </w:p>
    <w:p w14:paraId="4E6BD4EB" w14:textId="77777777" w:rsidR="00EA1CCD" w:rsidRDefault="00EA1CCD" w:rsidP="00475117">
      <w:pPr>
        <w:pStyle w:val="Default"/>
        <w:spacing w:line="276" w:lineRule="auto"/>
        <w:rPr>
          <w:rFonts w:cs="Arial"/>
          <w:b/>
          <w:color w:val="77328A"/>
          <w:sz w:val="36"/>
          <w:szCs w:val="36"/>
          <w:lang w:val="en-GB"/>
        </w:rPr>
      </w:pPr>
    </w:p>
    <w:p w14:paraId="70BE1CA5" w14:textId="77777777" w:rsidR="00EA1CCD" w:rsidRDefault="00EA1CCD" w:rsidP="00475117">
      <w:pPr>
        <w:pStyle w:val="Default"/>
        <w:spacing w:line="276" w:lineRule="auto"/>
        <w:rPr>
          <w:rFonts w:cs="Arial"/>
          <w:b/>
          <w:color w:val="77328A"/>
          <w:sz w:val="36"/>
          <w:szCs w:val="36"/>
          <w:lang w:val="en-GB"/>
        </w:rPr>
      </w:pPr>
    </w:p>
    <w:p w14:paraId="303C5FCC" w14:textId="77777777" w:rsidR="00EA1CCD" w:rsidRDefault="00EA1CCD" w:rsidP="00475117">
      <w:pPr>
        <w:pStyle w:val="Default"/>
        <w:spacing w:line="276" w:lineRule="auto"/>
        <w:rPr>
          <w:rFonts w:cs="Arial"/>
          <w:b/>
          <w:color w:val="77328A"/>
          <w:sz w:val="36"/>
          <w:szCs w:val="36"/>
          <w:lang w:val="en-GB"/>
        </w:rPr>
      </w:pPr>
    </w:p>
    <w:p w14:paraId="1A7A90D8" w14:textId="77777777" w:rsidR="00EA1CCD" w:rsidRDefault="00EA1CCD" w:rsidP="00475117">
      <w:pPr>
        <w:pStyle w:val="Default"/>
        <w:spacing w:line="276" w:lineRule="auto"/>
        <w:rPr>
          <w:rFonts w:cs="Arial"/>
          <w:b/>
          <w:color w:val="77328A"/>
          <w:sz w:val="36"/>
          <w:szCs w:val="36"/>
          <w:lang w:val="en-GB"/>
        </w:rPr>
      </w:pPr>
    </w:p>
    <w:p w14:paraId="66470CD9" w14:textId="77777777" w:rsidR="00EA1CCD" w:rsidRDefault="00EA1CCD" w:rsidP="00475117">
      <w:pPr>
        <w:pStyle w:val="Default"/>
        <w:spacing w:line="276" w:lineRule="auto"/>
        <w:rPr>
          <w:rFonts w:cs="Arial"/>
          <w:b/>
          <w:color w:val="77328A"/>
          <w:sz w:val="36"/>
          <w:szCs w:val="36"/>
          <w:lang w:val="en-GB"/>
        </w:rPr>
      </w:pPr>
    </w:p>
    <w:p w14:paraId="3A3F26B7" w14:textId="77777777" w:rsidR="00EA1CCD" w:rsidRPr="00091080" w:rsidRDefault="00EA1CCD" w:rsidP="00475117">
      <w:pPr>
        <w:pStyle w:val="Default"/>
        <w:spacing w:line="276" w:lineRule="auto"/>
        <w:rPr>
          <w:rFonts w:cs="Arial"/>
          <w:b/>
          <w:color w:val="77328A"/>
          <w:sz w:val="36"/>
          <w:szCs w:val="36"/>
          <w:lang w:val="en-GB"/>
        </w:rPr>
      </w:pPr>
    </w:p>
    <w:p w14:paraId="65693BA4" w14:textId="656A1171" w:rsidR="00C05FA5" w:rsidRPr="00091080" w:rsidRDefault="00C05FA5" w:rsidP="003047F5">
      <w:pPr>
        <w:pStyle w:val="Heading1"/>
        <w:numPr>
          <w:ilvl w:val="0"/>
          <w:numId w:val="0"/>
        </w:numPr>
        <w:ind w:left="720" w:hanging="720"/>
      </w:pPr>
      <w:bookmarkStart w:id="0" w:name="_Toc242693106"/>
      <w:r w:rsidRPr="00091080">
        <w:lastRenderedPageBreak/>
        <w:t>Summary of Recommendations</w:t>
      </w:r>
      <w:bookmarkEnd w:id="0"/>
    </w:p>
    <w:p w14:paraId="016A9C23" w14:textId="77CA0F18" w:rsidR="00C05FA5" w:rsidRDefault="00EA1CCD" w:rsidP="00475117">
      <w:pPr>
        <w:pStyle w:val="Default"/>
        <w:spacing w:line="276" w:lineRule="auto"/>
        <w:rPr>
          <w:rFonts w:cs="Arial"/>
          <w:b/>
          <w:color w:val="3C3C3B"/>
          <w:sz w:val="36"/>
          <w:szCs w:val="36"/>
          <w:lang w:val="en-GB"/>
        </w:rPr>
      </w:pPr>
      <w:r>
        <w:rPr>
          <w:rFonts w:cs="Arial"/>
          <w:b/>
          <w:noProof/>
          <w:color w:val="3C3C3B"/>
          <w:sz w:val="36"/>
          <w:szCs w:val="36"/>
          <w:lang w:val="en-GB"/>
        </w:rPr>
        <mc:AlternateContent>
          <mc:Choice Requires="wps">
            <w:drawing>
              <wp:anchor distT="0" distB="0" distL="114300" distR="114300" simplePos="0" relativeHeight="251658240" behindDoc="0" locked="0" layoutInCell="1" allowOverlap="1" wp14:anchorId="1DB204E1" wp14:editId="65834427">
                <wp:simplePos x="0" y="0"/>
                <wp:positionH relativeFrom="column">
                  <wp:posOffset>-159864</wp:posOffset>
                </wp:positionH>
                <wp:positionV relativeFrom="paragraph">
                  <wp:posOffset>217458</wp:posOffset>
                </wp:positionV>
                <wp:extent cx="6512943" cy="6675048"/>
                <wp:effectExtent l="57150" t="19050" r="78740" b="88265"/>
                <wp:wrapNone/>
                <wp:docPr id="828382243" name="Rectangle 1"/>
                <wp:cNvGraphicFramePr/>
                <a:graphic xmlns:a="http://schemas.openxmlformats.org/drawingml/2006/main">
                  <a:graphicData uri="http://schemas.microsoft.com/office/word/2010/wordprocessingShape">
                    <wps:wsp>
                      <wps:cNvSpPr/>
                      <wps:spPr>
                        <a:xfrm>
                          <a:off x="0" y="0"/>
                          <a:ext cx="6512943" cy="6675048"/>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A2A15A7" id="Rectangle 1" o:spid="_x0000_s1026" style="position:absolute;margin-left:-12.6pt;margin-top:17.1pt;width:512.85pt;height:525.6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" filled="f" strokecolor="black [3213]">
                <v:shadow on="t" color="black" opacity="22937f" origin=",.5" offset="0,.63889mm"/>
              </v:rect>
            </w:pict>
          </mc:Fallback>
        </mc:AlternateContent>
      </w:r>
    </w:p>
    <w:p w14:paraId="2FD05F60" w14:textId="77777777" w:rsidR="004F03EA" w:rsidRDefault="00C43C9F" w:rsidP="004F03EA">
      <w:pPr>
        <w:pStyle w:val="ListParagraph"/>
        <w:numPr>
          <w:ilvl w:val="1"/>
          <w:numId w:val="27"/>
        </w:numPr>
        <w:rPr>
          <w:b/>
          <w:bCs/>
        </w:rPr>
      </w:pPr>
      <w:r w:rsidRPr="00C43C9F">
        <w:rPr>
          <w:b/>
          <w:bCs/>
        </w:rPr>
        <w:t>The NIHRC recommends that the Committee for Justice refers to the NIHRC’s previous advice on the Criminal Justice (Sentencing etc) Bill which should be read together with this advice, noting that the two legislative frameworks are directed at similar harms.</w:t>
      </w:r>
    </w:p>
    <w:p w14:paraId="3D995059" w14:textId="1440887F" w:rsidR="004F03EA" w:rsidRDefault="004F03EA" w:rsidP="004F03EA">
      <w:pPr>
        <w:pStyle w:val="ListParagraph"/>
        <w:rPr>
          <w:b/>
          <w:bCs/>
        </w:rPr>
      </w:pPr>
    </w:p>
    <w:p w14:paraId="2D83C6FA" w14:textId="77777777" w:rsidR="0035300D" w:rsidRDefault="00C43C9F" w:rsidP="0035300D">
      <w:pPr>
        <w:pStyle w:val="ListParagraph"/>
        <w:numPr>
          <w:ilvl w:val="1"/>
          <w:numId w:val="28"/>
        </w:numPr>
        <w:rPr>
          <w:b/>
          <w:bCs/>
        </w:rPr>
      </w:pPr>
      <w:r w:rsidRPr="004F03EA">
        <w:rPr>
          <w:b/>
          <w:bCs/>
        </w:rPr>
        <w:t>The NIHRC recommends the establishment of the Hate Crime Advocacy Service on a statutory footing. Specialised advocates to support victims with any or all protected characteristics, including those that might be included, should be available.</w:t>
      </w:r>
    </w:p>
    <w:p w14:paraId="0287A23D" w14:textId="311A6BC9" w:rsidR="0035300D" w:rsidRDefault="00C43C9F" w:rsidP="0035300D">
      <w:pPr>
        <w:pStyle w:val="ListParagraph"/>
        <w:rPr>
          <w:b/>
          <w:bCs/>
        </w:rPr>
      </w:pPr>
      <w:r w:rsidRPr="004F03EA">
        <w:rPr>
          <w:b/>
          <w:bCs/>
        </w:rPr>
        <w:t xml:space="preserve"> </w:t>
      </w:r>
    </w:p>
    <w:p w14:paraId="52C3CFAE" w14:textId="3EE58EBF" w:rsidR="0035300D" w:rsidRDefault="0035300D" w:rsidP="0035300D">
      <w:pPr>
        <w:ind w:left="720" w:hanging="720"/>
        <w:rPr>
          <w:rFonts w:eastAsia="Verdana" w:cs="Verdana"/>
          <w:b/>
          <w:bCs/>
        </w:rPr>
      </w:pPr>
      <w:r w:rsidRPr="0035300D">
        <w:rPr>
          <w:rFonts w:eastAsia="Verdana" w:cs="Verdana"/>
        </w:rPr>
        <w:t>3.10</w:t>
      </w:r>
      <w:r>
        <w:rPr>
          <w:rFonts w:eastAsia="Verdana" w:cs="Verdana"/>
          <w:b/>
          <w:bCs/>
        </w:rPr>
        <w:tab/>
      </w:r>
      <w:r w:rsidRPr="0035300D">
        <w:rPr>
          <w:rFonts w:eastAsia="Verdana" w:cs="Verdana"/>
          <w:b/>
          <w:bCs/>
        </w:rPr>
        <w:t xml:space="preserve">The NIHRC recommends that the impact of the amendments if enacted are monitored closely. Thereafter, the data relating to the use of the power should be reported publicly. </w:t>
      </w:r>
    </w:p>
    <w:p w14:paraId="6FFB0C8F" w14:textId="77777777" w:rsidR="0035300D" w:rsidRDefault="0035300D" w:rsidP="0035300D">
      <w:pPr>
        <w:ind w:left="720" w:hanging="720"/>
        <w:rPr>
          <w:rFonts w:eastAsia="Verdana" w:cs="Verdana"/>
          <w:b/>
          <w:bCs/>
        </w:rPr>
      </w:pPr>
    </w:p>
    <w:p w14:paraId="6E4594D1" w14:textId="358C8EFC" w:rsidR="0035300D" w:rsidRPr="00091080" w:rsidRDefault="0035300D" w:rsidP="0035300D">
      <w:pPr>
        <w:pStyle w:val="ListParagraph"/>
        <w:numPr>
          <w:ilvl w:val="0"/>
          <w:numId w:val="18"/>
        </w:numPr>
        <w:spacing w:after="160"/>
        <w:ind w:hanging="720"/>
        <w:rPr>
          <w:b/>
        </w:rPr>
      </w:pPr>
      <w:r w:rsidRPr="00091080">
        <w:rPr>
          <w:b/>
        </w:rPr>
        <w:t xml:space="preserve">The NIHRC recommends that the Committee for Justice seeks clarification from the Department of Justice on </w:t>
      </w:r>
      <w:r w:rsidRPr="00091080">
        <w:rPr>
          <w:b/>
          <w:bCs/>
        </w:rPr>
        <w:t xml:space="preserve">arrangements for the appointment and funding of legal representatives in proceedings related to Clause 26. In addition, the Committee should explore with the Department how the effectiveness of the procedures will be monitored and whether the views of victims will be sought to determine if the procedure is meeting its stated objectives. </w:t>
      </w:r>
    </w:p>
    <w:p w14:paraId="7E6B093D" w14:textId="77777777" w:rsidR="0035300D" w:rsidRPr="00091080" w:rsidRDefault="0035300D" w:rsidP="0035300D">
      <w:pPr>
        <w:pStyle w:val="ListParagraph"/>
        <w:spacing w:after="160"/>
        <w:rPr>
          <w:b/>
        </w:rPr>
      </w:pPr>
    </w:p>
    <w:p w14:paraId="6B4E57FA" w14:textId="77777777" w:rsidR="0035300D" w:rsidRPr="00091080" w:rsidRDefault="0035300D" w:rsidP="0035300D">
      <w:pPr>
        <w:pStyle w:val="ListParagraph"/>
        <w:numPr>
          <w:ilvl w:val="0"/>
          <w:numId w:val="18"/>
        </w:numPr>
        <w:spacing w:after="160"/>
        <w:ind w:hanging="720"/>
        <w:rPr>
          <w:b/>
        </w:rPr>
      </w:pPr>
      <w:r w:rsidRPr="00091080">
        <w:rPr>
          <w:b/>
          <w:bCs/>
        </w:rPr>
        <w:t>The NIHRC further recommends that the Committee for Justice seeks clarity from the Department of Justice regarding how it intends to ensure that all complainants are made aware of their ability to avail of the provisions under Clause 26 of the Bill once it is enacted.</w:t>
      </w:r>
    </w:p>
    <w:p w14:paraId="2623C5A7" w14:textId="77777777" w:rsidR="0035300D" w:rsidRPr="0035300D" w:rsidRDefault="0035300D" w:rsidP="0035300D">
      <w:pPr>
        <w:rPr>
          <w:b/>
          <w:bCs/>
        </w:rPr>
      </w:pPr>
    </w:p>
    <w:p w14:paraId="34D6DE29" w14:textId="77777777" w:rsidR="00C43C9F" w:rsidRPr="00C43C9F" w:rsidRDefault="00C43C9F" w:rsidP="004F03EA">
      <w:pPr>
        <w:pStyle w:val="ListParagraph"/>
        <w:rPr>
          <w:b/>
          <w:bCs/>
        </w:rPr>
      </w:pPr>
    </w:p>
    <w:p w14:paraId="066346A9" w14:textId="77777777" w:rsidR="00C43C9F" w:rsidRPr="00091080" w:rsidRDefault="00C43C9F" w:rsidP="00475117">
      <w:pPr>
        <w:pStyle w:val="Default"/>
        <w:spacing w:line="276" w:lineRule="auto"/>
        <w:rPr>
          <w:rFonts w:cs="Arial"/>
          <w:b/>
          <w:color w:val="3C3C3B"/>
          <w:sz w:val="36"/>
          <w:szCs w:val="36"/>
          <w:lang w:val="en-GB"/>
        </w:rPr>
      </w:pPr>
    </w:p>
    <w:p w14:paraId="2785EA2A" w14:textId="77777777" w:rsidR="00EA12CE" w:rsidRPr="00091080" w:rsidRDefault="00EA12CE" w:rsidP="00475117">
      <w:pPr>
        <w:pStyle w:val="Default"/>
        <w:spacing w:line="276" w:lineRule="auto"/>
        <w:rPr>
          <w:rFonts w:cs="Arial"/>
          <w:b/>
          <w:color w:val="232120"/>
          <w:lang w:val="en-GB"/>
        </w:rPr>
      </w:pPr>
    </w:p>
    <w:p w14:paraId="57752466" w14:textId="77777777" w:rsidR="00EA12CE" w:rsidRPr="00091080" w:rsidRDefault="00EA12CE" w:rsidP="00475117">
      <w:pPr>
        <w:pStyle w:val="Default"/>
        <w:spacing w:line="276" w:lineRule="auto"/>
        <w:rPr>
          <w:rFonts w:cs="Arial"/>
          <w:b/>
          <w:color w:val="232120"/>
          <w:lang w:val="en-GB"/>
        </w:rPr>
      </w:pPr>
    </w:p>
    <w:p w14:paraId="44024069" w14:textId="77777777" w:rsidR="00EA12CE" w:rsidRPr="00091080" w:rsidRDefault="00EA12CE" w:rsidP="00475117">
      <w:pPr>
        <w:pStyle w:val="Default"/>
        <w:spacing w:line="276" w:lineRule="auto"/>
        <w:rPr>
          <w:rFonts w:cs="Arial"/>
          <w:b/>
          <w:color w:val="232120"/>
          <w:lang w:val="en-GB"/>
        </w:rPr>
      </w:pPr>
    </w:p>
    <w:p w14:paraId="256DD071" w14:textId="77777777" w:rsidR="00EA12CE" w:rsidRPr="00091080" w:rsidRDefault="00EA12CE" w:rsidP="00475117">
      <w:pPr>
        <w:pStyle w:val="Default"/>
        <w:spacing w:line="276" w:lineRule="auto"/>
        <w:rPr>
          <w:rFonts w:cs="Arial"/>
          <w:b/>
          <w:color w:val="232120"/>
          <w:lang w:val="en-GB"/>
        </w:rPr>
      </w:pPr>
    </w:p>
    <w:p w14:paraId="00E23FCB" w14:textId="77777777" w:rsidR="00EA12CE" w:rsidRPr="00091080" w:rsidRDefault="00EA12CE" w:rsidP="00475117">
      <w:pPr>
        <w:pStyle w:val="Default"/>
        <w:spacing w:line="276" w:lineRule="auto"/>
        <w:rPr>
          <w:rFonts w:cs="Arial"/>
          <w:b/>
          <w:color w:val="232120"/>
          <w:lang w:val="en-GB"/>
        </w:rPr>
      </w:pPr>
    </w:p>
    <w:p w14:paraId="02B5FFD4" w14:textId="77777777" w:rsidR="00EA12CE" w:rsidRPr="00091080" w:rsidRDefault="00EA12CE" w:rsidP="00475117">
      <w:pPr>
        <w:pStyle w:val="Default"/>
        <w:spacing w:line="276" w:lineRule="auto"/>
        <w:rPr>
          <w:rFonts w:cs="Arial"/>
          <w:b/>
          <w:color w:val="232120"/>
          <w:lang w:val="en-GB"/>
        </w:rPr>
      </w:pPr>
    </w:p>
    <w:p w14:paraId="1B241A85" w14:textId="77777777" w:rsidR="00EA12CE" w:rsidRPr="00091080" w:rsidRDefault="00EA12CE" w:rsidP="00475117">
      <w:pPr>
        <w:pStyle w:val="Default"/>
        <w:spacing w:line="276" w:lineRule="auto"/>
        <w:rPr>
          <w:rFonts w:cs="Arial"/>
          <w:b/>
          <w:color w:val="232120"/>
          <w:lang w:val="en-GB"/>
        </w:rPr>
      </w:pPr>
    </w:p>
    <w:p w14:paraId="6BF8B9CB" w14:textId="77777777" w:rsidR="007569C1" w:rsidRPr="00091080" w:rsidRDefault="00ED40E9" w:rsidP="00565C64">
      <w:pPr>
        <w:pStyle w:val="Heading1"/>
      </w:pPr>
      <w:bookmarkStart w:id="1" w:name="_Toc242693107"/>
      <w:r w:rsidRPr="00091080">
        <w:lastRenderedPageBreak/>
        <w:t>Introduction</w:t>
      </w:r>
      <w:bookmarkEnd w:id="1"/>
    </w:p>
    <w:p w14:paraId="3FFC8B4B" w14:textId="77777777" w:rsidR="00245151" w:rsidRPr="00091080" w:rsidRDefault="00245151" w:rsidP="00475117">
      <w:pPr>
        <w:spacing w:line="276" w:lineRule="auto"/>
      </w:pPr>
    </w:p>
    <w:p w14:paraId="3EA72BF3" w14:textId="77777777" w:rsidR="00565C64" w:rsidRPr="00091080" w:rsidRDefault="00B13E7D" w:rsidP="00565C64">
      <w:pPr>
        <w:pStyle w:val="ListParagraph"/>
        <w:numPr>
          <w:ilvl w:val="1"/>
          <w:numId w:val="12"/>
        </w:numPr>
      </w:pPr>
      <w:r w:rsidRPr="00091080">
        <w:t>The Northern Ireland Human Rights Commission (NIHRC), pursuant to sections 69(1), 69(3) and 69(4) of the Northern Ireland (NI) Act 1998, reviews the adequacy and effectiveness of law and practice relating to the protection of human rights in NI. The NIHRC is also required under section 78</w:t>
      </w:r>
      <w:proofErr w:type="gramStart"/>
      <w:r w:rsidRPr="00091080">
        <w:t>A(</w:t>
      </w:r>
      <w:proofErr w:type="gramEnd"/>
      <w:r w:rsidRPr="00091080">
        <w:t>1), 78</w:t>
      </w:r>
      <w:proofErr w:type="gramStart"/>
      <w:r w:rsidRPr="00091080">
        <w:t>A(</w:t>
      </w:r>
      <w:proofErr w:type="gramEnd"/>
      <w:r w:rsidRPr="00091080">
        <w:t>5) and 78</w:t>
      </w:r>
      <w:proofErr w:type="gramStart"/>
      <w:r w:rsidRPr="00091080">
        <w:t>A(</w:t>
      </w:r>
      <w:proofErr w:type="gramEnd"/>
      <w:r w:rsidRPr="00091080">
        <w:t>6) to monitor the implementation of Article 2(1) of the Windsor Framework.</w:t>
      </w:r>
      <w:r w:rsidRPr="00091080">
        <w:rPr>
          <w:rStyle w:val="FootnoteReference"/>
        </w:rPr>
        <w:footnoteReference w:id="2"/>
      </w:r>
      <w:r w:rsidRPr="00091080">
        <w:t xml:space="preserve"> In accordance with these functions, the NIHRC provides this advice on the </w:t>
      </w:r>
      <w:r w:rsidR="006C5F0E" w:rsidRPr="00091080">
        <w:t>Victims and Witnesses of Crime Bill</w:t>
      </w:r>
      <w:r w:rsidRPr="00091080">
        <w:t xml:space="preserve"> (the</w:t>
      </w:r>
      <w:r w:rsidR="006C5F0E" w:rsidRPr="00091080">
        <w:t xml:space="preserve"> draft</w:t>
      </w:r>
      <w:r w:rsidRPr="00091080">
        <w:t xml:space="preserve"> Bill) and refers to the version as introduced to the NI Assembly on </w:t>
      </w:r>
      <w:r w:rsidR="007A1B4A" w:rsidRPr="00091080">
        <w:t>22 June</w:t>
      </w:r>
      <w:r w:rsidRPr="00091080">
        <w:t xml:space="preserve"> 2026.</w:t>
      </w:r>
    </w:p>
    <w:p w14:paraId="5152B6EE" w14:textId="77777777" w:rsidR="00565C64" w:rsidRPr="00091080" w:rsidRDefault="00565C64" w:rsidP="00565C64">
      <w:pPr>
        <w:pStyle w:val="ListParagraph"/>
      </w:pPr>
    </w:p>
    <w:p w14:paraId="16E169A4" w14:textId="77777777" w:rsidR="00565C64" w:rsidRPr="00091080" w:rsidRDefault="00B13E7D" w:rsidP="00565C64">
      <w:pPr>
        <w:pStyle w:val="ListParagraph"/>
        <w:numPr>
          <w:ilvl w:val="1"/>
          <w:numId w:val="12"/>
        </w:numPr>
      </w:pPr>
      <w:r w:rsidRPr="00091080">
        <w:t>The NIHRC bases its advice on the full range of internationally accepted human rights standards, including the European Convention on Human Rights (ECHR), as incorporated by the Human Rights Act 1998, and the treaty obligations of the Council of Europe (</w:t>
      </w:r>
      <w:proofErr w:type="spellStart"/>
      <w:r w:rsidRPr="00091080">
        <w:t>CoE</w:t>
      </w:r>
      <w:proofErr w:type="spellEnd"/>
      <w:r w:rsidRPr="00091080">
        <w:t>) and the United Nations (UN).</w:t>
      </w:r>
    </w:p>
    <w:p w14:paraId="609E84A1" w14:textId="77777777" w:rsidR="00565C64" w:rsidRPr="00091080" w:rsidRDefault="00565C64" w:rsidP="00565C64">
      <w:pPr>
        <w:pStyle w:val="ListParagraph"/>
      </w:pPr>
    </w:p>
    <w:p w14:paraId="7015A32A" w14:textId="2CD93C50" w:rsidR="00565C64" w:rsidRPr="00091080" w:rsidRDefault="00B13E7D" w:rsidP="00565C64">
      <w:pPr>
        <w:pStyle w:val="ListParagraph"/>
        <w:numPr>
          <w:ilvl w:val="1"/>
          <w:numId w:val="12"/>
        </w:numPr>
      </w:pPr>
      <w:r w:rsidRPr="00091080">
        <w:t xml:space="preserve">The NIHRC also advises on the UK Government’s compliance with its commitment in Windsor Framework Article 2 to ensure there is no diminution of rights, </w:t>
      </w:r>
      <w:bookmarkStart w:id="2" w:name="_Int_Au2VHN2A"/>
      <w:r w:rsidRPr="00091080">
        <w:t>safeguards</w:t>
      </w:r>
      <w:bookmarkEnd w:id="2"/>
      <w:r w:rsidRPr="00091080">
        <w:t xml:space="preserve"> and equality of opportunity in the relevant section of the Belfast (Good Friday) Agreement </w:t>
      </w:r>
      <w:bookmarkStart w:id="3" w:name="_Int_zu2zdrvj"/>
      <w:proofErr w:type="gramStart"/>
      <w:r w:rsidRPr="00091080">
        <w:t>as a result of</w:t>
      </w:r>
      <w:bookmarkEnd w:id="3"/>
      <w:proofErr w:type="gramEnd"/>
      <w:r w:rsidRPr="00091080">
        <w:t xml:space="preserve"> the UK’s withdrawal from the EU. The UK-EU Withdrawal Agreement, including the Windsor Framework, is binding under international law and given effect in UK law by section 7A of the EU (Withdrawal) Act 2018. Section 6 of the NI Act 1998 prohibits the NI Assembly from making any law which is incompatible with Windsor Framework Article 2. Section 24 of the 1998 Act also requires all acts of NI Ministers and NI Departments to be compatible with Windsor Framework Article 2.</w:t>
      </w:r>
      <w:r w:rsidR="00AF3EF6" w:rsidRPr="00091080">
        <w:t xml:space="preserve"> </w:t>
      </w:r>
      <w:r w:rsidR="00D731B7" w:rsidRPr="00091080">
        <w:t xml:space="preserve"> </w:t>
      </w:r>
    </w:p>
    <w:p w14:paraId="09216431" w14:textId="77777777" w:rsidR="00565C64" w:rsidRPr="00091080" w:rsidRDefault="00565C64" w:rsidP="00565C64">
      <w:pPr>
        <w:pStyle w:val="ListParagraph"/>
      </w:pPr>
    </w:p>
    <w:p w14:paraId="487A747C" w14:textId="669B343E" w:rsidR="00B13E7D" w:rsidRPr="00091080" w:rsidRDefault="00B13E7D" w:rsidP="00565C64">
      <w:pPr>
        <w:pStyle w:val="ListParagraph"/>
        <w:numPr>
          <w:ilvl w:val="1"/>
          <w:numId w:val="12"/>
        </w:numPr>
      </w:pPr>
      <w:r w:rsidRPr="00091080">
        <w:t xml:space="preserve">The NIHRC welcomes the opportunity to respond to the Committee for Justice’s call for evidence on the Victims and Witnesses of Crime Bill. The </w:t>
      </w:r>
      <w:r w:rsidR="00CA2C5B" w:rsidRPr="00091080">
        <w:t xml:space="preserve">following advice focuses on </w:t>
      </w:r>
      <w:r w:rsidR="00E177F5" w:rsidRPr="00091080">
        <w:t>Clauses 24 to 26 of the draft Bill</w:t>
      </w:r>
      <w:r w:rsidR="00710AA5" w:rsidRPr="00091080">
        <w:t>, setting out relevant human rights standards</w:t>
      </w:r>
      <w:r w:rsidR="00E177F5" w:rsidRPr="00091080">
        <w:t xml:space="preserve"> </w:t>
      </w:r>
      <w:r w:rsidR="00E44418" w:rsidRPr="00091080">
        <w:t xml:space="preserve">and </w:t>
      </w:r>
      <w:r w:rsidR="00357535" w:rsidRPr="00091080">
        <w:t xml:space="preserve">the enduring relevance of </w:t>
      </w:r>
      <w:r w:rsidR="00227FD7" w:rsidRPr="00091080">
        <w:t>EU Victims</w:t>
      </w:r>
      <w:r w:rsidR="001571F9" w:rsidRPr="00091080">
        <w:t xml:space="preserve">’ </w:t>
      </w:r>
      <w:r w:rsidR="00136221" w:rsidRPr="00091080">
        <w:t>right</w:t>
      </w:r>
      <w:r w:rsidR="00A074B2" w:rsidRPr="00091080">
        <w:t>s protections under Windsor Framework Article 2</w:t>
      </w:r>
      <w:r w:rsidR="006D58F2" w:rsidRPr="00091080">
        <w:t xml:space="preserve">. </w:t>
      </w:r>
      <w:r w:rsidR="00565C64" w:rsidRPr="00091080">
        <w:t xml:space="preserve">To assist the Committee, section five of this submission sets out the rationale for the </w:t>
      </w:r>
      <w:r w:rsidR="00565C64" w:rsidRPr="00091080">
        <w:lastRenderedPageBreak/>
        <w:t xml:space="preserve">NIHRC’s advice on the relevance of Windsor Framework Article 2 </w:t>
      </w:r>
      <w:proofErr w:type="gramStart"/>
      <w:r w:rsidR="00565C64" w:rsidRPr="00091080">
        <w:t>in light of</w:t>
      </w:r>
      <w:proofErr w:type="gramEnd"/>
      <w:r w:rsidR="00565C64" w:rsidRPr="00091080">
        <w:t xml:space="preserve"> the recent UK Supreme Court judgment in </w:t>
      </w:r>
      <w:r w:rsidR="00565C64" w:rsidRPr="00091080">
        <w:rPr>
          <w:i/>
          <w:iCs/>
        </w:rPr>
        <w:t>Dillon</w:t>
      </w:r>
      <w:r w:rsidR="00565C64" w:rsidRPr="00091080">
        <w:t>.</w:t>
      </w:r>
      <w:r w:rsidR="00565C64" w:rsidRPr="00091080">
        <w:rPr>
          <w:rStyle w:val="FootnoteReference"/>
        </w:rPr>
        <w:footnoteReference w:id="3"/>
      </w:r>
    </w:p>
    <w:p w14:paraId="1C2984CD" w14:textId="77777777" w:rsidR="0085782F" w:rsidRPr="00091080" w:rsidRDefault="0085782F" w:rsidP="00475117">
      <w:pPr>
        <w:pStyle w:val="BasicParagraph"/>
        <w:suppressAutoHyphens/>
        <w:spacing w:line="276" w:lineRule="auto"/>
        <w:rPr>
          <w:rFonts w:ascii="Verdana" w:hAnsi="Verdana" w:cs="Arial"/>
          <w:color w:val="232120"/>
          <w:sz w:val="20"/>
          <w:szCs w:val="20"/>
        </w:rPr>
      </w:pPr>
      <w:bookmarkStart w:id="4" w:name="_Toc228357312"/>
      <w:bookmarkStart w:id="5" w:name="_Toc228357334"/>
      <w:bookmarkStart w:id="6" w:name="_Toc228357384"/>
      <w:bookmarkStart w:id="7" w:name="_Toc228357553"/>
      <w:bookmarkStart w:id="8" w:name="_Toc228361135"/>
      <w:bookmarkStart w:id="9" w:name="_Toc228366917"/>
      <w:bookmarkEnd w:id="4"/>
      <w:bookmarkEnd w:id="5"/>
      <w:bookmarkEnd w:id="6"/>
      <w:bookmarkEnd w:id="7"/>
      <w:bookmarkEnd w:id="8"/>
      <w:bookmarkEnd w:id="9"/>
    </w:p>
    <w:p w14:paraId="128C3B5E" w14:textId="77777777" w:rsidR="00B878BA" w:rsidRPr="00091080" w:rsidRDefault="0085782F" w:rsidP="00227635">
      <w:pPr>
        <w:pStyle w:val="Heading1"/>
        <w:keepLines w:val="0"/>
      </w:pPr>
      <w:bookmarkStart w:id="10" w:name="_Toc242693108"/>
      <w:r w:rsidRPr="00091080">
        <w:t xml:space="preserve">Clause 24 - </w:t>
      </w:r>
      <w:r w:rsidR="00B878BA" w:rsidRPr="00091080">
        <w:t>Special measures in cases involving aggravation by hostility</w:t>
      </w:r>
      <w:bookmarkEnd w:id="10"/>
    </w:p>
    <w:p w14:paraId="6D3AF8EC" w14:textId="77777777" w:rsidR="003B7D0E" w:rsidRPr="00091080" w:rsidRDefault="003B7D0E" w:rsidP="00227635">
      <w:pPr>
        <w:pStyle w:val="BasicParagraph"/>
        <w:keepNext/>
        <w:widowControl/>
        <w:suppressAutoHyphens/>
        <w:spacing w:line="276" w:lineRule="auto"/>
        <w:rPr>
          <w:rFonts w:ascii="Verdana" w:hAnsi="Verdana" w:cs="Arial"/>
          <w:color w:val="232120"/>
          <w:sz w:val="20"/>
          <w:szCs w:val="20"/>
        </w:rPr>
      </w:pPr>
    </w:p>
    <w:p w14:paraId="7057586D" w14:textId="012B1716" w:rsidR="006C6DB9" w:rsidRPr="00091080" w:rsidRDefault="006C6DB9" w:rsidP="00227635">
      <w:pPr>
        <w:pStyle w:val="ListParagraph"/>
        <w:keepNext/>
        <w:numPr>
          <w:ilvl w:val="0"/>
          <w:numId w:val="25"/>
        </w:numPr>
        <w:ind w:hanging="720"/>
      </w:pPr>
      <w:r w:rsidRPr="00091080">
        <w:t>Clause 24 of the Bill amends the Criminal Evidence (NI) Order 1999 to state that:</w:t>
      </w:r>
    </w:p>
    <w:p w14:paraId="61E849C1" w14:textId="77777777" w:rsidR="006C6DB9" w:rsidRPr="00091080" w:rsidRDefault="006C6DB9" w:rsidP="00CA4A64">
      <w:pPr>
        <w:pStyle w:val="ListParagraph"/>
        <w:ind w:left="709"/>
      </w:pPr>
    </w:p>
    <w:p w14:paraId="27624A34" w14:textId="77777777" w:rsidR="006C6DB9" w:rsidRPr="00091080" w:rsidRDefault="006C6DB9" w:rsidP="00CA4A64">
      <w:pPr>
        <w:spacing w:line="288" w:lineRule="auto"/>
        <w:ind w:left="993"/>
      </w:pPr>
      <w:r w:rsidRPr="00091080">
        <w:t>(1) The Criminal Evidence (Northern Ireland) Order 1999 is amended as follows.</w:t>
      </w:r>
    </w:p>
    <w:p w14:paraId="00C5859C" w14:textId="77777777" w:rsidR="006C6DB9" w:rsidRPr="00091080" w:rsidRDefault="006C6DB9" w:rsidP="00CA4A64">
      <w:pPr>
        <w:spacing w:line="288" w:lineRule="auto"/>
      </w:pPr>
    </w:p>
    <w:p w14:paraId="34A3678C" w14:textId="77777777" w:rsidR="006C6DB9" w:rsidRPr="00091080" w:rsidRDefault="006C6DB9" w:rsidP="00CA4A64">
      <w:pPr>
        <w:pStyle w:val="ListParagraph"/>
        <w:ind w:left="993"/>
      </w:pPr>
      <w:r w:rsidRPr="00091080">
        <w:t>(2) In Article 3 (meaning of “sexual offence” and other references to offences), after paragraph (1A) insert—</w:t>
      </w:r>
    </w:p>
    <w:p w14:paraId="7BC83056" w14:textId="77777777" w:rsidR="006C6DB9" w:rsidRPr="00091080" w:rsidRDefault="006C6DB9" w:rsidP="00CA4A64">
      <w:pPr>
        <w:pStyle w:val="ListParagraph"/>
        <w:ind w:left="993"/>
      </w:pPr>
    </w:p>
    <w:p w14:paraId="49F34DB6" w14:textId="77777777" w:rsidR="006C6DB9" w:rsidRPr="00091080" w:rsidRDefault="006C6DB9" w:rsidP="00CA4A64">
      <w:pPr>
        <w:pStyle w:val="ListParagraph"/>
        <w:ind w:left="1440"/>
      </w:pPr>
      <w:r w:rsidRPr="00091080">
        <w:t>“(1B) In this Order “an offence involving aggravation by hostility” means an offence of any kind in respect of which an allegation that the offence is aggravated by hostility is specified alongside the charge of the offence in accordance with section 33(1) of the Criminal Justice (Sentencing etc) Act 2027.”.</w:t>
      </w:r>
    </w:p>
    <w:p w14:paraId="15F92818" w14:textId="77777777" w:rsidR="006C6DB9" w:rsidRPr="00091080" w:rsidRDefault="006C6DB9" w:rsidP="00CA4A64">
      <w:pPr>
        <w:pStyle w:val="ListParagraph"/>
        <w:ind w:left="1440"/>
      </w:pPr>
    </w:p>
    <w:p w14:paraId="1283E68E" w14:textId="77777777" w:rsidR="006C6DB9" w:rsidRPr="00091080" w:rsidRDefault="006C6DB9" w:rsidP="00CA4A64">
      <w:pPr>
        <w:pStyle w:val="ListParagraph"/>
        <w:ind w:left="993"/>
      </w:pPr>
      <w:r w:rsidRPr="00091080">
        <w:t>(3) In Article 5(5) (offences where witnesses are eligible for assistance with giving evidence), after sub-paragraph (d) add—</w:t>
      </w:r>
    </w:p>
    <w:p w14:paraId="69309426" w14:textId="77777777" w:rsidR="006C6DB9" w:rsidRPr="00091080" w:rsidRDefault="006C6DB9" w:rsidP="00CA4A64">
      <w:pPr>
        <w:pStyle w:val="ListParagraph"/>
        <w:ind w:left="993"/>
      </w:pPr>
    </w:p>
    <w:p w14:paraId="07B06959" w14:textId="77777777" w:rsidR="006C6DB9" w:rsidRPr="00091080" w:rsidRDefault="006C6DB9" w:rsidP="00CA4A64">
      <w:pPr>
        <w:pStyle w:val="ListParagraph"/>
        <w:ind w:left="1418"/>
      </w:pPr>
      <w:r w:rsidRPr="00091080">
        <w:t>“(e) an offence involving aggravation by hostility (see Article 3(1B)).”.</w:t>
      </w:r>
      <w:r w:rsidRPr="00091080">
        <w:rPr>
          <w:rStyle w:val="FootnoteReference"/>
        </w:rPr>
        <w:footnoteReference w:id="4"/>
      </w:r>
    </w:p>
    <w:p w14:paraId="15C63242" w14:textId="77777777" w:rsidR="006C6DB9" w:rsidRPr="00091080" w:rsidRDefault="006C6DB9" w:rsidP="00CA4A64">
      <w:pPr>
        <w:pStyle w:val="ListParagraph"/>
        <w:ind w:left="709"/>
      </w:pPr>
    </w:p>
    <w:p w14:paraId="6F82C6EB" w14:textId="12908D3F" w:rsidR="00761D63" w:rsidRPr="00091080" w:rsidRDefault="006C6DB9" w:rsidP="00CA4A64">
      <w:pPr>
        <w:pStyle w:val="ListParagraph"/>
        <w:numPr>
          <w:ilvl w:val="0"/>
          <w:numId w:val="25"/>
        </w:numPr>
        <w:ind w:hanging="720"/>
      </w:pPr>
      <w:r w:rsidRPr="00091080">
        <w:t>Clause 24 of the Bill defines an offence involving aggravation by hostility and extends the eligibility for assistance with giving evidence for witnesses in offences involving aggravation by hostility.</w:t>
      </w:r>
      <w:r w:rsidRPr="00091080">
        <w:rPr>
          <w:rStyle w:val="FootnoteReference"/>
        </w:rPr>
        <w:footnoteReference w:id="5"/>
      </w:r>
    </w:p>
    <w:p w14:paraId="07162760" w14:textId="77777777" w:rsidR="00761D63" w:rsidRPr="00091080" w:rsidRDefault="00761D63" w:rsidP="00CA4A64">
      <w:pPr>
        <w:pStyle w:val="ListParagraph"/>
      </w:pPr>
    </w:p>
    <w:p w14:paraId="094E13DE" w14:textId="72D140FA" w:rsidR="00E80A0B" w:rsidRPr="00091080" w:rsidRDefault="00E80A0B" w:rsidP="00E80A0B">
      <w:pPr>
        <w:pStyle w:val="ListParagraph"/>
        <w:numPr>
          <w:ilvl w:val="0"/>
          <w:numId w:val="25"/>
        </w:numPr>
        <w:spacing w:line="276" w:lineRule="auto"/>
        <w:ind w:hanging="720"/>
      </w:pPr>
      <w:r w:rsidRPr="00091080">
        <w:t>International human rights standards are clear on the requirement for a victim-centred approach to justice. By way of example, the UN Convention on the Elimination of Racial Discrimination (</w:t>
      </w:r>
      <w:r w:rsidR="00B17A05">
        <w:t xml:space="preserve">UN </w:t>
      </w:r>
      <w:r w:rsidRPr="00091080">
        <w:t xml:space="preserve">CERD) Committee recommends that States ensure that the criminal justice system “treats the victims of racial discrimination without discrimination or prejudice, while respecting their dignity, through ensuring in particular that hearings, </w:t>
      </w:r>
      <w:r w:rsidRPr="00091080">
        <w:lastRenderedPageBreak/>
        <w:t>questioning or confrontations are carried out with the necessary sensitivity as far as racism is concerned”.</w:t>
      </w:r>
      <w:r w:rsidRPr="00091080">
        <w:rPr>
          <w:rStyle w:val="FootnoteReference"/>
        </w:rPr>
        <w:footnoteReference w:id="6"/>
      </w:r>
      <w:r w:rsidRPr="00091080">
        <w:t xml:space="preserve"> </w:t>
      </w:r>
    </w:p>
    <w:p w14:paraId="4C1A7483" w14:textId="77777777" w:rsidR="00761D63" w:rsidRPr="00091080" w:rsidRDefault="00761D63" w:rsidP="00CA4A64">
      <w:pPr>
        <w:pStyle w:val="ListParagraph"/>
      </w:pPr>
    </w:p>
    <w:p w14:paraId="2DF494B7" w14:textId="5A86221D" w:rsidR="006C6DB9" w:rsidRPr="00091080" w:rsidRDefault="00AB276D" w:rsidP="00CA4A64">
      <w:pPr>
        <w:pStyle w:val="ListParagraph"/>
        <w:numPr>
          <w:ilvl w:val="0"/>
          <w:numId w:val="25"/>
        </w:numPr>
        <w:ind w:hanging="720"/>
      </w:pPr>
      <w:r w:rsidRPr="00091080">
        <w:t>T</w:t>
      </w:r>
      <w:r w:rsidR="006C6DB9" w:rsidRPr="00091080">
        <w:t>he UN C</w:t>
      </w:r>
      <w:r w:rsidRPr="00091080">
        <w:t xml:space="preserve">onvention on the </w:t>
      </w:r>
      <w:r w:rsidR="006C6DB9" w:rsidRPr="00091080">
        <w:t>E</w:t>
      </w:r>
      <w:r w:rsidRPr="00091080">
        <w:t xml:space="preserve">limination of </w:t>
      </w:r>
      <w:r w:rsidR="006C6DB9" w:rsidRPr="00091080">
        <w:t>D</w:t>
      </w:r>
      <w:r w:rsidRPr="00091080">
        <w:t xml:space="preserve">iscrimination </w:t>
      </w:r>
      <w:r w:rsidR="00D01E95" w:rsidRPr="00091080">
        <w:t xml:space="preserve">Against </w:t>
      </w:r>
      <w:r w:rsidR="006C6DB9" w:rsidRPr="00091080">
        <w:t>W</w:t>
      </w:r>
      <w:r w:rsidR="00D01E95" w:rsidRPr="00091080">
        <w:t>omen</w:t>
      </w:r>
      <w:r w:rsidR="006C6DB9" w:rsidRPr="00091080">
        <w:t xml:space="preserve"> Committee </w:t>
      </w:r>
      <w:r w:rsidR="00D01E95" w:rsidRPr="00091080">
        <w:t xml:space="preserve">(UN CEDAW) </w:t>
      </w:r>
      <w:r w:rsidR="006C6DB9" w:rsidRPr="00091080">
        <w:t>recommends that:</w:t>
      </w:r>
    </w:p>
    <w:p w14:paraId="1AFA0321" w14:textId="77777777" w:rsidR="006C6DB9" w:rsidRPr="00091080" w:rsidRDefault="006C6DB9" w:rsidP="00CA4A64">
      <w:pPr>
        <w:pStyle w:val="BasicParagraph"/>
        <w:suppressAutoHyphens/>
        <w:ind w:left="720"/>
        <w:rPr>
          <w:rFonts w:ascii="Verdana" w:hAnsi="Verdana"/>
        </w:rPr>
      </w:pPr>
      <w:r w:rsidRPr="00091080">
        <w:rPr>
          <w:rFonts w:ascii="Verdana" w:hAnsi="Verdana"/>
        </w:rPr>
        <w:t xml:space="preserve"> </w:t>
      </w:r>
    </w:p>
    <w:p w14:paraId="0456C9E1" w14:textId="77777777" w:rsidR="006C6DB9" w:rsidRPr="00091080" w:rsidRDefault="006C6DB9" w:rsidP="00CA4A64">
      <w:pPr>
        <w:pStyle w:val="Quote"/>
      </w:pPr>
      <w:r w:rsidRPr="00091080">
        <w:t xml:space="preserve">all measures should be implemented with an approach centred around the victim/survivor, acknowledging women as right holders and promoting their agency and autonomy, including the evolving capacity of girls, from childhood to adolescence. In addition, the measures should be designed and implemented with the participation of women, </w:t>
      </w:r>
      <w:proofErr w:type="gramStart"/>
      <w:r w:rsidRPr="00091080">
        <w:t>taking into account</w:t>
      </w:r>
      <w:proofErr w:type="gramEnd"/>
      <w:r w:rsidRPr="00091080">
        <w:t xml:space="preserve"> the </w:t>
      </w:r>
      <w:proofErr w:type="gramStart"/>
      <w:r w:rsidRPr="00091080">
        <w:t>particular situation</w:t>
      </w:r>
      <w:proofErr w:type="gramEnd"/>
      <w:r w:rsidRPr="00091080">
        <w:t xml:space="preserve"> of women affected by intersecting forms of discrimination.</w:t>
      </w:r>
      <w:r w:rsidRPr="00091080">
        <w:rPr>
          <w:rStyle w:val="FootnoteReference"/>
        </w:rPr>
        <w:footnoteReference w:id="7"/>
      </w:r>
    </w:p>
    <w:p w14:paraId="7161C38D" w14:textId="77777777" w:rsidR="00227635" w:rsidRPr="00091080" w:rsidRDefault="00227635" w:rsidP="00227635"/>
    <w:p w14:paraId="3FAC4567" w14:textId="79095E00" w:rsidR="006C6DB9" w:rsidRPr="00091080" w:rsidRDefault="006C6DB9" w:rsidP="00CA4A64">
      <w:pPr>
        <w:pStyle w:val="BasicParagraph"/>
        <w:numPr>
          <w:ilvl w:val="0"/>
          <w:numId w:val="25"/>
        </w:numPr>
        <w:suppressAutoHyphens/>
        <w:ind w:hanging="720"/>
        <w:rPr>
          <w:rFonts w:ascii="Verdana" w:hAnsi="Verdana"/>
        </w:rPr>
      </w:pPr>
      <w:r w:rsidRPr="00091080">
        <w:rPr>
          <w:rFonts w:ascii="Verdana" w:hAnsi="Verdana"/>
        </w:rPr>
        <w:t>The UN Basic Principles and Guidelines on the Right to a Remedy and Reparation for Victims state that:</w:t>
      </w:r>
    </w:p>
    <w:p w14:paraId="4EEF6113" w14:textId="77777777" w:rsidR="006C6DB9" w:rsidRPr="00091080" w:rsidRDefault="006C6DB9" w:rsidP="00475117">
      <w:pPr>
        <w:pStyle w:val="ListParagraph"/>
        <w:spacing w:line="276" w:lineRule="auto"/>
      </w:pPr>
    </w:p>
    <w:p w14:paraId="506BFBE1" w14:textId="77777777" w:rsidR="006C6DB9" w:rsidRPr="00091080" w:rsidRDefault="006C6DB9" w:rsidP="00CA4A64">
      <w:pPr>
        <w:pStyle w:val="Quote"/>
      </w:pPr>
      <w:r w:rsidRPr="00091080">
        <w:t xml:space="preserve">victims should be treated with humanity and respect for their dignity and human rights, and appropriate measures should be taken to ensure their safety, physical and psychological well-being and privacy, as well as those of their families. The State should ensure that its domestic laws, to the extent possible, provide that a victim who has suffered violence or trauma should benefit from special consideration and care to avoid his or her re-traumatization </w:t>
      </w:r>
      <w:proofErr w:type="gramStart"/>
      <w:r w:rsidRPr="00091080">
        <w:t>in the course of</w:t>
      </w:r>
      <w:proofErr w:type="gramEnd"/>
      <w:r w:rsidRPr="00091080">
        <w:t xml:space="preserve"> legal and administrative procedures designed to provide justice and reparation.</w:t>
      </w:r>
      <w:r w:rsidRPr="00091080">
        <w:rPr>
          <w:rStyle w:val="FootnoteReference"/>
        </w:rPr>
        <w:footnoteReference w:id="8"/>
      </w:r>
    </w:p>
    <w:p w14:paraId="59AAC8BE" w14:textId="77777777" w:rsidR="006C6DB9" w:rsidRPr="00091080" w:rsidRDefault="006C6DB9" w:rsidP="00475117">
      <w:pPr>
        <w:pStyle w:val="BasicParagraph"/>
        <w:suppressAutoHyphens/>
        <w:spacing w:line="276" w:lineRule="auto"/>
        <w:ind w:left="873"/>
        <w:rPr>
          <w:rFonts w:ascii="Verdana" w:hAnsi="Verdana"/>
        </w:rPr>
      </w:pPr>
    </w:p>
    <w:p w14:paraId="09F05895" w14:textId="77777777" w:rsidR="009E43B0" w:rsidRPr="00091080" w:rsidRDefault="009E43B0" w:rsidP="009E43B0">
      <w:pPr>
        <w:pStyle w:val="ListParagraph"/>
        <w:numPr>
          <w:ilvl w:val="0"/>
          <w:numId w:val="25"/>
        </w:numPr>
        <w:spacing w:line="276" w:lineRule="auto"/>
        <w:ind w:hanging="720"/>
      </w:pPr>
      <w:r w:rsidRPr="00091080">
        <w:t>The ECHR, incorporated directly into NI law, is legally binding on all public authorities. Article 3 (freedom from torture and inhumane or degrading treatment or punishment) and Article 8 (respect for private and family life including bodily integrity) create positive legal obligations to “safeguard an individual’s physical integrity”.</w:t>
      </w:r>
      <w:r w:rsidRPr="00091080">
        <w:rPr>
          <w:rStyle w:val="FootnoteReference"/>
        </w:rPr>
        <w:footnoteReference w:id="9"/>
      </w:r>
      <w:r w:rsidRPr="00091080">
        <w:t xml:space="preserve"> The ECtHR has held that secondary victimisation can constitute a violation of the physical and moral integrity element of the right to a private life.</w:t>
      </w:r>
      <w:r w:rsidRPr="00091080">
        <w:rPr>
          <w:rStyle w:val="FootnoteReference"/>
        </w:rPr>
        <w:footnoteReference w:id="10"/>
      </w:r>
      <w:r w:rsidRPr="00091080">
        <w:t xml:space="preserve"> </w:t>
      </w:r>
    </w:p>
    <w:p w14:paraId="06EB23DC" w14:textId="77777777" w:rsidR="00475117" w:rsidRPr="00091080" w:rsidRDefault="00475117" w:rsidP="00CA4A64">
      <w:pPr>
        <w:pStyle w:val="ListParagraph"/>
        <w:ind w:left="709"/>
      </w:pPr>
    </w:p>
    <w:p w14:paraId="16D105E1" w14:textId="77777777" w:rsidR="008363CE" w:rsidRPr="00091080" w:rsidRDefault="008363CE" w:rsidP="008363CE">
      <w:pPr>
        <w:pStyle w:val="ListParagraph"/>
        <w:numPr>
          <w:ilvl w:val="0"/>
          <w:numId w:val="25"/>
        </w:numPr>
        <w:spacing w:line="276" w:lineRule="auto"/>
        <w:ind w:hanging="720"/>
      </w:pPr>
      <w:r w:rsidRPr="00091080">
        <w:lastRenderedPageBreak/>
        <w:t>Additionally, Article 6 of the ECHR protects the right to a fair trial. This is not an absolute right and elements of a fair trial may be limited under exceptional circumstances. If the right is to be limited, consideration must be given to the “proceedings as a whole having regard to the rights of the defence but also to the interests of the public and the victims that crime is prosecuted and, where necessary, to the rights of witnesses”.</w:t>
      </w:r>
      <w:r w:rsidRPr="00091080">
        <w:rPr>
          <w:rStyle w:val="FootnoteReference"/>
        </w:rPr>
        <w:footnoteReference w:id="11"/>
      </w:r>
      <w:r w:rsidRPr="00091080">
        <w:t xml:space="preserve"> In relation to special measures for victims of serious crimes, the ECtHR has found that “article 6 does not grant the accused an unlimited right to secure the appearance of witnesses in court. It is normally for the national courts to decide whether it is necessary or advisable to call a witness”.</w:t>
      </w:r>
      <w:r w:rsidRPr="00091080">
        <w:rPr>
          <w:rStyle w:val="FootnoteReference"/>
        </w:rPr>
        <w:footnoteReference w:id="12"/>
      </w:r>
    </w:p>
    <w:p w14:paraId="7EF27BD4" w14:textId="77777777" w:rsidR="00254E65" w:rsidRPr="00091080" w:rsidRDefault="00254E65" w:rsidP="00CA4A64">
      <w:pPr>
        <w:pStyle w:val="ListParagraph"/>
      </w:pPr>
    </w:p>
    <w:p w14:paraId="01F3BC7C" w14:textId="6526F13A" w:rsidR="008F4C00" w:rsidRPr="00091080" w:rsidRDefault="00546351" w:rsidP="00CA4A64">
      <w:pPr>
        <w:pStyle w:val="ListParagraph"/>
        <w:numPr>
          <w:ilvl w:val="0"/>
          <w:numId w:val="25"/>
        </w:numPr>
        <w:ind w:hanging="720"/>
      </w:pPr>
      <w:r w:rsidRPr="00091080">
        <w:t xml:space="preserve">The EU Victims’ Directive (2012) establishes minimum standards for the rights, support and protection of victims of crime, including </w:t>
      </w:r>
      <w:r w:rsidR="00287903" w:rsidRPr="00091080">
        <w:t>victims’</w:t>
      </w:r>
      <w:r w:rsidRPr="00091080">
        <w:t xml:space="preserve"> rights in criminal proceedings.</w:t>
      </w:r>
      <w:r w:rsidR="001B15CD" w:rsidRPr="00091080">
        <w:t xml:space="preserve"> It does so without prejudice to the rights of the defence</w:t>
      </w:r>
      <w:r w:rsidR="00C73E88" w:rsidRPr="00091080">
        <w:t>.</w:t>
      </w:r>
      <w:r w:rsidR="002B1894" w:rsidRPr="00091080">
        <w:rPr>
          <w:rStyle w:val="FootnoteReference"/>
        </w:rPr>
        <w:footnoteReference w:id="13"/>
      </w:r>
      <w:r w:rsidRPr="00091080">
        <w:t xml:space="preserve"> </w:t>
      </w:r>
      <w:r w:rsidR="00102733" w:rsidRPr="00091080">
        <w:t xml:space="preserve">The </w:t>
      </w:r>
      <w:r w:rsidR="00CD3AAD" w:rsidRPr="00091080">
        <w:t>continued</w:t>
      </w:r>
      <w:r w:rsidR="00102733" w:rsidRPr="00091080">
        <w:t xml:space="preserve"> relevance of the EU Victims’ Directive</w:t>
      </w:r>
      <w:r w:rsidR="00686789" w:rsidRPr="00091080">
        <w:t xml:space="preserve"> to NI</w:t>
      </w:r>
      <w:r w:rsidR="00102733" w:rsidRPr="00091080">
        <w:t xml:space="preserve"> is outlined in section five of this submission. </w:t>
      </w:r>
    </w:p>
    <w:p w14:paraId="7E929D83" w14:textId="77777777" w:rsidR="008F4C00" w:rsidRPr="00091080" w:rsidRDefault="008F4C00" w:rsidP="00CA4A64">
      <w:pPr>
        <w:pStyle w:val="ListParagraph"/>
        <w:ind w:hanging="720"/>
      </w:pPr>
    </w:p>
    <w:p w14:paraId="3B31224B" w14:textId="0E226DD3" w:rsidR="0045586D" w:rsidRPr="00091080" w:rsidRDefault="008F4C00" w:rsidP="00CA4A64">
      <w:pPr>
        <w:pStyle w:val="ListParagraph"/>
        <w:numPr>
          <w:ilvl w:val="0"/>
          <w:numId w:val="25"/>
        </w:numPr>
        <w:ind w:hanging="720"/>
      </w:pPr>
      <w:r w:rsidRPr="00091080">
        <w:t xml:space="preserve">In his review of hate crime legislation, Judge Marrinan, </w:t>
      </w:r>
      <w:r w:rsidR="00221104" w:rsidRPr="00091080">
        <w:t>emphasised</w:t>
      </w:r>
      <w:r w:rsidRPr="00091080">
        <w:t xml:space="preserve"> that the EU Victims’ Directive </w:t>
      </w:r>
      <w:r w:rsidR="007369D4" w:rsidRPr="00091080">
        <w:t>(</w:t>
      </w:r>
      <w:r w:rsidRPr="00091080">
        <w:t>2012</w:t>
      </w:r>
      <w:r w:rsidR="007369D4" w:rsidRPr="00091080">
        <w:t>)</w:t>
      </w:r>
      <w:r w:rsidRPr="00091080">
        <w:t xml:space="preserve"> includes </w:t>
      </w:r>
      <w:r w:rsidR="007369D4" w:rsidRPr="00091080">
        <w:t>“</w:t>
      </w:r>
      <w:r w:rsidR="003848B9" w:rsidRPr="00091080">
        <w:t>[g]</w:t>
      </w:r>
      <w:r w:rsidRPr="00091080">
        <w:t>ender, gender expression, gender identity and sexual orientation</w:t>
      </w:r>
      <w:r w:rsidR="007369D4" w:rsidRPr="00091080">
        <w:t>”</w:t>
      </w:r>
      <w:r w:rsidRPr="00091080">
        <w:t xml:space="preserve"> in its preamble as suggested protected characteristics.</w:t>
      </w:r>
      <w:r w:rsidRPr="00091080">
        <w:rPr>
          <w:vertAlign w:val="superscript"/>
        </w:rPr>
        <w:footnoteReference w:id="14"/>
      </w:r>
      <w:r w:rsidRPr="00091080">
        <w:t xml:space="preserve"> While the inclusion of these characteristics is not binding under the </w:t>
      </w:r>
      <w:r w:rsidR="007369D4" w:rsidRPr="00091080">
        <w:t xml:space="preserve">EU </w:t>
      </w:r>
      <w:r w:rsidRPr="00091080">
        <w:t xml:space="preserve">Directive, Judge Marrinan </w:t>
      </w:r>
      <w:r w:rsidR="00ED7C78" w:rsidRPr="00091080">
        <w:t>noted</w:t>
      </w:r>
      <w:r w:rsidRPr="00091080">
        <w:t xml:space="preserve"> that “transgender identity requires protection”, noting that it is already protected in Scotland and in England and Wales and that it is important, where possible, to offer similar levels of protection to groups throughout the UK.</w:t>
      </w:r>
      <w:r w:rsidRPr="00091080">
        <w:rPr>
          <w:vertAlign w:val="superscript"/>
        </w:rPr>
        <w:footnoteReference w:id="15"/>
      </w:r>
    </w:p>
    <w:p w14:paraId="663F4974" w14:textId="77777777" w:rsidR="003B5806" w:rsidRPr="00091080" w:rsidRDefault="003B5806" w:rsidP="00CA4A64">
      <w:pPr>
        <w:pStyle w:val="ListParagraph"/>
      </w:pPr>
    </w:p>
    <w:p w14:paraId="587D1CE3" w14:textId="10A78EEE" w:rsidR="003B5806" w:rsidRPr="00091080" w:rsidRDefault="003B5806" w:rsidP="00CA4A64">
      <w:pPr>
        <w:pStyle w:val="ListParagraph"/>
        <w:numPr>
          <w:ilvl w:val="0"/>
          <w:numId w:val="25"/>
        </w:numPr>
        <w:ind w:hanging="720"/>
      </w:pPr>
      <w:r w:rsidRPr="00091080">
        <w:t>The NIHRC remains concerned that the special measures provided under Clause 24 of the Bill to support victims in cases involving aggravation by hostility can only be offered to those with</w:t>
      </w:r>
      <w:r w:rsidR="00ED7C78" w:rsidRPr="00091080">
        <w:t>in such</w:t>
      </w:r>
      <w:r w:rsidRPr="00091080">
        <w:t xml:space="preserve"> a limited list of protected characteristics. Clause 33(1)(a)-(d) of the Criminal Justice (Sentencing etc</w:t>
      </w:r>
      <w:r w:rsidR="008000E1" w:rsidRPr="00091080">
        <w:t>.</w:t>
      </w:r>
      <w:r w:rsidRPr="00091080">
        <w:t xml:space="preserve">) Bill provides that an offence can only be aggravated by religious hostility, racial hostility, hostility related to sexual orientation or hostility </w:t>
      </w:r>
      <w:r w:rsidRPr="00091080">
        <w:lastRenderedPageBreak/>
        <w:t>related to disability.</w:t>
      </w:r>
      <w:r w:rsidRPr="00091080">
        <w:rPr>
          <w:rStyle w:val="FootnoteReference"/>
        </w:rPr>
        <w:footnoteReference w:id="16"/>
      </w:r>
      <w:r w:rsidRPr="00091080">
        <w:t xml:space="preserve"> The NIHRC has</w:t>
      </w:r>
      <w:r w:rsidR="008000E1" w:rsidRPr="00091080">
        <w:t xml:space="preserve"> previously</w:t>
      </w:r>
      <w:r w:rsidRPr="00091080">
        <w:t xml:space="preserve"> outlined its concerns that other immutable characterises are not protected.</w:t>
      </w:r>
      <w:r w:rsidRPr="00091080">
        <w:rPr>
          <w:rStyle w:val="FootnoteReference"/>
        </w:rPr>
        <w:footnoteReference w:id="17"/>
      </w:r>
      <w:r w:rsidRPr="00091080">
        <w:t xml:space="preserve"> </w:t>
      </w:r>
    </w:p>
    <w:p w14:paraId="16286F76" w14:textId="77777777" w:rsidR="006A7F75" w:rsidRPr="00091080" w:rsidRDefault="006A7F75" w:rsidP="00CA4A64">
      <w:pPr>
        <w:pStyle w:val="ListParagraph"/>
        <w:ind w:hanging="720"/>
      </w:pPr>
    </w:p>
    <w:p w14:paraId="08433A83" w14:textId="731A0D1A" w:rsidR="006A7F75" w:rsidRPr="00091080" w:rsidRDefault="006A7F75" w:rsidP="00CA4A64">
      <w:pPr>
        <w:pStyle w:val="ListParagraph"/>
        <w:numPr>
          <w:ilvl w:val="0"/>
          <w:numId w:val="25"/>
        </w:numPr>
        <w:ind w:hanging="720"/>
      </w:pPr>
      <w:r w:rsidRPr="00091080">
        <w:t xml:space="preserve">The </w:t>
      </w:r>
      <w:r w:rsidR="007369D4" w:rsidRPr="00091080">
        <w:t xml:space="preserve">NIHRC </w:t>
      </w:r>
      <w:r w:rsidRPr="00091080">
        <w:t>refers the Committee to its advice on the Criminal Justice (Sentencing etc) Bill wherein it called on the Committee to ensure that all protected characteristics are recognised within the law and protected in practice.</w:t>
      </w:r>
      <w:r w:rsidR="00126E36" w:rsidRPr="00091080">
        <w:rPr>
          <w:rStyle w:val="FootnoteReference"/>
        </w:rPr>
        <w:footnoteReference w:id="18"/>
      </w:r>
    </w:p>
    <w:p w14:paraId="1789CEB4" w14:textId="77777777" w:rsidR="001818B1" w:rsidRPr="00091080" w:rsidRDefault="001818B1" w:rsidP="00CA4A64">
      <w:pPr>
        <w:pStyle w:val="ListParagraph"/>
        <w:ind w:hanging="720"/>
      </w:pPr>
    </w:p>
    <w:p w14:paraId="20592915" w14:textId="5CF44DED" w:rsidR="001818B1" w:rsidRPr="00091080" w:rsidRDefault="001818B1" w:rsidP="00CA4A64">
      <w:pPr>
        <w:pStyle w:val="ListParagraph"/>
        <w:numPr>
          <w:ilvl w:val="0"/>
          <w:numId w:val="25"/>
        </w:numPr>
        <w:ind w:hanging="720"/>
        <w:rPr>
          <w:b/>
          <w:bCs/>
        </w:rPr>
      </w:pPr>
      <w:r w:rsidRPr="00091080">
        <w:rPr>
          <w:b/>
          <w:bCs/>
        </w:rPr>
        <w:t xml:space="preserve">The </w:t>
      </w:r>
      <w:r w:rsidR="00F00D46" w:rsidRPr="00091080">
        <w:rPr>
          <w:b/>
          <w:bCs/>
        </w:rPr>
        <w:t xml:space="preserve">NIHRC recommends that </w:t>
      </w:r>
      <w:r w:rsidRPr="00091080">
        <w:rPr>
          <w:b/>
          <w:bCs/>
        </w:rPr>
        <w:t xml:space="preserve">the Committee </w:t>
      </w:r>
      <w:r w:rsidR="00F00D46" w:rsidRPr="00091080">
        <w:rPr>
          <w:b/>
          <w:bCs/>
        </w:rPr>
        <w:t xml:space="preserve">for Justice </w:t>
      </w:r>
      <w:r w:rsidR="00DC712F" w:rsidRPr="00091080">
        <w:rPr>
          <w:b/>
          <w:bCs/>
        </w:rPr>
        <w:t xml:space="preserve">refers </w:t>
      </w:r>
      <w:r w:rsidRPr="00091080">
        <w:rPr>
          <w:b/>
          <w:bCs/>
        </w:rPr>
        <w:t xml:space="preserve">to </w:t>
      </w:r>
      <w:r w:rsidR="00DC712F" w:rsidRPr="00091080">
        <w:rPr>
          <w:b/>
          <w:bCs/>
        </w:rPr>
        <w:t>the NIHRC</w:t>
      </w:r>
      <w:r w:rsidR="00B92083" w:rsidRPr="00091080">
        <w:rPr>
          <w:b/>
          <w:bCs/>
        </w:rPr>
        <w:t>’s previous</w:t>
      </w:r>
      <w:r w:rsidRPr="00091080">
        <w:rPr>
          <w:b/>
          <w:bCs/>
        </w:rPr>
        <w:t xml:space="preserve"> advice on the Criminal Justice (Sentencing etc) Bill </w:t>
      </w:r>
      <w:r w:rsidR="00AC3067" w:rsidRPr="00091080">
        <w:rPr>
          <w:b/>
          <w:bCs/>
        </w:rPr>
        <w:t>which should be read together with this advice, noting that the two legislative frameworks are directed at similar harms.</w:t>
      </w:r>
    </w:p>
    <w:p w14:paraId="19D180AE" w14:textId="77777777" w:rsidR="00E11AB3" w:rsidRPr="00091080" w:rsidRDefault="00E11AB3" w:rsidP="00CA4A64">
      <w:pPr>
        <w:pStyle w:val="ListParagraph"/>
        <w:ind w:hanging="720"/>
      </w:pPr>
    </w:p>
    <w:p w14:paraId="744B45FE" w14:textId="1FB5B3FA" w:rsidR="001C2CC1" w:rsidRPr="00091080" w:rsidRDefault="00F434B4" w:rsidP="00C43C9F">
      <w:pPr>
        <w:pStyle w:val="ListParagraph"/>
        <w:numPr>
          <w:ilvl w:val="0"/>
          <w:numId w:val="25"/>
        </w:numPr>
        <w:ind w:hanging="720"/>
        <w:rPr>
          <w:rFonts w:eastAsia="Calibri"/>
          <w:color w:val="000000"/>
        </w:rPr>
      </w:pPr>
      <w:r w:rsidRPr="00091080">
        <w:rPr>
          <w:rFonts w:eastAsia="Calibri"/>
          <w:color w:val="000000"/>
        </w:rPr>
        <w:t xml:space="preserve">The NIHRC considers that the EU Victims’ Directive (2012) and </w:t>
      </w:r>
      <w:r w:rsidRPr="00091080">
        <w:t xml:space="preserve">EU Human Trafficking Directive (2011) </w:t>
      </w:r>
      <w:r w:rsidRPr="00091080">
        <w:rPr>
          <w:rFonts w:eastAsia="Calibri"/>
          <w:color w:val="000000"/>
        </w:rPr>
        <w:t xml:space="preserve">continue to set minimum standards in NI as it bound the UK before Brexit and protects rights falling within the ambit of the </w:t>
      </w:r>
      <w:r w:rsidR="00B57BE9" w:rsidRPr="00091080">
        <w:rPr>
          <w:rFonts w:eastAsia="Calibri"/>
          <w:color w:val="000000"/>
        </w:rPr>
        <w:t>Rights Safeguards and Equality of Opportunity (</w:t>
      </w:r>
      <w:r w:rsidRPr="00091080">
        <w:rPr>
          <w:rFonts w:eastAsia="Calibri"/>
          <w:color w:val="000000"/>
        </w:rPr>
        <w:t>RSEO</w:t>
      </w:r>
      <w:r w:rsidR="00B57BE9" w:rsidRPr="00091080">
        <w:rPr>
          <w:rFonts w:eastAsia="Calibri"/>
          <w:color w:val="000000"/>
        </w:rPr>
        <w:t>)</w:t>
      </w:r>
      <w:r w:rsidRPr="00091080">
        <w:rPr>
          <w:rFonts w:eastAsia="Calibri"/>
          <w:color w:val="000000"/>
        </w:rPr>
        <w:t xml:space="preserve"> chapter of the Belfast (Good Friday) Agreement</w:t>
      </w:r>
      <w:r w:rsidR="00B57BE9" w:rsidRPr="00091080">
        <w:rPr>
          <w:rFonts w:eastAsia="Calibri"/>
          <w:color w:val="000000"/>
        </w:rPr>
        <w:t xml:space="preserve"> 1998</w:t>
      </w:r>
      <w:r w:rsidRPr="00091080">
        <w:rPr>
          <w:rFonts w:eastAsia="Calibri"/>
          <w:color w:val="000000"/>
        </w:rPr>
        <w:t xml:space="preserve">, which includes commitments to civil rights, equality and victims of crime. </w:t>
      </w:r>
      <w:r w:rsidR="001C2CC1" w:rsidRPr="00091080">
        <w:t xml:space="preserve">The EU Victims’ Directive (2012) </w:t>
      </w:r>
      <w:r w:rsidR="00772928" w:rsidRPr="00091080">
        <w:t xml:space="preserve">requires measures </w:t>
      </w:r>
      <w:r w:rsidR="003C3579" w:rsidRPr="00091080">
        <w:t xml:space="preserve">to </w:t>
      </w:r>
      <w:r w:rsidR="00FD605E" w:rsidRPr="00091080">
        <w:t xml:space="preserve">be made available to </w:t>
      </w:r>
      <w:r w:rsidR="006D7BC7" w:rsidRPr="00091080">
        <w:t xml:space="preserve">support </w:t>
      </w:r>
      <w:r w:rsidR="00FD605E" w:rsidRPr="00091080">
        <w:t>victims with special protection needs</w:t>
      </w:r>
      <w:r w:rsidR="009A5797" w:rsidRPr="00091080">
        <w:rPr>
          <w:rStyle w:val="FootnoteReference"/>
        </w:rPr>
        <w:footnoteReference w:id="19"/>
      </w:r>
      <w:r w:rsidR="00FD605E" w:rsidRPr="00091080">
        <w:t xml:space="preserve"> </w:t>
      </w:r>
      <w:r w:rsidR="00550D48" w:rsidRPr="00091080">
        <w:t xml:space="preserve">due to their </w:t>
      </w:r>
      <w:r w:rsidR="00F226BF" w:rsidRPr="00091080">
        <w:t>particular vulnerability to secondary and repeat victimisation, to intimidation and to retaliation.</w:t>
      </w:r>
      <w:r w:rsidR="00A9254D" w:rsidRPr="00091080">
        <w:rPr>
          <w:rStyle w:val="FootnoteReference"/>
        </w:rPr>
        <w:footnoteReference w:id="20"/>
      </w:r>
      <w:r w:rsidR="00A93DA9" w:rsidRPr="00091080">
        <w:t xml:space="preserve"> </w:t>
      </w:r>
      <w:r w:rsidR="002E63D0" w:rsidRPr="00091080">
        <w:t>This should include measures to avoid visual contact between victims and offenders including during the giving of evidence, by appropriate means including the use of communication technology</w:t>
      </w:r>
      <w:r w:rsidR="00F25DC8" w:rsidRPr="00091080">
        <w:t>.</w:t>
      </w:r>
      <w:r w:rsidR="005932B8" w:rsidRPr="00091080">
        <w:rPr>
          <w:rStyle w:val="FootnoteReference"/>
        </w:rPr>
        <w:footnoteReference w:id="21"/>
      </w:r>
      <w:r w:rsidR="00516058" w:rsidRPr="00091080">
        <w:t xml:space="preserve"> The EU Human Trafficking Directive (2011) </w:t>
      </w:r>
      <w:r w:rsidR="004F479A" w:rsidRPr="00091080">
        <w:t>provides similar protections against visual contact between victim</w:t>
      </w:r>
      <w:r w:rsidR="006870CA" w:rsidRPr="00091080">
        <w:t>s</w:t>
      </w:r>
      <w:r w:rsidR="004F479A" w:rsidRPr="00091080">
        <w:t xml:space="preserve"> and </w:t>
      </w:r>
      <w:r w:rsidR="00515ABC" w:rsidRPr="00091080">
        <w:t>defendants</w:t>
      </w:r>
      <w:r w:rsidR="00023BC1" w:rsidRPr="00091080">
        <w:rPr>
          <w:rStyle w:val="FootnoteReference"/>
        </w:rPr>
        <w:footnoteReference w:id="22"/>
      </w:r>
      <w:r w:rsidR="006870CA" w:rsidRPr="00091080">
        <w:t xml:space="preserve"> a</w:t>
      </w:r>
      <w:r w:rsidR="00FB679B" w:rsidRPr="00091080">
        <w:t xml:space="preserve">nd requires that victims are not subjected to </w:t>
      </w:r>
      <w:r w:rsidR="00932658" w:rsidRPr="00091080">
        <w:t>un</w:t>
      </w:r>
      <w:r w:rsidR="009C70B7" w:rsidRPr="00091080">
        <w:t>necessary repe</w:t>
      </w:r>
      <w:r w:rsidR="00A83598" w:rsidRPr="00091080">
        <w:t>ti</w:t>
      </w:r>
      <w:r w:rsidR="009C70B7" w:rsidRPr="00091080">
        <w:t>tion of interviews during in</w:t>
      </w:r>
      <w:r w:rsidR="003055E6" w:rsidRPr="00091080">
        <w:t>vestigation, prosecution or trial</w:t>
      </w:r>
      <w:r w:rsidR="00D95060" w:rsidRPr="00091080">
        <w:t>.</w:t>
      </w:r>
      <w:r w:rsidR="00AF17F8" w:rsidRPr="00091080">
        <w:rPr>
          <w:rStyle w:val="FootnoteReference"/>
        </w:rPr>
        <w:footnoteReference w:id="23"/>
      </w:r>
      <w:r w:rsidR="00D95060" w:rsidRPr="00091080">
        <w:t xml:space="preserve"> </w:t>
      </w:r>
      <w:r w:rsidR="00515ABC" w:rsidRPr="00091080">
        <w:t xml:space="preserve"> </w:t>
      </w:r>
      <w:r w:rsidR="00C23209" w:rsidRPr="00091080">
        <w:t xml:space="preserve">The enduring relevance of </w:t>
      </w:r>
      <w:r w:rsidRPr="00091080">
        <w:t xml:space="preserve">Windsor Framework Article 2 and </w:t>
      </w:r>
      <w:r w:rsidR="00C23209" w:rsidRPr="00091080">
        <w:t xml:space="preserve">both </w:t>
      </w:r>
      <w:r w:rsidRPr="00091080">
        <w:t>EU D</w:t>
      </w:r>
      <w:r w:rsidR="00C23209" w:rsidRPr="00091080">
        <w:t xml:space="preserve">irectives to </w:t>
      </w:r>
      <w:r w:rsidR="002A2A2A" w:rsidRPr="00091080">
        <w:t xml:space="preserve">the protection of victims in </w:t>
      </w:r>
      <w:r w:rsidR="00C23209" w:rsidRPr="00091080">
        <w:t>NI is outlined in section five of this submission.</w:t>
      </w:r>
    </w:p>
    <w:p w14:paraId="06C90D79" w14:textId="77777777" w:rsidR="001C2CC1" w:rsidRPr="00091080" w:rsidRDefault="001C2CC1" w:rsidP="00CA4A64">
      <w:pPr>
        <w:pStyle w:val="ListParagraph"/>
        <w:ind w:hanging="720"/>
      </w:pPr>
    </w:p>
    <w:p w14:paraId="37EBBEC0" w14:textId="1F6156CA" w:rsidR="00E11AB3" w:rsidRPr="00091080" w:rsidRDefault="00E11AB3" w:rsidP="00CA4A64">
      <w:pPr>
        <w:pStyle w:val="ListParagraph"/>
        <w:numPr>
          <w:ilvl w:val="0"/>
          <w:numId w:val="25"/>
        </w:numPr>
        <w:ind w:hanging="720"/>
      </w:pPr>
      <w:r w:rsidRPr="00091080">
        <w:t>In his review of Hate Crime legislation in NI, Judge Marrinan recommended that:</w:t>
      </w:r>
    </w:p>
    <w:p w14:paraId="6A0193D4" w14:textId="77777777" w:rsidR="00E11AB3" w:rsidRPr="00091080" w:rsidRDefault="00E11AB3" w:rsidP="00CA4A64">
      <w:pPr>
        <w:pStyle w:val="ListParagraph"/>
        <w:ind w:hanging="720"/>
      </w:pPr>
    </w:p>
    <w:p w14:paraId="5991222D" w14:textId="77777777" w:rsidR="00E11AB3" w:rsidRPr="00091080" w:rsidRDefault="00E11AB3" w:rsidP="00CA4A64">
      <w:pPr>
        <w:pStyle w:val="Quote"/>
      </w:pPr>
      <w:r w:rsidRPr="00091080">
        <w:t>Complainants in criminal proceedings involving the proposed aggravated offences or stirring up offences should automatically be eligible for consideration of special measures when giving evidence, including the use of live links or screens.</w:t>
      </w:r>
      <w:r w:rsidRPr="00091080">
        <w:rPr>
          <w:rStyle w:val="FootnoteReference"/>
        </w:rPr>
        <w:footnoteReference w:id="24"/>
      </w:r>
    </w:p>
    <w:p w14:paraId="519963CE" w14:textId="77777777" w:rsidR="00787658" w:rsidRPr="00091080" w:rsidRDefault="00787658" w:rsidP="00761D63">
      <w:pPr>
        <w:pStyle w:val="ListParagraph"/>
        <w:spacing w:line="276" w:lineRule="auto"/>
        <w:ind w:left="993" w:hanging="720"/>
      </w:pPr>
    </w:p>
    <w:p w14:paraId="3CF802C0" w14:textId="3F009D48" w:rsidR="007E66EF" w:rsidRPr="00091080" w:rsidRDefault="285D61DA" w:rsidP="00CA4A64">
      <w:pPr>
        <w:pStyle w:val="ListParagraph"/>
        <w:numPr>
          <w:ilvl w:val="0"/>
          <w:numId w:val="25"/>
        </w:numPr>
        <w:ind w:hanging="720"/>
      </w:pPr>
      <w:r w:rsidRPr="00091080">
        <w:t>T</w:t>
      </w:r>
      <w:r w:rsidR="003B77C5" w:rsidRPr="00091080">
        <w:t xml:space="preserve">he </w:t>
      </w:r>
      <w:proofErr w:type="spellStart"/>
      <w:r w:rsidR="00A766D1" w:rsidRPr="00091080">
        <w:t>CoE</w:t>
      </w:r>
      <w:proofErr w:type="spellEnd"/>
      <w:r w:rsidR="003B77C5" w:rsidRPr="00091080">
        <w:t xml:space="preserve"> Committee of </w:t>
      </w:r>
      <w:r w:rsidR="001D6D90" w:rsidRPr="00091080">
        <w:t>Minister</w:t>
      </w:r>
      <w:r w:rsidR="08409F45" w:rsidRPr="00091080">
        <w:t>’</w:t>
      </w:r>
      <w:r w:rsidR="001D6D90" w:rsidRPr="00091080">
        <w:t>s</w:t>
      </w:r>
      <w:r w:rsidR="71969A01" w:rsidRPr="00091080">
        <w:t xml:space="preserve"> Recommendation to Member States on</w:t>
      </w:r>
      <w:r w:rsidR="001D6D90" w:rsidRPr="00091080">
        <w:t xml:space="preserve"> </w:t>
      </w:r>
      <w:r w:rsidR="38AA09C6" w:rsidRPr="00091080">
        <w:t xml:space="preserve">combating hate crime issues </w:t>
      </w:r>
      <w:r w:rsidR="00D961F9" w:rsidRPr="00091080">
        <w:t>stipulates that “</w:t>
      </w:r>
      <w:r w:rsidR="00DC178A" w:rsidRPr="00091080">
        <w:t xml:space="preserve">member States should provide civil society organisations with appropriate funding and resources in order that they can </w:t>
      </w:r>
      <w:proofErr w:type="gramStart"/>
      <w:r w:rsidR="00DC178A" w:rsidRPr="00091080">
        <w:t>provide,</w:t>
      </w:r>
      <w:proofErr w:type="gramEnd"/>
      <w:r w:rsidR="00DC178A" w:rsidRPr="00091080">
        <w:t xml:space="preserve"> as necessary, local, targeted and specialised support to victims of hate crime”.</w:t>
      </w:r>
      <w:r w:rsidR="001D6D90" w:rsidRPr="00091080">
        <w:rPr>
          <w:rStyle w:val="FootnoteReference"/>
        </w:rPr>
        <w:footnoteReference w:id="25"/>
      </w:r>
    </w:p>
    <w:p w14:paraId="355E54BF" w14:textId="77777777" w:rsidR="00A3478A" w:rsidRPr="00091080" w:rsidRDefault="00A3478A" w:rsidP="00A3478A">
      <w:pPr>
        <w:pStyle w:val="ListParagraph"/>
      </w:pPr>
    </w:p>
    <w:p w14:paraId="39BF13C9" w14:textId="77777777" w:rsidR="00A3478A" w:rsidRPr="00091080" w:rsidRDefault="00A3478A" w:rsidP="00A3478A">
      <w:pPr>
        <w:pStyle w:val="ListParagraph"/>
        <w:numPr>
          <w:ilvl w:val="0"/>
          <w:numId w:val="25"/>
        </w:numPr>
        <w:spacing w:line="276" w:lineRule="auto"/>
        <w:ind w:hanging="720"/>
      </w:pPr>
      <w:r w:rsidRPr="00091080">
        <w:t>The Hate Crime Advocacy Service currently provides tailored support for victims of hate crime, including supporting victims as they move through the criminal justice system.</w:t>
      </w:r>
      <w:r w:rsidRPr="00091080">
        <w:rPr>
          <w:rStyle w:val="FootnoteReference"/>
        </w:rPr>
        <w:footnoteReference w:id="26"/>
      </w:r>
      <w:r w:rsidRPr="00091080">
        <w:t xml:space="preserve"> The Hate Crime Advocacy Service has not been placed on a permanent statutory footing. The NIHRC agrees with Judge Marrinan that it would benefit victims and better meet the State’s human rights obligations if it were.</w:t>
      </w:r>
    </w:p>
    <w:p w14:paraId="7266CF85" w14:textId="77777777" w:rsidR="00A3478A" w:rsidRPr="00091080" w:rsidRDefault="00A3478A" w:rsidP="00A3478A">
      <w:pPr>
        <w:ind w:hanging="720"/>
        <w:rPr>
          <w:b/>
          <w:bCs/>
        </w:rPr>
      </w:pPr>
    </w:p>
    <w:p w14:paraId="6D3428C9" w14:textId="77777777" w:rsidR="00A3478A" w:rsidRPr="00091080" w:rsidRDefault="00A3478A" w:rsidP="00A3478A">
      <w:pPr>
        <w:pStyle w:val="ListParagraph"/>
        <w:numPr>
          <w:ilvl w:val="0"/>
          <w:numId w:val="25"/>
        </w:numPr>
        <w:spacing w:line="276" w:lineRule="auto"/>
        <w:ind w:hanging="720"/>
      </w:pPr>
      <w:r w:rsidRPr="00091080">
        <w:rPr>
          <w:b/>
          <w:bCs/>
        </w:rPr>
        <w:t xml:space="preserve">The NIHRC recommends the establishment of the Hate Crime Advocacy Service on a statutory footing. Specialised advocates to support victims with any or all protected characteristics, including those that might be included, should be available. </w:t>
      </w:r>
    </w:p>
    <w:p w14:paraId="2D2CEF9C" w14:textId="77777777" w:rsidR="00AC5895" w:rsidRPr="00091080" w:rsidRDefault="00AC5895" w:rsidP="00761D63">
      <w:pPr>
        <w:ind w:hanging="720"/>
      </w:pPr>
    </w:p>
    <w:p w14:paraId="4AFFBE09" w14:textId="117719D0" w:rsidR="00AC5895" w:rsidRPr="00091080" w:rsidRDefault="00E216CD" w:rsidP="00565C64">
      <w:pPr>
        <w:pStyle w:val="Heading1"/>
      </w:pPr>
      <w:bookmarkStart w:id="11" w:name="_Toc242693109"/>
      <w:r w:rsidRPr="00091080">
        <w:t>Clause 25 – Cross-Examination</w:t>
      </w:r>
      <w:bookmarkEnd w:id="11"/>
    </w:p>
    <w:p w14:paraId="3809141D" w14:textId="6719C1C7" w:rsidR="52A4361C" w:rsidRPr="00091080" w:rsidRDefault="52A4361C" w:rsidP="52A4361C"/>
    <w:p w14:paraId="0911C933" w14:textId="4AB32682" w:rsidR="78132EA1" w:rsidRPr="00091080" w:rsidRDefault="67820DE5" w:rsidP="00CA4A64">
      <w:pPr>
        <w:pStyle w:val="ListParagraph"/>
        <w:numPr>
          <w:ilvl w:val="0"/>
          <w:numId w:val="20"/>
        </w:numPr>
        <w:spacing w:after="160"/>
        <w:ind w:left="709" w:hanging="709"/>
      </w:pPr>
      <w:r w:rsidRPr="00091080">
        <w:rPr>
          <w:rFonts w:eastAsia="Verdana" w:cs="Verdana"/>
        </w:rPr>
        <w:t>Clause 25 a</w:t>
      </w:r>
      <w:r w:rsidR="005A414F" w:rsidRPr="00091080">
        <w:rPr>
          <w:rFonts w:eastAsia="Verdana" w:cs="Verdana"/>
        </w:rPr>
        <w:t xml:space="preserve">mends the Criminal </w:t>
      </w:r>
      <w:r w:rsidR="001C19A6" w:rsidRPr="00091080">
        <w:rPr>
          <w:rFonts w:eastAsia="Verdana" w:cs="Verdana"/>
        </w:rPr>
        <w:t>Evidence (</w:t>
      </w:r>
      <w:r w:rsidR="007368E4" w:rsidRPr="00091080">
        <w:rPr>
          <w:rFonts w:eastAsia="Verdana" w:cs="Verdana"/>
        </w:rPr>
        <w:t>NI) Order 199</w:t>
      </w:r>
      <w:r w:rsidR="0040393C" w:rsidRPr="00091080">
        <w:rPr>
          <w:rFonts w:eastAsia="Verdana" w:cs="Verdana"/>
        </w:rPr>
        <w:t>9 to add</w:t>
      </w:r>
      <w:r w:rsidRPr="00091080">
        <w:rPr>
          <w:rFonts w:eastAsia="Verdana" w:cs="Verdana"/>
        </w:rPr>
        <w:t xml:space="preserve"> persons charged with an offence involving aggravation by hostility, to those who are prevented from cross examining complainants, in person.</w:t>
      </w:r>
      <w:r w:rsidR="00BA0F86" w:rsidRPr="00091080">
        <w:rPr>
          <w:rStyle w:val="FootnoteReference"/>
          <w:rFonts w:eastAsia="Verdana" w:cs="Verdana"/>
        </w:rPr>
        <w:footnoteReference w:id="27"/>
      </w:r>
      <w:r w:rsidR="00047FD1" w:rsidRPr="00091080">
        <w:t xml:space="preserve"> </w:t>
      </w:r>
    </w:p>
    <w:p w14:paraId="1789E48F" w14:textId="77777777" w:rsidR="00151549" w:rsidRPr="00091080" w:rsidRDefault="00151549" w:rsidP="00CA4A64">
      <w:pPr>
        <w:pStyle w:val="ListParagraph"/>
        <w:spacing w:after="160"/>
        <w:ind w:left="709"/>
      </w:pPr>
    </w:p>
    <w:p w14:paraId="23A405CC" w14:textId="34ED7ED2" w:rsidR="002D28BA" w:rsidRPr="00091080" w:rsidRDefault="00151549" w:rsidP="00CA4A64">
      <w:pPr>
        <w:pStyle w:val="ListParagraph"/>
        <w:numPr>
          <w:ilvl w:val="0"/>
          <w:numId w:val="20"/>
        </w:numPr>
        <w:spacing w:after="160"/>
        <w:ind w:left="709" w:hanging="709"/>
      </w:pPr>
      <w:r w:rsidRPr="00091080">
        <w:t xml:space="preserve">Section 26 of the Criminal Evidence (NI) Order 1999 </w:t>
      </w:r>
      <w:r w:rsidR="255C9B72" w:rsidRPr="00091080">
        <w:t xml:space="preserve">provides for circumstances in which a defendant has been </w:t>
      </w:r>
      <w:r w:rsidR="255C9B72" w:rsidRPr="00091080">
        <w:rPr>
          <w:rFonts w:eastAsia="Verdana" w:cs="Verdana"/>
        </w:rPr>
        <w:t xml:space="preserve">prevented from cross examining complainants, in person. </w:t>
      </w:r>
      <w:r w:rsidR="07AB4EBC" w:rsidRPr="00091080">
        <w:rPr>
          <w:rFonts w:eastAsia="Verdana" w:cs="Verdana"/>
        </w:rPr>
        <w:t xml:space="preserve">In circumstances where the defendant </w:t>
      </w:r>
      <w:r w:rsidR="07AB4EBC" w:rsidRPr="00091080">
        <w:rPr>
          <w:rFonts w:eastAsia="Verdana" w:cs="Verdana"/>
        </w:rPr>
        <w:lastRenderedPageBreak/>
        <w:t xml:space="preserve">has not appointed a legal representative </w:t>
      </w:r>
      <w:r w:rsidR="00937048" w:rsidRPr="00091080">
        <w:t>for the purposes of cross examining a witness, the Court must determine “</w:t>
      </w:r>
      <w:r w:rsidR="006A631F" w:rsidRPr="00091080">
        <w:t>whether it is necessary in the interests of justice for the witness to be cross-examined by a legal representative appointed to represent the interests of the accused”.</w:t>
      </w:r>
      <w:r w:rsidRPr="00091080">
        <w:rPr>
          <w:rStyle w:val="FootnoteReference"/>
        </w:rPr>
        <w:footnoteReference w:id="28"/>
      </w:r>
      <w:r w:rsidR="006A631F" w:rsidRPr="00091080">
        <w:t xml:space="preserve">  Where the Court deems it necessary to cross-examine a witness, </w:t>
      </w:r>
      <w:r w:rsidR="009A60EE" w:rsidRPr="00091080">
        <w:t>“the court must appoint a qualified legal representative (chosen by the court) to cross-examine the witness in the interests of the accused”.</w:t>
      </w:r>
      <w:r w:rsidRPr="00091080">
        <w:rPr>
          <w:rStyle w:val="FootnoteReference"/>
        </w:rPr>
        <w:footnoteReference w:id="29"/>
      </w:r>
    </w:p>
    <w:p w14:paraId="0B708894" w14:textId="77777777" w:rsidR="00202974" w:rsidRPr="00091080" w:rsidRDefault="00202974" w:rsidP="00CA4A64">
      <w:pPr>
        <w:pStyle w:val="ListParagraph"/>
      </w:pPr>
    </w:p>
    <w:p w14:paraId="11637F92" w14:textId="77777777" w:rsidR="000F200C" w:rsidRPr="00091080" w:rsidRDefault="000F200C" w:rsidP="000F200C">
      <w:pPr>
        <w:pStyle w:val="ListParagraph"/>
        <w:numPr>
          <w:ilvl w:val="0"/>
          <w:numId w:val="20"/>
        </w:numPr>
        <w:spacing w:after="160" w:line="276" w:lineRule="auto"/>
        <w:ind w:left="709" w:hanging="709"/>
      </w:pPr>
      <w:r w:rsidRPr="00091080">
        <w:rPr>
          <w:rFonts w:eastAsia="Verdana" w:cs="Verdana"/>
        </w:rPr>
        <w:t>Clause 25 means offences involving aggravation by hostility are treated in the same way as domestic abuse offences, sexual offences, stalking offences and offences against children. This was recommended by Judge Marrinan in his Review of Hate Crime Legislation in NI</w:t>
      </w:r>
      <w:r w:rsidRPr="00091080">
        <w:t>.</w:t>
      </w:r>
      <w:r w:rsidRPr="00091080">
        <w:rPr>
          <w:rStyle w:val="FootnoteReference"/>
        </w:rPr>
        <w:footnoteReference w:id="30"/>
      </w:r>
      <w:r w:rsidRPr="00091080">
        <w:rPr>
          <w:rFonts w:eastAsia="Verdana" w:cs="Verdana"/>
        </w:rPr>
        <w:t xml:space="preserve"> The NIHRC agrees.</w:t>
      </w:r>
    </w:p>
    <w:p w14:paraId="5B215908" w14:textId="62CDA11B" w:rsidR="78132EA1" w:rsidRPr="00091080" w:rsidRDefault="78132EA1" w:rsidP="00CA4A64">
      <w:pPr>
        <w:pStyle w:val="ListParagraph"/>
      </w:pPr>
    </w:p>
    <w:p w14:paraId="7EE68C91" w14:textId="77777777" w:rsidR="005440F2" w:rsidRPr="00091080" w:rsidRDefault="005440F2" w:rsidP="005440F2">
      <w:pPr>
        <w:pStyle w:val="ListParagraph"/>
        <w:numPr>
          <w:ilvl w:val="0"/>
          <w:numId w:val="20"/>
        </w:numPr>
        <w:spacing w:after="160" w:line="276" w:lineRule="auto"/>
        <w:ind w:left="709" w:hanging="709"/>
      </w:pPr>
      <w:r w:rsidRPr="00091080">
        <w:rPr>
          <w:rFonts w:eastAsia="Verdana" w:cs="Verdana"/>
        </w:rPr>
        <w:t>Human rights standards are clear that an effective remedy and access to justice require a victim-centred approach.</w:t>
      </w:r>
      <w:r w:rsidRPr="00091080">
        <w:rPr>
          <w:rStyle w:val="FootnoteReference"/>
          <w:rFonts w:eastAsia="Verdana" w:cs="Verdana"/>
        </w:rPr>
        <w:footnoteReference w:id="31"/>
      </w:r>
      <w:r w:rsidRPr="00091080">
        <w:rPr>
          <w:rFonts w:eastAsia="Verdana" w:cs="Verdana"/>
        </w:rPr>
        <w:t xml:space="preserve"> The rights of victims who may experience secondary victimisation by the criminal justice system engages Article 3 and Article 8 of the ECHR. The ECtHR has held that violation of articles 3 and 8 were present in one case where a victim was subjected to cross examination by a defendant.</w:t>
      </w:r>
      <w:r w:rsidRPr="00091080">
        <w:rPr>
          <w:rStyle w:val="FootnoteReference"/>
          <w:rFonts w:eastAsia="Verdana" w:cs="Verdana"/>
        </w:rPr>
        <w:footnoteReference w:id="32"/>
      </w:r>
      <w:r w:rsidRPr="00091080">
        <w:t xml:space="preserve"> </w:t>
      </w:r>
    </w:p>
    <w:p w14:paraId="2FDA9DF4" w14:textId="77777777" w:rsidR="00ED48C4" w:rsidRPr="00091080" w:rsidRDefault="00ED48C4" w:rsidP="00ED48C4">
      <w:pPr>
        <w:pStyle w:val="ListParagraph"/>
      </w:pPr>
    </w:p>
    <w:p w14:paraId="5F92EBF5" w14:textId="2A09340F" w:rsidR="00B25125" w:rsidRPr="00091080" w:rsidRDefault="00B25125" w:rsidP="00ED48C4">
      <w:pPr>
        <w:pStyle w:val="ListParagraph"/>
        <w:numPr>
          <w:ilvl w:val="0"/>
          <w:numId w:val="20"/>
        </w:numPr>
        <w:spacing w:after="160"/>
        <w:ind w:left="709" w:hanging="709"/>
      </w:pPr>
      <w:r w:rsidRPr="00091080">
        <w:t xml:space="preserve">The EU Victims’ Directive </w:t>
      </w:r>
      <w:r w:rsidR="00600A92" w:rsidRPr="00091080">
        <w:t>(</w:t>
      </w:r>
      <w:r w:rsidRPr="00091080">
        <w:t>2012</w:t>
      </w:r>
      <w:r w:rsidR="00600A92" w:rsidRPr="00091080">
        <w:t>)</w:t>
      </w:r>
      <w:r w:rsidRPr="00091080">
        <w:t xml:space="preserve"> </w:t>
      </w:r>
      <w:r w:rsidR="00035C27" w:rsidRPr="00091080">
        <w:t xml:space="preserve">requires </w:t>
      </w:r>
      <w:r w:rsidR="001222E8" w:rsidRPr="00091080">
        <w:t xml:space="preserve">the </w:t>
      </w:r>
      <w:r w:rsidR="00AA2DFA" w:rsidRPr="00091080">
        <w:t>St</w:t>
      </w:r>
      <w:r w:rsidR="001222E8" w:rsidRPr="00091080">
        <w:t>ate to ensure that measures are available to protect victims and their family members from secondary and repeat victimisation, from intimidation and from retaliation, including against the risk of emotional or psychological harm, and to protect the dignity of victims during questioning and when testifying.</w:t>
      </w:r>
      <w:r w:rsidR="00856563" w:rsidRPr="00091080">
        <w:rPr>
          <w:rStyle w:val="FootnoteReference"/>
        </w:rPr>
        <w:footnoteReference w:id="33"/>
      </w:r>
      <w:r w:rsidR="006C0CCE" w:rsidRPr="00091080">
        <w:t xml:space="preserve"> This should include measures to avoid contact between victims and their family members and the offender within courts</w:t>
      </w:r>
      <w:r w:rsidR="006C0CCE" w:rsidRPr="00091080">
        <w:rPr>
          <w:rStyle w:val="FootnoteReference"/>
        </w:rPr>
        <w:footnoteReference w:id="34"/>
      </w:r>
      <w:r w:rsidR="006C0CCE" w:rsidRPr="00091080">
        <w:t xml:space="preserve"> and visual contact between victims and offenders including during the giving of evidence, by appropriate means including the use of communication technology.</w:t>
      </w:r>
      <w:r w:rsidR="006C0CCE" w:rsidRPr="00091080">
        <w:rPr>
          <w:rStyle w:val="FootnoteReference"/>
        </w:rPr>
        <w:footnoteReference w:id="35"/>
      </w:r>
      <w:r w:rsidR="008A2955" w:rsidRPr="00091080">
        <w:t xml:space="preserve"> </w:t>
      </w:r>
      <w:r w:rsidR="005E60A0" w:rsidRPr="00091080">
        <w:t xml:space="preserve">The </w:t>
      </w:r>
      <w:r w:rsidR="00EE6791" w:rsidRPr="00091080">
        <w:lastRenderedPageBreak/>
        <w:t xml:space="preserve">EU </w:t>
      </w:r>
      <w:r w:rsidR="005E60A0" w:rsidRPr="00091080">
        <w:t xml:space="preserve">Directive requires the </w:t>
      </w:r>
      <w:r w:rsidR="007345FB" w:rsidRPr="00091080">
        <w:t>S</w:t>
      </w:r>
      <w:r w:rsidR="005E60A0" w:rsidRPr="00091080">
        <w:t xml:space="preserve">tate to ensure that, where the victim is a child, their best interests are </w:t>
      </w:r>
      <w:r w:rsidR="000F6CAD" w:rsidRPr="00091080">
        <w:t>the</w:t>
      </w:r>
      <w:r w:rsidR="005E60A0" w:rsidRPr="00091080">
        <w:t xml:space="preserve"> primary consideration</w:t>
      </w:r>
      <w:r w:rsidR="00EA32D2" w:rsidRPr="00091080">
        <w:t>.</w:t>
      </w:r>
      <w:r w:rsidR="005E60A0" w:rsidRPr="00091080">
        <w:rPr>
          <w:vertAlign w:val="superscript"/>
        </w:rPr>
        <w:footnoteReference w:id="36"/>
      </w:r>
      <w:r w:rsidR="005E60A0" w:rsidRPr="00091080">
        <w:t xml:space="preserve"> </w:t>
      </w:r>
      <w:r w:rsidR="00EA32D2" w:rsidRPr="00091080">
        <w:t>It also</w:t>
      </w:r>
      <w:r w:rsidR="005E60A0" w:rsidRPr="00091080">
        <w:t xml:space="preserve"> requires that child victims </w:t>
      </w:r>
      <w:r w:rsidR="00EA32D2" w:rsidRPr="00091080">
        <w:t>be</w:t>
      </w:r>
      <w:r w:rsidR="005E60A0" w:rsidRPr="00091080">
        <w:t xml:space="preserve"> presumed to have specific protection needs due to their vulnerability to secondary and repeat victimisation, to intimidation and to retaliation.</w:t>
      </w:r>
      <w:r w:rsidR="005E60A0" w:rsidRPr="00091080">
        <w:rPr>
          <w:vertAlign w:val="superscript"/>
        </w:rPr>
        <w:footnoteReference w:id="37"/>
      </w:r>
      <w:r w:rsidR="005E60A0" w:rsidRPr="00091080">
        <w:t xml:space="preserve"> It provides for additional supportive measures for child victims including that audiovisual interviews with the child may be used as evidence in criminal proceedings.</w:t>
      </w:r>
      <w:r w:rsidR="005E60A0" w:rsidRPr="00091080">
        <w:rPr>
          <w:vertAlign w:val="superscript"/>
        </w:rPr>
        <w:footnoteReference w:id="38"/>
      </w:r>
      <w:r w:rsidR="005E60A0" w:rsidRPr="00091080">
        <w:t xml:space="preserve"> </w:t>
      </w:r>
      <w:r w:rsidR="00C46D0C" w:rsidRPr="00091080">
        <w:t xml:space="preserve">The </w:t>
      </w:r>
      <w:r w:rsidR="00CD3AAD" w:rsidRPr="00091080">
        <w:t>continued</w:t>
      </w:r>
      <w:r w:rsidR="00C46D0C" w:rsidRPr="00091080">
        <w:t xml:space="preserve"> relevance of </w:t>
      </w:r>
      <w:r w:rsidR="00EE6791" w:rsidRPr="00091080">
        <w:t xml:space="preserve">Windsor Framework Article 2 and </w:t>
      </w:r>
      <w:r w:rsidR="00C46D0C" w:rsidRPr="00091080">
        <w:t xml:space="preserve">the EU Victims’ Directive </w:t>
      </w:r>
      <w:r w:rsidR="00BD58A8" w:rsidRPr="00091080">
        <w:t xml:space="preserve">(2012) </w:t>
      </w:r>
      <w:r w:rsidR="00C46D0C" w:rsidRPr="00091080">
        <w:t xml:space="preserve">to </w:t>
      </w:r>
      <w:r w:rsidR="00662230" w:rsidRPr="00091080">
        <w:t xml:space="preserve">the protection of victims of hate crime in </w:t>
      </w:r>
      <w:r w:rsidR="00C46D0C" w:rsidRPr="00091080">
        <w:t>NI is outlined in section five of this submission.</w:t>
      </w:r>
    </w:p>
    <w:p w14:paraId="39C83C94" w14:textId="77777777" w:rsidR="00732BDB" w:rsidRPr="00091080" w:rsidRDefault="00732BDB" w:rsidP="00CA4A64">
      <w:pPr>
        <w:pStyle w:val="ListParagraph"/>
        <w:rPr>
          <w:rFonts w:eastAsia="Verdana" w:cs="Verdana"/>
        </w:rPr>
      </w:pPr>
    </w:p>
    <w:p w14:paraId="682C98F0" w14:textId="77777777" w:rsidR="00904F71" w:rsidRPr="00091080" w:rsidRDefault="00C54C99">
      <w:pPr>
        <w:pStyle w:val="ListParagraph"/>
        <w:numPr>
          <w:ilvl w:val="0"/>
          <w:numId w:val="20"/>
        </w:numPr>
        <w:spacing w:after="160" w:line="276" w:lineRule="auto"/>
        <w:ind w:left="709" w:hanging="709"/>
      </w:pPr>
      <w:r w:rsidRPr="00091080">
        <w:rPr>
          <w:rFonts w:eastAsia="Verdana" w:cs="Verdana"/>
        </w:rPr>
        <w:t xml:space="preserve">A defendant’s right to a fair trial must be </w:t>
      </w:r>
      <w:proofErr w:type="gramStart"/>
      <w:r w:rsidRPr="00091080">
        <w:rPr>
          <w:rFonts w:eastAsia="Verdana" w:cs="Verdana"/>
        </w:rPr>
        <w:t>taken into account</w:t>
      </w:r>
      <w:proofErr w:type="gramEnd"/>
      <w:r w:rsidRPr="00091080">
        <w:rPr>
          <w:rFonts w:eastAsia="Verdana" w:cs="Verdana"/>
        </w:rPr>
        <w:t>. Article 6 ECHR provides “in the determination of his civil rights and obligations or of any criminal charge against him, everyone is entitled to a fair and public hearing within a reasonable time by an independent and impartial tribunal established by law”.</w:t>
      </w:r>
      <w:r w:rsidRPr="00091080">
        <w:rPr>
          <w:rStyle w:val="FootnoteReference"/>
          <w:rFonts w:eastAsia="Verdana" w:cs="Verdana"/>
        </w:rPr>
        <w:footnoteReference w:id="39"/>
      </w:r>
    </w:p>
    <w:p w14:paraId="491109CD" w14:textId="77777777" w:rsidR="00904F71" w:rsidRPr="00091080" w:rsidRDefault="00904F71" w:rsidP="00904F71">
      <w:pPr>
        <w:pStyle w:val="ListParagraph"/>
      </w:pPr>
    </w:p>
    <w:p w14:paraId="04635303" w14:textId="3CE7E3DC" w:rsidR="006E2ABC" w:rsidRPr="00091080" w:rsidRDefault="00B93140">
      <w:pPr>
        <w:pStyle w:val="ListParagraph"/>
        <w:numPr>
          <w:ilvl w:val="0"/>
          <w:numId w:val="20"/>
        </w:numPr>
        <w:spacing w:after="160" w:line="276" w:lineRule="auto"/>
        <w:ind w:left="709" w:hanging="709"/>
        <w:rPr>
          <w:rFonts w:eastAsia="Verdana" w:cs="Verdana"/>
        </w:rPr>
      </w:pPr>
      <w:r w:rsidRPr="00091080">
        <w:rPr>
          <w:rFonts w:eastAsia="Verdana" w:cs="Verdana"/>
        </w:rPr>
        <w:t>By Article 6 ECHR, a defendant in a criminal process has the right to choose whether to defend themselves in person or through a legal representative.</w:t>
      </w:r>
      <w:r w:rsidRPr="00091080">
        <w:rPr>
          <w:rStyle w:val="FootnoteReference"/>
          <w:rFonts w:eastAsia="Verdana" w:cs="Verdana"/>
        </w:rPr>
        <w:footnoteReference w:id="40"/>
      </w:r>
      <w:r w:rsidRPr="00091080">
        <w:rPr>
          <w:rFonts w:eastAsia="Verdana" w:cs="Verdana"/>
        </w:rPr>
        <w:t xml:space="preserve"> The ECtHR has held that this is not absolute and observed that there will be circumstances where a defendant’s right to choose to defend themselves must be limited in the interests of justice.</w:t>
      </w:r>
      <w:r w:rsidRPr="00091080">
        <w:rPr>
          <w:rStyle w:val="FootnoteReference"/>
          <w:rFonts w:eastAsia="Verdana" w:cs="Verdana"/>
        </w:rPr>
        <w:footnoteReference w:id="41"/>
      </w:r>
      <w:r w:rsidRPr="00091080">
        <w:rPr>
          <w:rFonts w:eastAsia="Verdana" w:cs="Verdana"/>
        </w:rPr>
        <w:t xml:space="preserve"> Those decisions, whether to allow or restrict cross-examination in person, will usually fall within the margin of appreciation afforded to State parties.</w:t>
      </w:r>
      <w:r w:rsidRPr="00091080">
        <w:rPr>
          <w:rStyle w:val="FootnoteReference"/>
          <w:rFonts w:eastAsia="Verdana" w:cs="Verdana"/>
        </w:rPr>
        <w:footnoteReference w:id="42"/>
      </w:r>
    </w:p>
    <w:p w14:paraId="7CC208FB" w14:textId="77777777" w:rsidR="00904F71" w:rsidRPr="00091080" w:rsidRDefault="00904F71" w:rsidP="00CA4A64">
      <w:pPr>
        <w:pStyle w:val="ListParagraph"/>
      </w:pPr>
    </w:p>
    <w:p w14:paraId="0C0E509F" w14:textId="77777777" w:rsidR="00BB0F26" w:rsidRPr="00091080" w:rsidRDefault="00BB0F26" w:rsidP="00BB0F26">
      <w:pPr>
        <w:pStyle w:val="ListParagraph"/>
        <w:numPr>
          <w:ilvl w:val="0"/>
          <w:numId w:val="20"/>
        </w:numPr>
        <w:spacing w:after="160" w:line="276" w:lineRule="auto"/>
        <w:ind w:left="709" w:hanging="709"/>
        <w:rPr>
          <w:rFonts w:eastAsia="Verdana" w:cs="Verdana"/>
        </w:rPr>
      </w:pPr>
      <w:r w:rsidRPr="00091080">
        <w:rPr>
          <w:rFonts w:eastAsia="Verdana" w:cs="Verdana"/>
        </w:rPr>
        <w:t xml:space="preserve">Article 6 ECHR requires that a fair and public hearing be held “within a reasonable time”, therefore the provision of defence representation for the purposes of cross examination should, as far as possible, avoid a delay in proceedings. It is important, however, to recall that procedures must be fair and consider all relevant factors. Speed alone is not a good reason to limit Article 6 rights. </w:t>
      </w:r>
    </w:p>
    <w:p w14:paraId="258743FE" w14:textId="77777777" w:rsidR="00F06802" w:rsidRPr="00091080" w:rsidRDefault="00F06802" w:rsidP="00CA4A64">
      <w:pPr>
        <w:pStyle w:val="ListParagraph"/>
        <w:spacing w:after="160"/>
        <w:ind w:left="709"/>
        <w:rPr>
          <w:rFonts w:eastAsia="Verdana" w:cs="Verdana"/>
        </w:rPr>
      </w:pPr>
    </w:p>
    <w:p w14:paraId="30AB3478" w14:textId="38118089" w:rsidR="00C5404E" w:rsidRPr="00091080" w:rsidRDefault="00C5404E" w:rsidP="00C5404E">
      <w:pPr>
        <w:pStyle w:val="ListParagraph"/>
        <w:numPr>
          <w:ilvl w:val="0"/>
          <w:numId w:val="20"/>
        </w:numPr>
        <w:spacing w:after="160" w:line="276" w:lineRule="auto"/>
        <w:ind w:left="709" w:hanging="709"/>
      </w:pPr>
      <w:r w:rsidRPr="00091080">
        <w:rPr>
          <w:rFonts w:eastAsia="Verdana" w:cs="Verdana"/>
        </w:rPr>
        <w:t xml:space="preserve">The NIHRC welcomes measures under Clause 25 of the Bill, however, there is a careful balance to be struck between the rights of the victim under </w:t>
      </w:r>
      <w:r w:rsidRPr="00091080">
        <w:rPr>
          <w:rFonts w:eastAsia="Verdana" w:cs="Verdana"/>
        </w:rPr>
        <w:lastRenderedPageBreak/>
        <w:t>articles 3 and 8 ECHR and the rights of defendants under article 6 ECHR. Therefore, practical application of the provision must be monitored to ensure it is applied in practice compatibly with the Human Rights Act 1998.</w:t>
      </w:r>
    </w:p>
    <w:p w14:paraId="2608ED4B" w14:textId="77777777" w:rsidR="006A7AA8" w:rsidRPr="00091080" w:rsidRDefault="006A7AA8" w:rsidP="00CA4A64">
      <w:pPr>
        <w:pStyle w:val="ListParagraph"/>
        <w:rPr>
          <w:rFonts w:eastAsia="Verdana" w:cs="Verdana"/>
          <w:b/>
          <w:bCs/>
        </w:rPr>
      </w:pPr>
    </w:p>
    <w:p w14:paraId="6F7B4FC1" w14:textId="77777777" w:rsidR="003B7C33" w:rsidRPr="00091080" w:rsidRDefault="003B7C33" w:rsidP="003B7C33">
      <w:pPr>
        <w:pStyle w:val="ListParagraph"/>
        <w:numPr>
          <w:ilvl w:val="0"/>
          <w:numId w:val="20"/>
        </w:numPr>
        <w:spacing w:after="160" w:line="276" w:lineRule="auto"/>
        <w:ind w:left="709" w:hanging="709"/>
      </w:pPr>
      <w:r w:rsidRPr="00091080">
        <w:rPr>
          <w:rFonts w:eastAsia="Verdana" w:cs="Verdana"/>
          <w:b/>
          <w:bCs/>
        </w:rPr>
        <w:t xml:space="preserve">The NIHRC recommends that the impact of the amendments if enacted are monitored closely. Thereafter, the data relating to the use of the power should be reported publicly. </w:t>
      </w:r>
    </w:p>
    <w:p w14:paraId="20B876D9" w14:textId="45C0A4B5" w:rsidR="78132EA1" w:rsidRPr="00091080" w:rsidRDefault="67820DE5" w:rsidP="7156599E">
      <w:pPr>
        <w:spacing w:after="160" w:line="276" w:lineRule="auto"/>
        <w:rPr>
          <w:rFonts w:eastAsia="Verdana" w:cs="Verdana"/>
        </w:rPr>
      </w:pPr>
      <w:r w:rsidRPr="00091080">
        <w:rPr>
          <w:rFonts w:eastAsia="Verdana" w:cs="Verdana"/>
        </w:rPr>
        <w:t xml:space="preserve"> </w:t>
      </w:r>
    </w:p>
    <w:p w14:paraId="0CDFC7C1" w14:textId="35FD3FD5" w:rsidR="00BF7D4A" w:rsidRPr="00091080" w:rsidRDefault="00780ABD" w:rsidP="00565C64">
      <w:pPr>
        <w:pStyle w:val="Heading1"/>
      </w:pPr>
      <w:bookmarkStart w:id="12" w:name="_Toc242693110"/>
      <w:r w:rsidRPr="00091080">
        <w:t>Clause 26</w:t>
      </w:r>
      <w:r w:rsidR="0087119B" w:rsidRPr="00091080">
        <w:t xml:space="preserve"> – </w:t>
      </w:r>
      <w:r w:rsidR="001C4CC3" w:rsidRPr="00091080">
        <w:t>Protection of Complaina</w:t>
      </w:r>
      <w:r w:rsidR="00CB3508" w:rsidRPr="00091080">
        <w:t>nts in Proceedings for Sexual Offences</w:t>
      </w:r>
      <w:bookmarkEnd w:id="12"/>
      <w:r w:rsidR="00CB3508" w:rsidRPr="00091080">
        <w:t xml:space="preserve"> </w:t>
      </w:r>
    </w:p>
    <w:p w14:paraId="7DF7C2AC" w14:textId="77777777" w:rsidR="0087119B" w:rsidRPr="00091080" w:rsidRDefault="0087119B" w:rsidP="0087119B"/>
    <w:p w14:paraId="73BF4E96" w14:textId="77777777" w:rsidR="009261FB" w:rsidRPr="00091080" w:rsidRDefault="009261FB" w:rsidP="0035300D">
      <w:pPr>
        <w:pStyle w:val="ListParagraph"/>
        <w:numPr>
          <w:ilvl w:val="0"/>
          <w:numId w:val="29"/>
        </w:numPr>
        <w:spacing w:line="276" w:lineRule="auto"/>
        <w:ind w:hanging="720"/>
      </w:pPr>
      <w:r w:rsidRPr="00091080">
        <w:t>Clause 26 proposes amendments to section 51A of the Judicature (Northern Ireland) Act 1978, relating to sexual offence cases in which an application is made to the Crown Court for a witness summons which relates to the complainant, in which he or she could have a reasonable expectation of privacy. It is proposed in the draft Bill that in those circumstances the complainant will be entitled to make oral or written representations to the court, be legally represented and be present at any hearing regarding the application.</w:t>
      </w:r>
      <w:r w:rsidRPr="00091080">
        <w:rPr>
          <w:rStyle w:val="FootnoteReference"/>
        </w:rPr>
        <w:footnoteReference w:id="43"/>
      </w:r>
      <w:r w:rsidRPr="00091080">
        <w:t xml:space="preserve"> Similar amendment is proposed to Article 30 of the Criminal Evidence (Northern Ireland) Order 1999.</w:t>
      </w:r>
    </w:p>
    <w:p w14:paraId="2935D517" w14:textId="77777777" w:rsidR="0069730B" w:rsidRPr="00091080" w:rsidRDefault="0069730B" w:rsidP="00CA4A64">
      <w:pPr>
        <w:pStyle w:val="ListParagraph"/>
      </w:pPr>
    </w:p>
    <w:p w14:paraId="0834D893" w14:textId="77777777" w:rsidR="003B5A3B" w:rsidRPr="00091080" w:rsidRDefault="003B5A3B" w:rsidP="0035300D">
      <w:pPr>
        <w:pStyle w:val="ListParagraph"/>
        <w:numPr>
          <w:ilvl w:val="0"/>
          <w:numId w:val="29"/>
        </w:numPr>
        <w:spacing w:after="160" w:line="276" w:lineRule="auto"/>
        <w:ind w:left="709" w:hanging="709"/>
        <w:rPr>
          <w:b/>
          <w:bCs/>
          <w:color w:val="7030A0"/>
        </w:rPr>
      </w:pPr>
      <w:r w:rsidRPr="00091080">
        <w:t>There is no doubt that the State and its public authorities have a legal obligation to prevent, investigate, prosecute and punish human rights violations.</w:t>
      </w:r>
      <w:r w:rsidRPr="00091080">
        <w:rPr>
          <w:rStyle w:val="FootnoteReference"/>
        </w:rPr>
        <w:footnoteReference w:id="44"/>
      </w:r>
      <w:r w:rsidRPr="00091080">
        <w:t xml:space="preserve"> </w:t>
      </w:r>
    </w:p>
    <w:p w14:paraId="3F85900D" w14:textId="77777777" w:rsidR="00FB4E47" w:rsidRPr="00091080" w:rsidRDefault="00FB4E47" w:rsidP="00FB4E47">
      <w:pPr>
        <w:pStyle w:val="ListParagraph"/>
      </w:pPr>
    </w:p>
    <w:p w14:paraId="2D67C0D3" w14:textId="63DE05E9" w:rsidR="00003DEC" w:rsidRPr="00091080" w:rsidRDefault="00003DEC" w:rsidP="0035300D">
      <w:pPr>
        <w:pStyle w:val="ListParagraph"/>
        <w:numPr>
          <w:ilvl w:val="0"/>
          <w:numId w:val="29"/>
        </w:numPr>
        <w:spacing w:after="160" w:line="276" w:lineRule="auto"/>
        <w:ind w:left="709" w:hanging="709"/>
        <w:rPr>
          <w:b/>
          <w:bCs/>
          <w:color w:val="7030A0"/>
        </w:rPr>
      </w:pPr>
      <w:r w:rsidRPr="00091080">
        <w:t>Moreover, the UN Convention Against Torture (</w:t>
      </w:r>
      <w:r w:rsidR="00D801A8" w:rsidRPr="00091080">
        <w:t xml:space="preserve">UN </w:t>
      </w:r>
      <w:r w:rsidRPr="00091080">
        <w:t>CAT) Committee has noted that:</w:t>
      </w:r>
    </w:p>
    <w:p w14:paraId="005D34F9" w14:textId="77777777" w:rsidR="00003DEC" w:rsidRPr="00091080" w:rsidRDefault="00003DEC" w:rsidP="00003DEC">
      <w:pPr>
        <w:pStyle w:val="ListParagraph"/>
        <w:rPr>
          <w:b/>
          <w:bCs/>
          <w:color w:val="7030A0"/>
        </w:rPr>
      </w:pPr>
    </w:p>
    <w:p w14:paraId="12C5F187" w14:textId="719500CB" w:rsidR="00003DEC" w:rsidRPr="00091080" w:rsidRDefault="00003DEC" w:rsidP="00003DEC">
      <w:pPr>
        <w:pStyle w:val="ListParagraph"/>
        <w:spacing w:after="160" w:line="276" w:lineRule="auto"/>
        <w:ind w:left="851"/>
      </w:pPr>
      <w:r w:rsidRPr="00091080">
        <w:t>the failure of the State to exercise due diligence to intervene to stop, sanction and provide remedies to victims of torture facilitates and enables non-State actors to commit acts impermissible under the [</w:t>
      </w:r>
      <w:r w:rsidR="00586633">
        <w:t xml:space="preserve">UN </w:t>
      </w:r>
      <w:r w:rsidRPr="00091080">
        <w:t>CAT] Convention with impunity, the State’s indifference or inaction provides a form of encouragement and/or de facto permission. The Committee has applied this principle to States parties’ failure to prevent and protect victims from gender-based violence, such as rape, domestic violence, female genital mutilation, and trafficking.</w:t>
      </w:r>
      <w:r w:rsidRPr="00091080">
        <w:rPr>
          <w:rStyle w:val="FootnoteReference"/>
        </w:rPr>
        <w:footnoteReference w:id="45"/>
      </w:r>
    </w:p>
    <w:p w14:paraId="125DEAE7" w14:textId="77777777" w:rsidR="00EF0303" w:rsidRPr="00091080" w:rsidRDefault="00EF0303" w:rsidP="00EF0303">
      <w:pPr>
        <w:pStyle w:val="ListParagraph"/>
        <w:rPr>
          <w:b/>
          <w:bCs/>
          <w:color w:val="7030A0"/>
        </w:rPr>
      </w:pPr>
    </w:p>
    <w:p w14:paraId="6CFB1495" w14:textId="77777777" w:rsidR="003C7738" w:rsidRPr="00091080" w:rsidRDefault="003C7738" w:rsidP="0035300D">
      <w:pPr>
        <w:pStyle w:val="ListParagraph"/>
        <w:numPr>
          <w:ilvl w:val="0"/>
          <w:numId w:val="29"/>
        </w:numPr>
        <w:spacing w:line="276" w:lineRule="auto"/>
        <w:ind w:left="709" w:hanging="709"/>
      </w:pPr>
      <w:r w:rsidRPr="00091080">
        <w:t>The UN CEDAW Committee makes it clear that gender-based violence, including sexual offences, may amount to torture or cruel, inhuman or degrading treatment in certain circumstances.</w:t>
      </w:r>
      <w:r w:rsidRPr="00091080">
        <w:rPr>
          <w:rStyle w:val="FootnoteReference"/>
        </w:rPr>
        <w:footnoteReference w:id="46"/>
      </w:r>
      <w:r w:rsidRPr="00091080">
        <w:t xml:space="preserve"> The UN CEDAW Committee has further noted that “discrimination against women, based on … gender-based violence … has an adverse impact on the ability of women to gain access to justice on an equal basis with men”.</w:t>
      </w:r>
      <w:r w:rsidRPr="00091080">
        <w:rPr>
          <w:rStyle w:val="FootnoteReference"/>
        </w:rPr>
        <w:footnoteReference w:id="47"/>
      </w:r>
    </w:p>
    <w:p w14:paraId="6B907C01" w14:textId="77777777" w:rsidR="000666E5" w:rsidRPr="00091080" w:rsidRDefault="000666E5" w:rsidP="00CA4A64">
      <w:pPr>
        <w:pStyle w:val="ListParagraph"/>
        <w:ind w:left="709"/>
      </w:pPr>
    </w:p>
    <w:p w14:paraId="2356C736" w14:textId="13C36F9E" w:rsidR="00323749" w:rsidRPr="00091080" w:rsidRDefault="00323749" w:rsidP="0035300D">
      <w:pPr>
        <w:pStyle w:val="ListParagraph"/>
        <w:numPr>
          <w:ilvl w:val="0"/>
          <w:numId w:val="29"/>
        </w:numPr>
        <w:spacing w:line="276" w:lineRule="auto"/>
        <w:ind w:left="709" w:hanging="709"/>
      </w:pPr>
      <w:r w:rsidRPr="00091080">
        <w:t xml:space="preserve">The </w:t>
      </w:r>
      <w:proofErr w:type="spellStart"/>
      <w:r w:rsidRPr="00091080">
        <w:t>CoE</w:t>
      </w:r>
      <w:proofErr w:type="spellEnd"/>
      <w:r w:rsidRPr="00091080">
        <w:t xml:space="preserve"> Istanbul Convention requires that victims have the right to legal assistance and free legal aid, under conditions provided by domestic law.</w:t>
      </w:r>
      <w:r w:rsidRPr="00091080">
        <w:rPr>
          <w:rStyle w:val="FootnoteReference"/>
        </w:rPr>
        <w:footnoteReference w:id="48"/>
      </w:r>
      <w:r w:rsidRPr="00091080">
        <w:t xml:space="preserve"> It further recognises that the State must take measures to protect the rights and interests of victims in judicial proceedings by “enabling victims, in a manner consistent with the procedural rules of internal law, to be heard, to supply evidence and have their views, needs and concerns presented, directly or through an intermediary, and considered”.</w:t>
      </w:r>
      <w:r w:rsidRPr="00091080">
        <w:rPr>
          <w:rStyle w:val="FootnoteReference"/>
        </w:rPr>
        <w:footnoteReference w:id="49"/>
      </w:r>
    </w:p>
    <w:p w14:paraId="648A958F" w14:textId="77777777" w:rsidR="0023386E" w:rsidRPr="00091080" w:rsidRDefault="0023386E" w:rsidP="00CA4A64">
      <w:pPr>
        <w:pStyle w:val="ListParagraph"/>
        <w:ind w:left="709"/>
      </w:pPr>
    </w:p>
    <w:p w14:paraId="39C0D4E7" w14:textId="77777777" w:rsidR="00451F2F" w:rsidRPr="00091080" w:rsidRDefault="00451F2F" w:rsidP="0035300D">
      <w:pPr>
        <w:pStyle w:val="ListParagraph"/>
        <w:numPr>
          <w:ilvl w:val="0"/>
          <w:numId w:val="29"/>
        </w:numPr>
        <w:spacing w:line="276" w:lineRule="auto"/>
        <w:ind w:left="709" w:hanging="709"/>
      </w:pPr>
      <w:r w:rsidRPr="00091080">
        <w:t xml:space="preserve">Serious sexual offences obviously engage in the most extreme way, several rights under the ECHR. At the same time, the rights of an alleged perpetrator to a fair trial are critical and must be protected. As noted above, this has a real impact on </w:t>
      </w:r>
      <w:proofErr w:type="gramStart"/>
      <w:r w:rsidRPr="00091080">
        <w:t>a number of</w:t>
      </w:r>
      <w:proofErr w:type="gramEnd"/>
      <w:r w:rsidRPr="00091080">
        <w:t xml:space="preserve"> balancing exercises to be undertaken. The ECtHR has helpfully considered some scenarios which are specifically relevant.  </w:t>
      </w:r>
    </w:p>
    <w:p w14:paraId="2CECEF0D" w14:textId="77777777" w:rsidR="007B0B1D" w:rsidRPr="00091080" w:rsidRDefault="007B0B1D" w:rsidP="00CA4A64">
      <w:pPr>
        <w:pStyle w:val="ListParagraph"/>
      </w:pPr>
    </w:p>
    <w:p w14:paraId="1702ED46" w14:textId="017FDFE1" w:rsidR="00D53295" w:rsidRPr="00091080" w:rsidRDefault="00ED3305" w:rsidP="0035300D">
      <w:pPr>
        <w:pStyle w:val="ListParagraph"/>
        <w:numPr>
          <w:ilvl w:val="0"/>
          <w:numId w:val="29"/>
        </w:numPr>
        <w:spacing w:after="160"/>
        <w:ind w:left="709" w:hanging="709"/>
        <w:rPr>
          <w:b/>
          <w:bCs/>
        </w:rPr>
      </w:pPr>
      <w:r w:rsidRPr="00091080">
        <w:t xml:space="preserve">In </w:t>
      </w:r>
      <w:r w:rsidRPr="00091080">
        <w:rPr>
          <w:i/>
          <w:iCs/>
        </w:rPr>
        <w:t>JL v Italy</w:t>
      </w:r>
      <w:r w:rsidRPr="00091080">
        <w:t>,</w:t>
      </w:r>
      <w:r w:rsidR="00D10AF1" w:rsidRPr="00091080">
        <w:t xml:space="preserve"> for example,</w:t>
      </w:r>
      <w:r w:rsidRPr="00091080">
        <w:t xml:space="preserve"> the ECtHR observed that </w:t>
      </w:r>
      <w:r w:rsidR="008D427F" w:rsidRPr="00091080">
        <w:t>certain evidence relating to a victim’s c</w:t>
      </w:r>
      <w:r w:rsidR="008423ED" w:rsidRPr="00091080">
        <w:t>redibility</w:t>
      </w:r>
      <w:r w:rsidR="008D427F" w:rsidRPr="00091080">
        <w:t xml:space="preserve">, including </w:t>
      </w:r>
      <w:r w:rsidR="007C5FA7" w:rsidRPr="00091080">
        <w:t>“</w:t>
      </w:r>
      <w:r w:rsidR="002B6D48" w:rsidRPr="00091080">
        <w:t>previous relationships with one or other of the accused</w:t>
      </w:r>
      <w:r w:rsidR="002E6E46" w:rsidRPr="00091080">
        <w:t>”</w:t>
      </w:r>
      <w:r w:rsidR="66DF6F4B" w:rsidRPr="00091080">
        <w:t>,</w:t>
      </w:r>
      <w:r w:rsidR="002E6E46" w:rsidRPr="00091080">
        <w:t xml:space="preserve"> may have been relevant to the defence.</w:t>
      </w:r>
      <w:r w:rsidRPr="00091080">
        <w:rPr>
          <w:rStyle w:val="FootnoteReference"/>
        </w:rPr>
        <w:footnoteReference w:id="50"/>
      </w:r>
      <w:r w:rsidR="00643525" w:rsidRPr="00091080">
        <w:t xml:space="preserve"> However, </w:t>
      </w:r>
      <w:r w:rsidR="007927EF" w:rsidRPr="00091080">
        <w:t xml:space="preserve">in the same case, </w:t>
      </w:r>
      <w:r w:rsidR="00643525" w:rsidRPr="00091080">
        <w:t xml:space="preserve">the ECtHR </w:t>
      </w:r>
      <w:r w:rsidR="007927EF" w:rsidRPr="00091080">
        <w:t>stated that</w:t>
      </w:r>
      <w:r w:rsidR="00D53295" w:rsidRPr="00091080">
        <w:t>:</w:t>
      </w:r>
    </w:p>
    <w:p w14:paraId="66556780" w14:textId="77777777" w:rsidR="00D53295" w:rsidRPr="00091080" w:rsidRDefault="00D53295" w:rsidP="00D53295">
      <w:pPr>
        <w:pStyle w:val="ListParagraph"/>
      </w:pPr>
    </w:p>
    <w:p w14:paraId="6FE1A9A4" w14:textId="31871B0D" w:rsidR="00780ABD" w:rsidRPr="00091080" w:rsidRDefault="007927EF" w:rsidP="00CA4A64">
      <w:pPr>
        <w:pStyle w:val="Quote"/>
      </w:pPr>
      <w:r w:rsidRPr="00091080">
        <w:t>it does not see how the applicant’s family situation, her romantic relationships, her sexual orientation or her clothing choices, or the subject matter of her artistic and cultural activities, could be relevant for assessing her credibility and the criminal liability of the accused. Thus, it cannot be considered that such interference with the applicant’s private life and image was justified by the need to ensure that they could enjoy their defence rights.</w:t>
      </w:r>
      <w:r w:rsidR="00D53295" w:rsidRPr="00091080">
        <w:rPr>
          <w:rStyle w:val="FootnoteReference"/>
        </w:rPr>
        <w:footnoteReference w:id="51"/>
      </w:r>
    </w:p>
    <w:p w14:paraId="67ED7F12" w14:textId="77777777" w:rsidR="0060555B" w:rsidRPr="00091080" w:rsidRDefault="0060555B" w:rsidP="00C47076">
      <w:pPr>
        <w:pStyle w:val="ListParagraph"/>
        <w:spacing w:after="160" w:line="276" w:lineRule="auto"/>
        <w:ind w:left="851"/>
      </w:pPr>
    </w:p>
    <w:p w14:paraId="7D54E66D" w14:textId="77777777" w:rsidR="00023D28" w:rsidRPr="00091080" w:rsidRDefault="00023D28" w:rsidP="0035300D">
      <w:pPr>
        <w:pStyle w:val="ListParagraph"/>
        <w:numPr>
          <w:ilvl w:val="0"/>
          <w:numId w:val="29"/>
        </w:numPr>
        <w:spacing w:after="160" w:line="276" w:lineRule="auto"/>
        <w:ind w:hanging="720"/>
        <w:rPr>
          <w:b/>
          <w:bCs/>
        </w:rPr>
      </w:pPr>
      <w:r w:rsidRPr="00091080">
        <w:t>On assessing the balance to be struck between Article 6 and Article 8, the ECtHR states “the positive obligations to protect presumed victims of gender-based violence also impose a duty to protect their image, dignity and private life, including through the non-disclosure of personal data and information that are unrelated to the facts”.</w:t>
      </w:r>
      <w:r w:rsidRPr="00091080">
        <w:rPr>
          <w:rStyle w:val="FootnoteReference"/>
        </w:rPr>
        <w:footnoteReference w:id="52"/>
      </w:r>
    </w:p>
    <w:p w14:paraId="191B1DA4" w14:textId="77777777" w:rsidR="0083106F" w:rsidRPr="00091080" w:rsidRDefault="0083106F" w:rsidP="00227635">
      <w:pPr>
        <w:pStyle w:val="ListParagraph"/>
        <w:spacing w:after="160"/>
        <w:rPr>
          <w:b/>
          <w:bCs/>
        </w:rPr>
      </w:pPr>
    </w:p>
    <w:p w14:paraId="04E625D6" w14:textId="0F98CEAA" w:rsidR="00600442" w:rsidRPr="00091080" w:rsidRDefault="006178E9" w:rsidP="0035300D">
      <w:pPr>
        <w:pStyle w:val="ListParagraph"/>
        <w:numPr>
          <w:ilvl w:val="0"/>
          <w:numId w:val="29"/>
        </w:numPr>
        <w:spacing w:after="160"/>
        <w:ind w:hanging="720"/>
        <w:rPr>
          <w:b/>
          <w:bCs/>
        </w:rPr>
      </w:pPr>
      <w:r w:rsidRPr="00091080">
        <w:t>The EU Victims’ Directive</w:t>
      </w:r>
      <w:r w:rsidR="00BD58A8" w:rsidRPr="00091080">
        <w:t xml:space="preserve"> (2012)</w:t>
      </w:r>
      <w:r w:rsidR="009575D6" w:rsidRPr="00091080">
        <w:t>, which</w:t>
      </w:r>
      <w:r w:rsidR="00456392" w:rsidRPr="00091080">
        <w:t xml:space="preserve"> </w:t>
      </w:r>
      <w:r w:rsidR="008270B8" w:rsidRPr="00091080">
        <w:t xml:space="preserve">is still relevant in </w:t>
      </w:r>
      <w:r w:rsidR="00CA78DE" w:rsidRPr="00091080">
        <w:t xml:space="preserve">for the protection of victims in </w:t>
      </w:r>
      <w:r w:rsidR="009575D6" w:rsidRPr="00091080">
        <w:t>NI</w:t>
      </w:r>
      <w:r w:rsidR="00456392" w:rsidRPr="00091080">
        <w:t xml:space="preserve"> (see </w:t>
      </w:r>
      <w:r w:rsidR="00586633">
        <w:t>s</w:t>
      </w:r>
      <w:r w:rsidR="00456392" w:rsidRPr="00091080">
        <w:t>ection five</w:t>
      </w:r>
      <w:r w:rsidR="00586633">
        <w:t xml:space="preserve"> below</w:t>
      </w:r>
      <w:r w:rsidR="00456392" w:rsidRPr="00091080">
        <w:t>),</w:t>
      </w:r>
      <w:r w:rsidRPr="00091080">
        <w:t xml:space="preserve"> </w:t>
      </w:r>
      <w:r w:rsidR="009E271C" w:rsidRPr="00091080">
        <w:t xml:space="preserve">provides </w:t>
      </w:r>
      <w:r w:rsidR="00042A90" w:rsidRPr="00091080">
        <w:t xml:space="preserve">that victims </w:t>
      </w:r>
      <w:r w:rsidR="009E271C" w:rsidRPr="00091080">
        <w:t>have the right to</w:t>
      </w:r>
      <w:r w:rsidR="00042A90" w:rsidRPr="00091080">
        <w:t xml:space="preserve"> be heard during criminal proceedings and </w:t>
      </w:r>
      <w:r w:rsidR="009635ED" w:rsidRPr="00091080">
        <w:t>to</w:t>
      </w:r>
      <w:r w:rsidR="00042A90" w:rsidRPr="00091080">
        <w:t xml:space="preserve"> provide evidence</w:t>
      </w:r>
      <w:r w:rsidR="009E271C" w:rsidRPr="00091080">
        <w:t>.</w:t>
      </w:r>
      <w:r w:rsidR="001E26EE" w:rsidRPr="00091080">
        <w:rPr>
          <w:rStyle w:val="FootnoteReference"/>
        </w:rPr>
        <w:footnoteReference w:id="53"/>
      </w:r>
      <w:r w:rsidR="009E271C" w:rsidRPr="00091080">
        <w:t xml:space="preserve"> The </w:t>
      </w:r>
      <w:r w:rsidR="00CA78DE" w:rsidRPr="00091080">
        <w:t xml:space="preserve">EU </w:t>
      </w:r>
      <w:r w:rsidR="009E271C" w:rsidRPr="00091080">
        <w:t>Directive also</w:t>
      </w:r>
      <w:r w:rsidR="00042A90" w:rsidRPr="00091080">
        <w:t xml:space="preserve"> </w:t>
      </w:r>
      <w:r w:rsidRPr="00091080">
        <w:t xml:space="preserve">provides that victims with specific protection needs </w:t>
      </w:r>
      <w:r w:rsidR="00D2685D" w:rsidRPr="00091080">
        <w:t>should</w:t>
      </w:r>
      <w:r w:rsidRPr="00091080">
        <w:t xml:space="preserve"> have available to them measures to avoid unnecessary questioning concerning the victim's private life not related to the criminal offence.</w:t>
      </w:r>
      <w:r w:rsidR="00723961" w:rsidRPr="00091080">
        <w:rPr>
          <w:rStyle w:val="FootnoteReference"/>
        </w:rPr>
        <w:footnoteReference w:id="54"/>
      </w:r>
      <w:r w:rsidR="00723961" w:rsidRPr="00091080">
        <w:t xml:space="preserve"> </w:t>
      </w:r>
      <w:r w:rsidRPr="00091080">
        <w:t xml:space="preserve">An individual’s specific protection needs </w:t>
      </w:r>
      <w:r w:rsidR="00F103B7" w:rsidRPr="00091080">
        <w:t>should</w:t>
      </w:r>
      <w:r w:rsidRPr="00091080">
        <w:t xml:space="preserve"> be determined by an individual assessment</w:t>
      </w:r>
      <w:r w:rsidR="000939A8" w:rsidRPr="00091080">
        <w:rPr>
          <w:rStyle w:val="FootnoteReference"/>
        </w:rPr>
        <w:footnoteReference w:id="55"/>
      </w:r>
      <w:r w:rsidRPr="00091080">
        <w:t xml:space="preserve"> which must pay particular attention to</w:t>
      </w:r>
      <w:r w:rsidR="00BD58A8" w:rsidRPr="00091080">
        <w:t>:</w:t>
      </w:r>
    </w:p>
    <w:p w14:paraId="1988AA54" w14:textId="7E37A489" w:rsidR="00BD330D" w:rsidRPr="00091080" w:rsidRDefault="0083106F" w:rsidP="00CA4A64">
      <w:pPr>
        <w:pStyle w:val="Quote"/>
      </w:pPr>
      <w:r w:rsidRPr="00091080">
        <w:t>[…] victims who have suffered a crime committed with a bias or discriminatory motive which could</w:t>
      </w:r>
      <w:proofErr w:type="gramStart"/>
      <w:r w:rsidRPr="00091080">
        <w:t>, in particular, be</w:t>
      </w:r>
      <w:proofErr w:type="gramEnd"/>
      <w:r w:rsidRPr="00091080">
        <w:t xml:space="preserve"> related to their personal characteristics; victims whose relationship to and dependence on the offender make them particularly vulnerable. In this regard, victims of terrorism, organised crime, human trafficking, gender-based violence, violence in a close relationship, sexual violence, exploitation or hate crime, and victims with disabilities shall be duly considered.</w:t>
      </w:r>
      <w:r w:rsidRPr="00091080">
        <w:rPr>
          <w:rStyle w:val="FootnoteReference"/>
        </w:rPr>
        <w:footnoteReference w:id="56"/>
      </w:r>
    </w:p>
    <w:p w14:paraId="1ECE676E" w14:textId="77777777" w:rsidR="00F60A5E" w:rsidRPr="00091080" w:rsidRDefault="00F60A5E" w:rsidP="009F32C7">
      <w:pPr>
        <w:spacing w:after="160" w:line="276" w:lineRule="auto"/>
      </w:pPr>
    </w:p>
    <w:p w14:paraId="459FBBA7" w14:textId="6248B61E" w:rsidR="00163443" w:rsidRPr="00091080" w:rsidRDefault="00163443" w:rsidP="0035300D">
      <w:pPr>
        <w:pStyle w:val="ListParagraph"/>
        <w:numPr>
          <w:ilvl w:val="0"/>
          <w:numId w:val="29"/>
        </w:numPr>
        <w:ind w:hanging="720"/>
      </w:pPr>
      <w:r w:rsidRPr="00091080">
        <w:t xml:space="preserve">The </w:t>
      </w:r>
      <w:r w:rsidR="00BD58A8" w:rsidRPr="00091080">
        <w:t xml:space="preserve">EU Victims’ </w:t>
      </w:r>
      <w:r w:rsidRPr="00091080">
        <w:t>Directive</w:t>
      </w:r>
      <w:r w:rsidR="00BD58A8" w:rsidRPr="00091080">
        <w:t xml:space="preserve"> (2012)</w:t>
      </w:r>
      <w:r w:rsidRPr="00091080">
        <w:t xml:space="preserve"> requires the state to ensure that, where the victim is a child, the</w:t>
      </w:r>
      <w:r w:rsidR="00B67548" w:rsidRPr="00091080">
        <w:t xml:space="preserve">ir </w:t>
      </w:r>
      <w:r w:rsidRPr="00091080">
        <w:t>best interests are a primary consideration</w:t>
      </w:r>
      <w:r w:rsidR="00B54C36" w:rsidRPr="00091080">
        <w:t xml:space="preserve"> and must be assessed on an individual basis.</w:t>
      </w:r>
      <w:r w:rsidRPr="00091080">
        <w:rPr>
          <w:rStyle w:val="FootnoteReference"/>
        </w:rPr>
        <w:footnoteReference w:id="57"/>
      </w:r>
      <w:r w:rsidRPr="00091080">
        <w:t xml:space="preserve"> </w:t>
      </w:r>
      <w:r w:rsidR="00B54C36" w:rsidRPr="00091080">
        <w:t xml:space="preserve">It is also a requirement </w:t>
      </w:r>
      <w:r w:rsidR="00F6438B" w:rsidRPr="00091080">
        <w:t>that child victims are presumed to have specific protection needs due to their vulnerability to secondary and repeat victimisation, to intimidation and to retaliation.</w:t>
      </w:r>
      <w:r w:rsidR="001464B2" w:rsidRPr="00091080">
        <w:rPr>
          <w:rStyle w:val="FootnoteReference"/>
        </w:rPr>
        <w:footnoteReference w:id="58"/>
      </w:r>
      <w:r w:rsidR="00F6438B" w:rsidRPr="00091080">
        <w:t xml:space="preserve"> It </w:t>
      </w:r>
      <w:r w:rsidR="005E4F93" w:rsidRPr="00091080">
        <w:t>provides for</w:t>
      </w:r>
      <w:r w:rsidR="007D7B7C" w:rsidRPr="00091080">
        <w:t xml:space="preserve"> additional </w:t>
      </w:r>
      <w:r w:rsidR="00AD56F3" w:rsidRPr="00091080">
        <w:t xml:space="preserve">supportive measures for child </w:t>
      </w:r>
      <w:r w:rsidR="00AD56F3" w:rsidRPr="00091080">
        <w:lastRenderedPageBreak/>
        <w:t>victims including that</w:t>
      </w:r>
      <w:r w:rsidR="005E4F93" w:rsidRPr="00091080">
        <w:t xml:space="preserve"> </w:t>
      </w:r>
      <w:r w:rsidR="002510F8" w:rsidRPr="00091080">
        <w:t xml:space="preserve">audiovisual </w:t>
      </w:r>
      <w:r w:rsidR="00384661" w:rsidRPr="00091080">
        <w:t xml:space="preserve">interviews with the child </w:t>
      </w:r>
      <w:r w:rsidR="00912FF3" w:rsidRPr="00091080">
        <w:t>may</w:t>
      </w:r>
      <w:r w:rsidR="00384661" w:rsidRPr="00091080">
        <w:t xml:space="preserve"> be </w:t>
      </w:r>
      <w:r w:rsidR="000B43C6" w:rsidRPr="00091080">
        <w:t>used as evidence in criminal proceedings.</w:t>
      </w:r>
      <w:r w:rsidR="001B019C" w:rsidRPr="00091080">
        <w:rPr>
          <w:rStyle w:val="FootnoteReference"/>
        </w:rPr>
        <w:footnoteReference w:id="59"/>
      </w:r>
      <w:r w:rsidR="000B43C6" w:rsidRPr="00091080">
        <w:t xml:space="preserve"> </w:t>
      </w:r>
    </w:p>
    <w:p w14:paraId="1042CBA7" w14:textId="77777777" w:rsidR="00163443" w:rsidRPr="00091080" w:rsidRDefault="00163443" w:rsidP="00227635">
      <w:pPr>
        <w:pStyle w:val="ListParagraph"/>
        <w:spacing w:after="160"/>
      </w:pPr>
    </w:p>
    <w:p w14:paraId="63C0B480" w14:textId="19FE7451" w:rsidR="000F2101" w:rsidRPr="00091080" w:rsidRDefault="000F2101" w:rsidP="0035300D">
      <w:pPr>
        <w:pStyle w:val="ListParagraph"/>
        <w:numPr>
          <w:ilvl w:val="0"/>
          <w:numId w:val="29"/>
        </w:numPr>
        <w:spacing w:after="160"/>
        <w:ind w:hanging="720"/>
      </w:pPr>
      <w:r w:rsidRPr="00091080">
        <w:t>In addition, the</w:t>
      </w:r>
      <w:r w:rsidR="00BD58A8" w:rsidRPr="00091080">
        <w:t xml:space="preserve"> EU</w:t>
      </w:r>
      <w:r w:rsidRPr="00091080">
        <w:t xml:space="preserve"> Victims’ Directive</w:t>
      </w:r>
      <w:r w:rsidR="00BD58A8" w:rsidRPr="00091080">
        <w:t xml:space="preserve"> (2012)</w:t>
      </w:r>
      <w:r w:rsidRPr="00091080">
        <w:t xml:space="preserve"> provides for the possibility of a hearing</w:t>
      </w:r>
      <w:r w:rsidR="000506CC" w:rsidRPr="00091080">
        <w:t xml:space="preserve"> </w:t>
      </w:r>
      <w:r w:rsidRPr="00091080">
        <w:t>without the presence of the public.</w:t>
      </w:r>
      <w:r w:rsidR="008217D0" w:rsidRPr="00091080">
        <w:rPr>
          <w:rStyle w:val="FootnoteReference"/>
        </w:rPr>
        <w:footnoteReference w:id="60"/>
      </w:r>
    </w:p>
    <w:p w14:paraId="7ABD479A" w14:textId="77777777" w:rsidR="000F2101" w:rsidRPr="00091080" w:rsidRDefault="000F2101" w:rsidP="00227635">
      <w:pPr>
        <w:pStyle w:val="ListParagraph"/>
        <w:spacing w:after="160"/>
      </w:pPr>
    </w:p>
    <w:p w14:paraId="2977CAF9" w14:textId="0DCEDD72" w:rsidR="009E7F28" w:rsidRPr="00091080" w:rsidRDefault="00F60A5E" w:rsidP="0035300D">
      <w:pPr>
        <w:pStyle w:val="ListParagraph"/>
        <w:numPr>
          <w:ilvl w:val="0"/>
          <w:numId w:val="29"/>
        </w:numPr>
        <w:spacing w:after="160"/>
        <w:ind w:hanging="720"/>
      </w:pPr>
      <w:r w:rsidRPr="00091080">
        <w:t xml:space="preserve">Victims of human trafficking (subject to an individual assessment of the personal circumstances of the victim) </w:t>
      </w:r>
      <w:r w:rsidR="00310221" w:rsidRPr="00091080">
        <w:t xml:space="preserve">should </w:t>
      </w:r>
      <w:r w:rsidRPr="00091080">
        <w:t xml:space="preserve">also </w:t>
      </w:r>
      <w:r w:rsidR="003705EF" w:rsidRPr="00091080">
        <w:t xml:space="preserve">be </w:t>
      </w:r>
      <w:r w:rsidRPr="00091080">
        <w:t xml:space="preserve">protected from unnecessary questioning concerning the victim’s private life under the EU Human </w:t>
      </w:r>
      <w:r w:rsidR="006F0103" w:rsidRPr="00091080">
        <w:t>T</w:t>
      </w:r>
      <w:r w:rsidRPr="00091080">
        <w:t>rafficking Directive</w:t>
      </w:r>
      <w:r w:rsidR="00BD58A8" w:rsidRPr="00091080">
        <w:t xml:space="preserve"> (2011)</w:t>
      </w:r>
      <w:r w:rsidR="0052471B" w:rsidRPr="00091080">
        <w:t xml:space="preserve">, which </w:t>
      </w:r>
      <w:r w:rsidR="00E515AA" w:rsidRPr="00091080">
        <w:t xml:space="preserve">is still relevant </w:t>
      </w:r>
      <w:r w:rsidR="0052471B" w:rsidRPr="00091080">
        <w:t>in NI</w:t>
      </w:r>
      <w:r w:rsidR="00CF6238" w:rsidRPr="00091080">
        <w:t xml:space="preserve"> (see </w:t>
      </w:r>
      <w:r w:rsidR="00586633">
        <w:t>s</w:t>
      </w:r>
      <w:r w:rsidR="00CF6238" w:rsidRPr="00091080">
        <w:t>ection five</w:t>
      </w:r>
      <w:r w:rsidR="00586633">
        <w:t xml:space="preserve"> below</w:t>
      </w:r>
      <w:r w:rsidR="00CF6238" w:rsidRPr="00091080">
        <w:t>)</w:t>
      </w:r>
      <w:r w:rsidRPr="00091080">
        <w:t>.</w:t>
      </w:r>
      <w:r w:rsidRPr="00091080">
        <w:rPr>
          <w:rStyle w:val="FootnoteReference"/>
        </w:rPr>
        <w:footnoteReference w:id="61"/>
      </w:r>
    </w:p>
    <w:p w14:paraId="49826E0D" w14:textId="77777777" w:rsidR="00E32ECD" w:rsidRPr="00091080" w:rsidRDefault="00E32ECD" w:rsidP="00227635">
      <w:pPr>
        <w:pStyle w:val="ListParagraph"/>
      </w:pPr>
    </w:p>
    <w:p w14:paraId="2B7D1002" w14:textId="77777777" w:rsidR="008A44AF" w:rsidRPr="00091080" w:rsidRDefault="007D6FED" w:rsidP="0035300D">
      <w:pPr>
        <w:pStyle w:val="ListParagraph"/>
        <w:numPr>
          <w:ilvl w:val="0"/>
          <w:numId w:val="29"/>
        </w:numPr>
        <w:spacing w:after="160"/>
        <w:ind w:hanging="720"/>
      </w:pPr>
      <w:r w:rsidRPr="00091080">
        <w:t xml:space="preserve">Both the </w:t>
      </w:r>
      <w:r w:rsidR="00BD58A8" w:rsidRPr="00091080">
        <w:t xml:space="preserve">EU </w:t>
      </w:r>
      <w:r w:rsidRPr="00091080">
        <w:t xml:space="preserve">Victims’ Directive </w:t>
      </w:r>
      <w:r w:rsidR="00BD58A8" w:rsidRPr="00091080">
        <w:t xml:space="preserve">(2012) </w:t>
      </w:r>
      <w:r w:rsidRPr="00091080">
        <w:t xml:space="preserve">and the </w:t>
      </w:r>
      <w:r w:rsidR="00BD58A8" w:rsidRPr="00091080">
        <w:t xml:space="preserve">EU </w:t>
      </w:r>
      <w:r w:rsidR="001213E7" w:rsidRPr="00091080">
        <w:t xml:space="preserve">Human </w:t>
      </w:r>
      <w:r w:rsidRPr="00091080">
        <w:t xml:space="preserve">Trafficking Directive </w:t>
      </w:r>
      <w:r w:rsidR="00BD58A8" w:rsidRPr="00091080">
        <w:t xml:space="preserve">(2011) </w:t>
      </w:r>
      <w:r w:rsidR="008B5731" w:rsidRPr="00091080">
        <w:t xml:space="preserve">entitle </w:t>
      </w:r>
      <w:r w:rsidRPr="00091080">
        <w:t>victims to free legal aid where required.</w:t>
      </w:r>
      <w:r w:rsidR="001A6D06" w:rsidRPr="00091080">
        <w:rPr>
          <w:rStyle w:val="FootnoteReference"/>
        </w:rPr>
        <w:footnoteReference w:id="62"/>
      </w:r>
      <w:r w:rsidRPr="00091080">
        <w:t xml:space="preserve"> </w:t>
      </w:r>
    </w:p>
    <w:p w14:paraId="77DBEDDF" w14:textId="77777777" w:rsidR="008A44AF" w:rsidRPr="00091080" w:rsidRDefault="008A44AF" w:rsidP="008A44AF">
      <w:pPr>
        <w:pStyle w:val="ListParagraph"/>
      </w:pPr>
    </w:p>
    <w:p w14:paraId="38BD073C" w14:textId="24772342" w:rsidR="005D4195" w:rsidRPr="00091080" w:rsidRDefault="00DA6069" w:rsidP="0035300D">
      <w:pPr>
        <w:pStyle w:val="ListParagraph"/>
        <w:numPr>
          <w:ilvl w:val="0"/>
          <w:numId w:val="29"/>
        </w:numPr>
        <w:spacing w:after="160"/>
        <w:ind w:hanging="720"/>
      </w:pPr>
      <w:r w:rsidRPr="00091080">
        <w:t xml:space="preserve">The </w:t>
      </w:r>
      <w:r w:rsidR="00C26FEA" w:rsidRPr="00091080">
        <w:t>NI Court of Appeal</w:t>
      </w:r>
      <w:r w:rsidR="00020CB8" w:rsidRPr="00091080">
        <w:t xml:space="preserve">, </w:t>
      </w:r>
      <w:r w:rsidR="00560477" w:rsidRPr="00091080">
        <w:t xml:space="preserve">as has the Court of Appeal of England and Wales, has held that the UK EU Withdrawal Agreement and relevant EU laws protecting victims must be interpreted in accordance with the Charter of Fundamental Rights of the </w:t>
      </w:r>
      <w:r w:rsidR="00C01DED">
        <w:t>EU</w:t>
      </w:r>
      <w:r w:rsidR="00560477" w:rsidRPr="00091080">
        <w:t xml:space="preserve"> (the </w:t>
      </w:r>
      <w:r w:rsidR="00C01DED">
        <w:t xml:space="preserve">EU </w:t>
      </w:r>
      <w:r w:rsidR="00560477" w:rsidRPr="00091080">
        <w:t>Charter) and general principles of EU law.</w:t>
      </w:r>
      <w:r w:rsidR="00560477" w:rsidRPr="00091080">
        <w:rPr>
          <w:rStyle w:val="FootnoteReference"/>
        </w:rPr>
        <w:footnoteReference w:id="63"/>
      </w:r>
      <w:r w:rsidR="00560477" w:rsidRPr="00091080">
        <w:t xml:space="preserve"> EU Charter </w:t>
      </w:r>
      <w:r w:rsidR="00FD67BD">
        <w:t xml:space="preserve">rights relevant to the interpretation of </w:t>
      </w:r>
      <w:r w:rsidR="00560477" w:rsidRPr="00091080">
        <w:t xml:space="preserve">the EU Victims’ Directive include Article 1 (human dignity), Article 3 (right to integrity of the person), Article 7 (respect for private and family life), Article 23 (equality between men and women), Article 21 (non-discrimination), and Article 47 (right to an effective remedy and to a fair trial). </w:t>
      </w:r>
      <w:r w:rsidR="00BD58A8" w:rsidRPr="00091080">
        <w:t>The continued relevance of Windsor Framework Article 2 and the EU Victims’ Directive (2012), EU Human Trafficking Directive (2011) and the EU Charter of Fundamental Rights is outlined in section five of this submission.</w:t>
      </w:r>
    </w:p>
    <w:p w14:paraId="46CB561F" w14:textId="77777777" w:rsidR="005D4195" w:rsidRPr="00091080" w:rsidRDefault="005D4195" w:rsidP="00227635">
      <w:pPr>
        <w:pStyle w:val="ListParagraph"/>
      </w:pPr>
    </w:p>
    <w:p w14:paraId="38A2C19C" w14:textId="77777777" w:rsidR="009E344F" w:rsidRPr="00091080" w:rsidRDefault="009E344F" w:rsidP="0035300D">
      <w:pPr>
        <w:pStyle w:val="ListParagraph"/>
        <w:numPr>
          <w:ilvl w:val="0"/>
          <w:numId w:val="29"/>
        </w:numPr>
        <w:spacing w:after="160" w:line="276" w:lineRule="auto"/>
        <w:ind w:hanging="720"/>
      </w:pPr>
      <w:r w:rsidRPr="00091080">
        <w:t>The NIHRC welcomes provisions under Clause 26 to allow for victims of serious sexual offences to make oral and written representations and be legally represented during proceedings concerning disclosure. This is also consistent with the Gillen Review.</w:t>
      </w:r>
      <w:r w:rsidRPr="00091080">
        <w:rPr>
          <w:rStyle w:val="FootnoteReference"/>
        </w:rPr>
        <w:footnoteReference w:id="64"/>
      </w:r>
      <w:r w:rsidRPr="00091080">
        <w:t xml:space="preserve"> However, it is unclear whether this </w:t>
      </w:r>
      <w:r w:rsidRPr="00091080">
        <w:lastRenderedPageBreak/>
        <w:t>legal representation will be publicly funded as per the recommendation of the Gillen Review. The NIHRC agrees that provision should be considered.</w:t>
      </w:r>
    </w:p>
    <w:p w14:paraId="7B67ECBC" w14:textId="77777777" w:rsidR="00D86FF0" w:rsidRPr="00091080" w:rsidRDefault="00D86FF0" w:rsidP="00227635">
      <w:pPr>
        <w:pStyle w:val="ListParagraph"/>
        <w:spacing w:after="160"/>
      </w:pPr>
    </w:p>
    <w:p w14:paraId="4D424838" w14:textId="47EC1A8F" w:rsidR="006C00AA" w:rsidRPr="00091080" w:rsidRDefault="00A722BB" w:rsidP="0035300D">
      <w:pPr>
        <w:pStyle w:val="ListParagraph"/>
        <w:numPr>
          <w:ilvl w:val="0"/>
          <w:numId w:val="29"/>
        </w:numPr>
        <w:spacing w:after="160"/>
        <w:ind w:hanging="720"/>
        <w:rPr>
          <w:b/>
        </w:rPr>
      </w:pPr>
      <w:r w:rsidRPr="00091080">
        <w:rPr>
          <w:b/>
        </w:rPr>
        <w:t xml:space="preserve">The NIHRC recommends that the Committee of for Justice </w:t>
      </w:r>
      <w:r w:rsidR="00D35AF8" w:rsidRPr="00091080">
        <w:rPr>
          <w:b/>
        </w:rPr>
        <w:t xml:space="preserve">seeks clarification from the Department of Justice on </w:t>
      </w:r>
      <w:r w:rsidR="006C00AA" w:rsidRPr="00091080">
        <w:rPr>
          <w:b/>
          <w:bCs/>
        </w:rPr>
        <w:t xml:space="preserve">arrangements for the appointment and funding of legal representatives in proceedings related to </w:t>
      </w:r>
      <w:r w:rsidR="00BF62AC" w:rsidRPr="00091080">
        <w:rPr>
          <w:b/>
          <w:bCs/>
        </w:rPr>
        <w:t>C</w:t>
      </w:r>
      <w:r w:rsidR="006C00AA" w:rsidRPr="00091080">
        <w:rPr>
          <w:b/>
          <w:bCs/>
        </w:rPr>
        <w:t>lause 26. In addition</w:t>
      </w:r>
      <w:r w:rsidR="00207846" w:rsidRPr="00091080">
        <w:rPr>
          <w:b/>
          <w:bCs/>
        </w:rPr>
        <w:t>,</w:t>
      </w:r>
      <w:r w:rsidR="006C00AA" w:rsidRPr="00091080">
        <w:rPr>
          <w:b/>
          <w:bCs/>
        </w:rPr>
        <w:t xml:space="preserve"> the Committee should explore with the Department how the effectiveness of the procedures will be monitored and whether the views of victims will be sought to determine if the procedure is meeting its stated objectives. </w:t>
      </w:r>
    </w:p>
    <w:p w14:paraId="14F9538D" w14:textId="77777777" w:rsidR="007E0B2C" w:rsidRPr="00091080" w:rsidRDefault="007E0B2C" w:rsidP="00227635">
      <w:pPr>
        <w:pStyle w:val="ListParagraph"/>
        <w:spacing w:after="160"/>
        <w:rPr>
          <w:b/>
        </w:rPr>
      </w:pPr>
    </w:p>
    <w:p w14:paraId="7D2286CD" w14:textId="4C6143A6" w:rsidR="00093FEE" w:rsidRPr="00091080" w:rsidRDefault="007E0B2C" w:rsidP="0035300D">
      <w:pPr>
        <w:pStyle w:val="ListParagraph"/>
        <w:numPr>
          <w:ilvl w:val="0"/>
          <w:numId w:val="29"/>
        </w:numPr>
        <w:spacing w:after="160"/>
        <w:ind w:hanging="720"/>
        <w:rPr>
          <w:b/>
        </w:rPr>
      </w:pPr>
      <w:r w:rsidRPr="00091080">
        <w:rPr>
          <w:b/>
          <w:bCs/>
        </w:rPr>
        <w:t xml:space="preserve">The NIHRC further recommends that the Committee for Justice seeks clarity from the Department of Justice </w:t>
      </w:r>
      <w:r w:rsidR="0062095F" w:rsidRPr="00091080">
        <w:rPr>
          <w:b/>
          <w:bCs/>
        </w:rPr>
        <w:t xml:space="preserve">regarding </w:t>
      </w:r>
      <w:r w:rsidR="00A30B41" w:rsidRPr="00091080">
        <w:rPr>
          <w:b/>
          <w:bCs/>
        </w:rPr>
        <w:t xml:space="preserve">how it intends to ensure that all complainants are made aware of their ability to </w:t>
      </w:r>
      <w:r w:rsidR="0033483D" w:rsidRPr="00091080">
        <w:rPr>
          <w:b/>
          <w:bCs/>
        </w:rPr>
        <w:t>avail of</w:t>
      </w:r>
      <w:r w:rsidR="00A30B41" w:rsidRPr="00091080">
        <w:rPr>
          <w:b/>
          <w:bCs/>
        </w:rPr>
        <w:t xml:space="preserve"> the provisions under </w:t>
      </w:r>
      <w:r w:rsidR="0033483D" w:rsidRPr="00091080">
        <w:rPr>
          <w:b/>
          <w:bCs/>
        </w:rPr>
        <w:t xml:space="preserve">Clause 26 </w:t>
      </w:r>
      <w:r w:rsidR="00CE5E8C" w:rsidRPr="00091080">
        <w:rPr>
          <w:b/>
          <w:bCs/>
        </w:rPr>
        <w:t xml:space="preserve">of the Bill </w:t>
      </w:r>
      <w:r w:rsidR="0033483D" w:rsidRPr="00091080">
        <w:rPr>
          <w:b/>
          <w:bCs/>
        </w:rPr>
        <w:t xml:space="preserve">once </w:t>
      </w:r>
      <w:r w:rsidR="08D62F2C" w:rsidRPr="00091080">
        <w:rPr>
          <w:b/>
          <w:bCs/>
        </w:rPr>
        <w:t>it is enacted</w:t>
      </w:r>
      <w:r w:rsidR="0033483D" w:rsidRPr="00091080">
        <w:rPr>
          <w:b/>
          <w:bCs/>
        </w:rPr>
        <w:t>.</w:t>
      </w:r>
    </w:p>
    <w:p w14:paraId="5916308E" w14:textId="77777777" w:rsidR="00572416" w:rsidRPr="00091080" w:rsidRDefault="00572416" w:rsidP="00572416">
      <w:pPr>
        <w:pStyle w:val="ListParagraph"/>
      </w:pPr>
    </w:p>
    <w:p w14:paraId="09A34EE4" w14:textId="38485D48" w:rsidR="00572416" w:rsidRPr="00091080" w:rsidRDefault="00572416" w:rsidP="00815C01">
      <w:pPr>
        <w:pStyle w:val="Heading2"/>
      </w:pPr>
      <w:bookmarkStart w:id="13" w:name="_Toc242693111"/>
      <w:r w:rsidRPr="00091080">
        <w:t xml:space="preserve">Divergence of </w:t>
      </w:r>
      <w:r w:rsidR="00E52B2A" w:rsidRPr="00091080">
        <w:t xml:space="preserve">Victims’ </w:t>
      </w:r>
      <w:r w:rsidR="00207846" w:rsidRPr="00091080">
        <w:t xml:space="preserve">Rights </w:t>
      </w:r>
      <w:r w:rsidR="00E52B2A" w:rsidRPr="00091080">
        <w:t xml:space="preserve">on the </w:t>
      </w:r>
      <w:r w:rsidR="00207846" w:rsidRPr="00091080">
        <w:t xml:space="preserve">Island </w:t>
      </w:r>
      <w:r w:rsidR="00E52B2A" w:rsidRPr="00091080">
        <w:t>of Ireland</w:t>
      </w:r>
      <w:bookmarkEnd w:id="13"/>
    </w:p>
    <w:p w14:paraId="315D413F" w14:textId="77777777" w:rsidR="00DC6C8B" w:rsidRPr="00091080" w:rsidRDefault="00DC6C8B" w:rsidP="00DC6C8B">
      <w:pPr>
        <w:pStyle w:val="ListParagraph"/>
      </w:pPr>
    </w:p>
    <w:p w14:paraId="0E8B72EC" w14:textId="0047D1A7" w:rsidR="00A406B6" w:rsidRPr="00091080" w:rsidRDefault="00657059" w:rsidP="0035300D">
      <w:pPr>
        <w:pStyle w:val="ListParagraph"/>
        <w:numPr>
          <w:ilvl w:val="0"/>
          <w:numId w:val="29"/>
        </w:numPr>
        <w:spacing w:after="160"/>
        <w:ind w:hanging="720"/>
      </w:pPr>
      <w:r w:rsidRPr="00091080">
        <w:rPr>
          <w:rFonts w:cs="Arial"/>
          <w:color w:val="232120"/>
        </w:rPr>
        <w:t xml:space="preserve">The Committee may wish to consider the fact that the EU Victims’ Directive (2012) </w:t>
      </w:r>
      <w:r w:rsidR="00BB320C" w:rsidRPr="00091080">
        <w:rPr>
          <w:rFonts w:cs="Arial"/>
          <w:color w:val="232120"/>
        </w:rPr>
        <w:t xml:space="preserve">was updated in 2026 to strengthen protections for victims. </w:t>
      </w:r>
      <w:r w:rsidR="00BB320C" w:rsidRPr="00091080">
        <w:t>It provides for measures to avoid unnecessary questioning concerning the victim’s private life not related to the criminal offence, including the victim’s sexual orientation, gender, including gender identity, or past sexual conduct</w:t>
      </w:r>
      <w:r w:rsidR="007B590C" w:rsidRPr="00091080">
        <w:t>.</w:t>
      </w:r>
      <w:r w:rsidR="00570ADC" w:rsidRPr="00091080">
        <w:rPr>
          <w:rStyle w:val="FootnoteReference"/>
        </w:rPr>
        <w:footnoteReference w:id="65"/>
      </w:r>
    </w:p>
    <w:p w14:paraId="0D46FACE" w14:textId="77777777" w:rsidR="00A406B6" w:rsidRPr="00091080" w:rsidRDefault="00A406B6" w:rsidP="00227635">
      <w:pPr>
        <w:pStyle w:val="ListParagraph"/>
        <w:spacing w:after="160"/>
      </w:pPr>
    </w:p>
    <w:p w14:paraId="70A453FA" w14:textId="25D11723" w:rsidR="008E04BA" w:rsidRPr="00091080" w:rsidRDefault="001973F9" w:rsidP="0035300D">
      <w:pPr>
        <w:pStyle w:val="ListParagraph"/>
        <w:numPr>
          <w:ilvl w:val="0"/>
          <w:numId w:val="29"/>
        </w:numPr>
        <w:spacing w:after="160"/>
        <w:ind w:hanging="720"/>
      </w:pPr>
      <w:r w:rsidRPr="00091080">
        <w:rPr>
          <w:rFonts w:cs="Arial"/>
          <w:color w:val="232120"/>
        </w:rPr>
        <w:t xml:space="preserve">In addition, the EU Victims’ Directive (2026) </w:t>
      </w:r>
      <w:r w:rsidR="00E150F7" w:rsidRPr="00091080">
        <w:rPr>
          <w:rFonts w:cs="Arial"/>
          <w:color w:val="232120"/>
        </w:rPr>
        <w:t xml:space="preserve">requires </w:t>
      </w:r>
      <w:r w:rsidR="00322036" w:rsidRPr="00091080">
        <w:rPr>
          <w:rFonts w:cs="Arial"/>
          <w:color w:val="232120"/>
        </w:rPr>
        <w:t>the S</w:t>
      </w:r>
      <w:r w:rsidR="00E150F7" w:rsidRPr="00091080">
        <w:rPr>
          <w:rFonts w:cs="Arial"/>
          <w:color w:val="232120"/>
        </w:rPr>
        <w:t xml:space="preserve">tate to </w:t>
      </w:r>
      <w:r w:rsidR="00A406B6" w:rsidRPr="00091080">
        <w:rPr>
          <w:rFonts w:cs="Arial"/>
          <w:color w:val="232120"/>
        </w:rPr>
        <w:t>provid</w:t>
      </w:r>
      <w:r w:rsidRPr="00091080">
        <w:rPr>
          <w:rFonts w:cs="Arial"/>
          <w:color w:val="232120"/>
        </w:rPr>
        <w:t>e</w:t>
      </w:r>
      <w:r w:rsidR="00A406B6" w:rsidRPr="00091080">
        <w:rPr>
          <w:rFonts w:cs="Arial"/>
          <w:color w:val="232120"/>
        </w:rPr>
        <w:t xml:space="preserve"> victims </w:t>
      </w:r>
      <w:r w:rsidR="00A406B6" w:rsidRPr="00091080">
        <w:t>with emotional support and practical information on court premises,</w:t>
      </w:r>
      <w:r w:rsidR="00A406B6" w:rsidRPr="00091080">
        <w:rPr>
          <w:rStyle w:val="FootnoteReference"/>
        </w:rPr>
        <w:footnoteReference w:id="66"/>
      </w:r>
      <w:r w:rsidR="00A406B6" w:rsidRPr="00091080">
        <w:rPr>
          <w:i/>
          <w:iCs/>
        </w:rPr>
        <w:t xml:space="preserve"> </w:t>
      </w:r>
      <w:r w:rsidR="00A406B6" w:rsidRPr="00091080">
        <w:t xml:space="preserve">protect </w:t>
      </w:r>
      <w:r w:rsidR="00FD4DB4" w:rsidRPr="00091080">
        <w:t xml:space="preserve">a </w:t>
      </w:r>
      <w:r w:rsidR="00A406B6" w:rsidRPr="00091080">
        <w:t>victim</w:t>
      </w:r>
      <w:r w:rsidR="005A4B84" w:rsidRPr="00091080">
        <w:t>’</w:t>
      </w:r>
      <w:r w:rsidR="00FD4DB4" w:rsidRPr="00091080">
        <w:t>s</w:t>
      </w:r>
      <w:r w:rsidR="00A406B6" w:rsidRPr="00091080">
        <w:t xml:space="preserve"> personal data (address and contact details) from the offender,</w:t>
      </w:r>
      <w:r w:rsidR="00A406B6" w:rsidRPr="00091080">
        <w:rPr>
          <w:rStyle w:val="FootnoteReference"/>
        </w:rPr>
        <w:footnoteReference w:id="67"/>
      </w:r>
      <w:r w:rsidR="00A406B6" w:rsidRPr="00091080">
        <w:t xml:space="preserve"> and inform victims of the </w:t>
      </w:r>
      <w:r w:rsidR="00A406B6" w:rsidRPr="00091080">
        <w:rPr>
          <w:rFonts w:cs="Arial"/>
          <w:color w:val="232120"/>
        </w:rPr>
        <w:t xml:space="preserve">protection options available to them including </w:t>
      </w:r>
      <w:r w:rsidR="00A406B6" w:rsidRPr="00091080">
        <w:rPr>
          <w:color w:val="000000" w:themeColor="text1"/>
        </w:rPr>
        <w:t xml:space="preserve">barring, restraining or protection orders and the </w:t>
      </w:r>
      <w:r w:rsidR="00A406B6" w:rsidRPr="00091080">
        <w:rPr>
          <w:color w:val="000000" w:themeColor="text1"/>
        </w:rPr>
        <w:lastRenderedPageBreak/>
        <w:t>possibility to seek the cross-border recognition of protection orders</w:t>
      </w:r>
      <w:r w:rsidR="00406064" w:rsidRPr="00091080">
        <w:rPr>
          <w:color w:val="000000" w:themeColor="text1"/>
        </w:rPr>
        <w:t>.</w:t>
      </w:r>
      <w:r w:rsidR="00A406B6" w:rsidRPr="00091080">
        <w:rPr>
          <w:rStyle w:val="FootnoteReference"/>
          <w:color w:val="000000" w:themeColor="text1"/>
        </w:rPr>
        <w:footnoteReference w:id="68"/>
      </w:r>
      <w:r w:rsidR="00A406B6" w:rsidRPr="00091080">
        <w:rPr>
          <w:color w:val="000000" w:themeColor="text1"/>
        </w:rPr>
        <w:t xml:space="preserve"> </w:t>
      </w:r>
      <w:r w:rsidR="00A406B6" w:rsidRPr="00091080">
        <w:rPr>
          <w:rFonts w:cs="Arial"/>
          <w:color w:val="232120"/>
        </w:rPr>
        <w:t xml:space="preserve">Under the updated </w:t>
      </w:r>
      <w:r w:rsidR="00207846" w:rsidRPr="00091080">
        <w:rPr>
          <w:rFonts w:cs="Arial"/>
          <w:color w:val="232120"/>
        </w:rPr>
        <w:t xml:space="preserve">EU </w:t>
      </w:r>
      <w:r w:rsidR="00A406B6" w:rsidRPr="00091080">
        <w:rPr>
          <w:rFonts w:cs="Arial"/>
          <w:color w:val="232120"/>
        </w:rPr>
        <w:t>Directive, a</w:t>
      </w:r>
      <w:r w:rsidR="00A406B6" w:rsidRPr="00091080">
        <w:t>ssessment</w:t>
      </w:r>
      <w:r w:rsidR="00322036" w:rsidRPr="00091080">
        <w:t xml:space="preserve"> </w:t>
      </w:r>
      <w:r w:rsidR="00A406B6" w:rsidRPr="00091080">
        <w:t>of</w:t>
      </w:r>
      <w:r w:rsidR="00322036" w:rsidRPr="00091080">
        <w:t xml:space="preserve"> a</w:t>
      </w:r>
      <w:r w:rsidR="00A406B6" w:rsidRPr="00091080">
        <w:t xml:space="preserve"> victim </w:t>
      </w:r>
      <w:r w:rsidR="00322036" w:rsidRPr="00091080">
        <w:t xml:space="preserve">for the purpose of identifying </w:t>
      </w:r>
      <w:r w:rsidR="00216D57" w:rsidRPr="00091080">
        <w:t>their n</w:t>
      </w:r>
      <w:r w:rsidR="00A406B6" w:rsidRPr="00091080">
        <w:t>eeds</w:t>
      </w:r>
      <w:r w:rsidR="00216D57" w:rsidRPr="00091080">
        <w:t xml:space="preserve"> should </w:t>
      </w:r>
      <w:r w:rsidR="00A406B6" w:rsidRPr="00091080">
        <w:t>now take into account intersectional grounds of discrimination,</w:t>
      </w:r>
      <w:r w:rsidR="00A406B6" w:rsidRPr="00091080">
        <w:rPr>
          <w:rStyle w:val="FootnoteReference"/>
        </w:rPr>
        <w:footnoteReference w:id="69"/>
      </w:r>
      <w:r w:rsidR="00A406B6" w:rsidRPr="00091080">
        <w:t xml:space="preserve"> the repetitive nature of the crime,</w:t>
      </w:r>
      <w:r w:rsidR="00A406B6" w:rsidRPr="00091080">
        <w:rPr>
          <w:rStyle w:val="FootnoteReference"/>
        </w:rPr>
        <w:footnoteReference w:id="70"/>
      </w:r>
      <w:r w:rsidR="00A406B6" w:rsidRPr="00091080">
        <w:t xml:space="preserve"> specific needs of the victim’s family members,</w:t>
      </w:r>
      <w:r w:rsidR="00A406B6" w:rsidRPr="00091080">
        <w:rPr>
          <w:rStyle w:val="FootnoteReference"/>
        </w:rPr>
        <w:footnoteReference w:id="71"/>
      </w:r>
      <w:r w:rsidR="00A406B6" w:rsidRPr="00091080">
        <w:t xml:space="preserve"> and the risks emanating from the offender</w:t>
      </w:r>
      <w:r w:rsidR="00A406B6" w:rsidRPr="00091080">
        <w:rPr>
          <w:rStyle w:val="FootnoteReference"/>
        </w:rPr>
        <w:footnoteReference w:id="72"/>
      </w:r>
      <w:r w:rsidR="00A406B6" w:rsidRPr="00091080">
        <w:t xml:space="preserve"> including links to organised crime groups, and expression of hate speech, among other factors.</w:t>
      </w:r>
      <w:r w:rsidR="00A406B6" w:rsidRPr="00091080">
        <w:rPr>
          <w:rStyle w:val="FootnoteReference"/>
        </w:rPr>
        <w:footnoteReference w:id="73"/>
      </w:r>
      <w:r w:rsidR="00A406B6" w:rsidRPr="00091080">
        <w:t xml:space="preserve">  </w:t>
      </w:r>
    </w:p>
    <w:p w14:paraId="6B3683CC" w14:textId="77777777" w:rsidR="008E04BA" w:rsidRPr="00091080" w:rsidRDefault="008E04BA" w:rsidP="00227635">
      <w:pPr>
        <w:pStyle w:val="ListParagraph"/>
        <w:rPr>
          <w:rFonts w:cs="Arial"/>
          <w:color w:val="232120"/>
        </w:rPr>
      </w:pPr>
    </w:p>
    <w:p w14:paraId="54CDB30F" w14:textId="325991F2" w:rsidR="009A78D7" w:rsidRPr="00091080" w:rsidRDefault="008E04BA" w:rsidP="0035300D">
      <w:pPr>
        <w:pStyle w:val="ListParagraph"/>
        <w:numPr>
          <w:ilvl w:val="0"/>
          <w:numId w:val="29"/>
        </w:numPr>
        <w:spacing w:after="160"/>
        <w:ind w:hanging="720"/>
      </w:pPr>
      <w:r w:rsidRPr="00091080">
        <w:rPr>
          <w:rFonts w:cs="Arial"/>
          <w:color w:val="232120"/>
        </w:rPr>
        <w:t>These increased protections will apply in Ireland from July 2028</w:t>
      </w:r>
      <w:r w:rsidRPr="00091080">
        <w:rPr>
          <w:rStyle w:val="FootnoteReference"/>
          <w:rFonts w:cs="Arial"/>
          <w:color w:val="232120"/>
        </w:rPr>
        <w:footnoteReference w:id="74"/>
      </w:r>
      <w:r w:rsidRPr="00091080">
        <w:rPr>
          <w:rFonts w:cs="Arial"/>
          <w:color w:val="232120"/>
        </w:rPr>
        <w:t xml:space="preserve"> and may have implications for the rights of cross-border victims of crime and for the divergence of rights on the island of Ireland</w:t>
      </w:r>
      <w:r w:rsidR="00C073E4" w:rsidRPr="00091080">
        <w:rPr>
          <w:rFonts w:cs="Arial"/>
          <w:color w:val="232120"/>
        </w:rPr>
        <w:t>, which the NIHRC is required to monitor and to advise upon</w:t>
      </w:r>
      <w:r w:rsidRPr="00091080">
        <w:rPr>
          <w:rFonts w:cs="Arial"/>
          <w:color w:val="232120"/>
        </w:rPr>
        <w:t>.</w:t>
      </w:r>
      <w:r w:rsidR="00F42271" w:rsidRPr="00091080">
        <w:rPr>
          <w:rStyle w:val="FootnoteReference"/>
          <w:rFonts w:cs="Arial"/>
          <w:color w:val="232120"/>
        </w:rPr>
        <w:footnoteReference w:id="75"/>
      </w:r>
      <w:r w:rsidRPr="00091080">
        <w:rPr>
          <w:rFonts w:cs="Arial"/>
          <w:color w:val="232120"/>
        </w:rPr>
        <w:t xml:space="preserve"> </w:t>
      </w:r>
    </w:p>
    <w:p w14:paraId="280A2A7D" w14:textId="77777777" w:rsidR="009A78D7" w:rsidRPr="00091080" w:rsidRDefault="009A78D7" w:rsidP="00227635">
      <w:pPr>
        <w:pStyle w:val="ListParagraph"/>
      </w:pPr>
    </w:p>
    <w:p w14:paraId="3F99FF7D" w14:textId="4F12FAFB" w:rsidR="00E9156F" w:rsidRPr="000E46F1" w:rsidRDefault="00DC6C8B" w:rsidP="000E46F1">
      <w:pPr>
        <w:pStyle w:val="ListParagraph"/>
        <w:numPr>
          <w:ilvl w:val="0"/>
          <w:numId w:val="29"/>
        </w:numPr>
        <w:spacing w:after="160"/>
        <w:ind w:hanging="720"/>
      </w:pPr>
      <w:r w:rsidRPr="00091080">
        <w:t>In 2024, the EU Directive on Combating Violence against Women and Domestic Violence was adopted.</w:t>
      </w:r>
      <w:r w:rsidR="00E334BD" w:rsidRPr="00091080">
        <w:rPr>
          <w:rStyle w:val="FootnoteReference"/>
        </w:rPr>
        <w:footnoteReference w:id="76"/>
      </w:r>
      <w:r w:rsidRPr="00091080">
        <w:t xml:space="preserve"> Th</w:t>
      </w:r>
      <w:r w:rsidR="007D4511" w:rsidRPr="00091080">
        <w:t>at</w:t>
      </w:r>
      <w:r w:rsidRPr="00091080">
        <w:t xml:space="preserve"> EU Directive provides for specialist </w:t>
      </w:r>
      <w:r w:rsidR="003C7153" w:rsidRPr="00091080">
        <w:t>support</w:t>
      </w:r>
      <w:r w:rsidRPr="00091080">
        <w:t xml:space="preserve"> for victims of sexual harassment at work</w:t>
      </w:r>
      <w:r w:rsidR="003C7153" w:rsidRPr="00091080">
        <w:rPr>
          <w:rStyle w:val="FootnoteReference"/>
        </w:rPr>
        <w:footnoteReference w:id="77"/>
      </w:r>
      <w:r w:rsidRPr="00091080">
        <w:t xml:space="preserve"> and for </w:t>
      </w:r>
      <w:r w:rsidR="003C53C5" w:rsidRPr="00091080">
        <w:t xml:space="preserve">those with supervisory functions in the workplace </w:t>
      </w:r>
      <w:r w:rsidRPr="00091080">
        <w:t>to receive training on how to recognise, prevent and address sexual harassment at work.</w:t>
      </w:r>
      <w:r w:rsidR="0006328F" w:rsidRPr="00091080">
        <w:rPr>
          <w:rStyle w:val="FootnoteReference"/>
        </w:rPr>
        <w:footnoteReference w:id="78"/>
      </w:r>
      <w:r w:rsidR="001B7EFB" w:rsidRPr="00091080">
        <w:t xml:space="preserve"> </w:t>
      </w:r>
      <w:r w:rsidR="000F6627" w:rsidRPr="00091080">
        <w:rPr>
          <w:rFonts w:cs="Arial"/>
          <w:color w:val="000000" w:themeColor="text1"/>
        </w:rPr>
        <w:t>As the</w:t>
      </w:r>
      <w:r w:rsidR="00191D1F" w:rsidRPr="00091080">
        <w:rPr>
          <w:rFonts w:cs="Arial"/>
          <w:color w:val="000000" w:themeColor="text1"/>
        </w:rPr>
        <w:t xml:space="preserve"> </w:t>
      </w:r>
      <w:r w:rsidR="00207846" w:rsidRPr="00091080">
        <w:rPr>
          <w:rFonts w:cs="Arial"/>
          <w:color w:val="000000" w:themeColor="text1"/>
        </w:rPr>
        <w:t xml:space="preserve">EU </w:t>
      </w:r>
      <w:r w:rsidR="001B188C" w:rsidRPr="00091080">
        <w:rPr>
          <w:color w:val="000000" w:themeColor="text1"/>
        </w:rPr>
        <w:t xml:space="preserve">Directive </w:t>
      </w:r>
      <w:r w:rsidR="001B188C" w:rsidRPr="00091080">
        <w:rPr>
          <w:rFonts w:cs="Arial"/>
          <w:color w:val="000000" w:themeColor="text1"/>
        </w:rPr>
        <w:t>notes</w:t>
      </w:r>
      <w:r w:rsidR="000F6627" w:rsidRPr="00091080">
        <w:rPr>
          <w:rFonts w:cs="Arial"/>
          <w:color w:val="000000" w:themeColor="text1"/>
        </w:rPr>
        <w:t xml:space="preserve">, </w:t>
      </w:r>
      <w:r w:rsidR="00005416" w:rsidRPr="00091080">
        <w:rPr>
          <w:rFonts w:cs="Arial"/>
          <w:color w:val="000000" w:themeColor="text1"/>
        </w:rPr>
        <w:t xml:space="preserve">it is because </w:t>
      </w:r>
      <w:r w:rsidR="00031B93" w:rsidRPr="00091080">
        <w:rPr>
          <w:rFonts w:cs="Arial"/>
          <w:color w:val="000000" w:themeColor="text1"/>
        </w:rPr>
        <w:t>s</w:t>
      </w:r>
      <w:r w:rsidR="00031B93" w:rsidRPr="00091080">
        <w:rPr>
          <w:color w:val="000000" w:themeColor="text1"/>
          <w:shd w:val="clear" w:color="auto" w:fill="FFFFFF"/>
        </w:rPr>
        <w:t xml:space="preserve">exual harassment at work is considered as a form of </w:t>
      </w:r>
      <w:r w:rsidR="000759B1" w:rsidRPr="00091080">
        <w:rPr>
          <w:color w:val="000000" w:themeColor="text1"/>
          <w:shd w:val="clear" w:color="auto" w:fill="FFFFFF"/>
        </w:rPr>
        <w:t xml:space="preserve">sex </w:t>
      </w:r>
      <w:r w:rsidR="00031B93" w:rsidRPr="00091080">
        <w:rPr>
          <w:color w:val="000000" w:themeColor="text1"/>
          <w:shd w:val="clear" w:color="auto" w:fill="FFFFFF"/>
        </w:rPr>
        <w:t xml:space="preserve">discrimination </w:t>
      </w:r>
      <w:r w:rsidR="00C4736E" w:rsidRPr="00091080">
        <w:rPr>
          <w:color w:val="000000" w:themeColor="text1"/>
          <w:shd w:val="clear" w:color="auto" w:fill="FFFFFF"/>
        </w:rPr>
        <w:t>under</w:t>
      </w:r>
      <w:r w:rsidR="00031B93" w:rsidRPr="00091080">
        <w:rPr>
          <w:color w:val="000000" w:themeColor="text1"/>
          <w:shd w:val="clear" w:color="auto" w:fill="FFFFFF"/>
        </w:rPr>
        <w:t xml:space="preserve"> </w:t>
      </w:r>
      <w:r w:rsidR="006B2A84" w:rsidRPr="00091080">
        <w:rPr>
          <w:color w:val="000000" w:themeColor="text1"/>
          <w:shd w:val="clear" w:color="auto" w:fill="FFFFFF"/>
        </w:rPr>
        <w:t xml:space="preserve">the EU Gender Equality </w:t>
      </w:r>
      <w:r w:rsidR="00031B93" w:rsidRPr="00091080">
        <w:rPr>
          <w:color w:val="000000" w:themeColor="text1"/>
          <w:shd w:val="clear" w:color="auto" w:fill="FFFFFF"/>
        </w:rPr>
        <w:t>Directives</w:t>
      </w:r>
      <w:r w:rsidR="009329C8" w:rsidRPr="00091080">
        <w:rPr>
          <w:color w:val="000000" w:themeColor="text1"/>
          <w:shd w:val="clear" w:color="auto" w:fill="FFFFFF"/>
        </w:rPr>
        <w:t xml:space="preserve"> </w:t>
      </w:r>
      <w:r w:rsidR="00750687" w:rsidRPr="00091080">
        <w:rPr>
          <w:color w:val="000000" w:themeColor="text1"/>
          <w:shd w:val="clear" w:color="auto" w:fill="FFFFFF"/>
        </w:rPr>
        <w:t>that</w:t>
      </w:r>
      <w:r w:rsidR="00D742DE" w:rsidRPr="00091080">
        <w:rPr>
          <w:color w:val="000000" w:themeColor="text1"/>
          <w:shd w:val="clear" w:color="auto" w:fill="FFFFFF"/>
        </w:rPr>
        <w:t xml:space="preserve"> </w:t>
      </w:r>
      <w:r w:rsidR="00D742DE" w:rsidRPr="00091080">
        <w:rPr>
          <w:color w:val="000000" w:themeColor="text1"/>
          <w:shd w:val="clear" w:color="auto" w:fill="FFFFFF"/>
        </w:rPr>
        <w:lastRenderedPageBreak/>
        <w:t>the</w:t>
      </w:r>
      <w:r w:rsidR="00750687" w:rsidRPr="00091080">
        <w:rPr>
          <w:color w:val="000000" w:themeColor="text1"/>
          <w:shd w:val="clear" w:color="auto" w:fill="FFFFFF"/>
        </w:rPr>
        <w:t xml:space="preserve"> </w:t>
      </w:r>
      <w:r w:rsidR="00E0666A" w:rsidRPr="00091080">
        <w:rPr>
          <w:color w:val="000000" w:themeColor="text1"/>
          <w:shd w:val="clear" w:color="auto" w:fill="FFFFFF"/>
        </w:rPr>
        <w:t>S</w:t>
      </w:r>
      <w:r w:rsidR="009329C8" w:rsidRPr="00091080">
        <w:rPr>
          <w:color w:val="000000" w:themeColor="text1"/>
          <w:shd w:val="clear" w:color="auto" w:fill="FFFFFF"/>
        </w:rPr>
        <w:t xml:space="preserve">tate must provide </w:t>
      </w:r>
      <w:r w:rsidR="00594FDD" w:rsidRPr="00091080">
        <w:rPr>
          <w:color w:val="000000" w:themeColor="text1"/>
          <w:shd w:val="clear" w:color="auto" w:fill="FFFFFF"/>
        </w:rPr>
        <w:t>s</w:t>
      </w:r>
      <w:r w:rsidR="009329C8" w:rsidRPr="00091080">
        <w:rPr>
          <w:color w:val="000000" w:themeColor="text1"/>
          <w:shd w:val="clear" w:color="auto" w:fill="FFFFFF"/>
        </w:rPr>
        <w:t xml:space="preserve">pecialist support for victims </w:t>
      </w:r>
      <w:r w:rsidR="003408F1" w:rsidRPr="00091080">
        <w:rPr>
          <w:color w:val="000000" w:themeColor="text1"/>
          <w:shd w:val="clear" w:color="auto" w:fill="FFFFFF"/>
        </w:rPr>
        <w:t>of such harassment</w:t>
      </w:r>
      <w:r w:rsidR="00917614" w:rsidRPr="00091080">
        <w:rPr>
          <w:color w:val="000000" w:themeColor="text1"/>
          <w:shd w:val="clear" w:color="auto" w:fill="FFFFFF"/>
        </w:rPr>
        <w:t>.</w:t>
      </w:r>
      <w:r w:rsidR="000E46F1" w:rsidRPr="00091080">
        <w:rPr>
          <w:rStyle w:val="FootnoteReference"/>
          <w:color w:val="000000" w:themeColor="text1"/>
          <w:shd w:val="clear" w:color="auto" w:fill="FFFFFF"/>
        </w:rPr>
        <w:footnoteReference w:id="79"/>
      </w:r>
      <w:r w:rsidR="000E46F1">
        <w:rPr>
          <w:color w:val="000000" w:themeColor="text1"/>
          <w:shd w:val="clear" w:color="auto" w:fill="FFFFFF"/>
        </w:rPr>
        <w:t xml:space="preserve">  </w:t>
      </w:r>
      <w:r w:rsidR="00E9156F" w:rsidRPr="000E46F1">
        <w:rPr>
          <w:rFonts w:cs="Arial"/>
        </w:rPr>
        <w:t xml:space="preserve">The </w:t>
      </w:r>
      <w:r w:rsidR="00EB1CB5" w:rsidRPr="000E46F1">
        <w:rPr>
          <w:rFonts w:cs="Arial"/>
        </w:rPr>
        <w:t xml:space="preserve">EU </w:t>
      </w:r>
      <w:r w:rsidR="00E9156F" w:rsidRPr="000E46F1">
        <w:rPr>
          <w:rFonts w:cs="Arial"/>
        </w:rPr>
        <w:t>Gender Equality Directives</w:t>
      </w:r>
      <w:r w:rsidR="00E9156F" w:rsidRPr="00091080">
        <w:rPr>
          <w:rStyle w:val="FootnoteReference"/>
          <w:rFonts w:cs="Arial"/>
        </w:rPr>
        <w:footnoteReference w:id="80"/>
      </w:r>
      <w:r w:rsidR="00E9156F" w:rsidRPr="000E46F1">
        <w:rPr>
          <w:rFonts w:cs="Arial"/>
        </w:rPr>
        <w:t xml:space="preserve"> fall within Annex 1 of the Windsor Framework. </w:t>
      </w:r>
    </w:p>
    <w:p w14:paraId="2661AB22" w14:textId="77777777" w:rsidR="00840020" w:rsidRPr="00091080" w:rsidRDefault="00840020" w:rsidP="00227635">
      <w:pPr>
        <w:pStyle w:val="ListParagraph"/>
        <w:suppressAutoHyphens/>
        <w:rPr>
          <w:rFonts w:cs="Arial"/>
          <w:color w:val="3C3C3B"/>
        </w:rPr>
      </w:pPr>
    </w:p>
    <w:p w14:paraId="1033FB4D" w14:textId="1CA3702B" w:rsidR="009E7F28" w:rsidRPr="00091080" w:rsidRDefault="00B11EC4" w:rsidP="0035300D">
      <w:pPr>
        <w:pStyle w:val="ListParagraph"/>
        <w:numPr>
          <w:ilvl w:val="0"/>
          <w:numId w:val="29"/>
        </w:numPr>
        <w:spacing w:after="160"/>
        <w:ind w:hanging="720"/>
      </w:pPr>
      <w:r w:rsidRPr="00091080">
        <w:t>T</w:t>
      </w:r>
      <w:r w:rsidR="005A1FF8" w:rsidRPr="00091080">
        <w:t>he NIHRC suggests that t</w:t>
      </w:r>
      <w:r w:rsidR="00840020" w:rsidRPr="00091080">
        <w:t xml:space="preserve">he Committee </w:t>
      </w:r>
      <w:r w:rsidR="005A1FF8" w:rsidRPr="00091080">
        <w:t>asks</w:t>
      </w:r>
      <w:r w:rsidR="00840020" w:rsidRPr="00091080">
        <w:t xml:space="preserve"> the Department of Justice along with other</w:t>
      </w:r>
      <w:r w:rsidR="00EB1CB5" w:rsidRPr="00091080">
        <w:t xml:space="preserve"> NI</w:t>
      </w:r>
      <w:r w:rsidR="00840020" w:rsidRPr="00091080">
        <w:t xml:space="preserve"> Executive departments to carefully </w:t>
      </w:r>
      <w:r w:rsidR="005E260E" w:rsidRPr="00091080">
        <w:t xml:space="preserve">consider </w:t>
      </w:r>
      <w:r w:rsidR="00840020" w:rsidRPr="00091080">
        <w:t xml:space="preserve">the provisions of the EU </w:t>
      </w:r>
      <w:r w:rsidR="008C33D2" w:rsidRPr="00091080">
        <w:t>Combating Violence against Women and Domestic Violence</w:t>
      </w:r>
      <w:r w:rsidR="00840020" w:rsidRPr="00091080">
        <w:t xml:space="preserve"> Directive to establish whether they provide best practice for protection </w:t>
      </w:r>
      <w:r w:rsidR="00411525" w:rsidRPr="00091080">
        <w:t>of</w:t>
      </w:r>
      <w:r w:rsidR="00840020" w:rsidRPr="00091080">
        <w:t xml:space="preserve"> victims and prevention of violence against women and domestic violence. </w:t>
      </w:r>
      <w:r w:rsidR="00774C52" w:rsidRPr="00091080">
        <w:t xml:space="preserve">The </w:t>
      </w:r>
      <w:r w:rsidR="004021F2">
        <w:t xml:space="preserve">EU </w:t>
      </w:r>
      <w:r w:rsidR="00774C52" w:rsidRPr="00091080">
        <w:t xml:space="preserve">Directive must be transposed </w:t>
      </w:r>
      <w:r w:rsidR="00E70F04" w:rsidRPr="00091080">
        <w:t xml:space="preserve">in Ireland </w:t>
      </w:r>
      <w:r w:rsidR="00774C52" w:rsidRPr="00091080">
        <w:t>by June 2027.</w:t>
      </w:r>
      <w:r w:rsidR="00774C52" w:rsidRPr="00091080">
        <w:rPr>
          <w:rStyle w:val="FootnoteReference"/>
        </w:rPr>
        <w:footnoteReference w:id="81"/>
      </w:r>
      <w:r w:rsidR="00E70F04" w:rsidRPr="00091080">
        <w:t xml:space="preserve"> </w:t>
      </w:r>
      <w:r w:rsidR="004B7D09" w:rsidRPr="00091080">
        <w:t>T</w:t>
      </w:r>
      <w:r w:rsidR="00840020" w:rsidRPr="00091080">
        <w:t xml:space="preserve">he Executive </w:t>
      </w:r>
      <w:r w:rsidR="004B7D09" w:rsidRPr="00091080">
        <w:t>may wish</w:t>
      </w:r>
      <w:r w:rsidR="005E260E" w:rsidRPr="00091080">
        <w:t xml:space="preserve"> therefore</w:t>
      </w:r>
      <w:r w:rsidR="004B7D09" w:rsidRPr="00091080">
        <w:t xml:space="preserve"> to consider </w:t>
      </w:r>
      <w:r w:rsidR="00840020" w:rsidRPr="00091080">
        <w:t>voluntary align</w:t>
      </w:r>
      <w:r w:rsidR="004B7D09" w:rsidRPr="00091080">
        <w:t>ment</w:t>
      </w:r>
      <w:r w:rsidR="00840020" w:rsidRPr="00091080">
        <w:t xml:space="preserve"> with provisions t</w:t>
      </w:r>
      <w:r w:rsidR="0026506F" w:rsidRPr="00091080">
        <w:t>hat</w:t>
      </w:r>
      <w:r w:rsidR="00840020" w:rsidRPr="00091080">
        <w:t xml:space="preserve"> </w:t>
      </w:r>
      <w:r w:rsidR="004B7D09" w:rsidRPr="00091080">
        <w:t xml:space="preserve">improve protections afforded to women and girls and anyone affected by domestic violence and/or </w:t>
      </w:r>
      <w:r w:rsidR="00840020" w:rsidRPr="00091080">
        <w:t>mitigate divergence of rights on the island of Ireland</w:t>
      </w:r>
      <w:r w:rsidR="00BC4D68" w:rsidRPr="00091080">
        <w:t>.</w:t>
      </w:r>
    </w:p>
    <w:p w14:paraId="5D48E598" w14:textId="77777777" w:rsidR="00615462" w:rsidRPr="00091080" w:rsidRDefault="00615462" w:rsidP="00615462">
      <w:pPr>
        <w:pStyle w:val="ListParagraph"/>
        <w:spacing w:after="160" w:line="276" w:lineRule="auto"/>
        <w:rPr>
          <w:b/>
          <w:bCs/>
        </w:rPr>
      </w:pPr>
    </w:p>
    <w:p w14:paraId="628A4DD0" w14:textId="77777777" w:rsidR="00EB1CB5" w:rsidRPr="00091080" w:rsidRDefault="00EB1CB5" w:rsidP="00EB1CB5">
      <w:pPr>
        <w:pStyle w:val="Heading1"/>
      </w:pPr>
      <w:bookmarkStart w:id="14" w:name="_Toc242693112"/>
      <w:r w:rsidRPr="00091080">
        <w:t>Windsor Framework Article 2</w:t>
      </w:r>
      <w:bookmarkEnd w:id="14"/>
    </w:p>
    <w:p w14:paraId="6ED8182D" w14:textId="77777777" w:rsidR="00EB1CB5" w:rsidRPr="00091080" w:rsidRDefault="00EB1CB5" w:rsidP="00EB1CB5"/>
    <w:p w14:paraId="73245A99" w14:textId="77777777" w:rsidR="00EB1CB5" w:rsidRPr="00091080" w:rsidRDefault="00EB1CB5" w:rsidP="00EB1CB5">
      <w:pPr>
        <w:pStyle w:val="ListParagraph"/>
        <w:numPr>
          <w:ilvl w:val="0"/>
          <w:numId w:val="15"/>
        </w:numPr>
        <w:ind w:hanging="720"/>
      </w:pPr>
      <w:r w:rsidRPr="00091080">
        <w:t>Windsor Framework Article 2 requires the UK Government and NI Executive to ensure that there is no diminution of rights, safeguards or equality of opportunities contained in the relevant part of the Belfast (Good Friday) Agreement 1998, because of the UK’s withdrawal from the EU.</w:t>
      </w:r>
    </w:p>
    <w:p w14:paraId="54B4A148" w14:textId="77777777" w:rsidR="00EB1CB5" w:rsidRPr="00091080" w:rsidRDefault="00EB1CB5" w:rsidP="00EB1CB5">
      <w:pPr>
        <w:pStyle w:val="ListParagraph"/>
      </w:pPr>
    </w:p>
    <w:p w14:paraId="309C312E" w14:textId="77777777" w:rsidR="00EB1CB5" w:rsidRPr="00091080" w:rsidRDefault="00EB1CB5" w:rsidP="00EB1CB5">
      <w:pPr>
        <w:pStyle w:val="ListParagraph"/>
        <w:numPr>
          <w:ilvl w:val="0"/>
          <w:numId w:val="15"/>
        </w:numPr>
        <w:ind w:hanging="720"/>
      </w:pPr>
      <w:r w:rsidRPr="00091080">
        <w:t>Articles 2 and 13 of the Windsor Framework require that NI law dynamically aligns or “keeps pace” with any improvements to minimum standards of equality protection enshrined in six EU Equality Directives listed in Annex 1 to the Windsor Framework. For other EU obligations, the UK Government and NI Executive’s commitment is measured by the relevant EU standards as they were on 31 December 2020.</w:t>
      </w:r>
      <w:r w:rsidRPr="00091080">
        <w:rPr>
          <w:vertAlign w:val="superscript"/>
        </w:rPr>
        <w:footnoteReference w:id="82"/>
      </w:r>
    </w:p>
    <w:p w14:paraId="73178C5F" w14:textId="77777777" w:rsidR="00EB1CB5" w:rsidRPr="00091080" w:rsidRDefault="00EB1CB5" w:rsidP="00EB1CB5">
      <w:pPr>
        <w:pStyle w:val="ListParagraph"/>
      </w:pPr>
    </w:p>
    <w:p w14:paraId="69711078" w14:textId="1143E958" w:rsidR="00EB1CB5" w:rsidRPr="00091080" w:rsidRDefault="00EB1CB5" w:rsidP="00EB1CB5">
      <w:pPr>
        <w:pStyle w:val="ListParagraph"/>
        <w:numPr>
          <w:ilvl w:val="0"/>
          <w:numId w:val="15"/>
        </w:numPr>
        <w:ind w:hanging="720"/>
      </w:pPr>
      <w:r w:rsidRPr="00091080">
        <w:lastRenderedPageBreak/>
        <w:t>The relevant EU laws protecting victims’ rights in the context of this Bill are the EU Victims’ Directive (2012)</w:t>
      </w:r>
      <w:r w:rsidRPr="00091080">
        <w:rPr>
          <w:rStyle w:val="FootnoteReference"/>
        </w:rPr>
        <w:footnoteReference w:id="83"/>
      </w:r>
      <w:r w:rsidRPr="00091080">
        <w:t xml:space="preserve"> and the EU Human Trafficking Directive (2011).</w:t>
      </w:r>
      <w:r w:rsidRPr="00091080">
        <w:rPr>
          <w:rStyle w:val="FootnoteReference"/>
        </w:rPr>
        <w:footnoteReference w:id="84"/>
      </w:r>
    </w:p>
    <w:p w14:paraId="3191C474" w14:textId="77777777" w:rsidR="00EB1CB5" w:rsidRPr="00091080" w:rsidRDefault="00EB1CB5" w:rsidP="00EB1CB5">
      <w:pPr>
        <w:spacing w:line="288" w:lineRule="auto"/>
      </w:pPr>
    </w:p>
    <w:p w14:paraId="402A6F75" w14:textId="516BD466" w:rsidR="00EB1CB5" w:rsidRPr="00091080" w:rsidRDefault="00EB1CB5" w:rsidP="00EB1CB5">
      <w:pPr>
        <w:pStyle w:val="ListParagraph"/>
        <w:numPr>
          <w:ilvl w:val="0"/>
          <w:numId w:val="15"/>
        </w:numPr>
        <w:ind w:hanging="720"/>
      </w:pPr>
      <w:r w:rsidRPr="00091080">
        <w:t>The EU Victims’ Directive (2012) establishes minimum standards for the rights, support and protection of victims of crime, including procedural rights in criminal proceedings. The Directive was transposed into NI law via the Victim Charter in 2015.</w:t>
      </w:r>
      <w:r w:rsidR="00122775" w:rsidRPr="00091080">
        <w:rPr>
          <w:rStyle w:val="FootnoteReference"/>
        </w:rPr>
        <w:footnoteReference w:id="85"/>
      </w:r>
      <w:r w:rsidR="00122775" w:rsidRPr="00091080">
        <w:t xml:space="preserve"> </w:t>
      </w:r>
      <w:r w:rsidRPr="00091080">
        <w:t xml:space="preserve"> </w:t>
      </w:r>
    </w:p>
    <w:p w14:paraId="3702A2C3" w14:textId="77777777" w:rsidR="00EB1CB5" w:rsidRPr="00091080" w:rsidRDefault="00EB1CB5" w:rsidP="00EB1CB5">
      <w:pPr>
        <w:pStyle w:val="ListParagraph"/>
      </w:pPr>
    </w:p>
    <w:p w14:paraId="7B2AE2B6" w14:textId="58E54F2C" w:rsidR="00EB1CB5" w:rsidRPr="00091080" w:rsidRDefault="00EB1CB5" w:rsidP="00EB1CB5">
      <w:pPr>
        <w:pStyle w:val="ListParagraph"/>
        <w:numPr>
          <w:ilvl w:val="0"/>
          <w:numId w:val="15"/>
        </w:numPr>
        <w:ind w:hanging="720"/>
      </w:pPr>
      <w:r w:rsidRPr="00091080">
        <w:t>The EU Human Trafficking Directive (2011) establishes minimum standards for the protection, support, and rights of</w:t>
      </w:r>
      <w:r w:rsidR="00B70305" w:rsidRPr="00091080">
        <w:t xml:space="preserve"> victims of</w:t>
      </w:r>
      <w:r w:rsidRPr="00091080">
        <w:t xml:space="preserve"> human trafficking. </w:t>
      </w:r>
      <w:r w:rsidR="0032706E" w:rsidRPr="00091080">
        <w:t xml:space="preserve">Court judgments have established </w:t>
      </w:r>
      <w:r w:rsidRPr="00091080">
        <w:t xml:space="preserve">that the EU Human Trafficking Directive can fall within scope of </w:t>
      </w:r>
      <w:r w:rsidR="00122775" w:rsidRPr="00091080">
        <w:t xml:space="preserve">Windsor Framework </w:t>
      </w:r>
      <w:r w:rsidRPr="00091080">
        <w:t>Article 2.</w:t>
      </w:r>
      <w:r w:rsidRPr="00091080">
        <w:rPr>
          <w:rStyle w:val="FootnoteReference"/>
        </w:rPr>
        <w:footnoteReference w:id="86"/>
      </w:r>
      <w:r w:rsidRPr="00091080">
        <w:t xml:space="preserve"> </w:t>
      </w:r>
    </w:p>
    <w:p w14:paraId="37485215" w14:textId="77777777" w:rsidR="00EB1CB5" w:rsidRPr="00091080" w:rsidRDefault="00EB1CB5" w:rsidP="00EB1CB5">
      <w:pPr>
        <w:pStyle w:val="ListParagraph"/>
      </w:pPr>
    </w:p>
    <w:p w14:paraId="6C81D41B" w14:textId="648E46B5" w:rsidR="00EB1CB5" w:rsidRPr="00091080" w:rsidRDefault="00EB1CB5" w:rsidP="00EB1CB5">
      <w:pPr>
        <w:pStyle w:val="ListParagraph"/>
        <w:numPr>
          <w:ilvl w:val="0"/>
          <w:numId w:val="15"/>
        </w:numPr>
        <w:ind w:hanging="720"/>
      </w:pPr>
      <w:r w:rsidRPr="00091080">
        <w:t xml:space="preserve">In the </w:t>
      </w:r>
      <w:r w:rsidR="00122775" w:rsidRPr="00091080">
        <w:t xml:space="preserve">UK </w:t>
      </w:r>
      <w:r w:rsidRPr="00091080">
        <w:t xml:space="preserve">Supreme Court </w:t>
      </w:r>
      <w:r w:rsidR="0032706E" w:rsidRPr="00091080">
        <w:t>judgement</w:t>
      </w:r>
      <w:r w:rsidRPr="00091080">
        <w:t xml:space="preserve"> in</w:t>
      </w:r>
      <w:r w:rsidRPr="00091080">
        <w:rPr>
          <w:i/>
          <w:iCs/>
        </w:rPr>
        <w:t xml:space="preserve"> Dillon</w:t>
      </w:r>
      <w:r w:rsidRPr="00091080">
        <w:t xml:space="preserve"> the court considered the scope and effect of Windsor Framework Article 2 as well as the relevance of the EU Victims’ Directive (2012) to the protection of victims in NI.</w:t>
      </w:r>
      <w:r w:rsidRPr="00091080">
        <w:rPr>
          <w:rStyle w:val="FootnoteReference"/>
        </w:rPr>
        <w:footnoteReference w:id="87"/>
      </w:r>
      <w:r w:rsidRPr="00091080">
        <w:t xml:space="preserve"> To assist the Committee, the NIHRC has outlined those parts of the </w:t>
      </w:r>
      <w:r w:rsidR="00122775" w:rsidRPr="00091080">
        <w:t xml:space="preserve">Court’s </w:t>
      </w:r>
      <w:r w:rsidRPr="00091080">
        <w:t xml:space="preserve">ruling that are relevant to the understanding of minimum human rights standards in relation to the Victims and Witnesses of Crime Bill. </w:t>
      </w:r>
    </w:p>
    <w:p w14:paraId="4BB2FFE7" w14:textId="77777777" w:rsidR="00EB1CB5" w:rsidRPr="00091080" w:rsidRDefault="00EB1CB5" w:rsidP="00EB1CB5">
      <w:pPr>
        <w:spacing w:line="288" w:lineRule="auto"/>
        <w:rPr>
          <w:b/>
          <w:bCs/>
        </w:rPr>
      </w:pPr>
    </w:p>
    <w:p w14:paraId="2D101091" w14:textId="701E16C7" w:rsidR="00EB1CB5" w:rsidRPr="00091080" w:rsidRDefault="00EB1CB5" w:rsidP="00EB1CB5">
      <w:pPr>
        <w:pStyle w:val="Heading2"/>
        <w:spacing w:line="276" w:lineRule="auto"/>
      </w:pPr>
      <w:bookmarkStart w:id="15" w:name="_Toc242693113"/>
      <w:r w:rsidRPr="00091080">
        <w:t xml:space="preserve">Victims’ </w:t>
      </w:r>
      <w:r w:rsidRPr="00091080">
        <w:rPr>
          <w:bCs/>
        </w:rPr>
        <w:t>rights within scope</w:t>
      </w:r>
      <w:r w:rsidR="008924EA" w:rsidRPr="00091080">
        <w:rPr>
          <w:bCs/>
        </w:rPr>
        <w:t xml:space="preserve"> of Article 2 Windsor Framework</w:t>
      </w:r>
      <w:bookmarkEnd w:id="15"/>
    </w:p>
    <w:p w14:paraId="5C5867BC" w14:textId="77777777" w:rsidR="00EB1CB5" w:rsidRPr="00091080" w:rsidRDefault="00EB1CB5" w:rsidP="00EB1CB5">
      <w:pPr>
        <w:spacing w:line="288" w:lineRule="auto"/>
        <w:rPr>
          <w:b/>
          <w:bCs/>
        </w:rPr>
      </w:pPr>
    </w:p>
    <w:p w14:paraId="46908810" w14:textId="5C24DA4F" w:rsidR="00EB1CB5" w:rsidRPr="00091080" w:rsidRDefault="00EB1CB5" w:rsidP="00EB1CB5">
      <w:pPr>
        <w:pStyle w:val="ListParagraph"/>
        <w:numPr>
          <w:ilvl w:val="0"/>
          <w:numId w:val="15"/>
        </w:numPr>
        <w:ind w:hanging="720"/>
      </w:pPr>
      <w:r w:rsidRPr="00091080">
        <w:t>The NIHRC considers that the EU Victims</w:t>
      </w:r>
      <w:r w:rsidR="00122775" w:rsidRPr="00091080">
        <w:t>’</w:t>
      </w:r>
      <w:r w:rsidRPr="00091080">
        <w:t xml:space="preserve"> Directive </w:t>
      </w:r>
      <w:r w:rsidR="00122775" w:rsidRPr="00091080">
        <w:t xml:space="preserve">(2012) </w:t>
      </w:r>
      <w:r w:rsidRPr="00091080">
        <w:t xml:space="preserve">continues to set minimum standards in NI, since it bound the UK before Brexit and protects rights falling within the ambit of the RSEO chapter of the Belfast (Good Friday) Agreement. The RSEO chapter includes </w:t>
      </w:r>
      <w:r w:rsidR="00A9144B" w:rsidRPr="00091080">
        <w:t xml:space="preserve">specific </w:t>
      </w:r>
      <w:r w:rsidRPr="00091080">
        <w:t>commitments to civil rights, equality and victims of crime.</w:t>
      </w:r>
      <w:r w:rsidR="008304E4" w:rsidRPr="00091080">
        <w:rPr>
          <w:rStyle w:val="FootnoteReference"/>
        </w:rPr>
        <w:footnoteReference w:id="88"/>
      </w:r>
      <w:r w:rsidR="008304E4" w:rsidRPr="00091080">
        <w:t xml:space="preserve"> </w:t>
      </w:r>
      <w:r w:rsidRPr="00091080">
        <w:t xml:space="preserve">     </w:t>
      </w:r>
    </w:p>
    <w:p w14:paraId="31C0B5D0" w14:textId="77777777" w:rsidR="00EB1CB5" w:rsidRPr="00091080" w:rsidRDefault="00EB1CB5" w:rsidP="00EB1CB5">
      <w:pPr>
        <w:pStyle w:val="ListParagraph"/>
      </w:pPr>
    </w:p>
    <w:p w14:paraId="490BCAE6" w14:textId="094CD876" w:rsidR="00EB1CB5" w:rsidRPr="00091080" w:rsidRDefault="00EB1CB5" w:rsidP="00EB1CB5">
      <w:pPr>
        <w:pStyle w:val="ListParagraph"/>
        <w:numPr>
          <w:ilvl w:val="0"/>
          <w:numId w:val="15"/>
        </w:numPr>
        <w:ind w:hanging="720"/>
      </w:pPr>
      <w:r w:rsidRPr="00091080">
        <w:t xml:space="preserve">The UK Supreme Court in Dillon </w:t>
      </w:r>
      <w:r w:rsidR="001155F0" w:rsidRPr="00091080">
        <w:t>observed</w:t>
      </w:r>
      <w:r w:rsidRPr="00091080">
        <w:t xml:space="preserve"> that Windsor Framework Article 2 may create enforceable rights in conjunction with EU measures falling “within the ambit” of the RSEO chapter, where a clear and precise </w:t>
      </w:r>
      <w:r w:rsidRPr="00091080">
        <w:lastRenderedPageBreak/>
        <w:t>obligation can be identified in EU law as outlined below.</w:t>
      </w:r>
      <w:r w:rsidRPr="00091080">
        <w:rPr>
          <w:rStyle w:val="FootnoteReference"/>
        </w:rPr>
        <w:footnoteReference w:id="89"/>
      </w:r>
      <w:r w:rsidRPr="00091080">
        <w:rPr>
          <w:rStyle w:val="Heading4Char"/>
        </w:rPr>
        <w:t xml:space="preserve"> </w:t>
      </w:r>
      <w:r w:rsidRPr="00091080">
        <w:t xml:space="preserve">However, the </w:t>
      </w:r>
      <w:r w:rsidR="008304E4" w:rsidRPr="00091080">
        <w:t xml:space="preserve">UK </w:t>
      </w:r>
      <w:r w:rsidRPr="00091080">
        <w:t xml:space="preserve">Supreme Court in </w:t>
      </w:r>
      <w:r w:rsidRPr="00091080">
        <w:rPr>
          <w:i/>
          <w:iCs/>
        </w:rPr>
        <w:t>Dillon</w:t>
      </w:r>
      <w:r w:rsidRPr="00091080">
        <w:t xml:space="preserve"> did not define the ambit of the RSEO chapter.</w:t>
      </w:r>
      <w:r w:rsidR="00D7421C" w:rsidRPr="00091080">
        <w:t xml:space="preserve"> </w:t>
      </w:r>
      <w:r w:rsidR="000F28F9" w:rsidRPr="00091080">
        <w:t>Instead,</w:t>
      </w:r>
      <w:r w:rsidR="00D7421C" w:rsidRPr="00091080">
        <w:t xml:space="preserve"> i</w:t>
      </w:r>
      <w:r w:rsidRPr="00091080">
        <w:t>t considered</w:t>
      </w:r>
      <w:r w:rsidR="00D7421C" w:rsidRPr="00091080">
        <w:t xml:space="preserve"> only</w:t>
      </w:r>
      <w:r w:rsidRPr="00091080">
        <w:t xml:space="preserve"> three paragraphs of the RSEO chapter, in relation to </w:t>
      </w:r>
      <w:r w:rsidR="00D7421C" w:rsidRPr="00091080">
        <w:t xml:space="preserve">only </w:t>
      </w:r>
      <w:r w:rsidRPr="00091080">
        <w:t>two provisions</w:t>
      </w:r>
      <w:r w:rsidRPr="00091080">
        <w:rPr>
          <w:i/>
          <w:iCs/>
        </w:rPr>
        <w:t xml:space="preserve"> </w:t>
      </w:r>
      <w:r w:rsidRPr="00091080">
        <w:t>of the EU Victims’ Directive</w:t>
      </w:r>
      <w:r w:rsidR="008304E4" w:rsidRPr="00091080">
        <w:t xml:space="preserve"> (2012)</w:t>
      </w:r>
      <w:r w:rsidRPr="00091080">
        <w:t xml:space="preserve"> -</w:t>
      </w:r>
      <w:r w:rsidRPr="00091080">
        <w:rPr>
          <w:i/>
          <w:iCs/>
        </w:rPr>
        <w:t xml:space="preserve"> </w:t>
      </w:r>
      <w:r w:rsidRPr="00091080">
        <w:t>Articles 11 and 16</w:t>
      </w:r>
      <w:r w:rsidR="00551671" w:rsidRPr="00091080">
        <w:t>. That was the limit of the submission put to the UK</w:t>
      </w:r>
      <w:r w:rsidR="00F57ACD">
        <w:t xml:space="preserve"> Supreme Court </w:t>
      </w:r>
      <w:r w:rsidR="006C0B1D" w:rsidRPr="00091080">
        <w:t>by the respondents.</w:t>
      </w:r>
      <w:r w:rsidRPr="00091080">
        <w:rPr>
          <w:vertAlign w:val="superscript"/>
        </w:rPr>
        <w:footnoteReference w:id="90"/>
      </w:r>
      <w:r w:rsidRPr="00091080">
        <w:t xml:space="preserve"> </w:t>
      </w:r>
    </w:p>
    <w:p w14:paraId="6473A754" w14:textId="77777777" w:rsidR="00EB1CB5" w:rsidRPr="00091080" w:rsidRDefault="00EB1CB5" w:rsidP="00EB1CB5">
      <w:pPr>
        <w:pStyle w:val="ListParagraph"/>
      </w:pPr>
    </w:p>
    <w:p w14:paraId="43E7302F" w14:textId="5F90A1D6" w:rsidR="00EB1CB5" w:rsidRPr="00091080" w:rsidRDefault="00EB1CB5" w:rsidP="00EB1CB5">
      <w:pPr>
        <w:pStyle w:val="ListParagraph"/>
        <w:numPr>
          <w:ilvl w:val="0"/>
          <w:numId w:val="15"/>
        </w:numPr>
        <w:ind w:hanging="720"/>
      </w:pPr>
      <w:r w:rsidRPr="00091080">
        <w:t xml:space="preserve">The </w:t>
      </w:r>
      <w:r w:rsidR="00B57BE9" w:rsidRPr="00091080">
        <w:t>C</w:t>
      </w:r>
      <w:r w:rsidRPr="00091080">
        <w:t xml:space="preserve">ourt </w:t>
      </w:r>
      <w:r w:rsidR="00361B15" w:rsidRPr="00091080">
        <w:t>held</w:t>
      </w:r>
      <w:r w:rsidRPr="00091080">
        <w:t xml:space="preserve"> that ‘civil rights’ in paragraph 1 of the RSEO chapter “refer at a general level to civil and political rights” and </w:t>
      </w:r>
      <w:r w:rsidR="00D100C3" w:rsidRPr="00091080">
        <w:t>do</w:t>
      </w:r>
      <w:r w:rsidRPr="00091080">
        <w:t xml:space="preserve"> not cover the rights in EU Victims’ Directive Article 11 (right to a review of a decision not to prosecute) or Article 16 (right to compensation).</w:t>
      </w:r>
      <w:r w:rsidRPr="00091080">
        <w:rPr>
          <w:vertAlign w:val="superscript"/>
        </w:rPr>
        <w:footnoteReference w:id="91"/>
      </w:r>
      <w:r w:rsidRPr="00091080">
        <w:t xml:space="preserve"> </w:t>
      </w:r>
    </w:p>
    <w:p w14:paraId="17305FC8" w14:textId="77777777" w:rsidR="00EB1CB5" w:rsidRPr="00091080" w:rsidRDefault="00EB1CB5" w:rsidP="00EB1CB5">
      <w:pPr>
        <w:pStyle w:val="ListParagraph"/>
      </w:pPr>
    </w:p>
    <w:p w14:paraId="35D733EE" w14:textId="584176D3" w:rsidR="00EB1CB5" w:rsidRPr="00091080" w:rsidRDefault="00EB1CB5" w:rsidP="00EB1CB5">
      <w:pPr>
        <w:pStyle w:val="ListParagraph"/>
        <w:numPr>
          <w:ilvl w:val="0"/>
          <w:numId w:val="15"/>
        </w:numPr>
        <w:ind w:hanging="720"/>
      </w:pPr>
      <w:r w:rsidRPr="00091080">
        <w:t xml:space="preserve">The </w:t>
      </w:r>
      <w:r w:rsidR="00B57BE9" w:rsidRPr="00091080">
        <w:t xml:space="preserve">Court </w:t>
      </w:r>
      <w:r w:rsidRPr="00091080">
        <w:t xml:space="preserve">further </w:t>
      </w:r>
      <w:r w:rsidR="000546A6" w:rsidRPr="00091080">
        <w:t>held</w:t>
      </w:r>
      <w:r w:rsidRPr="00091080">
        <w:t xml:space="preserve"> that paragraph 12 of the RSEO chapter (the right of victims to remember as well as to contribute to a changed society) did not cover rights under Articles 11 or 16 of the EU Victims’ Directive.</w:t>
      </w:r>
      <w:r w:rsidRPr="00091080">
        <w:rPr>
          <w:rStyle w:val="FootnoteReference"/>
        </w:rPr>
        <w:footnoteReference w:id="92"/>
      </w:r>
      <w:r w:rsidRPr="00091080">
        <w:t xml:space="preserve"> </w:t>
      </w:r>
    </w:p>
    <w:p w14:paraId="1BEFF4C0" w14:textId="77777777" w:rsidR="00EB1CB5" w:rsidRPr="00091080" w:rsidRDefault="00EB1CB5" w:rsidP="00EB1CB5">
      <w:pPr>
        <w:spacing w:line="288" w:lineRule="auto"/>
      </w:pPr>
    </w:p>
    <w:p w14:paraId="5F8D2192" w14:textId="1B427E36" w:rsidR="00EB1CB5" w:rsidRPr="00091080" w:rsidRDefault="00EB1CB5" w:rsidP="00EB1CB5">
      <w:pPr>
        <w:pStyle w:val="ListParagraph"/>
        <w:numPr>
          <w:ilvl w:val="0"/>
          <w:numId w:val="15"/>
        </w:numPr>
        <w:ind w:hanging="720"/>
      </w:pPr>
      <w:r w:rsidRPr="00091080">
        <w:t xml:space="preserve">Importantly, however, the </w:t>
      </w:r>
      <w:r w:rsidR="000546A6" w:rsidRPr="00091080">
        <w:t>C</w:t>
      </w:r>
      <w:r w:rsidRPr="00091080">
        <w:t xml:space="preserve">ourt </w:t>
      </w:r>
      <w:r w:rsidR="000546A6" w:rsidRPr="00091080">
        <w:t xml:space="preserve">observed it was arguable </w:t>
      </w:r>
      <w:r w:rsidRPr="00091080">
        <w:t>that paragraph 11 of the RSEO chapter</w:t>
      </w:r>
      <w:r w:rsidRPr="00091080">
        <w:rPr>
          <w:vertAlign w:val="superscript"/>
        </w:rPr>
        <w:footnoteReference w:id="93"/>
      </w:r>
      <w:r w:rsidRPr="00091080">
        <w:t xml:space="preserve"> does cover the relevant rights in the EU Victims’ Directive</w:t>
      </w:r>
      <w:r w:rsidR="008304E4" w:rsidRPr="00091080">
        <w:t xml:space="preserve"> (2012)</w:t>
      </w:r>
      <w:r w:rsidR="007515DC" w:rsidRPr="00091080">
        <w:t xml:space="preserve">. The Court did not </w:t>
      </w:r>
      <w:r w:rsidRPr="00091080">
        <w:t xml:space="preserve">need to decide </w:t>
      </w:r>
      <w:r w:rsidR="00940EAC" w:rsidRPr="00091080">
        <w:t xml:space="preserve">the point </w:t>
      </w:r>
      <w:r w:rsidRPr="00091080">
        <w:t>since it had already concluded there was no diminution of rights in</w:t>
      </w:r>
      <w:r w:rsidR="00940EAC" w:rsidRPr="00091080">
        <w:t xml:space="preserve"> the </w:t>
      </w:r>
      <w:proofErr w:type="gramStart"/>
      <w:r w:rsidR="00940EAC" w:rsidRPr="00091080">
        <w:t>particular instance</w:t>
      </w:r>
      <w:proofErr w:type="gramEnd"/>
      <w:r w:rsidR="00940EAC" w:rsidRPr="00091080">
        <w:t xml:space="preserve"> outlined in </w:t>
      </w:r>
      <w:r w:rsidR="00940EAC" w:rsidRPr="00091080">
        <w:rPr>
          <w:i/>
          <w:iCs/>
        </w:rPr>
        <w:t>Dillon</w:t>
      </w:r>
      <w:r w:rsidR="00560F26" w:rsidRPr="00091080">
        <w:t>.</w:t>
      </w:r>
      <w:r w:rsidRPr="00091080">
        <w:rPr>
          <w:rStyle w:val="FootnoteReference"/>
        </w:rPr>
        <w:footnoteReference w:id="94"/>
      </w:r>
      <w:r w:rsidRPr="00091080">
        <w:t xml:space="preserve"> </w:t>
      </w:r>
    </w:p>
    <w:p w14:paraId="444DC43E" w14:textId="77777777" w:rsidR="00EB1CB5" w:rsidRPr="00091080" w:rsidRDefault="00EB1CB5" w:rsidP="00EB1CB5">
      <w:pPr>
        <w:spacing w:line="288" w:lineRule="auto"/>
      </w:pPr>
    </w:p>
    <w:p w14:paraId="766E4F11" w14:textId="5B338A12" w:rsidR="00EB1CB5" w:rsidRPr="00091080" w:rsidRDefault="00360248" w:rsidP="00EB1CB5">
      <w:pPr>
        <w:pStyle w:val="ListParagraph"/>
        <w:numPr>
          <w:ilvl w:val="0"/>
          <w:numId w:val="15"/>
        </w:numPr>
        <w:ind w:hanging="720"/>
      </w:pPr>
      <w:r w:rsidRPr="00091080">
        <w:t xml:space="preserve">Further, the Court stated that it was unnecessary to determine whether Articles 11 and 16 of the EU Victims’ Directive </w:t>
      </w:r>
      <w:r w:rsidR="00F643C0" w:rsidRPr="00091080">
        <w:t>(2012)</w:t>
      </w:r>
      <w:r w:rsidRPr="00091080">
        <w:t xml:space="preserve"> </w:t>
      </w:r>
      <w:proofErr w:type="gramStart"/>
      <w:r w:rsidRPr="00091080">
        <w:t>were capable of securing</w:t>
      </w:r>
      <w:proofErr w:type="gramEnd"/>
      <w:r w:rsidRPr="00091080">
        <w:t xml:space="preserve"> enforceable rights in individual cases, rather than in respect of prosecution policy more generally. In the latter the Court held that it did not secure enforceable rights.</w:t>
      </w:r>
      <w:r w:rsidR="00EB1CB5" w:rsidRPr="00091080">
        <w:rPr>
          <w:rStyle w:val="FootnoteReference"/>
        </w:rPr>
        <w:footnoteReference w:id="95"/>
      </w:r>
      <w:r w:rsidR="00EB1CB5" w:rsidRPr="00091080">
        <w:t xml:space="preserve"> </w:t>
      </w:r>
    </w:p>
    <w:p w14:paraId="00DC497F" w14:textId="77777777" w:rsidR="00EB1CB5" w:rsidRPr="00091080" w:rsidRDefault="00EB1CB5" w:rsidP="00EB1CB5">
      <w:pPr>
        <w:spacing w:line="288" w:lineRule="auto"/>
      </w:pPr>
    </w:p>
    <w:p w14:paraId="1DFC4C9A" w14:textId="38937724" w:rsidR="00EB1CB5" w:rsidRPr="00091080" w:rsidRDefault="008F2DCF" w:rsidP="00EB1CB5">
      <w:pPr>
        <w:pStyle w:val="ListParagraph"/>
        <w:numPr>
          <w:ilvl w:val="0"/>
          <w:numId w:val="15"/>
        </w:numPr>
        <w:ind w:hanging="720"/>
      </w:pPr>
      <w:r w:rsidRPr="00091080">
        <w:t xml:space="preserve">Some aspects of the </w:t>
      </w:r>
      <w:r w:rsidR="00EB1CB5" w:rsidRPr="00091080">
        <w:t xml:space="preserve">NI Court of Appeal </w:t>
      </w:r>
      <w:r w:rsidRPr="00091080">
        <w:t>judgment</w:t>
      </w:r>
      <w:r w:rsidR="00760342">
        <w:t>,</w:t>
      </w:r>
      <w:r w:rsidRPr="00091080">
        <w:t xml:space="preserve"> </w:t>
      </w:r>
      <w:r w:rsidR="00EB1CB5" w:rsidRPr="00091080">
        <w:t>which held that provisions of the</w:t>
      </w:r>
      <w:r w:rsidR="00222E1A" w:rsidRPr="00091080">
        <w:t xml:space="preserve"> EU</w:t>
      </w:r>
      <w:r w:rsidR="00EB1CB5" w:rsidRPr="00091080">
        <w:t xml:space="preserve"> Victims’ Directive </w:t>
      </w:r>
      <w:r w:rsidR="00222E1A" w:rsidRPr="00091080">
        <w:t xml:space="preserve">(2012) </w:t>
      </w:r>
      <w:r w:rsidR="00EB1CB5" w:rsidRPr="00091080">
        <w:t>could fall within the notion of victims’ rights protected under Windsor Framework Article 2</w:t>
      </w:r>
      <w:r w:rsidR="00760342">
        <w:t>,</w:t>
      </w:r>
      <w:r w:rsidR="00936ECD" w:rsidRPr="00091080">
        <w:t xml:space="preserve"> were not </w:t>
      </w:r>
      <w:r w:rsidR="00936ECD" w:rsidRPr="00091080">
        <w:lastRenderedPageBreak/>
        <w:t>specifically overturned</w:t>
      </w:r>
      <w:r w:rsidR="00EB1CB5" w:rsidRPr="00091080">
        <w:t>.</w:t>
      </w:r>
      <w:r w:rsidR="00EB1CB5" w:rsidRPr="00091080">
        <w:rPr>
          <w:vertAlign w:val="superscript"/>
        </w:rPr>
        <w:footnoteReference w:id="96"/>
      </w:r>
      <w:r w:rsidR="00EB1CB5" w:rsidRPr="00091080">
        <w:t xml:space="preserve"> The EU Victims’ Directive</w:t>
      </w:r>
      <w:r w:rsidR="00222E1A" w:rsidRPr="00091080">
        <w:t xml:space="preserve"> (2012)</w:t>
      </w:r>
      <w:r w:rsidR="00EB1CB5" w:rsidRPr="00091080">
        <w:t xml:space="preserve"> has </w:t>
      </w:r>
      <w:r w:rsidR="00936ECD" w:rsidRPr="00091080">
        <w:t xml:space="preserve">therefore </w:t>
      </w:r>
      <w:r w:rsidR="00EB1CB5" w:rsidRPr="00091080">
        <w:t xml:space="preserve">not been </w:t>
      </w:r>
      <w:r w:rsidR="00936ECD" w:rsidRPr="00091080">
        <w:t>held</w:t>
      </w:r>
      <w:r w:rsidR="00EB1CB5" w:rsidRPr="00091080">
        <w:t xml:space="preserve"> to fall outside the ambit of the RSEO chapter.</w:t>
      </w:r>
      <w:r w:rsidR="00EB1CB5" w:rsidRPr="00091080">
        <w:rPr>
          <w:rStyle w:val="FootnoteReference"/>
        </w:rPr>
        <w:footnoteReference w:id="97"/>
      </w:r>
      <w:r w:rsidR="00EB1CB5" w:rsidRPr="00091080">
        <w:t xml:space="preserve">  </w:t>
      </w:r>
    </w:p>
    <w:p w14:paraId="73138403" w14:textId="77777777" w:rsidR="00EB1CB5" w:rsidRPr="00091080" w:rsidRDefault="00EB1CB5" w:rsidP="00EB1CB5">
      <w:pPr>
        <w:spacing w:line="276" w:lineRule="auto"/>
        <w:rPr>
          <w:b/>
          <w:bCs/>
        </w:rPr>
      </w:pPr>
    </w:p>
    <w:p w14:paraId="4EBC6B27" w14:textId="77777777" w:rsidR="00EB1CB5" w:rsidRPr="00091080" w:rsidRDefault="00EB1CB5" w:rsidP="00EB1CB5">
      <w:pPr>
        <w:pStyle w:val="Heading2"/>
        <w:spacing w:line="276" w:lineRule="auto"/>
      </w:pPr>
      <w:bookmarkStart w:id="16" w:name="_Toc242693114"/>
      <w:r w:rsidRPr="00091080">
        <w:t xml:space="preserve">ECHR rights relevant to </w:t>
      </w:r>
      <w:r w:rsidRPr="00091080">
        <w:rPr>
          <w:bCs/>
        </w:rPr>
        <w:t>W</w:t>
      </w:r>
      <w:r w:rsidRPr="00091080">
        <w:t>indsor Framework Article 2</w:t>
      </w:r>
      <w:bookmarkEnd w:id="16"/>
    </w:p>
    <w:p w14:paraId="2D67835F" w14:textId="77777777" w:rsidR="00EB1CB5" w:rsidRPr="00091080" w:rsidRDefault="00EB1CB5" w:rsidP="00EB1CB5">
      <w:pPr>
        <w:pStyle w:val="ListParagraph"/>
        <w:spacing w:line="276" w:lineRule="auto"/>
      </w:pPr>
    </w:p>
    <w:p w14:paraId="7727A2EF" w14:textId="5ACDA59D" w:rsidR="00EB1CB5" w:rsidRPr="00091080" w:rsidRDefault="00EB1CB5" w:rsidP="00EB1CB5">
      <w:pPr>
        <w:pStyle w:val="ListParagraph"/>
        <w:numPr>
          <w:ilvl w:val="0"/>
          <w:numId w:val="15"/>
        </w:numPr>
        <w:ind w:hanging="720"/>
      </w:pPr>
      <w:r w:rsidRPr="00091080">
        <w:t xml:space="preserve">Subject </w:t>
      </w:r>
      <w:r w:rsidR="006C0A3E" w:rsidRPr="00091080">
        <w:t xml:space="preserve">to any future consideration by the courts, the NIHRC is of the view that the full range of ECHR rights fall ‘within the ambit’ of the RSEO chapter </w:t>
      </w:r>
      <w:r w:rsidR="006C0A3E" w:rsidRPr="00091080">
        <w:rPr>
          <w:rFonts w:eastAsia="Times New Roman" w:cs="Times New Roman"/>
          <w:color w:val="000000"/>
        </w:rPr>
        <w:t xml:space="preserve">of the Belfast (Good Friday) Agreement. That is because there is a clear and specific </w:t>
      </w:r>
      <w:r w:rsidR="006C0A3E" w:rsidRPr="00091080">
        <w:t>commitment in paragraph 2</w:t>
      </w:r>
      <w:r w:rsidR="00264BCD" w:rsidRPr="00091080">
        <w:t xml:space="preserve"> of the</w:t>
      </w:r>
      <w:r w:rsidR="006C0A3E" w:rsidRPr="00091080">
        <w:t xml:space="preserve"> RSEO</w:t>
      </w:r>
      <w:r w:rsidR="00264BCD" w:rsidRPr="00091080">
        <w:t xml:space="preserve"> chapter</w:t>
      </w:r>
      <w:r w:rsidR="006C0A3E" w:rsidRPr="00091080">
        <w:t xml:space="preserve"> to incorporate fully the ECHR into UK law. </w:t>
      </w:r>
      <w:r w:rsidR="006C0A3E" w:rsidRPr="00091080">
        <w:rPr>
          <w:rFonts w:eastAsia="Times New Roman" w:cs="Times New Roman"/>
          <w:color w:val="000000"/>
        </w:rPr>
        <w:t xml:space="preserve">The NIHRC also considers that the EU Victims’ Directive </w:t>
      </w:r>
      <w:r w:rsidR="00264BCD" w:rsidRPr="00091080">
        <w:rPr>
          <w:rFonts w:eastAsia="Times New Roman" w:cs="Times New Roman"/>
          <w:color w:val="000000"/>
        </w:rPr>
        <w:t xml:space="preserve">(2012) </w:t>
      </w:r>
      <w:r w:rsidR="006C0A3E" w:rsidRPr="00091080">
        <w:rPr>
          <w:rFonts w:eastAsia="Times New Roman" w:cs="Times New Roman"/>
          <w:color w:val="000000"/>
        </w:rPr>
        <w:t>is within the scope of Windsor Framework Article 2 on the same basis. Court decisions have held that ECHR rights do fall within the ambit of the RSEO chapter.</w:t>
      </w:r>
      <w:r w:rsidR="006C0A3E" w:rsidRPr="00091080">
        <w:rPr>
          <w:rStyle w:val="FootnoteReference"/>
          <w:rFonts w:eastAsia="Times New Roman" w:cs="Times New Roman"/>
          <w:color w:val="000000"/>
        </w:rPr>
        <w:footnoteReference w:id="98"/>
      </w:r>
      <w:r w:rsidR="006C0A3E" w:rsidRPr="00091080">
        <w:rPr>
          <w:rFonts w:eastAsia="Times New Roman" w:cs="Times New Roman"/>
          <w:color w:val="000000"/>
        </w:rPr>
        <w:t xml:space="preserve"> Those judgments remain the authority on this point, which was not considered by the UK Supreme Court in </w:t>
      </w:r>
      <w:r w:rsidR="006C0A3E" w:rsidRPr="00091080">
        <w:rPr>
          <w:rFonts w:eastAsia="Times New Roman" w:cs="Times New Roman"/>
          <w:i/>
          <w:iCs/>
          <w:color w:val="000000"/>
        </w:rPr>
        <w:t>Dillon</w:t>
      </w:r>
      <w:r w:rsidRPr="00091080">
        <w:rPr>
          <w:rFonts w:eastAsia="Times New Roman" w:cs="Times New Roman"/>
          <w:color w:val="000000"/>
        </w:rPr>
        <w:t>.</w:t>
      </w:r>
      <w:r w:rsidRPr="00091080">
        <w:rPr>
          <w:rStyle w:val="FootnoteReference"/>
          <w:rFonts w:eastAsia="Times New Roman" w:cs="Times New Roman"/>
          <w:color w:val="000000"/>
        </w:rPr>
        <w:footnoteReference w:id="99"/>
      </w:r>
    </w:p>
    <w:p w14:paraId="46A29958" w14:textId="77777777" w:rsidR="00EB1CB5" w:rsidRPr="00091080" w:rsidRDefault="00EB1CB5" w:rsidP="00EB1CB5">
      <w:pPr>
        <w:spacing w:line="288" w:lineRule="auto"/>
      </w:pPr>
    </w:p>
    <w:p w14:paraId="66E19BCF" w14:textId="7442371F" w:rsidR="00EB1CB5" w:rsidRPr="00091080" w:rsidRDefault="00EB1CB5" w:rsidP="00EB1CB5">
      <w:pPr>
        <w:pStyle w:val="ListParagraph"/>
        <w:numPr>
          <w:ilvl w:val="0"/>
          <w:numId w:val="15"/>
        </w:numPr>
        <w:ind w:hanging="720"/>
      </w:pPr>
      <w:r w:rsidRPr="00091080">
        <w:t xml:space="preserve">The </w:t>
      </w:r>
      <w:r w:rsidR="002453EB" w:rsidRPr="00091080">
        <w:t>ECtHR has recognised and included victims’ rights when considering specific articles of the ECHR such as Article 2 (the right to life)</w:t>
      </w:r>
      <w:r w:rsidR="00222E1A" w:rsidRPr="00091080">
        <w:t>,</w:t>
      </w:r>
      <w:r w:rsidRPr="00091080">
        <w:rPr>
          <w:rStyle w:val="FootnoteReference"/>
        </w:rPr>
        <w:footnoteReference w:id="100"/>
      </w:r>
      <w:r w:rsidRPr="00091080">
        <w:t xml:space="preserve"> Article 3 (freedom from torture, inhuman and degrading treatment)</w:t>
      </w:r>
      <w:r w:rsidR="00222E1A" w:rsidRPr="00091080">
        <w:t>,</w:t>
      </w:r>
      <w:r w:rsidRPr="00091080">
        <w:rPr>
          <w:rStyle w:val="FootnoteReference"/>
        </w:rPr>
        <w:footnoteReference w:id="101"/>
      </w:r>
      <w:r w:rsidRPr="00091080">
        <w:t xml:space="preserve"> Article 4 (freedom from slavery and forced labour)</w:t>
      </w:r>
      <w:r w:rsidRPr="00091080">
        <w:rPr>
          <w:rStyle w:val="FootnoteReference"/>
        </w:rPr>
        <w:footnoteReference w:id="102"/>
      </w:r>
      <w:r w:rsidRPr="00091080">
        <w:t xml:space="preserve"> and Article 8 (right to a private and family life, including bodily integrity).</w:t>
      </w:r>
      <w:r w:rsidRPr="00091080">
        <w:rPr>
          <w:rStyle w:val="FootnoteReference"/>
        </w:rPr>
        <w:footnoteReference w:id="103"/>
      </w:r>
      <w:r w:rsidRPr="00091080">
        <w:t xml:space="preserve"> The EU Victims’ Directive</w:t>
      </w:r>
      <w:r w:rsidR="003D5F08" w:rsidRPr="00091080">
        <w:t xml:space="preserve"> (2012)</w:t>
      </w:r>
      <w:r w:rsidRPr="00091080">
        <w:t xml:space="preserve"> contains provisions which underpin ECHR rights </w:t>
      </w:r>
      <w:r w:rsidR="00BA19E3" w:rsidRPr="00091080">
        <w:t>that</w:t>
      </w:r>
      <w:r w:rsidRPr="00091080">
        <w:t xml:space="preserve"> were in place before the end of the</w:t>
      </w:r>
      <w:r w:rsidR="00BA19E3" w:rsidRPr="00091080">
        <w:t xml:space="preserve"> relevant</w:t>
      </w:r>
      <w:r w:rsidRPr="00091080">
        <w:t xml:space="preserve"> transition period.</w:t>
      </w:r>
      <w:r w:rsidR="003D5F08" w:rsidRPr="00091080">
        <w:rPr>
          <w:rStyle w:val="FootnoteReference"/>
        </w:rPr>
        <w:footnoteReference w:id="104"/>
      </w:r>
      <w:r w:rsidR="003D5F08" w:rsidRPr="00091080">
        <w:t xml:space="preserve"> </w:t>
      </w:r>
      <w:r w:rsidRPr="00091080">
        <w:t xml:space="preserve"> </w:t>
      </w:r>
    </w:p>
    <w:p w14:paraId="7823420A" w14:textId="77777777" w:rsidR="00EB1CB5" w:rsidRPr="00091080" w:rsidRDefault="00EB1CB5" w:rsidP="00EB1CB5">
      <w:pPr>
        <w:pStyle w:val="ListParagraph"/>
        <w:spacing w:line="276" w:lineRule="auto"/>
      </w:pPr>
    </w:p>
    <w:p w14:paraId="7BA984C5" w14:textId="77777777" w:rsidR="00EB1CB5" w:rsidRPr="00091080" w:rsidRDefault="00EB1CB5" w:rsidP="00EB1CB5">
      <w:pPr>
        <w:pStyle w:val="Heading2"/>
        <w:spacing w:line="276" w:lineRule="auto"/>
      </w:pPr>
      <w:bookmarkStart w:id="17" w:name="_Toc242693115"/>
      <w:r w:rsidRPr="00091080">
        <w:t>Direct effect</w:t>
      </w:r>
      <w:bookmarkEnd w:id="17"/>
    </w:p>
    <w:p w14:paraId="3157859C" w14:textId="77777777" w:rsidR="00EB1CB5" w:rsidRPr="00091080" w:rsidRDefault="00EB1CB5" w:rsidP="00EB1CB5">
      <w:pPr>
        <w:pStyle w:val="ListParagraph"/>
        <w:spacing w:line="276" w:lineRule="auto"/>
      </w:pPr>
    </w:p>
    <w:p w14:paraId="05AD77E2" w14:textId="69623AF4" w:rsidR="00EB1CB5" w:rsidRPr="00091080" w:rsidRDefault="00EB1CB5" w:rsidP="00EB1CB5">
      <w:pPr>
        <w:pStyle w:val="ListParagraph"/>
        <w:numPr>
          <w:ilvl w:val="0"/>
          <w:numId w:val="15"/>
        </w:numPr>
        <w:ind w:hanging="720"/>
      </w:pPr>
      <w:r w:rsidRPr="00091080">
        <w:t xml:space="preserve">The </w:t>
      </w:r>
      <w:r w:rsidR="000B19F5" w:rsidRPr="00091080">
        <w:t xml:space="preserve">UK Supreme Court found that Windsor Framework Article 2, read together with provisions in the equality directives specified in Annex 1, is </w:t>
      </w:r>
      <w:r w:rsidR="000B19F5" w:rsidRPr="00091080">
        <w:lastRenderedPageBreak/>
        <w:t>capable of giving direct effect.</w:t>
      </w:r>
      <w:r w:rsidR="000B19F5" w:rsidRPr="00091080">
        <w:rPr>
          <w:vertAlign w:val="superscript"/>
        </w:rPr>
        <w:footnoteReference w:id="105"/>
      </w:r>
      <w:r w:rsidR="000B19F5" w:rsidRPr="00091080">
        <w:t xml:space="preserve"> </w:t>
      </w:r>
      <w:r w:rsidRPr="00091080">
        <w:t xml:space="preserve">The Court also found that Article 2 is capable of direct effect in conjunction with other EU law instruments, subject to the </w:t>
      </w:r>
      <w:r w:rsidRPr="00091080">
        <w:rPr>
          <w:i/>
          <w:iCs/>
        </w:rPr>
        <w:t>Demirel</w:t>
      </w:r>
      <w:r w:rsidRPr="00091080">
        <w:t xml:space="preserve"> criteria that the obligation imposed is sufficiently clear, precise and unconditional, and within the ambit of the RSEO chapter.</w:t>
      </w:r>
      <w:r w:rsidRPr="00091080">
        <w:rPr>
          <w:vertAlign w:val="superscript"/>
        </w:rPr>
        <w:footnoteReference w:id="106"/>
      </w:r>
      <w:r w:rsidRPr="00091080">
        <w:t xml:space="preserve"> </w:t>
      </w:r>
    </w:p>
    <w:p w14:paraId="6ADCD425" w14:textId="77777777" w:rsidR="00EB1CB5" w:rsidRPr="00091080" w:rsidRDefault="00EB1CB5" w:rsidP="00EB1CB5">
      <w:pPr>
        <w:pStyle w:val="ListParagraph"/>
      </w:pPr>
    </w:p>
    <w:p w14:paraId="34C36E60" w14:textId="7237167C" w:rsidR="00EB1CB5" w:rsidRPr="00091080" w:rsidRDefault="00397746" w:rsidP="00EB1CB5">
      <w:pPr>
        <w:pStyle w:val="ListParagraph"/>
        <w:numPr>
          <w:ilvl w:val="0"/>
          <w:numId w:val="15"/>
        </w:numPr>
        <w:ind w:hanging="720"/>
      </w:pPr>
      <w:r w:rsidRPr="00091080">
        <w:t>T</w:t>
      </w:r>
      <w:r w:rsidR="00EB1CB5" w:rsidRPr="00091080">
        <w:t>he</w:t>
      </w:r>
      <w:r w:rsidR="003D5F08" w:rsidRPr="00091080">
        <w:t xml:space="preserve"> </w:t>
      </w:r>
      <w:r w:rsidR="00EB1CB5" w:rsidRPr="00091080">
        <w:t xml:space="preserve">Court </w:t>
      </w:r>
      <w:r w:rsidR="00EE1FFF" w:rsidRPr="00091080">
        <w:t xml:space="preserve">refers, for example, to the “high level of generality” in respect of the commitment to civil rights and paragraphs 11 and 12 of the RSEO chapter but found them to be “too general to give </w:t>
      </w:r>
      <w:r w:rsidR="00A8346E">
        <w:t>rise</w:t>
      </w:r>
      <w:r w:rsidR="00EE1FFF" w:rsidRPr="00091080">
        <w:t xml:space="preserve"> to</w:t>
      </w:r>
      <w:r w:rsidR="002A14C0">
        <w:t xml:space="preserve"> any</w:t>
      </w:r>
      <w:r w:rsidR="00EE1FFF" w:rsidRPr="00091080">
        <w:t xml:space="preserve"> directly enforceable rights in relation to inquests, civil proceedings or prosecutions</w:t>
      </w:r>
      <w:r w:rsidR="00702A72">
        <w:t>”</w:t>
      </w:r>
      <w:r w:rsidR="00EE1FFF" w:rsidRPr="00091080">
        <w:t>.</w:t>
      </w:r>
      <w:r w:rsidR="00EE1FFF" w:rsidRPr="00091080">
        <w:rPr>
          <w:vertAlign w:val="superscript"/>
        </w:rPr>
        <w:footnoteReference w:id="107"/>
      </w:r>
      <w:r w:rsidR="00EE1FFF" w:rsidRPr="00091080">
        <w:t xml:space="preserve"> However, it must also be noted that the Court returns to consider paragraphs 11 and 12 and reads them </w:t>
      </w:r>
      <w:r w:rsidR="00EE1FFF" w:rsidRPr="00091080">
        <w:rPr>
          <w:iCs/>
        </w:rPr>
        <w:t>together</w:t>
      </w:r>
      <w:r w:rsidR="00EE1FFF" w:rsidRPr="00091080">
        <w:rPr>
          <w:i/>
        </w:rPr>
        <w:t xml:space="preserve"> </w:t>
      </w:r>
      <w:r w:rsidR="00EE1FFF" w:rsidRPr="00091080">
        <w:rPr>
          <w:iCs/>
        </w:rPr>
        <w:t>with</w:t>
      </w:r>
      <w:r w:rsidR="00EE1FFF" w:rsidRPr="00091080">
        <w:t xml:space="preserve"> the EU Victims’ Directive. When it does, it does not rule out the direct effect of Article 2 when read with paragraph 11 </w:t>
      </w:r>
      <w:r w:rsidR="00FC1538">
        <w:t xml:space="preserve">of the </w:t>
      </w:r>
      <w:r w:rsidR="00EE1FFF" w:rsidRPr="00091080">
        <w:t xml:space="preserve">RSEO </w:t>
      </w:r>
      <w:r w:rsidR="00FC1538">
        <w:t xml:space="preserve">chapter </w:t>
      </w:r>
      <w:r w:rsidR="00EE1FFF" w:rsidRPr="00091080">
        <w:t>and the specified provisions of the EU Victims’ Directive.</w:t>
      </w:r>
      <w:r w:rsidR="00EE1FFF" w:rsidRPr="00091080">
        <w:rPr>
          <w:vertAlign w:val="superscript"/>
        </w:rPr>
        <w:footnoteReference w:id="108"/>
      </w:r>
      <w:r w:rsidR="00B2703D" w:rsidRPr="00091080">
        <w:t xml:space="preserve"> </w:t>
      </w:r>
      <w:r w:rsidR="00EE1FFF" w:rsidRPr="00091080">
        <w:t>This is a point that remains open to further interpretation.</w:t>
      </w:r>
      <w:r w:rsidR="00EB1CB5" w:rsidRPr="00091080">
        <w:t xml:space="preserve"> </w:t>
      </w:r>
    </w:p>
    <w:p w14:paraId="486E381C" w14:textId="77777777" w:rsidR="00EB1CB5" w:rsidRPr="00091080" w:rsidRDefault="00EB1CB5" w:rsidP="00EB1CB5">
      <w:pPr>
        <w:spacing w:line="276" w:lineRule="auto"/>
        <w:rPr>
          <w:b/>
          <w:bCs/>
        </w:rPr>
      </w:pPr>
    </w:p>
    <w:p w14:paraId="476B5ED7" w14:textId="77777777" w:rsidR="00EB1CB5" w:rsidRPr="00091080" w:rsidRDefault="00EB1CB5" w:rsidP="00EB1CB5">
      <w:pPr>
        <w:pStyle w:val="Heading2"/>
        <w:spacing w:line="276" w:lineRule="auto"/>
      </w:pPr>
      <w:bookmarkStart w:id="18" w:name="_Toc242693116"/>
      <w:r w:rsidRPr="00091080">
        <w:t>Sectarian conflict</w:t>
      </w:r>
      <w:bookmarkEnd w:id="18"/>
    </w:p>
    <w:p w14:paraId="7D2241AF" w14:textId="77777777" w:rsidR="00EB1CB5" w:rsidRPr="00091080" w:rsidRDefault="00EB1CB5" w:rsidP="00EB1CB5">
      <w:pPr>
        <w:spacing w:line="276" w:lineRule="auto"/>
      </w:pPr>
    </w:p>
    <w:p w14:paraId="263EBFC7" w14:textId="7ED8936A" w:rsidR="00EB1CB5" w:rsidRPr="00091080" w:rsidRDefault="00EB1CB5" w:rsidP="00EB1CB5">
      <w:pPr>
        <w:pStyle w:val="ListParagraph"/>
        <w:numPr>
          <w:ilvl w:val="0"/>
          <w:numId w:val="15"/>
        </w:numPr>
        <w:ind w:hanging="720"/>
      </w:pPr>
      <w:r w:rsidRPr="00091080">
        <w:t xml:space="preserve">The NIHRC </w:t>
      </w:r>
      <w:r w:rsidR="009B6829" w:rsidRPr="00091080">
        <w:t xml:space="preserve">is concerned that references in the </w:t>
      </w:r>
      <w:r w:rsidR="009B6829" w:rsidRPr="00091080">
        <w:rPr>
          <w:i/>
          <w:iCs/>
        </w:rPr>
        <w:t xml:space="preserve">Dillon </w:t>
      </w:r>
      <w:r w:rsidR="009B6829" w:rsidRPr="00091080">
        <w:t>judgment</w:t>
      </w:r>
      <w:r w:rsidR="009B6829" w:rsidRPr="00091080">
        <w:rPr>
          <w:i/>
          <w:iCs/>
        </w:rPr>
        <w:t xml:space="preserve"> </w:t>
      </w:r>
      <w:r w:rsidR="009B6829" w:rsidRPr="00091080">
        <w:t>to sectarian conflict and the apparent link between that as the backdrop to the RSEO chapter of the Belfast (Good Friday) Agreement, is ambiguous at best. For the reasons set out below, the NIHRC advises strongly against interpreting those statements as confining the protection of Windsor Framework Article 2 to persons affected by harms resulting from the conflict</w:t>
      </w:r>
      <w:r w:rsidRPr="00091080">
        <w:t xml:space="preserve">. </w:t>
      </w:r>
    </w:p>
    <w:p w14:paraId="504FE9AB" w14:textId="77777777" w:rsidR="00EB1CB5" w:rsidRPr="00091080" w:rsidRDefault="00EB1CB5" w:rsidP="00EB1CB5">
      <w:pPr>
        <w:pStyle w:val="ListParagraph"/>
      </w:pPr>
    </w:p>
    <w:p w14:paraId="24C41DB0" w14:textId="42B69A1F" w:rsidR="00EB1CB5" w:rsidRPr="00091080" w:rsidRDefault="00EB1CB5" w:rsidP="000304E1">
      <w:pPr>
        <w:pStyle w:val="ListParagraph"/>
        <w:numPr>
          <w:ilvl w:val="0"/>
          <w:numId w:val="15"/>
        </w:numPr>
        <w:spacing w:line="276" w:lineRule="auto"/>
        <w:ind w:hanging="720"/>
      </w:pPr>
      <w:r w:rsidRPr="00091080">
        <w:t xml:space="preserve">The judgment in </w:t>
      </w:r>
      <w:r w:rsidRPr="00091080">
        <w:rPr>
          <w:i/>
          <w:iCs/>
        </w:rPr>
        <w:t>Dillon</w:t>
      </w:r>
      <w:r w:rsidRPr="00091080">
        <w:t xml:space="preserve"> states, in relation to paragraph 1 </w:t>
      </w:r>
      <w:r w:rsidR="00D01B59" w:rsidRPr="00091080">
        <w:t xml:space="preserve">of the </w:t>
      </w:r>
      <w:r w:rsidRPr="00091080">
        <w:t>RSEO</w:t>
      </w:r>
      <w:r w:rsidR="00D01B59" w:rsidRPr="00091080">
        <w:t xml:space="preserve"> chapter</w:t>
      </w:r>
      <w:r w:rsidRPr="00091080">
        <w:t>, that “the rights listed with bullet points are all concerned with ending sectarian conflict”.</w:t>
      </w:r>
      <w:r w:rsidRPr="00091080">
        <w:rPr>
          <w:rStyle w:val="FootnoteReference"/>
        </w:rPr>
        <w:footnoteReference w:id="109"/>
      </w:r>
      <w:r w:rsidRPr="00091080">
        <w:t xml:space="preserve"> In the context of a case centring on the legacy of the conflict, this could be read as an acknowledgement that the commitments to human rights in the relevant chapter were part of the response to sectarian conflict, before the judgment goes on to consider whether the legacy-related rights in that case were covered and /or diminished. Though the </w:t>
      </w:r>
      <w:r w:rsidR="001350BF" w:rsidRPr="00091080">
        <w:t>C</w:t>
      </w:r>
      <w:r w:rsidRPr="00091080">
        <w:t xml:space="preserve">ourt did not elaborate, the Secretary of State for NI stated in Parliament that “The Supreme Court’s judgment has …confirmed the Government’s long-standing position that the rights </w:t>
      </w:r>
      <w:r w:rsidRPr="00091080">
        <w:lastRenderedPageBreak/>
        <w:t>protected by Article 2 of the Windsor Framework are those concerned with ending the sectarian conflict in Northern Ireland”.</w:t>
      </w:r>
      <w:r w:rsidRPr="00091080">
        <w:rPr>
          <w:rStyle w:val="FootnoteReference"/>
        </w:rPr>
        <w:footnoteReference w:id="110"/>
      </w:r>
      <w:r w:rsidRPr="00091080">
        <w:t xml:space="preserve"> </w:t>
      </w:r>
      <w:r w:rsidR="000304E1" w:rsidRPr="00091080">
        <w:t xml:space="preserve">The NIHRC disagrees and suggests such an interpretation is contrary to the ordinary meaning of the </w:t>
      </w:r>
      <w:r w:rsidR="00FC1538">
        <w:t>RSEO</w:t>
      </w:r>
      <w:r w:rsidR="000304E1" w:rsidRPr="00091080">
        <w:t xml:space="preserve"> chapter, the object and purpose of the Belfast (Good Friday) Agreement and Windsor Framework Article 2. This is likely to require further exploration and interpretation.</w:t>
      </w:r>
    </w:p>
    <w:p w14:paraId="12B3B73E" w14:textId="77777777" w:rsidR="00EB1CB5" w:rsidRPr="00091080" w:rsidRDefault="00EB1CB5" w:rsidP="00EB1CB5">
      <w:pPr>
        <w:spacing w:line="288" w:lineRule="auto"/>
      </w:pPr>
    </w:p>
    <w:p w14:paraId="28914568" w14:textId="2991859D" w:rsidR="00EB1CB5" w:rsidRPr="00091080" w:rsidRDefault="00EB1CB5">
      <w:pPr>
        <w:pStyle w:val="ListParagraph"/>
        <w:numPr>
          <w:ilvl w:val="0"/>
          <w:numId w:val="15"/>
        </w:numPr>
        <w:ind w:hanging="720"/>
      </w:pPr>
      <w:r w:rsidRPr="00091080">
        <w:t>The NIHRC has outlined its concerns with this interpretation in detail elsewhere.</w:t>
      </w:r>
      <w:r w:rsidRPr="00091080">
        <w:rPr>
          <w:rStyle w:val="FootnoteReference"/>
        </w:rPr>
        <w:footnoteReference w:id="111"/>
      </w:r>
      <w:r w:rsidRPr="00091080">
        <w:t xml:space="preserve"> </w:t>
      </w:r>
      <w:r w:rsidR="00F63AA8" w:rsidRPr="00091080">
        <w:t>In brief, such a reading of the judgment appears to be incompatible with the clear language of the Belfast (Good Friday) Agreement, including the future-facing, specific and unlimited commitment to the civil rights and religious liberties of “everyone in the community”</w:t>
      </w:r>
      <w:r w:rsidR="00F63AA8" w:rsidRPr="00091080">
        <w:rPr>
          <w:rStyle w:val="FootnoteReference"/>
        </w:rPr>
        <w:footnoteReference w:id="112"/>
      </w:r>
      <w:r w:rsidR="00F63AA8" w:rsidRPr="00091080">
        <w:t xml:space="preserve"> and the Declaration of Support which promises a “new beginning” based on the “vindication of the human rights of all”. For example, it contains protections on grounds of gender and disability, which do not lend themselves to restriction to a Troubles related context. Moreover, such interpretation approach takes no account of the foundational principles of universality of human rights; the living instrument doctrine; and the rule of law principle that everyone is equal before the law. Such an interpretation appears to us to be untenable given the clear text of Windsor Framework Article 2, including its reference to EU equality directives</w:t>
      </w:r>
      <w:r w:rsidR="008B6F39" w:rsidRPr="00091080">
        <w:t xml:space="preserve"> in Annex 1</w:t>
      </w:r>
      <w:r w:rsidR="00F63AA8" w:rsidRPr="00091080">
        <w:t>. It is our view that a conflict-related restriction on their application is contrary to the commitment in the</w:t>
      </w:r>
      <w:r w:rsidR="008B6F39" w:rsidRPr="00091080">
        <w:t xml:space="preserve"> UK-EU</w:t>
      </w:r>
      <w:r w:rsidR="00F63AA8" w:rsidRPr="00091080">
        <w:t> Withdrawal Agreement.</w:t>
      </w:r>
      <w:r w:rsidR="00F63AA8" w:rsidRPr="00091080">
        <w:rPr>
          <w:rStyle w:val="FootnoteReference"/>
        </w:rPr>
        <w:footnoteReference w:id="113"/>
      </w:r>
      <w:r w:rsidRPr="00091080">
        <w:br w:type="page"/>
      </w:r>
    </w:p>
    <w:p w14:paraId="79EEA442" w14:textId="77777777" w:rsidR="78132EA1" w:rsidRPr="00091080" w:rsidRDefault="78132EA1" w:rsidP="7156599E">
      <w:pPr>
        <w:spacing w:after="160" w:line="276" w:lineRule="auto"/>
      </w:pPr>
    </w:p>
    <w:p w14:paraId="4991B16C" w14:textId="77777777" w:rsidR="004B7D09" w:rsidRPr="00091080" w:rsidRDefault="004B7D09" w:rsidP="7156599E">
      <w:pPr>
        <w:spacing w:after="160" w:line="276" w:lineRule="auto"/>
      </w:pPr>
    </w:p>
    <w:p w14:paraId="6DF0889B" w14:textId="77777777" w:rsidR="004B7D09" w:rsidRPr="00091080" w:rsidRDefault="004B7D09" w:rsidP="7156599E">
      <w:pPr>
        <w:spacing w:after="160" w:line="276" w:lineRule="auto"/>
      </w:pPr>
    </w:p>
    <w:p w14:paraId="035BEA5B" w14:textId="77777777" w:rsidR="004B7D09" w:rsidRPr="00091080" w:rsidRDefault="004B7D09" w:rsidP="7156599E">
      <w:pPr>
        <w:spacing w:after="160" w:line="276" w:lineRule="auto"/>
      </w:pPr>
    </w:p>
    <w:p w14:paraId="2EA02537" w14:textId="72BFA2F8" w:rsidR="78132EA1" w:rsidRPr="00091080" w:rsidRDefault="67820DE5" w:rsidP="7156599E">
      <w:pPr>
        <w:spacing w:after="160" w:line="276" w:lineRule="auto"/>
      </w:pPr>
      <w:r w:rsidRPr="00091080">
        <w:rPr>
          <w:rFonts w:eastAsia="Verdana" w:cs="Verdana"/>
        </w:rPr>
        <w:t xml:space="preserve"> </w:t>
      </w:r>
    </w:p>
    <w:p w14:paraId="60BE35FF" w14:textId="692F0568" w:rsidR="00C05FA5" w:rsidRPr="00091080" w:rsidRDefault="67820DE5" w:rsidP="004B7D09">
      <w:pPr>
        <w:spacing w:after="160" w:line="276" w:lineRule="auto"/>
        <w:rPr>
          <w:rFonts w:cs="Arial"/>
          <w:color w:val="232120"/>
          <w:sz w:val="20"/>
          <w:szCs w:val="20"/>
        </w:rPr>
      </w:pPr>
      <w:r w:rsidRPr="00091080">
        <w:rPr>
          <w:rFonts w:eastAsia="Verdana" w:cs="Verdana"/>
        </w:rPr>
        <w:t xml:space="preserve"> </w:t>
      </w:r>
    </w:p>
    <w:p w14:paraId="7ED5035E" w14:textId="77777777" w:rsidR="00C05FA5" w:rsidRPr="00091080" w:rsidRDefault="00C05FA5" w:rsidP="00331C61">
      <w:pPr>
        <w:pStyle w:val="BasicParagraph"/>
        <w:suppressAutoHyphens/>
        <w:rPr>
          <w:rFonts w:ascii="Verdana" w:hAnsi="Verdana" w:cs="Arial"/>
          <w:color w:val="232120"/>
          <w:sz w:val="20"/>
          <w:szCs w:val="20"/>
        </w:rPr>
      </w:pPr>
    </w:p>
    <w:p w14:paraId="0E94A87B" w14:textId="77777777" w:rsidR="00C05FA5" w:rsidRPr="00091080" w:rsidRDefault="00C05FA5" w:rsidP="00331C61">
      <w:pPr>
        <w:pStyle w:val="BasicParagraph"/>
        <w:suppressAutoHyphens/>
        <w:rPr>
          <w:rFonts w:ascii="Verdana" w:hAnsi="Verdana" w:cs="Arial"/>
          <w:color w:val="232120"/>
          <w:sz w:val="20"/>
          <w:szCs w:val="20"/>
        </w:rPr>
      </w:pPr>
    </w:p>
    <w:p w14:paraId="7D29330A" w14:textId="77777777" w:rsidR="003B7D0E" w:rsidRPr="00091080" w:rsidRDefault="003B7D0E" w:rsidP="003B7D0E">
      <w:pPr>
        <w:pStyle w:val="BasicParagraph"/>
        <w:suppressAutoHyphens/>
        <w:jc w:val="center"/>
        <w:rPr>
          <w:rFonts w:ascii="Verdana" w:hAnsi="Verdana" w:cs="Arial"/>
          <w:color w:val="3C3C3B"/>
          <w:sz w:val="20"/>
          <w:szCs w:val="20"/>
        </w:rPr>
      </w:pPr>
    </w:p>
    <w:p w14:paraId="3097F813" w14:textId="77777777" w:rsidR="003B7D0E" w:rsidRPr="00091080" w:rsidRDefault="003B7D0E" w:rsidP="003B7D0E">
      <w:pPr>
        <w:pStyle w:val="BasicParagraph"/>
        <w:suppressAutoHyphens/>
        <w:jc w:val="center"/>
        <w:rPr>
          <w:rFonts w:ascii="Verdana" w:hAnsi="Verdana" w:cs="Arial"/>
          <w:color w:val="3C3C3B"/>
          <w:sz w:val="20"/>
          <w:szCs w:val="20"/>
        </w:rPr>
      </w:pPr>
    </w:p>
    <w:p w14:paraId="5114CB0A" w14:textId="77777777" w:rsidR="003B7D0E" w:rsidRPr="00091080" w:rsidRDefault="003B7D0E" w:rsidP="003B7D0E">
      <w:pPr>
        <w:pStyle w:val="BasicParagraph"/>
        <w:suppressAutoHyphens/>
        <w:jc w:val="center"/>
        <w:rPr>
          <w:rFonts w:ascii="Verdana" w:hAnsi="Verdana" w:cs="Arial"/>
          <w:color w:val="3C3C3B"/>
          <w:sz w:val="20"/>
          <w:szCs w:val="20"/>
        </w:rPr>
      </w:pPr>
    </w:p>
    <w:p w14:paraId="25BE2C2E" w14:textId="77777777" w:rsidR="003B7D0E" w:rsidRPr="00091080" w:rsidRDefault="003B7D0E" w:rsidP="003B7D0E">
      <w:pPr>
        <w:pStyle w:val="BasicParagraph"/>
        <w:suppressAutoHyphens/>
        <w:jc w:val="center"/>
        <w:rPr>
          <w:rFonts w:ascii="Verdana" w:hAnsi="Verdana" w:cs="Arial"/>
          <w:color w:val="3C3C3B"/>
          <w:sz w:val="20"/>
          <w:szCs w:val="20"/>
        </w:rPr>
      </w:pPr>
    </w:p>
    <w:p w14:paraId="0BB1A99F" w14:textId="77777777" w:rsidR="003B7D0E" w:rsidRPr="00091080" w:rsidRDefault="003B7D0E" w:rsidP="003B7D0E">
      <w:pPr>
        <w:pStyle w:val="BasicParagraph"/>
        <w:suppressAutoHyphens/>
        <w:jc w:val="center"/>
        <w:rPr>
          <w:rFonts w:ascii="Verdana" w:hAnsi="Verdana" w:cs="Arial"/>
          <w:color w:val="3C3C3B"/>
          <w:sz w:val="20"/>
          <w:szCs w:val="20"/>
        </w:rPr>
      </w:pPr>
    </w:p>
    <w:p w14:paraId="39C4E21F" w14:textId="77777777" w:rsidR="003B7D0E" w:rsidRPr="00091080" w:rsidRDefault="003B7D0E" w:rsidP="003B7D0E">
      <w:pPr>
        <w:pStyle w:val="BasicParagraph"/>
        <w:suppressAutoHyphens/>
        <w:jc w:val="center"/>
        <w:rPr>
          <w:rFonts w:ascii="Verdana" w:hAnsi="Verdana" w:cs="Arial"/>
          <w:color w:val="3C3C3B"/>
          <w:sz w:val="20"/>
          <w:szCs w:val="20"/>
        </w:rPr>
      </w:pPr>
    </w:p>
    <w:p w14:paraId="5123A34A" w14:textId="77777777" w:rsidR="003B7D0E" w:rsidRPr="00091080" w:rsidRDefault="003B7D0E" w:rsidP="003B7D0E">
      <w:pPr>
        <w:pStyle w:val="BasicParagraph"/>
        <w:suppressAutoHyphens/>
        <w:jc w:val="center"/>
        <w:rPr>
          <w:rFonts w:ascii="Verdana" w:hAnsi="Verdana" w:cs="Arial"/>
          <w:color w:val="3C3C3B"/>
          <w:sz w:val="20"/>
          <w:szCs w:val="20"/>
        </w:rPr>
      </w:pPr>
    </w:p>
    <w:p w14:paraId="5F3C3A87" w14:textId="77777777" w:rsidR="003B7D0E" w:rsidRPr="00091080" w:rsidRDefault="003B7D0E" w:rsidP="003B7D0E">
      <w:pPr>
        <w:pStyle w:val="BasicParagraph"/>
        <w:suppressAutoHyphens/>
        <w:jc w:val="center"/>
        <w:rPr>
          <w:rFonts w:ascii="Verdana" w:hAnsi="Verdana" w:cs="Arial"/>
          <w:color w:val="3C3C3B"/>
          <w:sz w:val="20"/>
          <w:szCs w:val="20"/>
        </w:rPr>
      </w:pPr>
    </w:p>
    <w:p w14:paraId="249E356C" w14:textId="77777777" w:rsidR="003B7D0E" w:rsidRPr="00091080" w:rsidRDefault="003B7D0E" w:rsidP="003B7D0E">
      <w:pPr>
        <w:pStyle w:val="BasicParagraph"/>
        <w:suppressAutoHyphens/>
        <w:jc w:val="center"/>
        <w:rPr>
          <w:rFonts w:ascii="Verdana" w:hAnsi="Verdana" w:cs="Arial"/>
          <w:color w:val="3C3C3B"/>
          <w:sz w:val="20"/>
          <w:szCs w:val="20"/>
        </w:rPr>
      </w:pPr>
    </w:p>
    <w:p w14:paraId="647424AF" w14:textId="2BE2D908" w:rsidR="00705833" w:rsidRPr="00091080" w:rsidRDefault="00705833" w:rsidP="00CF7EBA">
      <w:pPr>
        <w:pStyle w:val="BasicParagraph"/>
        <w:suppressAutoHyphens/>
        <w:jc w:val="center"/>
        <w:rPr>
          <w:rFonts w:ascii="Verdana" w:hAnsi="Verdana" w:cs="Arial"/>
          <w:b/>
          <w:bCs/>
          <w:color w:val="77328A"/>
          <w:sz w:val="36"/>
          <w:szCs w:val="36"/>
        </w:rPr>
      </w:pPr>
      <w:r w:rsidRPr="00091080">
        <w:rPr>
          <w:rFonts w:ascii="Verdana" w:hAnsi="Verdana" w:cs="Arial"/>
          <w:b/>
          <w:bCs/>
          <w:color w:val="77328A"/>
          <w:sz w:val="36"/>
          <w:szCs w:val="36"/>
        </w:rPr>
        <w:t>Co</w:t>
      </w:r>
      <w:r w:rsidR="0096459E" w:rsidRPr="00091080">
        <w:rPr>
          <w:rFonts w:ascii="Verdana" w:hAnsi="Verdana" w:cs="Arial"/>
          <w:b/>
          <w:bCs/>
          <w:color w:val="77328A"/>
          <w:sz w:val="36"/>
          <w:szCs w:val="36"/>
        </w:rPr>
        <w:t>ntact us</w:t>
      </w:r>
      <w:r w:rsidR="00CF7EBA" w:rsidRPr="00091080">
        <w:rPr>
          <w:rFonts w:ascii="Verdana" w:hAnsi="Verdana" w:cs="Arial"/>
          <w:b/>
          <w:bCs/>
          <w:color w:val="77328A"/>
          <w:sz w:val="36"/>
          <w:szCs w:val="36"/>
        </w:rPr>
        <w:t xml:space="preserve">: </w:t>
      </w:r>
      <w:hyperlink r:id="rId12" w:history="1">
        <w:r w:rsidR="00CF7EBA" w:rsidRPr="00091080">
          <w:rPr>
            <w:rStyle w:val="Hyperlink"/>
            <w:rFonts w:ascii="Verdana" w:hAnsi="Verdana" w:cs="Arial"/>
            <w:b/>
            <w:bCs/>
            <w:sz w:val="36"/>
            <w:szCs w:val="36"/>
          </w:rPr>
          <w:t>Colin.Caughey@NIHRC.org</w:t>
        </w:r>
      </w:hyperlink>
      <w:r w:rsidR="00CF7EBA" w:rsidRPr="00091080">
        <w:rPr>
          <w:rFonts w:ascii="Verdana" w:hAnsi="Verdana" w:cs="Arial"/>
          <w:b/>
          <w:bCs/>
          <w:color w:val="77328A"/>
          <w:sz w:val="36"/>
          <w:szCs w:val="36"/>
        </w:rPr>
        <w:t xml:space="preserve"> and </w:t>
      </w:r>
      <w:hyperlink r:id="rId13" w:history="1">
        <w:r w:rsidR="00CF7EBA" w:rsidRPr="00091080">
          <w:rPr>
            <w:rStyle w:val="Hyperlink"/>
            <w:rFonts w:ascii="Verdana" w:hAnsi="Verdana" w:cs="Arial"/>
            <w:b/>
            <w:bCs/>
            <w:sz w:val="36"/>
            <w:szCs w:val="36"/>
          </w:rPr>
          <w:t>Eilis.Haughey@NIHRC.org</w:t>
        </w:r>
      </w:hyperlink>
      <w:r w:rsidR="00CF7EBA" w:rsidRPr="00091080">
        <w:rPr>
          <w:rFonts w:ascii="Verdana" w:hAnsi="Verdana" w:cs="Arial"/>
          <w:b/>
          <w:bCs/>
          <w:color w:val="77328A"/>
          <w:sz w:val="36"/>
          <w:szCs w:val="36"/>
        </w:rPr>
        <w:t xml:space="preserve"> </w:t>
      </w:r>
    </w:p>
    <w:p w14:paraId="2A3A30CB" w14:textId="77777777" w:rsidR="00331C61" w:rsidRPr="00091080" w:rsidRDefault="00331C61" w:rsidP="003B7D0E">
      <w:pPr>
        <w:spacing w:line="288" w:lineRule="auto"/>
        <w:jc w:val="center"/>
        <w:rPr>
          <w:rFonts w:cs="Arial"/>
          <w:b/>
          <w:color w:val="232120"/>
          <w:sz w:val="30"/>
          <w:szCs w:val="30"/>
        </w:rPr>
      </w:pPr>
    </w:p>
    <w:p w14:paraId="5F41C72C" w14:textId="77777777" w:rsidR="00894512" w:rsidRPr="00091080" w:rsidRDefault="00894512" w:rsidP="003B7D0E">
      <w:pPr>
        <w:spacing w:line="288" w:lineRule="auto"/>
        <w:jc w:val="center"/>
        <w:rPr>
          <w:rFonts w:cs="Arial"/>
          <w:b/>
          <w:color w:val="232120"/>
          <w:sz w:val="30"/>
          <w:szCs w:val="30"/>
        </w:rPr>
      </w:pPr>
    </w:p>
    <w:p w14:paraId="156EA015" w14:textId="77777777" w:rsidR="00331C61" w:rsidRPr="00091080" w:rsidRDefault="00331C61" w:rsidP="003B7D0E">
      <w:pPr>
        <w:spacing w:line="288" w:lineRule="auto"/>
        <w:jc w:val="center"/>
        <w:rPr>
          <w:rFonts w:cs="Arial"/>
          <w:b/>
          <w:color w:val="232120"/>
          <w:sz w:val="30"/>
          <w:szCs w:val="30"/>
        </w:rPr>
      </w:pPr>
    </w:p>
    <w:p w14:paraId="50001248" w14:textId="77777777" w:rsidR="00331C61" w:rsidRPr="00091080" w:rsidRDefault="00331C61" w:rsidP="00331C61">
      <w:pPr>
        <w:spacing w:line="288" w:lineRule="auto"/>
        <w:jc w:val="center"/>
        <w:rPr>
          <w:rFonts w:cs="Arial"/>
          <w:color w:val="232120"/>
          <w:sz w:val="28"/>
          <w:szCs w:val="28"/>
        </w:rPr>
      </w:pPr>
      <w:hyperlink r:id="rId14" w:history="1">
        <w:r w:rsidRPr="00091080">
          <w:rPr>
            <w:rStyle w:val="Hyperlink"/>
            <w:rFonts w:cs="Arial"/>
            <w:color w:val="232120"/>
            <w:sz w:val="28"/>
            <w:szCs w:val="28"/>
            <w:u w:val="none"/>
          </w:rPr>
          <w:t>www.nihrc.org</w:t>
        </w:r>
      </w:hyperlink>
      <w:r w:rsidRPr="00091080">
        <w:rPr>
          <w:rFonts w:cs="Arial"/>
          <w:color w:val="232120"/>
          <w:sz w:val="28"/>
          <w:szCs w:val="28"/>
        </w:rPr>
        <w:t xml:space="preserve">  |  </w:t>
      </w:r>
      <w:hyperlink r:id="rId15" w:history="1">
        <w:r w:rsidRPr="00091080">
          <w:rPr>
            <w:rStyle w:val="Hyperlink"/>
            <w:rFonts w:cs="Arial"/>
            <w:color w:val="232120"/>
            <w:sz w:val="28"/>
            <w:szCs w:val="28"/>
            <w:u w:val="none"/>
          </w:rPr>
          <w:t>info@nihrc.org</w:t>
        </w:r>
      </w:hyperlink>
      <w:r w:rsidRPr="00091080">
        <w:rPr>
          <w:rFonts w:cs="Arial"/>
          <w:color w:val="232120"/>
          <w:sz w:val="28"/>
          <w:szCs w:val="28"/>
        </w:rPr>
        <w:t xml:space="preserve">  |  +44 (0)28 9024 3987</w:t>
      </w:r>
    </w:p>
    <w:p w14:paraId="2DCA2707" w14:textId="77777777" w:rsidR="00F56C78" w:rsidRPr="00091080" w:rsidRDefault="00D16532" w:rsidP="00331C61">
      <w:pPr>
        <w:spacing w:line="288" w:lineRule="auto"/>
        <w:jc w:val="center"/>
        <w:rPr>
          <w:rFonts w:cs="Arial"/>
          <w:color w:val="232120"/>
          <w:sz w:val="28"/>
          <w:szCs w:val="28"/>
        </w:rPr>
      </w:pPr>
      <w:r w:rsidRPr="00091080">
        <w:rPr>
          <w:rFonts w:cs="Arial"/>
          <w:color w:val="232120"/>
          <w:sz w:val="28"/>
          <w:szCs w:val="28"/>
        </w:rPr>
        <w:t>4</w:t>
      </w:r>
      <w:r w:rsidRPr="00091080">
        <w:rPr>
          <w:rFonts w:cs="Arial"/>
          <w:color w:val="232120"/>
          <w:sz w:val="28"/>
          <w:szCs w:val="28"/>
          <w:vertAlign w:val="superscript"/>
        </w:rPr>
        <w:t>th</w:t>
      </w:r>
      <w:r w:rsidRPr="00091080">
        <w:rPr>
          <w:rFonts w:cs="Arial"/>
          <w:color w:val="232120"/>
          <w:sz w:val="28"/>
          <w:szCs w:val="28"/>
        </w:rPr>
        <w:t xml:space="preserve"> Floor, Alfred House, 19-21 Alfred Street, Belfast, BT2 8ED</w:t>
      </w:r>
    </w:p>
    <w:p w14:paraId="3F480D56" w14:textId="77777777" w:rsidR="00F56C78" w:rsidRPr="00091080" w:rsidRDefault="00F56C78" w:rsidP="003B7D0E">
      <w:pPr>
        <w:spacing w:line="288" w:lineRule="auto"/>
        <w:jc w:val="center"/>
        <w:rPr>
          <w:rFonts w:cs="Arial"/>
          <w:b/>
          <w:color w:val="232120"/>
          <w:sz w:val="28"/>
          <w:szCs w:val="28"/>
        </w:rPr>
      </w:pPr>
    </w:p>
    <w:p w14:paraId="4A347542" w14:textId="77777777" w:rsidR="00F56C78" w:rsidRPr="00091080" w:rsidRDefault="00F56C78" w:rsidP="003B7D0E">
      <w:pPr>
        <w:spacing w:line="288" w:lineRule="auto"/>
        <w:jc w:val="center"/>
        <w:rPr>
          <w:rFonts w:cs="Arial"/>
          <w:color w:val="232120"/>
          <w:sz w:val="20"/>
          <w:szCs w:val="20"/>
        </w:rPr>
      </w:pPr>
    </w:p>
    <w:p w14:paraId="598336B9" w14:textId="77777777" w:rsidR="00705833" w:rsidRPr="00331C61" w:rsidRDefault="00F56C78" w:rsidP="003B7D0E">
      <w:pPr>
        <w:pStyle w:val="BasicParagraph"/>
        <w:suppressAutoHyphens/>
        <w:spacing w:line="240" w:lineRule="auto"/>
        <w:jc w:val="center"/>
        <w:rPr>
          <w:rFonts w:ascii="Verdana" w:hAnsi="Verdana" w:cs="Arial"/>
          <w:color w:val="232120"/>
          <w:sz w:val="28"/>
          <w:szCs w:val="28"/>
        </w:rPr>
      </w:pPr>
      <w:r w:rsidRPr="00091080">
        <w:rPr>
          <w:rFonts w:ascii="Verdana" w:hAnsi="Verdana" w:cs="Arial"/>
          <w:noProof/>
          <w:color w:val="232120"/>
          <w:sz w:val="28"/>
          <w:szCs w:val="28"/>
          <w:lang w:eastAsia="en-GB"/>
        </w:rPr>
        <w:drawing>
          <wp:inline distT="0" distB="0" distL="0" distR="0" wp14:anchorId="6DAB86ED" wp14:editId="1829EE4E">
            <wp:extent cx="1515406" cy="274540"/>
            <wp:effectExtent l="0" t="0" r="8890" b="508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1554" cy="275654"/>
                    </a:xfrm>
                    <a:prstGeom prst="rect">
                      <a:avLst/>
                    </a:prstGeom>
                    <a:noFill/>
                    <a:ln>
                      <a:noFill/>
                    </a:ln>
                  </pic:spPr>
                </pic:pic>
              </a:graphicData>
            </a:graphic>
          </wp:inline>
        </w:drawing>
      </w:r>
    </w:p>
    <w:p w14:paraId="46E8B252" w14:textId="77777777" w:rsidR="002F1728" w:rsidRDefault="002F1728">
      <w:pPr>
        <w:rPr>
          <w:rFonts w:asciiTheme="minorHAnsi" w:hAnsiTheme="minorHAnsi"/>
        </w:rPr>
      </w:pPr>
    </w:p>
    <w:sectPr w:rsidR="002F1728" w:rsidSect="003B7D0E">
      <w:footerReference w:type="default" r:id="rId17"/>
      <w:footerReference w:type="first" r:id="rId18"/>
      <w:pgSz w:w="11900" w:h="16820"/>
      <w:pgMar w:top="1021" w:right="1021" w:bottom="1021" w:left="1021" w:header="1021" w:footer="10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4EF15" w14:textId="77777777" w:rsidR="000003A3" w:rsidRPr="0068486A" w:rsidRDefault="000003A3" w:rsidP="00962B2B">
      <w:r w:rsidRPr="0068486A">
        <w:separator/>
      </w:r>
    </w:p>
  </w:endnote>
  <w:endnote w:type="continuationSeparator" w:id="0">
    <w:p w14:paraId="5DFF9C1C" w14:textId="77777777" w:rsidR="000003A3" w:rsidRPr="0068486A" w:rsidRDefault="000003A3" w:rsidP="00962B2B">
      <w:r w:rsidRPr="006848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Arial"/>
    <w:charset w:val="00"/>
    <w:family w:val="swiss"/>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22074" w14:textId="77777777" w:rsidR="00D2770F" w:rsidRPr="0068486A" w:rsidRDefault="00D2770F" w:rsidP="00656ECD">
    <w:pPr>
      <w:pStyle w:val="Footer"/>
      <w:jc w:val="right"/>
      <w:rPr>
        <w:rStyle w:val="PageNumber"/>
        <w:rFonts w:ascii="Arial" w:hAnsi="Arial" w:cs="Arial"/>
        <w:b/>
        <w:sz w:val="16"/>
        <w:szCs w:val="16"/>
      </w:rPr>
    </w:pPr>
  </w:p>
  <w:p w14:paraId="4B43CAAC" w14:textId="77777777" w:rsidR="00D2770F" w:rsidRPr="0068486A" w:rsidRDefault="00D2770F" w:rsidP="00656ECD">
    <w:pPr>
      <w:pStyle w:val="Footer"/>
      <w:jc w:val="right"/>
      <w:rPr>
        <w:rFonts w:ascii="Arial" w:hAnsi="Arial" w:cs="Arial"/>
        <w:b/>
        <w:color w:val="77328A"/>
        <w:sz w:val="16"/>
        <w:szCs w:val="16"/>
      </w:rPr>
    </w:pPr>
    <w:r w:rsidRPr="0068486A">
      <w:rPr>
        <w:rStyle w:val="PageNumber"/>
        <w:rFonts w:ascii="Arial" w:hAnsi="Arial" w:cs="Arial"/>
        <w:b/>
        <w:color w:val="77328A"/>
        <w:sz w:val="16"/>
        <w:szCs w:val="16"/>
      </w:rPr>
      <w:fldChar w:fldCharType="begin"/>
    </w:r>
    <w:r w:rsidRPr="0068486A">
      <w:rPr>
        <w:rStyle w:val="PageNumber"/>
        <w:rFonts w:ascii="Arial" w:hAnsi="Arial" w:cs="Arial"/>
        <w:b/>
        <w:color w:val="77328A"/>
        <w:sz w:val="16"/>
        <w:szCs w:val="16"/>
      </w:rPr>
      <w:instrText xml:space="preserve"> PAGE </w:instrText>
    </w:r>
    <w:r w:rsidRPr="0068486A">
      <w:rPr>
        <w:rStyle w:val="PageNumber"/>
        <w:rFonts w:ascii="Arial" w:hAnsi="Arial" w:cs="Arial"/>
        <w:b/>
        <w:color w:val="77328A"/>
        <w:sz w:val="16"/>
        <w:szCs w:val="16"/>
      </w:rPr>
      <w:fldChar w:fldCharType="separate"/>
    </w:r>
    <w:r w:rsidR="00801600" w:rsidRPr="0068486A">
      <w:rPr>
        <w:rStyle w:val="PageNumber"/>
        <w:rFonts w:ascii="Arial" w:hAnsi="Arial" w:cs="Arial"/>
        <w:b/>
        <w:color w:val="77328A"/>
        <w:sz w:val="16"/>
        <w:szCs w:val="16"/>
      </w:rPr>
      <w:t>2</w:t>
    </w:r>
    <w:r w:rsidRPr="0068486A">
      <w:rPr>
        <w:rStyle w:val="PageNumber"/>
        <w:rFonts w:ascii="Arial" w:hAnsi="Arial" w:cs="Arial"/>
        <w:b/>
        <w:color w:val="77328A"/>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00735" w14:textId="77777777" w:rsidR="00D2770F" w:rsidRPr="0068486A" w:rsidRDefault="00D2770F" w:rsidP="00046705">
    <w:pPr>
      <w:pStyle w:val="Footer"/>
      <w:jc w:val="right"/>
      <w:rPr>
        <w:rStyle w:val="PageNumber"/>
        <w:rFonts w:ascii="Arial" w:hAnsi="Arial" w:cs="Arial"/>
        <w:b/>
        <w:sz w:val="16"/>
        <w:szCs w:val="16"/>
      </w:rPr>
    </w:pPr>
  </w:p>
  <w:p w14:paraId="6C6140AA" w14:textId="77777777" w:rsidR="00D2770F" w:rsidRPr="0068486A" w:rsidRDefault="00D2770F" w:rsidP="00046705">
    <w:pPr>
      <w:pStyle w:val="Footer"/>
      <w:jc w:val="right"/>
      <w:rPr>
        <w:rFonts w:ascii="Arial" w:hAnsi="Arial" w:cs="Arial"/>
        <w: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C37BA" w14:textId="77777777" w:rsidR="000003A3" w:rsidRPr="0068486A" w:rsidRDefault="000003A3" w:rsidP="00B96D34">
      <w:r w:rsidRPr="0068486A">
        <w:continuationSeparator/>
      </w:r>
    </w:p>
    <w:p w14:paraId="11F2B0D1" w14:textId="77777777" w:rsidR="000003A3" w:rsidRPr="0068486A" w:rsidRDefault="000003A3" w:rsidP="00B96D34">
      <w:pPr>
        <w:pStyle w:val="Footer"/>
      </w:pPr>
    </w:p>
  </w:footnote>
  <w:footnote w:type="continuationSeparator" w:id="0">
    <w:p w14:paraId="16B8DD91" w14:textId="77777777" w:rsidR="000003A3" w:rsidRPr="0068486A" w:rsidRDefault="000003A3" w:rsidP="00962B2B">
      <w:r w:rsidRPr="0068486A">
        <w:continuationSeparator/>
      </w:r>
    </w:p>
  </w:footnote>
  <w:footnote w:type="continuationNotice" w:id="1">
    <w:p w14:paraId="498775B5" w14:textId="77777777" w:rsidR="000003A3" w:rsidRPr="0068486A" w:rsidRDefault="000003A3"/>
  </w:footnote>
  <w:footnote w:id="2">
    <w:p w14:paraId="1402F815" w14:textId="77777777" w:rsidR="00B13E7D" w:rsidRPr="0068486A" w:rsidRDefault="00B13E7D" w:rsidP="007A679D">
      <w:pPr>
        <w:pStyle w:val="NIHRCFootnotes"/>
      </w:pPr>
      <w:r w:rsidRPr="0068486A">
        <w:rPr>
          <w:rStyle w:val="FootnoteReference"/>
        </w:rPr>
        <w:footnoteRef/>
      </w:r>
      <w:r w:rsidRPr="0068486A">
        <w:t xml:space="preserve"> The Windsor Framework was formerly known as the Protocol on Ireland/Northern Ireland to the to the Agreement on the Withdrawal of the UK of Great Britain and NI from the EU and the European Atomic Energy Community, 24 January 2020 (UK-EU Withdrawal Agreement) (see Decision No 1/2023 of the Joint Committee established by the Agreement on the Withdrawal of the United Kingdom of Great Britain and Northern Ireland from the European Union and the European Atomic Energy Community of 24 March 2023 laying down arrangements relating to the framework).</w:t>
      </w:r>
    </w:p>
  </w:footnote>
  <w:footnote w:id="3">
    <w:p w14:paraId="7B1254E9" w14:textId="77777777" w:rsidR="00565C64" w:rsidRDefault="00565C64" w:rsidP="008C5C12">
      <w:pPr>
        <w:pStyle w:val="NIHRCFootnotes"/>
      </w:pPr>
      <w:r>
        <w:rPr>
          <w:rStyle w:val="FootnoteReference"/>
        </w:rPr>
        <w:footnoteRef/>
      </w:r>
      <w:r>
        <w:t xml:space="preserve"> </w:t>
      </w:r>
      <w:r w:rsidRPr="00B510AF">
        <w:rPr>
          <w:i/>
          <w:iCs/>
        </w:rPr>
        <w:t>In the Matter of an Application by Martina Dillon and others for Judicial Review</w:t>
      </w:r>
      <w:r w:rsidRPr="0081579D">
        <w:t xml:space="preserve"> [2026] UKSC 15</w:t>
      </w:r>
      <w:r>
        <w:t xml:space="preserve">. </w:t>
      </w:r>
    </w:p>
  </w:footnote>
  <w:footnote w:id="4">
    <w:p w14:paraId="537A1B29" w14:textId="77777777" w:rsidR="006C6DB9" w:rsidRDefault="006C6DB9" w:rsidP="006C6DB9">
      <w:pPr>
        <w:pStyle w:val="NIHRCFootnotes"/>
      </w:pPr>
      <w:r>
        <w:rPr>
          <w:rStyle w:val="FootnoteReference"/>
        </w:rPr>
        <w:footnoteRef/>
      </w:r>
      <w:r>
        <w:t xml:space="preserve"> </w:t>
      </w:r>
      <w:r w:rsidRPr="0068486A">
        <w:t>Clause 24, Victims and Witnesses of Crime Bill.</w:t>
      </w:r>
    </w:p>
  </w:footnote>
  <w:footnote w:id="5">
    <w:p w14:paraId="0E70C498" w14:textId="77777777" w:rsidR="006C6DB9" w:rsidRDefault="006C6DB9" w:rsidP="006C6DB9">
      <w:pPr>
        <w:pStyle w:val="NIHRCFootnotes"/>
      </w:pPr>
      <w:r>
        <w:rPr>
          <w:rStyle w:val="FootnoteReference"/>
        </w:rPr>
        <w:footnoteRef/>
      </w:r>
      <w:r>
        <w:t xml:space="preserve"> </w:t>
      </w:r>
      <w:r w:rsidRPr="0068486A">
        <w:t>Clause 24, Victims and Witnesses of Crime Bill.</w:t>
      </w:r>
    </w:p>
  </w:footnote>
  <w:footnote w:id="6">
    <w:p w14:paraId="135CEEA3" w14:textId="77777777" w:rsidR="00E80A0B" w:rsidRPr="00896B47" w:rsidRDefault="00E80A0B" w:rsidP="00E80A0B">
      <w:pPr>
        <w:pStyle w:val="NIHRCFootnotes"/>
      </w:pPr>
      <w:r w:rsidRPr="00896B47">
        <w:rPr>
          <w:rStyle w:val="FootnoteReference"/>
        </w:rPr>
        <w:footnoteRef/>
      </w:r>
      <w:r>
        <w:t xml:space="preserve"> </w:t>
      </w:r>
      <w:r w:rsidRPr="00896B47">
        <w:t>‘UN CERD Committee</w:t>
      </w:r>
      <w:r>
        <w:t>, ‘</w:t>
      </w:r>
      <w:r w:rsidRPr="00896B47">
        <w:t>General Recommendation 31: Prevention of Racial Discrimination in the Administration and Functioning of the Criminal Justice System’, 2005</w:t>
      </w:r>
      <w:r>
        <w:t>, at para 19</w:t>
      </w:r>
      <w:r w:rsidRPr="00896B47">
        <w:t>(b).</w:t>
      </w:r>
    </w:p>
  </w:footnote>
  <w:footnote w:id="7">
    <w:p w14:paraId="0EB1E78A" w14:textId="77777777" w:rsidR="006C6DB9" w:rsidRPr="00896B47" w:rsidRDefault="006C6DB9" w:rsidP="006C6DB9">
      <w:pPr>
        <w:pStyle w:val="NIHRCFootnotes"/>
      </w:pPr>
      <w:r w:rsidRPr="00896B47">
        <w:rPr>
          <w:rStyle w:val="FootnoteReference"/>
        </w:rPr>
        <w:footnoteRef/>
      </w:r>
      <w:r w:rsidRPr="00896B47">
        <w:t xml:space="preserve"> </w:t>
      </w:r>
      <w:r w:rsidRPr="00896B47">
        <w:rPr>
          <w:rFonts w:eastAsia="Verdana" w:cs="Verdana"/>
        </w:rPr>
        <w:t>CEDAW/C/GC/35, 'UN CEDAW Committee G</w:t>
      </w:r>
      <w:r>
        <w:rPr>
          <w:rFonts w:eastAsia="Verdana" w:cs="Verdana"/>
        </w:rPr>
        <w:t>eneral Recommendation No 35: G</w:t>
      </w:r>
      <w:r w:rsidRPr="00896B47">
        <w:rPr>
          <w:rFonts w:eastAsia="Verdana" w:cs="Verdana"/>
        </w:rPr>
        <w:t xml:space="preserve">ender </w:t>
      </w:r>
      <w:r>
        <w:rPr>
          <w:rFonts w:eastAsia="Verdana" w:cs="Verdana"/>
        </w:rPr>
        <w:t>Based Violence against W</w:t>
      </w:r>
      <w:r w:rsidRPr="00896B47">
        <w:rPr>
          <w:rFonts w:eastAsia="Verdana" w:cs="Verdana"/>
        </w:rPr>
        <w:t>omen,’ 26 July 2017</w:t>
      </w:r>
      <w:r>
        <w:rPr>
          <w:rFonts w:eastAsia="Verdana" w:cs="Verdana"/>
        </w:rPr>
        <w:t>,</w:t>
      </w:r>
      <w:r>
        <w:t xml:space="preserve"> at</w:t>
      </w:r>
      <w:r w:rsidRPr="00896B47">
        <w:t xml:space="preserve"> par</w:t>
      </w:r>
      <w:r>
        <w:t xml:space="preserve">a </w:t>
      </w:r>
      <w:r w:rsidRPr="00896B47">
        <w:t>27.</w:t>
      </w:r>
    </w:p>
  </w:footnote>
  <w:footnote w:id="8">
    <w:p w14:paraId="5A0C462A" w14:textId="77777777" w:rsidR="006C6DB9" w:rsidRPr="00896B47" w:rsidRDefault="006C6DB9" w:rsidP="006C6DB9">
      <w:pPr>
        <w:pStyle w:val="NIHRCFootnotes"/>
      </w:pPr>
      <w:r w:rsidRPr="00896B47">
        <w:rPr>
          <w:rStyle w:val="FootnoteReference"/>
        </w:rPr>
        <w:footnoteRef/>
      </w:r>
      <w:r w:rsidRPr="00896B47">
        <w:t xml:space="preserve"> UN Basic Principles and Guidelines on the Right to a Remedy and Reparation for Victims of Gross Violations of International Human Rights Law and Serious Violations of International Humanitarian Law, 16 December 2005, </w:t>
      </w:r>
      <w:r>
        <w:t xml:space="preserve">at </w:t>
      </w:r>
      <w:r w:rsidRPr="00896B47">
        <w:t xml:space="preserve">para 10. </w:t>
      </w:r>
    </w:p>
  </w:footnote>
  <w:footnote w:id="9">
    <w:p w14:paraId="6483061F" w14:textId="77777777" w:rsidR="009E43B0" w:rsidRPr="000F3595" w:rsidRDefault="009E43B0" w:rsidP="009E43B0">
      <w:pPr>
        <w:pStyle w:val="NIHRCFootnotes"/>
      </w:pPr>
      <w:r>
        <w:rPr>
          <w:rStyle w:val="FootnoteReference"/>
        </w:rPr>
        <w:footnoteRef/>
      </w:r>
      <w:r w:rsidRPr="000F3595">
        <w:t xml:space="preserve"> </w:t>
      </w:r>
      <w:r w:rsidRPr="0055477F">
        <w:rPr>
          <w:i/>
          <w:iCs/>
        </w:rPr>
        <w:t>X v Cyprus</w:t>
      </w:r>
      <w:r w:rsidRPr="000F3595">
        <w:t xml:space="preserve"> (2025) ECHR </w:t>
      </w:r>
      <w:r>
        <w:t>57,</w:t>
      </w:r>
      <w:r w:rsidRPr="000F3595">
        <w:t xml:space="preserve"> at para 105.</w:t>
      </w:r>
    </w:p>
  </w:footnote>
  <w:footnote w:id="10">
    <w:p w14:paraId="118EC3BB" w14:textId="77777777" w:rsidR="009E43B0" w:rsidRDefault="009E43B0" w:rsidP="009E43B0">
      <w:pPr>
        <w:pStyle w:val="NIHRCFootnotes"/>
      </w:pPr>
      <w:r>
        <w:rPr>
          <w:rStyle w:val="FootnoteReference"/>
        </w:rPr>
        <w:footnoteRef/>
      </w:r>
      <w:r w:rsidRPr="005472B0">
        <w:t xml:space="preserve"> </w:t>
      </w:r>
      <w:r w:rsidRPr="0055477F">
        <w:rPr>
          <w:i/>
          <w:iCs/>
        </w:rPr>
        <w:t>Y v Slovenia</w:t>
      </w:r>
      <w:r w:rsidRPr="005472B0">
        <w:t xml:space="preserve"> (2015) ECHR 519, at 108. </w:t>
      </w:r>
      <w:r w:rsidRPr="002B2234">
        <w:t xml:space="preserve">See also </w:t>
      </w:r>
      <w:r w:rsidRPr="0055477F">
        <w:rPr>
          <w:i/>
          <w:iCs/>
        </w:rPr>
        <w:t>JL v Italy</w:t>
      </w:r>
      <w:r w:rsidRPr="002B2234">
        <w:t xml:space="preserve"> (2021) ECHR 444, at para 128.</w:t>
      </w:r>
    </w:p>
  </w:footnote>
  <w:footnote w:id="11">
    <w:p w14:paraId="6BDB57EF" w14:textId="77777777" w:rsidR="008363CE" w:rsidRDefault="008363CE" w:rsidP="008363CE">
      <w:pPr>
        <w:pStyle w:val="NIHRCFootnotes"/>
      </w:pPr>
      <w:r>
        <w:rPr>
          <w:rStyle w:val="FootnoteReference"/>
        </w:rPr>
        <w:footnoteRef/>
      </w:r>
      <w:r>
        <w:t xml:space="preserve"> </w:t>
      </w:r>
      <w:r w:rsidRPr="0055477F">
        <w:rPr>
          <w:i/>
          <w:iCs/>
        </w:rPr>
        <w:t xml:space="preserve">Al-Khawaja and </w:t>
      </w:r>
      <w:proofErr w:type="spellStart"/>
      <w:r w:rsidRPr="0055477F">
        <w:rPr>
          <w:i/>
          <w:iCs/>
        </w:rPr>
        <w:t>Tahery</w:t>
      </w:r>
      <w:proofErr w:type="spellEnd"/>
      <w:r w:rsidRPr="0055477F">
        <w:rPr>
          <w:i/>
          <w:iCs/>
        </w:rPr>
        <w:t xml:space="preserve"> v UK</w:t>
      </w:r>
      <w:r w:rsidRPr="00475117">
        <w:t xml:space="preserve"> (2011) ECHR 2127, at para 118.</w:t>
      </w:r>
    </w:p>
  </w:footnote>
  <w:footnote w:id="12">
    <w:p w14:paraId="58C96BCD" w14:textId="77777777" w:rsidR="008363CE" w:rsidRPr="005472B0" w:rsidRDefault="008363CE" w:rsidP="008363CE">
      <w:pPr>
        <w:pStyle w:val="NIHRCFootnotes"/>
      </w:pPr>
      <w:r>
        <w:rPr>
          <w:rStyle w:val="FootnoteReference"/>
        </w:rPr>
        <w:footnoteRef/>
      </w:r>
      <w:r w:rsidRPr="005472B0">
        <w:t xml:space="preserve"> </w:t>
      </w:r>
      <w:r w:rsidRPr="0055477F">
        <w:rPr>
          <w:i/>
          <w:iCs/>
        </w:rPr>
        <w:t>Aigner v Austria</w:t>
      </w:r>
      <w:r>
        <w:t xml:space="preserve"> (2012) ECHR 827</w:t>
      </w:r>
      <w:r w:rsidRPr="005472B0">
        <w:t>, at para 36.</w:t>
      </w:r>
    </w:p>
  </w:footnote>
  <w:footnote w:id="13">
    <w:p w14:paraId="01D38E3B" w14:textId="12FC5EDE" w:rsidR="002B1894" w:rsidRDefault="002B1894" w:rsidP="00BF62AC">
      <w:pPr>
        <w:pStyle w:val="NIHRCFootnotes"/>
      </w:pPr>
      <w:r>
        <w:rPr>
          <w:rStyle w:val="FootnoteReference"/>
        </w:rPr>
        <w:footnoteRef/>
      </w:r>
      <w:r>
        <w:t xml:space="preserve"> </w:t>
      </w:r>
      <w:r w:rsidR="002D16A0">
        <w:t>Article</w:t>
      </w:r>
      <w:r w:rsidR="00A338EE">
        <w:t>s</w:t>
      </w:r>
      <w:r w:rsidR="00564F97">
        <w:t xml:space="preserve"> 7(2), </w:t>
      </w:r>
      <w:r w:rsidR="00084E07">
        <w:t>18</w:t>
      </w:r>
      <w:r w:rsidR="009A2D80">
        <w:t xml:space="preserve">, </w:t>
      </w:r>
      <w:r w:rsidR="00684C94">
        <w:t>20</w:t>
      </w:r>
      <w:r w:rsidR="00A338EE">
        <w:t xml:space="preserve"> and</w:t>
      </w:r>
      <w:r w:rsidR="00684C94">
        <w:t xml:space="preserve"> </w:t>
      </w:r>
      <w:r>
        <w:t xml:space="preserve">23(1), </w:t>
      </w:r>
      <w:r w:rsidRPr="00767B13">
        <w:t>Directive 2012/29/EU, ‘EU Parliament and Council Directive establishing minimum standards on the rights, support and protection of victims of crime’, 25 October 2012.</w:t>
      </w:r>
    </w:p>
  </w:footnote>
  <w:footnote w:id="14">
    <w:p w14:paraId="4610A550" w14:textId="731DA106" w:rsidR="008F4C00" w:rsidRDefault="008F4C00" w:rsidP="008F4C00">
      <w:pPr>
        <w:pStyle w:val="NIHRCFootnotes"/>
      </w:pPr>
      <w:r>
        <w:rPr>
          <w:rStyle w:val="FootnoteReference"/>
        </w:rPr>
        <w:footnoteRef/>
      </w:r>
      <w:r>
        <w:t xml:space="preserve"> </w:t>
      </w:r>
      <w:r w:rsidRPr="00B35AA2">
        <w:t>Hate Crime Review Team, ‘Hate Crime Legislation in NI: Independent Review’ (</w:t>
      </w:r>
      <w:proofErr w:type="spellStart"/>
      <w:r w:rsidRPr="00B35AA2">
        <w:t>DoJ</w:t>
      </w:r>
      <w:proofErr w:type="spellEnd"/>
      <w:r w:rsidRPr="00B35AA2">
        <w:t xml:space="preserve">, 2020), at </w:t>
      </w:r>
      <w:r w:rsidR="007369D4">
        <w:t xml:space="preserve">para </w:t>
      </w:r>
      <w:r>
        <w:t>7.128; Recital 9</w:t>
      </w:r>
      <w:r w:rsidRPr="00C47F6F">
        <w:t>, Directive</w:t>
      </w:r>
      <w:r w:rsidRPr="006C5845">
        <w:t xml:space="preserve"> 2012/29/EU, ‘</w:t>
      </w:r>
      <w:r>
        <w:t>EU</w:t>
      </w:r>
      <w:r w:rsidRPr="006C5845">
        <w:t xml:space="preserve"> Parliament and Council </w:t>
      </w:r>
      <w:r w:rsidR="00CF4198">
        <w:t xml:space="preserve">Directive </w:t>
      </w:r>
      <w:r w:rsidRPr="006C5845">
        <w:t>establishing minimum standards on the rights, support and protection of victims of crime’, 25 October 2012.</w:t>
      </w:r>
      <w:r>
        <w:t xml:space="preserve"> </w:t>
      </w:r>
    </w:p>
  </w:footnote>
  <w:footnote w:id="15">
    <w:p w14:paraId="07A2D2FF" w14:textId="13614C29" w:rsidR="008F4C00" w:rsidRDefault="008F4C00" w:rsidP="00126E36">
      <w:pPr>
        <w:pStyle w:val="NIHRCFootnotes"/>
      </w:pPr>
      <w:r>
        <w:rPr>
          <w:rStyle w:val="FootnoteReference"/>
        </w:rPr>
        <w:footnoteRef/>
      </w:r>
      <w:r>
        <w:t xml:space="preserve"> </w:t>
      </w:r>
      <w:r w:rsidRPr="00B35AA2">
        <w:t>Hate Crime Review Team, ‘Hate Crime Legislation in NI: Independent Review’ (</w:t>
      </w:r>
      <w:proofErr w:type="spellStart"/>
      <w:r w:rsidRPr="00B35AA2">
        <w:t>DoJ</w:t>
      </w:r>
      <w:proofErr w:type="spellEnd"/>
      <w:r w:rsidRPr="00B35AA2">
        <w:t xml:space="preserve">, 2020), at </w:t>
      </w:r>
      <w:r w:rsidR="007369D4">
        <w:t xml:space="preserve">para </w:t>
      </w:r>
      <w:r>
        <w:t>7.131.</w:t>
      </w:r>
    </w:p>
  </w:footnote>
  <w:footnote w:id="16">
    <w:p w14:paraId="52CA24AE" w14:textId="77777777" w:rsidR="003B5806" w:rsidRPr="00B35AA2" w:rsidRDefault="003B5806" w:rsidP="003B5806">
      <w:pPr>
        <w:pStyle w:val="NIHRCFootnotes"/>
      </w:pPr>
      <w:r w:rsidRPr="00B35AA2">
        <w:rPr>
          <w:rStyle w:val="FootnoteReference"/>
        </w:rPr>
        <w:footnoteRef/>
      </w:r>
      <w:r w:rsidRPr="00B35AA2">
        <w:t xml:space="preserve"> Clause 33(1)(a)-(d), Criminal Justice (Sentencing etc) Bill.</w:t>
      </w:r>
    </w:p>
  </w:footnote>
  <w:footnote w:id="17">
    <w:p w14:paraId="2FEDF67D" w14:textId="77777777" w:rsidR="003B5806" w:rsidRDefault="003B5806" w:rsidP="003B5806">
      <w:pPr>
        <w:pStyle w:val="NIHRCFootnotes"/>
      </w:pPr>
      <w:r>
        <w:rPr>
          <w:rStyle w:val="FootnoteReference"/>
        </w:rPr>
        <w:footnoteRef/>
      </w:r>
      <w:r>
        <w:t xml:space="preserve"> Northern Ireland Human Rights Commission, ‘Submission to the Committee for Justice’s Call for Evidence on the Criminal Justice (Sentencing etc) Bill’ (NIHRC, 2026), at paras 2.24 – 2.57.</w:t>
      </w:r>
    </w:p>
  </w:footnote>
  <w:footnote w:id="18">
    <w:p w14:paraId="18040402" w14:textId="7B9D78B7" w:rsidR="00126E36" w:rsidRDefault="00126E36" w:rsidP="00126E36">
      <w:pPr>
        <w:pStyle w:val="NIHRCFootnotes"/>
      </w:pPr>
      <w:r>
        <w:rPr>
          <w:rStyle w:val="FootnoteReference"/>
        </w:rPr>
        <w:footnoteRef/>
      </w:r>
      <w:r>
        <w:t xml:space="preserve"> Northern Ireland Human Rights Commission, ‘</w:t>
      </w:r>
      <w:r w:rsidRPr="00126E36">
        <w:t>NIHRC Submission to the Committee for Justice’s Call for Evidence on the Criminal Justice (Sentencing etc) Bill</w:t>
      </w:r>
      <w:r>
        <w:t>’ (NIHRC, 2026)</w:t>
      </w:r>
      <w:r w:rsidR="00B42482">
        <w:t xml:space="preserve">, at </w:t>
      </w:r>
      <w:r w:rsidR="004C4402">
        <w:t>para</w:t>
      </w:r>
      <w:r w:rsidR="007369D4">
        <w:t>s</w:t>
      </w:r>
      <w:r w:rsidR="004C4402">
        <w:t xml:space="preserve"> 2.28 – 2.32. </w:t>
      </w:r>
    </w:p>
  </w:footnote>
  <w:footnote w:id="19">
    <w:p w14:paraId="2D626454" w14:textId="4757D918" w:rsidR="009A5797" w:rsidRDefault="009A5797" w:rsidP="009A5797">
      <w:pPr>
        <w:pStyle w:val="NIHRCFootnotes"/>
      </w:pPr>
      <w:r>
        <w:rPr>
          <w:rStyle w:val="FootnoteReference"/>
        </w:rPr>
        <w:footnoteRef/>
      </w:r>
      <w:r>
        <w:t xml:space="preserve"> Article 23</w:t>
      </w:r>
      <w:r w:rsidR="000D10D8">
        <w:t>(3)</w:t>
      </w:r>
      <w:r w:rsidR="008600A6">
        <w:t xml:space="preserve">, </w:t>
      </w:r>
      <w:r w:rsidRPr="00C47F6F">
        <w:t>Directive</w:t>
      </w:r>
      <w:r w:rsidRPr="006C5845">
        <w:t xml:space="preserve"> 2012/29/EU, ‘</w:t>
      </w:r>
      <w:r>
        <w:t>EU</w:t>
      </w:r>
      <w:r w:rsidRPr="006C5845">
        <w:t xml:space="preserve"> Parliament and Council </w:t>
      </w:r>
      <w:r w:rsidR="00CF4198" w:rsidRPr="006C5845">
        <w:t xml:space="preserve">Directive </w:t>
      </w:r>
      <w:r w:rsidRPr="006C5845">
        <w:t>establishing minimum standards on the rights, support and protection of victims of crime’, 25 October 2012.</w:t>
      </w:r>
      <w:r>
        <w:t xml:space="preserve"> </w:t>
      </w:r>
    </w:p>
  </w:footnote>
  <w:footnote w:id="20">
    <w:p w14:paraId="4423FF8C" w14:textId="48F78BE0" w:rsidR="00A9254D" w:rsidRDefault="00A9254D" w:rsidP="00A9254D">
      <w:pPr>
        <w:pStyle w:val="NIHRCFootnotes"/>
      </w:pPr>
      <w:r>
        <w:rPr>
          <w:rStyle w:val="FootnoteReference"/>
        </w:rPr>
        <w:footnoteRef/>
      </w:r>
      <w:r>
        <w:t xml:space="preserve"> Article 22(1), </w:t>
      </w:r>
      <w:r w:rsidRPr="00C47F6F">
        <w:t>Directive</w:t>
      </w:r>
      <w:r w:rsidRPr="006C5845">
        <w:t xml:space="preserve"> 2012/29/EU, ‘</w:t>
      </w:r>
      <w:r>
        <w:t>EU</w:t>
      </w:r>
      <w:r w:rsidRPr="006C5845">
        <w:t xml:space="preserve"> Parliament and Council </w:t>
      </w:r>
      <w:r w:rsidR="00472C94">
        <w:t xml:space="preserve">Directive </w:t>
      </w:r>
      <w:r w:rsidRPr="006C5845">
        <w:t>establishing minimum standards on the rights, support and protection of victims of crime’, 25 October 2012.</w:t>
      </w:r>
    </w:p>
  </w:footnote>
  <w:footnote w:id="21">
    <w:p w14:paraId="4E7321E6" w14:textId="5901121D" w:rsidR="005932B8" w:rsidRDefault="005932B8" w:rsidP="004838CC">
      <w:pPr>
        <w:pStyle w:val="NIHRCFootnotes"/>
      </w:pPr>
      <w:r>
        <w:rPr>
          <w:rStyle w:val="FootnoteReference"/>
        </w:rPr>
        <w:footnoteRef/>
      </w:r>
      <w:r>
        <w:t xml:space="preserve"> Article 23(3)</w:t>
      </w:r>
      <w:r w:rsidR="004838CC">
        <w:t>(a)</w:t>
      </w:r>
      <w:r>
        <w:t xml:space="preserve">, </w:t>
      </w:r>
      <w:r w:rsidRPr="00C47F6F">
        <w:t>Directive</w:t>
      </w:r>
      <w:r w:rsidRPr="006C5845">
        <w:t xml:space="preserve"> 2012/29/EU, ‘</w:t>
      </w:r>
      <w:r>
        <w:t>EU</w:t>
      </w:r>
      <w:r w:rsidRPr="006C5845">
        <w:t xml:space="preserve"> Parliament and Council</w:t>
      </w:r>
      <w:r w:rsidR="00CF4198">
        <w:t xml:space="preserve"> Directive</w:t>
      </w:r>
      <w:r w:rsidRPr="006C5845">
        <w:t xml:space="preserve"> establishing minimum standards on the rights, support and protection of victims of crime’, 25 October 2012.</w:t>
      </w:r>
    </w:p>
  </w:footnote>
  <w:footnote w:id="22">
    <w:p w14:paraId="6EB87E14" w14:textId="20B6C373" w:rsidR="00023BC1" w:rsidRDefault="00023BC1" w:rsidP="00472C94">
      <w:pPr>
        <w:pStyle w:val="NIHRCFootnotes"/>
      </w:pPr>
      <w:r>
        <w:rPr>
          <w:rStyle w:val="FootnoteReference"/>
        </w:rPr>
        <w:footnoteRef/>
      </w:r>
      <w:r>
        <w:t xml:space="preserve"> Article 12</w:t>
      </w:r>
      <w:r w:rsidR="00AF17F8">
        <w:t>(4)(</w:t>
      </w:r>
      <w:r w:rsidR="003C62B3">
        <w:t>b</w:t>
      </w:r>
      <w:r w:rsidR="00AF17F8">
        <w:t xml:space="preserve">), </w:t>
      </w:r>
      <w:r w:rsidR="00E74CC8" w:rsidRPr="00E74CC8">
        <w:t>Directive 2011/36/EU</w:t>
      </w:r>
      <w:r w:rsidR="000553AC">
        <w:t>,</w:t>
      </w:r>
      <w:r w:rsidR="00E74CC8">
        <w:t xml:space="preserve"> ‘</w:t>
      </w:r>
      <w:r w:rsidR="00472C94">
        <w:t>EU</w:t>
      </w:r>
      <w:r w:rsidR="002A644C" w:rsidRPr="002A644C">
        <w:t xml:space="preserve"> Parliament and Council </w:t>
      </w:r>
      <w:r w:rsidR="00472C94">
        <w:t xml:space="preserve">Directive </w:t>
      </w:r>
      <w:r w:rsidR="002A644C" w:rsidRPr="002A644C">
        <w:t>on preventing and combating trafficking in human beings and protecting its victims</w:t>
      </w:r>
      <w:r w:rsidR="000553AC">
        <w:t>’, 5 April 2011</w:t>
      </w:r>
      <w:r w:rsidR="00472C94">
        <w:t>.</w:t>
      </w:r>
    </w:p>
  </w:footnote>
  <w:footnote w:id="23">
    <w:p w14:paraId="321498CD" w14:textId="448B068C" w:rsidR="00AF17F8" w:rsidRDefault="00AF17F8" w:rsidP="00472C94">
      <w:pPr>
        <w:pStyle w:val="NIHRCFootnotes"/>
      </w:pPr>
      <w:r>
        <w:rPr>
          <w:rStyle w:val="FootnoteReference"/>
        </w:rPr>
        <w:footnoteRef/>
      </w:r>
      <w:r w:rsidRPr="005472B0">
        <w:rPr>
          <w:lang w:val="fr-FR"/>
        </w:rPr>
        <w:t xml:space="preserve"> </w:t>
      </w:r>
      <w:r w:rsidR="003C62B3" w:rsidRPr="005472B0">
        <w:rPr>
          <w:lang w:val="fr-FR"/>
        </w:rPr>
        <w:t>Article 12(4)(</w:t>
      </w:r>
      <w:r w:rsidR="00950A4F" w:rsidRPr="005472B0">
        <w:rPr>
          <w:lang w:val="fr-FR"/>
        </w:rPr>
        <w:t xml:space="preserve">a), </w:t>
      </w:r>
      <w:r w:rsidR="00472C94" w:rsidRPr="005472B0">
        <w:rPr>
          <w:lang w:val="fr-FR"/>
        </w:rPr>
        <w:t xml:space="preserve">Article 12 (4)(b), Directive 2011/36/EU. </w:t>
      </w:r>
      <w:r w:rsidR="00472C94">
        <w:t>‘EU</w:t>
      </w:r>
      <w:r w:rsidR="00472C94" w:rsidRPr="002A644C">
        <w:t xml:space="preserve"> Parliament and Council </w:t>
      </w:r>
      <w:r w:rsidR="00472C94">
        <w:t xml:space="preserve">Directive </w:t>
      </w:r>
      <w:r w:rsidR="00472C94" w:rsidRPr="002A644C">
        <w:t>on preventing and combating trafficking in human beings and protecting its victims</w:t>
      </w:r>
      <w:r w:rsidR="000553AC">
        <w:t>’, 5 April 2011</w:t>
      </w:r>
      <w:r w:rsidR="00472C94">
        <w:t>.</w:t>
      </w:r>
    </w:p>
  </w:footnote>
  <w:footnote w:id="24">
    <w:p w14:paraId="2FD90359" w14:textId="77777777" w:rsidR="00E11AB3" w:rsidRDefault="00E11AB3" w:rsidP="00E11AB3">
      <w:pPr>
        <w:pStyle w:val="NIHRCFootnotes"/>
      </w:pPr>
      <w:r>
        <w:rPr>
          <w:rStyle w:val="FootnoteReference"/>
        </w:rPr>
        <w:footnoteRef/>
      </w:r>
      <w:r>
        <w:t xml:space="preserve"> </w:t>
      </w:r>
      <w:r w:rsidRPr="00DA7786">
        <w:t>Hate Crime Review Team, ‘Hate Crime Legislation in NI: Independent Review’ (</w:t>
      </w:r>
      <w:proofErr w:type="spellStart"/>
      <w:r w:rsidRPr="00DA7786">
        <w:t>DoJ</w:t>
      </w:r>
      <w:proofErr w:type="spellEnd"/>
      <w:r w:rsidRPr="00DA7786">
        <w:t>, 2020), at Recommendation 24.</w:t>
      </w:r>
    </w:p>
  </w:footnote>
  <w:footnote w:id="25">
    <w:p w14:paraId="271C3D4F" w14:textId="639D26C3" w:rsidR="00DC178A" w:rsidRDefault="00DC178A" w:rsidP="002E60C6">
      <w:pPr>
        <w:pStyle w:val="NIHRCFootnotes"/>
      </w:pPr>
      <w:r>
        <w:rPr>
          <w:rStyle w:val="FootnoteReference"/>
        </w:rPr>
        <w:footnoteRef/>
      </w:r>
      <w:r>
        <w:t xml:space="preserve"> </w:t>
      </w:r>
      <w:r w:rsidR="002E60C6">
        <w:t>CM/</w:t>
      </w:r>
      <w:proofErr w:type="gramStart"/>
      <w:r w:rsidR="002E60C6">
        <w:t>Rec(</w:t>
      </w:r>
      <w:proofErr w:type="gramEnd"/>
      <w:r w:rsidR="002E60C6">
        <w:t>2024)4, ‘</w:t>
      </w:r>
      <w:proofErr w:type="spellStart"/>
      <w:r w:rsidR="002E60C6">
        <w:t>CoE</w:t>
      </w:r>
      <w:proofErr w:type="spellEnd"/>
      <w:r w:rsidR="002E60C6">
        <w:t xml:space="preserve"> Committee of Ministers Recommendation to Member States on Combatting Hate Crime’, 7 May 2024, at para 64.</w:t>
      </w:r>
    </w:p>
  </w:footnote>
  <w:footnote w:id="26">
    <w:p w14:paraId="050D9073" w14:textId="77777777" w:rsidR="00A3478A" w:rsidRDefault="00A3478A" w:rsidP="00A3478A">
      <w:pPr>
        <w:pStyle w:val="NIHRCFootnotes"/>
      </w:pPr>
      <w:r>
        <w:rPr>
          <w:rStyle w:val="FootnoteReference"/>
        </w:rPr>
        <w:footnoteRef/>
      </w:r>
      <w:r>
        <w:t xml:space="preserve"> </w:t>
      </w:r>
      <w:r w:rsidRPr="00DA7786">
        <w:t>Hate Crime Review Team, ‘Hate Crime Legislation in NI: Independent Review’ (</w:t>
      </w:r>
      <w:proofErr w:type="spellStart"/>
      <w:r w:rsidRPr="00DA7786">
        <w:t>DoJ</w:t>
      </w:r>
      <w:proofErr w:type="spellEnd"/>
      <w:r w:rsidRPr="00DA7786">
        <w:t>, 2020),</w:t>
      </w:r>
      <w:r>
        <w:t xml:space="preserve"> at para 160.</w:t>
      </w:r>
    </w:p>
  </w:footnote>
  <w:footnote w:id="27">
    <w:p w14:paraId="622985B8" w14:textId="42BD605D" w:rsidR="00BA0F86" w:rsidRDefault="00BA0F86" w:rsidP="00B2702C">
      <w:pPr>
        <w:pStyle w:val="NIHRCFootnotes"/>
      </w:pPr>
      <w:r>
        <w:rPr>
          <w:rStyle w:val="FootnoteReference"/>
        </w:rPr>
        <w:footnoteRef/>
      </w:r>
      <w:r>
        <w:t xml:space="preserve"> </w:t>
      </w:r>
      <w:r w:rsidR="00B2702C" w:rsidRPr="7156599E">
        <w:t>Clause 25, Victims and Witnesses of Crime Bill</w:t>
      </w:r>
      <w:r w:rsidR="00B2702C">
        <w:t>.</w:t>
      </w:r>
    </w:p>
  </w:footnote>
  <w:footnote w:id="28">
    <w:p w14:paraId="621BBCDA" w14:textId="6617AB45" w:rsidR="006A631F" w:rsidRDefault="006A631F" w:rsidP="006A631F">
      <w:pPr>
        <w:pStyle w:val="NIHRCFootnotes"/>
      </w:pPr>
      <w:r>
        <w:rPr>
          <w:rStyle w:val="FootnoteReference"/>
        </w:rPr>
        <w:footnoteRef/>
      </w:r>
      <w:r>
        <w:t xml:space="preserve"> Section 26(3)(b), the Criminal Evidence (NI) Order 1999.</w:t>
      </w:r>
    </w:p>
  </w:footnote>
  <w:footnote w:id="29">
    <w:p w14:paraId="0CEA3645" w14:textId="42D386B0" w:rsidR="009A60EE" w:rsidRDefault="009A60EE" w:rsidP="009A60EE">
      <w:pPr>
        <w:pStyle w:val="NIHRCFootnotes"/>
      </w:pPr>
      <w:r>
        <w:rPr>
          <w:rStyle w:val="FootnoteReference"/>
        </w:rPr>
        <w:footnoteRef/>
      </w:r>
      <w:r>
        <w:t xml:space="preserve"> Section 26(4), the Criminal Evidence (NI) Order 1999.</w:t>
      </w:r>
    </w:p>
  </w:footnote>
  <w:footnote w:id="30">
    <w:p w14:paraId="3121B32C" w14:textId="77777777" w:rsidR="000F200C" w:rsidRDefault="000F200C" w:rsidP="000F200C">
      <w:pPr>
        <w:pStyle w:val="NIHRCFootnotes"/>
      </w:pPr>
      <w:r>
        <w:rPr>
          <w:rStyle w:val="FootnoteReference"/>
        </w:rPr>
        <w:footnoteRef/>
      </w:r>
      <w:r>
        <w:t xml:space="preserve"> </w:t>
      </w:r>
      <w:r w:rsidRPr="7156599E">
        <w:t>Hate Crime Review Team, ‘Hate Crime Legislation in NI: Independent Review’ (</w:t>
      </w:r>
      <w:proofErr w:type="spellStart"/>
      <w:r w:rsidRPr="7156599E">
        <w:t>DoJ</w:t>
      </w:r>
      <w:proofErr w:type="spellEnd"/>
      <w:r w:rsidRPr="7156599E">
        <w:t>, 2020), para</w:t>
      </w:r>
      <w:r>
        <w:t>s</w:t>
      </w:r>
      <w:r w:rsidRPr="7156599E">
        <w:t xml:space="preserve"> 172- 173</w:t>
      </w:r>
      <w:r>
        <w:t>.</w:t>
      </w:r>
    </w:p>
  </w:footnote>
  <w:footnote w:id="31">
    <w:p w14:paraId="6DAB91EE" w14:textId="77777777" w:rsidR="005440F2" w:rsidRDefault="005440F2" w:rsidP="005440F2">
      <w:pPr>
        <w:pStyle w:val="NIHRCFootnotes"/>
      </w:pPr>
      <w:r>
        <w:rPr>
          <w:rStyle w:val="FootnoteReference"/>
        </w:rPr>
        <w:footnoteRef/>
      </w:r>
      <w:r>
        <w:t xml:space="preserve"> </w:t>
      </w:r>
      <w:r w:rsidRPr="00602A59">
        <w:t>CRPD/C/GBR/CO/1, 'UN CRPD Committee Concluding Observations on the Initial Report of the United Kingdom of Great Britain and Northern Ireland', 29 August 2017, at para 19; ‘UN CERD Committee General Recommendation 31: Prevention of Racial Discrimination in the Administration and Functioning of the Criminal Justice System’, 2005, at para 19(b); CEDAW/C/GC/35, 'UN CEDAW Committee General Recommendation No 35: Gender Based Violence against Women,’ July 2017, at para 28; UN Basic Principles and Guidelines on the Right to a Remedy and Reparation for Victims of Gross Violations of International Human Rights Law and Serious Violations of International Humanitarian Law, 16 December 2005, at para 10.</w:t>
      </w:r>
    </w:p>
  </w:footnote>
  <w:footnote w:id="32">
    <w:p w14:paraId="6A0A5005" w14:textId="77777777" w:rsidR="005440F2" w:rsidRPr="00E177F5" w:rsidRDefault="005440F2" w:rsidP="005440F2">
      <w:pPr>
        <w:pStyle w:val="NIHRCFootnotes"/>
        <w:rPr>
          <w:rFonts w:ascii="Arial Nova" w:eastAsia="Arial Nova" w:hAnsi="Arial Nova" w:cs="Arial Nova"/>
          <w:color w:val="7030A0"/>
          <w:sz w:val="20"/>
          <w:szCs w:val="20"/>
        </w:rPr>
      </w:pPr>
      <w:r>
        <w:rPr>
          <w:rStyle w:val="FootnoteReference"/>
        </w:rPr>
        <w:footnoteRef/>
      </w:r>
      <w:r>
        <w:t xml:space="preserve"> </w:t>
      </w:r>
      <w:r w:rsidRPr="0055477F">
        <w:rPr>
          <w:i/>
          <w:iCs/>
        </w:rPr>
        <w:t>Y v Slovenia</w:t>
      </w:r>
      <w:r w:rsidRPr="005472B0">
        <w:t xml:space="preserve"> (2015) ECHR 519</w:t>
      </w:r>
      <w:r>
        <w:t>.</w:t>
      </w:r>
    </w:p>
  </w:footnote>
  <w:footnote w:id="33">
    <w:p w14:paraId="5BAC2F48" w14:textId="3603DEFC" w:rsidR="00856563" w:rsidRDefault="00856563" w:rsidP="00600A92">
      <w:pPr>
        <w:pStyle w:val="NIHRCFootnotes"/>
      </w:pPr>
      <w:r>
        <w:rPr>
          <w:rStyle w:val="FootnoteReference"/>
        </w:rPr>
        <w:footnoteRef/>
      </w:r>
      <w:r>
        <w:t xml:space="preserve"> </w:t>
      </w:r>
      <w:r w:rsidR="00600A92">
        <w:t xml:space="preserve">Article 18, </w:t>
      </w:r>
      <w:r w:rsidR="00600A92" w:rsidRPr="00C47F6F">
        <w:t>Directive</w:t>
      </w:r>
      <w:r w:rsidR="00600A92" w:rsidRPr="006C5845">
        <w:t xml:space="preserve"> 2012/29/EU, ‘</w:t>
      </w:r>
      <w:r w:rsidR="00600A92">
        <w:t>EU</w:t>
      </w:r>
      <w:r w:rsidR="00600A92" w:rsidRPr="006C5845">
        <w:t xml:space="preserve"> Parliament and Council </w:t>
      </w:r>
      <w:r w:rsidR="003024A9" w:rsidRPr="006C5845">
        <w:t xml:space="preserve">Directive </w:t>
      </w:r>
      <w:r w:rsidR="00600A92" w:rsidRPr="006C5845">
        <w:t>establishing minimum standards on the rights, support and protection of victims of crime’, 25 October 2012.</w:t>
      </w:r>
    </w:p>
  </w:footnote>
  <w:footnote w:id="34">
    <w:p w14:paraId="326CFA0E" w14:textId="77777777" w:rsidR="006C0CCE" w:rsidRDefault="006C0CCE" w:rsidP="006C0CCE">
      <w:pPr>
        <w:pStyle w:val="NIHRCFootnotes"/>
      </w:pPr>
      <w:r>
        <w:rPr>
          <w:rStyle w:val="FootnoteReference"/>
        </w:rPr>
        <w:footnoteRef/>
      </w:r>
      <w:r>
        <w:t xml:space="preserve"> Article 19, </w:t>
      </w:r>
      <w:r w:rsidRPr="00C47F6F">
        <w:t>Directive</w:t>
      </w:r>
      <w:r w:rsidRPr="006C5845">
        <w:t xml:space="preserve"> 2012/29/EU, ‘</w:t>
      </w:r>
      <w:r>
        <w:t>EU</w:t>
      </w:r>
      <w:r w:rsidRPr="006C5845">
        <w:t xml:space="preserve"> Parliament and Council Directive establishing minimum standards on the rights, support and protection of victims of crime’, 25 October 2012.</w:t>
      </w:r>
    </w:p>
  </w:footnote>
  <w:footnote w:id="35">
    <w:p w14:paraId="19C1C4B4" w14:textId="77777777" w:rsidR="006C0CCE" w:rsidRDefault="006C0CCE" w:rsidP="006C0CCE">
      <w:pPr>
        <w:pStyle w:val="NIHRCFootnotes"/>
      </w:pPr>
      <w:r>
        <w:rPr>
          <w:rStyle w:val="FootnoteReference"/>
        </w:rPr>
        <w:footnoteRef/>
      </w:r>
      <w:r>
        <w:t xml:space="preserve"> Article 23(3)(a), </w:t>
      </w:r>
      <w:r w:rsidRPr="00C47F6F">
        <w:t>Directive</w:t>
      </w:r>
      <w:r w:rsidRPr="006C5845">
        <w:t xml:space="preserve"> 2012/29/EU, ‘</w:t>
      </w:r>
      <w:r>
        <w:t>EU</w:t>
      </w:r>
      <w:r w:rsidRPr="006C5845">
        <w:t xml:space="preserve"> Parliament and Council</w:t>
      </w:r>
      <w:r>
        <w:t xml:space="preserve"> Directive</w:t>
      </w:r>
      <w:r w:rsidRPr="006C5845">
        <w:t xml:space="preserve"> establishing minimum standards on the rights, support and protection of victims of crime’, 25 October 2012.</w:t>
      </w:r>
    </w:p>
  </w:footnote>
  <w:footnote w:id="36">
    <w:p w14:paraId="2A451368" w14:textId="77777777" w:rsidR="005E60A0" w:rsidRDefault="005E60A0" w:rsidP="005E60A0">
      <w:pPr>
        <w:pStyle w:val="NIHRCFootnotes"/>
      </w:pPr>
      <w:r>
        <w:rPr>
          <w:rStyle w:val="FootnoteReference"/>
        </w:rPr>
        <w:footnoteRef/>
      </w:r>
      <w:r>
        <w:t xml:space="preserve"> Article 1(2), </w:t>
      </w:r>
      <w:r w:rsidRPr="00767B13">
        <w:t>Directive 2012/29/EU, ‘EU Parliament and Council Directive establishing minimum standards on the rights, support and protection of victims of crime’, 25 October 2012.</w:t>
      </w:r>
    </w:p>
  </w:footnote>
  <w:footnote w:id="37">
    <w:p w14:paraId="37063CEC" w14:textId="77777777" w:rsidR="005E60A0" w:rsidRDefault="005E60A0" w:rsidP="005E60A0">
      <w:pPr>
        <w:pStyle w:val="NIHRCFootnotes"/>
      </w:pPr>
      <w:r>
        <w:rPr>
          <w:rStyle w:val="FootnoteReference"/>
        </w:rPr>
        <w:footnoteRef/>
      </w:r>
      <w:r>
        <w:t xml:space="preserve"> Article 22(4), </w:t>
      </w:r>
      <w:r w:rsidRPr="00767B13">
        <w:t>Directive 2012/29/EU, ‘EU Parliament and Council Directive establishing minimum standards on the rights, support and protection of victims of crime’, 25 October 2012.</w:t>
      </w:r>
    </w:p>
  </w:footnote>
  <w:footnote w:id="38">
    <w:p w14:paraId="055BEFCC" w14:textId="77777777" w:rsidR="005E60A0" w:rsidRDefault="005E60A0" w:rsidP="005E60A0">
      <w:pPr>
        <w:pStyle w:val="NIHRCFootnotes"/>
      </w:pPr>
      <w:r>
        <w:rPr>
          <w:rStyle w:val="FootnoteReference"/>
        </w:rPr>
        <w:footnoteRef/>
      </w:r>
      <w:r>
        <w:t xml:space="preserve"> Article 24(1)(a), </w:t>
      </w:r>
      <w:r w:rsidRPr="00767B13">
        <w:t>Directive 2012/29/EU, ‘EU Parliament and Council Directive establishing minimum standards on the rights, support and protection of victims of crime’, 25 October 2012.</w:t>
      </w:r>
    </w:p>
  </w:footnote>
  <w:footnote w:id="39">
    <w:p w14:paraId="11F40E46" w14:textId="77777777" w:rsidR="00C54C99" w:rsidRPr="00F84549" w:rsidRDefault="00C54C99" w:rsidP="00C54C99">
      <w:pPr>
        <w:pStyle w:val="NIHRCFootnotes"/>
      </w:pPr>
      <w:r>
        <w:rPr>
          <w:rStyle w:val="FootnoteReference"/>
        </w:rPr>
        <w:footnoteRef/>
      </w:r>
      <w:r w:rsidRPr="00F84549">
        <w:t xml:space="preserve"> Article 6, European Convention on Human Right</w:t>
      </w:r>
      <w:r>
        <w:t>s.</w:t>
      </w:r>
    </w:p>
  </w:footnote>
  <w:footnote w:id="40">
    <w:p w14:paraId="798C0AD1" w14:textId="77777777" w:rsidR="00B93140" w:rsidRPr="0034087F" w:rsidRDefault="00B93140" w:rsidP="00B93140">
      <w:pPr>
        <w:pStyle w:val="NIHRCFootnotes"/>
      </w:pPr>
      <w:r>
        <w:rPr>
          <w:rStyle w:val="FootnoteReference"/>
        </w:rPr>
        <w:footnoteRef/>
      </w:r>
      <w:r w:rsidRPr="0034087F">
        <w:t xml:space="preserve"> </w:t>
      </w:r>
      <w:r>
        <w:t>A</w:t>
      </w:r>
      <w:r w:rsidRPr="0034087F">
        <w:t>rticle 6(3)(c), European Convention on Human Right</w:t>
      </w:r>
      <w:r>
        <w:t>s.</w:t>
      </w:r>
    </w:p>
  </w:footnote>
  <w:footnote w:id="41">
    <w:p w14:paraId="54031A4C" w14:textId="5F883C4C" w:rsidR="00B93140" w:rsidRPr="001D7A5D" w:rsidRDefault="00B93140" w:rsidP="00B93140">
      <w:pPr>
        <w:pStyle w:val="NIHRCFootnotes"/>
      </w:pPr>
      <w:r>
        <w:rPr>
          <w:rStyle w:val="FootnoteReference"/>
        </w:rPr>
        <w:footnoteRef/>
      </w:r>
      <w:r w:rsidRPr="001D7A5D">
        <w:t xml:space="preserve"> See </w:t>
      </w:r>
      <w:proofErr w:type="spellStart"/>
      <w:r w:rsidRPr="0055477F">
        <w:rPr>
          <w:i/>
          <w:iCs/>
        </w:rPr>
        <w:t>Galystan</w:t>
      </w:r>
      <w:proofErr w:type="spellEnd"/>
      <w:r w:rsidRPr="0055477F">
        <w:rPr>
          <w:i/>
          <w:iCs/>
        </w:rPr>
        <w:t xml:space="preserve"> v Armenia</w:t>
      </w:r>
      <w:r w:rsidRPr="001D7A5D">
        <w:t xml:space="preserve"> (2007) ECHR Application No </w:t>
      </w:r>
      <w:hyperlink r:id="rId1" w:anchor="{%22appno%22:[%2226986/03%22]}">
        <w:r w:rsidRPr="001D7A5D">
          <w:rPr>
            <w:rStyle w:val="Hyperlink"/>
            <w:color w:val="77328A"/>
            <w:u w:val="none"/>
          </w:rPr>
          <w:t>26986/03</w:t>
        </w:r>
      </w:hyperlink>
      <w:r w:rsidRPr="001D7A5D">
        <w:t>, at para 91.</w:t>
      </w:r>
    </w:p>
  </w:footnote>
  <w:footnote w:id="42">
    <w:p w14:paraId="53A26AB5" w14:textId="71B21B47" w:rsidR="00B93140" w:rsidRPr="0002661C" w:rsidRDefault="00B93140" w:rsidP="00B93140">
      <w:pPr>
        <w:pStyle w:val="NIHRCFootnotes"/>
        <w:rPr>
          <w:lang w:val="pt-PT"/>
        </w:rPr>
      </w:pPr>
      <w:r>
        <w:rPr>
          <w:rStyle w:val="FootnoteReference"/>
        </w:rPr>
        <w:footnoteRef/>
      </w:r>
      <w:r w:rsidRPr="0002661C">
        <w:rPr>
          <w:lang w:val="pt-PT"/>
        </w:rPr>
        <w:t xml:space="preserve"> </w:t>
      </w:r>
      <w:r w:rsidRPr="0055477F">
        <w:rPr>
          <w:i/>
          <w:iCs/>
          <w:lang w:val="pt-PT"/>
        </w:rPr>
        <w:t>Correia de Matos v Portugal</w:t>
      </w:r>
      <w:r>
        <w:rPr>
          <w:lang w:val="pt-PT"/>
        </w:rPr>
        <w:t xml:space="preserve"> (2001) ECHR 901.</w:t>
      </w:r>
    </w:p>
  </w:footnote>
  <w:footnote w:id="43">
    <w:p w14:paraId="0D36C17D" w14:textId="77777777" w:rsidR="009261FB" w:rsidRDefault="009261FB" w:rsidP="009261FB">
      <w:pPr>
        <w:pStyle w:val="NIHRCFootnotes"/>
      </w:pPr>
      <w:r>
        <w:rPr>
          <w:rStyle w:val="FootnoteReference"/>
        </w:rPr>
        <w:footnoteRef/>
      </w:r>
      <w:r>
        <w:t xml:space="preserve"> Clause 26, Victims and Witnesses of Crime Bill.</w:t>
      </w:r>
    </w:p>
  </w:footnote>
  <w:footnote w:id="44">
    <w:p w14:paraId="6E6529F6" w14:textId="063F3335" w:rsidR="003B5A3B" w:rsidRPr="005472B0" w:rsidRDefault="003B5A3B" w:rsidP="003B5A3B">
      <w:pPr>
        <w:pStyle w:val="NIHRCFootnotes"/>
      </w:pPr>
      <w:r>
        <w:rPr>
          <w:rStyle w:val="FootnoteReference"/>
        </w:rPr>
        <w:footnoteRef/>
      </w:r>
      <w:r w:rsidRPr="00920ECD">
        <w:t xml:space="preserve"> </w:t>
      </w:r>
      <w:r>
        <w:t xml:space="preserve">By virtue of the Human Rights Act’s incorporation of the ECHR to name one. See also </w:t>
      </w:r>
      <w:proofErr w:type="spellStart"/>
      <w:r w:rsidRPr="0055477F">
        <w:rPr>
          <w:i/>
          <w:iCs/>
        </w:rPr>
        <w:t>Rajapaske</w:t>
      </w:r>
      <w:proofErr w:type="spellEnd"/>
      <w:r w:rsidRPr="0055477F">
        <w:rPr>
          <w:i/>
          <w:iCs/>
        </w:rPr>
        <w:t xml:space="preserve"> v. Sri Lanka</w:t>
      </w:r>
      <w:r w:rsidRPr="00920ECD">
        <w:t xml:space="preserve">, Communication No. 1250/2004, CCPR/C/87/D/1250/2004 (5 September 2006) para 9.3. </w:t>
      </w:r>
      <w:r w:rsidRPr="005472B0">
        <w:t>See also, Article 16, UN</w:t>
      </w:r>
      <w:r w:rsidR="00586633">
        <w:t xml:space="preserve"> </w:t>
      </w:r>
      <w:r w:rsidRPr="005472B0">
        <w:t>CRPD; Principles 5(d) and 29, Yogyakarta Principles.</w:t>
      </w:r>
    </w:p>
  </w:footnote>
  <w:footnote w:id="45">
    <w:p w14:paraId="4ECF7CF1" w14:textId="77777777" w:rsidR="00003DEC" w:rsidRDefault="00003DEC" w:rsidP="00003DEC">
      <w:pPr>
        <w:pStyle w:val="NIHRCFootnotes"/>
      </w:pPr>
      <w:r>
        <w:rPr>
          <w:rStyle w:val="FootnoteReference"/>
        </w:rPr>
        <w:footnoteRef/>
      </w:r>
      <w:r>
        <w:t xml:space="preserve"> </w:t>
      </w:r>
      <w:r w:rsidRPr="0093429F">
        <w:t>CAT/C/GC/2</w:t>
      </w:r>
      <w:r>
        <w:t>, ‘</w:t>
      </w:r>
      <w:r w:rsidRPr="0093429F">
        <w:t xml:space="preserve">UN </w:t>
      </w:r>
      <w:r>
        <w:t xml:space="preserve">CAT </w:t>
      </w:r>
      <w:r w:rsidRPr="0093429F">
        <w:t>Committee</w:t>
      </w:r>
      <w:r>
        <w:t xml:space="preserve"> </w:t>
      </w:r>
      <w:r w:rsidRPr="0093429F">
        <w:t xml:space="preserve">General Comment </w:t>
      </w:r>
      <w:r>
        <w:t xml:space="preserve">No </w:t>
      </w:r>
      <w:r w:rsidRPr="0093429F">
        <w:t>2: Implementation of article 2 by States parties</w:t>
      </w:r>
      <w:r>
        <w:t>’</w:t>
      </w:r>
      <w:r w:rsidRPr="0093429F">
        <w:t>, 24 January 2008</w:t>
      </w:r>
      <w:r>
        <w:t>, at</w:t>
      </w:r>
      <w:r w:rsidRPr="0093429F">
        <w:t xml:space="preserve"> para 18.</w:t>
      </w:r>
    </w:p>
  </w:footnote>
  <w:footnote w:id="46">
    <w:p w14:paraId="77518A3E" w14:textId="77777777" w:rsidR="003C7738" w:rsidRDefault="003C7738" w:rsidP="003C7738">
      <w:pPr>
        <w:pStyle w:val="NIHRCFootnotes"/>
      </w:pPr>
      <w:r>
        <w:rPr>
          <w:rStyle w:val="FootnoteReference"/>
        </w:rPr>
        <w:footnoteRef/>
      </w:r>
      <w:r>
        <w:t xml:space="preserve"> CEDAW/C/GC/35, ‘UN CEDAW Committee General Recommendation No 35: Gender-Based Violence’, 26 July 2017, at para 16.</w:t>
      </w:r>
    </w:p>
  </w:footnote>
  <w:footnote w:id="47">
    <w:p w14:paraId="0E315EF1" w14:textId="77777777" w:rsidR="003C7738" w:rsidRPr="008E2D3D" w:rsidRDefault="003C7738" w:rsidP="003C7738">
      <w:pPr>
        <w:pStyle w:val="NIHRCFootnotes"/>
      </w:pPr>
      <w:r>
        <w:rPr>
          <w:rStyle w:val="FootnoteReference"/>
        </w:rPr>
        <w:footnoteRef/>
      </w:r>
      <w:r w:rsidRPr="008E2D3D">
        <w:t xml:space="preserve"> CEDAW/C/GC/33, ‘UN CEDAW Committee</w:t>
      </w:r>
      <w:r>
        <w:t xml:space="preserve"> General Recommendation No 33: Women’s Access to Justice’, 3 August 2015, at para 8.</w:t>
      </w:r>
    </w:p>
  </w:footnote>
  <w:footnote w:id="48">
    <w:p w14:paraId="5325212E" w14:textId="77777777" w:rsidR="00323749" w:rsidRPr="001E130F" w:rsidRDefault="00323749" w:rsidP="00323749">
      <w:pPr>
        <w:pStyle w:val="NIHRCFootnotes"/>
        <w:rPr>
          <w:lang w:val="fr-FR"/>
        </w:rPr>
      </w:pPr>
      <w:r>
        <w:rPr>
          <w:rStyle w:val="FootnoteReference"/>
        </w:rPr>
        <w:footnoteRef/>
      </w:r>
      <w:r w:rsidRPr="001E130F">
        <w:rPr>
          <w:lang w:val="fr-FR"/>
        </w:rPr>
        <w:t xml:space="preserve"> Article 57, Istanbul Convention.</w:t>
      </w:r>
    </w:p>
  </w:footnote>
  <w:footnote w:id="49">
    <w:p w14:paraId="5276D540" w14:textId="77777777" w:rsidR="00323749" w:rsidRPr="00CF7EBA" w:rsidRDefault="00323749" w:rsidP="00323749">
      <w:pPr>
        <w:pStyle w:val="NIHRCFootnotes"/>
        <w:rPr>
          <w:lang w:val="fr-FR"/>
        </w:rPr>
      </w:pPr>
      <w:r>
        <w:rPr>
          <w:rStyle w:val="FootnoteReference"/>
        </w:rPr>
        <w:footnoteRef/>
      </w:r>
      <w:r w:rsidRPr="00CF7EBA">
        <w:rPr>
          <w:lang w:val="fr-FR"/>
        </w:rPr>
        <w:t xml:space="preserve"> Article 56(1)(d), Istanbul Convention.</w:t>
      </w:r>
    </w:p>
  </w:footnote>
  <w:footnote w:id="50">
    <w:p w14:paraId="1191E4C9" w14:textId="7867E9F5" w:rsidR="002E6E46" w:rsidRPr="00D10AF1" w:rsidRDefault="002E6E46" w:rsidP="004B2551">
      <w:pPr>
        <w:pStyle w:val="NIHRCFootnotes"/>
      </w:pPr>
      <w:r>
        <w:rPr>
          <w:rStyle w:val="FootnoteReference"/>
        </w:rPr>
        <w:footnoteRef/>
      </w:r>
      <w:r w:rsidRPr="00D10AF1">
        <w:t xml:space="preserve"> </w:t>
      </w:r>
      <w:r w:rsidR="004B2551" w:rsidRPr="0055477F">
        <w:rPr>
          <w:i/>
          <w:iCs/>
        </w:rPr>
        <w:t>JL v Italy</w:t>
      </w:r>
      <w:r w:rsidR="004B2551" w:rsidRPr="00D10AF1">
        <w:t xml:space="preserve"> (2021) ECHR 444</w:t>
      </w:r>
      <w:r w:rsidRPr="00D10AF1">
        <w:t>, at para 1</w:t>
      </w:r>
      <w:r w:rsidR="00643525" w:rsidRPr="00D10AF1">
        <w:t>38</w:t>
      </w:r>
      <w:r w:rsidR="009A3424" w:rsidRPr="00D10AF1">
        <w:t>.</w:t>
      </w:r>
    </w:p>
  </w:footnote>
  <w:footnote w:id="51">
    <w:p w14:paraId="01BA0AED" w14:textId="7FA8320A" w:rsidR="00D53295" w:rsidRPr="004B2551" w:rsidRDefault="00D53295" w:rsidP="004B2551">
      <w:pPr>
        <w:pStyle w:val="NIHRCFootnotes"/>
      </w:pPr>
      <w:r>
        <w:rPr>
          <w:rStyle w:val="FootnoteReference"/>
        </w:rPr>
        <w:footnoteRef/>
      </w:r>
      <w:r w:rsidRPr="004B2551">
        <w:t xml:space="preserve"> </w:t>
      </w:r>
      <w:r w:rsidR="004B2551" w:rsidRPr="0055477F">
        <w:rPr>
          <w:i/>
          <w:iCs/>
        </w:rPr>
        <w:t>JL v Italy</w:t>
      </w:r>
      <w:r w:rsidR="004B2551" w:rsidRPr="002B2234">
        <w:t xml:space="preserve"> (2021) ECHR 444</w:t>
      </w:r>
      <w:r w:rsidRPr="004B2551">
        <w:t>, at para 13</w:t>
      </w:r>
      <w:r w:rsidR="0060555B" w:rsidRPr="004B2551">
        <w:t>8</w:t>
      </w:r>
      <w:r w:rsidR="009A3424">
        <w:t>.</w:t>
      </w:r>
    </w:p>
  </w:footnote>
  <w:footnote w:id="52">
    <w:p w14:paraId="3D18D9E9" w14:textId="77777777" w:rsidR="00023D28" w:rsidRPr="004B2551" w:rsidRDefault="00023D28" w:rsidP="00023D28">
      <w:pPr>
        <w:pStyle w:val="NIHRCFootnotes"/>
      </w:pPr>
      <w:r>
        <w:rPr>
          <w:rStyle w:val="FootnoteReference"/>
        </w:rPr>
        <w:footnoteRef/>
      </w:r>
      <w:r w:rsidRPr="004B2551">
        <w:t xml:space="preserve"> </w:t>
      </w:r>
      <w:r w:rsidRPr="0055477F">
        <w:rPr>
          <w:i/>
          <w:iCs/>
        </w:rPr>
        <w:t xml:space="preserve">JL v Italy </w:t>
      </w:r>
      <w:r w:rsidRPr="002B2234">
        <w:t>(2021) ECHR 444</w:t>
      </w:r>
      <w:r w:rsidRPr="004B2551">
        <w:t>, at para 139</w:t>
      </w:r>
    </w:p>
  </w:footnote>
  <w:footnote w:id="53">
    <w:p w14:paraId="695895B0" w14:textId="77777777" w:rsidR="001E26EE" w:rsidRDefault="001E26EE" w:rsidP="001E26EE">
      <w:pPr>
        <w:pStyle w:val="NIHRCFootnotes"/>
      </w:pPr>
      <w:r>
        <w:rPr>
          <w:rStyle w:val="FootnoteReference"/>
        </w:rPr>
        <w:footnoteRef/>
      </w:r>
      <w:r>
        <w:t xml:space="preserve"> </w:t>
      </w:r>
      <w:r w:rsidRPr="004208FA">
        <w:t xml:space="preserve">Article </w:t>
      </w:r>
      <w:r>
        <w:t>10(1)</w:t>
      </w:r>
      <w:r w:rsidRPr="004208FA">
        <w:t>, Directive 2012/29/EU, ‘</w:t>
      </w:r>
      <w:r>
        <w:t>EU</w:t>
      </w:r>
      <w:r w:rsidRPr="00F80A86">
        <w:t xml:space="preserve"> Parliament and Council</w:t>
      </w:r>
      <w:r>
        <w:t xml:space="preserve"> </w:t>
      </w:r>
      <w:r w:rsidRPr="00F80A86">
        <w:t xml:space="preserve">Directive </w:t>
      </w:r>
      <w:r w:rsidRPr="004208FA">
        <w:t>establishing minimum standards on the rights, support and protection of victims of crime’, 25 October 2012.</w:t>
      </w:r>
    </w:p>
  </w:footnote>
  <w:footnote w:id="54">
    <w:p w14:paraId="38E1D917" w14:textId="77777777" w:rsidR="00723961" w:rsidRDefault="00723961" w:rsidP="00723961">
      <w:pPr>
        <w:pStyle w:val="NIHRCFootnotes"/>
      </w:pPr>
      <w:r>
        <w:rPr>
          <w:rStyle w:val="FootnoteReference"/>
        </w:rPr>
        <w:footnoteRef/>
      </w:r>
      <w:r>
        <w:t xml:space="preserve"> </w:t>
      </w:r>
      <w:r w:rsidRPr="00F80A86">
        <w:t>Article</w:t>
      </w:r>
      <w:r>
        <w:t xml:space="preserve"> 23 (3)(c)</w:t>
      </w:r>
      <w:r w:rsidRPr="00F80A86">
        <w:t>, Directive 2012/29/EU, ‘</w:t>
      </w:r>
      <w:r>
        <w:t>EU</w:t>
      </w:r>
      <w:r w:rsidRPr="00F80A86">
        <w:t xml:space="preserve"> Parliament and Council</w:t>
      </w:r>
      <w:r>
        <w:t xml:space="preserve"> </w:t>
      </w:r>
      <w:r w:rsidRPr="00F80A86">
        <w:t>Directive establishing minimum standards on the rights, support and protection of victims of crime’, 25 October 2012.</w:t>
      </w:r>
    </w:p>
  </w:footnote>
  <w:footnote w:id="55">
    <w:p w14:paraId="44F45E2D" w14:textId="77777777" w:rsidR="000939A8" w:rsidRDefault="000939A8" w:rsidP="000939A8">
      <w:pPr>
        <w:pStyle w:val="NIHRCFootnotes"/>
      </w:pPr>
      <w:r>
        <w:rPr>
          <w:rStyle w:val="FootnoteReference"/>
        </w:rPr>
        <w:footnoteRef/>
      </w:r>
      <w:r>
        <w:t xml:space="preserve"> </w:t>
      </w:r>
      <w:r w:rsidRPr="00F80A86">
        <w:t>Article</w:t>
      </w:r>
      <w:r>
        <w:t xml:space="preserve"> 22(1)</w:t>
      </w:r>
      <w:r w:rsidRPr="00F80A86">
        <w:t>, Directive 2012/29/EU, ‘</w:t>
      </w:r>
      <w:r>
        <w:t>EU</w:t>
      </w:r>
      <w:r w:rsidRPr="00F80A86">
        <w:t xml:space="preserve"> Parliament and Council</w:t>
      </w:r>
      <w:r>
        <w:t xml:space="preserve"> </w:t>
      </w:r>
      <w:r w:rsidRPr="00F80A86">
        <w:t>Directive establishing minimum standards on the rights, support and protection of victims of crime’, 25 October 2012.</w:t>
      </w:r>
    </w:p>
  </w:footnote>
  <w:footnote w:id="56">
    <w:p w14:paraId="25B6ECCF" w14:textId="77777777" w:rsidR="0083106F" w:rsidRPr="004208FA" w:rsidRDefault="0083106F" w:rsidP="0083106F">
      <w:pPr>
        <w:pStyle w:val="NIHRCFootnotes"/>
      </w:pPr>
      <w:r w:rsidRPr="004208FA">
        <w:rPr>
          <w:rStyle w:val="FootnoteReference"/>
        </w:rPr>
        <w:footnoteRef/>
      </w:r>
      <w:r w:rsidRPr="004208FA">
        <w:t xml:space="preserve"> Article 22(3), Directive 2012/29/EU, ‘</w:t>
      </w:r>
      <w:r>
        <w:t>EU</w:t>
      </w:r>
      <w:r w:rsidRPr="00F80A86">
        <w:t xml:space="preserve"> Parliament and Council</w:t>
      </w:r>
      <w:r>
        <w:t xml:space="preserve"> </w:t>
      </w:r>
      <w:r w:rsidRPr="00F80A86">
        <w:t xml:space="preserve">Directive </w:t>
      </w:r>
      <w:r w:rsidRPr="004208FA">
        <w:t>establishing minimum standards on the rights, support and protection of victims of crime’, 25 October 2012.</w:t>
      </w:r>
    </w:p>
  </w:footnote>
  <w:footnote w:id="57">
    <w:p w14:paraId="1BEEDD12" w14:textId="77777777" w:rsidR="00163443" w:rsidRDefault="00163443" w:rsidP="00163443">
      <w:pPr>
        <w:pStyle w:val="NIHRCFootnotes"/>
      </w:pPr>
      <w:r>
        <w:rPr>
          <w:rStyle w:val="FootnoteReference"/>
        </w:rPr>
        <w:footnoteRef/>
      </w:r>
      <w:r>
        <w:t xml:space="preserve"> Article 1(2), </w:t>
      </w:r>
      <w:r w:rsidRPr="00767B13">
        <w:t>Directive 2012/29/EU, ‘EU Parliament and Council Directive establishing minimum standards on the rights, support and protection of victims of crime’, 25 October 2012.</w:t>
      </w:r>
    </w:p>
  </w:footnote>
  <w:footnote w:id="58">
    <w:p w14:paraId="68B1ECCA" w14:textId="627F4371" w:rsidR="001464B2" w:rsidRDefault="001464B2" w:rsidP="00BF62AC">
      <w:pPr>
        <w:pStyle w:val="NIHRCFootnotes"/>
      </w:pPr>
      <w:r>
        <w:rPr>
          <w:rStyle w:val="FootnoteReference"/>
        </w:rPr>
        <w:footnoteRef/>
      </w:r>
      <w:r>
        <w:t xml:space="preserve"> Article 2</w:t>
      </w:r>
      <w:r w:rsidR="00051BF2">
        <w:t>2(4)</w:t>
      </w:r>
      <w:r>
        <w:t xml:space="preserve">, </w:t>
      </w:r>
      <w:r w:rsidRPr="00767B13">
        <w:t>Directive 2012/29/EU, ‘EU Parliament and Council Directive establishing minimum standards on the rights, support and protection of victims of crime’, 25 October 2012.</w:t>
      </w:r>
    </w:p>
  </w:footnote>
  <w:footnote w:id="59">
    <w:p w14:paraId="328E7E40" w14:textId="4A771495" w:rsidR="001B019C" w:rsidRDefault="001B019C" w:rsidP="00BF62AC">
      <w:pPr>
        <w:pStyle w:val="NIHRCFootnotes"/>
      </w:pPr>
      <w:r>
        <w:rPr>
          <w:rStyle w:val="FootnoteReference"/>
        </w:rPr>
        <w:footnoteRef/>
      </w:r>
      <w:r>
        <w:t xml:space="preserve"> Article 24(1)(a), </w:t>
      </w:r>
      <w:r w:rsidRPr="00767B13">
        <w:t>Directive 2012/29/EU, ‘EU Parliament and Council Directive establishing minimum standards on the rights, support and protection of victims of crime’, 25 October 2012.</w:t>
      </w:r>
    </w:p>
  </w:footnote>
  <w:footnote w:id="60">
    <w:p w14:paraId="60749B9F" w14:textId="77777777" w:rsidR="008217D0" w:rsidRDefault="008217D0" w:rsidP="008217D0">
      <w:pPr>
        <w:pStyle w:val="NIHRCFootnotes"/>
      </w:pPr>
      <w:r>
        <w:rPr>
          <w:rStyle w:val="FootnoteReference"/>
        </w:rPr>
        <w:footnoteRef/>
      </w:r>
      <w:r>
        <w:t xml:space="preserve"> </w:t>
      </w:r>
      <w:r w:rsidRPr="004208FA">
        <w:t>Article 22(3)</w:t>
      </w:r>
      <w:r>
        <w:t>(d)</w:t>
      </w:r>
      <w:r w:rsidRPr="004208FA">
        <w:t>, Directive 2012/29/EU, ‘</w:t>
      </w:r>
      <w:r>
        <w:t>EU</w:t>
      </w:r>
      <w:r w:rsidRPr="00F80A86">
        <w:t xml:space="preserve"> Parliament and Council</w:t>
      </w:r>
      <w:r>
        <w:t xml:space="preserve"> </w:t>
      </w:r>
      <w:r w:rsidRPr="00F80A86">
        <w:t xml:space="preserve">Directive </w:t>
      </w:r>
      <w:r w:rsidRPr="004208FA">
        <w:t>establishing minimum standards on the rights, support and protection of victims of crime’, 25 October 2012.</w:t>
      </w:r>
    </w:p>
  </w:footnote>
  <w:footnote w:id="61">
    <w:p w14:paraId="09798A08" w14:textId="3AC893C9" w:rsidR="00F60A5E" w:rsidRPr="004208FA" w:rsidRDefault="00F60A5E" w:rsidP="00F60A5E">
      <w:pPr>
        <w:pStyle w:val="NIHRCFootnotes"/>
      </w:pPr>
      <w:r w:rsidRPr="004208FA">
        <w:rPr>
          <w:rStyle w:val="FootnoteReference"/>
        </w:rPr>
        <w:footnoteRef/>
      </w:r>
      <w:r w:rsidRPr="004208FA">
        <w:t xml:space="preserve"> Article 12</w:t>
      </w:r>
      <w:r w:rsidR="00FF1C55">
        <w:t>(4)</w:t>
      </w:r>
      <w:r w:rsidRPr="004208FA">
        <w:t xml:space="preserve">(d), Directive 2011/36/EU, ‘EU Parliament and Council Directive on preventing and combating trafficking in human beings and protecting its victims, 5 April 2011. </w:t>
      </w:r>
    </w:p>
  </w:footnote>
  <w:footnote w:id="62">
    <w:p w14:paraId="780CAA0C" w14:textId="125BA989" w:rsidR="001A6D06" w:rsidRDefault="001A6D06" w:rsidP="00BF62AC">
      <w:pPr>
        <w:pStyle w:val="NIHRCFootnotes"/>
      </w:pPr>
      <w:r>
        <w:rPr>
          <w:rStyle w:val="FootnoteReference"/>
        </w:rPr>
        <w:footnoteRef/>
      </w:r>
      <w:r>
        <w:t xml:space="preserve"> </w:t>
      </w:r>
      <w:r w:rsidR="00F714C4">
        <w:t xml:space="preserve">Article 13, </w:t>
      </w:r>
      <w:r w:rsidRPr="004208FA">
        <w:t>Directive 2012/29/EU, ‘</w:t>
      </w:r>
      <w:r>
        <w:t>EU</w:t>
      </w:r>
      <w:r w:rsidRPr="00F80A86">
        <w:t xml:space="preserve"> Parliament and Council</w:t>
      </w:r>
      <w:r>
        <w:t xml:space="preserve"> </w:t>
      </w:r>
      <w:r w:rsidRPr="00F80A86">
        <w:t xml:space="preserve">Directive </w:t>
      </w:r>
      <w:r w:rsidRPr="004208FA">
        <w:t>establishing minimum standards on the rights, support and protection of victims of crime’, 25 October 2012</w:t>
      </w:r>
      <w:r w:rsidR="00F714C4">
        <w:t xml:space="preserve">; </w:t>
      </w:r>
      <w:r w:rsidR="00F714C4" w:rsidRPr="004208FA">
        <w:t>Article 12</w:t>
      </w:r>
      <w:r w:rsidR="00F714C4">
        <w:t>(2</w:t>
      </w:r>
      <w:r w:rsidR="00F714C4" w:rsidRPr="004208FA">
        <w:t>), Directive 2011/36/EU, ‘EU Parliament and Council Directive on preventing and combating trafficking in human beings and protecting its victims</w:t>
      </w:r>
      <w:r w:rsidR="00C01DED">
        <w:t>’</w:t>
      </w:r>
      <w:r w:rsidR="00F714C4" w:rsidRPr="004208FA">
        <w:t xml:space="preserve">, 5 April 2011. </w:t>
      </w:r>
    </w:p>
  </w:footnote>
  <w:footnote w:id="63">
    <w:p w14:paraId="40CED8F8" w14:textId="33807254" w:rsidR="00560477" w:rsidRPr="004208FA" w:rsidRDefault="00560477" w:rsidP="00560477">
      <w:pPr>
        <w:pStyle w:val="NIHRCFootnotes"/>
      </w:pPr>
      <w:r w:rsidRPr="004208FA">
        <w:rPr>
          <w:rStyle w:val="FootnoteReference"/>
        </w:rPr>
        <w:footnoteRef/>
      </w:r>
      <w:r w:rsidRPr="004208FA">
        <w:t xml:space="preserve"> </w:t>
      </w:r>
      <w:r w:rsidRPr="004208FA">
        <w:rPr>
          <w:i/>
          <w:iCs/>
        </w:rPr>
        <w:t>Martina Dillon and Others v Secretary of State for NI</w:t>
      </w:r>
      <w:r w:rsidRPr="004208FA">
        <w:t xml:space="preserve"> </w:t>
      </w:r>
      <w:r w:rsidRPr="00B63016">
        <w:rPr>
          <w:rFonts w:cstheme="minorHAnsi"/>
        </w:rPr>
        <w:t>[2024] NICA 59</w:t>
      </w:r>
      <w:r w:rsidRPr="004208FA">
        <w:t xml:space="preserve"> at para 126. See also </w:t>
      </w:r>
      <w:r w:rsidRPr="004208FA">
        <w:rPr>
          <w:i/>
          <w:iCs/>
        </w:rPr>
        <w:t>Secretary of State for Work and Pensions v AT</w:t>
      </w:r>
      <w:r w:rsidRPr="00B63016">
        <w:t xml:space="preserve"> [2023] EW CA </w:t>
      </w:r>
      <w:proofErr w:type="spellStart"/>
      <w:r w:rsidRPr="00B63016">
        <w:t>Civ</w:t>
      </w:r>
      <w:proofErr w:type="spellEnd"/>
      <w:r w:rsidRPr="00B63016">
        <w:t xml:space="preserve"> 1307</w:t>
      </w:r>
      <w:r w:rsidRPr="004208FA">
        <w:t xml:space="preserve"> at paras 82-92.</w:t>
      </w:r>
    </w:p>
  </w:footnote>
  <w:footnote w:id="64">
    <w:p w14:paraId="56EA526A" w14:textId="77777777" w:rsidR="009E344F" w:rsidRDefault="009E344F" w:rsidP="00974BF4">
      <w:pPr>
        <w:pStyle w:val="NIHRCFootnotes"/>
      </w:pPr>
      <w:r>
        <w:rPr>
          <w:rStyle w:val="FootnoteReference"/>
        </w:rPr>
        <w:footnoteRef/>
      </w:r>
      <w:r>
        <w:t xml:space="preserve"> Report into the law and procedures in serious sexual offences in NI, 9 May 2019, Sir John Gillen PC.</w:t>
      </w:r>
    </w:p>
  </w:footnote>
  <w:footnote w:id="65">
    <w:p w14:paraId="6741212E" w14:textId="32F487D4" w:rsidR="00570ADC" w:rsidRPr="004208FA" w:rsidRDefault="00570ADC" w:rsidP="00570ADC">
      <w:pPr>
        <w:pStyle w:val="NIHRCFootnotes"/>
      </w:pPr>
      <w:r w:rsidRPr="004208FA">
        <w:rPr>
          <w:rStyle w:val="FootnoteReference"/>
        </w:rPr>
        <w:footnoteRef/>
      </w:r>
      <w:r w:rsidRPr="004208FA">
        <w:t xml:space="preserve"> Article 1(16)(c), Directive 2026/1472/EU, ‘EU Parliament and Council Directive amending Directive 2012/29/EU establishing minimum standards on the rights, support and protection of victims of crime’, 30 June 2026 replaces Article 23(3)(c), Directive 2012/29/EU, ‘EU Parliament and Council Directive establishing minimum standards on the rights, support and protection of victims of crime’, 25 October 2012.</w:t>
      </w:r>
    </w:p>
  </w:footnote>
  <w:footnote w:id="66">
    <w:p w14:paraId="7CE940C2" w14:textId="00EA409B" w:rsidR="00A406B6" w:rsidRPr="004208FA" w:rsidRDefault="00A406B6" w:rsidP="00A406B6">
      <w:pPr>
        <w:pStyle w:val="NIHRCFootnotes"/>
      </w:pPr>
      <w:r w:rsidRPr="004208FA">
        <w:rPr>
          <w:rStyle w:val="FootnoteReference"/>
        </w:rPr>
        <w:footnoteRef/>
      </w:r>
      <w:r w:rsidRPr="004208FA">
        <w:t xml:space="preserve"> Article 1(8), Directive 2026/1472/EU, ‘EU Parliament and Council Directive amending Directive 2012/29/EU establishing minimum standards on the rights, support and protection of victims of crime’, 30 June 2026 amends Chapter II, Directive 2012/29/EU, ‘EU Parliament and Council Directive establishing minimum standards on the rights, support and protection of victims of crime’, 25 October 2012.</w:t>
      </w:r>
    </w:p>
  </w:footnote>
  <w:footnote w:id="67">
    <w:p w14:paraId="1B6642B9" w14:textId="35BD1C54" w:rsidR="00A406B6" w:rsidRPr="004208FA" w:rsidRDefault="00A406B6" w:rsidP="00A406B6">
      <w:pPr>
        <w:pStyle w:val="NIHRCFootnotes"/>
      </w:pPr>
      <w:r w:rsidRPr="004208FA">
        <w:rPr>
          <w:rStyle w:val="FootnoteReference"/>
        </w:rPr>
        <w:footnoteRef/>
      </w:r>
      <w:r w:rsidRPr="004208FA">
        <w:t xml:space="preserve"> Article 1(14)(b), Directive 2026/1472/EU, ‘EU Parliament and Council Directive amending Directive 2012/29/EU establishing minimum standards on the rights, support and protection of victims of crime’, 30 June 2026 amends Article 21, Directive 2012/29/EU, ‘EU Parliament and Council Directive establishing minimum standards on the rights, support and protection of victims of crime’, 25 October 2012.</w:t>
      </w:r>
    </w:p>
  </w:footnote>
  <w:footnote w:id="68">
    <w:p w14:paraId="3D1A6A94" w14:textId="6A0B8FA1" w:rsidR="00A406B6" w:rsidRPr="002C3FFE" w:rsidRDefault="00A406B6" w:rsidP="00A406B6">
      <w:pPr>
        <w:pStyle w:val="NIHRCFootnotes"/>
      </w:pPr>
      <w:r w:rsidRPr="004208FA">
        <w:rPr>
          <w:rStyle w:val="FootnoteReference"/>
        </w:rPr>
        <w:footnoteRef/>
      </w:r>
      <w:r w:rsidRPr="004208FA">
        <w:t xml:space="preserve"> Article 1(16)(d), Directive 2026/1472/EU, ‘EU Parliament and Council Directive amending Directive 2012/29/EU establishing minimum standards on the rights, support and protection of victims of crime’, 30 June 2026 amends Article 23, Directive 2012/29/EU, ‘EU Parliament and Council </w:t>
      </w:r>
      <w:r w:rsidRPr="002C3FFE">
        <w:t>Directive establishing minimum standards on the rights, support and protection of victims of crime’, 25 October 2012.</w:t>
      </w:r>
    </w:p>
  </w:footnote>
  <w:footnote w:id="69">
    <w:p w14:paraId="39779286" w14:textId="5891F57E" w:rsidR="00A406B6" w:rsidRPr="002C3FFE" w:rsidRDefault="00A406B6" w:rsidP="00A406B6">
      <w:pPr>
        <w:pStyle w:val="NIHRCFootnotes"/>
      </w:pPr>
      <w:r w:rsidRPr="002C3FFE">
        <w:rPr>
          <w:rStyle w:val="FootnoteReference"/>
        </w:rPr>
        <w:footnoteRef/>
      </w:r>
      <w:r w:rsidRPr="002C3FFE">
        <w:t xml:space="preserve"> Article 1(15)(b), Directive 2026/1472/EU, ‘EU Parliament and Council Directive amending Directive 2012/29/EU establishing minimum standards on the rights, support and protection of victims of crime’, 30 June 2026 replaces Article 22(2), Directive 2012/29/EU, ‘EU Parliament and Council Directive establishing minimum standards on the rights, support and protection of victims of crime’, 25 October 2012.</w:t>
      </w:r>
    </w:p>
  </w:footnote>
  <w:footnote w:id="70">
    <w:p w14:paraId="3B3CE197" w14:textId="7283D317" w:rsidR="00A406B6" w:rsidRPr="002C3FFE" w:rsidRDefault="00A406B6" w:rsidP="00A406B6">
      <w:pPr>
        <w:pStyle w:val="NIHRCFootnotes"/>
      </w:pPr>
      <w:r w:rsidRPr="002C3FFE">
        <w:rPr>
          <w:rStyle w:val="FootnoteReference"/>
        </w:rPr>
        <w:footnoteRef/>
      </w:r>
      <w:r w:rsidRPr="002C3FFE">
        <w:t xml:space="preserve"> Article 1(15)(b), Directive 2026/1472/EU, ‘EU Parliament and Council Directive amending Directive 2012/29/EU establishing minimum standards on the rights, support and protection of victims of crime’, 30 June 2026 replaces Article 22(3), Directive 2012/29/EU, ‘EU Parliament and Council Directive establishing minimum standards on the rights, support and protection of victims of crime’, 25 October 2012.</w:t>
      </w:r>
    </w:p>
  </w:footnote>
  <w:footnote w:id="71">
    <w:p w14:paraId="29A73F90" w14:textId="4645FDE9" w:rsidR="00A406B6" w:rsidRPr="002C3FFE" w:rsidRDefault="00A406B6" w:rsidP="00A406B6">
      <w:pPr>
        <w:pStyle w:val="NIHRCFootnotes"/>
      </w:pPr>
      <w:r w:rsidRPr="002C3FFE">
        <w:rPr>
          <w:rStyle w:val="FootnoteReference"/>
        </w:rPr>
        <w:footnoteRef/>
      </w:r>
      <w:r w:rsidRPr="002C3FFE">
        <w:t xml:space="preserve"> Article 1(15)(b), Directive 2026/1472/EU, ‘EU Parliament and Council Directive amending Directive 2012/29/EU establishing minimum standards on the rights, support and protection of victims of crime’, 30 June 2026 replaces Article 22(3), Directive 2012/29/EU, ‘EU Parliament and Council Directive establishing minimum standards on the rights, support and protection of victims of crime’, 25 October 2012.</w:t>
      </w:r>
    </w:p>
  </w:footnote>
  <w:footnote w:id="72">
    <w:p w14:paraId="103E4BC3" w14:textId="062AA47F" w:rsidR="00A406B6" w:rsidRPr="002C3FFE" w:rsidRDefault="00A406B6" w:rsidP="00A406B6">
      <w:pPr>
        <w:pStyle w:val="NIHRCFootnotes"/>
      </w:pPr>
      <w:r w:rsidRPr="002C3FFE">
        <w:rPr>
          <w:rStyle w:val="FootnoteReference"/>
        </w:rPr>
        <w:footnoteRef/>
      </w:r>
      <w:r w:rsidRPr="002C3FFE">
        <w:t xml:space="preserve"> Article 1(15)(b), Directive 2026/1472/EU, ‘EU Parliament and Council Directive amending Directive 2012/29/EU establishing minimum standards on the rights, support and protection of victims of crime’, 30 June 2026 replaces Article 22(2), Directive 2012/29/EU, ‘EU Parliament and Council Directive establishing minimum standards on the rights, support and protection of victims of crime’, 25 October 2012.</w:t>
      </w:r>
    </w:p>
  </w:footnote>
  <w:footnote w:id="73">
    <w:p w14:paraId="40ED2027" w14:textId="2CF54F3D" w:rsidR="00A406B6" w:rsidRPr="002C3FFE" w:rsidRDefault="00A406B6" w:rsidP="00A406B6">
      <w:pPr>
        <w:pStyle w:val="NIHRCFootnotes"/>
      </w:pPr>
      <w:r w:rsidRPr="002C3FFE">
        <w:rPr>
          <w:rStyle w:val="FootnoteReference"/>
        </w:rPr>
        <w:footnoteRef/>
      </w:r>
      <w:r w:rsidRPr="002C3FFE">
        <w:t xml:space="preserve"> Article 1(15)(b), Directive 2026/1472/EU, ‘EU Parliament and Council Directive amending Directive 2012/29/EU establishing minimum standards on the rights, support and protection of victims of crime’, 30 June 2026 replaces Article 22(3), Directive 2012/29/EU, ‘EU Parliament and Council Directive establishing minimum standards on the rights, support and protection of victims of crime’, 25 October 2012.</w:t>
      </w:r>
    </w:p>
  </w:footnote>
  <w:footnote w:id="74">
    <w:p w14:paraId="5E4DFE68" w14:textId="59EDAC5A" w:rsidR="008E04BA" w:rsidRDefault="008E04BA" w:rsidP="008E04BA">
      <w:pPr>
        <w:pStyle w:val="NIHRCFootnotes"/>
      </w:pPr>
      <w:r w:rsidRPr="002C3FFE">
        <w:rPr>
          <w:rStyle w:val="FootnoteReference"/>
        </w:rPr>
        <w:footnoteRef/>
      </w:r>
      <w:r w:rsidRPr="002C3FFE">
        <w:t xml:space="preserve"> Article 2, Directive 2026/1472/EU, ‘EU Parliament and Council Directive amending Directive 2012/29/EU establishing minimum standards on the rights, support and protection of victims of crime’, 30 June 2026.</w:t>
      </w:r>
    </w:p>
  </w:footnote>
  <w:footnote w:id="75">
    <w:p w14:paraId="3140BCD1" w14:textId="1CEB186F" w:rsidR="00F42271" w:rsidRDefault="00F42271" w:rsidP="00F42271">
      <w:pPr>
        <w:pStyle w:val="NIHRCFootnotes"/>
      </w:pPr>
      <w:r>
        <w:rPr>
          <w:rStyle w:val="FootnoteReference"/>
        </w:rPr>
        <w:footnoteRef/>
      </w:r>
      <w:r>
        <w:t xml:space="preserve"> </w:t>
      </w:r>
      <w:r w:rsidR="000166A9">
        <w:t>Article 2(2)</w:t>
      </w:r>
      <w:r w:rsidR="008D4145">
        <w:t xml:space="preserve"> and 14</w:t>
      </w:r>
      <w:r w:rsidR="001A0950">
        <w:t>,</w:t>
      </w:r>
      <w:r w:rsidR="008D4145">
        <w:t xml:space="preserve"> Windsor Framework</w:t>
      </w:r>
      <w:r w:rsidR="00DB3170">
        <w:t xml:space="preserve">; </w:t>
      </w:r>
      <w:r w:rsidRPr="00F42271">
        <w:t xml:space="preserve">Belfast (Good Friday) Agreement, 10 April 1998, Part 6 on Rights, Safeguards and Equality of Opportunity, </w:t>
      </w:r>
      <w:r w:rsidR="00FD67BD">
        <w:t xml:space="preserve">at </w:t>
      </w:r>
      <w:r w:rsidRPr="00F42271">
        <w:t>para</w:t>
      </w:r>
      <w:r w:rsidR="00B5554D">
        <w:t>s</w:t>
      </w:r>
      <w:r w:rsidR="00DB3170">
        <w:t xml:space="preserve"> 9-</w:t>
      </w:r>
      <w:r w:rsidRPr="00F42271">
        <w:t>1</w:t>
      </w:r>
      <w:r>
        <w:t>0</w:t>
      </w:r>
      <w:r w:rsidRPr="00F42271">
        <w:t>.</w:t>
      </w:r>
    </w:p>
  </w:footnote>
  <w:footnote w:id="76">
    <w:p w14:paraId="5A544E22" w14:textId="3C1AEBAB" w:rsidR="00E334BD" w:rsidRDefault="00E334BD" w:rsidP="00826B34">
      <w:pPr>
        <w:pStyle w:val="NIHRCFootnotes"/>
      </w:pPr>
      <w:r>
        <w:rPr>
          <w:rStyle w:val="FootnoteReference"/>
        </w:rPr>
        <w:footnoteRef/>
      </w:r>
      <w:r>
        <w:t xml:space="preserve"> </w:t>
      </w:r>
      <w:r w:rsidR="0094157A" w:rsidRPr="0094157A">
        <w:t>Directive 2024/1385</w:t>
      </w:r>
      <w:r w:rsidR="0094157A">
        <w:t>/EU</w:t>
      </w:r>
      <w:r w:rsidR="00566A3F">
        <w:t>, ‘</w:t>
      </w:r>
      <w:r w:rsidR="00C71064">
        <w:t>EU</w:t>
      </w:r>
      <w:r w:rsidR="0094157A" w:rsidRPr="0094157A">
        <w:t xml:space="preserve"> Parliament and Council</w:t>
      </w:r>
      <w:r w:rsidR="00C71064">
        <w:t xml:space="preserve"> Directive</w:t>
      </w:r>
      <w:r w:rsidR="00717094">
        <w:t xml:space="preserve"> </w:t>
      </w:r>
      <w:r w:rsidR="0094157A" w:rsidRPr="0094157A">
        <w:t>on combating violence against women and domestic violence</w:t>
      </w:r>
      <w:r w:rsidR="00216E38">
        <w:t xml:space="preserve">’, </w:t>
      </w:r>
      <w:r w:rsidR="00826B34">
        <w:t xml:space="preserve">24 May 2024. </w:t>
      </w:r>
    </w:p>
  </w:footnote>
  <w:footnote w:id="77">
    <w:p w14:paraId="18A7262F" w14:textId="3CDE864E" w:rsidR="003C7153" w:rsidRDefault="003C7153" w:rsidP="003C7153">
      <w:pPr>
        <w:pStyle w:val="NIHRCFootnotes"/>
      </w:pPr>
      <w:r>
        <w:rPr>
          <w:rStyle w:val="FootnoteReference"/>
        </w:rPr>
        <w:footnoteRef/>
      </w:r>
      <w:r>
        <w:t xml:space="preserve"> Article 28, </w:t>
      </w:r>
      <w:r w:rsidRPr="0094157A">
        <w:t>Directive 2024/1385</w:t>
      </w:r>
      <w:r>
        <w:t>/EU, ‘EU</w:t>
      </w:r>
      <w:r w:rsidRPr="0094157A">
        <w:t xml:space="preserve"> Parliament and Council</w:t>
      </w:r>
      <w:r>
        <w:t xml:space="preserve"> Directive </w:t>
      </w:r>
      <w:r w:rsidRPr="0094157A">
        <w:t>on combating violence against women and domestic violence</w:t>
      </w:r>
      <w:r>
        <w:t>’, 24 May 2024.</w:t>
      </w:r>
    </w:p>
  </w:footnote>
  <w:footnote w:id="78">
    <w:p w14:paraId="3307BD56" w14:textId="3133EE90" w:rsidR="0006328F" w:rsidRDefault="0006328F" w:rsidP="00DC5490">
      <w:pPr>
        <w:pStyle w:val="NIHRCFootnotes"/>
      </w:pPr>
      <w:r>
        <w:rPr>
          <w:rStyle w:val="FootnoteReference"/>
        </w:rPr>
        <w:footnoteRef/>
      </w:r>
      <w:r>
        <w:t xml:space="preserve"> </w:t>
      </w:r>
      <w:r w:rsidR="00DC5490">
        <w:t>Article 36(6),</w:t>
      </w:r>
      <w:r w:rsidR="00DC5490" w:rsidRPr="00DC5490">
        <w:t xml:space="preserve"> </w:t>
      </w:r>
      <w:r w:rsidR="00DC5490" w:rsidRPr="0094157A">
        <w:t>Directive 2024/1385</w:t>
      </w:r>
      <w:r w:rsidR="00DC5490">
        <w:t>/EU, ‘EU</w:t>
      </w:r>
      <w:r w:rsidR="00DC5490" w:rsidRPr="0094157A">
        <w:t xml:space="preserve"> Parliament and Council</w:t>
      </w:r>
      <w:r w:rsidR="00DC5490">
        <w:t xml:space="preserve"> Directive </w:t>
      </w:r>
      <w:r w:rsidR="00DC5490" w:rsidRPr="0094157A">
        <w:t>on combating violence against women and domestic violence</w:t>
      </w:r>
      <w:r w:rsidR="00DC5490">
        <w:t>’, 24 May 2024.</w:t>
      </w:r>
    </w:p>
  </w:footnote>
  <w:footnote w:id="79">
    <w:p w14:paraId="0C70B942" w14:textId="77777777" w:rsidR="000E46F1" w:rsidRDefault="000E46F1" w:rsidP="000E46F1">
      <w:pPr>
        <w:pStyle w:val="NIHRCFootnotes"/>
      </w:pPr>
      <w:r>
        <w:rPr>
          <w:rStyle w:val="FootnoteReference"/>
        </w:rPr>
        <w:footnoteRef/>
      </w:r>
      <w:r>
        <w:t xml:space="preserve"> Recital 65,</w:t>
      </w:r>
      <w:r w:rsidRPr="00DC5490">
        <w:t xml:space="preserve"> </w:t>
      </w:r>
      <w:r w:rsidRPr="0094157A">
        <w:t>Directive 2024/1385</w:t>
      </w:r>
      <w:r>
        <w:t>/EU, ‘EU</w:t>
      </w:r>
      <w:r w:rsidRPr="0094157A">
        <w:t xml:space="preserve"> Parliament and Council</w:t>
      </w:r>
      <w:r>
        <w:t xml:space="preserve"> Directive </w:t>
      </w:r>
      <w:r w:rsidRPr="0094157A">
        <w:t>on combating violence against women and domestic violence</w:t>
      </w:r>
      <w:r>
        <w:t>’, 24 May 2024.</w:t>
      </w:r>
    </w:p>
  </w:footnote>
  <w:footnote w:id="80">
    <w:p w14:paraId="11EB4298" w14:textId="010CDDDA" w:rsidR="00E9156F" w:rsidRPr="004208FA" w:rsidRDefault="00E9156F" w:rsidP="00E9156F">
      <w:pPr>
        <w:pStyle w:val="NIHRCFootnotes"/>
      </w:pPr>
      <w:r>
        <w:rPr>
          <w:rStyle w:val="FootnoteReference"/>
        </w:rPr>
        <w:footnoteRef/>
      </w:r>
      <w:r>
        <w:t xml:space="preserve"> Directive 2004/113/EC, ‘</w:t>
      </w:r>
      <w:r w:rsidR="000E46F1">
        <w:t xml:space="preserve">EU </w:t>
      </w:r>
      <w:r>
        <w:t xml:space="preserve">Council Directive on Implementing the Principle of Equal Treatment between Men and Women in the </w:t>
      </w:r>
      <w:r w:rsidR="000E46F1">
        <w:t xml:space="preserve">Access </w:t>
      </w:r>
      <w:r>
        <w:t xml:space="preserve">to and </w:t>
      </w:r>
      <w:r w:rsidR="000E46F1">
        <w:t xml:space="preserve">Supply </w:t>
      </w:r>
      <w:r>
        <w:t xml:space="preserve">of </w:t>
      </w:r>
      <w:r w:rsidR="000E46F1">
        <w:t xml:space="preserve">Goods </w:t>
      </w:r>
      <w:r>
        <w:t xml:space="preserve">and </w:t>
      </w:r>
      <w:r w:rsidR="000E46F1">
        <w:t>S</w:t>
      </w:r>
      <w:r>
        <w:t>ervices’, 13 December 2004; Directive 2006/54/EC, ‘</w:t>
      </w:r>
      <w:r w:rsidR="000E46F1">
        <w:t xml:space="preserve">EU Parliament and Council </w:t>
      </w:r>
      <w:r>
        <w:t>Directive on the Implementation of the Principle of Equal Opportunities and Equal Treatment of Men and Women in Matters of Employment and Occupation (Recast)’, 5 July 2006; Directive 2010/41/EU, ‘</w:t>
      </w:r>
      <w:r w:rsidR="000E46F1">
        <w:t>EU Parliament and Council Directive</w:t>
      </w:r>
      <w:r>
        <w:t xml:space="preserve"> on the Application of the Principle of Equal Treatment between Men and Women </w:t>
      </w:r>
      <w:r w:rsidRPr="004208FA">
        <w:t>Engaged in an Activity in a Self-employed Capacity’, 7 July 2010.</w:t>
      </w:r>
    </w:p>
  </w:footnote>
  <w:footnote w:id="81">
    <w:p w14:paraId="13E691CC" w14:textId="77777777" w:rsidR="00774C52" w:rsidRDefault="00774C52" w:rsidP="00774C52">
      <w:pPr>
        <w:pStyle w:val="NIHRCFootnotes"/>
      </w:pPr>
      <w:r>
        <w:rPr>
          <w:rStyle w:val="FootnoteReference"/>
        </w:rPr>
        <w:footnoteRef/>
      </w:r>
      <w:r>
        <w:t xml:space="preserve"> Article 49, </w:t>
      </w:r>
      <w:r w:rsidRPr="0094157A">
        <w:t>Directive 2024/1385</w:t>
      </w:r>
      <w:r>
        <w:t>/EU, ‘EU</w:t>
      </w:r>
      <w:r w:rsidRPr="0094157A">
        <w:t xml:space="preserve"> Parliament and Council</w:t>
      </w:r>
      <w:r>
        <w:t xml:space="preserve"> Directive </w:t>
      </w:r>
      <w:r w:rsidRPr="0094157A">
        <w:t>on combating violence against women and domestic violence</w:t>
      </w:r>
      <w:r>
        <w:t>’, 24 May 2024.</w:t>
      </w:r>
    </w:p>
  </w:footnote>
  <w:footnote w:id="82">
    <w:p w14:paraId="2012D557" w14:textId="77777777" w:rsidR="00EB1CB5" w:rsidRPr="003B46F4" w:rsidRDefault="00EB1CB5" w:rsidP="00023063">
      <w:pPr>
        <w:pStyle w:val="NIHRCFootnotes"/>
      </w:pPr>
      <w:r w:rsidRPr="003B46F4">
        <w:rPr>
          <w:rStyle w:val="FootnoteReference"/>
        </w:rPr>
        <w:footnoteRef/>
      </w:r>
      <w:r>
        <w:rPr>
          <w:rFonts w:cs="Calibri"/>
        </w:rPr>
        <w:t xml:space="preserve"> </w:t>
      </w:r>
      <w:r w:rsidRPr="006D7A8F">
        <w:rPr>
          <w:i/>
          <w:iCs/>
        </w:rPr>
        <w:t>In the Matter of an Application by Martina Dillon and others for Judicial Review</w:t>
      </w:r>
      <w:r w:rsidRPr="0081579D">
        <w:t xml:space="preserve"> [2026] UKSC 15</w:t>
      </w:r>
      <w:r>
        <w:t>, at para 128.</w:t>
      </w:r>
    </w:p>
  </w:footnote>
  <w:footnote w:id="83">
    <w:p w14:paraId="0D8F2BA6" w14:textId="77777777" w:rsidR="00EB1CB5" w:rsidRDefault="00EB1CB5" w:rsidP="00023063">
      <w:pPr>
        <w:pStyle w:val="NIHRCFootnotes"/>
      </w:pPr>
      <w:r>
        <w:rPr>
          <w:rStyle w:val="FootnoteReference"/>
        </w:rPr>
        <w:footnoteRef/>
      </w:r>
      <w:r>
        <w:t xml:space="preserve"> </w:t>
      </w:r>
      <w:r w:rsidRPr="006C5845">
        <w:t>Directive 2012/29/EU, ‘Directive of the European Parliament and of the Council establishing minimum standards on the rights, support and protection of victims of crime’, 25 October 2012.</w:t>
      </w:r>
    </w:p>
  </w:footnote>
  <w:footnote w:id="84">
    <w:p w14:paraId="488A25E4" w14:textId="77777777" w:rsidR="00EB1CB5" w:rsidRDefault="00EB1CB5" w:rsidP="00023063">
      <w:pPr>
        <w:pStyle w:val="NIHRCFootnotes"/>
      </w:pPr>
      <w:r>
        <w:rPr>
          <w:rStyle w:val="FootnoteReference"/>
        </w:rPr>
        <w:footnoteRef/>
      </w:r>
      <w:r>
        <w:t xml:space="preserve"> </w:t>
      </w:r>
      <w:r w:rsidRPr="007101AB">
        <w:t>Directive 2011/36/EU, ‘</w:t>
      </w:r>
      <w:r>
        <w:t>EU</w:t>
      </w:r>
      <w:r w:rsidRPr="007101AB">
        <w:t xml:space="preserve"> Parliament and Council</w:t>
      </w:r>
      <w:r>
        <w:t xml:space="preserve"> </w:t>
      </w:r>
      <w:r w:rsidRPr="007101AB">
        <w:t>Directive on preventing and combating trafficking in human beings and protecting its victims’</w:t>
      </w:r>
      <w:r>
        <w:t>, 5 April 2011.</w:t>
      </w:r>
    </w:p>
  </w:footnote>
  <w:footnote w:id="85">
    <w:p w14:paraId="499410AF" w14:textId="77777777" w:rsidR="00122775" w:rsidRPr="00122775" w:rsidRDefault="00122775" w:rsidP="00023063">
      <w:pPr>
        <w:pStyle w:val="NIHRCFootnotes"/>
      </w:pPr>
      <w:r w:rsidRPr="00122775">
        <w:rPr>
          <w:rStyle w:val="FootnoteReference"/>
        </w:rPr>
        <w:footnoteRef/>
      </w:r>
      <w:r w:rsidRPr="00122775">
        <w:t xml:space="preserve"> Part 4 and Schedule 3, Justice Act (NI) 2015.</w:t>
      </w:r>
    </w:p>
  </w:footnote>
  <w:footnote w:id="86">
    <w:p w14:paraId="76DC8A92" w14:textId="5D6C658F" w:rsidR="00EB1CB5" w:rsidRDefault="00EB1CB5" w:rsidP="00023063">
      <w:pPr>
        <w:pStyle w:val="NIHRCFootnotes"/>
      </w:pPr>
      <w:r>
        <w:rPr>
          <w:rStyle w:val="FootnoteReference"/>
        </w:rPr>
        <w:footnoteRef/>
      </w:r>
      <w:r>
        <w:t xml:space="preserve"> </w:t>
      </w:r>
      <w:r w:rsidRPr="006D7A8F">
        <w:rPr>
          <w:i/>
          <w:iCs/>
        </w:rPr>
        <w:t xml:space="preserve">In the matter of an application by the Northern Ireland Human Rights Commission </w:t>
      </w:r>
      <w:r w:rsidR="00460342">
        <w:rPr>
          <w:i/>
          <w:iCs/>
        </w:rPr>
        <w:t xml:space="preserve">and JR295 </w:t>
      </w:r>
      <w:r w:rsidRPr="006D7A8F">
        <w:rPr>
          <w:i/>
          <w:iCs/>
        </w:rPr>
        <w:t>for Judicial Review</w:t>
      </w:r>
      <w:r>
        <w:t xml:space="preserve"> </w:t>
      </w:r>
      <w:r w:rsidRPr="00E23E0C">
        <w:t>[2024] NIKB 35</w:t>
      </w:r>
      <w:r>
        <w:t xml:space="preserve">, at para 175 (iii). </w:t>
      </w:r>
      <w:r w:rsidRPr="008906FF">
        <w:t>The</w:t>
      </w:r>
      <w:r>
        <w:t xml:space="preserve"> Government’s</w:t>
      </w:r>
      <w:r w:rsidRPr="008906FF">
        <w:t xml:space="preserve"> appeal before the Court of Appeal has been stayed</w:t>
      </w:r>
      <w:r>
        <w:t xml:space="preserve"> since 2024</w:t>
      </w:r>
      <w:r w:rsidRPr="008906FF">
        <w:t>.</w:t>
      </w:r>
    </w:p>
  </w:footnote>
  <w:footnote w:id="87">
    <w:p w14:paraId="05BCEEB7" w14:textId="77777777" w:rsidR="00EB1CB5" w:rsidRDefault="00EB1CB5" w:rsidP="00023063">
      <w:pPr>
        <w:pStyle w:val="NIHRCFootnotes"/>
      </w:pPr>
      <w:r>
        <w:rPr>
          <w:rStyle w:val="FootnoteReference"/>
        </w:rPr>
        <w:footnoteRef/>
      </w:r>
      <w:r>
        <w:t xml:space="preserve"> </w:t>
      </w:r>
      <w:r w:rsidRPr="006D7A8F">
        <w:rPr>
          <w:i/>
          <w:iCs/>
        </w:rPr>
        <w:t>In the Matter of an Application by Martina Dillon and others for Judicial Review</w:t>
      </w:r>
      <w:r w:rsidRPr="0081579D">
        <w:t xml:space="preserve"> [2026] UKSC 15</w:t>
      </w:r>
      <w:r>
        <w:t xml:space="preserve">. </w:t>
      </w:r>
    </w:p>
  </w:footnote>
  <w:footnote w:id="88">
    <w:p w14:paraId="348143F4" w14:textId="22810754" w:rsidR="008304E4" w:rsidRPr="00023063" w:rsidRDefault="008304E4" w:rsidP="00023063">
      <w:pPr>
        <w:pStyle w:val="NIHRCFootnotes"/>
      </w:pPr>
      <w:r w:rsidRPr="005F2B3A">
        <w:rPr>
          <w:rStyle w:val="FootnoteReference"/>
        </w:rPr>
        <w:footnoteRef/>
      </w:r>
      <w:r w:rsidRPr="00023063">
        <w:t xml:space="preserve"> Belfast (Good Friday) Agreement, 10 April 1998, Part 6 on Rights, Safeguards and Equality of Opportunity, </w:t>
      </w:r>
      <w:r w:rsidR="005F2B3A">
        <w:t xml:space="preserve">at </w:t>
      </w:r>
      <w:r w:rsidRPr="00023063">
        <w:t>paras 1, 11 and 12.</w:t>
      </w:r>
    </w:p>
  </w:footnote>
  <w:footnote w:id="89">
    <w:p w14:paraId="3C1E96B5" w14:textId="77777777" w:rsidR="00EB1CB5" w:rsidRPr="00023063" w:rsidRDefault="00EB1CB5" w:rsidP="00023063">
      <w:pPr>
        <w:pStyle w:val="NIHRCFootnotes"/>
      </w:pPr>
      <w:r w:rsidRPr="005F2B3A">
        <w:rPr>
          <w:rStyle w:val="FootnoteReference"/>
        </w:rPr>
        <w:footnoteRef/>
      </w:r>
      <w:r w:rsidRPr="00023063">
        <w:t xml:space="preserve"> </w:t>
      </w:r>
      <w:r w:rsidRPr="005F2B3A">
        <w:rPr>
          <w:i/>
          <w:iCs/>
        </w:rPr>
        <w:t>In the Matter of an Application by Martina Dillon and others for Judicial Review</w:t>
      </w:r>
      <w:r w:rsidRPr="00023063">
        <w:t xml:space="preserve"> [2026] UKSC 15, at para 116, 118 and 125. </w:t>
      </w:r>
    </w:p>
  </w:footnote>
  <w:footnote w:id="90">
    <w:p w14:paraId="7C886861" w14:textId="77777777" w:rsidR="00EB1CB5" w:rsidRPr="00023063" w:rsidRDefault="00EB1CB5" w:rsidP="00023063">
      <w:pPr>
        <w:pStyle w:val="NIHRCFootnotes"/>
      </w:pPr>
      <w:r w:rsidRPr="005F2B3A">
        <w:rPr>
          <w:rStyle w:val="FootnoteReference"/>
        </w:rPr>
        <w:footnoteRef/>
      </w:r>
      <w:r w:rsidRPr="00023063">
        <w:t xml:space="preserve"> Directive 2012/29/EU, ‘EU Parliament and Council Directive Establishing Minimum Standards on the Rights, Support and Protection of Victims of Crime’, 25 October 2012. Article 11 provides for the right of a victim of crime to seek a review of a decision not to prosecute. Article 16 deals with the right to compensation. </w:t>
      </w:r>
      <w:r w:rsidRPr="00823849">
        <w:rPr>
          <w:i/>
          <w:iCs/>
        </w:rPr>
        <w:t>In the Matter of an Application by Martina Dillon and others for Judicial Review</w:t>
      </w:r>
      <w:r w:rsidRPr="00023063">
        <w:t xml:space="preserve"> [2026] UKSC 15, at para 130.  </w:t>
      </w:r>
    </w:p>
  </w:footnote>
  <w:footnote w:id="91">
    <w:p w14:paraId="18194E26" w14:textId="77777777" w:rsidR="00EB1CB5" w:rsidRPr="00023063" w:rsidRDefault="00EB1CB5" w:rsidP="00023063">
      <w:pPr>
        <w:pStyle w:val="NIHRCFootnotes"/>
      </w:pPr>
      <w:r w:rsidRPr="00091CB6">
        <w:rPr>
          <w:rStyle w:val="FootnoteReference"/>
        </w:rPr>
        <w:footnoteRef/>
      </w:r>
      <w:r w:rsidRPr="00023063">
        <w:t xml:space="preserve"> </w:t>
      </w:r>
      <w:r w:rsidRPr="00091CB6">
        <w:rPr>
          <w:i/>
          <w:iCs/>
        </w:rPr>
        <w:t>In the Matter of an Application by Martina Dillon and others for Judicial Review</w:t>
      </w:r>
      <w:r w:rsidRPr="00023063">
        <w:t xml:space="preserve"> [2026] UKSC 15, at para 131.  </w:t>
      </w:r>
    </w:p>
  </w:footnote>
  <w:footnote w:id="92">
    <w:p w14:paraId="1DD7B37E" w14:textId="77777777" w:rsidR="00EB1CB5" w:rsidRPr="00023063" w:rsidRDefault="00EB1CB5" w:rsidP="00023063">
      <w:pPr>
        <w:pStyle w:val="NIHRCFootnotes"/>
      </w:pPr>
      <w:r w:rsidRPr="00091CB6">
        <w:rPr>
          <w:rStyle w:val="FootnoteReference"/>
        </w:rPr>
        <w:footnoteRef/>
      </w:r>
      <w:r w:rsidRPr="00023063">
        <w:t xml:space="preserve"> </w:t>
      </w:r>
      <w:r w:rsidRPr="00091CB6">
        <w:rPr>
          <w:i/>
          <w:iCs/>
        </w:rPr>
        <w:t>In the Matter of an Application by Martina Dillon and others for Judicial Review</w:t>
      </w:r>
      <w:r w:rsidRPr="00023063">
        <w:t xml:space="preserve"> [2026] UKSC 15, at para 132.  </w:t>
      </w:r>
    </w:p>
  </w:footnote>
  <w:footnote w:id="93">
    <w:p w14:paraId="5F97BBC6" w14:textId="1D75499F" w:rsidR="00EB1CB5" w:rsidRPr="00023063" w:rsidRDefault="00EB1CB5" w:rsidP="00023063">
      <w:pPr>
        <w:pStyle w:val="NIHRCFootnotes"/>
      </w:pPr>
      <w:r w:rsidRPr="00091CB6">
        <w:rPr>
          <w:rStyle w:val="FootnoteReference"/>
        </w:rPr>
        <w:footnoteRef/>
      </w:r>
      <w:r w:rsidRPr="00023063">
        <w:t xml:space="preserve"> Paragraph 11</w:t>
      </w:r>
      <w:r w:rsidR="008304E4" w:rsidRPr="00023063">
        <w:t>,</w:t>
      </w:r>
      <w:r w:rsidRPr="00023063">
        <w:t xml:space="preserve"> RSEO </w:t>
      </w:r>
      <w:r w:rsidR="008304E4" w:rsidRPr="00023063">
        <w:t xml:space="preserve">chapter </w:t>
      </w:r>
      <w:r w:rsidRPr="00023063">
        <w:t>states</w:t>
      </w:r>
      <w:r w:rsidR="00460342">
        <w:t>:</w:t>
      </w:r>
      <w:r w:rsidRPr="00023063">
        <w:t xml:space="preserve"> “The participants believe that it is essential to acknowledge and address</w:t>
      </w:r>
      <w:r w:rsidR="008304E4" w:rsidRPr="00023063">
        <w:t xml:space="preserve"> </w:t>
      </w:r>
      <w:r w:rsidRPr="00023063">
        <w:t>the suffering of the victims of violence as a necessary element of reconciliation …”</w:t>
      </w:r>
      <w:r w:rsidR="005F2B3A">
        <w:t xml:space="preserve"> (</w:t>
      </w:r>
      <w:r w:rsidR="005F2B3A" w:rsidRPr="00023063">
        <w:t>Belfast (Good Friday) Agreement, 10 April 1998, Part 6 on Rights, Safeguards and Equality of Opportunity</w:t>
      </w:r>
      <w:r w:rsidR="005F2B3A">
        <w:t>)</w:t>
      </w:r>
      <w:r w:rsidRPr="00023063">
        <w:t xml:space="preserve">.  </w:t>
      </w:r>
    </w:p>
  </w:footnote>
  <w:footnote w:id="94">
    <w:p w14:paraId="5B0B8EFE" w14:textId="77777777" w:rsidR="00EB1CB5" w:rsidRDefault="00EB1CB5" w:rsidP="00023063">
      <w:pPr>
        <w:pStyle w:val="NIHRCFootnotes"/>
      </w:pPr>
      <w:r w:rsidRPr="00091CB6">
        <w:rPr>
          <w:rStyle w:val="FootnoteReference"/>
        </w:rPr>
        <w:footnoteRef/>
      </w:r>
      <w:r w:rsidRPr="00023063">
        <w:t xml:space="preserve"> </w:t>
      </w:r>
      <w:r w:rsidRPr="00091CB6">
        <w:rPr>
          <w:i/>
          <w:iCs/>
        </w:rPr>
        <w:t>In the Matter of an Application by Martina Dillon and others for Judicial Review</w:t>
      </w:r>
      <w:r w:rsidRPr="00023063">
        <w:t xml:space="preserve"> [2026] UKSC 15, at paras 133 and 136.</w:t>
      </w:r>
    </w:p>
  </w:footnote>
  <w:footnote w:id="95">
    <w:p w14:paraId="65798DF9" w14:textId="77777777" w:rsidR="00EB1CB5" w:rsidRDefault="00EB1CB5" w:rsidP="00EB1CB5">
      <w:pPr>
        <w:pStyle w:val="NIHRCFootnotes"/>
      </w:pPr>
      <w:r>
        <w:rPr>
          <w:rStyle w:val="FootnoteReference"/>
        </w:rPr>
        <w:footnoteRef/>
      </w:r>
      <w:r>
        <w:t xml:space="preserve"> </w:t>
      </w:r>
      <w:r w:rsidRPr="00EF20B4">
        <w:rPr>
          <w:i/>
          <w:iCs/>
        </w:rPr>
        <w:t>In the Matter of an Application by Martina Dillon and others for Judicial Review</w:t>
      </w:r>
      <w:r w:rsidRPr="0081579D">
        <w:t xml:space="preserve"> [2026] UKSC 15, at par</w:t>
      </w:r>
      <w:r>
        <w:t>as 133 and 137.</w:t>
      </w:r>
    </w:p>
  </w:footnote>
  <w:footnote w:id="96">
    <w:p w14:paraId="03487249" w14:textId="77777777" w:rsidR="00EB1CB5" w:rsidRPr="004060A0" w:rsidRDefault="00EB1CB5" w:rsidP="00EB1CB5">
      <w:pPr>
        <w:pStyle w:val="NIHRCFootnotes"/>
      </w:pPr>
      <w:r w:rsidRPr="004060A0">
        <w:rPr>
          <w:rStyle w:val="FootnoteReference"/>
        </w:rPr>
        <w:footnoteRef/>
      </w:r>
      <w:r w:rsidRPr="004060A0">
        <w:t xml:space="preserve"> </w:t>
      </w:r>
      <w:r w:rsidRPr="00EF20B4">
        <w:rPr>
          <w:i/>
          <w:iCs/>
        </w:rPr>
        <w:t>Martina Dillon and Others v Secretary of State for NI</w:t>
      </w:r>
      <w:r w:rsidRPr="0081579D">
        <w:t xml:space="preserve"> [2024] NICA 59</w:t>
      </w:r>
      <w:r w:rsidRPr="004060A0">
        <w:t>, at paras 117 to 118.</w:t>
      </w:r>
    </w:p>
  </w:footnote>
  <w:footnote w:id="97">
    <w:p w14:paraId="0D55126B" w14:textId="77777777" w:rsidR="00EB1CB5" w:rsidRDefault="00EB1CB5" w:rsidP="00EB1CB5">
      <w:pPr>
        <w:pStyle w:val="NIHRCFootnotes"/>
      </w:pPr>
      <w:r>
        <w:rPr>
          <w:rStyle w:val="FootnoteReference"/>
        </w:rPr>
        <w:footnoteRef/>
      </w:r>
      <w:r>
        <w:t xml:space="preserve"> </w:t>
      </w:r>
      <w:r w:rsidRPr="00AC4FE2">
        <w:rPr>
          <w:i/>
          <w:iCs/>
        </w:rPr>
        <w:t>In the Matter of an Application by Martina Dillon and others for Judicial Review</w:t>
      </w:r>
      <w:r w:rsidRPr="0081579D">
        <w:t xml:space="preserve"> [2026] UKSC 15, at par</w:t>
      </w:r>
      <w:r>
        <w:t xml:space="preserve">as 133 and 137. </w:t>
      </w:r>
      <w:r w:rsidRPr="00DF6A0D">
        <w:t>While the range of rights protected by Windsor Framework Article 2 hinges upon what is deemed to fall “within the ambit” of the RSEO chapter, the court did not define the ambit of the chapter</w:t>
      </w:r>
      <w:r>
        <w:t xml:space="preserve">. See </w:t>
      </w:r>
      <w:r w:rsidRPr="00EE2DEB">
        <w:rPr>
          <w:i/>
          <w:iCs/>
        </w:rPr>
        <w:t>In the Matter of an Application by Martina Dillon and others for Judicial Review</w:t>
      </w:r>
      <w:r w:rsidRPr="0081579D">
        <w:t xml:space="preserve"> [2026] UKSC 15, at par</w:t>
      </w:r>
      <w:r>
        <w:t>a 125.</w:t>
      </w:r>
    </w:p>
  </w:footnote>
  <w:footnote w:id="98">
    <w:p w14:paraId="718AA170" w14:textId="77777777" w:rsidR="006C0A3E" w:rsidRPr="0081579D" w:rsidRDefault="006C0A3E" w:rsidP="006C0A3E">
      <w:pPr>
        <w:pStyle w:val="NIHRCFootnotes"/>
        <w:rPr>
          <w:i/>
          <w:iCs/>
        </w:rPr>
      </w:pPr>
      <w:r w:rsidRPr="0081579D">
        <w:rPr>
          <w:rStyle w:val="FootnoteReference"/>
        </w:rPr>
        <w:footnoteRef/>
      </w:r>
      <w:r w:rsidRPr="0081579D">
        <w:t xml:space="preserve"> </w:t>
      </w:r>
      <w:r w:rsidRPr="0081579D">
        <w:rPr>
          <w:i/>
          <w:iCs/>
        </w:rPr>
        <w:t xml:space="preserve">In the Matter of an Application by the Northern Ireland Human Rights Commission and JR295 for Judicial </w:t>
      </w:r>
    </w:p>
    <w:p w14:paraId="6E603AD3" w14:textId="77777777" w:rsidR="006C0A3E" w:rsidRPr="0081579D" w:rsidRDefault="006C0A3E" w:rsidP="006C0A3E">
      <w:pPr>
        <w:pStyle w:val="NIHRCFootnotes"/>
      </w:pPr>
      <w:r w:rsidRPr="0081579D">
        <w:rPr>
          <w:i/>
          <w:iCs/>
        </w:rPr>
        <w:t>Review</w:t>
      </w:r>
      <w:r w:rsidRPr="0081579D">
        <w:t xml:space="preserve"> [2024] NIKB 35, at para 70; </w:t>
      </w:r>
      <w:r w:rsidRPr="0081579D">
        <w:rPr>
          <w:i/>
          <w:iCs/>
        </w:rPr>
        <w:t>Martina Dillon and Others v Secretary of State for NI</w:t>
      </w:r>
      <w:r w:rsidRPr="0081579D">
        <w:t xml:space="preserve"> [2024] NICA 59, at </w:t>
      </w:r>
    </w:p>
    <w:p w14:paraId="7CBDB499" w14:textId="77777777" w:rsidR="006C0A3E" w:rsidRPr="0081579D" w:rsidRDefault="006C0A3E" w:rsidP="006C0A3E">
      <w:pPr>
        <w:pStyle w:val="NIHRCFootnotes"/>
      </w:pPr>
      <w:r w:rsidRPr="0081579D">
        <w:t>paras 117, 119 and 125.</w:t>
      </w:r>
      <w:r>
        <w:t xml:space="preserve"> </w:t>
      </w:r>
    </w:p>
  </w:footnote>
  <w:footnote w:id="99">
    <w:p w14:paraId="1A8082F3" w14:textId="77777777" w:rsidR="00EB1CB5" w:rsidRPr="0081579D" w:rsidRDefault="00EB1CB5" w:rsidP="00EB1CB5">
      <w:pPr>
        <w:pStyle w:val="NIHRCFootnotes"/>
      </w:pPr>
      <w:r w:rsidRPr="0081579D">
        <w:rPr>
          <w:rStyle w:val="FootnoteReference"/>
        </w:rPr>
        <w:footnoteRef/>
      </w:r>
      <w:r w:rsidRPr="0081579D">
        <w:t xml:space="preserve"> Northern Ireland Human Rights Commission, ‘Submission to the Northern Ireland Scrutiny Committee Inquiry on Article 2 of the Protocol/Windsor Framework’ (NIHRC, 2026). The Court </w:t>
      </w:r>
      <w:proofErr w:type="gramStart"/>
      <w:r w:rsidRPr="0081579D">
        <w:t>made reference</w:t>
      </w:r>
      <w:proofErr w:type="gramEnd"/>
      <w:r w:rsidRPr="0081579D">
        <w:t xml:space="preserve"> to ECHR rights in the context of considering the connection between ECHR rights and rights in the EU Charter of Fundamental Rights. See </w:t>
      </w:r>
      <w:r w:rsidRPr="0081579D">
        <w:rPr>
          <w:i/>
          <w:iCs/>
        </w:rPr>
        <w:t>In the Matter of an Application by Martina Dillon and others for Judicial Review</w:t>
      </w:r>
      <w:r w:rsidRPr="0081579D">
        <w:t xml:space="preserve"> [2026] UKSC 15, at para 147.</w:t>
      </w:r>
    </w:p>
  </w:footnote>
  <w:footnote w:id="100">
    <w:p w14:paraId="4F2C5AD3" w14:textId="77777777" w:rsidR="00EB1CB5" w:rsidRDefault="00EB1CB5" w:rsidP="00EB1CB5">
      <w:pPr>
        <w:pStyle w:val="NIHRCFootnotes"/>
      </w:pPr>
      <w:r>
        <w:rPr>
          <w:rStyle w:val="FootnoteReference"/>
        </w:rPr>
        <w:footnoteRef/>
      </w:r>
      <w:r>
        <w:t xml:space="preserve"> </w:t>
      </w:r>
      <w:r w:rsidRPr="00E65E5C">
        <w:rPr>
          <w:i/>
          <w:iCs/>
        </w:rPr>
        <w:t>Osman v the United Kingdom</w:t>
      </w:r>
      <w:r>
        <w:t xml:space="preserve"> (1998) ECHR 101, at paras 115-116.</w:t>
      </w:r>
    </w:p>
  </w:footnote>
  <w:footnote w:id="101">
    <w:p w14:paraId="73A5337B" w14:textId="2A435032" w:rsidR="00EB1CB5" w:rsidRDefault="00EB1CB5" w:rsidP="00EB1CB5">
      <w:pPr>
        <w:pStyle w:val="NIHRCFootnotes"/>
      </w:pPr>
      <w:r>
        <w:rPr>
          <w:rStyle w:val="FootnoteReference"/>
        </w:rPr>
        <w:footnoteRef/>
      </w:r>
      <w:r>
        <w:t xml:space="preserve"> For example, </w:t>
      </w:r>
      <w:r w:rsidRPr="00E65E5C">
        <w:rPr>
          <w:i/>
          <w:iCs/>
        </w:rPr>
        <w:t>Levchuk v Ukraine</w:t>
      </w:r>
      <w:r>
        <w:t xml:space="preserve">, Application </w:t>
      </w:r>
      <w:r w:rsidR="00222E1A">
        <w:t>N</w:t>
      </w:r>
      <w:r>
        <w:t>o</w:t>
      </w:r>
      <w:r w:rsidR="00222E1A">
        <w:t xml:space="preserve"> </w:t>
      </w:r>
      <w:r>
        <w:t xml:space="preserve">17496/19, 3 September 2020; </w:t>
      </w:r>
      <w:r w:rsidRPr="00E65E5C">
        <w:rPr>
          <w:i/>
          <w:iCs/>
        </w:rPr>
        <w:t>Bevacqua and S v Bulgaria</w:t>
      </w:r>
      <w:r>
        <w:t xml:space="preserve">, Application </w:t>
      </w:r>
      <w:r w:rsidR="00222E1A">
        <w:t xml:space="preserve">No </w:t>
      </w:r>
      <w:r>
        <w:t>71127/01</w:t>
      </w:r>
      <w:r w:rsidR="00222E1A">
        <w:t xml:space="preserve">; </w:t>
      </w:r>
      <w:r w:rsidRPr="00E65E5C">
        <w:rPr>
          <w:i/>
          <w:iCs/>
        </w:rPr>
        <w:t>A v Croatia</w:t>
      </w:r>
      <w:r>
        <w:t xml:space="preserve">, Application </w:t>
      </w:r>
      <w:r w:rsidR="00222E1A">
        <w:t>No</w:t>
      </w:r>
      <w:r>
        <w:t xml:space="preserve"> 55164/08, 14 January 2011.</w:t>
      </w:r>
    </w:p>
  </w:footnote>
  <w:footnote w:id="102">
    <w:p w14:paraId="23B4E5EE" w14:textId="77777777" w:rsidR="00EB1CB5" w:rsidRDefault="00EB1CB5" w:rsidP="00EB1CB5">
      <w:pPr>
        <w:pStyle w:val="NIHRCFootnotes"/>
      </w:pPr>
      <w:r>
        <w:rPr>
          <w:rStyle w:val="FootnoteReference"/>
        </w:rPr>
        <w:footnoteRef/>
      </w:r>
      <w:r>
        <w:t xml:space="preserve"> </w:t>
      </w:r>
      <w:proofErr w:type="spellStart"/>
      <w:r w:rsidRPr="00E65E5C">
        <w:rPr>
          <w:i/>
          <w:iCs/>
        </w:rPr>
        <w:t>Rantsev</w:t>
      </w:r>
      <w:proofErr w:type="spellEnd"/>
      <w:r w:rsidRPr="00E65E5C">
        <w:rPr>
          <w:i/>
          <w:iCs/>
        </w:rPr>
        <w:t xml:space="preserve"> v Cyprus and Russia</w:t>
      </w:r>
      <w:r>
        <w:t xml:space="preserve"> (2010) ECHR 22, at para 284.</w:t>
      </w:r>
    </w:p>
  </w:footnote>
  <w:footnote w:id="103">
    <w:p w14:paraId="6DE592D5" w14:textId="0FCE9480" w:rsidR="00EB1CB5" w:rsidRDefault="00EB1CB5" w:rsidP="00EB1CB5">
      <w:pPr>
        <w:pStyle w:val="NIHRCFootnotes"/>
      </w:pPr>
      <w:r>
        <w:rPr>
          <w:rStyle w:val="FootnoteReference"/>
        </w:rPr>
        <w:footnoteRef/>
      </w:r>
      <w:r>
        <w:t xml:space="preserve"> For example, </w:t>
      </w:r>
      <w:proofErr w:type="spellStart"/>
      <w:r w:rsidRPr="00E65E5C">
        <w:rPr>
          <w:i/>
          <w:iCs/>
        </w:rPr>
        <w:t>Milićević</w:t>
      </w:r>
      <w:proofErr w:type="spellEnd"/>
      <w:r w:rsidRPr="00E65E5C">
        <w:rPr>
          <w:i/>
          <w:iCs/>
        </w:rPr>
        <w:t xml:space="preserve"> v. Montenegro</w:t>
      </w:r>
      <w:r>
        <w:t xml:space="preserve">, Application </w:t>
      </w:r>
      <w:r w:rsidR="00222E1A">
        <w:t>No</w:t>
      </w:r>
      <w:r>
        <w:t xml:space="preserve"> 27821/16, 6 November 2018; </w:t>
      </w:r>
      <w:r w:rsidRPr="00E65E5C">
        <w:rPr>
          <w:i/>
          <w:iCs/>
        </w:rPr>
        <w:t>Nitecki v. Poland</w:t>
      </w:r>
      <w:r>
        <w:t xml:space="preserve"> (2002) ECHR 21; </w:t>
      </w:r>
      <w:proofErr w:type="spellStart"/>
      <w:r w:rsidRPr="00E65E5C">
        <w:rPr>
          <w:i/>
          <w:iCs/>
        </w:rPr>
        <w:t>Sentges</w:t>
      </w:r>
      <w:proofErr w:type="spellEnd"/>
      <w:r w:rsidRPr="00E65E5C">
        <w:rPr>
          <w:i/>
          <w:iCs/>
        </w:rPr>
        <w:t xml:space="preserve"> v. the Netherlands</w:t>
      </w:r>
      <w:r>
        <w:t xml:space="preserve">, Application </w:t>
      </w:r>
      <w:r w:rsidR="00222E1A">
        <w:t>No</w:t>
      </w:r>
      <w:r>
        <w:t xml:space="preserve"> 27677/02, 8 July 2003.</w:t>
      </w:r>
    </w:p>
  </w:footnote>
  <w:footnote w:id="104">
    <w:p w14:paraId="18AF73A5" w14:textId="7CDB02AD" w:rsidR="003D5F08" w:rsidRDefault="003D5F08" w:rsidP="003D5F08">
      <w:pPr>
        <w:pStyle w:val="NIHRCFootnotes"/>
      </w:pPr>
      <w:r>
        <w:rPr>
          <w:rStyle w:val="FootnoteReference"/>
        </w:rPr>
        <w:footnoteRef/>
      </w:r>
      <w:r>
        <w:t xml:space="preserve"> The transition period ended on 31 December 2020. </w:t>
      </w:r>
    </w:p>
  </w:footnote>
  <w:footnote w:id="105">
    <w:p w14:paraId="787C9D72" w14:textId="77777777" w:rsidR="000B19F5" w:rsidRPr="00C54CD5" w:rsidRDefault="000B19F5" w:rsidP="000B19F5">
      <w:pPr>
        <w:pStyle w:val="NIHRCFootnotes"/>
        <w:rPr>
          <w:color w:val="7030A0"/>
        </w:rPr>
      </w:pPr>
      <w:r w:rsidRPr="00C54CD5">
        <w:rPr>
          <w:rStyle w:val="FootnoteReference"/>
          <w:color w:val="7030A0"/>
        </w:rPr>
        <w:footnoteRef/>
      </w:r>
      <w:r w:rsidRPr="00C54CD5">
        <w:rPr>
          <w:color w:val="7030A0"/>
        </w:rPr>
        <w:t xml:space="preserve"> </w:t>
      </w:r>
      <w:r w:rsidRPr="00C54CD5">
        <w:rPr>
          <w:i/>
          <w:iCs/>
          <w:color w:val="7030A0"/>
        </w:rPr>
        <w:t>In the Matter of an Application by Martina Dillon and others for Judicial Review</w:t>
      </w:r>
      <w:r w:rsidRPr="00C54CD5">
        <w:rPr>
          <w:color w:val="7030A0"/>
        </w:rPr>
        <w:t xml:space="preserve"> [2026] UKSC 15, at para 118. </w:t>
      </w:r>
    </w:p>
  </w:footnote>
  <w:footnote w:id="106">
    <w:p w14:paraId="54F679C6" w14:textId="77777777" w:rsidR="00EB1CB5" w:rsidRPr="004060A0" w:rsidRDefault="00EB1CB5" w:rsidP="00EB1CB5">
      <w:pPr>
        <w:pStyle w:val="NIHRCFootnotes"/>
      </w:pPr>
      <w:r w:rsidRPr="004060A0">
        <w:rPr>
          <w:rStyle w:val="FootnoteReference"/>
        </w:rPr>
        <w:footnoteRef/>
      </w:r>
      <w:r w:rsidRPr="0086007D">
        <w:t xml:space="preserve"> </w:t>
      </w:r>
      <w:r w:rsidRPr="00AF4391">
        <w:rPr>
          <w:i/>
          <w:iCs/>
        </w:rPr>
        <w:t>In the Matter of an Application by Martina Dillon and others for Judicial Review</w:t>
      </w:r>
      <w:r w:rsidRPr="00C53070">
        <w:t xml:space="preserve"> [2026] UKSC 15</w:t>
      </w:r>
      <w:r w:rsidRPr="004060A0">
        <w:t xml:space="preserve">, at para 125. </w:t>
      </w:r>
    </w:p>
  </w:footnote>
  <w:footnote w:id="107">
    <w:p w14:paraId="7B99B4BB" w14:textId="77777777" w:rsidR="00EE1FFF" w:rsidRPr="004060A0" w:rsidRDefault="00EE1FFF" w:rsidP="00EE1FFF">
      <w:pPr>
        <w:pStyle w:val="NIHRCFootnotes"/>
      </w:pPr>
      <w:r w:rsidRPr="004060A0">
        <w:rPr>
          <w:rStyle w:val="FootnoteReference"/>
        </w:rPr>
        <w:footnoteRef/>
      </w:r>
      <w:r w:rsidRPr="00F36DA1">
        <w:t xml:space="preserve"> </w:t>
      </w:r>
      <w:r w:rsidRPr="00B510AF">
        <w:rPr>
          <w:i/>
          <w:iCs/>
        </w:rPr>
        <w:t>In the Matter of an Application by Martina Dillon and others for Judicial Review</w:t>
      </w:r>
      <w:r w:rsidRPr="00CA0A5A">
        <w:t xml:space="preserve"> [2026] UKSC 15</w:t>
      </w:r>
      <w:r w:rsidRPr="00F36DA1">
        <w:t>, at para 114.</w:t>
      </w:r>
    </w:p>
  </w:footnote>
  <w:footnote w:id="108">
    <w:p w14:paraId="52B77261" w14:textId="77777777" w:rsidR="00EE1FFF" w:rsidRPr="004060A0" w:rsidRDefault="00EE1FFF" w:rsidP="00EE1FFF">
      <w:pPr>
        <w:pStyle w:val="NIHRCFootnotes"/>
      </w:pPr>
      <w:r w:rsidRPr="004060A0">
        <w:rPr>
          <w:rStyle w:val="FootnoteReference"/>
        </w:rPr>
        <w:footnoteRef/>
      </w:r>
      <w:r w:rsidRPr="00F36DA1">
        <w:t xml:space="preserve"> </w:t>
      </w:r>
      <w:r w:rsidRPr="00B510AF">
        <w:rPr>
          <w:i/>
          <w:iCs/>
        </w:rPr>
        <w:t>In the Matter of an Application by Martina Dillon and others for Judicial</w:t>
      </w:r>
      <w:r w:rsidRPr="00CA0A5A">
        <w:t xml:space="preserve"> Review [2026] UKSC 15</w:t>
      </w:r>
      <w:r w:rsidRPr="00F36DA1">
        <w:t>, at para 130-133.</w:t>
      </w:r>
    </w:p>
  </w:footnote>
  <w:footnote w:id="109">
    <w:p w14:paraId="0257C0BD" w14:textId="77777777" w:rsidR="00EB1CB5" w:rsidRPr="003C58B5" w:rsidRDefault="00EB1CB5" w:rsidP="00EB1CB5">
      <w:pPr>
        <w:pStyle w:val="NIHRCFootnotes"/>
      </w:pPr>
      <w:r w:rsidRPr="003C58B5">
        <w:rPr>
          <w:rStyle w:val="FootnoteReference"/>
        </w:rPr>
        <w:footnoteRef/>
      </w:r>
      <w:r w:rsidRPr="003C58B5">
        <w:rPr>
          <w:rStyle w:val="FootnoteReference"/>
        </w:rPr>
        <w:t xml:space="preserve"> </w:t>
      </w:r>
      <w:r w:rsidRPr="003C58B5">
        <w:rPr>
          <w:i/>
          <w:iCs/>
        </w:rPr>
        <w:t>In the Matter of an Application by Martina Dillon and others for Judicial Review</w:t>
      </w:r>
      <w:r w:rsidRPr="003C58B5">
        <w:t> [2026] UKSC 15, at para 119. See also para 131.</w:t>
      </w:r>
    </w:p>
  </w:footnote>
  <w:footnote w:id="110">
    <w:p w14:paraId="7B89B473" w14:textId="77777777" w:rsidR="00EB1CB5" w:rsidRPr="003C58B5" w:rsidRDefault="00EB1CB5" w:rsidP="00EB1CB5">
      <w:pPr>
        <w:pStyle w:val="NIHRCFootnotes"/>
      </w:pPr>
      <w:r w:rsidRPr="003C58B5">
        <w:rPr>
          <w:rStyle w:val="FootnoteReference"/>
        </w:rPr>
        <w:footnoteRef/>
      </w:r>
      <w:r w:rsidRPr="003C58B5">
        <w:t xml:space="preserve"> UK Parliament Hansard, ‘Oral Statement: Supreme Court </w:t>
      </w:r>
      <w:r w:rsidRPr="00AF5E81">
        <w:rPr>
          <w:i/>
        </w:rPr>
        <w:t>Dillon</w:t>
      </w:r>
      <w:r w:rsidRPr="003C58B5">
        <w:t xml:space="preserve"> Judgment – Secretary of State for NI, Hilary Benn MP’, 14 May 2026. </w:t>
      </w:r>
    </w:p>
  </w:footnote>
  <w:footnote w:id="111">
    <w:p w14:paraId="6CDC9CE8" w14:textId="77777777" w:rsidR="00EB1CB5" w:rsidRDefault="00EB1CB5" w:rsidP="00EB1CB5">
      <w:pPr>
        <w:pStyle w:val="NIHRCFootnotes"/>
      </w:pPr>
      <w:r>
        <w:rPr>
          <w:rStyle w:val="FootnoteReference"/>
        </w:rPr>
        <w:footnoteRef/>
      </w:r>
      <w:r>
        <w:t xml:space="preserve"> NIHRC, ‘Submission the Northern Ireland Scrutiny Committee Inquiry on Article 2 of the Protocol/Windsor Framework’ (NIHRC, 2026), at para 4.15 - 4.20.  </w:t>
      </w:r>
    </w:p>
  </w:footnote>
  <w:footnote w:id="112">
    <w:p w14:paraId="676DA1C0" w14:textId="0550824D" w:rsidR="00F63AA8" w:rsidRDefault="00F63AA8" w:rsidP="00F63AA8">
      <w:pPr>
        <w:pStyle w:val="NIHRCFootnotes"/>
      </w:pPr>
      <w:r>
        <w:rPr>
          <w:rStyle w:val="FootnoteReference"/>
        </w:rPr>
        <w:footnoteRef/>
      </w:r>
      <w:r>
        <w:t xml:space="preserve"> </w:t>
      </w:r>
      <w:r w:rsidRPr="003C58B5">
        <w:t>Belfast (Good Friday) Agreement, 10 April 1998, Part 6 on Rights, Safeguards and Equality of Opportunity</w:t>
      </w:r>
      <w:r>
        <w:t xml:space="preserve">, </w:t>
      </w:r>
      <w:r w:rsidR="003C429C">
        <w:t xml:space="preserve">at </w:t>
      </w:r>
      <w:r>
        <w:t>para 1.</w:t>
      </w:r>
    </w:p>
  </w:footnote>
  <w:footnote w:id="113">
    <w:p w14:paraId="73E3256D" w14:textId="77777777" w:rsidR="00F63AA8" w:rsidRPr="00EA0D81" w:rsidRDefault="00F63AA8" w:rsidP="00F63AA8">
      <w:pPr>
        <w:pStyle w:val="NIHRCFootnotes"/>
      </w:pPr>
      <w:r w:rsidRPr="00EA0D81">
        <w:rPr>
          <w:rStyle w:val="FootnoteReference"/>
        </w:rPr>
        <w:footnoteRef/>
      </w:r>
      <w:r w:rsidRPr="00EA0D81">
        <w:t xml:space="preserve"> Article 4, UK EU Withdrawal Agreement.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3393E"/>
    <w:multiLevelType w:val="hybridMultilevel"/>
    <w:tmpl w:val="6240A9FC"/>
    <w:lvl w:ilvl="0" w:tplc="F806C97E">
      <w:start w:val="1"/>
      <w:numFmt w:val="decimal"/>
      <w:lvlText w:val="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57018A"/>
    <w:multiLevelType w:val="hybridMultilevel"/>
    <w:tmpl w:val="8A30D634"/>
    <w:lvl w:ilvl="0" w:tplc="5D3429A0">
      <w:start w:val="1"/>
      <w:numFmt w:val="bullet"/>
      <w:lvlText w:val=""/>
      <w:lvlJc w:val="left"/>
      <w:pPr>
        <w:ind w:left="360" w:hanging="360"/>
      </w:pPr>
      <w:rPr>
        <w:rFonts w:ascii="Symbol" w:hAnsi="Symbol" w:hint="default"/>
        <w:color w:val="734791"/>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139525F"/>
    <w:multiLevelType w:val="hybridMultilevel"/>
    <w:tmpl w:val="8CF40FB0"/>
    <w:lvl w:ilvl="0" w:tplc="5D3429A0">
      <w:start w:val="1"/>
      <w:numFmt w:val="bullet"/>
      <w:lvlText w:val=""/>
      <w:lvlJc w:val="left"/>
      <w:pPr>
        <w:ind w:left="360" w:hanging="360"/>
      </w:pPr>
      <w:rPr>
        <w:rFonts w:ascii="Symbol" w:hAnsi="Symbol" w:hint="default"/>
        <w:color w:val="734791"/>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3C86EC2"/>
    <w:multiLevelType w:val="hybridMultilevel"/>
    <w:tmpl w:val="C8E47A90"/>
    <w:lvl w:ilvl="0" w:tplc="E3A01562">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7211F9"/>
    <w:multiLevelType w:val="multilevel"/>
    <w:tmpl w:val="C07831F6"/>
    <w:styleLink w:val="LFO8"/>
    <w:lvl w:ilvl="0">
      <w:start w:val="1"/>
      <w:numFmt w:val="decimal"/>
      <w:pStyle w:val="TOCHeading"/>
      <w:lvlText w:val="%1.0"/>
      <w:lvlJc w:val="left"/>
      <w:pPr>
        <w:ind w:left="720" w:hanging="720"/>
      </w:pPr>
    </w:lvl>
    <w:lvl w:ilvl="1">
      <w:start w:val="1"/>
      <w:numFmt w:val="decimal"/>
      <w:lvlText w:val="%1.%2"/>
      <w:lvlJc w:val="left"/>
      <w:pPr>
        <w:ind w:left="720" w:hanging="720"/>
      </w:pPr>
      <w:rPr>
        <w:position w:val="0"/>
        <w:sz w:val="24"/>
        <w:szCs w:val="24"/>
        <w:vertAlign w:val="baseline"/>
      </w:rPr>
    </w:lvl>
    <w:lvl w:ilvl="2">
      <w:start w:val="1"/>
      <w:numFmt w:val="decimal"/>
      <w:lvlText w:val="%1.%2.%3"/>
      <w:lvlJc w:val="left"/>
      <w:pPr>
        <w:ind w:left="252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480" w:hanging="2160"/>
      </w:pPr>
    </w:lvl>
    <w:lvl w:ilvl="7">
      <w:start w:val="1"/>
      <w:numFmt w:val="decimal"/>
      <w:lvlText w:val="%1.%2.%3.%4.%5.%6.%7.%8"/>
      <w:lvlJc w:val="left"/>
      <w:pPr>
        <w:ind w:left="7560" w:hanging="2520"/>
      </w:pPr>
    </w:lvl>
    <w:lvl w:ilvl="8">
      <w:start w:val="1"/>
      <w:numFmt w:val="decimal"/>
      <w:lvlText w:val="%1.%2.%3.%4.%5.%6.%7.%8.%9"/>
      <w:lvlJc w:val="left"/>
      <w:pPr>
        <w:ind w:left="8280" w:hanging="2520"/>
      </w:pPr>
    </w:lvl>
  </w:abstractNum>
  <w:abstractNum w:abstractNumId="5" w15:restartNumberingAfterBreak="0">
    <w:nsid w:val="2F377D35"/>
    <w:multiLevelType w:val="hybridMultilevel"/>
    <w:tmpl w:val="7ED673A4"/>
    <w:lvl w:ilvl="0" w:tplc="6D5E2C32">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CA695D"/>
    <w:multiLevelType w:val="multilevel"/>
    <w:tmpl w:val="0809001F"/>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15E2A3D"/>
    <w:multiLevelType w:val="hybridMultilevel"/>
    <w:tmpl w:val="32C06B3C"/>
    <w:lvl w:ilvl="0" w:tplc="F806C97E">
      <w:start w:val="1"/>
      <w:numFmt w:val="decimal"/>
      <w:lvlText w:val="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E2561B"/>
    <w:multiLevelType w:val="hybridMultilevel"/>
    <w:tmpl w:val="768670C0"/>
    <w:lvl w:ilvl="0" w:tplc="22DE1448">
      <w:start w:val="1"/>
      <w:numFmt w:val="decimal"/>
      <w:lvlText w:val="%1."/>
      <w:lvlJc w:val="left"/>
      <w:pPr>
        <w:ind w:left="1211" w:hanging="360"/>
      </w:pPr>
      <w:rPr>
        <w:rFonts w:eastAsia="Verdana" w:cs="Verdana"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9" w15:restartNumberingAfterBreak="0">
    <w:nsid w:val="36447DFB"/>
    <w:multiLevelType w:val="hybridMultilevel"/>
    <w:tmpl w:val="A3B84D18"/>
    <w:lvl w:ilvl="0" w:tplc="50960044">
      <w:start w:val="1"/>
      <w:numFmt w:val="decimal"/>
      <w:lvlText w:val="%1."/>
      <w:lvlJc w:val="left"/>
      <w:pPr>
        <w:ind w:left="360" w:hanging="360"/>
      </w:pPr>
      <w:rPr>
        <w:rFonts w:hint="default"/>
        <w:color w:val="73479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E422170"/>
    <w:multiLevelType w:val="hybridMultilevel"/>
    <w:tmpl w:val="E522FDC6"/>
    <w:lvl w:ilvl="0" w:tplc="9174B4FC">
      <w:start w:val="1"/>
      <w:numFmt w:val="bullet"/>
      <w:lvlText w:val=""/>
      <w:lvlJc w:val="left"/>
      <w:pPr>
        <w:ind w:left="360" w:hanging="360"/>
      </w:pPr>
      <w:rPr>
        <w:rFonts w:ascii="Symbol" w:hAnsi="Symbol" w:hint="default"/>
        <w:color w:val="77328A"/>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0B934F2"/>
    <w:multiLevelType w:val="multilevel"/>
    <w:tmpl w:val="D6D2BDD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22D0C27"/>
    <w:multiLevelType w:val="hybridMultilevel"/>
    <w:tmpl w:val="297CFD32"/>
    <w:lvl w:ilvl="0" w:tplc="888E40A6">
      <w:start w:val="1"/>
      <w:numFmt w:val="decimal"/>
      <w:lvlText w:val="5.%1"/>
      <w:lvlJc w:val="left"/>
      <w:pPr>
        <w:ind w:left="720" w:hanging="360"/>
      </w:pPr>
      <w:rPr>
        <w:rFonts w:hint="default"/>
        <w:b w:val="0"/>
        <w:bCs w:val="0"/>
        <w:i w:val="0"/>
        <w:i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360A21"/>
    <w:multiLevelType w:val="multilevel"/>
    <w:tmpl w:val="8B56EF5A"/>
    <w:lvl w:ilvl="0">
      <w:start w:val="1"/>
      <w:numFmt w:val="decimal"/>
      <w:lvlText w:val="%1.0"/>
      <w:lvlJc w:val="left"/>
      <w:pPr>
        <w:ind w:left="720" w:hanging="720"/>
      </w:pPr>
      <w:rPr>
        <w:rFonts w:hint="default"/>
        <w:b/>
      </w:rPr>
    </w:lvl>
    <w:lvl w:ilvl="1">
      <w:start w:val="1"/>
      <w:numFmt w:val="decimal"/>
      <w:lvlText w:val="%1.%2"/>
      <w:lvlJc w:val="left"/>
      <w:pPr>
        <w:ind w:left="1440" w:hanging="720"/>
      </w:pPr>
      <w:rPr>
        <w:rFonts w:hint="default"/>
        <w:b/>
      </w:rPr>
    </w:lvl>
    <w:lvl w:ilvl="2">
      <w:start w:val="1"/>
      <w:numFmt w:val="decimal"/>
      <w:lvlText w:val="%1.%2.%3"/>
      <w:lvlJc w:val="left"/>
      <w:pPr>
        <w:ind w:left="2520" w:hanging="1080"/>
      </w:pPr>
      <w:rPr>
        <w:rFonts w:hint="default"/>
        <w:b/>
      </w:rPr>
    </w:lvl>
    <w:lvl w:ilvl="3">
      <w:start w:val="1"/>
      <w:numFmt w:val="decimal"/>
      <w:lvlText w:val="%1.%2.%3.%4"/>
      <w:lvlJc w:val="left"/>
      <w:pPr>
        <w:ind w:left="3600" w:hanging="1440"/>
      </w:pPr>
      <w:rPr>
        <w:rFonts w:hint="default"/>
        <w:b/>
      </w:rPr>
    </w:lvl>
    <w:lvl w:ilvl="4">
      <w:start w:val="1"/>
      <w:numFmt w:val="decimal"/>
      <w:lvlText w:val="%1.%2.%3.%4.%5"/>
      <w:lvlJc w:val="left"/>
      <w:pPr>
        <w:ind w:left="4680" w:hanging="1800"/>
      </w:pPr>
      <w:rPr>
        <w:rFonts w:hint="default"/>
        <w:b/>
      </w:rPr>
    </w:lvl>
    <w:lvl w:ilvl="5">
      <w:start w:val="1"/>
      <w:numFmt w:val="decimal"/>
      <w:lvlText w:val="%1.%2.%3.%4.%5.%6"/>
      <w:lvlJc w:val="left"/>
      <w:pPr>
        <w:ind w:left="5760" w:hanging="2160"/>
      </w:pPr>
      <w:rPr>
        <w:rFonts w:hint="default"/>
        <w:b/>
      </w:rPr>
    </w:lvl>
    <w:lvl w:ilvl="6">
      <w:start w:val="1"/>
      <w:numFmt w:val="decimal"/>
      <w:lvlText w:val="%1.%2.%3.%4.%5.%6.%7"/>
      <w:lvlJc w:val="left"/>
      <w:pPr>
        <w:ind w:left="6840" w:hanging="2520"/>
      </w:pPr>
      <w:rPr>
        <w:rFonts w:hint="default"/>
        <w:b/>
      </w:rPr>
    </w:lvl>
    <w:lvl w:ilvl="7">
      <w:start w:val="1"/>
      <w:numFmt w:val="decimal"/>
      <w:lvlText w:val="%1.%2.%3.%4.%5.%6.%7.%8"/>
      <w:lvlJc w:val="left"/>
      <w:pPr>
        <w:ind w:left="7920" w:hanging="2880"/>
      </w:pPr>
      <w:rPr>
        <w:rFonts w:hint="default"/>
        <w:b/>
      </w:rPr>
    </w:lvl>
    <w:lvl w:ilvl="8">
      <w:start w:val="1"/>
      <w:numFmt w:val="decimal"/>
      <w:lvlText w:val="%1.%2.%3.%4.%5.%6.%7.%8.%9"/>
      <w:lvlJc w:val="left"/>
      <w:pPr>
        <w:ind w:left="9000" w:hanging="3240"/>
      </w:pPr>
      <w:rPr>
        <w:rFonts w:hint="default"/>
        <w:b/>
      </w:rPr>
    </w:lvl>
  </w:abstractNum>
  <w:abstractNum w:abstractNumId="14" w15:restartNumberingAfterBreak="0">
    <w:nsid w:val="499F24C1"/>
    <w:multiLevelType w:val="hybridMultilevel"/>
    <w:tmpl w:val="5A2A54D6"/>
    <w:lvl w:ilvl="0" w:tplc="EBD4BE82">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ECD46DA"/>
    <w:multiLevelType w:val="hybridMultilevel"/>
    <w:tmpl w:val="A198F1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21E7E99"/>
    <w:multiLevelType w:val="hybridMultilevel"/>
    <w:tmpl w:val="31FE622A"/>
    <w:lvl w:ilvl="0" w:tplc="95A6AB96">
      <w:start w:val="1"/>
      <w:numFmt w:val="decimal"/>
      <w:lvlText w:val="4.%1"/>
      <w:lvlJc w:val="left"/>
      <w:pPr>
        <w:ind w:left="720" w:hanging="360"/>
      </w:pPr>
      <w:rPr>
        <w:rFonts w:hint="default"/>
        <w:b w:val="0"/>
        <w:b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A757781"/>
    <w:multiLevelType w:val="multilevel"/>
    <w:tmpl w:val="95D81F3A"/>
    <w:lvl w:ilvl="0">
      <w:start w:val="2"/>
      <w:numFmt w:val="decimal"/>
      <w:lvlText w:val="%1"/>
      <w:lvlJc w:val="left"/>
      <w:pPr>
        <w:ind w:left="588" w:hanging="588"/>
      </w:pPr>
      <w:rPr>
        <w:rFonts w:hint="default"/>
      </w:rPr>
    </w:lvl>
    <w:lvl w:ilvl="1">
      <w:start w:val="13"/>
      <w:numFmt w:val="decimal"/>
      <w:lvlText w:val="%1.%2"/>
      <w:lvlJc w:val="left"/>
      <w:pPr>
        <w:ind w:left="720" w:hanging="720"/>
      </w:pPr>
      <w:rPr>
        <w:rFonts w:hint="default"/>
        <w:b w:val="0"/>
        <w:bCs w:val="0"/>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8" w15:restartNumberingAfterBreak="0">
    <w:nsid w:val="6149031A"/>
    <w:multiLevelType w:val="multilevel"/>
    <w:tmpl w:val="CE368A7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Letter"/>
      <w:lvlText w:val="%6."/>
      <w:lvlJc w:val="left"/>
      <w:pPr>
        <w:ind w:left="2160" w:hanging="360"/>
      </w:p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6D4103C"/>
    <w:multiLevelType w:val="hybridMultilevel"/>
    <w:tmpl w:val="EE8E749A"/>
    <w:lvl w:ilvl="0" w:tplc="C1347B82">
      <w:start w:val="1"/>
      <w:numFmt w:val="decimal"/>
      <w:pStyle w:val="Heading1"/>
      <w:lvlText w:val="%1.0"/>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0FB1B00"/>
    <w:multiLevelType w:val="multilevel"/>
    <w:tmpl w:val="7E54EAFC"/>
    <w:lvl w:ilvl="0">
      <w:start w:val="2"/>
      <w:numFmt w:val="decimal"/>
      <w:lvlText w:val="%1"/>
      <w:lvlJc w:val="left"/>
      <w:pPr>
        <w:ind w:left="588" w:hanging="588"/>
      </w:pPr>
      <w:rPr>
        <w:rFonts w:hint="default"/>
      </w:rPr>
    </w:lvl>
    <w:lvl w:ilvl="1">
      <w:start w:val="17"/>
      <w:numFmt w:val="decimal"/>
      <w:lvlText w:val="%1.%2"/>
      <w:lvlJc w:val="left"/>
      <w:pPr>
        <w:ind w:left="720" w:hanging="720"/>
      </w:pPr>
      <w:rPr>
        <w:rFonts w:hint="default"/>
        <w:b w:val="0"/>
        <w:bCs w:val="0"/>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1" w15:restartNumberingAfterBreak="0">
    <w:nsid w:val="732D4628"/>
    <w:multiLevelType w:val="hybridMultilevel"/>
    <w:tmpl w:val="7BB07136"/>
    <w:lvl w:ilvl="0" w:tplc="5D3429A0">
      <w:start w:val="1"/>
      <w:numFmt w:val="bullet"/>
      <w:lvlText w:val=""/>
      <w:lvlJc w:val="left"/>
      <w:pPr>
        <w:ind w:left="360" w:hanging="360"/>
      </w:pPr>
      <w:rPr>
        <w:rFonts w:ascii="Symbol" w:hAnsi="Symbol" w:hint="default"/>
        <w:color w:val="734791"/>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3F12689"/>
    <w:multiLevelType w:val="hybridMultilevel"/>
    <w:tmpl w:val="3E047FBC"/>
    <w:lvl w:ilvl="0" w:tplc="310E6F02">
      <w:start w:val="16"/>
      <w:numFmt w:val="decimal"/>
      <w:lvlText w:val="4.%1"/>
      <w:lvlJc w:val="left"/>
      <w:pPr>
        <w:ind w:left="720" w:hanging="360"/>
      </w:pPr>
      <w:rPr>
        <w:rFonts w:hint="default"/>
        <w:b w:val="0"/>
        <w:bCs w:val="0"/>
        <w:i w:val="0"/>
        <w:i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6376E11"/>
    <w:multiLevelType w:val="hybridMultilevel"/>
    <w:tmpl w:val="D694A92A"/>
    <w:lvl w:ilvl="0" w:tplc="57D2932A">
      <w:start w:val="1"/>
      <w:numFmt w:val="decimal"/>
      <w:lvlText w:val="2.%1"/>
      <w:lvlJc w:val="left"/>
      <w:pPr>
        <w:ind w:left="720" w:hanging="360"/>
      </w:pPr>
      <w:rPr>
        <w:rFonts w:ascii="Verdana" w:hAnsi="Verdana"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7BE09A8"/>
    <w:multiLevelType w:val="hybridMultilevel"/>
    <w:tmpl w:val="377875BC"/>
    <w:lvl w:ilvl="0" w:tplc="2578D732">
      <w:start w:val="1"/>
      <w:numFmt w:val="decimal"/>
      <w:lvlText w:val="4.%1"/>
      <w:lvlJc w:val="left"/>
      <w:pPr>
        <w:ind w:left="720" w:hanging="360"/>
      </w:pPr>
      <w:rPr>
        <w:rFonts w:hint="default"/>
        <w:b w:val="0"/>
        <w:bCs w:val="0"/>
        <w:i w:val="0"/>
        <w:i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D6E3AF3"/>
    <w:multiLevelType w:val="multilevel"/>
    <w:tmpl w:val="9D0E951E"/>
    <w:lvl w:ilvl="0">
      <w:start w:val="1"/>
      <w:numFmt w:val="decimal"/>
      <w:lvlText w:val="%1.0"/>
      <w:lvlJc w:val="left"/>
      <w:pPr>
        <w:ind w:left="720" w:hanging="720"/>
      </w:pPr>
      <w:rPr>
        <w:rFonts w:hint="default"/>
      </w:rPr>
    </w:lvl>
    <w:lvl w:ilvl="1">
      <w:start w:val="1"/>
      <w:numFmt w:val="decimal"/>
      <w:lvlText w:val="2.%2"/>
      <w:lvlJc w:val="left"/>
      <w:pPr>
        <w:ind w:left="720" w:hanging="360"/>
      </w:pPr>
      <w:rPr>
        <w:rFonts w:ascii="Verdana" w:hAnsi="Verdana" w:hint="default"/>
      </w:rPr>
    </w:lvl>
    <w:lvl w:ilvl="2">
      <w:start w:val="1"/>
      <w:numFmt w:val="decimal"/>
      <w:lvlText w:val="%1.%2.%3"/>
      <w:lvlJc w:val="left"/>
      <w:pPr>
        <w:ind w:left="2520" w:hanging="1080"/>
      </w:pPr>
      <w:rPr>
        <w:rFonts w:hint="default"/>
        <w:b w:val="0"/>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280" w:hanging="2520"/>
      </w:pPr>
      <w:rPr>
        <w:rFonts w:hint="default"/>
      </w:rPr>
    </w:lvl>
  </w:abstractNum>
  <w:abstractNum w:abstractNumId="26" w15:restartNumberingAfterBreak="0">
    <w:nsid w:val="7E2E08FB"/>
    <w:multiLevelType w:val="hybridMultilevel"/>
    <w:tmpl w:val="7F569DE2"/>
    <w:lvl w:ilvl="0" w:tplc="B6DEEB0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57814661">
    <w:abstractNumId w:val="15"/>
  </w:num>
  <w:num w:numId="2" w16cid:durableId="254411138">
    <w:abstractNumId w:val="26"/>
  </w:num>
  <w:num w:numId="3" w16cid:durableId="1745755748">
    <w:abstractNumId w:val="1"/>
  </w:num>
  <w:num w:numId="4" w16cid:durableId="708989655">
    <w:abstractNumId w:val="9"/>
  </w:num>
  <w:num w:numId="5" w16cid:durableId="1316111261">
    <w:abstractNumId w:val="21"/>
  </w:num>
  <w:num w:numId="6" w16cid:durableId="372655490">
    <w:abstractNumId w:val="2"/>
  </w:num>
  <w:num w:numId="7" w16cid:durableId="2126999524">
    <w:abstractNumId w:val="10"/>
  </w:num>
  <w:num w:numId="8" w16cid:durableId="1600720479">
    <w:abstractNumId w:val="6"/>
  </w:num>
  <w:num w:numId="9" w16cid:durableId="971860175">
    <w:abstractNumId w:val="13"/>
  </w:num>
  <w:num w:numId="10" w16cid:durableId="1979065085">
    <w:abstractNumId w:val="19"/>
  </w:num>
  <w:num w:numId="11" w16cid:durableId="667253993">
    <w:abstractNumId w:val="4"/>
    <w:lvlOverride w:ilvl="0">
      <w:lvl w:ilvl="0">
        <w:start w:val="1"/>
        <w:numFmt w:val="decimal"/>
        <w:pStyle w:val="TOCHeading"/>
        <w:lvlText w:val="%1.0"/>
        <w:lvlJc w:val="left"/>
        <w:pPr>
          <w:ind w:left="720" w:hanging="720"/>
        </w:pPr>
      </w:lvl>
    </w:lvlOverride>
    <w:lvlOverride w:ilvl="1">
      <w:lvl w:ilvl="1">
        <w:start w:val="1"/>
        <w:numFmt w:val="decimal"/>
        <w:lvlText w:val="%1.%2"/>
        <w:lvlJc w:val="left"/>
        <w:pPr>
          <w:ind w:left="720" w:hanging="720"/>
        </w:pPr>
        <w:rPr>
          <w:rFonts w:ascii="Verdana" w:hAnsi="Verdana"/>
          <w:b w:val="0"/>
          <w:bCs w:val="0"/>
          <w:color w:val="auto"/>
          <w:position w:val="0"/>
          <w:sz w:val="24"/>
          <w:szCs w:val="24"/>
          <w:vertAlign w:val="baseline"/>
        </w:rPr>
      </w:lvl>
    </w:lvlOverride>
  </w:num>
  <w:num w:numId="12" w16cid:durableId="1440447039">
    <w:abstractNumId w:val="4"/>
    <w:lvlOverride w:ilvl="0">
      <w:startOverride w:val="1"/>
    </w:lvlOverride>
    <w:lvlOverride w:ilvl="1">
      <w:startOverride w:val="1"/>
    </w:lvlOverride>
  </w:num>
  <w:num w:numId="13" w16cid:durableId="23286687">
    <w:abstractNumId w:val="4"/>
  </w:num>
  <w:num w:numId="14" w16cid:durableId="485245266">
    <w:abstractNumId w:val="3"/>
  </w:num>
  <w:num w:numId="15" w16cid:durableId="1918591834">
    <w:abstractNumId w:val="12"/>
  </w:num>
  <w:num w:numId="16" w16cid:durableId="1521621798">
    <w:abstractNumId w:val="5"/>
  </w:num>
  <w:num w:numId="17" w16cid:durableId="100733122">
    <w:abstractNumId w:val="25"/>
  </w:num>
  <w:num w:numId="18" w16cid:durableId="520360826">
    <w:abstractNumId w:val="22"/>
  </w:num>
  <w:num w:numId="19" w16cid:durableId="1649286627">
    <w:abstractNumId w:val="16"/>
  </w:num>
  <w:num w:numId="20" w16cid:durableId="79447384">
    <w:abstractNumId w:val="0"/>
  </w:num>
  <w:num w:numId="21" w16cid:durableId="1723216969">
    <w:abstractNumId w:val="8"/>
  </w:num>
  <w:num w:numId="22" w16cid:durableId="8457374">
    <w:abstractNumId w:val="11"/>
  </w:num>
  <w:num w:numId="23" w16cid:durableId="623460762">
    <w:abstractNumId w:val="18"/>
  </w:num>
  <w:num w:numId="24" w16cid:durableId="1992824577">
    <w:abstractNumId w:val="14"/>
  </w:num>
  <w:num w:numId="25" w16cid:durableId="1177380640">
    <w:abstractNumId w:val="23"/>
  </w:num>
  <w:num w:numId="26" w16cid:durableId="1720934667">
    <w:abstractNumId w:val="7"/>
  </w:num>
  <w:num w:numId="27" w16cid:durableId="17776616">
    <w:abstractNumId w:val="17"/>
  </w:num>
  <w:num w:numId="28" w16cid:durableId="1183056147">
    <w:abstractNumId w:val="20"/>
  </w:num>
  <w:num w:numId="29" w16cid:durableId="41648828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532"/>
    <w:rsid w:val="000003A3"/>
    <w:rsid w:val="00000FC3"/>
    <w:rsid w:val="000022C3"/>
    <w:rsid w:val="00002454"/>
    <w:rsid w:val="0000308C"/>
    <w:rsid w:val="00003A20"/>
    <w:rsid w:val="00003DEC"/>
    <w:rsid w:val="00003F93"/>
    <w:rsid w:val="00004094"/>
    <w:rsid w:val="000053F3"/>
    <w:rsid w:val="00005416"/>
    <w:rsid w:val="00010069"/>
    <w:rsid w:val="00010593"/>
    <w:rsid w:val="000106D5"/>
    <w:rsid w:val="00010966"/>
    <w:rsid w:val="00010BCD"/>
    <w:rsid w:val="00010D94"/>
    <w:rsid w:val="00012C24"/>
    <w:rsid w:val="00013609"/>
    <w:rsid w:val="00014106"/>
    <w:rsid w:val="000143B2"/>
    <w:rsid w:val="000166A9"/>
    <w:rsid w:val="0001695C"/>
    <w:rsid w:val="00016B03"/>
    <w:rsid w:val="0001779F"/>
    <w:rsid w:val="00020234"/>
    <w:rsid w:val="00020384"/>
    <w:rsid w:val="00020711"/>
    <w:rsid w:val="00020990"/>
    <w:rsid w:val="00020CB8"/>
    <w:rsid w:val="000211F1"/>
    <w:rsid w:val="00023063"/>
    <w:rsid w:val="00023BC1"/>
    <w:rsid w:val="00023D28"/>
    <w:rsid w:val="0002422D"/>
    <w:rsid w:val="00026600"/>
    <w:rsid w:val="0002661C"/>
    <w:rsid w:val="000304E1"/>
    <w:rsid w:val="00030F8B"/>
    <w:rsid w:val="000317B6"/>
    <w:rsid w:val="00031A81"/>
    <w:rsid w:val="00031B93"/>
    <w:rsid w:val="00031CD4"/>
    <w:rsid w:val="00032506"/>
    <w:rsid w:val="00032692"/>
    <w:rsid w:val="00034365"/>
    <w:rsid w:val="000354A0"/>
    <w:rsid w:val="00035C27"/>
    <w:rsid w:val="00036D52"/>
    <w:rsid w:val="00040588"/>
    <w:rsid w:val="00041040"/>
    <w:rsid w:val="00041BCD"/>
    <w:rsid w:val="00042A90"/>
    <w:rsid w:val="000435AE"/>
    <w:rsid w:val="00046645"/>
    <w:rsid w:val="00046705"/>
    <w:rsid w:val="00046AF9"/>
    <w:rsid w:val="00047275"/>
    <w:rsid w:val="00047BB9"/>
    <w:rsid w:val="00047FD1"/>
    <w:rsid w:val="0005050F"/>
    <w:rsid w:val="00050629"/>
    <w:rsid w:val="000506CC"/>
    <w:rsid w:val="000508B6"/>
    <w:rsid w:val="000508BA"/>
    <w:rsid w:val="000510BB"/>
    <w:rsid w:val="0005180F"/>
    <w:rsid w:val="00051BF2"/>
    <w:rsid w:val="000527EC"/>
    <w:rsid w:val="00052A7A"/>
    <w:rsid w:val="0005379E"/>
    <w:rsid w:val="00053825"/>
    <w:rsid w:val="00053FEC"/>
    <w:rsid w:val="000546A6"/>
    <w:rsid w:val="00054D45"/>
    <w:rsid w:val="000553AC"/>
    <w:rsid w:val="0005624D"/>
    <w:rsid w:val="0005633B"/>
    <w:rsid w:val="000566D4"/>
    <w:rsid w:val="00056E3B"/>
    <w:rsid w:val="000579C3"/>
    <w:rsid w:val="00057EA9"/>
    <w:rsid w:val="00060432"/>
    <w:rsid w:val="00062A83"/>
    <w:rsid w:val="0006328F"/>
    <w:rsid w:val="00063290"/>
    <w:rsid w:val="00063FFE"/>
    <w:rsid w:val="000653E2"/>
    <w:rsid w:val="00065ACC"/>
    <w:rsid w:val="000666E5"/>
    <w:rsid w:val="0006692E"/>
    <w:rsid w:val="00072134"/>
    <w:rsid w:val="0007275F"/>
    <w:rsid w:val="00072F77"/>
    <w:rsid w:val="0007457C"/>
    <w:rsid w:val="00074FA5"/>
    <w:rsid w:val="000759B1"/>
    <w:rsid w:val="0007623D"/>
    <w:rsid w:val="00076DFE"/>
    <w:rsid w:val="000800F2"/>
    <w:rsid w:val="000838F0"/>
    <w:rsid w:val="00084E07"/>
    <w:rsid w:val="000853B4"/>
    <w:rsid w:val="000856A7"/>
    <w:rsid w:val="0008655E"/>
    <w:rsid w:val="00086910"/>
    <w:rsid w:val="00091080"/>
    <w:rsid w:val="00091CB6"/>
    <w:rsid w:val="00092F1A"/>
    <w:rsid w:val="0009350F"/>
    <w:rsid w:val="000939A8"/>
    <w:rsid w:val="00093FEE"/>
    <w:rsid w:val="00094063"/>
    <w:rsid w:val="00095369"/>
    <w:rsid w:val="00095FBF"/>
    <w:rsid w:val="00096716"/>
    <w:rsid w:val="00096AFD"/>
    <w:rsid w:val="000A07EC"/>
    <w:rsid w:val="000A16D1"/>
    <w:rsid w:val="000A1741"/>
    <w:rsid w:val="000A27EF"/>
    <w:rsid w:val="000A34BF"/>
    <w:rsid w:val="000A418E"/>
    <w:rsid w:val="000A4D5C"/>
    <w:rsid w:val="000A552A"/>
    <w:rsid w:val="000A7EC2"/>
    <w:rsid w:val="000B19F5"/>
    <w:rsid w:val="000B201B"/>
    <w:rsid w:val="000B263F"/>
    <w:rsid w:val="000B35DB"/>
    <w:rsid w:val="000B37E7"/>
    <w:rsid w:val="000B3C5D"/>
    <w:rsid w:val="000B43C6"/>
    <w:rsid w:val="000B452C"/>
    <w:rsid w:val="000B488B"/>
    <w:rsid w:val="000B5B55"/>
    <w:rsid w:val="000B625A"/>
    <w:rsid w:val="000B64CA"/>
    <w:rsid w:val="000B7617"/>
    <w:rsid w:val="000B7BC1"/>
    <w:rsid w:val="000C28B9"/>
    <w:rsid w:val="000C2E9F"/>
    <w:rsid w:val="000C37C0"/>
    <w:rsid w:val="000C40EF"/>
    <w:rsid w:val="000C4875"/>
    <w:rsid w:val="000C60E6"/>
    <w:rsid w:val="000C766C"/>
    <w:rsid w:val="000C7807"/>
    <w:rsid w:val="000D0448"/>
    <w:rsid w:val="000D10D8"/>
    <w:rsid w:val="000D2299"/>
    <w:rsid w:val="000D2678"/>
    <w:rsid w:val="000D27AC"/>
    <w:rsid w:val="000D41F8"/>
    <w:rsid w:val="000D4BBA"/>
    <w:rsid w:val="000D4C5C"/>
    <w:rsid w:val="000D54E1"/>
    <w:rsid w:val="000D58AC"/>
    <w:rsid w:val="000D60FB"/>
    <w:rsid w:val="000D7474"/>
    <w:rsid w:val="000E008B"/>
    <w:rsid w:val="000E0B1C"/>
    <w:rsid w:val="000E1117"/>
    <w:rsid w:val="000E1F61"/>
    <w:rsid w:val="000E1F74"/>
    <w:rsid w:val="000E37CF"/>
    <w:rsid w:val="000E46F1"/>
    <w:rsid w:val="000E60DF"/>
    <w:rsid w:val="000E7F0C"/>
    <w:rsid w:val="000F112B"/>
    <w:rsid w:val="000F1922"/>
    <w:rsid w:val="000F200C"/>
    <w:rsid w:val="000F2101"/>
    <w:rsid w:val="000F2114"/>
    <w:rsid w:val="000F28F9"/>
    <w:rsid w:val="000F2F46"/>
    <w:rsid w:val="000F3595"/>
    <w:rsid w:val="000F4CF0"/>
    <w:rsid w:val="000F6627"/>
    <w:rsid w:val="000F6CAD"/>
    <w:rsid w:val="000F6E03"/>
    <w:rsid w:val="000F7BAA"/>
    <w:rsid w:val="000F7EF5"/>
    <w:rsid w:val="00101034"/>
    <w:rsid w:val="00101C5E"/>
    <w:rsid w:val="001020DE"/>
    <w:rsid w:val="00102733"/>
    <w:rsid w:val="00102926"/>
    <w:rsid w:val="00103747"/>
    <w:rsid w:val="00104F0E"/>
    <w:rsid w:val="00105411"/>
    <w:rsid w:val="001055BD"/>
    <w:rsid w:val="001057D1"/>
    <w:rsid w:val="00105832"/>
    <w:rsid w:val="00105DF3"/>
    <w:rsid w:val="00106EBA"/>
    <w:rsid w:val="00106F9C"/>
    <w:rsid w:val="0011007C"/>
    <w:rsid w:val="00110941"/>
    <w:rsid w:val="0011152E"/>
    <w:rsid w:val="00112340"/>
    <w:rsid w:val="0011256D"/>
    <w:rsid w:val="001132C9"/>
    <w:rsid w:val="001133A2"/>
    <w:rsid w:val="00113B27"/>
    <w:rsid w:val="0011535D"/>
    <w:rsid w:val="001155F0"/>
    <w:rsid w:val="00116DBD"/>
    <w:rsid w:val="00120188"/>
    <w:rsid w:val="001201EE"/>
    <w:rsid w:val="001213E7"/>
    <w:rsid w:val="001216D2"/>
    <w:rsid w:val="001222E8"/>
    <w:rsid w:val="00122775"/>
    <w:rsid w:val="001260E7"/>
    <w:rsid w:val="00126257"/>
    <w:rsid w:val="00126E36"/>
    <w:rsid w:val="00130170"/>
    <w:rsid w:val="001302BE"/>
    <w:rsid w:val="00130586"/>
    <w:rsid w:val="00130F2B"/>
    <w:rsid w:val="001350BF"/>
    <w:rsid w:val="0013543E"/>
    <w:rsid w:val="00136221"/>
    <w:rsid w:val="00136CD3"/>
    <w:rsid w:val="0013765A"/>
    <w:rsid w:val="00137E83"/>
    <w:rsid w:val="001419FD"/>
    <w:rsid w:val="001421F0"/>
    <w:rsid w:val="00143335"/>
    <w:rsid w:val="001436ED"/>
    <w:rsid w:val="00145457"/>
    <w:rsid w:val="00145C8C"/>
    <w:rsid w:val="001464B2"/>
    <w:rsid w:val="00146A03"/>
    <w:rsid w:val="0014710A"/>
    <w:rsid w:val="001503CA"/>
    <w:rsid w:val="00150A1E"/>
    <w:rsid w:val="00150EAA"/>
    <w:rsid w:val="00151110"/>
    <w:rsid w:val="00151549"/>
    <w:rsid w:val="00153795"/>
    <w:rsid w:val="00155C49"/>
    <w:rsid w:val="0015624F"/>
    <w:rsid w:val="001562C7"/>
    <w:rsid w:val="001571F9"/>
    <w:rsid w:val="00157B02"/>
    <w:rsid w:val="0016068D"/>
    <w:rsid w:val="00160BDE"/>
    <w:rsid w:val="00162185"/>
    <w:rsid w:val="00163443"/>
    <w:rsid w:val="00165509"/>
    <w:rsid w:val="001659F3"/>
    <w:rsid w:val="00165CAE"/>
    <w:rsid w:val="00167B41"/>
    <w:rsid w:val="00171468"/>
    <w:rsid w:val="001723AF"/>
    <w:rsid w:val="00172E99"/>
    <w:rsid w:val="00173197"/>
    <w:rsid w:val="00173FA7"/>
    <w:rsid w:val="00174A90"/>
    <w:rsid w:val="00175EAC"/>
    <w:rsid w:val="001764AD"/>
    <w:rsid w:val="00176528"/>
    <w:rsid w:val="001772E9"/>
    <w:rsid w:val="00177B12"/>
    <w:rsid w:val="00177DDE"/>
    <w:rsid w:val="00180546"/>
    <w:rsid w:val="001818B1"/>
    <w:rsid w:val="00182E0D"/>
    <w:rsid w:val="00182EE1"/>
    <w:rsid w:val="0018399B"/>
    <w:rsid w:val="00184314"/>
    <w:rsid w:val="0018484C"/>
    <w:rsid w:val="0018594B"/>
    <w:rsid w:val="0018595A"/>
    <w:rsid w:val="00185D20"/>
    <w:rsid w:val="00186753"/>
    <w:rsid w:val="00187085"/>
    <w:rsid w:val="001873DA"/>
    <w:rsid w:val="00191062"/>
    <w:rsid w:val="0019129B"/>
    <w:rsid w:val="001913BF"/>
    <w:rsid w:val="00191492"/>
    <w:rsid w:val="00191D1F"/>
    <w:rsid w:val="00194FA1"/>
    <w:rsid w:val="00196056"/>
    <w:rsid w:val="00196F14"/>
    <w:rsid w:val="001973F9"/>
    <w:rsid w:val="00197FD1"/>
    <w:rsid w:val="001A0950"/>
    <w:rsid w:val="001A10B9"/>
    <w:rsid w:val="001A37DF"/>
    <w:rsid w:val="001A4669"/>
    <w:rsid w:val="001A474D"/>
    <w:rsid w:val="001A6D06"/>
    <w:rsid w:val="001A6D3D"/>
    <w:rsid w:val="001B019C"/>
    <w:rsid w:val="001B0D6C"/>
    <w:rsid w:val="001B15CD"/>
    <w:rsid w:val="001B188C"/>
    <w:rsid w:val="001B5617"/>
    <w:rsid w:val="001B5B74"/>
    <w:rsid w:val="001B7EFB"/>
    <w:rsid w:val="001B7F94"/>
    <w:rsid w:val="001C0EC5"/>
    <w:rsid w:val="001C10C2"/>
    <w:rsid w:val="001C19A6"/>
    <w:rsid w:val="001C2CC1"/>
    <w:rsid w:val="001C3574"/>
    <w:rsid w:val="001C370A"/>
    <w:rsid w:val="001C44EB"/>
    <w:rsid w:val="001C4CC3"/>
    <w:rsid w:val="001C567E"/>
    <w:rsid w:val="001C5E7E"/>
    <w:rsid w:val="001C67FA"/>
    <w:rsid w:val="001C76DF"/>
    <w:rsid w:val="001C79F6"/>
    <w:rsid w:val="001D0FB6"/>
    <w:rsid w:val="001D103F"/>
    <w:rsid w:val="001D27D5"/>
    <w:rsid w:val="001D29D3"/>
    <w:rsid w:val="001D29FA"/>
    <w:rsid w:val="001D3FE2"/>
    <w:rsid w:val="001D6417"/>
    <w:rsid w:val="001D64BA"/>
    <w:rsid w:val="001D67D9"/>
    <w:rsid w:val="001D6D90"/>
    <w:rsid w:val="001D73F3"/>
    <w:rsid w:val="001D7623"/>
    <w:rsid w:val="001E061E"/>
    <w:rsid w:val="001E0F1C"/>
    <w:rsid w:val="001E0FAF"/>
    <w:rsid w:val="001E130F"/>
    <w:rsid w:val="001E25CC"/>
    <w:rsid w:val="001E26EE"/>
    <w:rsid w:val="001E2946"/>
    <w:rsid w:val="001E2B47"/>
    <w:rsid w:val="001E317A"/>
    <w:rsid w:val="001E38F9"/>
    <w:rsid w:val="001E427D"/>
    <w:rsid w:val="001E481C"/>
    <w:rsid w:val="001E4C87"/>
    <w:rsid w:val="001E4EEE"/>
    <w:rsid w:val="001E5692"/>
    <w:rsid w:val="001E572E"/>
    <w:rsid w:val="001E5F40"/>
    <w:rsid w:val="001E5F8C"/>
    <w:rsid w:val="001E6AA8"/>
    <w:rsid w:val="001E7303"/>
    <w:rsid w:val="001E79A9"/>
    <w:rsid w:val="001E7B4B"/>
    <w:rsid w:val="001F03B1"/>
    <w:rsid w:val="001F25C1"/>
    <w:rsid w:val="001F341C"/>
    <w:rsid w:val="001F3A7F"/>
    <w:rsid w:val="001F4CB2"/>
    <w:rsid w:val="001F5EA0"/>
    <w:rsid w:val="001F5F5E"/>
    <w:rsid w:val="0020009E"/>
    <w:rsid w:val="002012FC"/>
    <w:rsid w:val="002017E6"/>
    <w:rsid w:val="00201E75"/>
    <w:rsid w:val="00202578"/>
    <w:rsid w:val="00202974"/>
    <w:rsid w:val="00202E85"/>
    <w:rsid w:val="00203672"/>
    <w:rsid w:val="00204BDF"/>
    <w:rsid w:val="00204FB8"/>
    <w:rsid w:val="002052BC"/>
    <w:rsid w:val="0020593F"/>
    <w:rsid w:val="00207846"/>
    <w:rsid w:val="00210609"/>
    <w:rsid w:val="00211FEE"/>
    <w:rsid w:val="00212037"/>
    <w:rsid w:val="0021273F"/>
    <w:rsid w:val="00213761"/>
    <w:rsid w:val="00213B8A"/>
    <w:rsid w:val="002144A5"/>
    <w:rsid w:val="00214FE1"/>
    <w:rsid w:val="00215B75"/>
    <w:rsid w:val="00215F76"/>
    <w:rsid w:val="00216637"/>
    <w:rsid w:val="00216D57"/>
    <w:rsid w:val="00216E38"/>
    <w:rsid w:val="00217955"/>
    <w:rsid w:val="00217DE2"/>
    <w:rsid w:val="00221104"/>
    <w:rsid w:val="00222BC5"/>
    <w:rsid w:val="00222E1A"/>
    <w:rsid w:val="00223418"/>
    <w:rsid w:val="00223543"/>
    <w:rsid w:val="002237B7"/>
    <w:rsid w:val="002238E7"/>
    <w:rsid w:val="00224140"/>
    <w:rsid w:val="00224C7A"/>
    <w:rsid w:val="0022555A"/>
    <w:rsid w:val="00226BAE"/>
    <w:rsid w:val="00227635"/>
    <w:rsid w:val="00227C5B"/>
    <w:rsid w:val="00227FD7"/>
    <w:rsid w:val="00230F99"/>
    <w:rsid w:val="00231624"/>
    <w:rsid w:val="00233717"/>
    <w:rsid w:val="0023386E"/>
    <w:rsid w:val="00233F82"/>
    <w:rsid w:val="002351CB"/>
    <w:rsid w:val="00236797"/>
    <w:rsid w:val="00240590"/>
    <w:rsid w:val="0024148B"/>
    <w:rsid w:val="00242368"/>
    <w:rsid w:val="002425A2"/>
    <w:rsid w:val="00242650"/>
    <w:rsid w:val="002428EC"/>
    <w:rsid w:val="00243724"/>
    <w:rsid w:val="00243A21"/>
    <w:rsid w:val="002448D8"/>
    <w:rsid w:val="00245151"/>
    <w:rsid w:val="002453EB"/>
    <w:rsid w:val="0024748F"/>
    <w:rsid w:val="0024770D"/>
    <w:rsid w:val="00247BBB"/>
    <w:rsid w:val="002510F8"/>
    <w:rsid w:val="0025228E"/>
    <w:rsid w:val="00252EBC"/>
    <w:rsid w:val="00252F98"/>
    <w:rsid w:val="0025363C"/>
    <w:rsid w:val="00254E65"/>
    <w:rsid w:val="00255C29"/>
    <w:rsid w:val="00255D4A"/>
    <w:rsid w:val="002606E9"/>
    <w:rsid w:val="002609D4"/>
    <w:rsid w:val="002617B2"/>
    <w:rsid w:val="002639F6"/>
    <w:rsid w:val="0026400A"/>
    <w:rsid w:val="00264BCD"/>
    <w:rsid w:val="0026506F"/>
    <w:rsid w:val="0026537A"/>
    <w:rsid w:val="00265F38"/>
    <w:rsid w:val="002665F2"/>
    <w:rsid w:val="00267EDC"/>
    <w:rsid w:val="002706A0"/>
    <w:rsid w:val="0027149F"/>
    <w:rsid w:val="00272235"/>
    <w:rsid w:val="00272ADE"/>
    <w:rsid w:val="0027350A"/>
    <w:rsid w:val="002744BF"/>
    <w:rsid w:val="00274E4D"/>
    <w:rsid w:val="00276308"/>
    <w:rsid w:val="00277516"/>
    <w:rsid w:val="002777D2"/>
    <w:rsid w:val="002811D3"/>
    <w:rsid w:val="00281F0C"/>
    <w:rsid w:val="00284E76"/>
    <w:rsid w:val="00284F0F"/>
    <w:rsid w:val="002876B3"/>
    <w:rsid w:val="00287903"/>
    <w:rsid w:val="00287DB6"/>
    <w:rsid w:val="00290173"/>
    <w:rsid w:val="00291321"/>
    <w:rsid w:val="00292105"/>
    <w:rsid w:val="002924DD"/>
    <w:rsid w:val="00292D0A"/>
    <w:rsid w:val="002931C1"/>
    <w:rsid w:val="00293A4F"/>
    <w:rsid w:val="00294FC3"/>
    <w:rsid w:val="0029560F"/>
    <w:rsid w:val="002A14C0"/>
    <w:rsid w:val="002A1589"/>
    <w:rsid w:val="002A1CB0"/>
    <w:rsid w:val="002A21CC"/>
    <w:rsid w:val="002A28D5"/>
    <w:rsid w:val="002A2A2A"/>
    <w:rsid w:val="002A2EE3"/>
    <w:rsid w:val="002A2FFB"/>
    <w:rsid w:val="002A344A"/>
    <w:rsid w:val="002A561C"/>
    <w:rsid w:val="002A644C"/>
    <w:rsid w:val="002A6CBA"/>
    <w:rsid w:val="002A7029"/>
    <w:rsid w:val="002A78AC"/>
    <w:rsid w:val="002B0352"/>
    <w:rsid w:val="002B1272"/>
    <w:rsid w:val="002B1819"/>
    <w:rsid w:val="002B1894"/>
    <w:rsid w:val="002B1B4A"/>
    <w:rsid w:val="002B2234"/>
    <w:rsid w:val="002B4355"/>
    <w:rsid w:val="002B496E"/>
    <w:rsid w:val="002B61A8"/>
    <w:rsid w:val="002B6C72"/>
    <w:rsid w:val="002B6D48"/>
    <w:rsid w:val="002B712A"/>
    <w:rsid w:val="002B7522"/>
    <w:rsid w:val="002C0D1D"/>
    <w:rsid w:val="002C1068"/>
    <w:rsid w:val="002C18A0"/>
    <w:rsid w:val="002C1B50"/>
    <w:rsid w:val="002C2878"/>
    <w:rsid w:val="002C2995"/>
    <w:rsid w:val="002C649E"/>
    <w:rsid w:val="002C7590"/>
    <w:rsid w:val="002D16A0"/>
    <w:rsid w:val="002D172F"/>
    <w:rsid w:val="002D28BA"/>
    <w:rsid w:val="002D2A4B"/>
    <w:rsid w:val="002D2B4A"/>
    <w:rsid w:val="002D30C5"/>
    <w:rsid w:val="002D4142"/>
    <w:rsid w:val="002D4DA1"/>
    <w:rsid w:val="002D536A"/>
    <w:rsid w:val="002D68EE"/>
    <w:rsid w:val="002D7ADF"/>
    <w:rsid w:val="002D7F9A"/>
    <w:rsid w:val="002E07ED"/>
    <w:rsid w:val="002E1228"/>
    <w:rsid w:val="002E21F4"/>
    <w:rsid w:val="002E3019"/>
    <w:rsid w:val="002E30FF"/>
    <w:rsid w:val="002E42D6"/>
    <w:rsid w:val="002E60C6"/>
    <w:rsid w:val="002E63D0"/>
    <w:rsid w:val="002E657E"/>
    <w:rsid w:val="002E6E46"/>
    <w:rsid w:val="002E71A3"/>
    <w:rsid w:val="002F0F49"/>
    <w:rsid w:val="002F1728"/>
    <w:rsid w:val="002F1C70"/>
    <w:rsid w:val="002F265B"/>
    <w:rsid w:val="002F44DC"/>
    <w:rsid w:val="002F7E4A"/>
    <w:rsid w:val="0030041E"/>
    <w:rsid w:val="00301BA2"/>
    <w:rsid w:val="003024A9"/>
    <w:rsid w:val="00302555"/>
    <w:rsid w:val="003028EB"/>
    <w:rsid w:val="003034FC"/>
    <w:rsid w:val="00303E84"/>
    <w:rsid w:val="00304287"/>
    <w:rsid w:val="003047F5"/>
    <w:rsid w:val="003055E6"/>
    <w:rsid w:val="00305B2F"/>
    <w:rsid w:val="003060FF"/>
    <w:rsid w:val="003062EA"/>
    <w:rsid w:val="00306317"/>
    <w:rsid w:val="00306CC3"/>
    <w:rsid w:val="00310221"/>
    <w:rsid w:val="003107EC"/>
    <w:rsid w:val="00312B16"/>
    <w:rsid w:val="00314779"/>
    <w:rsid w:val="00317D6D"/>
    <w:rsid w:val="003209BF"/>
    <w:rsid w:val="00320E17"/>
    <w:rsid w:val="00321FEC"/>
    <w:rsid w:val="00322036"/>
    <w:rsid w:val="0032218F"/>
    <w:rsid w:val="00322CBD"/>
    <w:rsid w:val="003233A1"/>
    <w:rsid w:val="00323749"/>
    <w:rsid w:val="00323CC9"/>
    <w:rsid w:val="00323D31"/>
    <w:rsid w:val="00324A69"/>
    <w:rsid w:val="00326116"/>
    <w:rsid w:val="00326664"/>
    <w:rsid w:val="0032706E"/>
    <w:rsid w:val="003275F0"/>
    <w:rsid w:val="00330C6A"/>
    <w:rsid w:val="00331C61"/>
    <w:rsid w:val="00332276"/>
    <w:rsid w:val="00332717"/>
    <w:rsid w:val="003331CB"/>
    <w:rsid w:val="0033343F"/>
    <w:rsid w:val="0033360F"/>
    <w:rsid w:val="003343DE"/>
    <w:rsid w:val="0033483D"/>
    <w:rsid w:val="00334BCE"/>
    <w:rsid w:val="00335F54"/>
    <w:rsid w:val="003363AE"/>
    <w:rsid w:val="00336D45"/>
    <w:rsid w:val="003379E2"/>
    <w:rsid w:val="00337B62"/>
    <w:rsid w:val="0034087F"/>
    <w:rsid w:val="003408F1"/>
    <w:rsid w:val="00341BFE"/>
    <w:rsid w:val="003424AB"/>
    <w:rsid w:val="003428E7"/>
    <w:rsid w:val="00344094"/>
    <w:rsid w:val="003441FF"/>
    <w:rsid w:val="00344ECA"/>
    <w:rsid w:val="00345CEB"/>
    <w:rsid w:val="00345FCB"/>
    <w:rsid w:val="00347ABF"/>
    <w:rsid w:val="00347E99"/>
    <w:rsid w:val="00350006"/>
    <w:rsid w:val="00351154"/>
    <w:rsid w:val="00351179"/>
    <w:rsid w:val="00351519"/>
    <w:rsid w:val="0035300D"/>
    <w:rsid w:val="0035389D"/>
    <w:rsid w:val="00354C1E"/>
    <w:rsid w:val="003560C3"/>
    <w:rsid w:val="0035686E"/>
    <w:rsid w:val="00357535"/>
    <w:rsid w:val="00360248"/>
    <w:rsid w:val="0036040A"/>
    <w:rsid w:val="003615E0"/>
    <w:rsid w:val="00361B15"/>
    <w:rsid w:val="003630DB"/>
    <w:rsid w:val="00363541"/>
    <w:rsid w:val="0036362B"/>
    <w:rsid w:val="003650BF"/>
    <w:rsid w:val="00365680"/>
    <w:rsid w:val="003664F9"/>
    <w:rsid w:val="00367C39"/>
    <w:rsid w:val="00367CCA"/>
    <w:rsid w:val="003705EF"/>
    <w:rsid w:val="0037076F"/>
    <w:rsid w:val="00370D1F"/>
    <w:rsid w:val="003725B6"/>
    <w:rsid w:val="00372C64"/>
    <w:rsid w:val="00373CEB"/>
    <w:rsid w:val="00375078"/>
    <w:rsid w:val="00376A5C"/>
    <w:rsid w:val="0038002A"/>
    <w:rsid w:val="003826FA"/>
    <w:rsid w:val="00382EDE"/>
    <w:rsid w:val="00382FFA"/>
    <w:rsid w:val="00384661"/>
    <w:rsid w:val="003848B9"/>
    <w:rsid w:val="003858DF"/>
    <w:rsid w:val="00386DC4"/>
    <w:rsid w:val="00390237"/>
    <w:rsid w:val="003903A4"/>
    <w:rsid w:val="00396956"/>
    <w:rsid w:val="00396F34"/>
    <w:rsid w:val="00397746"/>
    <w:rsid w:val="00397B1F"/>
    <w:rsid w:val="003A006D"/>
    <w:rsid w:val="003A06CB"/>
    <w:rsid w:val="003A11B3"/>
    <w:rsid w:val="003A165B"/>
    <w:rsid w:val="003A2BD9"/>
    <w:rsid w:val="003A44AC"/>
    <w:rsid w:val="003A5735"/>
    <w:rsid w:val="003A6E97"/>
    <w:rsid w:val="003B0195"/>
    <w:rsid w:val="003B117E"/>
    <w:rsid w:val="003B14F9"/>
    <w:rsid w:val="003B1A42"/>
    <w:rsid w:val="003B5806"/>
    <w:rsid w:val="003B5A3B"/>
    <w:rsid w:val="003B5BEA"/>
    <w:rsid w:val="003B60D2"/>
    <w:rsid w:val="003B65E8"/>
    <w:rsid w:val="003B77C5"/>
    <w:rsid w:val="003B7C33"/>
    <w:rsid w:val="003B7D0E"/>
    <w:rsid w:val="003C04BF"/>
    <w:rsid w:val="003C20A9"/>
    <w:rsid w:val="003C21B3"/>
    <w:rsid w:val="003C3579"/>
    <w:rsid w:val="003C429C"/>
    <w:rsid w:val="003C49DC"/>
    <w:rsid w:val="003C53C5"/>
    <w:rsid w:val="003C5E8B"/>
    <w:rsid w:val="003C6192"/>
    <w:rsid w:val="003C62B3"/>
    <w:rsid w:val="003C7153"/>
    <w:rsid w:val="003C7738"/>
    <w:rsid w:val="003C7BA9"/>
    <w:rsid w:val="003D09D2"/>
    <w:rsid w:val="003D0AC7"/>
    <w:rsid w:val="003D0E3D"/>
    <w:rsid w:val="003D2EA2"/>
    <w:rsid w:val="003D33B1"/>
    <w:rsid w:val="003D3778"/>
    <w:rsid w:val="003D3F56"/>
    <w:rsid w:val="003D4B9B"/>
    <w:rsid w:val="003D5155"/>
    <w:rsid w:val="003D5F08"/>
    <w:rsid w:val="003D60C0"/>
    <w:rsid w:val="003D65EA"/>
    <w:rsid w:val="003D67D9"/>
    <w:rsid w:val="003D6984"/>
    <w:rsid w:val="003E1786"/>
    <w:rsid w:val="003E3910"/>
    <w:rsid w:val="003E57EB"/>
    <w:rsid w:val="003E5A47"/>
    <w:rsid w:val="003E77CB"/>
    <w:rsid w:val="003F0BD7"/>
    <w:rsid w:val="003F2C9B"/>
    <w:rsid w:val="003F2CBC"/>
    <w:rsid w:val="003F4587"/>
    <w:rsid w:val="003F4A18"/>
    <w:rsid w:val="003F4B5C"/>
    <w:rsid w:val="003F522E"/>
    <w:rsid w:val="003F57AC"/>
    <w:rsid w:val="003F5CD1"/>
    <w:rsid w:val="003F62ED"/>
    <w:rsid w:val="003F6B69"/>
    <w:rsid w:val="004000C7"/>
    <w:rsid w:val="004002E3"/>
    <w:rsid w:val="004021F2"/>
    <w:rsid w:val="00402440"/>
    <w:rsid w:val="00402467"/>
    <w:rsid w:val="004036C8"/>
    <w:rsid w:val="004038AC"/>
    <w:rsid w:val="0040393C"/>
    <w:rsid w:val="00404E0E"/>
    <w:rsid w:val="00405101"/>
    <w:rsid w:val="00406064"/>
    <w:rsid w:val="00406CB3"/>
    <w:rsid w:val="00407928"/>
    <w:rsid w:val="0041022A"/>
    <w:rsid w:val="00410A53"/>
    <w:rsid w:val="00411525"/>
    <w:rsid w:val="00411784"/>
    <w:rsid w:val="004120CC"/>
    <w:rsid w:val="00412CD7"/>
    <w:rsid w:val="00415EBF"/>
    <w:rsid w:val="0041654D"/>
    <w:rsid w:val="00417E39"/>
    <w:rsid w:val="004215DE"/>
    <w:rsid w:val="00421953"/>
    <w:rsid w:val="00421D2A"/>
    <w:rsid w:val="004222EA"/>
    <w:rsid w:val="00422B3C"/>
    <w:rsid w:val="00423836"/>
    <w:rsid w:val="00424873"/>
    <w:rsid w:val="0042656E"/>
    <w:rsid w:val="004307BB"/>
    <w:rsid w:val="00430CA0"/>
    <w:rsid w:val="00431573"/>
    <w:rsid w:val="004342F2"/>
    <w:rsid w:val="00440C10"/>
    <w:rsid w:val="00440F42"/>
    <w:rsid w:val="00441FEA"/>
    <w:rsid w:val="0044204E"/>
    <w:rsid w:val="00443FAB"/>
    <w:rsid w:val="004447A3"/>
    <w:rsid w:val="0044521A"/>
    <w:rsid w:val="00445EBC"/>
    <w:rsid w:val="004468D2"/>
    <w:rsid w:val="004469E9"/>
    <w:rsid w:val="00447668"/>
    <w:rsid w:val="00451F2F"/>
    <w:rsid w:val="00452019"/>
    <w:rsid w:val="004525C1"/>
    <w:rsid w:val="004542CF"/>
    <w:rsid w:val="0045586D"/>
    <w:rsid w:val="00456392"/>
    <w:rsid w:val="00460342"/>
    <w:rsid w:val="0046119B"/>
    <w:rsid w:val="00462D77"/>
    <w:rsid w:val="00463D6B"/>
    <w:rsid w:val="00463ECE"/>
    <w:rsid w:val="00465859"/>
    <w:rsid w:val="00465DED"/>
    <w:rsid w:val="00466507"/>
    <w:rsid w:val="00466A2E"/>
    <w:rsid w:val="00466D4A"/>
    <w:rsid w:val="004672AC"/>
    <w:rsid w:val="0047192B"/>
    <w:rsid w:val="00472582"/>
    <w:rsid w:val="00472821"/>
    <w:rsid w:val="00472C64"/>
    <w:rsid w:val="00472C94"/>
    <w:rsid w:val="00473A5B"/>
    <w:rsid w:val="00474B9C"/>
    <w:rsid w:val="00475117"/>
    <w:rsid w:val="004755AC"/>
    <w:rsid w:val="0047772F"/>
    <w:rsid w:val="00477AF0"/>
    <w:rsid w:val="00477C65"/>
    <w:rsid w:val="0048225A"/>
    <w:rsid w:val="00482459"/>
    <w:rsid w:val="004826F3"/>
    <w:rsid w:val="0048327F"/>
    <w:rsid w:val="00483404"/>
    <w:rsid w:val="00483810"/>
    <w:rsid w:val="004838CC"/>
    <w:rsid w:val="00484A33"/>
    <w:rsid w:val="00484BD2"/>
    <w:rsid w:val="00485241"/>
    <w:rsid w:val="00486296"/>
    <w:rsid w:val="00486B19"/>
    <w:rsid w:val="004874BF"/>
    <w:rsid w:val="0048773B"/>
    <w:rsid w:val="00490356"/>
    <w:rsid w:val="00490668"/>
    <w:rsid w:val="00492B80"/>
    <w:rsid w:val="00493AF8"/>
    <w:rsid w:val="00493D32"/>
    <w:rsid w:val="00493ED5"/>
    <w:rsid w:val="004946AE"/>
    <w:rsid w:val="00494FA2"/>
    <w:rsid w:val="00495A6C"/>
    <w:rsid w:val="004965E4"/>
    <w:rsid w:val="004A1E73"/>
    <w:rsid w:val="004A2756"/>
    <w:rsid w:val="004A319E"/>
    <w:rsid w:val="004A4624"/>
    <w:rsid w:val="004A470C"/>
    <w:rsid w:val="004A4D93"/>
    <w:rsid w:val="004A6DD8"/>
    <w:rsid w:val="004A7294"/>
    <w:rsid w:val="004B0560"/>
    <w:rsid w:val="004B1C47"/>
    <w:rsid w:val="004B2551"/>
    <w:rsid w:val="004B3FE1"/>
    <w:rsid w:val="004B44B6"/>
    <w:rsid w:val="004B620A"/>
    <w:rsid w:val="004B65CE"/>
    <w:rsid w:val="004B788A"/>
    <w:rsid w:val="004B7D09"/>
    <w:rsid w:val="004B7ECF"/>
    <w:rsid w:val="004C04DF"/>
    <w:rsid w:val="004C0961"/>
    <w:rsid w:val="004C26B7"/>
    <w:rsid w:val="004C3D28"/>
    <w:rsid w:val="004C4402"/>
    <w:rsid w:val="004D258F"/>
    <w:rsid w:val="004D3408"/>
    <w:rsid w:val="004D3E33"/>
    <w:rsid w:val="004D4970"/>
    <w:rsid w:val="004D6831"/>
    <w:rsid w:val="004D6952"/>
    <w:rsid w:val="004D6D38"/>
    <w:rsid w:val="004E0249"/>
    <w:rsid w:val="004E0B0C"/>
    <w:rsid w:val="004E25C7"/>
    <w:rsid w:val="004E355D"/>
    <w:rsid w:val="004E5CC0"/>
    <w:rsid w:val="004E6751"/>
    <w:rsid w:val="004F022A"/>
    <w:rsid w:val="004F03EA"/>
    <w:rsid w:val="004F112E"/>
    <w:rsid w:val="004F2688"/>
    <w:rsid w:val="004F2EFF"/>
    <w:rsid w:val="004F479A"/>
    <w:rsid w:val="004F4D5F"/>
    <w:rsid w:val="004F5816"/>
    <w:rsid w:val="004F7FAF"/>
    <w:rsid w:val="00500B7F"/>
    <w:rsid w:val="00500E46"/>
    <w:rsid w:val="0050182F"/>
    <w:rsid w:val="0050290E"/>
    <w:rsid w:val="005035ED"/>
    <w:rsid w:val="00503857"/>
    <w:rsid w:val="00503858"/>
    <w:rsid w:val="005039E6"/>
    <w:rsid w:val="005049E3"/>
    <w:rsid w:val="005064BB"/>
    <w:rsid w:val="00506900"/>
    <w:rsid w:val="005079F4"/>
    <w:rsid w:val="005103BB"/>
    <w:rsid w:val="00510C76"/>
    <w:rsid w:val="00511857"/>
    <w:rsid w:val="0051254F"/>
    <w:rsid w:val="00512E95"/>
    <w:rsid w:val="00513D9F"/>
    <w:rsid w:val="0051444B"/>
    <w:rsid w:val="005144E8"/>
    <w:rsid w:val="005148FE"/>
    <w:rsid w:val="005154BB"/>
    <w:rsid w:val="00515ABC"/>
    <w:rsid w:val="00515EFB"/>
    <w:rsid w:val="00516058"/>
    <w:rsid w:val="00516C49"/>
    <w:rsid w:val="0052285D"/>
    <w:rsid w:val="00522B18"/>
    <w:rsid w:val="00523649"/>
    <w:rsid w:val="00523792"/>
    <w:rsid w:val="00524011"/>
    <w:rsid w:val="0052471B"/>
    <w:rsid w:val="00524801"/>
    <w:rsid w:val="00525062"/>
    <w:rsid w:val="005259A8"/>
    <w:rsid w:val="00525CE7"/>
    <w:rsid w:val="005268BD"/>
    <w:rsid w:val="00526CDF"/>
    <w:rsid w:val="00527100"/>
    <w:rsid w:val="00527361"/>
    <w:rsid w:val="0053092D"/>
    <w:rsid w:val="00530B2B"/>
    <w:rsid w:val="005319F6"/>
    <w:rsid w:val="00532892"/>
    <w:rsid w:val="00534EE1"/>
    <w:rsid w:val="00535243"/>
    <w:rsid w:val="00536658"/>
    <w:rsid w:val="00536D1A"/>
    <w:rsid w:val="005404F6"/>
    <w:rsid w:val="00540A91"/>
    <w:rsid w:val="0054192C"/>
    <w:rsid w:val="00542C99"/>
    <w:rsid w:val="005440F2"/>
    <w:rsid w:val="0054454F"/>
    <w:rsid w:val="00546351"/>
    <w:rsid w:val="0054685C"/>
    <w:rsid w:val="005472B0"/>
    <w:rsid w:val="00547C79"/>
    <w:rsid w:val="00550D48"/>
    <w:rsid w:val="00551044"/>
    <w:rsid w:val="00551671"/>
    <w:rsid w:val="00551A3A"/>
    <w:rsid w:val="00552293"/>
    <w:rsid w:val="00552302"/>
    <w:rsid w:val="00552815"/>
    <w:rsid w:val="00552ADF"/>
    <w:rsid w:val="00553D7C"/>
    <w:rsid w:val="0055477F"/>
    <w:rsid w:val="00554B96"/>
    <w:rsid w:val="00554C1C"/>
    <w:rsid w:val="00555548"/>
    <w:rsid w:val="00555901"/>
    <w:rsid w:val="00556529"/>
    <w:rsid w:val="005568EA"/>
    <w:rsid w:val="00560477"/>
    <w:rsid w:val="00560F26"/>
    <w:rsid w:val="005620CE"/>
    <w:rsid w:val="00563139"/>
    <w:rsid w:val="00563EDB"/>
    <w:rsid w:val="00564375"/>
    <w:rsid w:val="00564F97"/>
    <w:rsid w:val="005651FC"/>
    <w:rsid w:val="00565C64"/>
    <w:rsid w:val="005661DD"/>
    <w:rsid w:val="00566574"/>
    <w:rsid w:val="00566A3F"/>
    <w:rsid w:val="0057062D"/>
    <w:rsid w:val="00570ADC"/>
    <w:rsid w:val="00571600"/>
    <w:rsid w:val="005717F8"/>
    <w:rsid w:val="00572416"/>
    <w:rsid w:val="00572D85"/>
    <w:rsid w:val="00573A8D"/>
    <w:rsid w:val="005747BC"/>
    <w:rsid w:val="00574DD2"/>
    <w:rsid w:val="00581C5D"/>
    <w:rsid w:val="00582494"/>
    <w:rsid w:val="0058299A"/>
    <w:rsid w:val="00584E97"/>
    <w:rsid w:val="00585078"/>
    <w:rsid w:val="00585265"/>
    <w:rsid w:val="00585830"/>
    <w:rsid w:val="00585E8E"/>
    <w:rsid w:val="00586633"/>
    <w:rsid w:val="00586CAB"/>
    <w:rsid w:val="00587384"/>
    <w:rsid w:val="0058781C"/>
    <w:rsid w:val="005879E6"/>
    <w:rsid w:val="005904A8"/>
    <w:rsid w:val="0059077A"/>
    <w:rsid w:val="00591347"/>
    <w:rsid w:val="00592078"/>
    <w:rsid w:val="0059239A"/>
    <w:rsid w:val="005932B8"/>
    <w:rsid w:val="00594FDD"/>
    <w:rsid w:val="00595549"/>
    <w:rsid w:val="005A1FF8"/>
    <w:rsid w:val="005A414F"/>
    <w:rsid w:val="005A4459"/>
    <w:rsid w:val="005A4B84"/>
    <w:rsid w:val="005A51E8"/>
    <w:rsid w:val="005A5784"/>
    <w:rsid w:val="005A6424"/>
    <w:rsid w:val="005A6670"/>
    <w:rsid w:val="005B02CC"/>
    <w:rsid w:val="005B1490"/>
    <w:rsid w:val="005B1B11"/>
    <w:rsid w:val="005B2B5E"/>
    <w:rsid w:val="005B596D"/>
    <w:rsid w:val="005B686D"/>
    <w:rsid w:val="005B69BA"/>
    <w:rsid w:val="005B6C07"/>
    <w:rsid w:val="005B723E"/>
    <w:rsid w:val="005B7626"/>
    <w:rsid w:val="005C045B"/>
    <w:rsid w:val="005C0A96"/>
    <w:rsid w:val="005C10E2"/>
    <w:rsid w:val="005C1272"/>
    <w:rsid w:val="005C12F4"/>
    <w:rsid w:val="005C2089"/>
    <w:rsid w:val="005C2CE9"/>
    <w:rsid w:val="005C589F"/>
    <w:rsid w:val="005C79D8"/>
    <w:rsid w:val="005D0E9B"/>
    <w:rsid w:val="005D1441"/>
    <w:rsid w:val="005D293C"/>
    <w:rsid w:val="005D2E55"/>
    <w:rsid w:val="005D3B3E"/>
    <w:rsid w:val="005D3EA3"/>
    <w:rsid w:val="005D4195"/>
    <w:rsid w:val="005D421F"/>
    <w:rsid w:val="005D4A2E"/>
    <w:rsid w:val="005D4A81"/>
    <w:rsid w:val="005D516F"/>
    <w:rsid w:val="005D56DF"/>
    <w:rsid w:val="005D5982"/>
    <w:rsid w:val="005D650F"/>
    <w:rsid w:val="005D65CC"/>
    <w:rsid w:val="005D684C"/>
    <w:rsid w:val="005E0453"/>
    <w:rsid w:val="005E0A8E"/>
    <w:rsid w:val="005E1189"/>
    <w:rsid w:val="005E260E"/>
    <w:rsid w:val="005E348A"/>
    <w:rsid w:val="005E4F93"/>
    <w:rsid w:val="005E545F"/>
    <w:rsid w:val="005E60A0"/>
    <w:rsid w:val="005E63D3"/>
    <w:rsid w:val="005E7223"/>
    <w:rsid w:val="005E75B7"/>
    <w:rsid w:val="005F1A27"/>
    <w:rsid w:val="005F1CAB"/>
    <w:rsid w:val="005F2086"/>
    <w:rsid w:val="005F2B3A"/>
    <w:rsid w:val="005F2EFE"/>
    <w:rsid w:val="005F70A9"/>
    <w:rsid w:val="005F7797"/>
    <w:rsid w:val="005F7C65"/>
    <w:rsid w:val="00600442"/>
    <w:rsid w:val="00600A92"/>
    <w:rsid w:val="006025A2"/>
    <w:rsid w:val="00602A59"/>
    <w:rsid w:val="00603209"/>
    <w:rsid w:val="006034E9"/>
    <w:rsid w:val="00603892"/>
    <w:rsid w:val="0060463C"/>
    <w:rsid w:val="00604A05"/>
    <w:rsid w:val="006051D2"/>
    <w:rsid w:val="0060555B"/>
    <w:rsid w:val="00605D93"/>
    <w:rsid w:val="00607903"/>
    <w:rsid w:val="0061047F"/>
    <w:rsid w:val="00610CA0"/>
    <w:rsid w:val="00611101"/>
    <w:rsid w:val="00612365"/>
    <w:rsid w:val="006134BD"/>
    <w:rsid w:val="0061426F"/>
    <w:rsid w:val="00614C84"/>
    <w:rsid w:val="00615462"/>
    <w:rsid w:val="006161EC"/>
    <w:rsid w:val="00616F63"/>
    <w:rsid w:val="006178E9"/>
    <w:rsid w:val="006201B1"/>
    <w:rsid w:val="006203D2"/>
    <w:rsid w:val="006208EA"/>
    <w:rsid w:val="0062095F"/>
    <w:rsid w:val="00620C6C"/>
    <w:rsid w:val="00622ABD"/>
    <w:rsid w:val="0062317F"/>
    <w:rsid w:val="0062443A"/>
    <w:rsid w:val="00624E2F"/>
    <w:rsid w:val="00626648"/>
    <w:rsid w:val="00627794"/>
    <w:rsid w:val="006301B0"/>
    <w:rsid w:val="00633880"/>
    <w:rsid w:val="00636EEA"/>
    <w:rsid w:val="006377F7"/>
    <w:rsid w:val="0064202D"/>
    <w:rsid w:val="0064215C"/>
    <w:rsid w:val="00642F82"/>
    <w:rsid w:val="00643525"/>
    <w:rsid w:val="0064381D"/>
    <w:rsid w:val="00643EC0"/>
    <w:rsid w:val="00645894"/>
    <w:rsid w:val="00645DCB"/>
    <w:rsid w:val="0064779D"/>
    <w:rsid w:val="00647DD4"/>
    <w:rsid w:val="006509DD"/>
    <w:rsid w:val="00650BE0"/>
    <w:rsid w:val="0065367D"/>
    <w:rsid w:val="00653C26"/>
    <w:rsid w:val="00655CFC"/>
    <w:rsid w:val="00655DE6"/>
    <w:rsid w:val="00656ECD"/>
    <w:rsid w:val="00657059"/>
    <w:rsid w:val="00660ECF"/>
    <w:rsid w:val="00662230"/>
    <w:rsid w:val="006646FD"/>
    <w:rsid w:val="0066629B"/>
    <w:rsid w:val="00667901"/>
    <w:rsid w:val="006709EB"/>
    <w:rsid w:val="00671085"/>
    <w:rsid w:val="00675146"/>
    <w:rsid w:val="006752C4"/>
    <w:rsid w:val="0067535D"/>
    <w:rsid w:val="00676456"/>
    <w:rsid w:val="00676D52"/>
    <w:rsid w:val="00677E0C"/>
    <w:rsid w:val="006808E5"/>
    <w:rsid w:val="00680926"/>
    <w:rsid w:val="00681379"/>
    <w:rsid w:val="006813DE"/>
    <w:rsid w:val="006819AA"/>
    <w:rsid w:val="00684772"/>
    <w:rsid w:val="0068486A"/>
    <w:rsid w:val="00684C00"/>
    <w:rsid w:val="00684C94"/>
    <w:rsid w:val="00684E37"/>
    <w:rsid w:val="0068535A"/>
    <w:rsid w:val="00685BE2"/>
    <w:rsid w:val="00685C43"/>
    <w:rsid w:val="00686789"/>
    <w:rsid w:val="006870CA"/>
    <w:rsid w:val="00690DD2"/>
    <w:rsid w:val="00695241"/>
    <w:rsid w:val="006955D4"/>
    <w:rsid w:val="006967EA"/>
    <w:rsid w:val="0069683E"/>
    <w:rsid w:val="0069730B"/>
    <w:rsid w:val="006A0DB3"/>
    <w:rsid w:val="006A1FA9"/>
    <w:rsid w:val="006A214B"/>
    <w:rsid w:val="006A2533"/>
    <w:rsid w:val="006A3091"/>
    <w:rsid w:val="006A3E89"/>
    <w:rsid w:val="006A42BB"/>
    <w:rsid w:val="006A44FB"/>
    <w:rsid w:val="006A4CA0"/>
    <w:rsid w:val="006A5C1B"/>
    <w:rsid w:val="006A631F"/>
    <w:rsid w:val="006A6A24"/>
    <w:rsid w:val="006A6F79"/>
    <w:rsid w:val="006A7AA8"/>
    <w:rsid w:val="006A7D2D"/>
    <w:rsid w:val="006A7F75"/>
    <w:rsid w:val="006B1F3B"/>
    <w:rsid w:val="006B2A84"/>
    <w:rsid w:val="006B4110"/>
    <w:rsid w:val="006B41B6"/>
    <w:rsid w:val="006B455A"/>
    <w:rsid w:val="006B4799"/>
    <w:rsid w:val="006B524C"/>
    <w:rsid w:val="006B52F7"/>
    <w:rsid w:val="006B7990"/>
    <w:rsid w:val="006B7EE2"/>
    <w:rsid w:val="006C00AA"/>
    <w:rsid w:val="006C0A3E"/>
    <w:rsid w:val="006C0B1D"/>
    <w:rsid w:val="006C0CCE"/>
    <w:rsid w:val="006C0F63"/>
    <w:rsid w:val="006C11E1"/>
    <w:rsid w:val="006C2047"/>
    <w:rsid w:val="006C404F"/>
    <w:rsid w:val="006C429E"/>
    <w:rsid w:val="006C4BF2"/>
    <w:rsid w:val="006C5C23"/>
    <w:rsid w:val="006C5F0E"/>
    <w:rsid w:val="006C6DB9"/>
    <w:rsid w:val="006C6DE4"/>
    <w:rsid w:val="006C75C5"/>
    <w:rsid w:val="006D093E"/>
    <w:rsid w:val="006D0D7D"/>
    <w:rsid w:val="006D3B67"/>
    <w:rsid w:val="006D40E7"/>
    <w:rsid w:val="006D4C80"/>
    <w:rsid w:val="006D58F2"/>
    <w:rsid w:val="006D594B"/>
    <w:rsid w:val="006D5987"/>
    <w:rsid w:val="006D62D8"/>
    <w:rsid w:val="006D7455"/>
    <w:rsid w:val="006D7564"/>
    <w:rsid w:val="006D7A8F"/>
    <w:rsid w:val="006D7BC7"/>
    <w:rsid w:val="006E1AB4"/>
    <w:rsid w:val="006E1B04"/>
    <w:rsid w:val="006E1C10"/>
    <w:rsid w:val="006E1C45"/>
    <w:rsid w:val="006E1E76"/>
    <w:rsid w:val="006E2ABC"/>
    <w:rsid w:val="006E3086"/>
    <w:rsid w:val="006E34D2"/>
    <w:rsid w:val="006E3570"/>
    <w:rsid w:val="006E4B42"/>
    <w:rsid w:val="006E61EE"/>
    <w:rsid w:val="006E7E03"/>
    <w:rsid w:val="006F0103"/>
    <w:rsid w:val="006F01D7"/>
    <w:rsid w:val="006F05CD"/>
    <w:rsid w:val="006F181E"/>
    <w:rsid w:val="006F3497"/>
    <w:rsid w:val="006F45B5"/>
    <w:rsid w:val="006F50D3"/>
    <w:rsid w:val="006F6718"/>
    <w:rsid w:val="006F6DA6"/>
    <w:rsid w:val="00700CC6"/>
    <w:rsid w:val="00701129"/>
    <w:rsid w:val="00701958"/>
    <w:rsid w:val="00702080"/>
    <w:rsid w:val="00702A72"/>
    <w:rsid w:val="00703177"/>
    <w:rsid w:val="007035D9"/>
    <w:rsid w:val="0070384F"/>
    <w:rsid w:val="007038A7"/>
    <w:rsid w:val="00704AD3"/>
    <w:rsid w:val="00704F0A"/>
    <w:rsid w:val="00705833"/>
    <w:rsid w:val="00705F37"/>
    <w:rsid w:val="00706599"/>
    <w:rsid w:val="00707AA5"/>
    <w:rsid w:val="00707CF4"/>
    <w:rsid w:val="00707F7E"/>
    <w:rsid w:val="0071044F"/>
    <w:rsid w:val="00710AA5"/>
    <w:rsid w:val="00710EEE"/>
    <w:rsid w:val="00711B43"/>
    <w:rsid w:val="00712088"/>
    <w:rsid w:val="00712662"/>
    <w:rsid w:val="007129AF"/>
    <w:rsid w:val="0071355F"/>
    <w:rsid w:val="00714803"/>
    <w:rsid w:val="00715F21"/>
    <w:rsid w:val="00716268"/>
    <w:rsid w:val="00717094"/>
    <w:rsid w:val="00717797"/>
    <w:rsid w:val="00723961"/>
    <w:rsid w:val="00724288"/>
    <w:rsid w:val="0072631E"/>
    <w:rsid w:val="0072646C"/>
    <w:rsid w:val="00726E6E"/>
    <w:rsid w:val="00727FC3"/>
    <w:rsid w:val="007318E2"/>
    <w:rsid w:val="00732150"/>
    <w:rsid w:val="00732BDB"/>
    <w:rsid w:val="00734528"/>
    <w:rsid w:val="007345FB"/>
    <w:rsid w:val="0073604F"/>
    <w:rsid w:val="00736632"/>
    <w:rsid w:val="007368E4"/>
    <w:rsid w:val="007369D4"/>
    <w:rsid w:val="00736D23"/>
    <w:rsid w:val="00737B2B"/>
    <w:rsid w:val="007408D9"/>
    <w:rsid w:val="007413B9"/>
    <w:rsid w:val="007416EC"/>
    <w:rsid w:val="00741A8A"/>
    <w:rsid w:val="00741AA8"/>
    <w:rsid w:val="00742907"/>
    <w:rsid w:val="00745D15"/>
    <w:rsid w:val="00746C0D"/>
    <w:rsid w:val="00746E75"/>
    <w:rsid w:val="00747047"/>
    <w:rsid w:val="00750687"/>
    <w:rsid w:val="0075150C"/>
    <w:rsid w:val="007515DC"/>
    <w:rsid w:val="0075186F"/>
    <w:rsid w:val="00751CF7"/>
    <w:rsid w:val="00751FC0"/>
    <w:rsid w:val="007524C5"/>
    <w:rsid w:val="007528FD"/>
    <w:rsid w:val="007541BE"/>
    <w:rsid w:val="00754248"/>
    <w:rsid w:val="00754702"/>
    <w:rsid w:val="007554B8"/>
    <w:rsid w:val="00755AAA"/>
    <w:rsid w:val="007560AA"/>
    <w:rsid w:val="00756243"/>
    <w:rsid w:val="007569C1"/>
    <w:rsid w:val="00757D8F"/>
    <w:rsid w:val="00760342"/>
    <w:rsid w:val="00760E35"/>
    <w:rsid w:val="00761D63"/>
    <w:rsid w:val="00761FA1"/>
    <w:rsid w:val="007635A7"/>
    <w:rsid w:val="00763F19"/>
    <w:rsid w:val="007641B4"/>
    <w:rsid w:val="007643E3"/>
    <w:rsid w:val="00764D82"/>
    <w:rsid w:val="00765607"/>
    <w:rsid w:val="00765B10"/>
    <w:rsid w:val="00766513"/>
    <w:rsid w:val="0076714B"/>
    <w:rsid w:val="00767B13"/>
    <w:rsid w:val="007706E3"/>
    <w:rsid w:val="00771831"/>
    <w:rsid w:val="0077225A"/>
    <w:rsid w:val="00772490"/>
    <w:rsid w:val="00772889"/>
    <w:rsid w:val="00772928"/>
    <w:rsid w:val="007730A1"/>
    <w:rsid w:val="00774C52"/>
    <w:rsid w:val="007754E2"/>
    <w:rsid w:val="00780ABD"/>
    <w:rsid w:val="00780BD6"/>
    <w:rsid w:val="007812CF"/>
    <w:rsid w:val="007830C8"/>
    <w:rsid w:val="007848CA"/>
    <w:rsid w:val="00785090"/>
    <w:rsid w:val="007868C9"/>
    <w:rsid w:val="00787658"/>
    <w:rsid w:val="00790CEA"/>
    <w:rsid w:val="007927EF"/>
    <w:rsid w:val="00795200"/>
    <w:rsid w:val="00795465"/>
    <w:rsid w:val="0079596E"/>
    <w:rsid w:val="00795C11"/>
    <w:rsid w:val="007A0063"/>
    <w:rsid w:val="007A1416"/>
    <w:rsid w:val="007A1B4A"/>
    <w:rsid w:val="007A253F"/>
    <w:rsid w:val="007A3605"/>
    <w:rsid w:val="007A3636"/>
    <w:rsid w:val="007A4811"/>
    <w:rsid w:val="007A533F"/>
    <w:rsid w:val="007A679D"/>
    <w:rsid w:val="007A6E56"/>
    <w:rsid w:val="007B0B1D"/>
    <w:rsid w:val="007B0CD1"/>
    <w:rsid w:val="007B12D1"/>
    <w:rsid w:val="007B26B0"/>
    <w:rsid w:val="007B290B"/>
    <w:rsid w:val="007B590C"/>
    <w:rsid w:val="007B5C12"/>
    <w:rsid w:val="007B625C"/>
    <w:rsid w:val="007B7742"/>
    <w:rsid w:val="007C215C"/>
    <w:rsid w:val="007C3432"/>
    <w:rsid w:val="007C413F"/>
    <w:rsid w:val="007C4722"/>
    <w:rsid w:val="007C5FA7"/>
    <w:rsid w:val="007D096D"/>
    <w:rsid w:val="007D1DC9"/>
    <w:rsid w:val="007D1FDF"/>
    <w:rsid w:val="007D2035"/>
    <w:rsid w:val="007D2688"/>
    <w:rsid w:val="007D2F8B"/>
    <w:rsid w:val="007D3E4A"/>
    <w:rsid w:val="007D4213"/>
    <w:rsid w:val="007D4511"/>
    <w:rsid w:val="007D64ED"/>
    <w:rsid w:val="007D663B"/>
    <w:rsid w:val="007D6FED"/>
    <w:rsid w:val="007D7B7C"/>
    <w:rsid w:val="007E0313"/>
    <w:rsid w:val="007E0B2C"/>
    <w:rsid w:val="007E2073"/>
    <w:rsid w:val="007E208A"/>
    <w:rsid w:val="007E27BC"/>
    <w:rsid w:val="007E3A19"/>
    <w:rsid w:val="007E3F62"/>
    <w:rsid w:val="007E4963"/>
    <w:rsid w:val="007E5DEB"/>
    <w:rsid w:val="007E5E0E"/>
    <w:rsid w:val="007E6039"/>
    <w:rsid w:val="007E66EF"/>
    <w:rsid w:val="007E7196"/>
    <w:rsid w:val="007E71F6"/>
    <w:rsid w:val="007F0267"/>
    <w:rsid w:val="007F055C"/>
    <w:rsid w:val="007F093E"/>
    <w:rsid w:val="007F0FC8"/>
    <w:rsid w:val="007F266D"/>
    <w:rsid w:val="007F4196"/>
    <w:rsid w:val="007F5DFE"/>
    <w:rsid w:val="007F6461"/>
    <w:rsid w:val="007F687A"/>
    <w:rsid w:val="007F741E"/>
    <w:rsid w:val="007F7606"/>
    <w:rsid w:val="007F7ABE"/>
    <w:rsid w:val="008000E1"/>
    <w:rsid w:val="00801017"/>
    <w:rsid w:val="00801600"/>
    <w:rsid w:val="00801ECE"/>
    <w:rsid w:val="0080281E"/>
    <w:rsid w:val="008032EB"/>
    <w:rsid w:val="008041F9"/>
    <w:rsid w:val="0080423A"/>
    <w:rsid w:val="00805339"/>
    <w:rsid w:val="0080591A"/>
    <w:rsid w:val="00807002"/>
    <w:rsid w:val="0081147E"/>
    <w:rsid w:val="008114E7"/>
    <w:rsid w:val="00811696"/>
    <w:rsid w:val="00811F9D"/>
    <w:rsid w:val="008123A8"/>
    <w:rsid w:val="00812641"/>
    <w:rsid w:val="008129D4"/>
    <w:rsid w:val="00812D47"/>
    <w:rsid w:val="00813D65"/>
    <w:rsid w:val="00814035"/>
    <w:rsid w:val="00814424"/>
    <w:rsid w:val="0081543A"/>
    <w:rsid w:val="008158C8"/>
    <w:rsid w:val="008159E8"/>
    <w:rsid w:val="00815C01"/>
    <w:rsid w:val="00816D79"/>
    <w:rsid w:val="008179D8"/>
    <w:rsid w:val="00820EAB"/>
    <w:rsid w:val="008217D0"/>
    <w:rsid w:val="008226D9"/>
    <w:rsid w:val="00823849"/>
    <w:rsid w:val="00824433"/>
    <w:rsid w:val="008253CB"/>
    <w:rsid w:val="008258F7"/>
    <w:rsid w:val="0082631C"/>
    <w:rsid w:val="00826B34"/>
    <w:rsid w:val="00826B7E"/>
    <w:rsid w:val="008270B8"/>
    <w:rsid w:val="008277BC"/>
    <w:rsid w:val="00827FD6"/>
    <w:rsid w:val="008301B7"/>
    <w:rsid w:val="008304E4"/>
    <w:rsid w:val="0083106F"/>
    <w:rsid w:val="008310D7"/>
    <w:rsid w:val="008313C5"/>
    <w:rsid w:val="00834E14"/>
    <w:rsid w:val="008357FA"/>
    <w:rsid w:val="008363CE"/>
    <w:rsid w:val="00837C3D"/>
    <w:rsid w:val="00837D0B"/>
    <w:rsid w:val="00837F21"/>
    <w:rsid w:val="00840020"/>
    <w:rsid w:val="0084143D"/>
    <w:rsid w:val="008423ED"/>
    <w:rsid w:val="0084297A"/>
    <w:rsid w:val="00842A27"/>
    <w:rsid w:val="00842F4A"/>
    <w:rsid w:val="0084307F"/>
    <w:rsid w:val="00843275"/>
    <w:rsid w:val="0084481A"/>
    <w:rsid w:val="0084498A"/>
    <w:rsid w:val="008454DD"/>
    <w:rsid w:val="008465D8"/>
    <w:rsid w:val="008467EE"/>
    <w:rsid w:val="00850F8E"/>
    <w:rsid w:val="0085146F"/>
    <w:rsid w:val="00852148"/>
    <w:rsid w:val="00852169"/>
    <w:rsid w:val="00853D60"/>
    <w:rsid w:val="00854163"/>
    <w:rsid w:val="0085452E"/>
    <w:rsid w:val="008549D4"/>
    <w:rsid w:val="008559EE"/>
    <w:rsid w:val="00856563"/>
    <w:rsid w:val="008573AD"/>
    <w:rsid w:val="0085782F"/>
    <w:rsid w:val="00857DFC"/>
    <w:rsid w:val="0086007D"/>
    <w:rsid w:val="008600A6"/>
    <w:rsid w:val="008612FF"/>
    <w:rsid w:val="008621A4"/>
    <w:rsid w:val="00863505"/>
    <w:rsid w:val="0086423D"/>
    <w:rsid w:val="008646C6"/>
    <w:rsid w:val="00864A03"/>
    <w:rsid w:val="00864D3D"/>
    <w:rsid w:val="00865CC8"/>
    <w:rsid w:val="00865F12"/>
    <w:rsid w:val="0086621D"/>
    <w:rsid w:val="00866789"/>
    <w:rsid w:val="00867237"/>
    <w:rsid w:val="0087119B"/>
    <w:rsid w:val="008714D6"/>
    <w:rsid w:val="0087161B"/>
    <w:rsid w:val="008718DF"/>
    <w:rsid w:val="00871CF4"/>
    <w:rsid w:val="00872187"/>
    <w:rsid w:val="008726FE"/>
    <w:rsid w:val="008735BB"/>
    <w:rsid w:val="008746C9"/>
    <w:rsid w:val="008746D0"/>
    <w:rsid w:val="00875DD3"/>
    <w:rsid w:val="00875E68"/>
    <w:rsid w:val="0087637D"/>
    <w:rsid w:val="0087638D"/>
    <w:rsid w:val="00876501"/>
    <w:rsid w:val="00876CAB"/>
    <w:rsid w:val="00877AE6"/>
    <w:rsid w:val="00880B03"/>
    <w:rsid w:val="008830B1"/>
    <w:rsid w:val="00883687"/>
    <w:rsid w:val="00883C80"/>
    <w:rsid w:val="00884B06"/>
    <w:rsid w:val="00885337"/>
    <w:rsid w:val="00890372"/>
    <w:rsid w:val="00890984"/>
    <w:rsid w:val="00890CF4"/>
    <w:rsid w:val="00890D12"/>
    <w:rsid w:val="0089103F"/>
    <w:rsid w:val="008924EA"/>
    <w:rsid w:val="00892A69"/>
    <w:rsid w:val="00893250"/>
    <w:rsid w:val="00893E93"/>
    <w:rsid w:val="00894512"/>
    <w:rsid w:val="008945DE"/>
    <w:rsid w:val="0089739A"/>
    <w:rsid w:val="008975FD"/>
    <w:rsid w:val="00897AED"/>
    <w:rsid w:val="008A20AA"/>
    <w:rsid w:val="008A2525"/>
    <w:rsid w:val="008A2955"/>
    <w:rsid w:val="008A2BAB"/>
    <w:rsid w:val="008A31E5"/>
    <w:rsid w:val="008A44AF"/>
    <w:rsid w:val="008A4C43"/>
    <w:rsid w:val="008A65E9"/>
    <w:rsid w:val="008A7FD9"/>
    <w:rsid w:val="008B0656"/>
    <w:rsid w:val="008B1140"/>
    <w:rsid w:val="008B2D60"/>
    <w:rsid w:val="008B481F"/>
    <w:rsid w:val="008B5731"/>
    <w:rsid w:val="008B5B22"/>
    <w:rsid w:val="008B5B7C"/>
    <w:rsid w:val="008B6F03"/>
    <w:rsid w:val="008B6F39"/>
    <w:rsid w:val="008B71D6"/>
    <w:rsid w:val="008B7757"/>
    <w:rsid w:val="008C02C9"/>
    <w:rsid w:val="008C0AB9"/>
    <w:rsid w:val="008C0AD6"/>
    <w:rsid w:val="008C33C4"/>
    <w:rsid w:val="008C33D2"/>
    <w:rsid w:val="008C3B4E"/>
    <w:rsid w:val="008C3C82"/>
    <w:rsid w:val="008C421B"/>
    <w:rsid w:val="008C4A79"/>
    <w:rsid w:val="008C4FCE"/>
    <w:rsid w:val="008C5016"/>
    <w:rsid w:val="008C5C12"/>
    <w:rsid w:val="008D0AF7"/>
    <w:rsid w:val="008D0C1A"/>
    <w:rsid w:val="008D153D"/>
    <w:rsid w:val="008D31F3"/>
    <w:rsid w:val="008D4145"/>
    <w:rsid w:val="008D427F"/>
    <w:rsid w:val="008D4F80"/>
    <w:rsid w:val="008D5BB6"/>
    <w:rsid w:val="008D7C32"/>
    <w:rsid w:val="008E04BA"/>
    <w:rsid w:val="008E0929"/>
    <w:rsid w:val="008E0EB1"/>
    <w:rsid w:val="008E21CA"/>
    <w:rsid w:val="008E2D3D"/>
    <w:rsid w:val="008E35C5"/>
    <w:rsid w:val="008E4622"/>
    <w:rsid w:val="008E46C5"/>
    <w:rsid w:val="008E4AC7"/>
    <w:rsid w:val="008E4C34"/>
    <w:rsid w:val="008E55EA"/>
    <w:rsid w:val="008E766E"/>
    <w:rsid w:val="008E79B2"/>
    <w:rsid w:val="008E7DBB"/>
    <w:rsid w:val="008F062F"/>
    <w:rsid w:val="008F0EF5"/>
    <w:rsid w:val="008F19E3"/>
    <w:rsid w:val="008F266C"/>
    <w:rsid w:val="008F2C34"/>
    <w:rsid w:val="008F2DCF"/>
    <w:rsid w:val="008F3473"/>
    <w:rsid w:val="008F3D7F"/>
    <w:rsid w:val="008F46CF"/>
    <w:rsid w:val="008F4C00"/>
    <w:rsid w:val="008F557A"/>
    <w:rsid w:val="009005E8"/>
    <w:rsid w:val="0090210B"/>
    <w:rsid w:val="00902492"/>
    <w:rsid w:val="00904072"/>
    <w:rsid w:val="00904660"/>
    <w:rsid w:val="00904ED2"/>
    <w:rsid w:val="00904F71"/>
    <w:rsid w:val="00905D33"/>
    <w:rsid w:val="00906B5F"/>
    <w:rsid w:val="009079C0"/>
    <w:rsid w:val="0091009F"/>
    <w:rsid w:val="009100D5"/>
    <w:rsid w:val="00910698"/>
    <w:rsid w:val="00910E72"/>
    <w:rsid w:val="00911023"/>
    <w:rsid w:val="00911B4D"/>
    <w:rsid w:val="00912318"/>
    <w:rsid w:val="00912FF3"/>
    <w:rsid w:val="00913BA9"/>
    <w:rsid w:val="009162DE"/>
    <w:rsid w:val="009164EE"/>
    <w:rsid w:val="0091754D"/>
    <w:rsid w:val="00917614"/>
    <w:rsid w:val="0092007A"/>
    <w:rsid w:val="00920ECD"/>
    <w:rsid w:val="00925762"/>
    <w:rsid w:val="00925842"/>
    <w:rsid w:val="009261FB"/>
    <w:rsid w:val="00927606"/>
    <w:rsid w:val="00927DFD"/>
    <w:rsid w:val="00931184"/>
    <w:rsid w:val="00932658"/>
    <w:rsid w:val="009329C8"/>
    <w:rsid w:val="00932EAD"/>
    <w:rsid w:val="0093429F"/>
    <w:rsid w:val="009351BC"/>
    <w:rsid w:val="00936ECD"/>
    <w:rsid w:val="00937048"/>
    <w:rsid w:val="00937430"/>
    <w:rsid w:val="00940B7C"/>
    <w:rsid w:val="00940EAC"/>
    <w:rsid w:val="00940F08"/>
    <w:rsid w:val="0094157A"/>
    <w:rsid w:val="00941B17"/>
    <w:rsid w:val="00942968"/>
    <w:rsid w:val="009429C0"/>
    <w:rsid w:val="00942F72"/>
    <w:rsid w:val="009442B5"/>
    <w:rsid w:val="009446EF"/>
    <w:rsid w:val="00945405"/>
    <w:rsid w:val="0094591E"/>
    <w:rsid w:val="00945BE8"/>
    <w:rsid w:val="00946246"/>
    <w:rsid w:val="009470F5"/>
    <w:rsid w:val="009473B6"/>
    <w:rsid w:val="0095042A"/>
    <w:rsid w:val="00950A4F"/>
    <w:rsid w:val="00953E10"/>
    <w:rsid w:val="00954ADD"/>
    <w:rsid w:val="00954D34"/>
    <w:rsid w:val="00954E1D"/>
    <w:rsid w:val="0095591F"/>
    <w:rsid w:val="0095599E"/>
    <w:rsid w:val="0095758D"/>
    <w:rsid w:val="009575D6"/>
    <w:rsid w:val="00960A1F"/>
    <w:rsid w:val="00962410"/>
    <w:rsid w:val="0096241A"/>
    <w:rsid w:val="00962B2B"/>
    <w:rsid w:val="00962BA7"/>
    <w:rsid w:val="00963290"/>
    <w:rsid w:val="009635ED"/>
    <w:rsid w:val="0096373B"/>
    <w:rsid w:val="009642D8"/>
    <w:rsid w:val="0096459E"/>
    <w:rsid w:val="00965096"/>
    <w:rsid w:val="0096536C"/>
    <w:rsid w:val="0096634D"/>
    <w:rsid w:val="00966709"/>
    <w:rsid w:val="009669A4"/>
    <w:rsid w:val="0097009C"/>
    <w:rsid w:val="00970403"/>
    <w:rsid w:val="00973D07"/>
    <w:rsid w:val="00974BF4"/>
    <w:rsid w:val="00974F74"/>
    <w:rsid w:val="00975990"/>
    <w:rsid w:val="00975AFC"/>
    <w:rsid w:val="00976BE0"/>
    <w:rsid w:val="00976C28"/>
    <w:rsid w:val="00980965"/>
    <w:rsid w:val="00982468"/>
    <w:rsid w:val="0098665A"/>
    <w:rsid w:val="00987239"/>
    <w:rsid w:val="0098794C"/>
    <w:rsid w:val="00987CB0"/>
    <w:rsid w:val="00990AAA"/>
    <w:rsid w:val="009919C6"/>
    <w:rsid w:val="00991F97"/>
    <w:rsid w:val="00992386"/>
    <w:rsid w:val="009925C3"/>
    <w:rsid w:val="00992B42"/>
    <w:rsid w:val="00993F3F"/>
    <w:rsid w:val="00994BCA"/>
    <w:rsid w:val="00995240"/>
    <w:rsid w:val="0099543A"/>
    <w:rsid w:val="0099696F"/>
    <w:rsid w:val="00996E80"/>
    <w:rsid w:val="009970BA"/>
    <w:rsid w:val="009A2027"/>
    <w:rsid w:val="009A2152"/>
    <w:rsid w:val="009A2D80"/>
    <w:rsid w:val="009A32B3"/>
    <w:rsid w:val="009A3424"/>
    <w:rsid w:val="009A395D"/>
    <w:rsid w:val="009A527A"/>
    <w:rsid w:val="009A5797"/>
    <w:rsid w:val="009A60EE"/>
    <w:rsid w:val="009A78D7"/>
    <w:rsid w:val="009B12AD"/>
    <w:rsid w:val="009B191F"/>
    <w:rsid w:val="009B1F01"/>
    <w:rsid w:val="009B36F8"/>
    <w:rsid w:val="009B4B2A"/>
    <w:rsid w:val="009B6829"/>
    <w:rsid w:val="009B6AC4"/>
    <w:rsid w:val="009B73EC"/>
    <w:rsid w:val="009C36FA"/>
    <w:rsid w:val="009C5A79"/>
    <w:rsid w:val="009C6734"/>
    <w:rsid w:val="009C70A1"/>
    <w:rsid w:val="009C70B7"/>
    <w:rsid w:val="009C79C3"/>
    <w:rsid w:val="009C7DDE"/>
    <w:rsid w:val="009D095F"/>
    <w:rsid w:val="009D132E"/>
    <w:rsid w:val="009D38FE"/>
    <w:rsid w:val="009D401D"/>
    <w:rsid w:val="009D4A76"/>
    <w:rsid w:val="009D69E1"/>
    <w:rsid w:val="009D78AB"/>
    <w:rsid w:val="009E07F8"/>
    <w:rsid w:val="009E09B0"/>
    <w:rsid w:val="009E0C21"/>
    <w:rsid w:val="009E0F72"/>
    <w:rsid w:val="009E12CA"/>
    <w:rsid w:val="009E205A"/>
    <w:rsid w:val="009E2301"/>
    <w:rsid w:val="009E2495"/>
    <w:rsid w:val="009E271C"/>
    <w:rsid w:val="009E344F"/>
    <w:rsid w:val="009E3624"/>
    <w:rsid w:val="009E43B0"/>
    <w:rsid w:val="009E5098"/>
    <w:rsid w:val="009E5962"/>
    <w:rsid w:val="009E5FBB"/>
    <w:rsid w:val="009E677A"/>
    <w:rsid w:val="009E71F6"/>
    <w:rsid w:val="009E7F28"/>
    <w:rsid w:val="009F2208"/>
    <w:rsid w:val="009F32C7"/>
    <w:rsid w:val="009F381C"/>
    <w:rsid w:val="009F4BBF"/>
    <w:rsid w:val="009F5292"/>
    <w:rsid w:val="009F6CEA"/>
    <w:rsid w:val="009F6E35"/>
    <w:rsid w:val="009F77B8"/>
    <w:rsid w:val="00A02CCB"/>
    <w:rsid w:val="00A066A9"/>
    <w:rsid w:val="00A06C86"/>
    <w:rsid w:val="00A06D43"/>
    <w:rsid w:val="00A07253"/>
    <w:rsid w:val="00A074B2"/>
    <w:rsid w:val="00A07AD1"/>
    <w:rsid w:val="00A07F3E"/>
    <w:rsid w:val="00A10231"/>
    <w:rsid w:val="00A11C85"/>
    <w:rsid w:val="00A11D2D"/>
    <w:rsid w:val="00A129DB"/>
    <w:rsid w:val="00A13213"/>
    <w:rsid w:val="00A145D2"/>
    <w:rsid w:val="00A16455"/>
    <w:rsid w:val="00A17254"/>
    <w:rsid w:val="00A179E6"/>
    <w:rsid w:val="00A17CE4"/>
    <w:rsid w:val="00A20803"/>
    <w:rsid w:val="00A20F23"/>
    <w:rsid w:val="00A222C4"/>
    <w:rsid w:val="00A22E31"/>
    <w:rsid w:val="00A23C4B"/>
    <w:rsid w:val="00A25196"/>
    <w:rsid w:val="00A27196"/>
    <w:rsid w:val="00A27DD7"/>
    <w:rsid w:val="00A303BA"/>
    <w:rsid w:val="00A30B41"/>
    <w:rsid w:val="00A3175C"/>
    <w:rsid w:val="00A322A7"/>
    <w:rsid w:val="00A324BB"/>
    <w:rsid w:val="00A33337"/>
    <w:rsid w:val="00A338EE"/>
    <w:rsid w:val="00A33B4F"/>
    <w:rsid w:val="00A3478A"/>
    <w:rsid w:val="00A3483F"/>
    <w:rsid w:val="00A349F7"/>
    <w:rsid w:val="00A406B6"/>
    <w:rsid w:val="00A40FF5"/>
    <w:rsid w:val="00A41659"/>
    <w:rsid w:val="00A434FC"/>
    <w:rsid w:val="00A4587A"/>
    <w:rsid w:val="00A45E09"/>
    <w:rsid w:val="00A47959"/>
    <w:rsid w:val="00A47CCB"/>
    <w:rsid w:val="00A5127C"/>
    <w:rsid w:val="00A542F7"/>
    <w:rsid w:val="00A548F2"/>
    <w:rsid w:val="00A54E4A"/>
    <w:rsid w:val="00A550DE"/>
    <w:rsid w:val="00A55B4C"/>
    <w:rsid w:val="00A55C4E"/>
    <w:rsid w:val="00A563C3"/>
    <w:rsid w:val="00A57330"/>
    <w:rsid w:val="00A6004D"/>
    <w:rsid w:val="00A60ED2"/>
    <w:rsid w:val="00A6118D"/>
    <w:rsid w:val="00A615D0"/>
    <w:rsid w:val="00A61FB6"/>
    <w:rsid w:val="00A6221F"/>
    <w:rsid w:val="00A640CF"/>
    <w:rsid w:val="00A641B5"/>
    <w:rsid w:val="00A64BD8"/>
    <w:rsid w:val="00A70AAD"/>
    <w:rsid w:val="00A70B3F"/>
    <w:rsid w:val="00A722BB"/>
    <w:rsid w:val="00A72465"/>
    <w:rsid w:val="00A7256D"/>
    <w:rsid w:val="00A737A8"/>
    <w:rsid w:val="00A7394F"/>
    <w:rsid w:val="00A73C6D"/>
    <w:rsid w:val="00A76696"/>
    <w:rsid w:val="00A766D1"/>
    <w:rsid w:val="00A8110B"/>
    <w:rsid w:val="00A8206B"/>
    <w:rsid w:val="00A8346E"/>
    <w:rsid w:val="00A83598"/>
    <w:rsid w:val="00A83C56"/>
    <w:rsid w:val="00A8517B"/>
    <w:rsid w:val="00A86BA4"/>
    <w:rsid w:val="00A870B3"/>
    <w:rsid w:val="00A875EB"/>
    <w:rsid w:val="00A87ED4"/>
    <w:rsid w:val="00A9030B"/>
    <w:rsid w:val="00A9144B"/>
    <w:rsid w:val="00A91AC3"/>
    <w:rsid w:val="00A9254D"/>
    <w:rsid w:val="00A92AA8"/>
    <w:rsid w:val="00A93DA9"/>
    <w:rsid w:val="00A945B7"/>
    <w:rsid w:val="00A956DC"/>
    <w:rsid w:val="00AA1F96"/>
    <w:rsid w:val="00AA20FC"/>
    <w:rsid w:val="00AA281D"/>
    <w:rsid w:val="00AA2B48"/>
    <w:rsid w:val="00AA2DFA"/>
    <w:rsid w:val="00AA307A"/>
    <w:rsid w:val="00AA499E"/>
    <w:rsid w:val="00AA5FCC"/>
    <w:rsid w:val="00AA6271"/>
    <w:rsid w:val="00AA6DC2"/>
    <w:rsid w:val="00AB0C64"/>
    <w:rsid w:val="00AB2488"/>
    <w:rsid w:val="00AB276D"/>
    <w:rsid w:val="00AB2B44"/>
    <w:rsid w:val="00AB32D8"/>
    <w:rsid w:val="00AB37C4"/>
    <w:rsid w:val="00AB4A4F"/>
    <w:rsid w:val="00AB6251"/>
    <w:rsid w:val="00AC12F6"/>
    <w:rsid w:val="00AC2F4E"/>
    <w:rsid w:val="00AC3067"/>
    <w:rsid w:val="00AC38D2"/>
    <w:rsid w:val="00AC3B57"/>
    <w:rsid w:val="00AC45F3"/>
    <w:rsid w:val="00AC4C49"/>
    <w:rsid w:val="00AC4FE2"/>
    <w:rsid w:val="00AC5895"/>
    <w:rsid w:val="00AC5961"/>
    <w:rsid w:val="00AC6331"/>
    <w:rsid w:val="00AC6D3E"/>
    <w:rsid w:val="00AC7E93"/>
    <w:rsid w:val="00AC7EFE"/>
    <w:rsid w:val="00AD0621"/>
    <w:rsid w:val="00AD0B4C"/>
    <w:rsid w:val="00AD2152"/>
    <w:rsid w:val="00AD3FF1"/>
    <w:rsid w:val="00AD4900"/>
    <w:rsid w:val="00AD56F3"/>
    <w:rsid w:val="00AD5EFB"/>
    <w:rsid w:val="00AD7440"/>
    <w:rsid w:val="00AE0F21"/>
    <w:rsid w:val="00AE1E01"/>
    <w:rsid w:val="00AE214F"/>
    <w:rsid w:val="00AE22C4"/>
    <w:rsid w:val="00AE28AC"/>
    <w:rsid w:val="00AE3C45"/>
    <w:rsid w:val="00AE4A42"/>
    <w:rsid w:val="00AE5E0C"/>
    <w:rsid w:val="00AF06A7"/>
    <w:rsid w:val="00AF1092"/>
    <w:rsid w:val="00AF1490"/>
    <w:rsid w:val="00AF17F8"/>
    <w:rsid w:val="00AF1C65"/>
    <w:rsid w:val="00AF27E9"/>
    <w:rsid w:val="00AF331C"/>
    <w:rsid w:val="00AF3551"/>
    <w:rsid w:val="00AF39C0"/>
    <w:rsid w:val="00AF3A19"/>
    <w:rsid w:val="00AF3EF6"/>
    <w:rsid w:val="00AF3F55"/>
    <w:rsid w:val="00AF4391"/>
    <w:rsid w:val="00AF503E"/>
    <w:rsid w:val="00AF55A0"/>
    <w:rsid w:val="00AF716C"/>
    <w:rsid w:val="00AF7A73"/>
    <w:rsid w:val="00AF7B7D"/>
    <w:rsid w:val="00B009DD"/>
    <w:rsid w:val="00B01C86"/>
    <w:rsid w:val="00B0249A"/>
    <w:rsid w:val="00B02F74"/>
    <w:rsid w:val="00B033D4"/>
    <w:rsid w:val="00B036DB"/>
    <w:rsid w:val="00B0389D"/>
    <w:rsid w:val="00B04208"/>
    <w:rsid w:val="00B056AD"/>
    <w:rsid w:val="00B05D1D"/>
    <w:rsid w:val="00B05DDF"/>
    <w:rsid w:val="00B068C9"/>
    <w:rsid w:val="00B10BB3"/>
    <w:rsid w:val="00B10CC7"/>
    <w:rsid w:val="00B10F80"/>
    <w:rsid w:val="00B11EC4"/>
    <w:rsid w:val="00B12824"/>
    <w:rsid w:val="00B12B1D"/>
    <w:rsid w:val="00B13E7D"/>
    <w:rsid w:val="00B153E5"/>
    <w:rsid w:val="00B15505"/>
    <w:rsid w:val="00B17079"/>
    <w:rsid w:val="00B17A05"/>
    <w:rsid w:val="00B17B5C"/>
    <w:rsid w:val="00B17CD5"/>
    <w:rsid w:val="00B207AC"/>
    <w:rsid w:val="00B21276"/>
    <w:rsid w:val="00B212D3"/>
    <w:rsid w:val="00B22061"/>
    <w:rsid w:val="00B22216"/>
    <w:rsid w:val="00B236EB"/>
    <w:rsid w:val="00B24E52"/>
    <w:rsid w:val="00B25125"/>
    <w:rsid w:val="00B26E54"/>
    <w:rsid w:val="00B2702C"/>
    <w:rsid w:val="00B2703D"/>
    <w:rsid w:val="00B2769E"/>
    <w:rsid w:val="00B3045F"/>
    <w:rsid w:val="00B3083D"/>
    <w:rsid w:val="00B31F60"/>
    <w:rsid w:val="00B333B6"/>
    <w:rsid w:val="00B33890"/>
    <w:rsid w:val="00B33D35"/>
    <w:rsid w:val="00B341FD"/>
    <w:rsid w:val="00B3593B"/>
    <w:rsid w:val="00B37320"/>
    <w:rsid w:val="00B37852"/>
    <w:rsid w:val="00B41D9D"/>
    <w:rsid w:val="00B41ECB"/>
    <w:rsid w:val="00B42482"/>
    <w:rsid w:val="00B42DD0"/>
    <w:rsid w:val="00B43CF6"/>
    <w:rsid w:val="00B4569B"/>
    <w:rsid w:val="00B457DE"/>
    <w:rsid w:val="00B510AF"/>
    <w:rsid w:val="00B51CA3"/>
    <w:rsid w:val="00B51EAD"/>
    <w:rsid w:val="00B53D31"/>
    <w:rsid w:val="00B54C36"/>
    <w:rsid w:val="00B5554D"/>
    <w:rsid w:val="00B567A8"/>
    <w:rsid w:val="00B57681"/>
    <w:rsid w:val="00B578E5"/>
    <w:rsid w:val="00B57BE9"/>
    <w:rsid w:val="00B60329"/>
    <w:rsid w:val="00B60BAE"/>
    <w:rsid w:val="00B61EAE"/>
    <w:rsid w:val="00B6240D"/>
    <w:rsid w:val="00B62904"/>
    <w:rsid w:val="00B62E56"/>
    <w:rsid w:val="00B63016"/>
    <w:rsid w:val="00B630CC"/>
    <w:rsid w:val="00B6428C"/>
    <w:rsid w:val="00B64FB3"/>
    <w:rsid w:val="00B65A86"/>
    <w:rsid w:val="00B666A6"/>
    <w:rsid w:val="00B673AD"/>
    <w:rsid w:val="00B6747D"/>
    <w:rsid w:val="00B67548"/>
    <w:rsid w:val="00B70305"/>
    <w:rsid w:val="00B72A13"/>
    <w:rsid w:val="00B7383E"/>
    <w:rsid w:val="00B73E12"/>
    <w:rsid w:val="00B75B4A"/>
    <w:rsid w:val="00B75D89"/>
    <w:rsid w:val="00B7627B"/>
    <w:rsid w:val="00B7789F"/>
    <w:rsid w:val="00B83164"/>
    <w:rsid w:val="00B832A3"/>
    <w:rsid w:val="00B83784"/>
    <w:rsid w:val="00B83BF2"/>
    <w:rsid w:val="00B850A9"/>
    <w:rsid w:val="00B85545"/>
    <w:rsid w:val="00B86FBD"/>
    <w:rsid w:val="00B878BA"/>
    <w:rsid w:val="00B901CE"/>
    <w:rsid w:val="00B92083"/>
    <w:rsid w:val="00B928DE"/>
    <w:rsid w:val="00B93140"/>
    <w:rsid w:val="00B93BD8"/>
    <w:rsid w:val="00B948AA"/>
    <w:rsid w:val="00B94BD3"/>
    <w:rsid w:val="00B954F8"/>
    <w:rsid w:val="00B9644A"/>
    <w:rsid w:val="00B96494"/>
    <w:rsid w:val="00B966FA"/>
    <w:rsid w:val="00B96D34"/>
    <w:rsid w:val="00B9744B"/>
    <w:rsid w:val="00B97D2C"/>
    <w:rsid w:val="00B97EB1"/>
    <w:rsid w:val="00BA0DFD"/>
    <w:rsid w:val="00BA0F86"/>
    <w:rsid w:val="00BA19E3"/>
    <w:rsid w:val="00BA1A39"/>
    <w:rsid w:val="00BA2D16"/>
    <w:rsid w:val="00BA47DD"/>
    <w:rsid w:val="00BA6582"/>
    <w:rsid w:val="00BA7016"/>
    <w:rsid w:val="00BB08DC"/>
    <w:rsid w:val="00BB0F26"/>
    <w:rsid w:val="00BB1F6B"/>
    <w:rsid w:val="00BB2234"/>
    <w:rsid w:val="00BB3194"/>
    <w:rsid w:val="00BB320C"/>
    <w:rsid w:val="00BB399F"/>
    <w:rsid w:val="00BB3E04"/>
    <w:rsid w:val="00BB44A5"/>
    <w:rsid w:val="00BB4583"/>
    <w:rsid w:val="00BB4761"/>
    <w:rsid w:val="00BB62DA"/>
    <w:rsid w:val="00BB66D2"/>
    <w:rsid w:val="00BB66E6"/>
    <w:rsid w:val="00BB68B5"/>
    <w:rsid w:val="00BC0764"/>
    <w:rsid w:val="00BC407B"/>
    <w:rsid w:val="00BC4D68"/>
    <w:rsid w:val="00BC76A9"/>
    <w:rsid w:val="00BC78DE"/>
    <w:rsid w:val="00BC7DE7"/>
    <w:rsid w:val="00BD0094"/>
    <w:rsid w:val="00BD1F0B"/>
    <w:rsid w:val="00BD330D"/>
    <w:rsid w:val="00BD35E4"/>
    <w:rsid w:val="00BD363C"/>
    <w:rsid w:val="00BD4861"/>
    <w:rsid w:val="00BD4C22"/>
    <w:rsid w:val="00BD4E5A"/>
    <w:rsid w:val="00BD58A8"/>
    <w:rsid w:val="00BD5AE6"/>
    <w:rsid w:val="00BD6DCB"/>
    <w:rsid w:val="00BD754D"/>
    <w:rsid w:val="00BD798A"/>
    <w:rsid w:val="00BE0E62"/>
    <w:rsid w:val="00BE18C4"/>
    <w:rsid w:val="00BE1E1B"/>
    <w:rsid w:val="00BE1EAF"/>
    <w:rsid w:val="00BE23D9"/>
    <w:rsid w:val="00BE281F"/>
    <w:rsid w:val="00BE374E"/>
    <w:rsid w:val="00BE4703"/>
    <w:rsid w:val="00BE5043"/>
    <w:rsid w:val="00BE5849"/>
    <w:rsid w:val="00BE59B9"/>
    <w:rsid w:val="00BE6029"/>
    <w:rsid w:val="00BE6E01"/>
    <w:rsid w:val="00BE6E1F"/>
    <w:rsid w:val="00BE7A4C"/>
    <w:rsid w:val="00BE7A88"/>
    <w:rsid w:val="00BE7C4B"/>
    <w:rsid w:val="00BF078D"/>
    <w:rsid w:val="00BF10E7"/>
    <w:rsid w:val="00BF16DE"/>
    <w:rsid w:val="00BF41CE"/>
    <w:rsid w:val="00BF4C53"/>
    <w:rsid w:val="00BF4DFA"/>
    <w:rsid w:val="00BF5D68"/>
    <w:rsid w:val="00BF620D"/>
    <w:rsid w:val="00BF62AC"/>
    <w:rsid w:val="00BF67AE"/>
    <w:rsid w:val="00BF7146"/>
    <w:rsid w:val="00BF7D4A"/>
    <w:rsid w:val="00C000DB"/>
    <w:rsid w:val="00C01A6F"/>
    <w:rsid w:val="00C01DED"/>
    <w:rsid w:val="00C01E92"/>
    <w:rsid w:val="00C01ED3"/>
    <w:rsid w:val="00C03B1F"/>
    <w:rsid w:val="00C046D5"/>
    <w:rsid w:val="00C050B7"/>
    <w:rsid w:val="00C05A6D"/>
    <w:rsid w:val="00C05FA5"/>
    <w:rsid w:val="00C061C6"/>
    <w:rsid w:val="00C065DD"/>
    <w:rsid w:val="00C073E4"/>
    <w:rsid w:val="00C111B9"/>
    <w:rsid w:val="00C11A6F"/>
    <w:rsid w:val="00C11E28"/>
    <w:rsid w:val="00C127D3"/>
    <w:rsid w:val="00C12D7E"/>
    <w:rsid w:val="00C13F2E"/>
    <w:rsid w:val="00C141CD"/>
    <w:rsid w:val="00C14244"/>
    <w:rsid w:val="00C14A76"/>
    <w:rsid w:val="00C150AC"/>
    <w:rsid w:val="00C152B2"/>
    <w:rsid w:val="00C20BC6"/>
    <w:rsid w:val="00C23209"/>
    <w:rsid w:val="00C24760"/>
    <w:rsid w:val="00C250DC"/>
    <w:rsid w:val="00C25C8B"/>
    <w:rsid w:val="00C25DBC"/>
    <w:rsid w:val="00C26158"/>
    <w:rsid w:val="00C26FEA"/>
    <w:rsid w:val="00C2725D"/>
    <w:rsid w:val="00C303C2"/>
    <w:rsid w:val="00C311D1"/>
    <w:rsid w:val="00C31747"/>
    <w:rsid w:val="00C33493"/>
    <w:rsid w:val="00C33686"/>
    <w:rsid w:val="00C339A6"/>
    <w:rsid w:val="00C33A2E"/>
    <w:rsid w:val="00C353CD"/>
    <w:rsid w:val="00C36E77"/>
    <w:rsid w:val="00C41F37"/>
    <w:rsid w:val="00C43BE3"/>
    <w:rsid w:val="00C43C9F"/>
    <w:rsid w:val="00C43DD2"/>
    <w:rsid w:val="00C46D0C"/>
    <w:rsid w:val="00C47076"/>
    <w:rsid w:val="00C4736E"/>
    <w:rsid w:val="00C47DF1"/>
    <w:rsid w:val="00C50B12"/>
    <w:rsid w:val="00C51E63"/>
    <w:rsid w:val="00C52638"/>
    <w:rsid w:val="00C53070"/>
    <w:rsid w:val="00C5319C"/>
    <w:rsid w:val="00C53563"/>
    <w:rsid w:val="00C5404E"/>
    <w:rsid w:val="00C54C99"/>
    <w:rsid w:val="00C55974"/>
    <w:rsid w:val="00C55E77"/>
    <w:rsid w:val="00C573E5"/>
    <w:rsid w:val="00C609C4"/>
    <w:rsid w:val="00C61083"/>
    <w:rsid w:val="00C64C33"/>
    <w:rsid w:val="00C65F65"/>
    <w:rsid w:val="00C6642C"/>
    <w:rsid w:val="00C705B8"/>
    <w:rsid w:val="00C709F1"/>
    <w:rsid w:val="00C71064"/>
    <w:rsid w:val="00C7187D"/>
    <w:rsid w:val="00C71A7C"/>
    <w:rsid w:val="00C71EFC"/>
    <w:rsid w:val="00C72BFB"/>
    <w:rsid w:val="00C73E88"/>
    <w:rsid w:val="00C7448E"/>
    <w:rsid w:val="00C768EC"/>
    <w:rsid w:val="00C76E49"/>
    <w:rsid w:val="00C815FE"/>
    <w:rsid w:val="00C82420"/>
    <w:rsid w:val="00C8286F"/>
    <w:rsid w:val="00C82A67"/>
    <w:rsid w:val="00C83F13"/>
    <w:rsid w:val="00C84535"/>
    <w:rsid w:val="00C84C1E"/>
    <w:rsid w:val="00C85D1E"/>
    <w:rsid w:val="00C86713"/>
    <w:rsid w:val="00C86829"/>
    <w:rsid w:val="00C87440"/>
    <w:rsid w:val="00C87BA4"/>
    <w:rsid w:val="00C90186"/>
    <w:rsid w:val="00C909E5"/>
    <w:rsid w:val="00C922E2"/>
    <w:rsid w:val="00C9270F"/>
    <w:rsid w:val="00C93095"/>
    <w:rsid w:val="00C93CE8"/>
    <w:rsid w:val="00C9447F"/>
    <w:rsid w:val="00C95BD1"/>
    <w:rsid w:val="00C95BF6"/>
    <w:rsid w:val="00C9762F"/>
    <w:rsid w:val="00C97AE5"/>
    <w:rsid w:val="00CA01FE"/>
    <w:rsid w:val="00CA0A5A"/>
    <w:rsid w:val="00CA0B4B"/>
    <w:rsid w:val="00CA2479"/>
    <w:rsid w:val="00CA2C5B"/>
    <w:rsid w:val="00CA35E4"/>
    <w:rsid w:val="00CA3B2B"/>
    <w:rsid w:val="00CA49D9"/>
    <w:rsid w:val="00CA4A64"/>
    <w:rsid w:val="00CA78DE"/>
    <w:rsid w:val="00CA7D8E"/>
    <w:rsid w:val="00CB0F52"/>
    <w:rsid w:val="00CB18F4"/>
    <w:rsid w:val="00CB1F95"/>
    <w:rsid w:val="00CB3508"/>
    <w:rsid w:val="00CB40B8"/>
    <w:rsid w:val="00CB6325"/>
    <w:rsid w:val="00CB679A"/>
    <w:rsid w:val="00CB7DD6"/>
    <w:rsid w:val="00CC19C5"/>
    <w:rsid w:val="00CC561C"/>
    <w:rsid w:val="00CC7025"/>
    <w:rsid w:val="00CC7916"/>
    <w:rsid w:val="00CD0015"/>
    <w:rsid w:val="00CD122D"/>
    <w:rsid w:val="00CD1470"/>
    <w:rsid w:val="00CD21D4"/>
    <w:rsid w:val="00CD227A"/>
    <w:rsid w:val="00CD2D1A"/>
    <w:rsid w:val="00CD3201"/>
    <w:rsid w:val="00CD3AAD"/>
    <w:rsid w:val="00CD4521"/>
    <w:rsid w:val="00CD510F"/>
    <w:rsid w:val="00CD5A72"/>
    <w:rsid w:val="00CD5CAF"/>
    <w:rsid w:val="00CD6267"/>
    <w:rsid w:val="00CD6F4E"/>
    <w:rsid w:val="00CD7075"/>
    <w:rsid w:val="00CD743C"/>
    <w:rsid w:val="00CD75B3"/>
    <w:rsid w:val="00CD77FC"/>
    <w:rsid w:val="00CE0644"/>
    <w:rsid w:val="00CE0A32"/>
    <w:rsid w:val="00CE1362"/>
    <w:rsid w:val="00CE21E6"/>
    <w:rsid w:val="00CE3039"/>
    <w:rsid w:val="00CE35C0"/>
    <w:rsid w:val="00CE377D"/>
    <w:rsid w:val="00CE4CE7"/>
    <w:rsid w:val="00CE50FA"/>
    <w:rsid w:val="00CE5132"/>
    <w:rsid w:val="00CE5E8C"/>
    <w:rsid w:val="00CE64A9"/>
    <w:rsid w:val="00CE6806"/>
    <w:rsid w:val="00CE7E8C"/>
    <w:rsid w:val="00CF0261"/>
    <w:rsid w:val="00CF0858"/>
    <w:rsid w:val="00CF1524"/>
    <w:rsid w:val="00CF192F"/>
    <w:rsid w:val="00CF236B"/>
    <w:rsid w:val="00CF287E"/>
    <w:rsid w:val="00CF3266"/>
    <w:rsid w:val="00CF3A69"/>
    <w:rsid w:val="00CF4198"/>
    <w:rsid w:val="00CF4B23"/>
    <w:rsid w:val="00CF5CC5"/>
    <w:rsid w:val="00CF6238"/>
    <w:rsid w:val="00CF717A"/>
    <w:rsid w:val="00CF7CF9"/>
    <w:rsid w:val="00CF7EBA"/>
    <w:rsid w:val="00D01B59"/>
    <w:rsid w:val="00D01E95"/>
    <w:rsid w:val="00D021E2"/>
    <w:rsid w:val="00D037A9"/>
    <w:rsid w:val="00D0493A"/>
    <w:rsid w:val="00D05276"/>
    <w:rsid w:val="00D05820"/>
    <w:rsid w:val="00D05D3D"/>
    <w:rsid w:val="00D07076"/>
    <w:rsid w:val="00D071D3"/>
    <w:rsid w:val="00D0766C"/>
    <w:rsid w:val="00D07695"/>
    <w:rsid w:val="00D07E96"/>
    <w:rsid w:val="00D100C3"/>
    <w:rsid w:val="00D10280"/>
    <w:rsid w:val="00D10AF1"/>
    <w:rsid w:val="00D12EF8"/>
    <w:rsid w:val="00D12EFB"/>
    <w:rsid w:val="00D1545D"/>
    <w:rsid w:val="00D16532"/>
    <w:rsid w:val="00D178FC"/>
    <w:rsid w:val="00D2006E"/>
    <w:rsid w:val="00D20163"/>
    <w:rsid w:val="00D22299"/>
    <w:rsid w:val="00D224B5"/>
    <w:rsid w:val="00D22BE2"/>
    <w:rsid w:val="00D23822"/>
    <w:rsid w:val="00D24107"/>
    <w:rsid w:val="00D24D61"/>
    <w:rsid w:val="00D259FB"/>
    <w:rsid w:val="00D2685D"/>
    <w:rsid w:val="00D2692B"/>
    <w:rsid w:val="00D26B0D"/>
    <w:rsid w:val="00D271D6"/>
    <w:rsid w:val="00D2770F"/>
    <w:rsid w:val="00D2797F"/>
    <w:rsid w:val="00D27C40"/>
    <w:rsid w:val="00D27D66"/>
    <w:rsid w:val="00D32CBE"/>
    <w:rsid w:val="00D32ED0"/>
    <w:rsid w:val="00D33FDE"/>
    <w:rsid w:val="00D3509A"/>
    <w:rsid w:val="00D35AF8"/>
    <w:rsid w:val="00D40809"/>
    <w:rsid w:val="00D41A59"/>
    <w:rsid w:val="00D4285F"/>
    <w:rsid w:val="00D4562F"/>
    <w:rsid w:val="00D458A1"/>
    <w:rsid w:val="00D45EF7"/>
    <w:rsid w:val="00D519BC"/>
    <w:rsid w:val="00D5274D"/>
    <w:rsid w:val="00D53295"/>
    <w:rsid w:val="00D55355"/>
    <w:rsid w:val="00D55457"/>
    <w:rsid w:val="00D55B48"/>
    <w:rsid w:val="00D5678A"/>
    <w:rsid w:val="00D56F1A"/>
    <w:rsid w:val="00D577D0"/>
    <w:rsid w:val="00D616F8"/>
    <w:rsid w:val="00D64190"/>
    <w:rsid w:val="00D65280"/>
    <w:rsid w:val="00D6619F"/>
    <w:rsid w:val="00D665D6"/>
    <w:rsid w:val="00D66DA6"/>
    <w:rsid w:val="00D71663"/>
    <w:rsid w:val="00D72875"/>
    <w:rsid w:val="00D72B3B"/>
    <w:rsid w:val="00D731B7"/>
    <w:rsid w:val="00D7421C"/>
    <w:rsid w:val="00D742DE"/>
    <w:rsid w:val="00D74589"/>
    <w:rsid w:val="00D748D2"/>
    <w:rsid w:val="00D7582D"/>
    <w:rsid w:val="00D75A24"/>
    <w:rsid w:val="00D801A8"/>
    <w:rsid w:val="00D80703"/>
    <w:rsid w:val="00D80CFE"/>
    <w:rsid w:val="00D812D9"/>
    <w:rsid w:val="00D8204A"/>
    <w:rsid w:val="00D826ED"/>
    <w:rsid w:val="00D8299C"/>
    <w:rsid w:val="00D833B4"/>
    <w:rsid w:val="00D8373E"/>
    <w:rsid w:val="00D8402A"/>
    <w:rsid w:val="00D86063"/>
    <w:rsid w:val="00D86FF0"/>
    <w:rsid w:val="00D87107"/>
    <w:rsid w:val="00D90CF0"/>
    <w:rsid w:val="00D912D8"/>
    <w:rsid w:val="00D934FB"/>
    <w:rsid w:val="00D9369E"/>
    <w:rsid w:val="00D93CC4"/>
    <w:rsid w:val="00D93CF0"/>
    <w:rsid w:val="00D944C0"/>
    <w:rsid w:val="00D95060"/>
    <w:rsid w:val="00D961F9"/>
    <w:rsid w:val="00D97095"/>
    <w:rsid w:val="00DA0152"/>
    <w:rsid w:val="00DA19F7"/>
    <w:rsid w:val="00DA436F"/>
    <w:rsid w:val="00DA6069"/>
    <w:rsid w:val="00DA6D96"/>
    <w:rsid w:val="00DA7C59"/>
    <w:rsid w:val="00DB08D5"/>
    <w:rsid w:val="00DB2F73"/>
    <w:rsid w:val="00DB3170"/>
    <w:rsid w:val="00DB64E7"/>
    <w:rsid w:val="00DC0130"/>
    <w:rsid w:val="00DC0FA4"/>
    <w:rsid w:val="00DC1586"/>
    <w:rsid w:val="00DC178A"/>
    <w:rsid w:val="00DC2AAC"/>
    <w:rsid w:val="00DC36CF"/>
    <w:rsid w:val="00DC4383"/>
    <w:rsid w:val="00DC5490"/>
    <w:rsid w:val="00DC6C8B"/>
    <w:rsid w:val="00DC6E3B"/>
    <w:rsid w:val="00DC6F6E"/>
    <w:rsid w:val="00DC712F"/>
    <w:rsid w:val="00DD100E"/>
    <w:rsid w:val="00DD19A1"/>
    <w:rsid w:val="00DD26EC"/>
    <w:rsid w:val="00DD4020"/>
    <w:rsid w:val="00DD4DB0"/>
    <w:rsid w:val="00DD6479"/>
    <w:rsid w:val="00DD6FA8"/>
    <w:rsid w:val="00DD7BDF"/>
    <w:rsid w:val="00DE1F18"/>
    <w:rsid w:val="00DE44BC"/>
    <w:rsid w:val="00DE4F73"/>
    <w:rsid w:val="00DE5D3B"/>
    <w:rsid w:val="00DE70DD"/>
    <w:rsid w:val="00DF0053"/>
    <w:rsid w:val="00DF0FEF"/>
    <w:rsid w:val="00DF15A3"/>
    <w:rsid w:val="00DF1942"/>
    <w:rsid w:val="00DF2663"/>
    <w:rsid w:val="00DF2A18"/>
    <w:rsid w:val="00DF6667"/>
    <w:rsid w:val="00DF776B"/>
    <w:rsid w:val="00DF7D4B"/>
    <w:rsid w:val="00E0176D"/>
    <w:rsid w:val="00E017A7"/>
    <w:rsid w:val="00E0186B"/>
    <w:rsid w:val="00E01959"/>
    <w:rsid w:val="00E01A7F"/>
    <w:rsid w:val="00E029F1"/>
    <w:rsid w:val="00E02E04"/>
    <w:rsid w:val="00E04198"/>
    <w:rsid w:val="00E05A98"/>
    <w:rsid w:val="00E064A7"/>
    <w:rsid w:val="00E0666A"/>
    <w:rsid w:val="00E06FA0"/>
    <w:rsid w:val="00E0796E"/>
    <w:rsid w:val="00E105A5"/>
    <w:rsid w:val="00E111C2"/>
    <w:rsid w:val="00E11AB3"/>
    <w:rsid w:val="00E11D10"/>
    <w:rsid w:val="00E144EA"/>
    <w:rsid w:val="00E150F7"/>
    <w:rsid w:val="00E1575E"/>
    <w:rsid w:val="00E177F5"/>
    <w:rsid w:val="00E17859"/>
    <w:rsid w:val="00E216CD"/>
    <w:rsid w:val="00E21D5E"/>
    <w:rsid w:val="00E22B10"/>
    <w:rsid w:val="00E234D2"/>
    <w:rsid w:val="00E23565"/>
    <w:rsid w:val="00E244AD"/>
    <w:rsid w:val="00E2596D"/>
    <w:rsid w:val="00E2649F"/>
    <w:rsid w:val="00E26952"/>
    <w:rsid w:val="00E27073"/>
    <w:rsid w:val="00E31DD5"/>
    <w:rsid w:val="00E32ECD"/>
    <w:rsid w:val="00E33113"/>
    <w:rsid w:val="00E334BD"/>
    <w:rsid w:val="00E34524"/>
    <w:rsid w:val="00E34E61"/>
    <w:rsid w:val="00E352B3"/>
    <w:rsid w:val="00E35CA3"/>
    <w:rsid w:val="00E3669F"/>
    <w:rsid w:val="00E416F2"/>
    <w:rsid w:val="00E41838"/>
    <w:rsid w:val="00E43E47"/>
    <w:rsid w:val="00E44418"/>
    <w:rsid w:val="00E45899"/>
    <w:rsid w:val="00E45933"/>
    <w:rsid w:val="00E467E8"/>
    <w:rsid w:val="00E501D6"/>
    <w:rsid w:val="00E50B0F"/>
    <w:rsid w:val="00E515AA"/>
    <w:rsid w:val="00E51668"/>
    <w:rsid w:val="00E52B2A"/>
    <w:rsid w:val="00E53417"/>
    <w:rsid w:val="00E53CA2"/>
    <w:rsid w:val="00E53D2E"/>
    <w:rsid w:val="00E54541"/>
    <w:rsid w:val="00E548B7"/>
    <w:rsid w:val="00E55254"/>
    <w:rsid w:val="00E5533C"/>
    <w:rsid w:val="00E563FB"/>
    <w:rsid w:val="00E566B9"/>
    <w:rsid w:val="00E578FC"/>
    <w:rsid w:val="00E57EB0"/>
    <w:rsid w:val="00E612F9"/>
    <w:rsid w:val="00E61616"/>
    <w:rsid w:val="00E636A8"/>
    <w:rsid w:val="00E63CEB"/>
    <w:rsid w:val="00E65E5C"/>
    <w:rsid w:val="00E672D4"/>
    <w:rsid w:val="00E67AC1"/>
    <w:rsid w:val="00E70F04"/>
    <w:rsid w:val="00E715CB"/>
    <w:rsid w:val="00E71CF0"/>
    <w:rsid w:val="00E7361D"/>
    <w:rsid w:val="00E742AE"/>
    <w:rsid w:val="00E7455F"/>
    <w:rsid w:val="00E74CC8"/>
    <w:rsid w:val="00E7626B"/>
    <w:rsid w:val="00E773A5"/>
    <w:rsid w:val="00E80A0B"/>
    <w:rsid w:val="00E82D51"/>
    <w:rsid w:val="00E82E52"/>
    <w:rsid w:val="00E836D5"/>
    <w:rsid w:val="00E8411A"/>
    <w:rsid w:val="00E84F3D"/>
    <w:rsid w:val="00E84FE7"/>
    <w:rsid w:val="00E90389"/>
    <w:rsid w:val="00E90FF1"/>
    <w:rsid w:val="00E9156F"/>
    <w:rsid w:val="00E93D4C"/>
    <w:rsid w:val="00E94F92"/>
    <w:rsid w:val="00E95421"/>
    <w:rsid w:val="00E95E60"/>
    <w:rsid w:val="00E966CC"/>
    <w:rsid w:val="00E96896"/>
    <w:rsid w:val="00E972FC"/>
    <w:rsid w:val="00E976BF"/>
    <w:rsid w:val="00EA0489"/>
    <w:rsid w:val="00EA0D81"/>
    <w:rsid w:val="00EA12CE"/>
    <w:rsid w:val="00EA1CCD"/>
    <w:rsid w:val="00EA2EB7"/>
    <w:rsid w:val="00EA30C8"/>
    <w:rsid w:val="00EA3238"/>
    <w:rsid w:val="00EA32D2"/>
    <w:rsid w:val="00EA3323"/>
    <w:rsid w:val="00EA3490"/>
    <w:rsid w:val="00EA3653"/>
    <w:rsid w:val="00EA4D22"/>
    <w:rsid w:val="00EA7362"/>
    <w:rsid w:val="00EA7A50"/>
    <w:rsid w:val="00EB0DDE"/>
    <w:rsid w:val="00EB1422"/>
    <w:rsid w:val="00EB1CB5"/>
    <w:rsid w:val="00EB2186"/>
    <w:rsid w:val="00EB2B0D"/>
    <w:rsid w:val="00EB3417"/>
    <w:rsid w:val="00EB441B"/>
    <w:rsid w:val="00EB4456"/>
    <w:rsid w:val="00EB4E7F"/>
    <w:rsid w:val="00EB5093"/>
    <w:rsid w:val="00EB6496"/>
    <w:rsid w:val="00EB6750"/>
    <w:rsid w:val="00EB7647"/>
    <w:rsid w:val="00EB7AB8"/>
    <w:rsid w:val="00EC02B9"/>
    <w:rsid w:val="00EC04B4"/>
    <w:rsid w:val="00EC07BD"/>
    <w:rsid w:val="00EC0958"/>
    <w:rsid w:val="00EC13A1"/>
    <w:rsid w:val="00EC44A8"/>
    <w:rsid w:val="00EC44C5"/>
    <w:rsid w:val="00EC71C9"/>
    <w:rsid w:val="00EC7853"/>
    <w:rsid w:val="00EC78A8"/>
    <w:rsid w:val="00EC7A14"/>
    <w:rsid w:val="00EC7D47"/>
    <w:rsid w:val="00ED01C6"/>
    <w:rsid w:val="00ED2757"/>
    <w:rsid w:val="00ED3305"/>
    <w:rsid w:val="00ED40E9"/>
    <w:rsid w:val="00ED48C4"/>
    <w:rsid w:val="00ED6601"/>
    <w:rsid w:val="00ED7326"/>
    <w:rsid w:val="00ED7C78"/>
    <w:rsid w:val="00EE1F08"/>
    <w:rsid w:val="00EE1FFF"/>
    <w:rsid w:val="00EE2DEB"/>
    <w:rsid w:val="00EE337B"/>
    <w:rsid w:val="00EE4429"/>
    <w:rsid w:val="00EE5C93"/>
    <w:rsid w:val="00EE6791"/>
    <w:rsid w:val="00EF026E"/>
    <w:rsid w:val="00EF0303"/>
    <w:rsid w:val="00EF1746"/>
    <w:rsid w:val="00EF176C"/>
    <w:rsid w:val="00EF20B4"/>
    <w:rsid w:val="00EF2332"/>
    <w:rsid w:val="00EF251F"/>
    <w:rsid w:val="00EF3B94"/>
    <w:rsid w:val="00EF5836"/>
    <w:rsid w:val="00EF6DD1"/>
    <w:rsid w:val="00EF791B"/>
    <w:rsid w:val="00F009F4"/>
    <w:rsid w:val="00F00D46"/>
    <w:rsid w:val="00F0156F"/>
    <w:rsid w:val="00F022C7"/>
    <w:rsid w:val="00F03287"/>
    <w:rsid w:val="00F03C5D"/>
    <w:rsid w:val="00F03E20"/>
    <w:rsid w:val="00F061A4"/>
    <w:rsid w:val="00F0630C"/>
    <w:rsid w:val="00F06802"/>
    <w:rsid w:val="00F103B7"/>
    <w:rsid w:val="00F1192B"/>
    <w:rsid w:val="00F12B52"/>
    <w:rsid w:val="00F14770"/>
    <w:rsid w:val="00F14CB7"/>
    <w:rsid w:val="00F166DC"/>
    <w:rsid w:val="00F16885"/>
    <w:rsid w:val="00F226BF"/>
    <w:rsid w:val="00F226FD"/>
    <w:rsid w:val="00F233FC"/>
    <w:rsid w:val="00F258AA"/>
    <w:rsid w:val="00F25DC8"/>
    <w:rsid w:val="00F25FA6"/>
    <w:rsid w:val="00F26E77"/>
    <w:rsid w:val="00F30A76"/>
    <w:rsid w:val="00F31056"/>
    <w:rsid w:val="00F31387"/>
    <w:rsid w:val="00F3167F"/>
    <w:rsid w:val="00F326E8"/>
    <w:rsid w:val="00F33FF4"/>
    <w:rsid w:val="00F3439E"/>
    <w:rsid w:val="00F351D0"/>
    <w:rsid w:val="00F36DA1"/>
    <w:rsid w:val="00F37405"/>
    <w:rsid w:val="00F40E31"/>
    <w:rsid w:val="00F40F03"/>
    <w:rsid w:val="00F41122"/>
    <w:rsid w:val="00F41A2B"/>
    <w:rsid w:val="00F42271"/>
    <w:rsid w:val="00F425F8"/>
    <w:rsid w:val="00F42784"/>
    <w:rsid w:val="00F434B4"/>
    <w:rsid w:val="00F43CE4"/>
    <w:rsid w:val="00F4408C"/>
    <w:rsid w:val="00F44313"/>
    <w:rsid w:val="00F44EB0"/>
    <w:rsid w:val="00F45A3F"/>
    <w:rsid w:val="00F46F06"/>
    <w:rsid w:val="00F46F21"/>
    <w:rsid w:val="00F47069"/>
    <w:rsid w:val="00F47A62"/>
    <w:rsid w:val="00F54763"/>
    <w:rsid w:val="00F54A8A"/>
    <w:rsid w:val="00F54DBD"/>
    <w:rsid w:val="00F56C78"/>
    <w:rsid w:val="00F57ACD"/>
    <w:rsid w:val="00F57BA1"/>
    <w:rsid w:val="00F60639"/>
    <w:rsid w:val="00F608EC"/>
    <w:rsid w:val="00F60A5E"/>
    <w:rsid w:val="00F60BA3"/>
    <w:rsid w:val="00F60D48"/>
    <w:rsid w:val="00F63595"/>
    <w:rsid w:val="00F63724"/>
    <w:rsid w:val="00F63AA8"/>
    <w:rsid w:val="00F63F37"/>
    <w:rsid w:val="00F6438B"/>
    <w:rsid w:val="00F643C0"/>
    <w:rsid w:val="00F65205"/>
    <w:rsid w:val="00F65664"/>
    <w:rsid w:val="00F656E0"/>
    <w:rsid w:val="00F657E0"/>
    <w:rsid w:val="00F67192"/>
    <w:rsid w:val="00F671CD"/>
    <w:rsid w:val="00F67AC5"/>
    <w:rsid w:val="00F67C68"/>
    <w:rsid w:val="00F701C2"/>
    <w:rsid w:val="00F713A6"/>
    <w:rsid w:val="00F714C4"/>
    <w:rsid w:val="00F7397D"/>
    <w:rsid w:val="00F73BCB"/>
    <w:rsid w:val="00F7472E"/>
    <w:rsid w:val="00F76332"/>
    <w:rsid w:val="00F763C3"/>
    <w:rsid w:val="00F76CBF"/>
    <w:rsid w:val="00F77B72"/>
    <w:rsid w:val="00F800EE"/>
    <w:rsid w:val="00F803AB"/>
    <w:rsid w:val="00F81C6F"/>
    <w:rsid w:val="00F81F39"/>
    <w:rsid w:val="00F825FB"/>
    <w:rsid w:val="00F82DA3"/>
    <w:rsid w:val="00F83EC2"/>
    <w:rsid w:val="00F8421C"/>
    <w:rsid w:val="00F84549"/>
    <w:rsid w:val="00F84C52"/>
    <w:rsid w:val="00F85E5F"/>
    <w:rsid w:val="00F8715C"/>
    <w:rsid w:val="00F900B8"/>
    <w:rsid w:val="00F91603"/>
    <w:rsid w:val="00F92819"/>
    <w:rsid w:val="00F92D55"/>
    <w:rsid w:val="00F92E6C"/>
    <w:rsid w:val="00F93460"/>
    <w:rsid w:val="00F94105"/>
    <w:rsid w:val="00F949F4"/>
    <w:rsid w:val="00F94C3C"/>
    <w:rsid w:val="00F94CE4"/>
    <w:rsid w:val="00F96B83"/>
    <w:rsid w:val="00FA01E3"/>
    <w:rsid w:val="00FA02FB"/>
    <w:rsid w:val="00FA2882"/>
    <w:rsid w:val="00FA3ED0"/>
    <w:rsid w:val="00FA7A82"/>
    <w:rsid w:val="00FA7DC8"/>
    <w:rsid w:val="00FB410E"/>
    <w:rsid w:val="00FB4E47"/>
    <w:rsid w:val="00FB5191"/>
    <w:rsid w:val="00FB55D7"/>
    <w:rsid w:val="00FB5EDA"/>
    <w:rsid w:val="00FB6259"/>
    <w:rsid w:val="00FB679B"/>
    <w:rsid w:val="00FB785C"/>
    <w:rsid w:val="00FC1538"/>
    <w:rsid w:val="00FC23D4"/>
    <w:rsid w:val="00FC2571"/>
    <w:rsid w:val="00FC2A40"/>
    <w:rsid w:val="00FC38CB"/>
    <w:rsid w:val="00FC3FE0"/>
    <w:rsid w:val="00FC44F0"/>
    <w:rsid w:val="00FC50BA"/>
    <w:rsid w:val="00FC621E"/>
    <w:rsid w:val="00FC6553"/>
    <w:rsid w:val="00FD0AA6"/>
    <w:rsid w:val="00FD0B07"/>
    <w:rsid w:val="00FD0BBF"/>
    <w:rsid w:val="00FD1FE5"/>
    <w:rsid w:val="00FD2340"/>
    <w:rsid w:val="00FD2A70"/>
    <w:rsid w:val="00FD4DB4"/>
    <w:rsid w:val="00FD605E"/>
    <w:rsid w:val="00FD67BD"/>
    <w:rsid w:val="00FD6DEA"/>
    <w:rsid w:val="00FE1EC8"/>
    <w:rsid w:val="00FE2388"/>
    <w:rsid w:val="00FE2B2D"/>
    <w:rsid w:val="00FE3D57"/>
    <w:rsid w:val="00FE5FD0"/>
    <w:rsid w:val="00FF0A5A"/>
    <w:rsid w:val="00FF1C55"/>
    <w:rsid w:val="00FF1FB7"/>
    <w:rsid w:val="00FF2E02"/>
    <w:rsid w:val="00FF3CBA"/>
    <w:rsid w:val="00FF50B9"/>
    <w:rsid w:val="00FF5679"/>
    <w:rsid w:val="00FF7575"/>
    <w:rsid w:val="00FF7A55"/>
    <w:rsid w:val="00FF7D21"/>
    <w:rsid w:val="00FF7F35"/>
    <w:rsid w:val="011A2944"/>
    <w:rsid w:val="01705081"/>
    <w:rsid w:val="01D2F26B"/>
    <w:rsid w:val="04607AE9"/>
    <w:rsid w:val="04B83604"/>
    <w:rsid w:val="05818449"/>
    <w:rsid w:val="06412721"/>
    <w:rsid w:val="07AB4EBC"/>
    <w:rsid w:val="07D095C9"/>
    <w:rsid w:val="08116B4D"/>
    <w:rsid w:val="08409F45"/>
    <w:rsid w:val="08C401C8"/>
    <w:rsid w:val="08D62F2C"/>
    <w:rsid w:val="09974318"/>
    <w:rsid w:val="0A8E2DD2"/>
    <w:rsid w:val="0C18D9CE"/>
    <w:rsid w:val="0C1F6BD8"/>
    <w:rsid w:val="0E5FD013"/>
    <w:rsid w:val="0EBA2EC2"/>
    <w:rsid w:val="0F1C8340"/>
    <w:rsid w:val="0F74BB09"/>
    <w:rsid w:val="0F7646D4"/>
    <w:rsid w:val="0FD61E53"/>
    <w:rsid w:val="0FE30F12"/>
    <w:rsid w:val="101A70F5"/>
    <w:rsid w:val="113E782B"/>
    <w:rsid w:val="11E4332E"/>
    <w:rsid w:val="125E351F"/>
    <w:rsid w:val="12B45069"/>
    <w:rsid w:val="12D45F44"/>
    <w:rsid w:val="1333C1EC"/>
    <w:rsid w:val="136B2A32"/>
    <w:rsid w:val="13FBF498"/>
    <w:rsid w:val="141FD303"/>
    <w:rsid w:val="15E9367E"/>
    <w:rsid w:val="16BE1D62"/>
    <w:rsid w:val="16D11B31"/>
    <w:rsid w:val="17195576"/>
    <w:rsid w:val="17335557"/>
    <w:rsid w:val="17D434A3"/>
    <w:rsid w:val="18D00332"/>
    <w:rsid w:val="1991DBAA"/>
    <w:rsid w:val="19CADD82"/>
    <w:rsid w:val="19CF472E"/>
    <w:rsid w:val="1A3B3459"/>
    <w:rsid w:val="1A588F7E"/>
    <w:rsid w:val="1B7CDA56"/>
    <w:rsid w:val="1C16378A"/>
    <w:rsid w:val="1D17F469"/>
    <w:rsid w:val="1DC28932"/>
    <w:rsid w:val="1DD834E1"/>
    <w:rsid w:val="1DED87BA"/>
    <w:rsid w:val="1E1475F6"/>
    <w:rsid w:val="1F2190DE"/>
    <w:rsid w:val="1F27B2FE"/>
    <w:rsid w:val="215EDAD8"/>
    <w:rsid w:val="21629FCB"/>
    <w:rsid w:val="21F769EF"/>
    <w:rsid w:val="22365ABE"/>
    <w:rsid w:val="240ED67E"/>
    <w:rsid w:val="2412E16A"/>
    <w:rsid w:val="24D3AFF3"/>
    <w:rsid w:val="24E27FF6"/>
    <w:rsid w:val="25044398"/>
    <w:rsid w:val="255C9B72"/>
    <w:rsid w:val="26846CC8"/>
    <w:rsid w:val="26D30261"/>
    <w:rsid w:val="270968DE"/>
    <w:rsid w:val="273B9769"/>
    <w:rsid w:val="27FF7BE3"/>
    <w:rsid w:val="285D61DA"/>
    <w:rsid w:val="29507431"/>
    <w:rsid w:val="2A4A06EC"/>
    <w:rsid w:val="2B5C2A91"/>
    <w:rsid w:val="2BD49BBD"/>
    <w:rsid w:val="2C4EA491"/>
    <w:rsid w:val="2E53204F"/>
    <w:rsid w:val="2E5D1D93"/>
    <w:rsid w:val="2F80E15F"/>
    <w:rsid w:val="2F942DE4"/>
    <w:rsid w:val="3115CA2A"/>
    <w:rsid w:val="31B6983C"/>
    <w:rsid w:val="339EED19"/>
    <w:rsid w:val="35063197"/>
    <w:rsid w:val="352B909E"/>
    <w:rsid w:val="375EFE97"/>
    <w:rsid w:val="38888937"/>
    <w:rsid w:val="38AA09C6"/>
    <w:rsid w:val="38B2E572"/>
    <w:rsid w:val="39288EA8"/>
    <w:rsid w:val="3A4445D1"/>
    <w:rsid w:val="3B904E93"/>
    <w:rsid w:val="3BC2909C"/>
    <w:rsid w:val="3C424AC0"/>
    <w:rsid w:val="3C6EF04D"/>
    <w:rsid w:val="3C8FB0D4"/>
    <w:rsid w:val="3D5E682B"/>
    <w:rsid w:val="3D85DD61"/>
    <w:rsid w:val="3FE8AAB7"/>
    <w:rsid w:val="40668261"/>
    <w:rsid w:val="40FBEB01"/>
    <w:rsid w:val="41124F31"/>
    <w:rsid w:val="41195142"/>
    <w:rsid w:val="42E024CF"/>
    <w:rsid w:val="43B9F475"/>
    <w:rsid w:val="43FC1BEE"/>
    <w:rsid w:val="448C4824"/>
    <w:rsid w:val="454811C3"/>
    <w:rsid w:val="4550E283"/>
    <w:rsid w:val="45B76F79"/>
    <w:rsid w:val="463B44CF"/>
    <w:rsid w:val="47205360"/>
    <w:rsid w:val="472ECF45"/>
    <w:rsid w:val="47499373"/>
    <w:rsid w:val="4A6D845D"/>
    <w:rsid w:val="4D6AFC8B"/>
    <w:rsid w:val="4E33ED6C"/>
    <w:rsid w:val="4F2DC585"/>
    <w:rsid w:val="4FE00EEF"/>
    <w:rsid w:val="50609A32"/>
    <w:rsid w:val="509FC0A6"/>
    <w:rsid w:val="52208BB6"/>
    <w:rsid w:val="5285BF5E"/>
    <w:rsid w:val="52A4361C"/>
    <w:rsid w:val="5378E49C"/>
    <w:rsid w:val="53E6F410"/>
    <w:rsid w:val="5431A398"/>
    <w:rsid w:val="55465D9D"/>
    <w:rsid w:val="55D5D8B7"/>
    <w:rsid w:val="57EC13EB"/>
    <w:rsid w:val="58BCC94F"/>
    <w:rsid w:val="59250FFB"/>
    <w:rsid w:val="5997A266"/>
    <w:rsid w:val="59B54290"/>
    <w:rsid w:val="5A7B41A9"/>
    <w:rsid w:val="5B248380"/>
    <w:rsid w:val="5D7D52CC"/>
    <w:rsid w:val="5DB43166"/>
    <w:rsid w:val="6080EFB1"/>
    <w:rsid w:val="61C7329B"/>
    <w:rsid w:val="61DC1625"/>
    <w:rsid w:val="624A2414"/>
    <w:rsid w:val="63C72DC9"/>
    <w:rsid w:val="63CA902C"/>
    <w:rsid w:val="63D230FA"/>
    <w:rsid w:val="658C1B61"/>
    <w:rsid w:val="65BAF0D9"/>
    <w:rsid w:val="65C116C5"/>
    <w:rsid w:val="66329980"/>
    <w:rsid w:val="6659716F"/>
    <w:rsid w:val="66B70B82"/>
    <w:rsid w:val="66BF086A"/>
    <w:rsid w:val="66DF6F4B"/>
    <w:rsid w:val="671852B1"/>
    <w:rsid w:val="6774EE9D"/>
    <w:rsid w:val="67820DE5"/>
    <w:rsid w:val="68022809"/>
    <w:rsid w:val="6885509F"/>
    <w:rsid w:val="69DC27D1"/>
    <w:rsid w:val="6BC3366A"/>
    <w:rsid w:val="6C97941C"/>
    <w:rsid w:val="6D10056E"/>
    <w:rsid w:val="6D3489D7"/>
    <w:rsid w:val="6EA2099F"/>
    <w:rsid w:val="6F234154"/>
    <w:rsid w:val="705A3B2C"/>
    <w:rsid w:val="7156599E"/>
    <w:rsid w:val="71969A01"/>
    <w:rsid w:val="71A54851"/>
    <w:rsid w:val="71BBA295"/>
    <w:rsid w:val="72806CCE"/>
    <w:rsid w:val="74735009"/>
    <w:rsid w:val="750E17FD"/>
    <w:rsid w:val="76068267"/>
    <w:rsid w:val="78132EA1"/>
    <w:rsid w:val="7825D83D"/>
    <w:rsid w:val="789A52F6"/>
    <w:rsid w:val="78F43F71"/>
    <w:rsid w:val="7C0B5662"/>
    <w:rsid w:val="7C2F7720"/>
    <w:rsid w:val="7C4846D0"/>
    <w:rsid w:val="7C7F3347"/>
    <w:rsid w:val="7CE796BE"/>
    <w:rsid w:val="7D1EEFA7"/>
    <w:rsid w:val="7F74E2D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BCE248"/>
  <w14:defaultImageDpi w14:val="300"/>
  <w15:docId w15:val="{B3E129E8-48BD-4C69-8F09-CA4C0C9B6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FA5"/>
    <w:rPr>
      <w:rFonts w:ascii="Verdana" w:hAnsi="Verdana"/>
    </w:rPr>
  </w:style>
  <w:style w:type="paragraph" w:styleId="Heading1">
    <w:name w:val="heading 1"/>
    <w:basedOn w:val="Normal"/>
    <w:next w:val="Normal"/>
    <w:link w:val="Heading1Char"/>
    <w:uiPriority w:val="9"/>
    <w:qFormat/>
    <w:rsid w:val="00565C64"/>
    <w:pPr>
      <w:keepNext/>
      <w:keepLines/>
      <w:numPr>
        <w:numId w:val="10"/>
      </w:numPr>
      <w:spacing w:before="240" w:line="276" w:lineRule="auto"/>
      <w:ind w:hanging="720"/>
      <w:outlineLvl w:val="0"/>
    </w:pPr>
    <w:rPr>
      <w:rFonts w:eastAsiaTheme="majorEastAsia" w:cstheme="majorBidi"/>
      <w:b/>
      <w:color w:val="77328A"/>
      <w:sz w:val="30"/>
      <w:szCs w:val="32"/>
    </w:rPr>
  </w:style>
  <w:style w:type="paragraph" w:styleId="Heading2">
    <w:name w:val="heading 2"/>
    <w:basedOn w:val="Normal"/>
    <w:next w:val="Normal"/>
    <w:link w:val="Heading2Char"/>
    <w:uiPriority w:val="9"/>
    <w:unhideWhenUsed/>
    <w:qFormat/>
    <w:rsid w:val="006E34D2"/>
    <w:pPr>
      <w:keepNext/>
      <w:keepLines/>
      <w:spacing w:before="40"/>
      <w:outlineLvl w:val="1"/>
    </w:pPr>
    <w:rPr>
      <w:rFonts w:eastAsiaTheme="majorEastAsia" w:cstheme="majorBidi"/>
      <w:b/>
      <w:szCs w:val="26"/>
    </w:rPr>
  </w:style>
  <w:style w:type="paragraph" w:styleId="Heading4">
    <w:name w:val="heading 4"/>
    <w:basedOn w:val="Normal"/>
    <w:next w:val="Normal"/>
    <w:link w:val="Heading4Char"/>
    <w:uiPriority w:val="9"/>
    <w:semiHidden/>
    <w:unhideWhenUsed/>
    <w:qFormat/>
    <w:rsid w:val="00B878BA"/>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224140"/>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2B2B"/>
    <w:pPr>
      <w:tabs>
        <w:tab w:val="center" w:pos="4320"/>
        <w:tab w:val="right" w:pos="8640"/>
      </w:tabs>
    </w:pPr>
  </w:style>
  <w:style w:type="character" w:customStyle="1" w:styleId="HeaderChar">
    <w:name w:val="Header Char"/>
    <w:basedOn w:val="DefaultParagraphFont"/>
    <w:link w:val="Header"/>
    <w:uiPriority w:val="99"/>
    <w:rsid w:val="00962B2B"/>
  </w:style>
  <w:style w:type="paragraph" w:styleId="Footer">
    <w:name w:val="footer"/>
    <w:basedOn w:val="Normal"/>
    <w:link w:val="FooterChar"/>
    <w:uiPriority w:val="99"/>
    <w:unhideWhenUsed/>
    <w:rsid w:val="00962B2B"/>
    <w:pPr>
      <w:tabs>
        <w:tab w:val="center" w:pos="4320"/>
        <w:tab w:val="right" w:pos="8640"/>
      </w:tabs>
    </w:pPr>
  </w:style>
  <w:style w:type="character" w:customStyle="1" w:styleId="FooterChar">
    <w:name w:val="Footer Char"/>
    <w:basedOn w:val="DefaultParagraphFont"/>
    <w:link w:val="Footer"/>
    <w:uiPriority w:val="99"/>
    <w:rsid w:val="00962B2B"/>
  </w:style>
  <w:style w:type="paragraph" w:styleId="BalloonText">
    <w:name w:val="Balloon Text"/>
    <w:basedOn w:val="Normal"/>
    <w:link w:val="BalloonTextChar"/>
    <w:uiPriority w:val="99"/>
    <w:semiHidden/>
    <w:unhideWhenUsed/>
    <w:rsid w:val="00962B2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62B2B"/>
    <w:rPr>
      <w:rFonts w:ascii="Lucida Grande" w:hAnsi="Lucida Grande" w:cs="Lucida Grande"/>
      <w:sz w:val="18"/>
      <w:szCs w:val="18"/>
    </w:rPr>
  </w:style>
  <w:style w:type="paragraph" w:customStyle="1" w:styleId="BasicParagraph">
    <w:name w:val="[Basic Paragraph]"/>
    <w:basedOn w:val="Normal"/>
    <w:uiPriority w:val="99"/>
    <w:rsid w:val="00962B2B"/>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Body">
    <w:name w:val="Body"/>
    <w:basedOn w:val="Normal"/>
    <w:rsid w:val="007F266D"/>
    <w:rPr>
      <w:rFonts w:ascii="Helvetica" w:eastAsiaTheme="minorHAnsi" w:hAnsi="Helvetica" w:cs="Helvetica"/>
      <w:color w:val="000000"/>
      <w:sz w:val="22"/>
      <w:szCs w:val="22"/>
      <w:lang w:eastAsia="en-GB"/>
    </w:rPr>
  </w:style>
  <w:style w:type="paragraph" w:styleId="FootnoteText">
    <w:name w:val="footnote text"/>
    <w:aliases w:val="5_G,Footnote Text Char1,Footnote Text Char Char,Footnote Text1,Footnote Text Char1 Char Char,Footnote Text Char Char Char Char,Footnote Text Char1 Char Char1 Char Char,Footnote Text Char Char Char Char1 Char Char,Char,Footnote Quot, Char,f"/>
    <w:basedOn w:val="Normal"/>
    <w:link w:val="FootnoteTextChar"/>
    <w:uiPriority w:val="99"/>
    <w:unhideWhenUsed/>
    <w:qFormat/>
    <w:rsid w:val="00224140"/>
  </w:style>
  <w:style w:type="character" w:customStyle="1" w:styleId="FootnoteTextChar">
    <w:name w:val="Footnote Text Char"/>
    <w:aliases w:val="5_G Char,Footnote Text Char1 Char,Footnote Text Char Char Char,Footnote Text1 Char,Footnote Text Char1 Char Char Char,Footnote Text Char Char Char Char Char,Footnote Text Char1 Char Char1 Char Char Char,Char Char,Footnote Quot Char"/>
    <w:basedOn w:val="DefaultParagraphFont"/>
    <w:link w:val="FootnoteText"/>
    <w:uiPriority w:val="99"/>
    <w:rsid w:val="00224140"/>
  </w:style>
  <w:style w:type="character" w:styleId="FootnoteReference">
    <w:name w:val="footnote reference"/>
    <w:aliases w:val="Footnotes refss,Odwołanie przypisu,Footnote symbol,Footnote Reference Number,Appel note de bas de p,Appel note de bas de p + (Asian) Batang,Black,(NECG) Footnote Reference,Nota,Footnote Refernece,Footnote Refernece + (Latein) Arial,FR"/>
    <w:basedOn w:val="DefaultParagraphFont"/>
    <w:link w:val="4GChar"/>
    <w:uiPriority w:val="99"/>
    <w:unhideWhenUsed/>
    <w:qFormat/>
    <w:rsid w:val="00224140"/>
    <w:rPr>
      <w:vertAlign w:val="superscript"/>
    </w:rPr>
  </w:style>
  <w:style w:type="character" w:styleId="PageNumber">
    <w:name w:val="page number"/>
    <w:basedOn w:val="DefaultParagraphFont"/>
    <w:uiPriority w:val="99"/>
    <w:semiHidden/>
    <w:unhideWhenUsed/>
    <w:rsid w:val="00D12EF8"/>
  </w:style>
  <w:style w:type="character" w:customStyle="1" w:styleId="Heading6Char">
    <w:name w:val="Heading 6 Char"/>
    <w:basedOn w:val="DefaultParagraphFont"/>
    <w:link w:val="Heading6"/>
    <w:uiPriority w:val="9"/>
    <w:semiHidden/>
    <w:rsid w:val="00224140"/>
    <w:rPr>
      <w:rFonts w:asciiTheme="majorHAnsi" w:eastAsiaTheme="majorEastAsia" w:hAnsiTheme="majorHAnsi" w:cstheme="majorBidi"/>
      <w:i/>
      <w:iCs/>
      <w:color w:val="243F60" w:themeColor="accent1" w:themeShade="7F"/>
    </w:rPr>
  </w:style>
  <w:style w:type="paragraph" w:customStyle="1" w:styleId="Default">
    <w:name w:val="Default"/>
    <w:rsid w:val="00552293"/>
    <w:pPr>
      <w:widowControl w:val="0"/>
      <w:autoSpaceDE w:val="0"/>
      <w:autoSpaceDN w:val="0"/>
      <w:adjustRightInd w:val="0"/>
    </w:pPr>
    <w:rPr>
      <w:rFonts w:ascii="Verdana" w:hAnsi="Verdana" w:cs="Verdana"/>
      <w:color w:val="000000"/>
      <w:lang w:val="en-US"/>
    </w:rPr>
  </w:style>
  <w:style w:type="paragraph" w:styleId="NormalWeb">
    <w:name w:val="Normal (Web)"/>
    <w:basedOn w:val="Normal"/>
    <w:uiPriority w:val="99"/>
    <w:unhideWhenUsed/>
    <w:rsid w:val="005B723E"/>
    <w:pPr>
      <w:spacing w:before="100" w:beforeAutospacing="1" w:after="100" w:afterAutospacing="1"/>
    </w:pPr>
    <w:rPr>
      <w:rFonts w:ascii="Times" w:hAnsi="Times" w:cs="Times New Roman"/>
      <w:sz w:val="20"/>
      <w:szCs w:val="20"/>
    </w:rPr>
  </w:style>
  <w:style w:type="paragraph" w:customStyle="1" w:styleId="NIHRCFootnotes">
    <w:name w:val="NIHRC Footnotes"/>
    <w:basedOn w:val="Normal"/>
    <w:qFormat/>
    <w:rsid w:val="004672AC"/>
    <w:pPr>
      <w:tabs>
        <w:tab w:val="left" w:pos="284"/>
      </w:tabs>
    </w:pPr>
    <w:rPr>
      <w:rFonts w:cs="Arial"/>
      <w:color w:val="77328A"/>
      <w:sz w:val="16"/>
      <w:szCs w:val="16"/>
    </w:rPr>
  </w:style>
  <w:style w:type="character" w:styleId="Hyperlink">
    <w:name w:val="Hyperlink"/>
    <w:basedOn w:val="DefaultParagraphFont"/>
    <w:uiPriority w:val="99"/>
    <w:unhideWhenUsed/>
    <w:rsid w:val="00331C61"/>
    <w:rPr>
      <w:color w:val="0000FF" w:themeColor="hyperlink"/>
      <w:u w:val="single"/>
    </w:rPr>
  </w:style>
  <w:style w:type="paragraph" w:styleId="ListParagraph">
    <w:name w:val="List Paragraph"/>
    <w:aliases w:val="Dot pt,No Spacing1,List Paragraph Char Char Char,Indicator Text,Numbered Para 1,List Paragraph1,Bullet 1,Bullet Points,MAIN CONTENT,List Paragraph2,OBC Bullet,List Paragraph11,List Paragraph12,F5 List Paragraph,Colorful List - Accent 11,L"/>
    <w:basedOn w:val="Normal"/>
    <w:link w:val="ListParagraphChar"/>
    <w:uiPriority w:val="34"/>
    <w:qFormat/>
    <w:rsid w:val="00565C64"/>
    <w:pPr>
      <w:spacing w:line="288" w:lineRule="auto"/>
      <w:ind w:left="720"/>
      <w:contextualSpacing/>
    </w:pPr>
  </w:style>
  <w:style w:type="character" w:customStyle="1" w:styleId="Heading1Char">
    <w:name w:val="Heading 1 Char"/>
    <w:basedOn w:val="DefaultParagraphFont"/>
    <w:link w:val="Heading1"/>
    <w:uiPriority w:val="9"/>
    <w:rsid w:val="00565C64"/>
    <w:rPr>
      <w:rFonts w:ascii="Verdana" w:eastAsiaTheme="majorEastAsia" w:hAnsi="Verdana" w:cstheme="majorBidi"/>
      <w:b/>
      <w:color w:val="77328A"/>
      <w:sz w:val="30"/>
      <w:szCs w:val="32"/>
    </w:rPr>
  </w:style>
  <w:style w:type="paragraph" w:styleId="TOCHeading">
    <w:name w:val="TOC Heading"/>
    <w:basedOn w:val="Heading1"/>
    <w:next w:val="Normal"/>
    <w:uiPriority w:val="39"/>
    <w:qFormat/>
    <w:rsid w:val="00B13E7D"/>
    <w:pPr>
      <w:numPr>
        <w:numId w:val="11"/>
      </w:numPr>
      <w:suppressAutoHyphens/>
      <w:autoSpaceDN w:val="0"/>
      <w:spacing w:after="240" w:line="247" w:lineRule="auto"/>
    </w:pPr>
    <w:rPr>
      <w:rFonts w:ascii="Calibri Light" w:eastAsia="Times New Roman" w:hAnsi="Calibri Light" w:cs="Times New Roman"/>
      <w:b w:val="0"/>
      <w:color w:val="2F5496"/>
      <w:sz w:val="32"/>
      <w:szCs w:val="40"/>
      <w:lang w:val="en-US" w:eastAsia="en-GB"/>
    </w:rPr>
  </w:style>
  <w:style w:type="numbering" w:customStyle="1" w:styleId="LFO8">
    <w:name w:val="LFO8"/>
    <w:basedOn w:val="NoList"/>
    <w:rsid w:val="00B13E7D"/>
    <w:pPr>
      <w:numPr>
        <w:numId w:val="13"/>
      </w:numPr>
    </w:pPr>
  </w:style>
  <w:style w:type="paragraph" w:customStyle="1" w:styleId="4GChar">
    <w:name w:val="4_G Char"/>
    <w:aliases w:val="Footnote Reference1 Char,Footnotes refss Char,ftref Char,BVI fnr Char,BVI fnr Car Car Char,BVI fnr Car Char,BVI fnr Car Car Car Car Char,BVI fnr Char Car Car Car Char,ftref,BVI fnr Car Car,BVI fnr Car,Appel note de bas de page Char"/>
    <w:basedOn w:val="Normal"/>
    <w:link w:val="FootnoteReference"/>
    <w:uiPriority w:val="99"/>
    <w:qFormat/>
    <w:rsid w:val="00B13E7D"/>
    <w:pPr>
      <w:spacing w:line="240" w:lineRule="exact"/>
      <w:jc w:val="both"/>
    </w:pPr>
    <w:rPr>
      <w:rFonts w:asciiTheme="minorHAnsi" w:hAnsiTheme="minorHAnsi"/>
      <w:vertAlign w:val="superscript"/>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2 Char,OBC Bullet Char,L Char"/>
    <w:link w:val="ListParagraph"/>
    <w:uiPriority w:val="34"/>
    <w:qFormat/>
    <w:locked/>
    <w:rsid w:val="00565C64"/>
    <w:rPr>
      <w:rFonts w:ascii="Verdana" w:hAnsi="Verdana"/>
    </w:rPr>
  </w:style>
  <w:style w:type="character" w:customStyle="1" w:styleId="Heading4Char">
    <w:name w:val="Heading 4 Char"/>
    <w:basedOn w:val="DefaultParagraphFont"/>
    <w:link w:val="Heading4"/>
    <w:uiPriority w:val="9"/>
    <w:semiHidden/>
    <w:rsid w:val="00B878BA"/>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143335"/>
    <w:rPr>
      <w:color w:val="605E5C"/>
      <w:shd w:val="clear" w:color="auto" w:fill="E1DFDD"/>
    </w:rPr>
  </w:style>
  <w:style w:type="paragraph" w:styleId="Quote">
    <w:name w:val="Quote"/>
    <w:basedOn w:val="Normal"/>
    <w:next w:val="Normal"/>
    <w:link w:val="QuoteChar"/>
    <w:uiPriority w:val="29"/>
    <w:qFormat/>
    <w:rsid w:val="00CA4A64"/>
    <w:pPr>
      <w:spacing w:line="288" w:lineRule="auto"/>
      <w:ind w:left="873" w:right="873"/>
    </w:pPr>
    <w:rPr>
      <w:rFonts w:eastAsiaTheme="minorHAnsi"/>
      <w:kern w:val="2"/>
      <w14:ligatures w14:val="standardContextual"/>
    </w:rPr>
  </w:style>
  <w:style w:type="character" w:customStyle="1" w:styleId="QuoteChar">
    <w:name w:val="Quote Char"/>
    <w:basedOn w:val="DefaultParagraphFont"/>
    <w:link w:val="Quote"/>
    <w:uiPriority w:val="29"/>
    <w:rsid w:val="00CA4A64"/>
    <w:rPr>
      <w:rFonts w:ascii="Verdana" w:eastAsiaTheme="minorHAnsi" w:hAnsi="Verdana"/>
      <w:kern w:val="2"/>
      <w14:ligatures w14:val="standardContextual"/>
    </w:rPr>
  </w:style>
  <w:style w:type="character" w:styleId="CommentReference">
    <w:name w:val="annotation reference"/>
    <w:basedOn w:val="DefaultParagraphFont"/>
    <w:uiPriority w:val="99"/>
    <w:unhideWhenUsed/>
    <w:rsid w:val="00162185"/>
    <w:rPr>
      <w:sz w:val="16"/>
      <w:szCs w:val="16"/>
    </w:rPr>
  </w:style>
  <w:style w:type="paragraph" w:styleId="CommentText">
    <w:name w:val="annotation text"/>
    <w:basedOn w:val="Normal"/>
    <w:link w:val="CommentTextChar"/>
    <w:uiPriority w:val="99"/>
    <w:unhideWhenUsed/>
    <w:rsid w:val="00162185"/>
    <w:rPr>
      <w:sz w:val="20"/>
      <w:szCs w:val="20"/>
    </w:rPr>
  </w:style>
  <w:style w:type="character" w:customStyle="1" w:styleId="CommentTextChar">
    <w:name w:val="Comment Text Char"/>
    <w:basedOn w:val="DefaultParagraphFont"/>
    <w:link w:val="CommentText"/>
    <w:uiPriority w:val="99"/>
    <w:rsid w:val="00162185"/>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162185"/>
    <w:rPr>
      <w:b/>
      <w:bCs/>
    </w:rPr>
  </w:style>
  <w:style w:type="character" w:customStyle="1" w:styleId="CommentSubjectChar">
    <w:name w:val="Comment Subject Char"/>
    <w:basedOn w:val="CommentTextChar"/>
    <w:link w:val="CommentSubject"/>
    <w:uiPriority w:val="99"/>
    <w:semiHidden/>
    <w:rsid w:val="00162185"/>
    <w:rPr>
      <w:rFonts w:ascii="Verdana" w:hAnsi="Verdana"/>
      <w:b/>
      <w:bCs/>
      <w:sz w:val="20"/>
      <w:szCs w:val="20"/>
    </w:rPr>
  </w:style>
  <w:style w:type="character" w:customStyle="1" w:styleId="footnotereference0">
    <w:name w:val="footnotereference"/>
    <w:basedOn w:val="DefaultParagraphFont"/>
    <w:rsid w:val="00C065DD"/>
  </w:style>
  <w:style w:type="paragraph" w:styleId="Revision">
    <w:name w:val="Revision"/>
    <w:hidden/>
    <w:uiPriority w:val="99"/>
    <w:semiHidden/>
    <w:rsid w:val="006E34D2"/>
    <w:rPr>
      <w:rFonts w:ascii="Verdana" w:hAnsi="Verdana"/>
    </w:rPr>
  </w:style>
  <w:style w:type="character" w:customStyle="1" w:styleId="Heading2Char">
    <w:name w:val="Heading 2 Char"/>
    <w:basedOn w:val="DefaultParagraphFont"/>
    <w:link w:val="Heading2"/>
    <w:uiPriority w:val="9"/>
    <w:rsid w:val="006E34D2"/>
    <w:rPr>
      <w:rFonts w:ascii="Verdana" w:eastAsiaTheme="majorEastAsia" w:hAnsi="Verdana" w:cstheme="majorBidi"/>
      <w:b/>
      <w:szCs w:val="26"/>
    </w:rPr>
  </w:style>
  <w:style w:type="character" w:styleId="FollowedHyperlink">
    <w:name w:val="FollowedHyperlink"/>
    <w:basedOn w:val="DefaultParagraphFont"/>
    <w:uiPriority w:val="99"/>
    <w:semiHidden/>
    <w:unhideWhenUsed/>
    <w:rsid w:val="005F2EFE"/>
    <w:rPr>
      <w:color w:val="800080" w:themeColor="followedHyperlink"/>
      <w:u w:val="single"/>
    </w:rPr>
  </w:style>
  <w:style w:type="character" w:styleId="Mention">
    <w:name w:val="Mention"/>
    <w:basedOn w:val="DefaultParagraphFont"/>
    <w:uiPriority w:val="99"/>
    <w:unhideWhenUsed/>
    <w:rsid w:val="006C429E"/>
    <w:rPr>
      <w:color w:val="2B579A"/>
      <w:shd w:val="clear" w:color="auto" w:fill="E1DFDD"/>
    </w:rPr>
  </w:style>
  <w:style w:type="paragraph" w:styleId="TOC2">
    <w:name w:val="toc 2"/>
    <w:basedOn w:val="Normal"/>
    <w:next w:val="Normal"/>
    <w:autoRedefine/>
    <w:uiPriority w:val="39"/>
    <w:unhideWhenUsed/>
    <w:rsid w:val="00FA7DC8"/>
    <w:pPr>
      <w:tabs>
        <w:tab w:val="right" w:leader="dot" w:pos="9848"/>
      </w:tabs>
      <w:spacing w:after="100" w:line="259" w:lineRule="auto"/>
      <w:ind w:left="220"/>
    </w:pPr>
    <w:rPr>
      <w:rFonts w:cs="Times New Roman"/>
      <w:noProof/>
      <w:lang w:eastAsia="en-GB"/>
    </w:rPr>
  </w:style>
  <w:style w:type="paragraph" w:styleId="TOC1">
    <w:name w:val="toc 1"/>
    <w:basedOn w:val="Normal"/>
    <w:next w:val="Normal"/>
    <w:autoRedefine/>
    <w:uiPriority w:val="39"/>
    <w:unhideWhenUsed/>
    <w:rsid w:val="003047F5"/>
    <w:pPr>
      <w:tabs>
        <w:tab w:val="left" w:pos="720"/>
        <w:tab w:val="right" w:leader="dot" w:pos="9848"/>
      </w:tabs>
      <w:spacing w:after="100" w:line="259" w:lineRule="auto"/>
    </w:pPr>
    <w:rPr>
      <w:rFonts w:cs="Times New Roman"/>
      <w:b/>
      <w:bCs/>
      <w:noProof/>
      <w:lang w:eastAsia="en-GB"/>
    </w:rPr>
  </w:style>
  <w:style w:type="paragraph" w:styleId="TOC3">
    <w:name w:val="toc 3"/>
    <w:basedOn w:val="Normal"/>
    <w:next w:val="Normal"/>
    <w:autoRedefine/>
    <w:uiPriority w:val="39"/>
    <w:unhideWhenUsed/>
    <w:rsid w:val="003047F5"/>
    <w:pPr>
      <w:spacing w:after="100" w:line="259" w:lineRule="auto"/>
      <w:ind w:left="440"/>
    </w:pPr>
    <w:rPr>
      <w:rFonts w:asciiTheme="minorHAnsi" w:hAnsiTheme="minorHAnsi" w:cs="Times New Roman"/>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988160">
      <w:bodyDiv w:val="1"/>
      <w:marLeft w:val="0"/>
      <w:marRight w:val="0"/>
      <w:marTop w:val="0"/>
      <w:marBottom w:val="0"/>
      <w:divBdr>
        <w:top w:val="none" w:sz="0" w:space="0" w:color="auto"/>
        <w:left w:val="none" w:sz="0" w:space="0" w:color="auto"/>
        <w:bottom w:val="none" w:sz="0" w:space="0" w:color="auto"/>
        <w:right w:val="none" w:sz="0" w:space="0" w:color="auto"/>
      </w:divBdr>
      <w:divsChild>
        <w:div w:id="1028986289">
          <w:marLeft w:val="0"/>
          <w:marRight w:val="0"/>
          <w:marTop w:val="0"/>
          <w:marBottom w:val="0"/>
          <w:divBdr>
            <w:top w:val="none" w:sz="0" w:space="0" w:color="auto"/>
            <w:left w:val="none" w:sz="0" w:space="0" w:color="auto"/>
            <w:bottom w:val="none" w:sz="0" w:space="0" w:color="auto"/>
            <w:right w:val="none" w:sz="0" w:space="0" w:color="auto"/>
          </w:divBdr>
          <w:divsChild>
            <w:div w:id="1795251692">
              <w:marLeft w:val="0"/>
              <w:marRight w:val="0"/>
              <w:marTop w:val="0"/>
              <w:marBottom w:val="0"/>
              <w:divBdr>
                <w:top w:val="none" w:sz="0" w:space="0" w:color="auto"/>
                <w:left w:val="none" w:sz="0" w:space="0" w:color="auto"/>
                <w:bottom w:val="none" w:sz="0" w:space="0" w:color="auto"/>
                <w:right w:val="none" w:sz="0" w:space="0" w:color="auto"/>
              </w:divBdr>
              <w:divsChild>
                <w:div w:id="1466923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585121">
      <w:bodyDiv w:val="1"/>
      <w:marLeft w:val="0"/>
      <w:marRight w:val="0"/>
      <w:marTop w:val="0"/>
      <w:marBottom w:val="0"/>
      <w:divBdr>
        <w:top w:val="none" w:sz="0" w:space="0" w:color="auto"/>
        <w:left w:val="none" w:sz="0" w:space="0" w:color="auto"/>
        <w:bottom w:val="none" w:sz="0" w:space="0" w:color="auto"/>
        <w:right w:val="none" w:sz="0" w:space="0" w:color="auto"/>
      </w:divBdr>
    </w:div>
    <w:div w:id="2006592875">
      <w:bodyDiv w:val="1"/>
      <w:marLeft w:val="0"/>
      <w:marRight w:val="0"/>
      <w:marTop w:val="0"/>
      <w:marBottom w:val="0"/>
      <w:divBdr>
        <w:top w:val="none" w:sz="0" w:space="0" w:color="auto"/>
        <w:left w:val="none" w:sz="0" w:space="0" w:color="auto"/>
        <w:bottom w:val="none" w:sz="0" w:space="0" w:color="auto"/>
        <w:right w:val="none" w:sz="0" w:space="0" w:color="auto"/>
      </w:divBdr>
    </w:div>
    <w:div w:id="2129470764">
      <w:bodyDiv w:val="1"/>
      <w:marLeft w:val="0"/>
      <w:marRight w:val="0"/>
      <w:marTop w:val="0"/>
      <w:marBottom w:val="0"/>
      <w:divBdr>
        <w:top w:val="none" w:sz="0" w:space="0" w:color="auto"/>
        <w:left w:val="none" w:sz="0" w:space="0" w:color="auto"/>
        <w:bottom w:val="none" w:sz="0" w:space="0" w:color="auto"/>
        <w:right w:val="none" w:sz="0" w:space="0" w:color="auto"/>
      </w:divBdr>
      <w:divsChild>
        <w:div w:id="608201235">
          <w:marLeft w:val="0"/>
          <w:marRight w:val="0"/>
          <w:marTop w:val="0"/>
          <w:marBottom w:val="0"/>
          <w:divBdr>
            <w:top w:val="none" w:sz="0" w:space="0" w:color="auto"/>
            <w:left w:val="none" w:sz="0" w:space="0" w:color="auto"/>
            <w:bottom w:val="none" w:sz="0" w:space="0" w:color="auto"/>
            <w:right w:val="none" w:sz="0" w:space="0" w:color="auto"/>
          </w:divBdr>
          <w:divsChild>
            <w:div w:id="248193691">
              <w:marLeft w:val="0"/>
              <w:marRight w:val="0"/>
              <w:marTop w:val="0"/>
              <w:marBottom w:val="0"/>
              <w:divBdr>
                <w:top w:val="none" w:sz="0" w:space="0" w:color="auto"/>
                <w:left w:val="none" w:sz="0" w:space="0" w:color="auto"/>
                <w:bottom w:val="none" w:sz="0" w:space="0" w:color="auto"/>
                <w:right w:val="none" w:sz="0" w:space="0" w:color="auto"/>
              </w:divBdr>
              <w:divsChild>
                <w:div w:id="91771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ilis.Haughey@NIHRC.org"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lin.Caughey@NIHRC.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info@nihrc.org"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ihrc.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hudoc.echr.coe.int/e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N:\Staff%20Information\Branding%20&amp;%20Guidance%20-%20Staff\Templates\27689%20-%20HUMAN%20RIGHTS%20Researc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1320E77E35C644A511CBC5C12B0A0B" ma:contentTypeVersion="19" ma:contentTypeDescription="Create a new document." ma:contentTypeScope="" ma:versionID="3de475bbc9da9acda9ac55a07c915356">
  <xsd:schema xmlns:xsd="http://www.w3.org/2001/XMLSchema" xmlns:xs="http://www.w3.org/2001/XMLSchema" xmlns:p="http://schemas.microsoft.com/office/2006/metadata/properties" xmlns:ns2="12479bdc-b58c-44ab-9f0f-fa5baefb3da2" xmlns:ns3="806d6863-a85d-4a14-ba5d-ada9e5b222dd" targetNamespace="http://schemas.microsoft.com/office/2006/metadata/properties" ma:root="true" ma:fieldsID="a362a11f490bf88d5bbd359e1c8a158c" ns2:_="" ns3:_="">
    <xsd:import namespace="12479bdc-b58c-44ab-9f0f-fa5baefb3da2"/>
    <xsd:import namespace="806d6863-a85d-4a14-ba5d-ada9e5b222d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Date_x002f_Time"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479bdc-b58c-44ab-9f0f-fa5baefb3d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45f4dd7-5f98-4d70-8c56-0bc13f09c8b1"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Date_x002f_Time" ma:index="22" nillable="true" ma:displayName="Date/Time" ma:format="DateOnly" ma:internalName="Date_x002f_Time">
      <xsd:simpleType>
        <xsd:restriction base="dms:DateTim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6d6863-a85d-4a14-ba5d-ada9e5b222d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3dadd1eb-4809-467b-a4c7-9f8b25a82955}" ma:internalName="TaxCatchAll" ma:showField="CatchAllData" ma:web="806d6863-a85d-4a14-ba5d-ada9e5b222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f_Time xmlns="12479bdc-b58c-44ab-9f0f-fa5baefb3da2" xsi:nil="true"/>
    <lcf76f155ced4ddcb4097134ff3c332f xmlns="12479bdc-b58c-44ab-9f0f-fa5baefb3da2">
      <Terms xmlns="http://schemas.microsoft.com/office/infopath/2007/PartnerControls"/>
    </lcf76f155ced4ddcb4097134ff3c332f>
    <TaxCatchAll xmlns="806d6863-a85d-4a14-ba5d-ada9e5b222dd" xsi:nil="true"/>
  </documentManagement>
</p:properties>
</file>

<file path=customXml/itemProps1.xml><?xml version="1.0" encoding="utf-8"?>
<ds:datastoreItem xmlns:ds="http://schemas.openxmlformats.org/officeDocument/2006/customXml" ds:itemID="{39D316AC-57B0-4C70-B394-8F0D3775EF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479bdc-b58c-44ab-9f0f-fa5baefb3da2"/>
    <ds:schemaRef ds:uri="806d6863-a85d-4a14-ba5d-ada9e5b222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384150-B37B-41D5-8D0B-6D64543DD0F5}">
  <ds:schemaRefs>
    <ds:schemaRef ds:uri="http://schemas.openxmlformats.org/officeDocument/2006/bibliography"/>
  </ds:schemaRefs>
</ds:datastoreItem>
</file>

<file path=customXml/itemProps3.xml><?xml version="1.0" encoding="utf-8"?>
<ds:datastoreItem xmlns:ds="http://schemas.openxmlformats.org/officeDocument/2006/customXml" ds:itemID="{BC20A90E-D6F9-4243-B5D8-A31A8D852DC0}">
  <ds:schemaRefs>
    <ds:schemaRef ds:uri="http://schemas.microsoft.com/sharepoint/v3/contenttype/forms"/>
  </ds:schemaRefs>
</ds:datastoreItem>
</file>

<file path=customXml/itemProps4.xml><?xml version="1.0" encoding="utf-8"?>
<ds:datastoreItem xmlns:ds="http://schemas.openxmlformats.org/officeDocument/2006/customXml" ds:itemID="{9860A5F2-138B-4FFE-80E2-8A2BFA48C1A1}">
  <ds:schemaRefs>
    <ds:schemaRef ds:uri="http://schemas.microsoft.com/office/2006/metadata/properties"/>
    <ds:schemaRef ds:uri="http://schemas.microsoft.com/office/infopath/2007/PartnerControls"/>
    <ds:schemaRef ds:uri="12479bdc-b58c-44ab-9f0f-fa5baefb3da2"/>
    <ds:schemaRef ds:uri="806d6863-a85d-4a14-ba5d-ada9e5b222dd"/>
  </ds:schemaRefs>
</ds:datastoreItem>
</file>

<file path=docProps/app.xml><?xml version="1.0" encoding="utf-8"?>
<Properties xmlns="http://schemas.openxmlformats.org/officeDocument/2006/extended-properties" xmlns:vt="http://schemas.openxmlformats.org/officeDocument/2006/docPropsVTypes">
  <Template>27689 - HUMAN RIGHTS Research</Template>
  <TotalTime>59</TotalTime>
  <Pages>24</Pages>
  <Words>6069</Words>
  <Characters>32897</Characters>
  <Application>Microsoft Office Word</Application>
  <DocSecurity>0</DocSecurity>
  <Lines>1315</Lines>
  <Paragraphs>512</Paragraphs>
  <ScaleCrop>false</ScaleCrop>
  <HeadingPairs>
    <vt:vector size="2" baseType="variant">
      <vt:variant>
        <vt:lpstr>Title</vt:lpstr>
      </vt:variant>
      <vt:variant>
        <vt:i4>1</vt:i4>
      </vt:variant>
    </vt:vector>
  </HeadingPairs>
  <TitlesOfParts>
    <vt:vector size="1" baseType="lpstr">
      <vt:lpstr/>
    </vt:vector>
  </TitlesOfParts>
  <Company>Whitenoise</Company>
  <LinksUpToDate>false</LinksUpToDate>
  <CharactersWithSpaces>38454</CharactersWithSpaces>
  <SharedDoc>false</SharedDoc>
  <HLinks>
    <vt:vector size="96" baseType="variant">
      <vt:variant>
        <vt:i4>6946881</vt:i4>
      </vt:variant>
      <vt:variant>
        <vt:i4>78</vt:i4>
      </vt:variant>
      <vt:variant>
        <vt:i4>0</vt:i4>
      </vt:variant>
      <vt:variant>
        <vt:i4>5</vt:i4>
      </vt:variant>
      <vt:variant>
        <vt:lpwstr>mailto:info@nihrc.org</vt:lpwstr>
      </vt:variant>
      <vt:variant>
        <vt:lpwstr/>
      </vt:variant>
      <vt:variant>
        <vt:i4>4587543</vt:i4>
      </vt:variant>
      <vt:variant>
        <vt:i4>75</vt:i4>
      </vt:variant>
      <vt:variant>
        <vt:i4>0</vt:i4>
      </vt:variant>
      <vt:variant>
        <vt:i4>5</vt:i4>
      </vt:variant>
      <vt:variant>
        <vt:lpwstr>http://www.nihrc.org/</vt:lpwstr>
      </vt:variant>
      <vt:variant>
        <vt:lpwstr/>
      </vt:variant>
      <vt:variant>
        <vt:i4>7929856</vt:i4>
      </vt:variant>
      <vt:variant>
        <vt:i4>72</vt:i4>
      </vt:variant>
      <vt:variant>
        <vt:i4>0</vt:i4>
      </vt:variant>
      <vt:variant>
        <vt:i4>5</vt:i4>
      </vt:variant>
      <vt:variant>
        <vt:lpwstr>mailto:Eilis.Haughey@NIHRC.org</vt:lpwstr>
      </vt:variant>
      <vt:variant>
        <vt:lpwstr/>
      </vt:variant>
      <vt:variant>
        <vt:i4>6881286</vt:i4>
      </vt:variant>
      <vt:variant>
        <vt:i4>69</vt:i4>
      </vt:variant>
      <vt:variant>
        <vt:i4>0</vt:i4>
      </vt:variant>
      <vt:variant>
        <vt:i4>5</vt:i4>
      </vt:variant>
      <vt:variant>
        <vt:lpwstr>mailto:Colin.Caughey@NIHRC.org</vt:lpwstr>
      </vt:variant>
      <vt:variant>
        <vt:lpwstr/>
      </vt:variant>
      <vt:variant>
        <vt:i4>1507384</vt:i4>
      </vt:variant>
      <vt:variant>
        <vt:i4>62</vt:i4>
      </vt:variant>
      <vt:variant>
        <vt:i4>0</vt:i4>
      </vt:variant>
      <vt:variant>
        <vt:i4>5</vt:i4>
      </vt:variant>
      <vt:variant>
        <vt:lpwstr/>
      </vt:variant>
      <vt:variant>
        <vt:lpwstr>_Toc242693116</vt:lpwstr>
      </vt:variant>
      <vt:variant>
        <vt:i4>1507384</vt:i4>
      </vt:variant>
      <vt:variant>
        <vt:i4>56</vt:i4>
      </vt:variant>
      <vt:variant>
        <vt:i4>0</vt:i4>
      </vt:variant>
      <vt:variant>
        <vt:i4>5</vt:i4>
      </vt:variant>
      <vt:variant>
        <vt:lpwstr/>
      </vt:variant>
      <vt:variant>
        <vt:lpwstr>_Toc242693115</vt:lpwstr>
      </vt:variant>
      <vt:variant>
        <vt:i4>1507384</vt:i4>
      </vt:variant>
      <vt:variant>
        <vt:i4>50</vt:i4>
      </vt:variant>
      <vt:variant>
        <vt:i4>0</vt:i4>
      </vt:variant>
      <vt:variant>
        <vt:i4>5</vt:i4>
      </vt:variant>
      <vt:variant>
        <vt:lpwstr/>
      </vt:variant>
      <vt:variant>
        <vt:lpwstr>_Toc242693114</vt:lpwstr>
      </vt:variant>
      <vt:variant>
        <vt:i4>1507384</vt:i4>
      </vt:variant>
      <vt:variant>
        <vt:i4>44</vt:i4>
      </vt:variant>
      <vt:variant>
        <vt:i4>0</vt:i4>
      </vt:variant>
      <vt:variant>
        <vt:i4>5</vt:i4>
      </vt:variant>
      <vt:variant>
        <vt:lpwstr/>
      </vt:variant>
      <vt:variant>
        <vt:lpwstr>_Toc242693113</vt:lpwstr>
      </vt:variant>
      <vt:variant>
        <vt:i4>1507384</vt:i4>
      </vt:variant>
      <vt:variant>
        <vt:i4>38</vt:i4>
      </vt:variant>
      <vt:variant>
        <vt:i4>0</vt:i4>
      </vt:variant>
      <vt:variant>
        <vt:i4>5</vt:i4>
      </vt:variant>
      <vt:variant>
        <vt:lpwstr/>
      </vt:variant>
      <vt:variant>
        <vt:lpwstr>_Toc242693112</vt:lpwstr>
      </vt:variant>
      <vt:variant>
        <vt:i4>1507384</vt:i4>
      </vt:variant>
      <vt:variant>
        <vt:i4>32</vt:i4>
      </vt:variant>
      <vt:variant>
        <vt:i4>0</vt:i4>
      </vt:variant>
      <vt:variant>
        <vt:i4>5</vt:i4>
      </vt:variant>
      <vt:variant>
        <vt:lpwstr/>
      </vt:variant>
      <vt:variant>
        <vt:lpwstr>_Toc242693111</vt:lpwstr>
      </vt:variant>
      <vt:variant>
        <vt:i4>1507384</vt:i4>
      </vt:variant>
      <vt:variant>
        <vt:i4>26</vt:i4>
      </vt:variant>
      <vt:variant>
        <vt:i4>0</vt:i4>
      </vt:variant>
      <vt:variant>
        <vt:i4>5</vt:i4>
      </vt:variant>
      <vt:variant>
        <vt:lpwstr/>
      </vt:variant>
      <vt:variant>
        <vt:lpwstr>_Toc242693110</vt:lpwstr>
      </vt:variant>
      <vt:variant>
        <vt:i4>1441848</vt:i4>
      </vt:variant>
      <vt:variant>
        <vt:i4>20</vt:i4>
      </vt:variant>
      <vt:variant>
        <vt:i4>0</vt:i4>
      </vt:variant>
      <vt:variant>
        <vt:i4>5</vt:i4>
      </vt:variant>
      <vt:variant>
        <vt:lpwstr/>
      </vt:variant>
      <vt:variant>
        <vt:lpwstr>_Toc242693109</vt:lpwstr>
      </vt:variant>
      <vt:variant>
        <vt:i4>1441848</vt:i4>
      </vt:variant>
      <vt:variant>
        <vt:i4>14</vt:i4>
      </vt:variant>
      <vt:variant>
        <vt:i4>0</vt:i4>
      </vt:variant>
      <vt:variant>
        <vt:i4>5</vt:i4>
      </vt:variant>
      <vt:variant>
        <vt:lpwstr/>
      </vt:variant>
      <vt:variant>
        <vt:lpwstr>_Toc242693108</vt:lpwstr>
      </vt:variant>
      <vt:variant>
        <vt:i4>1441848</vt:i4>
      </vt:variant>
      <vt:variant>
        <vt:i4>8</vt:i4>
      </vt:variant>
      <vt:variant>
        <vt:i4>0</vt:i4>
      </vt:variant>
      <vt:variant>
        <vt:i4>5</vt:i4>
      </vt:variant>
      <vt:variant>
        <vt:lpwstr/>
      </vt:variant>
      <vt:variant>
        <vt:lpwstr>_Toc242693107</vt:lpwstr>
      </vt:variant>
      <vt:variant>
        <vt:i4>1441848</vt:i4>
      </vt:variant>
      <vt:variant>
        <vt:i4>2</vt:i4>
      </vt:variant>
      <vt:variant>
        <vt:i4>0</vt:i4>
      </vt:variant>
      <vt:variant>
        <vt:i4>5</vt:i4>
      </vt:variant>
      <vt:variant>
        <vt:lpwstr/>
      </vt:variant>
      <vt:variant>
        <vt:lpwstr>_Toc242693106</vt:lpwstr>
      </vt:variant>
      <vt:variant>
        <vt:i4>3997751</vt:i4>
      </vt:variant>
      <vt:variant>
        <vt:i4>0</vt:i4>
      </vt:variant>
      <vt:variant>
        <vt:i4>0</vt:i4>
      </vt:variant>
      <vt:variant>
        <vt:i4>5</vt:i4>
      </vt:variant>
      <vt:variant>
        <vt:lpwstr>https://hudoc.echr.coe.int/eng</vt:lpwstr>
      </vt:variant>
      <vt:variant>
        <vt:lpwstr>{%22appno%22:[%2226986/03%22]}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McKeown</dc:creator>
  <cp:keywords/>
  <dc:description/>
  <cp:lastModifiedBy>Megan McDermott</cp:lastModifiedBy>
  <cp:revision>228</cp:revision>
  <cp:lastPrinted>2026-10-19T16:07:00Z</cp:lastPrinted>
  <dcterms:created xsi:type="dcterms:W3CDTF">2026-10-09T16:30:00Z</dcterms:created>
  <dcterms:modified xsi:type="dcterms:W3CDTF">2026-10-19T16:21:00Z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0x010100F41320E77E35C644A511CBC5C12B0A0B</vt:lpwstr>
  </property>
  <property fmtid="{D5CDD505-2E9C-101B-9397-08002B2CF9AE}" pid="3" name="MediaServiceImageTags">
    <vt:lpwstr/>
  </property>
</Properties>
</file>