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30E2"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F796986" wp14:editId="4FD21A43">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07B21BA"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73FE812B" w14:textId="74239641" w:rsidR="0096459E" w:rsidRPr="003B7D0E" w:rsidRDefault="00F65185"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NIHRC Response to the Department for Infrastructure’s Consultation on Concessionary Fares</w:t>
      </w:r>
    </w:p>
    <w:p w14:paraId="05AE4A7B" w14:textId="77777777" w:rsidR="00F31387" w:rsidRPr="00331C61" w:rsidRDefault="00F31387" w:rsidP="003B7D0E">
      <w:pPr>
        <w:pStyle w:val="Default"/>
        <w:spacing w:line="288" w:lineRule="auto"/>
        <w:jc w:val="center"/>
        <w:rPr>
          <w:rFonts w:cs="Arial"/>
          <w:color w:val="232120"/>
          <w:sz w:val="36"/>
          <w:szCs w:val="36"/>
        </w:rPr>
      </w:pPr>
    </w:p>
    <w:p w14:paraId="0A6C0DE7" w14:textId="28722211" w:rsidR="008159E8" w:rsidRPr="00331C61" w:rsidRDefault="007C3AB8" w:rsidP="003B7D0E">
      <w:pPr>
        <w:spacing w:line="288" w:lineRule="auto"/>
        <w:jc w:val="center"/>
        <w:rPr>
          <w:rFonts w:ascii="Verdana" w:hAnsi="Verdana" w:cs="Arial"/>
          <w:b/>
          <w:color w:val="232120"/>
          <w:sz w:val="30"/>
          <w:szCs w:val="30"/>
        </w:rPr>
      </w:pPr>
      <w:r>
        <w:rPr>
          <w:rFonts w:ascii="Verdana" w:hAnsi="Verdana" w:cs="Arial"/>
          <w:b/>
          <w:color w:val="232120"/>
          <w:sz w:val="30"/>
          <w:szCs w:val="30"/>
        </w:rPr>
        <w:t xml:space="preserve">22 </w:t>
      </w:r>
      <w:r w:rsidR="00F65185">
        <w:rPr>
          <w:rFonts w:ascii="Verdana" w:hAnsi="Verdana" w:cs="Arial"/>
          <w:b/>
          <w:color w:val="232120"/>
          <w:sz w:val="30"/>
          <w:szCs w:val="30"/>
        </w:rPr>
        <w:t>August 2023</w:t>
      </w:r>
    </w:p>
    <w:p w14:paraId="6E5E19C0" w14:textId="77777777" w:rsidR="00046705" w:rsidRPr="00331C61" w:rsidRDefault="00046705" w:rsidP="003B7D0E">
      <w:pPr>
        <w:spacing w:line="288" w:lineRule="auto"/>
        <w:jc w:val="center"/>
        <w:rPr>
          <w:rFonts w:ascii="Verdana" w:hAnsi="Verdana" w:cs="Arial"/>
          <w:b/>
          <w:color w:val="232120"/>
          <w:sz w:val="28"/>
          <w:szCs w:val="28"/>
        </w:rPr>
      </w:pPr>
    </w:p>
    <w:p w14:paraId="2B0EDBDA" w14:textId="77777777" w:rsidR="00046705" w:rsidRPr="00331C61" w:rsidRDefault="00046705" w:rsidP="003B7D0E">
      <w:pPr>
        <w:spacing w:line="288" w:lineRule="auto"/>
        <w:jc w:val="center"/>
        <w:rPr>
          <w:rFonts w:ascii="Verdana" w:hAnsi="Verdana" w:cs="Arial"/>
          <w:b/>
          <w:color w:val="232120"/>
          <w:sz w:val="28"/>
          <w:szCs w:val="28"/>
        </w:rPr>
      </w:pPr>
    </w:p>
    <w:p w14:paraId="741512D5" w14:textId="77777777" w:rsidR="00EA12CE" w:rsidRPr="00331C61" w:rsidRDefault="00EA12CE" w:rsidP="003B7D0E">
      <w:pPr>
        <w:pStyle w:val="Default"/>
        <w:spacing w:line="288" w:lineRule="auto"/>
        <w:jc w:val="center"/>
        <w:rPr>
          <w:rFonts w:cs="Arial"/>
          <w:b/>
          <w:color w:val="232120"/>
          <w:sz w:val="28"/>
          <w:szCs w:val="28"/>
          <w:lang w:val="en-GB"/>
        </w:rPr>
      </w:pPr>
    </w:p>
    <w:p w14:paraId="67807102" w14:textId="77777777" w:rsidR="003B7D0E" w:rsidRPr="00331C61" w:rsidRDefault="003B7D0E" w:rsidP="003B7D0E">
      <w:pPr>
        <w:pStyle w:val="Default"/>
        <w:spacing w:line="480" w:lineRule="auto"/>
        <w:jc w:val="center"/>
        <w:rPr>
          <w:rFonts w:cs="Arial"/>
          <w:b/>
          <w:color w:val="232120"/>
          <w:sz w:val="36"/>
          <w:szCs w:val="36"/>
        </w:rPr>
      </w:pPr>
    </w:p>
    <w:p w14:paraId="457C4ED7" w14:textId="77777777" w:rsidR="003B7D0E" w:rsidRDefault="003B7D0E" w:rsidP="003B7D0E">
      <w:pPr>
        <w:pStyle w:val="Default"/>
        <w:spacing w:line="480" w:lineRule="auto"/>
        <w:jc w:val="center"/>
        <w:rPr>
          <w:rFonts w:cs="Arial"/>
          <w:b/>
          <w:color w:val="232120"/>
          <w:sz w:val="36"/>
          <w:szCs w:val="36"/>
        </w:rPr>
      </w:pPr>
    </w:p>
    <w:p w14:paraId="0D1A07FF" w14:textId="77777777" w:rsidR="000738D9" w:rsidRDefault="000738D9" w:rsidP="003B7D0E">
      <w:pPr>
        <w:pStyle w:val="Default"/>
        <w:spacing w:line="480" w:lineRule="auto"/>
        <w:jc w:val="center"/>
        <w:rPr>
          <w:rFonts w:cs="Arial"/>
          <w:b/>
          <w:color w:val="232120"/>
          <w:sz w:val="36"/>
          <w:szCs w:val="36"/>
        </w:rPr>
      </w:pPr>
    </w:p>
    <w:p w14:paraId="27BD47E1" w14:textId="77777777" w:rsidR="000738D9" w:rsidRDefault="000738D9"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1794739027"/>
        <w:docPartObj>
          <w:docPartGallery w:val="Table of Contents"/>
          <w:docPartUnique/>
        </w:docPartObj>
      </w:sdtPr>
      <w:sdtEndPr>
        <w:rPr>
          <w:b/>
          <w:bCs/>
          <w:noProof/>
        </w:rPr>
      </w:sdtEndPr>
      <w:sdtContent>
        <w:p w14:paraId="6B9E0FF4" w14:textId="30807135" w:rsidR="00BE2CF5" w:rsidRPr="000738D9" w:rsidRDefault="00BE2CF5">
          <w:pPr>
            <w:pStyle w:val="TOCHeading"/>
            <w:rPr>
              <w:rFonts w:ascii="Verdana" w:hAnsi="Verdana"/>
              <w:b/>
              <w:bCs/>
              <w:color w:val="77328A"/>
              <w:sz w:val="24"/>
              <w:szCs w:val="24"/>
            </w:rPr>
          </w:pPr>
          <w:r w:rsidRPr="000738D9">
            <w:rPr>
              <w:rFonts w:ascii="Verdana" w:hAnsi="Verdana"/>
              <w:b/>
              <w:bCs/>
              <w:color w:val="77328A"/>
              <w:sz w:val="30"/>
              <w:szCs w:val="30"/>
            </w:rPr>
            <w:t>Table of Contents</w:t>
          </w:r>
        </w:p>
        <w:p w14:paraId="6ADF023B" w14:textId="152EA026" w:rsidR="00427BF7" w:rsidRPr="00427BF7" w:rsidRDefault="00BE2CF5" w:rsidP="00427BF7">
          <w:pPr>
            <w:pStyle w:val="TOC1"/>
            <w:rPr>
              <w:rFonts w:cstheme="minorBidi"/>
              <w:kern w:val="2"/>
              <w:lang w:val="en-GB" w:eastAsia="en-GB"/>
              <w14:ligatures w14:val="standardContextual"/>
            </w:rPr>
          </w:pPr>
          <w:r w:rsidRPr="000738D9">
            <w:rPr>
              <w:noProof w:val="0"/>
            </w:rPr>
            <w:fldChar w:fldCharType="begin"/>
          </w:r>
          <w:r w:rsidRPr="000738D9">
            <w:instrText xml:space="preserve"> TOC \o "1-3" \h \z \u </w:instrText>
          </w:r>
          <w:r w:rsidRPr="000738D9">
            <w:rPr>
              <w:noProof w:val="0"/>
            </w:rPr>
            <w:fldChar w:fldCharType="separate"/>
          </w:r>
          <w:hyperlink w:anchor="_Toc143609768" w:history="1">
            <w:r w:rsidR="00427BF7" w:rsidRPr="00427BF7">
              <w:rPr>
                <w:rStyle w:val="Hyperlink"/>
              </w:rPr>
              <w:t>Recommendations</w:t>
            </w:r>
            <w:r w:rsidR="00427BF7" w:rsidRPr="00427BF7">
              <w:rPr>
                <w:webHidden/>
              </w:rPr>
              <w:tab/>
            </w:r>
            <w:r w:rsidR="00427BF7" w:rsidRPr="00427BF7">
              <w:rPr>
                <w:webHidden/>
              </w:rPr>
              <w:fldChar w:fldCharType="begin"/>
            </w:r>
            <w:r w:rsidR="00427BF7" w:rsidRPr="00427BF7">
              <w:rPr>
                <w:webHidden/>
              </w:rPr>
              <w:instrText xml:space="preserve"> PAGEREF _Toc143609768 \h </w:instrText>
            </w:r>
            <w:r w:rsidR="00427BF7" w:rsidRPr="00427BF7">
              <w:rPr>
                <w:webHidden/>
              </w:rPr>
            </w:r>
            <w:r w:rsidR="00427BF7" w:rsidRPr="00427BF7">
              <w:rPr>
                <w:webHidden/>
              </w:rPr>
              <w:fldChar w:fldCharType="separate"/>
            </w:r>
            <w:r w:rsidR="00427BF7" w:rsidRPr="00427BF7">
              <w:rPr>
                <w:webHidden/>
              </w:rPr>
              <w:t>3</w:t>
            </w:r>
            <w:r w:rsidR="00427BF7" w:rsidRPr="00427BF7">
              <w:rPr>
                <w:webHidden/>
              </w:rPr>
              <w:fldChar w:fldCharType="end"/>
            </w:r>
          </w:hyperlink>
        </w:p>
        <w:p w14:paraId="08658FC4" w14:textId="2C929B97" w:rsidR="00427BF7" w:rsidRPr="00427BF7" w:rsidRDefault="007C3AB8" w:rsidP="00427BF7">
          <w:pPr>
            <w:pStyle w:val="TOC1"/>
            <w:rPr>
              <w:rFonts w:cstheme="minorBidi"/>
              <w:kern w:val="2"/>
              <w:lang w:val="en-GB" w:eastAsia="en-GB"/>
              <w14:ligatures w14:val="standardContextual"/>
            </w:rPr>
          </w:pPr>
          <w:hyperlink w:anchor="_Toc143609769" w:history="1">
            <w:r w:rsidR="00427BF7" w:rsidRPr="00427BF7">
              <w:rPr>
                <w:rStyle w:val="Hyperlink"/>
              </w:rPr>
              <w:t>1.0</w:t>
            </w:r>
            <w:r w:rsidR="00427BF7" w:rsidRPr="00427BF7">
              <w:rPr>
                <w:rFonts w:cstheme="minorBidi"/>
                <w:kern w:val="2"/>
                <w:lang w:val="en-GB" w:eastAsia="en-GB"/>
                <w14:ligatures w14:val="standardContextual"/>
              </w:rPr>
              <w:tab/>
            </w:r>
            <w:r w:rsidR="00427BF7" w:rsidRPr="00427BF7">
              <w:rPr>
                <w:rStyle w:val="Hyperlink"/>
              </w:rPr>
              <w:t>Introduction</w:t>
            </w:r>
            <w:r w:rsidR="00427BF7" w:rsidRPr="00427BF7">
              <w:rPr>
                <w:webHidden/>
              </w:rPr>
              <w:tab/>
            </w:r>
            <w:r w:rsidR="00427BF7" w:rsidRPr="00427BF7">
              <w:rPr>
                <w:webHidden/>
              </w:rPr>
              <w:fldChar w:fldCharType="begin"/>
            </w:r>
            <w:r w:rsidR="00427BF7" w:rsidRPr="00427BF7">
              <w:rPr>
                <w:webHidden/>
              </w:rPr>
              <w:instrText xml:space="preserve"> PAGEREF _Toc143609769 \h </w:instrText>
            </w:r>
            <w:r w:rsidR="00427BF7" w:rsidRPr="00427BF7">
              <w:rPr>
                <w:webHidden/>
              </w:rPr>
            </w:r>
            <w:r w:rsidR="00427BF7" w:rsidRPr="00427BF7">
              <w:rPr>
                <w:webHidden/>
              </w:rPr>
              <w:fldChar w:fldCharType="separate"/>
            </w:r>
            <w:r w:rsidR="00427BF7" w:rsidRPr="00427BF7">
              <w:rPr>
                <w:webHidden/>
              </w:rPr>
              <w:t>5</w:t>
            </w:r>
            <w:r w:rsidR="00427BF7" w:rsidRPr="00427BF7">
              <w:rPr>
                <w:webHidden/>
              </w:rPr>
              <w:fldChar w:fldCharType="end"/>
            </w:r>
          </w:hyperlink>
        </w:p>
        <w:p w14:paraId="3B490F45" w14:textId="60B44485" w:rsidR="00427BF7" w:rsidRPr="00427BF7" w:rsidRDefault="007C3AB8" w:rsidP="00427BF7">
          <w:pPr>
            <w:pStyle w:val="TOC1"/>
            <w:rPr>
              <w:rFonts w:cstheme="minorBidi"/>
              <w:kern w:val="2"/>
              <w:lang w:val="en-GB" w:eastAsia="en-GB"/>
              <w14:ligatures w14:val="standardContextual"/>
            </w:rPr>
          </w:pPr>
          <w:hyperlink w:anchor="_Toc143609770" w:history="1">
            <w:r w:rsidR="00427BF7" w:rsidRPr="00427BF7">
              <w:rPr>
                <w:rStyle w:val="Hyperlink"/>
              </w:rPr>
              <w:t>2.0</w:t>
            </w:r>
            <w:r w:rsidR="00427BF7" w:rsidRPr="00427BF7">
              <w:rPr>
                <w:rFonts w:cstheme="minorBidi"/>
                <w:kern w:val="2"/>
                <w:lang w:val="en-GB" w:eastAsia="en-GB"/>
                <w14:ligatures w14:val="standardContextual"/>
              </w:rPr>
              <w:tab/>
            </w:r>
            <w:r w:rsidR="00427BF7" w:rsidRPr="00427BF7">
              <w:rPr>
                <w:rStyle w:val="Hyperlink"/>
              </w:rPr>
              <w:t>General Comments</w:t>
            </w:r>
            <w:r w:rsidR="00427BF7" w:rsidRPr="00427BF7">
              <w:rPr>
                <w:webHidden/>
              </w:rPr>
              <w:tab/>
            </w:r>
            <w:r w:rsidR="00427BF7" w:rsidRPr="00427BF7">
              <w:rPr>
                <w:webHidden/>
              </w:rPr>
              <w:fldChar w:fldCharType="begin"/>
            </w:r>
            <w:r w:rsidR="00427BF7" w:rsidRPr="00427BF7">
              <w:rPr>
                <w:webHidden/>
              </w:rPr>
              <w:instrText xml:space="preserve"> PAGEREF _Toc143609770 \h </w:instrText>
            </w:r>
            <w:r w:rsidR="00427BF7" w:rsidRPr="00427BF7">
              <w:rPr>
                <w:webHidden/>
              </w:rPr>
            </w:r>
            <w:r w:rsidR="00427BF7" w:rsidRPr="00427BF7">
              <w:rPr>
                <w:webHidden/>
              </w:rPr>
              <w:fldChar w:fldCharType="separate"/>
            </w:r>
            <w:r w:rsidR="00427BF7" w:rsidRPr="00427BF7">
              <w:rPr>
                <w:webHidden/>
              </w:rPr>
              <w:t>6</w:t>
            </w:r>
            <w:r w:rsidR="00427BF7" w:rsidRPr="00427BF7">
              <w:rPr>
                <w:webHidden/>
              </w:rPr>
              <w:fldChar w:fldCharType="end"/>
            </w:r>
          </w:hyperlink>
        </w:p>
        <w:p w14:paraId="7CDBA553" w14:textId="5061EFB0"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1" w:history="1">
            <w:r w:rsidR="00427BF7" w:rsidRPr="00427BF7">
              <w:rPr>
                <w:rStyle w:val="Hyperlink"/>
                <w:rFonts w:ascii="Verdana" w:hAnsi="Verdana"/>
                <w:noProof/>
                <w:sz w:val="24"/>
                <w:szCs w:val="24"/>
              </w:rPr>
              <w:t>Human Rights Context</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_Toc143609771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6</w:t>
            </w:r>
            <w:r w:rsidR="00427BF7" w:rsidRPr="00427BF7">
              <w:rPr>
                <w:rFonts w:ascii="Verdana" w:hAnsi="Verdana"/>
                <w:noProof/>
                <w:webHidden/>
                <w:sz w:val="24"/>
                <w:szCs w:val="24"/>
              </w:rPr>
              <w:fldChar w:fldCharType="end"/>
            </w:r>
          </w:hyperlink>
        </w:p>
        <w:p w14:paraId="11626A80" w14:textId="5E84401B"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2" w:history="1">
            <w:r w:rsidR="00427BF7" w:rsidRPr="00427BF7">
              <w:rPr>
                <w:rStyle w:val="Hyperlink"/>
                <w:rFonts w:ascii="Verdana" w:hAnsi="Verdana"/>
                <w:noProof/>
                <w:sz w:val="24"/>
                <w:szCs w:val="24"/>
              </w:rPr>
              <w:t>Environmental Impact</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_Toc143609772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9</w:t>
            </w:r>
            <w:r w:rsidR="00427BF7" w:rsidRPr="00427BF7">
              <w:rPr>
                <w:rFonts w:ascii="Verdana" w:hAnsi="Verdana"/>
                <w:noProof/>
                <w:webHidden/>
                <w:sz w:val="24"/>
                <w:szCs w:val="24"/>
              </w:rPr>
              <w:fldChar w:fldCharType="end"/>
            </w:r>
          </w:hyperlink>
        </w:p>
        <w:p w14:paraId="079C6208" w14:textId="40154D17" w:rsidR="00427BF7" w:rsidRPr="00427BF7" w:rsidRDefault="007C3AB8" w:rsidP="00427BF7">
          <w:pPr>
            <w:pStyle w:val="TOC1"/>
            <w:rPr>
              <w:rFonts w:cstheme="minorBidi"/>
              <w:kern w:val="2"/>
              <w:lang w:val="en-GB" w:eastAsia="en-GB"/>
              <w14:ligatures w14:val="standardContextual"/>
            </w:rPr>
          </w:pPr>
          <w:hyperlink w:anchor="_Toc143609773" w:history="1">
            <w:r w:rsidR="00427BF7" w:rsidRPr="00427BF7">
              <w:rPr>
                <w:rStyle w:val="Hyperlink"/>
              </w:rPr>
              <w:t>3.0</w:t>
            </w:r>
            <w:r w:rsidR="00427BF7" w:rsidRPr="00427BF7">
              <w:rPr>
                <w:rFonts w:cstheme="minorBidi"/>
                <w:kern w:val="2"/>
                <w:lang w:val="en-GB" w:eastAsia="en-GB"/>
                <w14:ligatures w14:val="standardContextual"/>
              </w:rPr>
              <w:tab/>
            </w:r>
            <w:r w:rsidR="00427BF7" w:rsidRPr="00427BF7">
              <w:rPr>
                <w:rStyle w:val="Hyperlink"/>
              </w:rPr>
              <w:t>Part A – Options to reduce costs</w:t>
            </w:r>
            <w:r w:rsidR="00427BF7" w:rsidRPr="00427BF7">
              <w:rPr>
                <w:webHidden/>
              </w:rPr>
              <w:tab/>
            </w:r>
            <w:r w:rsidR="00427BF7" w:rsidRPr="00427BF7">
              <w:rPr>
                <w:webHidden/>
              </w:rPr>
              <w:fldChar w:fldCharType="begin"/>
            </w:r>
            <w:r w:rsidR="00427BF7" w:rsidRPr="00427BF7">
              <w:rPr>
                <w:webHidden/>
              </w:rPr>
              <w:instrText xml:space="preserve"> PAGEREF _Toc143609773 \h </w:instrText>
            </w:r>
            <w:r w:rsidR="00427BF7" w:rsidRPr="00427BF7">
              <w:rPr>
                <w:webHidden/>
              </w:rPr>
            </w:r>
            <w:r w:rsidR="00427BF7" w:rsidRPr="00427BF7">
              <w:rPr>
                <w:webHidden/>
              </w:rPr>
              <w:fldChar w:fldCharType="separate"/>
            </w:r>
            <w:r w:rsidR="00427BF7" w:rsidRPr="00427BF7">
              <w:rPr>
                <w:webHidden/>
              </w:rPr>
              <w:t>10</w:t>
            </w:r>
            <w:r w:rsidR="00427BF7" w:rsidRPr="00427BF7">
              <w:rPr>
                <w:webHidden/>
              </w:rPr>
              <w:fldChar w:fldCharType="end"/>
            </w:r>
          </w:hyperlink>
        </w:p>
        <w:p w14:paraId="156982DC" w14:textId="70541474"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4" w:history="1">
            <w:r w:rsidR="00427BF7" w:rsidRPr="00427BF7">
              <w:rPr>
                <w:rStyle w:val="Hyperlink"/>
                <w:rFonts w:ascii="Verdana" w:hAnsi="Verdana"/>
                <w:noProof/>
                <w:sz w:val="24"/>
                <w:szCs w:val="24"/>
              </w:rPr>
              <w:t>Option 1: Raising the age of eligibility for the Senior Smart Pass</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_Toc143609774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10</w:t>
            </w:r>
            <w:r w:rsidR="00427BF7" w:rsidRPr="00427BF7">
              <w:rPr>
                <w:rFonts w:ascii="Verdana" w:hAnsi="Verdana"/>
                <w:noProof/>
                <w:webHidden/>
                <w:sz w:val="24"/>
                <w:szCs w:val="24"/>
              </w:rPr>
              <w:fldChar w:fldCharType="end"/>
            </w:r>
          </w:hyperlink>
        </w:p>
        <w:p w14:paraId="0BCDDD02" w14:textId="7E47196E"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5" w:history="1">
            <w:r w:rsidR="00427BF7" w:rsidRPr="00427BF7">
              <w:rPr>
                <w:rStyle w:val="Hyperlink"/>
                <w:rFonts w:ascii="Verdana" w:hAnsi="Verdana"/>
                <w:noProof/>
                <w:sz w:val="24"/>
                <w:szCs w:val="24"/>
              </w:rPr>
              <w:t>Option 2: Limiting concessionary fares to off-peak travel times</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_Toc143609775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12</w:t>
            </w:r>
            <w:r w:rsidR="00427BF7" w:rsidRPr="00427BF7">
              <w:rPr>
                <w:rFonts w:ascii="Verdana" w:hAnsi="Verdana"/>
                <w:noProof/>
                <w:webHidden/>
                <w:sz w:val="24"/>
                <w:szCs w:val="24"/>
              </w:rPr>
              <w:fldChar w:fldCharType="end"/>
            </w:r>
          </w:hyperlink>
        </w:p>
        <w:p w14:paraId="73A45A35" w14:textId="64690BA7"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6" w:history="1">
            <w:r w:rsidR="00427BF7" w:rsidRPr="00427BF7">
              <w:rPr>
                <w:rStyle w:val="Hyperlink"/>
                <w:rFonts w:ascii="Verdana" w:hAnsi="Verdana"/>
                <w:noProof/>
                <w:sz w:val="24"/>
                <w:szCs w:val="24"/>
              </w:rPr>
              <w:t>Option 3: Limiting Smart Pass use to bus travel only</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_Toc143609776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14</w:t>
            </w:r>
            <w:r w:rsidR="00427BF7" w:rsidRPr="00427BF7">
              <w:rPr>
                <w:rFonts w:ascii="Verdana" w:hAnsi="Verdana"/>
                <w:noProof/>
                <w:webHidden/>
                <w:sz w:val="24"/>
                <w:szCs w:val="24"/>
              </w:rPr>
              <w:fldChar w:fldCharType="end"/>
            </w:r>
          </w:hyperlink>
        </w:p>
        <w:p w14:paraId="0325A436" w14:textId="0252E59E"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7" w:history="1">
            <w:r w:rsidR="00427BF7" w:rsidRPr="00427BF7">
              <w:rPr>
                <w:rStyle w:val="Hyperlink"/>
                <w:rFonts w:ascii="Verdana" w:hAnsi="Verdana"/>
                <w:noProof/>
                <w:sz w:val="24"/>
                <w:szCs w:val="24"/>
              </w:rPr>
              <w:t>Option 4: Application, renewal and replacement fees</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_Toc143609777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16</w:t>
            </w:r>
            <w:r w:rsidR="00427BF7" w:rsidRPr="00427BF7">
              <w:rPr>
                <w:rFonts w:ascii="Verdana" w:hAnsi="Verdana"/>
                <w:noProof/>
                <w:webHidden/>
                <w:sz w:val="24"/>
                <w:szCs w:val="24"/>
              </w:rPr>
              <w:fldChar w:fldCharType="end"/>
            </w:r>
          </w:hyperlink>
        </w:p>
        <w:p w14:paraId="56194FF5" w14:textId="16487FFC" w:rsidR="00427BF7" w:rsidRPr="00427BF7" w:rsidRDefault="007C3AB8" w:rsidP="00427BF7">
          <w:pPr>
            <w:pStyle w:val="TOC1"/>
            <w:rPr>
              <w:rFonts w:cstheme="minorBidi"/>
              <w:kern w:val="2"/>
              <w:lang w:val="en-GB" w:eastAsia="en-GB"/>
              <w14:ligatures w14:val="standardContextual"/>
            </w:rPr>
          </w:pPr>
          <w:hyperlink w:anchor="_Toc143609778" w:history="1">
            <w:r w:rsidR="00427BF7" w:rsidRPr="00427BF7">
              <w:rPr>
                <w:rStyle w:val="Hyperlink"/>
              </w:rPr>
              <w:t>4.0</w:t>
            </w:r>
            <w:r w:rsidR="00427BF7" w:rsidRPr="00427BF7">
              <w:rPr>
                <w:rFonts w:cstheme="minorBidi"/>
                <w:kern w:val="2"/>
                <w:lang w:val="en-GB" w:eastAsia="en-GB"/>
                <w14:ligatures w14:val="standardContextual"/>
              </w:rPr>
              <w:tab/>
            </w:r>
            <w:r w:rsidR="00427BF7" w:rsidRPr="00427BF7">
              <w:rPr>
                <w:rStyle w:val="Hyperlink"/>
              </w:rPr>
              <w:t>Part B – Options to promote social inclusion</w:t>
            </w:r>
            <w:r w:rsidR="00427BF7" w:rsidRPr="00427BF7">
              <w:rPr>
                <w:webHidden/>
              </w:rPr>
              <w:tab/>
            </w:r>
            <w:r w:rsidR="00427BF7" w:rsidRPr="00427BF7">
              <w:rPr>
                <w:webHidden/>
              </w:rPr>
              <w:fldChar w:fldCharType="begin"/>
            </w:r>
            <w:r w:rsidR="00427BF7" w:rsidRPr="00427BF7">
              <w:rPr>
                <w:webHidden/>
              </w:rPr>
              <w:instrText xml:space="preserve"> PAGEREF _Toc143609778 \h </w:instrText>
            </w:r>
            <w:r w:rsidR="00427BF7" w:rsidRPr="00427BF7">
              <w:rPr>
                <w:webHidden/>
              </w:rPr>
            </w:r>
            <w:r w:rsidR="00427BF7" w:rsidRPr="00427BF7">
              <w:rPr>
                <w:webHidden/>
              </w:rPr>
              <w:fldChar w:fldCharType="separate"/>
            </w:r>
            <w:r w:rsidR="00427BF7" w:rsidRPr="00427BF7">
              <w:rPr>
                <w:webHidden/>
              </w:rPr>
              <w:t>16</w:t>
            </w:r>
            <w:r w:rsidR="00427BF7" w:rsidRPr="00427BF7">
              <w:rPr>
                <w:webHidden/>
              </w:rPr>
              <w:fldChar w:fldCharType="end"/>
            </w:r>
          </w:hyperlink>
        </w:p>
        <w:p w14:paraId="241D4785" w14:textId="36C51007"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79" w:history="1">
            <w:r w:rsidR="00427BF7" w:rsidRPr="00427BF7">
              <w:rPr>
                <w:rStyle w:val="Hyperlink"/>
                <w:rFonts w:ascii="Verdana" w:hAnsi="Verdana"/>
                <w:noProof/>
                <w:sz w:val="24"/>
                <w:szCs w:val="24"/>
              </w:rPr>
              <w:t>Disabled people</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_Toc143609779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17</w:t>
            </w:r>
            <w:r w:rsidR="00427BF7" w:rsidRPr="00427BF7">
              <w:rPr>
                <w:rFonts w:ascii="Verdana" w:hAnsi="Verdana"/>
                <w:noProof/>
                <w:webHidden/>
                <w:sz w:val="24"/>
                <w:szCs w:val="24"/>
              </w:rPr>
              <w:fldChar w:fldCharType="end"/>
            </w:r>
          </w:hyperlink>
        </w:p>
        <w:p w14:paraId="124D77CF" w14:textId="0A40A463" w:rsidR="00427BF7" w:rsidRPr="00427BF7" w:rsidRDefault="007C3AB8">
          <w:pPr>
            <w:pStyle w:val="TOC2"/>
            <w:tabs>
              <w:tab w:val="right" w:leader="dot" w:pos="9848"/>
            </w:tabs>
            <w:rPr>
              <w:rFonts w:ascii="Verdana" w:hAnsi="Verdana" w:cstheme="minorBidi"/>
              <w:noProof/>
              <w:kern w:val="2"/>
              <w:sz w:val="24"/>
              <w:szCs w:val="24"/>
              <w:lang w:val="en-GB" w:eastAsia="en-GB"/>
              <w14:ligatures w14:val="standardContextual"/>
            </w:rPr>
          </w:pPr>
          <w:hyperlink w:anchor="_Toc143609780" w:history="1">
            <w:r w:rsidR="00427BF7" w:rsidRPr="00427BF7">
              <w:rPr>
                <w:rStyle w:val="Hyperlink"/>
                <w:rFonts w:ascii="Verdana" w:hAnsi="Verdana"/>
                <w:noProof/>
                <w:sz w:val="24"/>
                <w:szCs w:val="24"/>
              </w:rPr>
              <w:t>People receiving asylum support and victims of human trafficking</w:t>
            </w:r>
            <w:r w:rsidR="00427BF7" w:rsidRPr="00427BF7">
              <w:rPr>
                <w:rFonts w:ascii="Verdana" w:hAnsi="Verdana"/>
                <w:noProof/>
                <w:webHidden/>
                <w:sz w:val="24"/>
                <w:szCs w:val="24"/>
              </w:rPr>
              <w:tab/>
            </w:r>
            <w:r w:rsidR="00427BF7" w:rsidRPr="00427BF7">
              <w:rPr>
                <w:rFonts w:ascii="Verdana" w:hAnsi="Verdana"/>
                <w:noProof/>
                <w:webHidden/>
                <w:sz w:val="24"/>
                <w:szCs w:val="24"/>
              </w:rPr>
              <w:fldChar w:fldCharType="begin"/>
            </w:r>
            <w:r w:rsidR="00427BF7" w:rsidRPr="00427BF7">
              <w:rPr>
                <w:rFonts w:ascii="Verdana" w:hAnsi="Verdana"/>
                <w:noProof/>
                <w:webHidden/>
                <w:sz w:val="24"/>
                <w:szCs w:val="24"/>
              </w:rPr>
              <w:instrText xml:space="preserve"> PAGEREF _Toc143609780 \h </w:instrText>
            </w:r>
            <w:r w:rsidR="00427BF7" w:rsidRPr="00427BF7">
              <w:rPr>
                <w:rFonts w:ascii="Verdana" w:hAnsi="Verdana"/>
                <w:noProof/>
                <w:webHidden/>
                <w:sz w:val="24"/>
                <w:szCs w:val="24"/>
              </w:rPr>
            </w:r>
            <w:r w:rsidR="00427BF7" w:rsidRPr="00427BF7">
              <w:rPr>
                <w:rFonts w:ascii="Verdana" w:hAnsi="Verdana"/>
                <w:noProof/>
                <w:webHidden/>
                <w:sz w:val="24"/>
                <w:szCs w:val="24"/>
              </w:rPr>
              <w:fldChar w:fldCharType="separate"/>
            </w:r>
            <w:r w:rsidR="00427BF7" w:rsidRPr="00427BF7">
              <w:rPr>
                <w:rFonts w:ascii="Verdana" w:hAnsi="Verdana"/>
                <w:noProof/>
                <w:webHidden/>
                <w:sz w:val="24"/>
                <w:szCs w:val="24"/>
              </w:rPr>
              <w:t>19</w:t>
            </w:r>
            <w:r w:rsidR="00427BF7" w:rsidRPr="00427BF7">
              <w:rPr>
                <w:rFonts w:ascii="Verdana" w:hAnsi="Verdana"/>
                <w:noProof/>
                <w:webHidden/>
                <w:sz w:val="24"/>
                <w:szCs w:val="24"/>
              </w:rPr>
              <w:fldChar w:fldCharType="end"/>
            </w:r>
          </w:hyperlink>
        </w:p>
        <w:p w14:paraId="29D6F42F" w14:textId="40FA0668" w:rsidR="00BE2CF5" w:rsidRDefault="00BE2CF5">
          <w:r w:rsidRPr="000738D9">
            <w:rPr>
              <w:rFonts w:ascii="Verdana" w:hAnsi="Verdana"/>
              <w:b/>
              <w:bCs/>
              <w:noProof/>
            </w:rPr>
            <w:fldChar w:fldCharType="end"/>
          </w:r>
        </w:p>
      </w:sdtContent>
    </w:sdt>
    <w:p w14:paraId="4CE96446" w14:textId="77777777" w:rsidR="0096459E" w:rsidRPr="00331C61" w:rsidRDefault="0096459E" w:rsidP="003B7D0E">
      <w:pPr>
        <w:pStyle w:val="Default"/>
        <w:spacing w:line="480" w:lineRule="auto"/>
        <w:jc w:val="center"/>
        <w:rPr>
          <w:rFonts w:cs="Arial"/>
          <w:b/>
          <w:color w:val="232120"/>
          <w:sz w:val="36"/>
          <w:szCs w:val="36"/>
        </w:rPr>
      </w:pPr>
    </w:p>
    <w:p w14:paraId="30B8A6ED" w14:textId="77777777" w:rsidR="003B7D0E" w:rsidRDefault="003B7D0E" w:rsidP="003B7D0E">
      <w:pPr>
        <w:pStyle w:val="Default"/>
        <w:spacing w:line="480" w:lineRule="auto"/>
        <w:jc w:val="center"/>
        <w:rPr>
          <w:rFonts w:cs="Arial"/>
          <w:b/>
          <w:color w:val="232120"/>
          <w:sz w:val="36"/>
          <w:szCs w:val="36"/>
        </w:rPr>
      </w:pPr>
    </w:p>
    <w:p w14:paraId="6F16B75D" w14:textId="77777777" w:rsidR="00E542BE" w:rsidRDefault="00E542BE" w:rsidP="003B7D0E">
      <w:pPr>
        <w:pStyle w:val="Default"/>
        <w:spacing w:line="480" w:lineRule="auto"/>
        <w:jc w:val="center"/>
        <w:rPr>
          <w:rFonts w:cs="Arial"/>
          <w:b/>
          <w:color w:val="232120"/>
          <w:sz w:val="36"/>
          <w:szCs w:val="36"/>
        </w:rPr>
      </w:pPr>
    </w:p>
    <w:p w14:paraId="27ABABAA" w14:textId="77777777" w:rsidR="00E542BE" w:rsidRDefault="00E542BE" w:rsidP="003B7D0E">
      <w:pPr>
        <w:pStyle w:val="Default"/>
        <w:spacing w:line="480" w:lineRule="auto"/>
        <w:jc w:val="center"/>
        <w:rPr>
          <w:rFonts w:cs="Arial"/>
          <w:b/>
          <w:color w:val="232120"/>
          <w:sz w:val="36"/>
          <w:szCs w:val="36"/>
        </w:rPr>
      </w:pPr>
    </w:p>
    <w:p w14:paraId="722F6B4E" w14:textId="77777777" w:rsidR="00E542BE" w:rsidRDefault="00E542BE" w:rsidP="003B7D0E">
      <w:pPr>
        <w:pStyle w:val="Default"/>
        <w:spacing w:line="480" w:lineRule="auto"/>
        <w:jc w:val="center"/>
        <w:rPr>
          <w:rFonts w:cs="Arial"/>
          <w:b/>
          <w:color w:val="232120"/>
          <w:sz w:val="36"/>
          <w:szCs w:val="36"/>
        </w:rPr>
      </w:pPr>
    </w:p>
    <w:p w14:paraId="7B57633A" w14:textId="77777777" w:rsidR="00E542BE" w:rsidRDefault="00E542BE" w:rsidP="003B7D0E">
      <w:pPr>
        <w:pStyle w:val="Default"/>
        <w:spacing w:line="480" w:lineRule="auto"/>
        <w:jc w:val="center"/>
        <w:rPr>
          <w:rFonts w:cs="Arial"/>
          <w:b/>
          <w:color w:val="232120"/>
          <w:sz w:val="36"/>
          <w:szCs w:val="36"/>
        </w:rPr>
      </w:pPr>
    </w:p>
    <w:p w14:paraId="22718F36" w14:textId="77777777" w:rsidR="00E542BE" w:rsidRDefault="00E542BE" w:rsidP="003B7D0E">
      <w:pPr>
        <w:pStyle w:val="Default"/>
        <w:spacing w:line="480" w:lineRule="auto"/>
        <w:jc w:val="center"/>
        <w:rPr>
          <w:rFonts w:cs="Arial"/>
          <w:b/>
          <w:color w:val="232120"/>
          <w:sz w:val="36"/>
          <w:szCs w:val="36"/>
        </w:rPr>
      </w:pPr>
    </w:p>
    <w:p w14:paraId="3FEEAABB" w14:textId="77777777" w:rsidR="00E542BE" w:rsidRDefault="00E542BE" w:rsidP="003B7D0E">
      <w:pPr>
        <w:pStyle w:val="Default"/>
        <w:spacing w:line="480" w:lineRule="auto"/>
        <w:jc w:val="center"/>
        <w:rPr>
          <w:rFonts w:cs="Arial"/>
          <w:b/>
          <w:color w:val="232120"/>
          <w:sz w:val="36"/>
          <w:szCs w:val="36"/>
        </w:rPr>
      </w:pPr>
    </w:p>
    <w:p w14:paraId="0DE912A7" w14:textId="77777777" w:rsidR="00E542BE" w:rsidRDefault="00E542BE" w:rsidP="003B7D0E">
      <w:pPr>
        <w:pStyle w:val="Default"/>
        <w:spacing w:line="480" w:lineRule="auto"/>
        <w:jc w:val="center"/>
        <w:rPr>
          <w:rFonts w:cs="Arial"/>
          <w:b/>
          <w:color w:val="232120"/>
          <w:sz w:val="36"/>
          <w:szCs w:val="36"/>
        </w:rPr>
      </w:pPr>
    </w:p>
    <w:p w14:paraId="27834839" w14:textId="77777777" w:rsidR="00E542BE" w:rsidRDefault="00E542BE" w:rsidP="003B7D0E">
      <w:pPr>
        <w:pStyle w:val="Default"/>
        <w:spacing w:line="480" w:lineRule="auto"/>
        <w:jc w:val="center"/>
        <w:rPr>
          <w:rFonts w:cs="Arial"/>
          <w:b/>
          <w:color w:val="232120"/>
          <w:sz w:val="36"/>
          <w:szCs w:val="36"/>
        </w:rPr>
      </w:pPr>
    </w:p>
    <w:bookmarkStart w:id="0" w:name="_Toc143609768"/>
    <w:p w14:paraId="66831486" w14:textId="637C9626" w:rsidR="00EA12CE" w:rsidRDefault="002C30FB" w:rsidP="00D45B54">
      <w:pPr>
        <w:pStyle w:val="Heading1"/>
      </w:pPr>
      <w:r>
        <w:rPr>
          <w:noProof/>
        </w:rPr>
        <w:lastRenderedPageBreak/>
        <mc:AlternateContent>
          <mc:Choice Requires="wps">
            <w:drawing>
              <wp:anchor distT="0" distB="0" distL="114300" distR="114300" simplePos="0" relativeHeight="251659264" behindDoc="0" locked="0" layoutInCell="1" allowOverlap="1" wp14:anchorId="3D990A52" wp14:editId="16417B41">
                <wp:simplePos x="0" y="0"/>
                <wp:positionH relativeFrom="margin">
                  <wp:align>center</wp:align>
                </wp:positionH>
                <wp:positionV relativeFrom="paragraph">
                  <wp:posOffset>-120326</wp:posOffset>
                </wp:positionV>
                <wp:extent cx="6826729" cy="9920138"/>
                <wp:effectExtent l="57150" t="19050" r="69850" b="100330"/>
                <wp:wrapNone/>
                <wp:docPr id="1" name="Rectangle 1"/>
                <wp:cNvGraphicFramePr/>
                <a:graphic xmlns:a="http://schemas.openxmlformats.org/drawingml/2006/main">
                  <a:graphicData uri="http://schemas.microsoft.com/office/word/2010/wordprocessingShape">
                    <wps:wsp>
                      <wps:cNvSpPr/>
                      <wps:spPr>
                        <a:xfrm>
                          <a:off x="0" y="0"/>
                          <a:ext cx="6826729" cy="992013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99F2" id="Rectangle 1" o:spid="_x0000_s1026" style="position:absolute;margin-left:0;margin-top:-9.45pt;width:537.55pt;height:78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" filled="f" strokecolor="black [3213]">
                <v:shadow on="t" color="black" opacity="22937f" origin=",.5" offset="0,.63889mm"/>
                <w10:wrap anchorx="margin"/>
              </v:rect>
            </w:pict>
          </mc:Fallback>
        </mc:AlternateContent>
      </w:r>
      <w:r w:rsidR="0085652B">
        <w:t>Recommendations</w:t>
      </w:r>
      <w:bookmarkEnd w:id="0"/>
    </w:p>
    <w:p w14:paraId="4C8E6DDD" w14:textId="77777777" w:rsidR="0085652B" w:rsidRDefault="0085652B" w:rsidP="0085652B"/>
    <w:p w14:paraId="40FB39E0" w14:textId="77777777" w:rsidR="002C30FB" w:rsidRPr="00DA6129" w:rsidRDefault="002C30FB" w:rsidP="002C30FB">
      <w:pPr>
        <w:spacing w:line="276" w:lineRule="auto"/>
        <w:ind w:left="720" w:hanging="720"/>
        <w:rPr>
          <w:rFonts w:ascii="Verdana" w:hAnsi="Verdana"/>
          <w:b/>
          <w:bCs/>
        </w:rPr>
      </w:pPr>
      <w:r w:rsidRPr="00DA6129">
        <w:rPr>
          <w:rFonts w:ascii="Verdana" w:hAnsi="Verdana" w:cs="Arial"/>
          <w:b/>
          <w:bCs/>
          <w:color w:val="232120"/>
        </w:rPr>
        <w:t xml:space="preserve">2.9 </w:t>
      </w:r>
      <w:r w:rsidRPr="00DA6129">
        <w:rPr>
          <w:rFonts w:ascii="Verdana" w:hAnsi="Verdana" w:cs="Arial"/>
          <w:b/>
          <w:bCs/>
          <w:color w:val="232120"/>
        </w:rPr>
        <w:tab/>
      </w:r>
      <w:r w:rsidRPr="00DA6129">
        <w:rPr>
          <w:rFonts w:ascii="Verdana" w:hAnsi="Verdana"/>
          <w:b/>
          <w:bCs/>
        </w:rPr>
        <w:t xml:space="preserve">The NIHRC recommends that the Department for Infrastructure conducts a human rights impact assessment on the full range of potential options for changes to the Concessionary Fares Scheme proposed in the consultation document. </w:t>
      </w:r>
    </w:p>
    <w:p w14:paraId="00E80EC3" w14:textId="77777777" w:rsidR="002C30FB" w:rsidRPr="00DA6129" w:rsidRDefault="002C30FB" w:rsidP="002C30FB">
      <w:pPr>
        <w:spacing w:line="276" w:lineRule="auto"/>
        <w:ind w:left="720" w:hanging="720"/>
        <w:rPr>
          <w:rFonts w:ascii="Verdana" w:hAnsi="Verdana"/>
          <w:b/>
          <w:bCs/>
        </w:rPr>
      </w:pPr>
    </w:p>
    <w:p w14:paraId="618AEDC9" w14:textId="77777777" w:rsidR="002C30FB" w:rsidRPr="00DA6129" w:rsidRDefault="002C30FB" w:rsidP="002C30FB">
      <w:pPr>
        <w:spacing w:line="276" w:lineRule="auto"/>
        <w:ind w:left="720" w:hanging="720"/>
        <w:rPr>
          <w:rFonts w:ascii="Verdana" w:hAnsi="Verdana"/>
          <w:b/>
          <w:bCs/>
        </w:rPr>
      </w:pPr>
      <w:r w:rsidRPr="00DA6129">
        <w:rPr>
          <w:rFonts w:ascii="Verdana" w:hAnsi="Verdana"/>
          <w:b/>
          <w:bCs/>
        </w:rPr>
        <w:t xml:space="preserve">2.14 </w:t>
      </w:r>
      <w:r w:rsidRPr="00DA6129">
        <w:rPr>
          <w:rFonts w:ascii="Verdana" w:hAnsi="Verdana"/>
          <w:b/>
          <w:bCs/>
        </w:rPr>
        <w:tab/>
        <w:t>The NIHRC recommends that the Department for Infrastructure consider mitigations to any negative environmental impact which may result from any restrictions to the Concessionary Fares Scheme.</w:t>
      </w:r>
    </w:p>
    <w:p w14:paraId="29D11289" w14:textId="77777777" w:rsidR="002C30FB" w:rsidRPr="00DA6129" w:rsidRDefault="002C30FB" w:rsidP="002C30FB">
      <w:pPr>
        <w:spacing w:line="276" w:lineRule="auto"/>
        <w:ind w:left="720" w:hanging="720"/>
        <w:rPr>
          <w:rFonts w:ascii="Verdana" w:hAnsi="Verdana"/>
          <w:b/>
          <w:bCs/>
        </w:rPr>
      </w:pPr>
    </w:p>
    <w:p w14:paraId="54C0E0E5" w14:textId="77777777" w:rsidR="002C30FB" w:rsidRPr="002C30FB" w:rsidRDefault="002C30FB" w:rsidP="002C30FB">
      <w:pPr>
        <w:pStyle w:val="ListParagraph"/>
        <w:numPr>
          <w:ilvl w:val="1"/>
          <w:numId w:val="21"/>
        </w:numPr>
        <w:spacing w:after="160" w:line="276" w:lineRule="auto"/>
        <w:ind w:left="709" w:hanging="709"/>
        <w:rPr>
          <w:rFonts w:ascii="Verdana" w:hAnsi="Verdana"/>
          <w:b/>
          <w:bCs/>
        </w:rPr>
      </w:pPr>
      <w:r w:rsidRPr="002C30FB">
        <w:rPr>
          <w:rFonts w:ascii="Verdana" w:hAnsi="Verdana"/>
          <w:b/>
          <w:bCs/>
        </w:rPr>
        <w:t>The NIHRC recommends that the Department for Infrastructure refrains from increasing the age eligibility for concessionary fares from 60+ to either 65+ or State pension age without fully assessing and mitigating the impact on affected older persons, particularly those already vulnerable to social exclusion.</w:t>
      </w:r>
    </w:p>
    <w:p w14:paraId="068083D7"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3.15</w:t>
      </w:r>
      <w:r w:rsidRPr="00DA6129">
        <w:rPr>
          <w:rFonts w:ascii="Verdana" w:hAnsi="Verdana"/>
          <w:b/>
          <w:bCs/>
        </w:rPr>
        <w:tab/>
        <w:t>The NIHRC advises that the Department for Infrastructure consider how limiting concessionary travel to off-peak times will impact on service users who provide unpaid care, and the wider impact that may have on budgets across the NI Executive Departments.</w:t>
      </w:r>
    </w:p>
    <w:p w14:paraId="0B4E8FFF" w14:textId="77777777" w:rsidR="002C30FB" w:rsidRPr="00DA6129" w:rsidRDefault="002C30FB" w:rsidP="002C30FB">
      <w:pPr>
        <w:spacing w:line="276" w:lineRule="auto"/>
        <w:ind w:left="709" w:hanging="709"/>
        <w:rPr>
          <w:rFonts w:ascii="Verdana" w:hAnsi="Verdana"/>
          <w:b/>
          <w:bCs/>
        </w:rPr>
      </w:pPr>
    </w:p>
    <w:p w14:paraId="5FF6E8A6"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3.19</w:t>
      </w:r>
      <w:r w:rsidRPr="00DA6129">
        <w:rPr>
          <w:rFonts w:ascii="Verdana" w:hAnsi="Verdana"/>
          <w:b/>
          <w:bCs/>
        </w:rPr>
        <w:tab/>
        <w:t>The NIHRC advises that the Department for Infrastructure does not limit concessionary fares to off-peak travel times given the disproportionate impact this will have on service users experiencing poverty. The NIHRC recommends that, should the Department decide to implement this proposal, they do so in close consultation with the service users that this most impacts on, namely older persons, disabled people and people with caring responsibilities and organisations which represent them.</w:t>
      </w:r>
    </w:p>
    <w:p w14:paraId="1E481F4B" w14:textId="77777777" w:rsidR="002C30FB" w:rsidRPr="00DA6129" w:rsidRDefault="002C30FB" w:rsidP="002C30FB">
      <w:pPr>
        <w:spacing w:line="276" w:lineRule="auto"/>
        <w:ind w:left="709" w:hanging="709"/>
        <w:rPr>
          <w:rFonts w:ascii="Verdana" w:hAnsi="Verdana"/>
          <w:b/>
          <w:bCs/>
        </w:rPr>
      </w:pPr>
    </w:p>
    <w:p w14:paraId="4FE544CE"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3.24</w:t>
      </w:r>
      <w:r w:rsidRPr="00DA6129">
        <w:rPr>
          <w:rFonts w:ascii="Verdana" w:hAnsi="Verdana"/>
          <w:b/>
          <w:bCs/>
        </w:rPr>
        <w:tab/>
        <w:t>The NIHRC recommends that the Department for Infrastructure closely consult with disabled people and relevant organisations which represent disabled people to ensure that all public transport is accessible to everyone in the community.</w:t>
      </w:r>
    </w:p>
    <w:p w14:paraId="298D7465" w14:textId="77777777" w:rsidR="002C30FB" w:rsidRPr="00DA6129" w:rsidRDefault="002C30FB" w:rsidP="002C30FB">
      <w:pPr>
        <w:pStyle w:val="ListParagraph"/>
        <w:rPr>
          <w:b/>
          <w:bCs/>
        </w:rPr>
      </w:pPr>
    </w:p>
    <w:p w14:paraId="32B70D33"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3.25</w:t>
      </w:r>
      <w:r w:rsidRPr="00DA6129">
        <w:rPr>
          <w:rFonts w:ascii="Verdana" w:hAnsi="Verdana"/>
          <w:b/>
          <w:bCs/>
        </w:rPr>
        <w:tab/>
        <w:t>The NIHRC recommend that any changes made to the Concessionary Fares Scheme do not have a disproportionate impact on disabled people, and that any impact is mitigated as much as possible.</w:t>
      </w:r>
    </w:p>
    <w:p w14:paraId="33823472" w14:textId="77777777" w:rsidR="002C30FB" w:rsidRPr="00DA6129" w:rsidRDefault="002C30FB" w:rsidP="002C30FB">
      <w:pPr>
        <w:pStyle w:val="ListParagraph"/>
        <w:rPr>
          <w:b/>
          <w:bCs/>
        </w:rPr>
      </w:pPr>
    </w:p>
    <w:p w14:paraId="2522C7DE" w14:textId="5DCC6E3B" w:rsidR="002C30FB" w:rsidRPr="00DA6129" w:rsidRDefault="002C30FB" w:rsidP="002C30FB">
      <w:pPr>
        <w:spacing w:line="276" w:lineRule="auto"/>
        <w:ind w:left="709" w:hanging="709"/>
        <w:rPr>
          <w:rFonts w:ascii="Verdana" w:hAnsi="Verdana"/>
          <w:b/>
          <w:bCs/>
        </w:rPr>
      </w:pPr>
      <w:r w:rsidRPr="00DA6129">
        <w:rPr>
          <w:rFonts w:ascii="Verdana" w:hAnsi="Verdana"/>
          <w:b/>
          <w:bCs/>
        </w:rPr>
        <w:t>3.26</w:t>
      </w:r>
      <w:r w:rsidRPr="00DA6129">
        <w:rPr>
          <w:rFonts w:ascii="Verdana" w:hAnsi="Verdana"/>
          <w:b/>
          <w:bCs/>
        </w:rPr>
        <w:tab/>
        <w:t xml:space="preserve">The NIHRC recommends that the Department for Infrastructure consider geographically where removing trains from the </w:t>
      </w:r>
      <w:r w:rsidR="00F85CF8">
        <w:rPr>
          <w:noProof/>
        </w:rPr>
        <w:lastRenderedPageBreak/>
        <mc:AlternateContent>
          <mc:Choice Requires="wps">
            <w:drawing>
              <wp:anchor distT="0" distB="0" distL="114300" distR="114300" simplePos="0" relativeHeight="251661312" behindDoc="0" locked="0" layoutInCell="1" allowOverlap="1" wp14:anchorId="06ADB49D" wp14:editId="36A65622">
                <wp:simplePos x="0" y="0"/>
                <wp:positionH relativeFrom="margin">
                  <wp:align>center</wp:align>
                </wp:positionH>
                <wp:positionV relativeFrom="paragraph">
                  <wp:posOffset>-241144</wp:posOffset>
                </wp:positionV>
                <wp:extent cx="6826729" cy="6217848"/>
                <wp:effectExtent l="57150" t="19050" r="69850" b="88265"/>
                <wp:wrapNone/>
                <wp:docPr id="2" name="Rectangle 2"/>
                <wp:cNvGraphicFramePr/>
                <a:graphic xmlns:a="http://schemas.openxmlformats.org/drawingml/2006/main">
                  <a:graphicData uri="http://schemas.microsoft.com/office/word/2010/wordprocessingShape">
                    <wps:wsp>
                      <wps:cNvSpPr/>
                      <wps:spPr>
                        <a:xfrm>
                          <a:off x="0" y="0"/>
                          <a:ext cx="6826729" cy="621784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9113" id="Rectangle 2" o:spid="_x0000_s1026" style="position:absolute;margin-left:0;margin-top:-19pt;width:537.55pt;height:48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" filled="f" strokecolor="windowText">
                <v:shadow on="t" color="black" opacity="22937f" origin=",.5" offset="0,.63889mm"/>
                <w10:wrap anchorx="margin"/>
              </v:rect>
            </w:pict>
          </mc:Fallback>
        </mc:AlternateContent>
      </w:r>
      <w:r w:rsidRPr="00DA6129">
        <w:rPr>
          <w:rFonts w:ascii="Verdana" w:hAnsi="Verdana"/>
          <w:b/>
          <w:bCs/>
        </w:rPr>
        <w:t>Concessionary Fares Scheme might have the greatest impact and consults with the local community on the best way to support service users there.</w:t>
      </w:r>
    </w:p>
    <w:p w14:paraId="425A49F1" w14:textId="77777777" w:rsidR="002C30FB" w:rsidRPr="00DA6129" w:rsidRDefault="002C30FB" w:rsidP="002C30FB">
      <w:pPr>
        <w:spacing w:line="276" w:lineRule="auto"/>
        <w:ind w:left="709" w:hanging="709"/>
        <w:rPr>
          <w:rFonts w:ascii="Verdana" w:hAnsi="Verdana"/>
          <w:b/>
          <w:bCs/>
        </w:rPr>
      </w:pPr>
    </w:p>
    <w:p w14:paraId="1CD38888"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3.28</w:t>
      </w:r>
      <w:r w:rsidRPr="00DA6129">
        <w:rPr>
          <w:rFonts w:ascii="Verdana" w:hAnsi="Verdana"/>
          <w:b/>
          <w:bCs/>
        </w:rPr>
        <w:tab/>
        <w:t>The NIHRC recommends that, should the Department for Infrastructure introduce a fee for the application, renewal and replacement of smart passes, this fee should be capped at a minimum, affordable amount and not raised without meaningful consultation with the individuals this affects, and the organisations which represent them.</w:t>
      </w:r>
    </w:p>
    <w:p w14:paraId="7A29850C" w14:textId="77777777" w:rsidR="002C30FB" w:rsidRPr="00DA6129" w:rsidRDefault="002C30FB" w:rsidP="002C30FB">
      <w:pPr>
        <w:spacing w:line="276" w:lineRule="auto"/>
        <w:ind w:left="709" w:hanging="709"/>
        <w:rPr>
          <w:rFonts w:ascii="Verdana" w:hAnsi="Verdana"/>
          <w:b/>
          <w:bCs/>
        </w:rPr>
      </w:pPr>
    </w:p>
    <w:p w14:paraId="25E20DAE"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4.8</w:t>
      </w:r>
      <w:r w:rsidRPr="00DA6129">
        <w:rPr>
          <w:rFonts w:ascii="Verdana" w:hAnsi="Verdana"/>
          <w:b/>
          <w:bCs/>
        </w:rPr>
        <w:tab/>
        <w:t>The NIHRC recommends that the Department for Infrastructure explores extending the Concessionary Fares Scheme to include disabled people. This should be done in close consultation with disabled people and representative organisations to ensure the extension of the Scheme meets the specific needs of these individuals.</w:t>
      </w:r>
    </w:p>
    <w:p w14:paraId="6C338A79" w14:textId="77777777" w:rsidR="002C30FB" w:rsidRPr="00DA6129" w:rsidRDefault="002C30FB" w:rsidP="002C30FB">
      <w:pPr>
        <w:pStyle w:val="ListParagraph"/>
        <w:spacing w:line="276" w:lineRule="auto"/>
        <w:rPr>
          <w:b/>
          <w:bCs/>
        </w:rPr>
      </w:pPr>
    </w:p>
    <w:p w14:paraId="105441FD"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4.9</w:t>
      </w:r>
      <w:r w:rsidRPr="00DA6129">
        <w:rPr>
          <w:rFonts w:ascii="Verdana" w:hAnsi="Verdana"/>
          <w:b/>
          <w:bCs/>
        </w:rPr>
        <w:tab/>
        <w:t>The NIHRC recommends that the Department for Infrastructure extends the Concessionary Fares Scheme to include companion passes for disabled service users.</w:t>
      </w:r>
    </w:p>
    <w:p w14:paraId="0B744E78" w14:textId="77777777" w:rsidR="002C30FB" w:rsidRPr="00DA6129" w:rsidRDefault="002C30FB" w:rsidP="002C30FB">
      <w:pPr>
        <w:spacing w:line="276" w:lineRule="auto"/>
        <w:ind w:left="709" w:hanging="709"/>
        <w:rPr>
          <w:rFonts w:ascii="Verdana" w:hAnsi="Verdana"/>
          <w:b/>
          <w:bCs/>
        </w:rPr>
      </w:pPr>
    </w:p>
    <w:p w14:paraId="07F316FB" w14:textId="77777777" w:rsidR="002C30FB" w:rsidRPr="00DA6129" w:rsidRDefault="002C30FB" w:rsidP="002C30FB">
      <w:pPr>
        <w:spacing w:line="276" w:lineRule="auto"/>
        <w:ind w:left="709" w:hanging="709"/>
        <w:rPr>
          <w:rFonts w:ascii="Verdana" w:hAnsi="Verdana"/>
          <w:b/>
          <w:bCs/>
        </w:rPr>
      </w:pPr>
      <w:r w:rsidRPr="00DA6129">
        <w:rPr>
          <w:rFonts w:ascii="Verdana" w:hAnsi="Verdana"/>
          <w:b/>
          <w:bCs/>
        </w:rPr>
        <w:t>4.19</w:t>
      </w:r>
      <w:r w:rsidRPr="00DA6129">
        <w:rPr>
          <w:rFonts w:ascii="Verdana" w:hAnsi="Verdana"/>
          <w:b/>
          <w:bCs/>
        </w:rPr>
        <w:tab/>
        <w:t xml:space="preserve">The NIHRC recommends that the Department for Infrastructure explores extending the Concessionary Fares Scheme to include people seeking asylum and victims of human trafficking. This should be done in consultation with people who have experienced this, and their representative organisations. </w:t>
      </w:r>
    </w:p>
    <w:p w14:paraId="628B0E2D" w14:textId="77777777" w:rsidR="0085652B" w:rsidRDefault="0085652B" w:rsidP="0085652B"/>
    <w:p w14:paraId="4DB73BE2" w14:textId="77777777" w:rsidR="00EA12CE" w:rsidRPr="00331C61" w:rsidRDefault="00EA12CE" w:rsidP="00331C61">
      <w:pPr>
        <w:pStyle w:val="Default"/>
        <w:spacing w:line="288" w:lineRule="auto"/>
        <w:rPr>
          <w:rFonts w:cs="Arial"/>
          <w:b/>
          <w:color w:val="232120"/>
        </w:rPr>
      </w:pPr>
    </w:p>
    <w:p w14:paraId="098139D3" w14:textId="77777777" w:rsidR="00EA12CE" w:rsidRPr="00331C61" w:rsidRDefault="00EA12CE" w:rsidP="00331C61">
      <w:pPr>
        <w:pStyle w:val="Default"/>
        <w:spacing w:line="288" w:lineRule="auto"/>
        <w:rPr>
          <w:rFonts w:cs="Arial"/>
          <w:b/>
          <w:color w:val="232120"/>
        </w:rPr>
      </w:pPr>
    </w:p>
    <w:p w14:paraId="3D941CA2" w14:textId="77777777" w:rsidR="00EA12CE" w:rsidRPr="00331C61" w:rsidRDefault="00EA12CE" w:rsidP="00331C61">
      <w:pPr>
        <w:pStyle w:val="Default"/>
        <w:spacing w:line="288" w:lineRule="auto"/>
        <w:rPr>
          <w:rFonts w:cs="Arial"/>
          <w:b/>
          <w:color w:val="232120"/>
        </w:rPr>
      </w:pPr>
    </w:p>
    <w:p w14:paraId="761B498A" w14:textId="77777777" w:rsidR="00EA12CE" w:rsidRPr="00331C61" w:rsidRDefault="00EA12CE" w:rsidP="00331C61">
      <w:pPr>
        <w:pStyle w:val="Default"/>
        <w:spacing w:line="288" w:lineRule="auto"/>
        <w:rPr>
          <w:rFonts w:cs="Arial"/>
          <w:b/>
          <w:color w:val="232120"/>
        </w:rPr>
      </w:pPr>
    </w:p>
    <w:p w14:paraId="0FE13968" w14:textId="77777777" w:rsidR="00EA12CE" w:rsidRPr="00331C61" w:rsidRDefault="00EA12CE" w:rsidP="00331C61">
      <w:pPr>
        <w:pStyle w:val="Default"/>
        <w:spacing w:line="288" w:lineRule="auto"/>
        <w:rPr>
          <w:rFonts w:cs="Arial"/>
          <w:b/>
          <w:color w:val="232120"/>
        </w:rPr>
      </w:pPr>
    </w:p>
    <w:p w14:paraId="4E641170" w14:textId="77777777" w:rsidR="00EA12CE" w:rsidRPr="00331C61" w:rsidRDefault="00EA12CE" w:rsidP="00331C61">
      <w:pPr>
        <w:pStyle w:val="Default"/>
        <w:spacing w:line="288" w:lineRule="auto"/>
        <w:rPr>
          <w:rFonts w:cs="Arial"/>
          <w:b/>
          <w:color w:val="232120"/>
        </w:rPr>
      </w:pPr>
    </w:p>
    <w:p w14:paraId="6FFDDA8A" w14:textId="77777777" w:rsidR="00EA12CE" w:rsidRPr="00331C61" w:rsidRDefault="00EA12CE" w:rsidP="00331C61">
      <w:pPr>
        <w:pStyle w:val="Default"/>
        <w:spacing w:line="288" w:lineRule="auto"/>
        <w:rPr>
          <w:rFonts w:cs="Arial"/>
          <w:b/>
          <w:color w:val="232120"/>
        </w:rPr>
      </w:pPr>
    </w:p>
    <w:p w14:paraId="78B5CCB3" w14:textId="77777777" w:rsidR="00EA12CE" w:rsidRPr="00331C61" w:rsidRDefault="00EA12CE" w:rsidP="00331C61">
      <w:pPr>
        <w:pStyle w:val="Default"/>
        <w:spacing w:line="288" w:lineRule="auto"/>
        <w:rPr>
          <w:rFonts w:cs="Arial"/>
          <w:b/>
          <w:color w:val="232120"/>
        </w:rPr>
      </w:pPr>
    </w:p>
    <w:p w14:paraId="717AF6DF" w14:textId="77777777" w:rsidR="00EA12CE" w:rsidRPr="00331C61" w:rsidRDefault="00EA12CE" w:rsidP="00331C61">
      <w:pPr>
        <w:pStyle w:val="Default"/>
        <w:spacing w:line="288" w:lineRule="auto"/>
        <w:rPr>
          <w:rFonts w:cs="Arial"/>
          <w:b/>
          <w:color w:val="232120"/>
        </w:rPr>
      </w:pPr>
    </w:p>
    <w:p w14:paraId="155DAEFE" w14:textId="77777777" w:rsidR="00EA12CE" w:rsidRPr="00331C61" w:rsidRDefault="00EA12CE" w:rsidP="00331C61">
      <w:pPr>
        <w:pStyle w:val="Default"/>
        <w:spacing w:line="288" w:lineRule="auto"/>
        <w:rPr>
          <w:rFonts w:cs="Arial"/>
          <w:b/>
          <w:color w:val="232120"/>
        </w:rPr>
      </w:pPr>
    </w:p>
    <w:p w14:paraId="460F01FE" w14:textId="77777777" w:rsidR="00EA12CE" w:rsidRPr="00331C61" w:rsidRDefault="00EA12CE" w:rsidP="00331C61">
      <w:pPr>
        <w:pStyle w:val="Default"/>
        <w:spacing w:line="288" w:lineRule="auto"/>
        <w:rPr>
          <w:rFonts w:cs="Arial"/>
          <w:b/>
          <w:color w:val="232120"/>
        </w:rPr>
      </w:pPr>
    </w:p>
    <w:p w14:paraId="48CC3E32" w14:textId="77777777" w:rsidR="00EA12CE" w:rsidRPr="00331C61" w:rsidRDefault="00EA12CE" w:rsidP="00331C61">
      <w:pPr>
        <w:pStyle w:val="Default"/>
        <w:spacing w:line="288" w:lineRule="auto"/>
        <w:rPr>
          <w:rFonts w:cs="Arial"/>
          <w:b/>
          <w:color w:val="232120"/>
        </w:rPr>
      </w:pPr>
    </w:p>
    <w:p w14:paraId="5E7AE498" w14:textId="77777777" w:rsidR="00EA12CE" w:rsidRPr="00331C61" w:rsidRDefault="00EA12CE" w:rsidP="00331C61">
      <w:pPr>
        <w:pStyle w:val="Default"/>
        <w:spacing w:line="288" w:lineRule="auto"/>
        <w:rPr>
          <w:rFonts w:cs="Arial"/>
          <w:b/>
          <w:color w:val="232120"/>
        </w:rPr>
      </w:pPr>
    </w:p>
    <w:p w14:paraId="2BA092A8" w14:textId="77777777" w:rsidR="00EA12CE" w:rsidRPr="00331C61" w:rsidRDefault="00EA12CE" w:rsidP="00331C61">
      <w:pPr>
        <w:pStyle w:val="Default"/>
        <w:spacing w:line="288" w:lineRule="auto"/>
        <w:rPr>
          <w:rFonts w:cs="Arial"/>
          <w:b/>
          <w:color w:val="232120"/>
        </w:rPr>
      </w:pPr>
    </w:p>
    <w:p w14:paraId="31E93943" w14:textId="21D1F3E8" w:rsidR="007569C1" w:rsidRPr="007C019D" w:rsidRDefault="00357BA6" w:rsidP="00357BA6">
      <w:pPr>
        <w:pStyle w:val="Heading1"/>
      </w:pPr>
      <w:bookmarkStart w:id="1" w:name="_Toc143609769"/>
      <w:r>
        <w:lastRenderedPageBreak/>
        <w:t>1.0</w:t>
      </w:r>
      <w:r>
        <w:tab/>
      </w:r>
      <w:r w:rsidR="00ED40E9">
        <w:t>Introduction</w:t>
      </w:r>
      <w:bookmarkEnd w:id="1"/>
    </w:p>
    <w:p w14:paraId="2281C01C" w14:textId="77777777" w:rsidR="007C019D" w:rsidRPr="007C019D" w:rsidRDefault="007C019D" w:rsidP="007C019D">
      <w:pPr>
        <w:pStyle w:val="BasicParagraph"/>
        <w:suppressAutoHyphens/>
        <w:ind w:left="720"/>
        <w:rPr>
          <w:rFonts w:ascii="Verdana" w:hAnsi="Verdana" w:cs="Arial"/>
          <w:color w:val="77328A"/>
          <w:sz w:val="30"/>
          <w:szCs w:val="30"/>
        </w:rPr>
      </w:pPr>
    </w:p>
    <w:p w14:paraId="3934D791" w14:textId="4726F690" w:rsidR="00E10CEA" w:rsidRPr="00E10CEA" w:rsidRDefault="00E10CEA" w:rsidP="00E10CEA">
      <w:pPr>
        <w:numPr>
          <w:ilvl w:val="1"/>
          <w:numId w:val="9"/>
        </w:numPr>
        <w:spacing w:line="276" w:lineRule="auto"/>
        <w:ind w:left="709"/>
        <w:rPr>
          <w:rFonts w:ascii="Verdana" w:eastAsia="Times New Roman" w:hAnsi="Verdana" w:cs="Times New Roman"/>
        </w:rPr>
      </w:pPr>
      <w:r w:rsidRPr="00E10CEA">
        <w:rPr>
          <w:rFonts w:ascii="Verdana" w:eastAsia="Times New Roman" w:hAnsi="Verdana" w:cs="Times New Roman"/>
        </w:rPr>
        <w:t>The Northern Ireland Human Rights Commission (the NIHRC), pursuant to section 69(1) of the Northern Ireland Act 1998, reviews the adequacy and effectiveness of law and practice relating to the protection of human rights in Northern Ireland (NI). The NIHRC is also mandated, under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Pr="00E10CEA">
        <w:rPr>
          <w:rFonts w:ascii="Verdana" w:eastAsia="Times New Roman" w:hAnsi="Verdana" w:cs="Times New Roman"/>
          <w:vertAlign w:val="superscript"/>
        </w:rPr>
        <w:footnoteReference w:id="2"/>
      </w:r>
      <w:r w:rsidRPr="00E10CEA">
        <w:rPr>
          <w:rFonts w:ascii="Verdana" w:eastAsia="Times New Roman" w:hAnsi="Verdana" w:cs="Times New Roman"/>
        </w:rPr>
        <w:t xml:space="preserve"> In accordance with these functions, the following advice is submitted to the Department </w:t>
      </w:r>
      <w:r w:rsidR="00944176">
        <w:rPr>
          <w:rFonts w:ascii="Verdana" w:eastAsia="Times New Roman" w:hAnsi="Verdana" w:cs="Times New Roman"/>
        </w:rPr>
        <w:t xml:space="preserve">for </w:t>
      </w:r>
      <w:r>
        <w:rPr>
          <w:rFonts w:ascii="Verdana" w:eastAsia="Times New Roman" w:hAnsi="Verdana" w:cs="Times New Roman"/>
        </w:rPr>
        <w:t>Infrastructure</w:t>
      </w:r>
      <w:r w:rsidRPr="00E10CEA">
        <w:rPr>
          <w:rFonts w:ascii="Verdana" w:eastAsia="Times New Roman" w:hAnsi="Verdana" w:cs="Times New Roman"/>
        </w:rPr>
        <w:t xml:space="preserve"> in response to its consultation on</w:t>
      </w:r>
      <w:r w:rsidRPr="00E10CEA">
        <w:rPr>
          <w:rFonts w:ascii="Verdana" w:hAnsi="Verdana"/>
        </w:rPr>
        <w:t xml:space="preserve"> </w:t>
      </w:r>
      <w:r w:rsidR="005C7637">
        <w:rPr>
          <w:rFonts w:ascii="Verdana" w:hAnsi="Verdana"/>
        </w:rPr>
        <w:t>changes to the C</w:t>
      </w:r>
      <w:r>
        <w:rPr>
          <w:rFonts w:ascii="Verdana" w:hAnsi="Verdana"/>
        </w:rPr>
        <w:t xml:space="preserve">oncessionary </w:t>
      </w:r>
      <w:r w:rsidR="005C7637">
        <w:rPr>
          <w:rFonts w:ascii="Verdana" w:hAnsi="Verdana"/>
        </w:rPr>
        <w:t>F</w:t>
      </w:r>
      <w:r>
        <w:rPr>
          <w:rFonts w:ascii="Verdana" w:hAnsi="Verdana"/>
        </w:rPr>
        <w:t>ares</w:t>
      </w:r>
      <w:r w:rsidR="005C7637">
        <w:rPr>
          <w:rFonts w:ascii="Verdana" w:hAnsi="Verdana"/>
        </w:rPr>
        <w:t xml:space="preserve"> Scheme</w:t>
      </w:r>
      <w:r>
        <w:rPr>
          <w:rFonts w:ascii="Verdana" w:hAnsi="Verdana"/>
        </w:rPr>
        <w:t>.</w:t>
      </w:r>
    </w:p>
    <w:p w14:paraId="6C620955" w14:textId="77777777" w:rsidR="00E10CEA" w:rsidRDefault="00E10CEA" w:rsidP="00E10CEA">
      <w:pPr>
        <w:spacing w:line="276" w:lineRule="auto"/>
        <w:ind w:left="709"/>
        <w:rPr>
          <w:rFonts w:ascii="Verdana" w:eastAsia="Times New Roman" w:hAnsi="Verdana" w:cs="Times New Roman"/>
        </w:rPr>
      </w:pPr>
    </w:p>
    <w:p w14:paraId="4B67B5D8" w14:textId="2B460B86" w:rsidR="00E10CEA" w:rsidRPr="00DD6C7D" w:rsidRDefault="00E10CEA" w:rsidP="00E10CEA">
      <w:pPr>
        <w:numPr>
          <w:ilvl w:val="1"/>
          <w:numId w:val="9"/>
        </w:numPr>
        <w:spacing w:line="276" w:lineRule="auto"/>
        <w:ind w:left="709"/>
        <w:rPr>
          <w:rFonts w:ascii="Verdana" w:eastAsia="Times New Roman" w:hAnsi="Verdana" w:cs="Times New Roman"/>
        </w:rPr>
      </w:pPr>
      <w:r w:rsidRPr="00E10CEA">
        <w:rPr>
          <w:rFonts w:ascii="Verdana" w:hAnsi="Verdana" w:cs="Arial"/>
        </w:rPr>
        <w:t xml:space="preserve">The </w:t>
      </w:r>
      <w:r w:rsidRPr="00E10CEA">
        <w:rPr>
          <w:rFonts w:ascii="Verdana" w:hAnsi="Verdana"/>
          <w:lang w:val="en-US"/>
        </w:rPr>
        <w:t>NIHRC bases its advice on the full range of internationally accepted human rights standards, including the European Convention on Human Rights (ECHR), as incorporated by the Human Rights Act 1998, and treaty obligations of the Council of Europe (CoE) and United Nations (UN). The relevant regional and international treaties in this context include:</w:t>
      </w:r>
    </w:p>
    <w:p w14:paraId="7B39DE14" w14:textId="77777777" w:rsidR="00DD6C7D" w:rsidRDefault="00DD6C7D" w:rsidP="00DD6C7D">
      <w:pPr>
        <w:pStyle w:val="ListParagraph"/>
        <w:rPr>
          <w:rFonts w:ascii="Verdana" w:eastAsia="Times New Roman" w:hAnsi="Verdana" w:cs="Times New Roman"/>
        </w:rPr>
      </w:pPr>
    </w:p>
    <w:p w14:paraId="0AF88603" w14:textId="36ACE33F" w:rsidR="00DD6C7D" w:rsidRDefault="009B17B3" w:rsidP="00DD6C7D">
      <w:pPr>
        <w:pStyle w:val="ListParagraph"/>
        <w:numPr>
          <w:ilvl w:val="0"/>
          <w:numId w:val="19"/>
        </w:numPr>
        <w:spacing w:line="276" w:lineRule="auto"/>
        <w:rPr>
          <w:rFonts w:ascii="Verdana" w:eastAsia="Times New Roman" w:hAnsi="Verdana" w:cs="Times New Roman"/>
        </w:rPr>
      </w:pPr>
      <w:r>
        <w:rPr>
          <w:rFonts w:ascii="Verdana" w:eastAsia="Times New Roman" w:hAnsi="Verdana" w:cs="Times New Roman"/>
        </w:rPr>
        <w:t xml:space="preserve">UN </w:t>
      </w:r>
      <w:r w:rsidR="00DD49DC">
        <w:rPr>
          <w:rFonts w:ascii="Verdana" w:eastAsia="Times New Roman" w:hAnsi="Verdana" w:cs="Times New Roman"/>
        </w:rPr>
        <w:t>International Covenant on Economic, Social and Cultural Rights</w:t>
      </w:r>
      <w:r w:rsidR="00AB7044">
        <w:rPr>
          <w:rFonts w:ascii="Verdana" w:eastAsia="Times New Roman" w:hAnsi="Verdana" w:cs="Times New Roman"/>
        </w:rPr>
        <w:t xml:space="preserve"> 1966</w:t>
      </w:r>
      <w:r w:rsidR="00DD49DC">
        <w:rPr>
          <w:rFonts w:ascii="Verdana" w:eastAsia="Times New Roman" w:hAnsi="Verdana" w:cs="Times New Roman"/>
        </w:rPr>
        <w:t>;</w:t>
      </w:r>
      <w:r w:rsidR="00DD49DC">
        <w:rPr>
          <w:rStyle w:val="FootnoteReference"/>
          <w:rFonts w:ascii="Verdana" w:eastAsia="Times New Roman" w:hAnsi="Verdana" w:cs="Times New Roman"/>
        </w:rPr>
        <w:footnoteReference w:id="3"/>
      </w:r>
      <w:r w:rsidR="00D84E14">
        <w:rPr>
          <w:rFonts w:ascii="Verdana" w:eastAsia="Times New Roman" w:hAnsi="Verdana" w:cs="Times New Roman"/>
        </w:rPr>
        <w:t xml:space="preserve"> (ICESCR)</w:t>
      </w:r>
    </w:p>
    <w:p w14:paraId="5DC2ECE4" w14:textId="3B05B5D5" w:rsidR="00E51E0D" w:rsidRDefault="00E51E0D" w:rsidP="00DD6C7D">
      <w:pPr>
        <w:pStyle w:val="ListParagraph"/>
        <w:numPr>
          <w:ilvl w:val="0"/>
          <w:numId w:val="19"/>
        </w:numPr>
        <w:spacing w:line="276" w:lineRule="auto"/>
        <w:rPr>
          <w:rFonts w:ascii="Verdana" w:eastAsia="Times New Roman" w:hAnsi="Verdana" w:cs="Times New Roman"/>
        </w:rPr>
      </w:pPr>
      <w:r>
        <w:rPr>
          <w:rFonts w:ascii="Verdana" w:eastAsia="Times New Roman" w:hAnsi="Verdana" w:cs="Times New Roman"/>
        </w:rPr>
        <w:t xml:space="preserve">UN Convention on </w:t>
      </w:r>
      <w:r w:rsidR="00BC3203">
        <w:rPr>
          <w:rFonts w:ascii="Verdana" w:eastAsia="Times New Roman" w:hAnsi="Verdana" w:cs="Times New Roman"/>
        </w:rPr>
        <w:t>People with Disabilities</w:t>
      </w:r>
      <w:r w:rsidR="004D4FCC">
        <w:rPr>
          <w:rFonts w:ascii="Verdana" w:eastAsia="Times New Roman" w:hAnsi="Verdana" w:cs="Times New Roman"/>
        </w:rPr>
        <w:t xml:space="preserve"> 2006</w:t>
      </w:r>
      <w:r w:rsidR="00D84E14">
        <w:rPr>
          <w:rFonts w:ascii="Verdana" w:eastAsia="Times New Roman" w:hAnsi="Verdana" w:cs="Times New Roman"/>
        </w:rPr>
        <w:t>;</w:t>
      </w:r>
      <w:r w:rsidR="008110F8">
        <w:rPr>
          <w:rStyle w:val="FootnoteReference"/>
          <w:rFonts w:ascii="Verdana" w:eastAsia="Times New Roman" w:hAnsi="Verdana" w:cs="Times New Roman"/>
        </w:rPr>
        <w:footnoteReference w:id="4"/>
      </w:r>
      <w:r w:rsidR="00D84E14">
        <w:rPr>
          <w:rFonts w:ascii="Verdana" w:eastAsia="Times New Roman" w:hAnsi="Verdana" w:cs="Times New Roman"/>
        </w:rPr>
        <w:t xml:space="preserve"> (UN CRPD)</w:t>
      </w:r>
    </w:p>
    <w:p w14:paraId="440F458F" w14:textId="2516473F" w:rsidR="00BC3203" w:rsidRDefault="00BC3203" w:rsidP="00DD6C7D">
      <w:pPr>
        <w:pStyle w:val="ListParagraph"/>
        <w:numPr>
          <w:ilvl w:val="0"/>
          <w:numId w:val="19"/>
        </w:numPr>
        <w:spacing w:line="276" w:lineRule="auto"/>
        <w:rPr>
          <w:rFonts w:ascii="Verdana" w:eastAsia="Times New Roman" w:hAnsi="Verdana" w:cs="Times New Roman"/>
        </w:rPr>
      </w:pPr>
      <w:r>
        <w:rPr>
          <w:rFonts w:ascii="Verdana" w:eastAsia="Times New Roman" w:hAnsi="Verdana" w:cs="Times New Roman"/>
        </w:rPr>
        <w:t>UN Convention on the Rights of the Child</w:t>
      </w:r>
      <w:r w:rsidR="008110F8">
        <w:rPr>
          <w:rFonts w:ascii="Verdana" w:eastAsia="Times New Roman" w:hAnsi="Verdana" w:cs="Times New Roman"/>
        </w:rPr>
        <w:t xml:space="preserve"> 1989</w:t>
      </w:r>
      <w:r w:rsidR="5EC2D599" w:rsidRPr="1CF76CEB">
        <w:rPr>
          <w:rFonts w:ascii="Verdana" w:eastAsia="Times New Roman" w:hAnsi="Verdana" w:cs="Times New Roman"/>
        </w:rPr>
        <w:t xml:space="preserve"> (UN CRC)</w:t>
      </w:r>
      <w:r w:rsidR="004D4FCC" w:rsidRPr="1CF76CEB">
        <w:rPr>
          <w:rFonts w:ascii="Verdana" w:eastAsia="Times New Roman" w:hAnsi="Verdana" w:cs="Times New Roman"/>
        </w:rPr>
        <w:t>;</w:t>
      </w:r>
      <w:r>
        <w:rPr>
          <w:rStyle w:val="FootnoteReference"/>
          <w:rFonts w:ascii="Verdana" w:eastAsia="Times New Roman" w:hAnsi="Verdana" w:cs="Times New Roman"/>
        </w:rPr>
        <w:footnoteReference w:id="5"/>
      </w:r>
      <w:r w:rsidR="004A1AEB">
        <w:rPr>
          <w:rFonts w:ascii="Verdana" w:eastAsia="Times New Roman" w:hAnsi="Verdana" w:cs="Times New Roman"/>
        </w:rPr>
        <w:t xml:space="preserve"> and</w:t>
      </w:r>
      <w:r w:rsidR="00D84E14">
        <w:rPr>
          <w:rFonts w:ascii="Verdana" w:eastAsia="Times New Roman" w:hAnsi="Verdana" w:cs="Times New Roman"/>
        </w:rPr>
        <w:t xml:space="preserve"> </w:t>
      </w:r>
    </w:p>
    <w:p w14:paraId="6BD9E1B6" w14:textId="3A6D65D5" w:rsidR="00DD49DC" w:rsidRPr="00DD6C7D" w:rsidRDefault="00763E0D" w:rsidP="00DD6C7D">
      <w:pPr>
        <w:pStyle w:val="ListParagraph"/>
        <w:numPr>
          <w:ilvl w:val="0"/>
          <w:numId w:val="19"/>
        </w:numPr>
        <w:spacing w:line="276" w:lineRule="auto"/>
        <w:rPr>
          <w:rFonts w:ascii="Verdana" w:eastAsia="Times New Roman" w:hAnsi="Verdana" w:cs="Times New Roman"/>
        </w:rPr>
      </w:pPr>
      <w:r>
        <w:rPr>
          <w:rFonts w:ascii="Verdana" w:eastAsia="Times New Roman" w:hAnsi="Verdana" w:cs="Times New Roman"/>
        </w:rPr>
        <w:t>UN Co</w:t>
      </w:r>
      <w:r w:rsidR="009B17B3">
        <w:rPr>
          <w:rFonts w:ascii="Verdana" w:eastAsia="Times New Roman" w:hAnsi="Verdana" w:cs="Times New Roman"/>
        </w:rPr>
        <w:t xml:space="preserve">nvention on the Elimination of </w:t>
      </w:r>
      <w:r w:rsidR="00E51E0D">
        <w:rPr>
          <w:rFonts w:ascii="Verdana" w:eastAsia="Times New Roman" w:hAnsi="Verdana" w:cs="Times New Roman"/>
        </w:rPr>
        <w:t>Discrimination Against Women and Girls</w:t>
      </w:r>
      <w:r w:rsidR="00E41428">
        <w:rPr>
          <w:rFonts w:ascii="Verdana" w:eastAsia="Times New Roman" w:hAnsi="Verdana" w:cs="Times New Roman"/>
        </w:rPr>
        <w:t xml:space="preserve"> 1981</w:t>
      </w:r>
      <w:r w:rsidR="00486C24">
        <w:rPr>
          <w:rFonts w:ascii="Verdana" w:eastAsia="Times New Roman" w:hAnsi="Verdana" w:cs="Times New Roman"/>
        </w:rPr>
        <w:t>.</w:t>
      </w:r>
      <w:r w:rsidR="00E51E0D">
        <w:rPr>
          <w:rStyle w:val="FootnoteReference"/>
          <w:rFonts w:ascii="Verdana" w:eastAsia="Times New Roman" w:hAnsi="Verdana" w:cs="Times New Roman"/>
        </w:rPr>
        <w:footnoteReference w:id="6"/>
      </w:r>
      <w:r w:rsidR="00D84E14">
        <w:rPr>
          <w:rFonts w:ascii="Verdana" w:eastAsia="Times New Roman" w:hAnsi="Verdana" w:cs="Times New Roman"/>
        </w:rPr>
        <w:t xml:space="preserve"> (UN CEDAW)</w:t>
      </w:r>
    </w:p>
    <w:p w14:paraId="0A27D16C" w14:textId="77777777" w:rsidR="00E10CEA" w:rsidRDefault="00E10CEA" w:rsidP="00E10CEA">
      <w:pPr>
        <w:pStyle w:val="ListParagraph"/>
        <w:rPr>
          <w:rFonts w:ascii="Verdana" w:eastAsia="Times New Roman" w:hAnsi="Verdana" w:cs="Times New Roman"/>
        </w:rPr>
      </w:pPr>
    </w:p>
    <w:p w14:paraId="1077F3DD" w14:textId="6814DDA7" w:rsidR="007C019D" w:rsidRDefault="00E10CEA" w:rsidP="007C019D">
      <w:pPr>
        <w:pStyle w:val="BasicParagraph"/>
        <w:numPr>
          <w:ilvl w:val="1"/>
          <w:numId w:val="9"/>
        </w:numPr>
        <w:suppressAutoHyphens/>
        <w:ind w:left="709"/>
        <w:rPr>
          <w:rFonts w:ascii="Verdana" w:hAnsi="Verdana" w:cs="Arial"/>
          <w:color w:val="auto"/>
        </w:rPr>
      </w:pPr>
      <w:r w:rsidRPr="00E10CEA">
        <w:rPr>
          <w:rFonts w:ascii="Verdana" w:hAnsi="Verdana" w:cs="Arial"/>
          <w:color w:val="auto"/>
        </w:rPr>
        <w:t>In addition to these treaty standards, the following declarations and principles provide further guidance in respect of specific areas:</w:t>
      </w:r>
    </w:p>
    <w:p w14:paraId="6E9FFD49" w14:textId="79564CD8" w:rsidR="00EB1A9B" w:rsidRDefault="0053434A" w:rsidP="00EB1A9B">
      <w:pPr>
        <w:pStyle w:val="BasicParagraph"/>
        <w:numPr>
          <w:ilvl w:val="0"/>
          <w:numId w:val="19"/>
        </w:numPr>
        <w:suppressAutoHyphens/>
        <w:rPr>
          <w:rFonts w:ascii="Verdana" w:hAnsi="Verdana" w:cs="Arial"/>
          <w:color w:val="auto"/>
        </w:rPr>
      </w:pPr>
      <w:r>
        <w:rPr>
          <w:rFonts w:ascii="Verdana" w:hAnsi="Verdana" w:cs="Arial"/>
          <w:color w:val="auto"/>
        </w:rPr>
        <w:t xml:space="preserve">CoE Committee of Ministers </w:t>
      </w:r>
      <w:r w:rsidR="00642AF5">
        <w:rPr>
          <w:rFonts w:ascii="Verdana" w:hAnsi="Verdana" w:cs="Arial"/>
          <w:color w:val="auto"/>
        </w:rPr>
        <w:t>on the promotion and protection of older persons;</w:t>
      </w:r>
      <w:r w:rsidR="00642AF5">
        <w:rPr>
          <w:rStyle w:val="FootnoteReference"/>
          <w:rFonts w:ascii="Verdana" w:hAnsi="Verdana" w:cs="Arial"/>
          <w:color w:val="auto"/>
        </w:rPr>
        <w:footnoteReference w:id="7"/>
      </w:r>
    </w:p>
    <w:p w14:paraId="666AD010" w14:textId="1FC6D47D" w:rsidR="00642AF5" w:rsidRDefault="008A68EB" w:rsidP="00EB1A9B">
      <w:pPr>
        <w:pStyle w:val="BasicParagraph"/>
        <w:numPr>
          <w:ilvl w:val="0"/>
          <w:numId w:val="19"/>
        </w:numPr>
        <w:suppressAutoHyphens/>
        <w:rPr>
          <w:rFonts w:ascii="Verdana" w:hAnsi="Verdana" w:cs="Arial"/>
          <w:color w:val="auto"/>
        </w:rPr>
      </w:pPr>
      <w:r>
        <w:rPr>
          <w:rFonts w:ascii="Verdana" w:hAnsi="Verdana" w:cs="Arial"/>
          <w:color w:val="auto"/>
        </w:rPr>
        <w:t xml:space="preserve">UN CESCR </w:t>
      </w:r>
      <w:r w:rsidR="00E977F3">
        <w:rPr>
          <w:rFonts w:ascii="Verdana" w:hAnsi="Verdana" w:cs="Arial"/>
          <w:color w:val="auto"/>
        </w:rPr>
        <w:t>Committee General Comment No. 6;</w:t>
      </w:r>
      <w:r w:rsidR="00E977F3">
        <w:rPr>
          <w:rStyle w:val="FootnoteReference"/>
          <w:rFonts w:ascii="Verdana" w:hAnsi="Verdana" w:cs="Arial"/>
          <w:color w:val="auto"/>
        </w:rPr>
        <w:footnoteReference w:id="8"/>
      </w:r>
    </w:p>
    <w:p w14:paraId="7A32739E" w14:textId="231BFC68" w:rsidR="001A15CA" w:rsidRDefault="001A15CA" w:rsidP="00EB1A9B">
      <w:pPr>
        <w:pStyle w:val="BasicParagraph"/>
        <w:numPr>
          <w:ilvl w:val="0"/>
          <w:numId w:val="19"/>
        </w:numPr>
        <w:suppressAutoHyphens/>
        <w:rPr>
          <w:rFonts w:ascii="Verdana" w:hAnsi="Verdana" w:cs="Arial"/>
          <w:color w:val="auto"/>
        </w:rPr>
      </w:pPr>
      <w:r>
        <w:rPr>
          <w:rFonts w:ascii="Verdana" w:hAnsi="Verdana" w:cs="Arial"/>
          <w:color w:val="auto"/>
        </w:rPr>
        <w:lastRenderedPageBreak/>
        <w:t>UN CRPD Committee General Comment No. 5;</w:t>
      </w:r>
      <w:r>
        <w:rPr>
          <w:rStyle w:val="FootnoteReference"/>
          <w:rFonts w:ascii="Verdana" w:hAnsi="Verdana" w:cs="Arial"/>
          <w:color w:val="auto"/>
        </w:rPr>
        <w:footnoteReference w:id="9"/>
      </w:r>
    </w:p>
    <w:p w14:paraId="31F70677" w14:textId="443C5ED6" w:rsidR="00865EC5" w:rsidRDefault="00865EC5" w:rsidP="00EB1A9B">
      <w:pPr>
        <w:pStyle w:val="BasicParagraph"/>
        <w:numPr>
          <w:ilvl w:val="0"/>
          <w:numId w:val="19"/>
        </w:numPr>
        <w:suppressAutoHyphens/>
        <w:rPr>
          <w:rFonts w:ascii="Verdana" w:hAnsi="Verdana" w:cs="Arial"/>
          <w:color w:val="auto"/>
        </w:rPr>
      </w:pPr>
      <w:r>
        <w:rPr>
          <w:rFonts w:ascii="Verdana" w:hAnsi="Verdana" w:cs="Arial"/>
          <w:color w:val="auto"/>
        </w:rPr>
        <w:t>UN Independent Expert on Older People</w:t>
      </w:r>
      <w:r w:rsidR="000A1672">
        <w:rPr>
          <w:rFonts w:ascii="Verdana" w:hAnsi="Verdana" w:cs="Arial"/>
          <w:color w:val="auto"/>
        </w:rPr>
        <w:t xml:space="preserve">’s report on the impact of social </w:t>
      </w:r>
      <w:r w:rsidR="007E74F3">
        <w:rPr>
          <w:rFonts w:ascii="Verdana" w:hAnsi="Verdana" w:cs="Arial"/>
          <w:color w:val="auto"/>
        </w:rPr>
        <w:t>exclusion on older persons</w:t>
      </w:r>
      <w:r>
        <w:rPr>
          <w:rFonts w:ascii="Verdana" w:hAnsi="Verdana" w:cs="Arial"/>
          <w:color w:val="auto"/>
        </w:rPr>
        <w:t>;</w:t>
      </w:r>
      <w:r>
        <w:rPr>
          <w:rStyle w:val="FootnoteReference"/>
          <w:rFonts w:ascii="Verdana" w:hAnsi="Verdana" w:cs="Arial"/>
          <w:color w:val="auto"/>
        </w:rPr>
        <w:footnoteReference w:id="10"/>
      </w:r>
      <w:r>
        <w:rPr>
          <w:rFonts w:ascii="Verdana" w:hAnsi="Verdana" w:cs="Arial"/>
          <w:color w:val="auto"/>
        </w:rPr>
        <w:t xml:space="preserve"> </w:t>
      </w:r>
      <w:r w:rsidR="009C3AC2">
        <w:rPr>
          <w:rFonts w:ascii="Verdana" w:hAnsi="Verdana" w:cs="Arial"/>
          <w:color w:val="auto"/>
        </w:rPr>
        <w:t>and</w:t>
      </w:r>
    </w:p>
    <w:p w14:paraId="4ECAE07D" w14:textId="29E39C1C" w:rsidR="00865EC5" w:rsidRDefault="00865EC5" w:rsidP="000022C5">
      <w:pPr>
        <w:pStyle w:val="BasicParagraph"/>
        <w:numPr>
          <w:ilvl w:val="0"/>
          <w:numId w:val="19"/>
        </w:numPr>
        <w:suppressAutoHyphens/>
        <w:rPr>
          <w:rFonts w:ascii="Verdana" w:hAnsi="Verdana" w:cs="Arial"/>
          <w:color w:val="auto"/>
        </w:rPr>
      </w:pPr>
      <w:r>
        <w:rPr>
          <w:rFonts w:ascii="Verdana" w:hAnsi="Verdana" w:cs="Arial"/>
          <w:color w:val="auto"/>
        </w:rPr>
        <w:t xml:space="preserve">UN </w:t>
      </w:r>
      <w:r w:rsidR="00572865">
        <w:rPr>
          <w:rFonts w:ascii="Verdana" w:hAnsi="Verdana" w:cs="Arial"/>
          <w:color w:val="auto"/>
        </w:rPr>
        <w:t>Special Rapporteur</w:t>
      </w:r>
      <w:r>
        <w:rPr>
          <w:rFonts w:ascii="Verdana" w:hAnsi="Verdana" w:cs="Arial"/>
          <w:color w:val="auto"/>
        </w:rPr>
        <w:t xml:space="preserve"> on </w:t>
      </w:r>
      <w:r w:rsidR="00572865">
        <w:rPr>
          <w:rFonts w:ascii="Verdana" w:hAnsi="Verdana" w:cs="Arial"/>
          <w:color w:val="auto"/>
        </w:rPr>
        <w:t>Extreme Poverty and Human Rights</w:t>
      </w:r>
      <w:r w:rsidR="000275D6">
        <w:rPr>
          <w:rFonts w:ascii="Verdana" w:hAnsi="Verdana" w:cs="Arial"/>
          <w:color w:val="auto"/>
        </w:rPr>
        <w:t xml:space="preserve">’ Statement </w:t>
      </w:r>
      <w:r w:rsidR="00056B77">
        <w:rPr>
          <w:rFonts w:ascii="Verdana" w:hAnsi="Verdana" w:cs="Arial"/>
          <w:color w:val="auto"/>
        </w:rPr>
        <w:t>on their visit to the UK</w:t>
      </w:r>
      <w:r w:rsidR="00572865">
        <w:rPr>
          <w:rFonts w:ascii="Verdana" w:hAnsi="Verdana" w:cs="Arial"/>
          <w:color w:val="auto"/>
        </w:rPr>
        <w:t>.</w:t>
      </w:r>
      <w:r w:rsidR="00572865">
        <w:rPr>
          <w:rStyle w:val="FootnoteReference"/>
          <w:rFonts w:ascii="Verdana" w:hAnsi="Verdana" w:cs="Arial"/>
          <w:color w:val="auto"/>
        </w:rPr>
        <w:footnoteReference w:id="11"/>
      </w:r>
    </w:p>
    <w:p w14:paraId="5F588BD9" w14:textId="77777777" w:rsidR="00985C10" w:rsidRDefault="00985C10" w:rsidP="000022C5">
      <w:pPr>
        <w:pStyle w:val="BasicParagraph"/>
        <w:suppressAutoHyphens/>
        <w:ind w:left="709"/>
        <w:rPr>
          <w:rFonts w:ascii="Verdana" w:hAnsi="Verdana" w:cs="Arial"/>
          <w:color w:val="auto"/>
        </w:rPr>
      </w:pPr>
    </w:p>
    <w:p w14:paraId="483D7C22" w14:textId="48ADDFF0" w:rsidR="00BE44E7" w:rsidRPr="007C3AB8" w:rsidRDefault="00985C10" w:rsidP="007843B4">
      <w:pPr>
        <w:pStyle w:val="BasicParagraph"/>
        <w:numPr>
          <w:ilvl w:val="1"/>
          <w:numId w:val="9"/>
        </w:numPr>
        <w:suppressAutoHyphens/>
        <w:ind w:left="709"/>
        <w:rPr>
          <w:rFonts w:ascii="Verdana" w:hAnsi="Verdana" w:cs="Arial"/>
        </w:rPr>
      </w:pPr>
      <w:r w:rsidRPr="4E5835F8">
        <w:rPr>
          <w:rFonts w:ascii="Verdana" w:hAnsi="Verdana"/>
        </w:rPr>
        <w:t xml:space="preserve">The NIHRC further advises on the UK Government’s commitment in Windsor Framework Article 2(1)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Windsor Framework Article 2. Section 24 of the 1998 Act also provides that all acts of the Department should be compatible with Windsor Framework Article 2. </w:t>
      </w:r>
    </w:p>
    <w:p w14:paraId="14DAB8BF" w14:textId="77777777" w:rsidR="007C3AB8" w:rsidRDefault="007C3AB8" w:rsidP="007C3AB8">
      <w:pPr>
        <w:pStyle w:val="BasicParagraph"/>
        <w:suppressAutoHyphens/>
        <w:ind w:left="709"/>
        <w:rPr>
          <w:rFonts w:ascii="Verdana" w:hAnsi="Verdana" w:cs="Arial"/>
        </w:rPr>
      </w:pPr>
    </w:p>
    <w:p w14:paraId="72ED608B" w14:textId="1294B021" w:rsidR="00BE44E7" w:rsidRDefault="00357BA6" w:rsidP="00BE44E7">
      <w:pPr>
        <w:pStyle w:val="Heading1"/>
        <w:ind w:left="426" w:hanging="426"/>
      </w:pPr>
      <w:bookmarkStart w:id="2" w:name="_Toc143609770"/>
      <w:r>
        <w:t>2.0</w:t>
      </w:r>
      <w:r>
        <w:tab/>
      </w:r>
      <w:r w:rsidR="00BE44E7">
        <w:t>General Comments</w:t>
      </w:r>
      <w:bookmarkEnd w:id="2"/>
    </w:p>
    <w:p w14:paraId="7F34BA28" w14:textId="77777777" w:rsidR="00BE44E7" w:rsidRDefault="00BE44E7" w:rsidP="00BE44E7"/>
    <w:p w14:paraId="1D90C325" w14:textId="77777777" w:rsidR="006A3F5A" w:rsidRPr="006A3F5A" w:rsidRDefault="006A3F5A" w:rsidP="006A3F5A">
      <w:pPr>
        <w:pStyle w:val="ListParagraph"/>
        <w:numPr>
          <w:ilvl w:val="0"/>
          <w:numId w:val="11"/>
        </w:numPr>
        <w:spacing w:line="276" w:lineRule="auto"/>
        <w:rPr>
          <w:rFonts w:ascii="Verdana" w:hAnsi="Verdana"/>
          <w:vanish/>
        </w:rPr>
      </w:pPr>
    </w:p>
    <w:p w14:paraId="39348F16" w14:textId="77777777" w:rsidR="006A3F5A" w:rsidRPr="006A3F5A" w:rsidRDefault="006A3F5A" w:rsidP="006A3F5A">
      <w:pPr>
        <w:pStyle w:val="ListParagraph"/>
        <w:numPr>
          <w:ilvl w:val="0"/>
          <w:numId w:val="11"/>
        </w:numPr>
        <w:spacing w:line="276" w:lineRule="auto"/>
        <w:rPr>
          <w:rFonts w:ascii="Verdana" w:hAnsi="Verdana"/>
          <w:vanish/>
        </w:rPr>
      </w:pPr>
    </w:p>
    <w:p w14:paraId="55B97240" w14:textId="0181E1AC" w:rsidR="00785747" w:rsidRDefault="007B7B37" w:rsidP="007B7B37">
      <w:pPr>
        <w:pStyle w:val="Heading2"/>
      </w:pPr>
      <w:bookmarkStart w:id="3" w:name="_Toc143609771"/>
      <w:r>
        <w:t>Human Rights Context</w:t>
      </w:r>
      <w:bookmarkEnd w:id="3"/>
    </w:p>
    <w:p w14:paraId="1EBCCBF3" w14:textId="77777777" w:rsidR="007B7B37" w:rsidRPr="007B7B37" w:rsidRDefault="007B7B37" w:rsidP="00CE5943"/>
    <w:p w14:paraId="269D1C03" w14:textId="02C83582" w:rsidR="00E90973" w:rsidRDefault="00E90973" w:rsidP="00E90973">
      <w:pPr>
        <w:pStyle w:val="ListParagraph"/>
        <w:numPr>
          <w:ilvl w:val="1"/>
          <w:numId w:val="11"/>
        </w:numPr>
        <w:spacing w:line="276" w:lineRule="auto"/>
        <w:ind w:left="709"/>
        <w:rPr>
          <w:rFonts w:ascii="Verdana" w:hAnsi="Verdana"/>
        </w:rPr>
      </w:pPr>
      <w:r w:rsidRPr="006A3F5A">
        <w:rPr>
          <w:rFonts w:ascii="Verdana" w:hAnsi="Verdana"/>
        </w:rPr>
        <w:t xml:space="preserve">The </w:t>
      </w:r>
      <w:r w:rsidR="00CD3A19">
        <w:rPr>
          <w:rFonts w:ascii="Verdana" w:hAnsi="Verdana"/>
        </w:rPr>
        <w:t xml:space="preserve">NIHRC notes that the </w:t>
      </w:r>
      <w:r w:rsidRPr="006A3F5A">
        <w:rPr>
          <w:rFonts w:ascii="Verdana" w:hAnsi="Verdana"/>
        </w:rPr>
        <w:t xml:space="preserve">Department </w:t>
      </w:r>
      <w:r w:rsidR="0026381F">
        <w:rPr>
          <w:rFonts w:ascii="Verdana" w:hAnsi="Verdana"/>
        </w:rPr>
        <w:t>for</w:t>
      </w:r>
      <w:r w:rsidR="0026381F" w:rsidRPr="006A3F5A">
        <w:rPr>
          <w:rFonts w:ascii="Verdana" w:hAnsi="Verdana"/>
        </w:rPr>
        <w:t xml:space="preserve"> </w:t>
      </w:r>
      <w:r w:rsidRPr="006A3F5A">
        <w:rPr>
          <w:rFonts w:ascii="Verdana" w:hAnsi="Verdana"/>
        </w:rPr>
        <w:t>Infrastructure ha</w:t>
      </w:r>
      <w:r w:rsidR="00910305">
        <w:rPr>
          <w:rFonts w:ascii="Verdana" w:hAnsi="Verdana"/>
        </w:rPr>
        <w:t>s</w:t>
      </w:r>
      <w:r w:rsidRPr="006A3F5A">
        <w:rPr>
          <w:rFonts w:ascii="Verdana" w:hAnsi="Verdana"/>
        </w:rPr>
        <w:t xml:space="preserve"> identified within </w:t>
      </w:r>
      <w:r w:rsidR="00910305">
        <w:rPr>
          <w:rFonts w:ascii="Verdana" w:hAnsi="Verdana"/>
        </w:rPr>
        <w:t>its</w:t>
      </w:r>
      <w:r w:rsidR="00910305" w:rsidRPr="006A3F5A">
        <w:rPr>
          <w:rFonts w:ascii="Verdana" w:hAnsi="Verdana"/>
        </w:rPr>
        <w:t xml:space="preserve"> </w:t>
      </w:r>
      <w:r w:rsidRPr="006A3F5A">
        <w:rPr>
          <w:rFonts w:ascii="Verdana" w:hAnsi="Verdana"/>
        </w:rPr>
        <w:t>consultation document that the costs of the Concessionary Fares Scheme (the Scheme) have increased significantly since 2007/08, when the Scheme was last amended. The Department attributes this rise in cost to people living longer and bus fares increasing in real terms over time.</w:t>
      </w:r>
      <w:r>
        <w:rPr>
          <w:rStyle w:val="FootnoteReference"/>
          <w:rFonts w:ascii="Verdana" w:hAnsi="Verdana"/>
        </w:rPr>
        <w:footnoteReference w:id="12"/>
      </w:r>
      <w:r>
        <w:rPr>
          <w:rFonts w:ascii="Verdana" w:hAnsi="Verdana"/>
        </w:rPr>
        <w:t xml:space="preserve"> Part A of the consultation focuses on measures to cut the overall costs of the Scheme, with Part B focusing on widening the Scheme to include other marginalised groups, including people seeking asylum and disabled people</w:t>
      </w:r>
      <w:r w:rsidR="00227173">
        <w:rPr>
          <w:rFonts w:ascii="Verdana" w:hAnsi="Verdana"/>
        </w:rPr>
        <w:t>.</w:t>
      </w:r>
      <w:r>
        <w:rPr>
          <w:rFonts w:ascii="Verdana" w:hAnsi="Verdana"/>
        </w:rPr>
        <w:t xml:space="preserve"> </w:t>
      </w:r>
    </w:p>
    <w:p w14:paraId="2A34EB04" w14:textId="77777777" w:rsidR="00E90973" w:rsidRPr="00E90973" w:rsidRDefault="00E90973" w:rsidP="00E90973">
      <w:pPr>
        <w:pStyle w:val="ListParagraph"/>
        <w:rPr>
          <w:rFonts w:ascii="Verdana" w:hAnsi="Verdana"/>
        </w:rPr>
      </w:pPr>
    </w:p>
    <w:p w14:paraId="29A8BA51" w14:textId="19608F80" w:rsidR="00E90973" w:rsidRDefault="00E90973" w:rsidP="004A1439">
      <w:pPr>
        <w:pStyle w:val="ListParagraph"/>
        <w:numPr>
          <w:ilvl w:val="1"/>
          <w:numId w:val="11"/>
        </w:numPr>
        <w:spacing w:line="276" w:lineRule="auto"/>
        <w:ind w:left="709"/>
        <w:rPr>
          <w:rFonts w:ascii="Verdana" w:hAnsi="Verdana"/>
        </w:rPr>
      </w:pPr>
      <w:r>
        <w:rPr>
          <w:rFonts w:ascii="Verdana" w:hAnsi="Verdana"/>
        </w:rPr>
        <w:t xml:space="preserve">The Department has identified within the consultation document </w:t>
      </w:r>
      <w:r w:rsidR="00E31F19">
        <w:rPr>
          <w:rFonts w:ascii="Verdana" w:hAnsi="Verdana"/>
        </w:rPr>
        <w:t xml:space="preserve">that </w:t>
      </w:r>
      <w:r>
        <w:rPr>
          <w:rFonts w:ascii="Verdana" w:hAnsi="Verdana"/>
        </w:rPr>
        <w:t xml:space="preserve">any measures taken </w:t>
      </w:r>
      <w:r w:rsidR="00227173">
        <w:rPr>
          <w:rFonts w:ascii="Verdana" w:hAnsi="Verdana"/>
        </w:rPr>
        <w:t xml:space="preserve">to implement the options in Part B would likely </w:t>
      </w:r>
      <w:r>
        <w:rPr>
          <w:rFonts w:ascii="Verdana" w:hAnsi="Verdana"/>
        </w:rPr>
        <w:t xml:space="preserve">increase the costs of the Scheme </w:t>
      </w:r>
      <w:r w:rsidR="00227173">
        <w:rPr>
          <w:rFonts w:ascii="Verdana" w:hAnsi="Verdana"/>
        </w:rPr>
        <w:t xml:space="preserve">and </w:t>
      </w:r>
      <w:r>
        <w:rPr>
          <w:rFonts w:ascii="Verdana" w:hAnsi="Verdana"/>
        </w:rPr>
        <w:t xml:space="preserve">would </w:t>
      </w:r>
      <w:r w:rsidR="00C24111">
        <w:rPr>
          <w:rFonts w:ascii="Verdana" w:hAnsi="Verdana"/>
        </w:rPr>
        <w:t xml:space="preserve">therefore </w:t>
      </w:r>
      <w:r>
        <w:rPr>
          <w:rFonts w:ascii="Verdana" w:hAnsi="Verdana"/>
        </w:rPr>
        <w:t xml:space="preserve">require additional budget, </w:t>
      </w:r>
      <w:r w:rsidR="00F7153A">
        <w:rPr>
          <w:rFonts w:ascii="Verdana" w:hAnsi="Verdana"/>
        </w:rPr>
        <w:t xml:space="preserve">and </w:t>
      </w:r>
      <w:r>
        <w:rPr>
          <w:rFonts w:ascii="Verdana" w:hAnsi="Verdana"/>
        </w:rPr>
        <w:t xml:space="preserve">the Department is using this opportunity to consult </w:t>
      </w:r>
      <w:r w:rsidR="000A1C98">
        <w:rPr>
          <w:rFonts w:ascii="Verdana" w:hAnsi="Verdana"/>
        </w:rPr>
        <w:t xml:space="preserve">initially </w:t>
      </w:r>
      <w:r>
        <w:rPr>
          <w:rFonts w:ascii="Verdana" w:hAnsi="Verdana"/>
        </w:rPr>
        <w:t xml:space="preserve">on these </w:t>
      </w:r>
      <w:r>
        <w:rPr>
          <w:rFonts w:ascii="Verdana" w:hAnsi="Verdana"/>
        </w:rPr>
        <w:lastRenderedPageBreak/>
        <w:t>options</w:t>
      </w:r>
      <w:r w:rsidR="00A11F7B">
        <w:rPr>
          <w:rFonts w:ascii="Verdana" w:hAnsi="Verdana"/>
        </w:rPr>
        <w:t xml:space="preserve"> as </w:t>
      </w:r>
      <w:r w:rsidR="00467950">
        <w:rPr>
          <w:rFonts w:ascii="Verdana" w:hAnsi="Verdana"/>
        </w:rPr>
        <w:t>potential</w:t>
      </w:r>
      <w:r w:rsidR="00A11F7B">
        <w:rPr>
          <w:rFonts w:ascii="Verdana" w:hAnsi="Verdana"/>
        </w:rPr>
        <w:t xml:space="preserve"> proposals for the future</w:t>
      </w:r>
      <w:r w:rsidR="005C0874">
        <w:rPr>
          <w:rFonts w:ascii="Verdana" w:hAnsi="Verdana"/>
        </w:rPr>
        <w:t>.</w:t>
      </w:r>
      <w:r w:rsidR="00BF57C0">
        <w:rPr>
          <w:rStyle w:val="FootnoteReference"/>
          <w:rFonts w:ascii="Verdana" w:hAnsi="Verdana"/>
        </w:rPr>
        <w:footnoteReference w:id="13"/>
      </w:r>
      <w:r>
        <w:rPr>
          <w:rFonts w:ascii="Verdana" w:hAnsi="Verdana"/>
        </w:rPr>
        <w:t xml:space="preserve"> The NIHRC </w:t>
      </w:r>
      <w:r w:rsidR="002C1041">
        <w:rPr>
          <w:rFonts w:ascii="Verdana" w:hAnsi="Verdana"/>
        </w:rPr>
        <w:t>understands</w:t>
      </w:r>
      <w:r w:rsidR="00144414">
        <w:rPr>
          <w:rFonts w:ascii="Verdana" w:hAnsi="Verdana"/>
        </w:rPr>
        <w:t>, therefore,</w:t>
      </w:r>
      <w:r w:rsidR="002C1041">
        <w:rPr>
          <w:rFonts w:ascii="Verdana" w:hAnsi="Verdana"/>
        </w:rPr>
        <w:t xml:space="preserve"> </w:t>
      </w:r>
      <w:r>
        <w:rPr>
          <w:rFonts w:ascii="Verdana" w:hAnsi="Verdana"/>
        </w:rPr>
        <w:t>that there is no guarantee that the measures in Part B will be implemented</w:t>
      </w:r>
      <w:r w:rsidR="00D82A55">
        <w:rPr>
          <w:rFonts w:ascii="Verdana" w:hAnsi="Verdana"/>
        </w:rPr>
        <w:t xml:space="preserve"> in the future</w:t>
      </w:r>
      <w:r w:rsidR="00227173">
        <w:rPr>
          <w:rFonts w:ascii="Verdana" w:hAnsi="Verdana"/>
        </w:rPr>
        <w:t>, even if additional budget could be secured for the Scheme</w:t>
      </w:r>
      <w:r w:rsidR="00130281">
        <w:rPr>
          <w:rFonts w:ascii="Verdana" w:hAnsi="Verdana"/>
        </w:rPr>
        <w:t>.</w:t>
      </w:r>
      <w:r w:rsidR="00D81318">
        <w:rPr>
          <w:rFonts w:ascii="Verdana" w:hAnsi="Verdana"/>
        </w:rPr>
        <w:t xml:space="preserve"> While the consultation document </w:t>
      </w:r>
      <w:r w:rsidR="00394FF4">
        <w:rPr>
          <w:rFonts w:ascii="Verdana" w:hAnsi="Verdana"/>
        </w:rPr>
        <w:t>cites the intention</w:t>
      </w:r>
      <w:r w:rsidR="00D50DAB">
        <w:rPr>
          <w:rFonts w:ascii="Verdana" w:hAnsi="Verdana"/>
        </w:rPr>
        <w:t xml:space="preserve"> of Part A</w:t>
      </w:r>
      <w:r w:rsidR="00394FF4">
        <w:rPr>
          <w:rFonts w:ascii="Verdana" w:hAnsi="Verdana"/>
        </w:rPr>
        <w:t xml:space="preserve"> </w:t>
      </w:r>
      <w:r w:rsidR="00D50DAB">
        <w:rPr>
          <w:rFonts w:ascii="Verdana" w:hAnsi="Verdana"/>
        </w:rPr>
        <w:t>“</w:t>
      </w:r>
      <w:r w:rsidR="00D50DAB" w:rsidRPr="00761F21">
        <w:rPr>
          <w:rFonts w:ascii="Verdana" w:hAnsi="Verdana"/>
        </w:rPr>
        <w:t>to identify changes to the current eligibility criteria which could reduce the costs of the Scheme</w:t>
      </w:r>
      <w:r w:rsidR="00D50DAB">
        <w:t>”</w:t>
      </w:r>
      <w:r w:rsidR="00D50DAB">
        <w:rPr>
          <w:rStyle w:val="FootnoteReference"/>
        </w:rPr>
        <w:footnoteReference w:id="14"/>
      </w:r>
      <w:r w:rsidR="000A67FF">
        <w:t xml:space="preserve">, </w:t>
      </w:r>
      <w:r w:rsidR="000A67FF" w:rsidRPr="00761F21">
        <w:rPr>
          <w:rFonts w:ascii="Verdana" w:hAnsi="Verdana"/>
        </w:rPr>
        <w:t xml:space="preserve">the proposals </w:t>
      </w:r>
      <w:r w:rsidR="00031991" w:rsidRPr="00761F21">
        <w:rPr>
          <w:rFonts w:ascii="Verdana" w:hAnsi="Verdana"/>
        </w:rPr>
        <w:t>outlined in Part B that could help promote social inclusion</w:t>
      </w:r>
      <w:r w:rsidR="00E73855">
        <w:rPr>
          <w:rFonts w:ascii="Verdana" w:hAnsi="Verdana"/>
        </w:rPr>
        <w:t xml:space="preserve"> and may increase the cost of the Scheme</w:t>
      </w:r>
      <w:r w:rsidR="00031991" w:rsidRPr="00761F21">
        <w:rPr>
          <w:rFonts w:ascii="Verdana" w:hAnsi="Verdana"/>
        </w:rPr>
        <w:t xml:space="preserve"> are </w:t>
      </w:r>
      <w:r w:rsidR="00DE2C1B" w:rsidRPr="00761F21">
        <w:rPr>
          <w:rFonts w:ascii="Verdana" w:hAnsi="Verdana"/>
        </w:rPr>
        <w:t>“longer term</w:t>
      </w:r>
      <w:r w:rsidR="00DE2C1B">
        <w:t>”</w:t>
      </w:r>
      <w:r w:rsidR="00D84352">
        <w:t>.</w:t>
      </w:r>
      <w:r w:rsidR="00B47551">
        <w:rPr>
          <w:rStyle w:val="FootnoteReference"/>
        </w:rPr>
        <w:footnoteReference w:id="15"/>
      </w:r>
      <w:r w:rsidR="00130281">
        <w:rPr>
          <w:rFonts w:ascii="Verdana" w:hAnsi="Verdana"/>
        </w:rPr>
        <w:t xml:space="preserve"> </w:t>
      </w:r>
      <w:r w:rsidR="00B47551">
        <w:rPr>
          <w:rFonts w:ascii="Verdana" w:hAnsi="Verdana"/>
        </w:rPr>
        <w:t>However, t</w:t>
      </w:r>
      <w:r w:rsidR="00130281">
        <w:rPr>
          <w:rFonts w:ascii="Verdana" w:hAnsi="Verdana"/>
        </w:rPr>
        <w:t>he NIHRC is concerned that</w:t>
      </w:r>
      <w:r>
        <w:rPr>
          <w:rFonts w:ascii="Verdana" w:hAnsi="Verdana"/>
        </w:rPr>
        <w:t xml:space="preserve"> formatting the consultation in this way</w:t>
      </w:r>
      <w:r w:rsidR="00A63F15">
        <w:rPr>
          <w:rFonts w:ascii="Verdana" w:hAnsi="Verdana"/>
        </w:rPr>
        <w:t xml:space="preserve"> could be misconstrued as placing beneficiary groups in competition for resources with one another.</w:t>
      </w:r>
      <w:r w:rsidR="000D0BB2">
        <w:rPr>
          <w:rFonts w:ascii="Verdana" w:hAnsi="Verdana"/>
        </w:rPr>
        <w:t xml:space="preserve"> </w:t>
      </w:r>
      <w:r w:rsidR="000D0BB2" w:rsidRPr="004A1439">
        <w:rPr>
          <w:rFonts w:ascii="Verdana" w:hAnsi="Verdana"/>
        </w:rPr>
        <w:t>The Department should take into consideration its human rights obligations when allocating budget to its Concessionary Fares Scheme.</w:t>
      </w:r>
      <w:r w:rsidR="00A63F15" w:rsidRPr="004A1439">
        <w:rPr>
          <w:rFonts w:ascii="Verdana" w:hAnsi="Verdana"/>
        </w:rPr>
        <w:t xml:space="preserve"> </w:t>
      </w:r>
    </w:p>
    <w:p w14:paraId="44483D19" w14:textId="77777777" w:rsidR="004A1439" w:rsidRPr="004A1439" w:rsidRDefault="004A1439" w:rsidP="004A1439">
      <w:pPr>
        <w:pStyle w:val="ListParagraph"/>
        <w:rPr>
          <w:rFonts w:ascii="Verdana" w:hAnsi="Verdana"/>
        </w:rPr>
      </w:pPr>
    </w:p>
    <w:p w14:paraId="4351B572" w14:textId="0F329E83" w:rsidR="004A1439" w:rsidRDefault="004A1439" w:rsidP="004A1439">
      <w:pPr>
        <w:pStyle w:val="ListParagraph"/>
        <w:numPr>
          <w:ilvl w:val="1"/>
          <w:numId w:val="11"/>
        </w:numPr>
        <w:spacing w:line="276" w:lineRule="auto"/>
        <w:ind w:left="709"/>
        <w:rPr>
          <w:rFonts w:ascii="Verdana" w:hAnsi="Verdana"/>
        </w:rPr>
      </w:pPr>
      <w:r w:rsidRPr="00227173">
        <w:rPr>
          <w:rFonts w:ascii="Verdana" w:hAnsi="Verdana"/>
        </w:rPr>
        <w:t>Article 2(1) of the</w:t>
      </w:r>
      <w:r w:rsidR="00972FB4">
        <w:rPr>
          <w:rFonts w:ascii="Verdana" w:hAnsi="Verdana"/>
        </w:rPr>
        <w:t xml:space="preserve"> International Covenant on Economic, Social and Cultural Rights</w:t>
      </w:r>
      <w:r w:rsidRPr="00227173">
        <w:rPr>
          <w:rFonts w:ascii="Verdana" w:hAnsi="Verdana"/>
        </w:rPr>
        <w:t xml:space="preserve"> requires States to “take steps… to the maximum of its available resources, with a view to achieving progressively the full realisation of rights recognised in the present Covenant”. ICESCR General Comment No.3 advises that the concept of progressive realisation is an ongoing </w:t>
      </w:r>
      <w:r w:rsidRPr="00227173">
        <w:rPr>
          <w:rFonts w:ascii="Verdana" w:hAnsi="Verdana"/>
          <w:color w:val="000000"/>
          <w:shd w:val="clear" w:color="auto" w:fill="FFFFFF"/>
        </w:rPr>
        <w:t>obligation on governments to “</w:t>
      </w:r>
      <w:r w:rsidRPr="00227173">
        <w:rPr>
          <w:rFonts w:ascii="Verdana" w:hAnsi="Verdana"/>
        </w:rPr>
        <w:t>move as expeditiously and effectively as possible” toward full implementation of all economic, social and cultural rights.</w:t>
      </w:r>
      <w:r w:rsidRPr="00B877F5">
        <w:rPr>
          <w:rStyle w:val="FootnoteReference"/>
          <w:rFonts w:ascii="Verdana" w:hAnsi="Verdana"/>
        </w:rPr>
        <w:footnoteReference w:id="16"/>
      </w:r>
    </w:p>
    <w:p w14:paraId="30AAB187" w14:textId="77777777" w:rsidR="004A1439" w:rsidRPr="00042EB9" w:rsidRDefault="004A1439" w:rsidP="004A1439">
      <w:pPr>
        <w:pStyle w:val="ListParagraph"/>
        <w:rPr>
          <w:rFonts w:ascii="Verdana" w:hAnsi="Verdana"/>
        </w:rPr>
      </w:pPr>
    </w:p>
    <w:p w14:paraId="61680D9D" w14:textId="5CCA8BF6" w:rsidR="0012506B" w:rsidRDefault="0012506B" w:rsidP="004A1439">
      <w:pPr>
        <w:pStyle w:val="ListParagraph"/>
        <w:numPr>
          <w:ilvl w:val="1"/>
          <w:numId w:val="11"/>
        </w:numPr>
        <w:spacing w:line="276" w:lineRule="auto"/>
        <w:ind w:left="709"/>
        <w:rPr>
          <w:rFonts w:ascii="Verdana" w:hAnsi="Verdana"/>
        </w:rPr>
      </w:pPr>
      <w:r>
        <w:rPr>
          <w:rFonts w:ascii="Verdana" w:hAnsi="Verdana"/>
        </w:rPr>
        <w:t>In General Comment No. 6</w:t>
      </w:r>
      <w:r w:rsidR="00B16AD1">
        <w:rPr>
          <w:rFonts w:ascii="Verdana" w:hAnsi="Verdana"/>
        </w:rPr>
        <w:t>, the ICESCR Committee identif</w:t>
      </w:r>
      <w:r w:rsidR="002109D8">
        <w:rPr>
          <w:rFonts w:ascii="Verdana" w:hAnsi="Verdana"/>
        </w:rPr>
        <w:t>ies</w:t>
      </w:r>
      <w:r w:rsidR="00B16AD1">
        <w:rPr>
          <w:rFonts w:ascii="Verdana" w:hAnsi="Verdana"/>
        </w:rPr>
        <w:t xml:space="preserve"> that, while the ICESCR does not specifically </w:t>
      </w:r>
      <w:r w:rsidR="006769C9">
        <w:rPr>
          <w:rFonts w:ascii="Verdana" w:hAnsi="Verdana"/>
        </w:rPr>
        <w:t xml:space="preserve">reference the rights of older persons, </w:t>
      </w:r>
      <w:r w:rsidR="009957BE">
        <w:rPr>
          <w:rFonts w:ascii="Verdana" w:hAnsi="Verdana"/>
        </w:rPr>
        <w:t>it is clear that older persons are entitled to enjoy the full range of rights provided within the Covenant.</w:t>
      </w:r>
      <w:r w:rsidR="009957BE">
        <w:rPr>
          <w:rStyle w:val="FootnoteReference"/>
          <w:rFonts w:ascii="Verdana" w:hAnsi="Verdana"/>
        </w:rPr>
        <w:footnoteReference w:id="17"/>
      </w:r>
      <w:r w:rsidR="001079B3">
        <w:rPr>
          <w:rFonts w:ascii="Verdana" w:hAnsi="Verdana"/>
        </w:rPr>
        <w:t xml:space="preserve"> Additionally, General Comment No. 6 identifies that </w:t>
      </w:r>
      <w:r w:rsidR="00CB0E50">
        <w:rPr>
          <w:rFonts w:ascii="Verdana" w:hAnsi="Verdana"/>
        </w:rPr>
        <w:t>“</w:t>
      </w:r>
      <w:r w:rsidR="00262F6D">
        <w:rPr>
          <w:rFonts w:ascii="Verdana" w:hAnsi="Verdana"/>
        </w:rPr>
        <w:t>insofar as respect for the rights of older persons requires special measures to be taken, States parties are required by the Covenant to do so to the maximum of their available resources</w:t>
      </w:r>
      <w:r w:rsidR="0000761F">
        <w:rPr>
          <w:rFonts w:ascii="Verdana" w:hAnsi="Verdana"/>
        </w:rPr>
        <w:t>”.</w:t>
      </w:r>
      <w:r w:rsidR="0000761F">
        <w:rPr>
          <w:rStyle w:val="FootnoteReference"/>
          <w:rFonts w:ascii="Verdana" w:hAnsi="Verdana"/>
        </w:rPr>
        <w:footnoteReference w:id="18"/>
      </w:r>
      <w:r w:rsidR="00CB0E50">
        <w:rPr>
          <w:rFonts w:ascii="Verdana" w:hAnsi="Verdana"/>
        </w:rPr>
        <w:t xml:space="preserve"> </w:t>
      </w:r>
    </w:p>
    <w:p w14:paraId="36BF770E" w14:textId="77777777" w:rsidR="00D802F6" w:rsidRPr="00D802F6" w:rsidRDefault="00D802F6" w:rsidP="00D802F6">
      <w:pPr>
        <w:pStyle w:val="ListParagraph"/>
        <w:rPr>
          <w:rFonts w:ascii="Verdana" w:hAnsi="Verdana"/>
        </w:rPr>
      </w:pPr>
    </w:p>
    <w:p w14:paraId="478C945B" w14:textId="07247BDD" w:rsidR="00D802F6" w:rsidRDefault="00D802F6" w:rsidP="00D802F6">
      <w:pPr>
        <w:pStyle w:val="ListParagraph"/>
        <w:numPr>
          <w:ilvl w:val="1"/>
          <w:numId w:val="11"/>
        </w:numPr>
        <w:spacing w:line="276" w:lineRule="auto"/>
        <w:ind w:left="709"/>
        <w:rPr>
          <w:rFonts w:ascii="Verdana" w:hAnsi="Verdana"/>
        </w:rPr>
      </w:pPr>
      <w:r w:rsidRPr="00E90973">
        <w:rPr>
          <w:rFonts w:ascii="Verdana" w:hAnsi="Verdana"/>
        </w:rPr>
        <w:t xml:space="preserve">The NIHRC recognises the difficult challenges all NI Executive Departments </w:t>
      </w:r>
      <w:r w:rsidR="223EEE97" w:rsidRPr="00E90973">
        <w:rPr>
          <w:rFonts w:ascii="Verdana" w:hAnsi="Verdana"/>
        </w:rPr>
        <w:t xml:space="preserve"> due to</w:t>
      </w:r>
      <w:r w:rsidRPr="00E90973">
        <w:rPr>
          <w:rFonts w:ascii="Verdana" w:hAnsi="Verdana"/>
        </w:rPr>
        <w:t xml:space="preserve"> the NI Budget 2023/24 .</w:t>
      </w:r>
      <w:r>
        <w:rPr>
          <w:rStyle w:val="FootnoteReference"/>
          <w:rFonts w:ascii="Verdana" w:hAnsi="Verdana"/>
        </w:rPr>
        <w:footnoteReference w:id="19"/>
      </w:r>
      <w:r>
        <w:rPr>
          <w:rFonts w:ascii="Verdana" w:hAnsi="Verdana"/>
        </w:rPr>
        <w:t xml:space="preserve"> </w:t>
      </w:r>
      <w:r w:rsidRPr="00E90973">
        <w:rPr>
          <w:rFonts w:ascii="Verdana" w:hAnsi="Verdana"/>
        </w:rPr>
        <w:t xml:space="preserve">During times of economic crisis, protecting the rights of marginalised </w:t>
      </w:r>
      <w:r>
        <w:rPr>
          <w:rFonts w:ascii="Verdana" w:hAnsi="Verdana"/>
        </w:rPr>
        <w:t xml:space="preserve">groups </w:t>
      </w:r>
      <w:r w:rsidRPr="00E90973">
        <w:rPr>
          <w:rFonts w:ascii="Verdana" w:hAnsi="Verdana"/>
        </w:rPr>
        <w:t xml:space="preserve">becomes particularly </w:t>
      </w:r>
      <w:r w:rsidRPr="00E90973">
        <w:rPr>
          <w:rFonts w:ascii="Verdana" w:hAnsi="Verdana"/>
        </w:rPr>
        <w:lastRenderedPageBreak/>
        <w:t>pertinent, so as not to compound pre-existing patterns of exclusion and discrimination in the political, economic, and social spheres.</w:t>
      </w:r>
      <w:r w:rsidRPr="0073419C">
        <w:rPr>
          <w:rStyle w:val="FootnoteReference"/>
          <w:rFonts w:ascii="Verdana" w:hAnsi="Verdana"/>
        </w:rPr>
        <w:footnoteReference w:id="20"/>
      </w:r>
      <w:r w:rsidRPr="00E90973">
        <w:rPr>
          <w:rFonts w:ascii="Verdana" w:hAnsi="Verdana"/>
        </w:rPr>
        <w:t xml:space="preserve"> It is acknowledged that economic policy in times of crisis requires complex analysis and decision-making, and governments enjoy a wide margin of appreciation in respect of the specific circumstances.</w:t>
      </w:r>
      <w:r w:rsidRPr="0073419C">
        <w:rPr>
          <w:rStyle w:val="FootnoteReference"/>
          <w:rFonts w:ascii="Verdana" w:hAnsi="Verdana"/>
        </w:rPr>
        <w:footnoteReference w:id="21"/>
      </w:r>
      <w:r w:rsidRPr="00E90973">
        <w:rPr>
          <w:rFonts w:ascii="Verdana" w:hAnsi="Verdana"/>
        </w:rPr>
        <w:t xml:space="preserve"> However, the protection of social and economic rights is vital for inclusive recovery.</w:t>
      </w:r>
      <w:r w:rsidRPr="0073419C">
        <w:rPr>
          <w:rStyle w:val="FootnoteReference"/>
          <w:rFonts w:ascii="Verdana" w:hAnsi="Verdana"/>
        </w:rPr>
        <w:footnoteReference w:id="22"/>
      </w:r>
      <w:r w:rsidRPr="00E90973">
        <w:rPr>
          <w:rFonts w:ascii="Verdana" w:hAnsi="Verdana"/>
        </w:rPr>
        <w:t xml:space="preserve"> </w:t>
      </w:r>
    </w:p>
    <w:p w14:paraId="7C9BC9AE" w14:textId="77777777" w:rsidR="00D802F6" w:rsidRPr="00D802F6" w:rsidRDefault="00D802F6" w:rsidP="00D802F6">
      <w:pPr>
        <w:pStyle w:val="ListParagraph"/>
        <w:rPr>
          <w:rFonts w:ascii="Verdana" w:hAnsi="Verdana"/>
        </w:rPr>
      </w:pPr>
    </w:p>
    <w:p w14:paraId="1F695D17" w14:textId="523EA721" w:rsidR="004A1439" w:rsidRDefault="004A1439" w:rsidP="004A1439">
      <w:pPr>
        <w:pStyle w:val="ListParagraph"/>
        <w:numPr>
          <w:ilvl w:val="1"/>
          <w:numId w:val="11"/>
        </w:numPr>
        <w:spacing w:line="276" w:lineRule="auto"/>
        <w:ind w:left="709"/>
        <w:rPr>
          <w:rFonts w:ascii="Verdana" w:hAnsi="Verdana"/>
        </w:rPr>
      </w:pPr>
      <w:r>
        <w:rPr>
          <w:rFonts w:ascii="Verdana" w:hAnsi="Verdana"/>
        </w:rPr>
        <w:t>Article 11 of the ICESCR requires States to recognise the right of everyone to an adequate standard of living. The IC</w:t>
      </w:r>
      <w:r w:rsidR="006D4B4C">
        <w:rPr>
          <w:rFonts w:ascii="Verdana" w:hAnsi="Verdana"/>
        </w:rPr>
        <w:t>E</w:t>
      </w:r>
      <w:r>
        <w:rPr>
          <w:rFonts w:ascii="Verdana" w:hAnsi="Verdana"/>
        </w:rPr>
        <w:t>SCR Committee’s General Comment No. 6 draws attention to the need to “take account of the functional living capacity of the elderly in order to provide them with a better living environment and facilitate mobility and communication through the provision of adequate means of transport”.</w:t>
      </w:r>
      <w:r>
        <w:rPr>
          <w:rStyle w:val="FootnoteReference"/>
          <w:rFonts w:ascii="Verdana" w:hAnsi="Verdana"/>
        </w:rPr>
        <w:footnoteReference w:id="23"/>
      </w:r>
    </w:p>
    <w:p w14:paraId="6EDE6C86" w14:textId="77777777" w:rsidR="00864173" w:rsidRDefault="00864173" w:rsidP="00864173">
      <w:pPr>
        <w:pStyle w:val="ListParagraph"/>
        <w:spacing w:line="276" w:lineRule="auto"/>
        <w:ind w:left="709"/>
        <w:rPr>
          <w:rFonts w:ascii="Verdana" w:hAnsi="Verdana"/>
        </w:rPr>
      </w:pPr>
    </w:p>
    <w:p w14:paraId="1348AFEF" w14:textId="77777777" w:rsidR="00082F66" w:rsidRDefault="00864173">
      <w:pPr>
        <w:pStyle w:val="ListParagraph"/>
        <w:numPr>
          <w:ilvl w:val="1"/>
          <w:numId w:val="11"/>
        </w:numPr>
        <w:spacing w:line="276" w:lineRule="auto"/>
        <w:ind w:left="709"/>
        <w:rPr>
          <w:rFonts w:ascii="Verdana" w:hAnsi="Verdana"/>
        </w:rPr>
      </w:pPr>
      <w:r w:rsidRPr="00941CB1">
        <w:rPr>
          <w:rFonts w:ascii="Verdana" w:hAnsi="Verdana"/>
        </w:rPr>
        <w:t xml:space="preserve">Article 12 </w:t>
      </w:r>
      <w:r w:rsidR="00AE0875" w:rsidRPr="00941CB1">
        <w:rPr>
          <w:rFonts w:ascii="Verdana" w:hAnsi="Verdana"/>
        </w:rPr>
        <w:t xml:space="preserve">of the ICESCR recognises the right of everyone to the </w:t>
      </w:r>
      <w:r w:rsidR="005060A8" w:rsidRPr="00941CB1">
        <w:rPr>
          <w:rFonts w:ascii="Verdana" w:hAnsi="Verdana"/>
        </w:rPr>
        <w:t>“</w:t>
      </w:r>
      <w:r w:rsidR="00AE0875" w:rsidRPr="00941CB1">
        <w:rPr>
          <w:rFonts w:ascii="Verdana" w:hAnsi="Verdana"/>
        </w:rPr>
        <w:t>highest att</w:t>
      </w:r>
      <w:r w:rsidR="002D50CA" w:rsidRPr="00941CB1">
        <w:rPr>
          <w:rFonts w:ascii="Verdana" w:hAnsi="Verdana"/>
        </w:rPr>
        <w:t xml:space="preserve">ainable standard of </w:t>
      </w:r>
      <w:r w:rsidR="005060A8" w:rsidRPr="00941CB1">
        <w:rPr>
          <w:rFonts w:ascii="Verdana" w:hAnsi="Verdana"/>
        </w:rPr>
        <w:t>physical and mental health”.</w:t>
      </w:r>
      <w:r w:rsidR="00D93AD7" w:rsidRPr="00941CB1">
        <w:rPr>
          <w:rFonts w:ascii="Verdana" w:hAnsi="Verdana"/>
        </w:rPr>
        <w:t xml:space="preserve"> The </w:t>
      </w:r>
      <w:r w:rsidR="00AE6E7F">
        <w:rPr>
          <w:rFonts w:ascii="Verdana" w:hAnsi="Verdana"/>
        </w:rPr>
        <w:t xml:space="preserve">UN Independent Expert on older people </w:t>
      </w:r>
      <w:r w:rsidR="00D93AD7" w:rsidRPr="00941CB1">
        <w:rPr>
          <w:rFonts w:ascii="Verdana" w:hAnsi="Verdana"/>
        </w:rPr>
        <w:t>identifie</w:t>
      </w:r>
      <w:r w:rsidR="00AE6E7F">
        <w:rPr>
          <w:rFonts w:ascii="Verdana" w:hAnsi="Verdana"/>
        </w:rPr>
        <w:t>d</w:t>
      </w:r>
      <w:r w:rsidR="00D93AD7" w:rsidRPr="00941CB1">
        <w:rPr>
          <w:rFonts w:ascii="Verdana" w:hAnsi="Verdana"/>
        </w:rPr>
        <w:t xml:space="preserve"> that a lack of opportunities for older persons to participate </w:t>
      </w:r>
      <w:r w:rsidR="00F6379D" w:rsidRPr="00941CB1">
        <w:rPr>
          <w:rFonts w:ascii="Verdana" w:hAnsi="Verdana"/>
        </w:rPr>
        <w:t>"may contribute to their social ex</w:t>
      </w:r>
      <w:r w:rsidR="00941CB1" w:rsidRPr="00941CB1">
        <w:rPr>
          <w:rFonts w:ascii="Verdana" w:hAnsi="Verdana"/>
        </w:rPr>
        <w:t>c</w:t>
      </w:r>
      <w:r w:rsidR="00F6379D" w:rsidRPr="00941CB1">
        <w:rPr>
          <w:rFonts w:ascii="Verdana" w:hAnsi="Verdana"/>
        </w:rPr>
        <w:t>lusion and consequently the decline of their mental and physical health”.</w:t>
      </w:r>
      <w:r w:rsidR="00F6379D">
        <w:rPr>
          <w:rStyle w:val="FootnoteReference"/>
          <w:rFonts w:ascii="Verdana" w:hAnsi="Verdana"/>
        </w:rPr>
        <w:footnoteReference w:id="24"/>
      </w:r>
      <w:r w:rsidR="00941CB1">
        <w:rPr>
          <w:rFonts w:ascii="Verdana" w:hAnsi="Verdana"/>
        </w:rPr>
        <w:t xml:space="preserve"> </w:t>
      </w:r>
    </w:p>
    <w:p w14:paraId="66922ADB" w14:textId="77777777" w:rsidR="00082F66" w:rsidRPr="00082F66" w:rsidRDefault="00082F66" w:rsidP="00082F66">
      <w:pPr>
        <w:pStyle w:val="ListParagraph"/>
        <w:rPr>
          <w:rFonts w:ascii="Verdana" w:hAnsi="Verdana"/>
        </w:rPr>
      </w:pPr>
    </w:p>
    <w:p w14:paraId="23DBDA08" w14:textId="797DBE29" w:rsidR="004A1439" w:rsidRDefault="00FC5491">
      <w:pPr>
        <w:pStyle w:val="ListParagraph"/>
        <w:numPr>
          <w:ilvl w:val="1"/>
          <w:numId w:val="11"/>
        </w:numPr>
        <w:spacing w:line="276" w:lineRule="auto"/>
        <w:ind w:left="709"/>
        <w:rPr>
          <w:rFonts w:ascii="Verdana" w:hAnsi="Verdana"/>
        </w:rPr>
      </w:pPr>
      <w:r w:rsidRPr="00941CB1">
        <w:rPr>
          <w:rFonts w:ascii="Verdana" w:hAnsi="Verdana"/>
        </w:rPr>
        <w:t xml:space="preserve">The </w:t>
      </w:r>
      <w:r w:rsidR="008627EE" w:rsidRPr="00941CB1">
        <w:rPr>
          <w:rFonts w:ascii="Verdana" w:hAnsi="Verdana"/>
        </w:rPr>
        <w:t>CoE Committee of Ministers</w:t>
      </w:r>
      <w:r w:rsidR="004E7B55">
        <w:rPr>
          <w:rFonts w:ascii="Verdana" w:hAnsi="Verdana"/>
        </w:rPr>
        <w:t>, in its recommendation o</w:t>
      </w:r>
      <w:r w:rsidR="00B73932">
        <w:rPr>
          <w:rFonts w:ascii="Verdana" w:hAnsi="Verdana"/>
        </w:rPr>
        <w:t xml:space="preserve">n the promotion of human rights of older persons, </w:t>
      </w:r>
      <w:r w:rsidR="0011413C">
        <w:rPr>
          <w:rFonts w:ascii="Verdana" w:hAnsi="Verdana"/>
        </w:rPr>
        <w:t xml:space="preserve">stressed that “older </w:t>
      </w:r>
      <w:r w:rsidR="00A54048">
        <w:rPr>
          <w:rFonts w:ascii="Verdana" w:hAnsi="Verdana"/>
        </w:rPr>
        <w:t>persons</w:t>
      </w:r>
      <w:r w:rsidR="0011413C">
        <w:rPr>
          <w:rFonts w:ascii="Verdana" w:hAnsi="Verdana"/>
        </w:rPr>
        <w:t xml:space="preserve"> should be able to fully and effectively participate and be included </w:t>
      </w:r>
      <w:r w:rsidR="00E75248">
        <w:rPr>
          <w:rFonts w:ascii="Verdana" w:hAnsi="Verdana"/>
        </w:rPr>
        <w:t xml:space="preserve">in society and that all older persons </w:t>
      </w:r>
      <w:r w:rsidR="002C3318">
        <w:rPr>
          <w:rFonts w:ascii="Verdana" w:hAnsi="Verdana"/>
        </w:rPr>
        <w:t xml:space="preserve">should </w:t>
      </w:r>
      <w:r w:rsidR="00E75248">
        <w:rPr>
          <w:rFonts w:ascii="Verdana" w:hAnsi="Verdana"/>
        </w:rPr>
        <w:t>be a</w:t>
      </w:r>
      <w:r w:rsidR="002C3318">
        <w:rPr>
          <w:rFonts w:ascii="Verdana" w:hAnsi="Verdana"/>
        </w:rPr>
        <w:t>ble to live their lives in dign</w:t>
      </w:r>
      <w:r w:rsidR="006D3A45">
        <w:rPr>
          <w:rFonts w:ascii="Verdana" w:hAnsi="Verdana"/>
        </w:rPr>
        <w:t>ity and security, free from… isolation”.</w:t>
      </w:r>
      <w:r w:rsidR="006D3A45">
        <w:rPr>
          <w:rStyle w:val="FootnoteReference"/>
          <w:rFonts w:ascii="Verdana" w:hAnsi="Verdana"/>
        </w:rPr>
        <w:footnoteReference w:id="25"/>
      </w:r>
      <w:r w:rsidR="004E7B55">
        <w:rPr>
          <w:rFonts w:ascii="Verdana" w:hAnsi="Verdana"/>
        </w:rPr>
        <w:t xml:space="preserve"> </w:t>
      </w:r>
      <w:r w:rsidR="002F3F6B">
        <w:rPr>
          <w:rFonts w:ascii="Verdana" w:hAnsi="Verdana"/>
        </w:rPr>
        <w:t xml:space="preserve">The Committee of Ministers </w:t>
      </w:r>
      <w:r w:rsidR="009E20C1" w:rsidRPr="00941CB1">
        <w:rPr>
          <w:rFonts w:ascii="Verdana" w:hAnsi="Verdana"/>
        </w:rPr>
        <w:t xml:space="preserve">recommended that Member States should “take all measures to facilitate the mobility of </w:t>
      </w:r>
      <w:r w:rsidR="000E35C6" w:rsidRPr="00941CB1">
        <w:rPr>
          <w:rFonts w:ascii="Verdana" w:hAnsi="Verdana"/>
        </w:rPr>
        <w:t>older persons, including access to infrastructure for them</w:t>
      </w:r>
      <w:r w:rsidR="00941CB1">
        <w:rPr>
          <w:rFonts w:ascii="Verdana" w:hAnsi="Verdana"/>
        </w:rPr>
        <w:t>”</w:t>
      </w:r>
      <w:r w:rsidR="000E35C6" w:rsidRPr="00941CB1">
        <w:rPr>
          <w:rFonts w:ascii="Verdana" w:hAnsi="Verdana"/>
        </w:rPr>
        <w:t>.</w:t>
      </w:r>
      <w:r w:rsidR="000E35C6">
        <w:rPr>
          <w:rStyle w:val="FootnoteReference"/>
          <w:rFonts w:ascii="Verdana" w:hAnsi="Verdana"/>
        </w:rPr>
        <w:footnoteReference w:id="26"/>
      </w:r>
    </w:p>
    <w:p w14:paraId="5E9DB45B" w14:textId="77777777" w:rsidR="00C568D7" w:rsidRPr="00C568D7" w:rsidRDefault="00C568D7" w:rsidP="00C568D7">
      <w:pPr>
        <w:pStyle w:val="ListParagraph"/>
        <w:rPr>
          <w:rFonts w:ascii="Verdana" w:hAnsi="Verdana"/>
        </w:rPr>
      </w:pPr>
    </w:p>
    <w:p w14:paraId="4F1B1FBF" w14:textId="160AFF0A" w:rsidR="00C568D7" w:rsidRPr="000039A0" w:rsidRDefault="00C568D7">
      <w:pPr>
        <w:pStyle w:val="ListParagraph"/>
        <w:numPr>
          <w:ilvl w:val="1"/>
          <w:numId w:val="11"/>
        </w:numPr>
        <w:spacing w:line="276" w:lineRule="auto"/>
        <w:ind w:left="709"/>
        <w:rPr>
          <w:rFonts w:ascii="Verdana" w:hAnsi="Verdana"/>
        </w:rPr>
      </w:pPr>
      <w:r>
        <w:rPr>
          <w:rFonts w:ascii="Verdana" w:hAnsi="Verdana"/>
          <w:b/>
          <w:bCs/>
        </w:rPr>
        <w:t xml:space="preserve">The NIHRC recommends that the Department </w:t>
      </w:r>
      <w:r w:rsidR="008B13EA">
        <w:rPr>
          <w:rFonts w:ascii="Verdana" w:hAnsi="Verdana"/>
          <w:b/>
          <w:bCs/>
        </w:rPr>
        <w:t xml:space="preserve">for </w:t>
      </w:r>
      <w:r>
        <w:rPr>
          <w:rFonts w:ascii="Verdana" w:hAnsi="Verdana"/>
          <w:b/>
          <w:bCs/>
        </w:rPr>
        <w:t xml:space="preserve">Infrastructure </w:t>
      </w:r>
      <w:r w:rsidR="00EC4D04">
        <w:rPr>
          <w:rFonts w:ascii="Verdana" w:hAnsi="Verdana"/>
          <w:b/>
          <w:bCs/>
        </w:rPr>
        <w:t xml:space="preserve">conducts a human rights </w:t>
      </w:r>
      <w:r w:rsidR="00C523C4">
        <w:rPr>
          <w:rFonts w:ascii="Verdana" w:hAnsi="Verdana"/>
          <w:b/>
          <w:bCs/>
        </w:rPr>
        <w:t xml:space="preserve">impact </w:t>
      </w:r>
      <w:r w:rsidR="004A27E2">
        <w:rPr>
          <w:rFonts w:ascii="Verdana" w:hAnsi="Verdana"/>
          <w:b/>
          <w:bCs/>
        </w:rPr>
        <w:t>assessment o</w:t>
      </w:r>
      <w:r w:rsidR="00626CEE">
        <w:rPr>
          <w:rFonts w:ascii="Verdana" w:hAnsi="Verdana"/>
          <w:b/>
          <w:bCs/>
        </w:rPr>
        <w:t>n</w:t>
      </w:r>
      <w:r w:rsidR="004A27E2">
        <w:rPr>
          <w:rFonts w:ascii="Verdana" w:hAnsi="Verdana"/>
          <w:b/>
          <w:bCs/>
        </w:rPr>
        <w:t xml:space="preserve"> the </w:t>
      </w:r>
      <w:r w:rsidR="00C523C4">
        <w:rPr>
          <w:rFonts w:ascii="Verdana" w:hAnsi="Verdana"/>
          <w:b/>
          <w:bCs/>
        </w:rPr>
        <w:t xml:space="preserve">full </w:t>
      </w:r>
      <w:r w:rsidR="004A27E2">
        <w:rPr>
          <w:rFonts w:ascii="Verdana" w:hAnsi="Verdana"/>
          <w:b/>
          <w:bCs/>
        </w:rPr>
        <w:t xml:space="preserve">range of </w:t>
      </w:r>
      <w:r w:rsidR="00C523C4">
        <w:rPr>
          <w:rFonts w:ascii="Verdana" w:hAnsi="Verdana"/>
          <w:b/>
          <w:bCs/>
        </w:rPr>
        <w:t xml:space="preserve">potential </w:t>
      </w:r>
      <w:r w:rsidR="004A27E2">
        <w:rPr>
          <w:rFonts w:ascii="Verdana" w:hAnsi="Verdana"/>
          <w:b/>
          <w:bCs/>
        </w:rPr>
        <w:t xml:space="preserve">options for changes to the Concessionary Fares Scheme proposed in the </w:t>
      </w:r>
      <w:r w:rsidR="00C523C4">
        <w:rPr>
          <w:rFonts w:ascii="Verdana" w:hAnsi="Verdana"/>
          <w:b/>
          <w:bCs/>
        </w:rPr>
        <w:t>consultation document.</w:t>
      </w:r>
      <w:r w:rsidR="004A27E2">
        <w:rPr>
          <w:rFonts w:ascii="Verdana" w:hAnsi="Verdana"/>
          <w:b/>
          <w:bCs/>
        </w:rPr>
        <w:t xml:space="preserve"> </w:t>
      </w:r>
    </w:p>
    <w:p w14:paraId="03CBFF7C" w14:textId="77777777" w:rsidR="007B7B37" w:rsidRPr="000039A0" w:rsidRDefault="007B7B37" w:rsidP="000039A0">
      <w:pPr>
        <w:pStyle w:val="ListParagraph"/>
        <w:rPr>
          <w:rFonts w:ascii="Verdana" w:hAnsi="Verdana"/>
        </w:rPr>
      </w:pPr>
    </w:p>
    <w:p w14:paraId="5A9E3E61" w14:textId="04113AC5" w:rsidR="007B7B37" w:rsidRDefault="00745874" w:rsidP="00745874">
      <w:pPr>
        <w:pStyle w:val="Heading2"/>
      </w:pPr>
      <w:bookmarkStart w:id="4" w:name="_Toc143609772"/>
      <w:r>
        <w:lastRenderedPageBreak/>
        <w:t>Environmental Impact</w:t>
      </w:r>
      <w:bookmarkEnd w:id="4"/>
    </w:p>
    <w:p w14:paraId="66211FB9" w14:textId="77777777" w:rsidR="007B7B37" w:rsidRPr="000039A0" w:rsidRDefault="007B7B37" w:rsidP="000039A0">
      <w:pPr>
        <w:pStyle w:val="ListParagraph"/>
        <w:rPr>
          <w:rFonts w:ascii="Verdana" w:hAnsi="Verdana"/>
        </w:rPr>
      </w:pPr>
    </w:p>
    <w:p w14:paraId="756606D5" w14:textId="4B724A6D" w:rsidR="007B7B37" w:rsidRDefault="00772C76">
      <w:pPr>
        <w:pStyle w:val="ListParagraph"/>
        <w:numPr>
          <w:ilvl w:val="1"/>
          <w:numId w:val="11"/>
        </w:numPr>
        <w:spacing w:line="276" w:lineRule="auto"/>
        <w:ind w:left="709"/>
        <w:rPr>
          <w:rFonts w:ascii="Verdana" w:hAnsi="Verdana"/>
        </w:rPr>
      </w:pPr>
      <w:r>
        <w:rPr>
          <w:rFonts w:ascii="Verdana" w:hAnsi="Verdana"/>
        </w:rPr>
        <w:t xml:space="preserve">Encouraging people to use public transport and walk has environmental benefits. The Department for Infrastructure has identified within the consultation document that this Scheme </w:t>
      </w:r>
      <w:r w:rsidR="0032541A">
        <w:rPr>
          <w:rFonts w:ascii="Verdana" w:hAnsi="Verdana"/>
        </w:rPr>
        <w:t>has an important and positive environmental impact.</w:t>
      </w:r>
      <w:r w:rsidR="0032541A">
        <w:rPr>
          <w:rStyle w:val="FootnoteReference"/>
          <w:rFonts w:ascii="Verdana" w:hAnsi="Verdana"/>
        </w:rPr>
        <w:footnoteReference w:id="27"/>
      </w:r>
    </w:p>
    <w:p w14:paraId="4B4A6F6E" w14:textId="77777777" w:rsidR="00B16F0C" w:rsidRDefault="00B16F0C" w:rsidP="00676B60">
      <w:pPr>
        <w:pStyle w:val="ListParagraph"/>
        <w:spacing w:line="276" w:lineRule="auto"/>
        <w:ind w:left="709"/>
        <w:rPr>
          <w:rFonts w:ascii="Verdana" w:hAnsi="Verdana"/>
        </w:rPr>
      </w:pPr>
    </w:p>
    <w:p w14:paraId="63C1ACAB" w14:textId="297B6DDD" w:rsidR="001D1848" w:rsidRPr="00676B60" w:rsidRDefault="00B16F0C">
      <w:pPr>
        <w:pStyle w:val="ListParagraph"/>
        <w:numPr>
          <w:ilvl w:val="1"/>
          <w:numId w:val="11"/>
        </w:numPr>
        <w:spacing w:line="276" w:lineRule="auto"/>
        <w:ind w:left="709"/>
        <w:rPr>
          <w:rFonts w:ascii="Verdana" w:hAnsi="Verdana"/>
        </w:rPr>
      </w:pPr>
      <w:r w:rsidRPr="00676B60">
        <w:rPr>
          <w:rFonts w:ascii="Verdana" w:hAnsi="Verdana"/>
        </w:rPr>
        <w:t>The United Nations has cited climate change as “the defining issue of our time”.</w:t>
      </w:r>
      <w:r w:rsidR="00A40C8E" w:rsidRPr="00676B60">
        <w:rPr>
          <w:rStyle w:val="FootnoteReference"/>
          <w:rFonts w:ascii="Verdana" w:hAnsi="Verdana"/>
        </w:rPr>
        <w:footnoteReference w:id="28"/>
      </w:r>
      <w:r w:rsidRPr="00676B60">
        <w:rPr>
          <w:rFonts w:ascii="Verdana" w:hAnsi="Verdana"/>
        </w:rPr>
        <w:t xml:space="preserve"> Climate change threatens the enjoyment of all human rights, including the rights to health, water, food, housing, self-determination, and life itself. Therefore, the protection of these rights should form part of the rationale for climate change protections in NI. These rights are protected by various human rights treaties</w:t>
      </w:r>
      <w:r w:rsidR="00110426" w:rsidRPr="00676B60">
        <w:rPr>
          <w:rFonts w:ascii="Verdana" w:hAnsi="Verdana"/>
        </w:rPr>
        <w:t>:</w:t>
      </w:r>
    </w:p>
    <w:p w14:paraId="180A144F" w14:textId="77777777" w:rsidR="001D1848" w:rsidRPr="00676B60" w:rsidRDefault="001D1848" w:rsidP="00676B60">
      <w:pPr>
        <w:pStyle w:val="ListParagraph"/>
        <w:rPr>
          <w:rFonts w:ascii="Verdana" w:hAnsi="Verdana"/>
        </w:rPr>
      </w:pPr>
    </w:p>
    <w:p w14:paraId="02745AA4" w14:textId="3F5BF822" w:rsidR="001D1848" w:rsidRPr="00676B60" w:rsidRDefault="00B16F0C" w:rsidP="001D1848">
      <w:pPr>
        <w:pStyle w:val="ListParagraph"/>
        <w:numPr>
          <w:ilvl w:val="0"/>
          <w:numId w:val="19"/>
        </w:numPr>
        <w:spacing w:line="276" w:lineRule="auto"/>
        <w:rPr>
          <w:rFonts w:ascii="Verdana" w:hAnsi="Verdana"/>
        </w:rPr>
      </w:pPr>
      <w:r w:rsidRPr="00676B60">
        <w:rPr>
          <w:rFonts w:ascii="Verdana" w:hAnsi="Verdana"/>
        </w:rPr>
        <w:t>Article 1 of International Covenant on Economic, Social and Cultural Rights (ICESCR) protects the right to self-determination.</w:t>
      </w:r>
    </w:p>
    <w:p w14:paraId="40D884D2" w14:textId="6D576EA6" w:rsidR="001D1848" w:rsidRPr="00676B60" w:rsidRDefault="00B16F0C" w:rsidP="001D1848">
      <w:pPr>
        <w:pStyle w:val="ListParagraph"/>
        <w:numPr>
          <w:ilvl w:val="0"/>
          <w:numId w:val="19"/>
        </w:numPr>
        <w:spacing w:line="276" w:lineRule="auto"/>
        <w:rPr>
          <w:rFonts w:ascii="Verdana" w:hAnsi="Verdana"/>
        </w:rPr>
      </w:pPr>
      <w:r w:rsidRPr="00676B60">
        <w:rPr>
          <w:rFonts w:ascii="Verdana" w:hAnsi="Verdana"/>
        </w:rPr>
        <w:t>Article 11, ICESCR protects the right to an adequate standard of living, including adequate food, clothing and housing, and to the continuous improvement of living conditions.</w:t>
      </w:r>
    </w:p>
    <w:p w14:paraId="76441756" w14:textId="03146DB3" w:rsidR="001D1848" w:rsidRPr="00676B60" w:rsidRDefault="00B16F0C" w:rsidP="001D1848">
      <w:pPr>
        <w:pStyle w:val="ListParagraph"/>
        <w:numPr>
          <w:ilvl w:val="0"/>
          <w:numId w:val="19"/>
        </w:numPr>
        <w:spacing w:line="276" w:lineRule="auto"/>
        <w:rPr>
          <w:rFonts w:ascii="Verdana" w:hAnsi="Verdana"/>
        </w:rPr>
      </w:pPr>
      <w:r w:rsidRPr="00676B60">
        <w:rPr>
          <w:rFonts w:ascii="Verdana" w:hAnsi="Verdana"/>
        </w:rPr>
        <w:t>Article 12, ICESCR protects the right to the enjoyment of the highest attainable standard of physical and mental health.</w:t>
      </w:r>
    </w:p>
    <w:p w14:paraId="5A39949D" w14:textId="29C55121" w:rsidR="001D1848" w:rsidRPr="00676B60" w:rsidRDefault="00B16F0C" w:rsidP="001D1848">
      <w:pPr>
        <w:pStyle w:val="ListParagraph"/>
        <w:numPr>
          <w:ilvl w:val="0"/>
          <w:numId w:val="19"/>
        </w:numPr>
        <w:spacing w:line="276" w:lineRule="auto"/>
        <w:rPr>
          <w:rFonts w:ascii="Verdana" w:hAnsi="Verdana"/>
        </w:rPr>
      </w:pPr>
      <w:r w:rsidRPr="00676B60">
        <w:rPr>
          <w:rFonts w:ascii="Verdana" w:hAnsi="Verdana"/>
        </w:rPr>
        <w:t>Article 2 of the European Convention on Human Rights (ECHR) protects the right to life.</w:t>
      </w:r>
    </w:p>
    <w:p w14:paraId="12B1B323" w14:textId="3788E56B" w:rsidR="00B16F0C" w:rsidRPr="00676B60" w:rsidRDefault="00B16F0C" w:rsidP="00676B60">
      <w:pPr>
        <w:pStyle w:val="ListParagraph"/>
        <w:numPr>
          <w:ilvl w:val="0"/>
          <w:numId w:val="19"/>
        </w:numPr>
        <w:spacing w:line="276" w:lineRule="auto"/>
        <w:rPr>
          <w:rFonts w:ascii="Verdana" w:hAnsi="Verdana"/>
        </w:rPr>
      </w:pPr>
      <w:r w:rsidRPr="00676B60">
        <w:rPr>
          <w:rFonts w:ascii="Verdana" w:hAnsi="Verdana"/>
        </w:rPr>
        <w:t>ICESCR General Comment No 15 recognises the right to water under Articles 11 and 12 of ICESCR.</w:t>
      </w:r>
    </w:p>
    <w:p w14:paraId="0DFBE2DB" w14:textId="77777777" w:rsidR="001D1848" w:rsidRPr="00676B60" w:rsidRDefault="001D1848" w:rsidP="00676B60">
      <w:pPr>
        <w:pStyle w:val="ListParagraph"/>
        <w:rPr>
          <w:rFonts w:ascii="Verdana" w:hAnsi="Verdana"/>
        </w:rPr>
      </w:pPr>
    </w:p>
    <w:p w14:paraId="74C6E995" w14:textId="001F9170" w:rsidR="001D1848" w:rsidRDefault="00635738">
      <w:pPr>
        <w:pStyle w:val="ListParagraph"/>
        <w:numPr>
          <w:ilvl w:val="1"/>
          <w:numId w:val="11"/>
        </w:numPr>
        <w:spacing w:line="276" w:lineRule="auto"/>
        <w:ind w:left="709"/>
        <w:rPr>
          <w:rFonts w:ascii="Verdana" w:hAnsi="Verdana"/>
        </w:rPr>
      </w:pPr>
      <w:r w:rsidRPr="00676B60">
        <w:rPr>
          <w:rFonts w:ascii="Verdana" w:hAnsi="Verdana"/>
        </w:rPr>
        <w:t xml:space="preserve">The </w:t>
      </w:r>
      <w:r w:rsidR="00676B60" w:rsidRPr="00676B60">
        <w:rPr>
          <w:rFonts w:ascii="Verdana" w:hAnsi="Verdana"/>
        </w:rPr>
        <w:t xml:space="preserve">UN </w:t>
      </w:r>
      <w:r w:rsidRPr="00676B60">
        <w:rPr>
          <w:rFonts w:ascii="Verdana" w:hAnsi="Verdana"/>
        </w:rPr>
        <w:t>Paris Agreement</w:t>
      </w:r>
      <w:r w:rsidR="00DE6591" w:rsidRPr="00676B60">
        <w:rPr>
          <w:rFonts w:ascii="Verdana" w:hAnsi="Verdana"/>
        </w:rPr>
        <w:t xml:space="preserve"> calls upon States to respect, promote and consider their respective human rights obligations when taking action to address climate change</w:t>
      </w:r>
      <w:r w:rsidR="00676B60" w:rsidRPr="00676B60">
        <w:rPr>
          <w:rFonts w:ascii="Verdana" w:hAnsi="Verdana"/>
        </w:rPr>
        <w:t>.</w:t>
      </w:r>
      <w:r w:rsidR="00676B60" w:rsidRPr="00676B60">
        <w:rPr>
          <w:rStyle w:val="FootnoteReference"/>
          <w:rFonts w:ascii="Verdana" w:hAnsi="Verdana"/>
        </w:rPr>
        <w:footnoteReference w:id="29"/>
      </w:r>
      <w:r w:rsidR="003F5210">
        <w:rPr>
          <w:rFonts w:ascii="Verdana" w:hAnsi="Verdana"/>
        </w:rPr>
        <w:t xml:space="preserve"> The UN Paris Agreement is a </w:t>
      </w:r>
      <w:r w:rsidR="00F91B51">
        <w:rPr>
          <w:rFonts w:ascii="Verdana" w:hAnsi="Verdana"/>
        </w:rPr>
        <w:t xml:space="preserve">legally binding international treaty on climate change. The </w:t>
      </w:r>
      <w:r w:rsidR="00A70E8C">
        <w:rPr>
          <w:rFonts w:ascii="Verdana" w:hAnsi="Verdana"/>
        </w:rPr>
        <w:t xml:space="preserve">Agreement sets out long term goals to reduce greenhouse gas </w:t>
      </w:r>
      <w:r w:rsidR="0015135C">
        <w:rPr>
          <w:rFonts w:ascii="Verdana" w:hAnsi="Verdana"/>
        </w:rPr>
        <w:t xml:space="preserve">emissions to limit the global temperature increase to </w:t>
      </w:r>
      <w:r w:rsidR="002B0AD6">
        <w:rPr>
          <w:rFonts w:ascii="Verdana" w:hAnsi="Verdana"/>
        </w:rPr>
        <w:t xml:space="preserve">2 degrees Celsius while pursing the </w:t>
      </w:r>
      <w:r w:rsidR="00861981">
        <w:rPr>
          <w:rFonts w:ascii="Verdana" w:hAnsi="Verdana"/>
        </w:rPr>
        <w:t>goal of limiting the increase even further, to 1.5 degrees.</w:t>
      </w:r>
      <w:r w:rsidR="00861981">
        <w:rPr>
          <w:rStyle w:val="FootnoteReference"/>
          <w:rFonts w:ascii="Verdana" w:hAnsi="Verdana"/>
        </w:rPr>
        <w:footnoteReference w:id="30"/>
      </w:r>
      <w:r w:rsidR="00F91B51">
        <w:rPr>
          <w:rFonts w:ascii="Verdana" w:hAnsi="Verdana"/>
        </w:rPr>
        <w:t xml:space="preserve"> </w:t>
      </w:r>
    </w:p>
    <w:p w14:paraId="00D2C8BB" w14:textId="77777777" w:rsidR="00676B60" w:rsidRDefault="00676B60" w:rsidP="00676B60">
      <w:pPr>
        <w:pStyle w:val="ListParagraph"/>
        <w:spacing w:line="276" w:lineRule="auto"/>
        <w:ind w:left="709"/>
        <w:rPr>
          <w:rFonts w:ascii="Verdana" w:hAnsi="Verdana"/>
        </w:rPr>
      </w:pPr>
    </w:p>
    <w:p w14:paraId="11F9B0EB" w14:textId="44BA5C5D" w:rsidR="00676B60" w:rsidRDefault="00676B60">
      <w:pPr>
        <w:pStyle w:val="ListParagraph"/>
        <w:numPr>
          <w:ilvl w:val="1"/>
          <w:numId w:val="11"/>
        </w:numPr>
        <w:spacing w:line="276" w:lineRule="auto"/>
        <w:ind w:left="709"/>
        <w:rPr>
          <w:rFonts w:ascii="Verdana" w:hAnsi="Verdana"/>
        </w:rPr>
      </w:pPr>
      <w:r>
        <w:rPr>
          <w:rFonts w:ascii="Verdana" w:hAnsi="Verdana"/>
        </w:rPr>
        <w:t xml:space="preserve">Reducing access to the Scheme </w:t>
      </w:r>
      <w:r w:rsidR="0020505A">
        <w:rPr>
          <w:rFonts w:ascii="Verdana" w:hAnsi="Verdana"/>
        </w:rPr>
        <w:t xml:space="preserve">for </w:t>
      </w:r>
      <w:r w:rsidR="00882CD7">
        <w:rPr>
          <w:rFonts w:ascii="Verdana" w:hAnsi="Verdana"/>
        </w:rPr>
        <w:t xml:space="preserve">older people and people with disabilities, </w:t>
      </w:r>
      <w:r w:rsidR="00E12951">
        <w:rPr>
          <w:rFonts w:ascii="Verdana" w:hAnsi="Verdana"/>
        </w:rPr>
        <w:t>who may have mobility issues</w:t>
      </w:r>
      <w:r w:rsidR="00882CD7">
        <w:rPr>
          <w:rFonts w:ascii="Verdana" w:hAnsi="Verdana"/>
        </w:rPr>
        <w:t xml:space="preserve"> and rely heavily on transport to move around NI</w:t>
      </w:r>
      <w:r w:rsidR="004D1C27">
        <w:rPr>
          <w:rFonts w:ascii="Verdana" w:hAnsi="Verdana"/>
        </w:rPr>
        <w:t>, may increase reliance on</w:t>
      </w:r>
      <w:r w:rsidR="00FE1E03">
        <w:rPr>
          <w:rFonts w:ascii="Verdana" w:hAnsi="Verdana"/>
        </w:rPr>
        <w:t xml:space="preserve"> cars, which will have a negative impact on the environment.</w:t>
      </w:r>
    </w:p>
    <w:p w14:paraId="6D4EC9A1" w14:textId="77777777" w:rsidR="00FE1E03" w:rsidRPr="005B0F0B" w:rsidRDefault="00FE1E03" w:rsidP="005B0F0B">
      <w:pPr>
        <w:pStyle w:val="ListParagraph"/>
        <w:rPr>
          <w:rFonts w:ascii="Verdana" w:hAnsi="Verdana"/>
        </w:rPr>
      </w:pPr>
    </w:p>
    <w:p w14:paraId="26A0439E" w14:textId="1954A62F" w:rsidR="00FE1E03" w:rsidRPr="00676B60" w:rsidRDefault="00FE1E03">
      <w:pPr>
        <w:pStyle w:val="ListParagraph"/>
        <w:numPr>
          <w:ilvl w:val="1"/>
          <w:numId w:val="11"/>
        </w:numPr>
        <w:spacing w:line="276" w:lineRule="auto"/>
        <w:ind w:left="709"/>
        <w:rPr>
          <w:rFonts w:ascii="Verdana" w:hAnsi="Verdana"/>
        </w:rPr>
      </w:pPr>
      <w:r w:rsidRPr="4E5835F8">
        <w:rPr>
          <w:rFonts w:ascii="Verdana" w:hAnsi="Verdana"/>
          <w:b/>
          <w:bCs/>
        </w:rPr>
        <w:lastRenderedPageBreak/>
        <w:t xml:space="preserve">The NIHRC recommends that the Department for Infrastructure consider </w:t>
      </w:r>
      <w:r w:rsidR="00B72402" w:rsidRPr="4E5835F8">
        <w:rPr>
          <w:rFonts w:ascii="Verdana" w:hAnsi="Verdana"/>
          <w:b/>
          <w:bCs/>
        </w:rPr>
        <w:t xml:space="preserve">mitigations to any negative environmental impact which may result from any restrictions to the </w:t>
      </w:r>
      <w:r w:rsidR="005B0F0B" w:rsidRPr="4E5835F8">
        <w:rPr>
          <w:rFonts w:ascii="Verdana" w:hAnsi="Verdana"/>
          <w:b/>
          <w:bCs/>
        </w:rPr>
        <w:t>Concessionary Fares Scheme.</w:t>
      </w:r>
    </w:p>
    <w:p w14:paraId="5323BE8F" w14:textId="77777777" w:rsidR="00A63F15" w:rsidRPr="00A63F15" w:rsidRDefault="00A63F15" w:rsidP="00A63F15">
      <w:pPr>
        <w:pStyle w:val="ListParagraph"/>
        <w:rPr>
          <w:rFonts w:ascii="Verdana" w:hAnsi="Verdana"/>
        </w:rPr>
      </w:pPr>
    </w:p>
    <w:p w14:paraId="1B34A92E" w14:textId="5ADA439F" w:rsidR="00227173" w:rsidRDefault="00227173" w:rsidP="00227173">
      <w:pPr>
        <w:pStyle w:val="Heading1"/>
        <w:numPr>
          <w:ilvl w:val="0"/>
          <w:numId w:val="11"/>
        </w:numPr>
      </w:pPr>
      <w:bookmarkStart w:id="5" w:name="_Toc143609773"/>
      <w:r>
        <w:t>Part A – Options to reduce costs</w:t>
      </w:r>
      <w:bookmarkEnd w:id="5"/>
    </w:p>
    <w:p w14:paraId="3FF120E5" w14:textId="77777777" w:rsidR="00227173" w:rsidRDefault="00227173" w:rsidP="00227173"/>
    <w:p w14:paraId="2A448836" w14:textId="04FC9D33" w:rsidR="00187032" w:rsidRDefault="00490CC0" w:rsidP="00074174">
      <w:pPr>
        <w:pStyle w:val="Heading2"/>
      </w:pPr>
      <w:bookmarkStart w:id="6" w:name="_Toc143609774"/>
      <w:r>
        <w:t xml:space="preserve">Option 1: </w:t>
      </w:r>
      <w:r w:rsidR="00187032">
        <w:t>Raising the age of eligibility for the Senior Smart Pass</w:t>
      </w:r>
      <w:bookmarkEnd w:id="6"/>
    </w:p>
    <w:p w14:paraId="0E77AF1E" w14:textId="77777777" w:rsidR="00187032" w:rsidRPr="00187032" w:rsidRDefault="00187032" w:rsidP="00227173">
      <w:pPr>
        <w:rPr>
          <w:rFonts w:ascii="Verdana" w:hAnsi="Verdana"/>
          <w:b/>
          <w:bCs/>
        </w:rPr>
      </w:pPr>
    </w:p>
    <w:p w14:paraId="79D6967A" w14:textId="77777777" w:rsidR="00227173" w:rsidRPr="00227173" w:rsidRDefault="00227173" w:rsidP="00227173">
      <w:pPr>
        <w:pStyle w:val="ListParagraph"/>
        <w:numPr>
          <w:ilvl w:val="0"/>
          <w:numId w:val="15"/>
        </w:numPr>
        <w:spacing w:line="276" w:lineRule="auto"/>
        <w:rPr>
          <w:rFonts w:ascii="Verdana" w:hAnsi="Verdana"/>
          <w:vanish/>
        </w:rPr>
      </w:pPr>
    </w:p>
    <w:p w14:paraId="1BE3435C" w14:textId="77777777" w:rsidR="00227173" w:rsidRPr="00227173" w:rsidRDefault="00227173" w:rsidP="00227173">
      <w:pPr>
        <w:pStyle w:val="ListParagraph"/>
        <w:numPr>
          <w:ilvl w:val="0"/>
          <w:numId w:val="15"/>
        </w:numPr>
        <w:spacing w:line="276" w:lineRule="auto"/>
        <w:rPr>
          <w:rFonts w:ascii="Verdana" w:hAnsi="Verdana"/>
          <w:vanish/>
        </w:rPr>
      </w:pPr>
    </w:p>
    <w:p w14:paraId="0D0E90E0" w14:textId="77777777" w:rsidR="00227173" w:rsidRPr="00227173" w:rsidRDefault="00227173" w:rsidP="00227173">
      <w:pPr>
        <w:pStyle w:val="ListParagraph"/>
        <w:numPr>
          <w:ilvl w:val="0"/>
          <w:numId w:val="15"/>
        </w:numPr>
        <w:spacing w:line="276" w:lineRule="auto"/>
        <w:rPr>
          <w:rFonts w:ascii="Verdana" w:hAnsi="Verdana"/>
          <w:vanish/>
        </w:rPr>
      </w:pPr>
    </w:p>
    <w:p w14:paraId="4CDB5DF3" w14:textId="3A5C9BF0" w:rsidR="00227173" w:rsidRDefault="001122FC" w:rsidP="00227173">
      <w:pPr>
        <w:pStyle w:val="ListParagraph"/>
        <w:numPr>
          <w:ilvl w:val="1"/>
          <w:numId w:val="15"/>
        </w:numPr>
        <w:spacing w:line="276" w:lineRule="auto"/>
        <w:ind w:left="709"/>
        <w:rPr>
          <w:rFonts w:ascii="Verdana" w:hAnsi="Verdana"/>
        </w:rPr>
      </w:pPr>
      <w:r>
        <w:rPr>
          <w:rFonts w:ascii="Verdana" w:hAnsi="Verdana"/>
        </w:rPr>
        <w:t>Part A</w:t>
      </w:r>
      <w:r w:rsidR="00227173">
        <w:rPr>
          <w:rFonts w:ascii="Verdana" w:hAnsi="Verdana"/>
        </w:rPr>
        <w:t xml:space="preserve"> of the consultation </w:t>
      </w:r>
      <w:r w:rsidR="00490CC0">
        <w:rPr>
          <w:rFonts w:ascii="Verdana" w:hAnsi="Verdana"/>
        </w:rPr>
        <w:t xml:space="preserve">presents </w:t>
      </w:r>
      <w:r>
        <w:rPr>
          <w:rFonts w:ascii="Verdana" w:hAnsi="Verdana"/>
        </w:rPr>
        <w:t xml:space="preserve">options </w:t>
      </w:r>
      <w:r w:rsidR="00D12BAB">
        <w:rPr>
          <w:rFonts w:ascii="Verdana" w:hAnsi="Verdana"/>
        </w:rPr>
        <w:t xml:space="preserve">to limit the use of </w:t>
      </w:r>
      <w:r w:rsidR="00720E9F">
        <w:rPr>
          <w:rFonts w:ascii="Verdana" w:hAnsi="Verdana"/>
        </w:rPr>
        <w:t>the Smart Pass</w:t>
      </w:r>
      <w:r w:rsidR="00F65185">
        <w:rPr>
          <w:rFonts w:ascii="Verdana" w:hAnsi="Verdana"/>
        </w:rPr>
        <w:t xml:space="preserve"> which could reduce the costs of the Scheme.</w:t>
      </w:r>
      <w:r w:rsidR="00720E9F">
        <w:rPr>
          <w:rFonts w:ascii="Verdana" w:hAnsi="Verdana"/>
        </w:rPr>
        <w:t xml:space="preserve"> Option 1 </w:t>
      </w:r>
      <w:r>
        <w:rPr>
          <w:rFonts w:ascii="Verdana" w:hAnsi="Verdana"/>
        </w:rPr>
        <w:t xml:space="preserve">proposes to raise </w:t>
      </w:r>
      <w:r w:rsidR="00151037">
        <w:rPr>
          <w:rFonts w:ascii="Verdana" w:hAnsi="Verdana"/>
        </w:rPr>
        <w:t xml:space="preserve">the </w:t>
      </w:r>
      <w:r>
        <w:rPr>
          <w:rFonts w:ascii="Verdana" w:hAnsi="Verdana"/>
        </w:rPr>
        <w:t>age of eligibility to receive a Senior Smart Pass from 60+ to either 65+ or to state pension age.</w:t>
      </w:r>
      <w:r w:rsidR="00D616DD">
        <w:rPr>
          <w:rFonts w:ascii="Verdana" w:hAnsi="Verdana"/>
        </w:rPr>
        <w:t xml:space="preserve"> State </w:t>
      </w:r>
      <w:r w:rsidR="00631876">
        <w:rPr>
          <w:rFonts w:ascii="Verdana" w:hAnsi="Verdana"/>
        </w:rPr>
        <w:t xml:space="preserve">pension age </w:t>
      </w:r>
      <w:r w:rsidR="00C85F0A">
        <w:rPr>
          <w:rFonts w:ascii="Verdana" w:hAnsi="Verdana"/>
        </w:rPr>
        <w:t>is currently 66 but, as noted within the consultation, this is expected to rise to 67 between 2025 to 2028.</w:t>
      </w:r>
      <w:r w:rsidR="005F7E8A">
        <w:rPr>
          <w:rStyle w:val="FootnoteReference"/>
          <w:rFonts w:ascii="Verdana" w:hAnsi="Verdana"/>
        </w:rPr>
        <w:footnoteReference w:id="31"/>
      </w:r>
      <w:r w:rsidR="00E857E7">
        <w:rPr>
          <w:rFonts w:ascii="Verdana" w:hAnsi="Verdana"/>
        </w:rPr>
        <w:t xml:space="preserve"> The Commission is concerned that if the Scheme </w:t>
      </w:r>
      <w:r w:rsidR="00F5152F">
        <w:rPr>
          <w:rFonts w:ascii="Verdana" w:hAnsi="Verdana"/>
        </w:rPr>
        <w:t xml:space="preserve">raises the eligibility age to state pension age, </w:t>
      </w:r>
      <w:r w:rsidR="009056DD">
        <w:rPr>
          <w:rFonts w:ascii="Verdana" w:hAnsi="Verdana"/>
        </w:rPr>
        <w:t>this could continue to rise in the future without the need for further consultation.</w:t>
      </w:r>
      <w:r w:rsidR="00C52FFC">
        <w:rPr>
          <w:rFonts w:ascii="Verdana" w:hAnsi="Verdana"/>
        </w:rPr>
        <w:t xml:space="preserve"> </w:t>
      </w:r>
      <w:r w:rsidR="00476C95">
        <w:rPr>
          <w:rFonts w:ascii="Verdana" w:hAnsi="Verdana"/>
        </w:rPr>
        <w:t xml:space="preserve">It would be clearer for users of the Scheme to understand their entitlements if age eligibility was </w:t>
      </w:r>
      <w:r w:rsidR="00BC33AF">
        <w:rPr>
          <w:rFonts w:ascii="Verdana" w:hAnsi="Verdana"/>
        </w:rPr>
        <w:t>a set number.</w:t>
      </w:r>
    </w:p>
    <w:p w14:paraId="35C88EEC" w14:textId="77777777" w:rsidR="00FD39E3" w:rsidRDefault="00FD39E3" w:rsidP="00FD39E3">
      <w:pPr>
        <w:pStyle w:val="ListParagraph"/>
        <w:spacing w:line="276" w:lineRule="auto"/>
        <w:ind w:left="709"/>
        <w:rPr>
          <w:rFonts w:ascii="Verdana" w:hAnsi="Verdana"/>
        </w:rPr>
      </w:pPr>
    </w:p>
    <w:p w14:paraId="36FE3D85" w14:textId="1D190373" w:rsidR="00FD39E3" w:rsidRDefault="00FD39E3" w:rsidP="00227173">
      <w:pPr>
        <w:pStyle w:val="ListParagraph"/>
        <w:numPr>
          <w:ilvl w:val="1"/>
          <w:numId w:val="15"/>
        </w:numPr>
        <w:spacing w:line="276" w:lineRule="auto"/>
        <w:ind w:left="709"/>
        <w:rPr>
          <w:rFonts w:ascii="Verdana" w:hAnsi="Verdana"/>
        </w:rPr>
      </w:pPr>
      <w:r>
        <w:rPr>
          <w:rFonts w:ascii="Verdana" w:hAnsi="Verdana"/>
        </w:rPr>
        <w:t>The Department has identified that the objective of its review of the Scheme is to make the Scheme financially sustainable and to ensure the Scheme is targeted at members of the community who are most vulnerable to social exclusion.</w:t>
      </w:r>
      <w:r>
        <w:rPr>
          <w:rStyle w:val="FootnoteReference"/>
          <w:rFonts w:ascii="Verdana" w:hAnsi="Verdana"/>
        </w:rPr>
        <w:footnoteReference w:id="32"/>
      </w:r>
    </w:p>
    <w:p w14:paraId="060A6F4E" w14:textId="77777777" w:rsidR="00913EE1" w:rsidRDefault="00913EE1" w:rsidP="00913EE1">
      <w:pPr>
        <w:pStyle w:val="ListParagraph"/>
        <w:rPr>
          <w:rFonts w:ascii="Verdana" w:hAnsi="Verdana"/>
        </w:rPr>
      </w:pPr>
    </w:p>
    <w:p w14:paraId="6975D6AE" w14:textId="77777777" w:rsidR="00FD39E3" w:rsidRPr="00FD39E3" w:rsidRDefault="00FD39E3" w:rsidP="00FD39E3">
      <w:pPr>
        <w:pStyle w:val="ListParagraph"/>
        <w:rPr>
          <w:rFonts w:ascii="Verdana" w:hAnsi="Verdana"/>
        </w:rPr>
      </w:pPr>
    </w:p>
    <w:p w14:paraId="1038ADF2" w14:textId="0F5F54B4" w:rsidR="00FD39E3" w:rsidRDefault="00FD39E3" w:rsidP="00227173">
      <w:pPr>
        <w:pStyle w:val="ListParagraph"/>
        <w:numPr>
          <w:ilvl w:val="1"/>
          <w:numId w:val="15"/>
        </w:numPr>
        <w:spacing w:line="276" w:lineRule="auto"/>
        <w:ind w:left="709"/>
        <w:rPr>
          <w:rFonts w:ascii="Verdana" w:hAnsi="Verdana"/>
        </w:rPr>
      </w:pPr>
      <w:r>
        <w:rPr>
          <w:rFonts w:ascii="Verdana" w:hAnsi="Verdana"/>
        </w:rPr>
        <w:t>Older persons are vulnerable to social exclusion.</w:t>
      </w:r>
      <w:r w:rsidR="00913EE1">
        <w:rPr>
          <w:rFonts w:ascii="Verdana" w:hAnsi="Verdana"/>
        </w:rPr>
        <w:t xml:space="preserve"> </w:t>
      </w:r>
      <w:r w:rsidR="00BA193C">
        <w:rPr>
          <w:rFonts w:ascii="Verdana" w:hAnsi="Verdana"/>
        </w:rPr>
        <w:t xml:space="preserve">As outlined </w:t>
      </w:r>
      <w:r w:rsidR="00F510AD">
        <w:rPr>
          <w:rFonts w:ascii="Verdana" w:hAnsi="Verdana"/>
        </w:rPr>
        <w:t>in a report from the Independent Expert on older people</w:t>
      </w:r>
      <w:r w:rsidR="00BA193C">
        <w:rPr>
          <w:rFonts w:ascii="Verdana" w:hAnsi="Verdana"/>
        </w:rPr>
        <w:t>,</w:t>
      </w:r>
      <w:r>
        <w:rPr>
          <w:rFonts w:ascii="Verdana" w:hAnsi="Verdana"/>
        </w:rPr>
        <w:t xml:space="preserve"> </w:t>
      </w:r>
      <w:r w:rsidR="00BA193C">
        <w:rPr>
          <w:rFonts w:ascii="Verdana" w:hAnsi="Verdana"/>
        </w:rPr>
        <w:t>s</w:t>
      </w:r>
      <w:r>
        <w:rPr>
          <w:rFonts w:ascii="Verdana" w:hAnsi="Verdana"/>
        </w:rPr>
        <w:t>ocial exclusion of older people involves “the lack or denial of resources, rights, goods and services as people age and the inability to participate in societal relationships and activities, available to the majority of people across the varied and multiple domains of society</w:t>
      </w:r>
      <w:r w:rsidR="00117BAA">
        <w:rPr>
          <w:rFonts w:ascii="Verdana" w:hAnsi="Verdana"/>
        </w:rPr>
        <w:t>”</w:t>
      </w:r>
      <w:r>
        <w:rPr>
          <w:rFonts w:ascii="Verdana" w:hAnsi="Verdana"/>
        </w:rPr>
        <w:t>.</w:t>
      </w:r>
      <w:r>
        <w:rPr>
          <w:rStyle w:val="FootnoteReference"/>
          <w:rFonts w:ascii="Verdana" w:hAnsi="Verdana"/>
        </w:rPr>
        <w:footnoteReference w:id="33"/>
      </w:r>
      <w:r>
        <w:rPr>
          <w:rFonts w:ascii="Verdana" w:hAnsi="Verdana"/>
        </w:rPr>
        <w:t xml:space="preserve"> </w:t>
      </w:r>
      <w:r w:rsidR="00213921">
        <w:rPr>
          <w:rFonts w:ascii="Verdana" w:hAnsi="Verdana"/>
        </w:rPr>
        <w:t>While the NIHRC welcomes the Department’s commitment to ensuring that groups most vulnerable to social isolation can benefit from concessionary travel, as shown in Part B of the consultation, this should not be to the detriment of older people, who remain vulnerable to social isolation.</w:t>
      </w:r>
    </w:p>
    <w:p w14:paraId="6BEB7AFB" w14:textId="77777777" w:rsidR="00213921" w:rsidRPr="00213921" w:rsidRDefault="00213921" w:rsidP="00213921">
      <w:pPr>
        <w:pStyle w:val="ListParagraph"/>
        <w:rPr>
          <w:rFonts w:ascii="Verdana" w:hAnsi="Verdana"/>
        </w:rPr>
      </w:pPr>
    </w:p>
    <w:p w14:paraId="10D23943" w14:textId="049CCA56" w:rsidR="00213921" w:rsidRDefault="00213921" w:rsidP="00227173">
      <w:pPr>
        <w:pStyle w:val="ListParagraph"/>
        <w:numPr>
          <w:ilvl w:val="1"/>
          <w:numId w:val="15"/>
        </w:numPr>
        <w:spacing w:line="276" w:lineRule="auto"/>
        <w:ind w:left="709"/>
        <w:rPr>
          <w:rFonts w:ascii="Verdana" w:hAnsi="Verdana"/>
        </w:rPr>
      </w:pPr>
      <w:r>
        <w:rPr>
          <w:rFonts w:ascii="Verdana" w:hAnsi="Verdana"/>
        </w:rPr>
        <w:lastRenderedPageBreak/>
        <w:t xml:space="preserve">It is also important to note that older people are not a homogenous group, there are </w:t>
      </w:r>
      <w:r w:rsidR="00614EC1">
        <w:rPr>
          <w:rFonts w:ascii="Verdana" w:hAnsi="Verdana"/>
        </w:rPr>
        <w:t>people from marginalised groups</w:t>
      </w:r>
      <w:r>
        <w:rPr>
          <w:rFonts w:ascii="Verdana" w:hAnsi="Verdana"/>
        </w:rPr>
        <w:t xml:space="preserve"> within the older population that </w:t>
      </w:r>
      <w:r w:rsidR="006E3E09">
        <w:rPr>
          <w:rFonts w:ascii="Verdana" w:hAnsi="Verdana"/>
        </w:rPr>
        <w:t>are at heightened risk of social exclusion, for example based on gender, ethnicity, social class or disability.</w:t>
      </w:r>
      <w:r w:rsidR="006E3E09">
        <w:rPr>
          <w:rStyle w:val="FootnoteReference"/>
          <w:rFonts w:ascii="Verdana" w:hAnsi="Verdana"/>
        </w:rPr>
        <w:footnoteReference w:id="34"/>
      </w:r>
      <w:r w:rsidR="006E3E09">
        <w:rPr>
          <w:rFonts w:ascii="Verdana" w:hAnsi="Verdana"/>
        </w:rPr>
        <w:t xml:space="preserve"> The UN Independent Expert on older persons </w:t>
      </w:r>
      <w:r w:rsidR="00F67F51">
        <w:rPr>
          <w:rFonts w:ascii="Verdana" w:hAnsi="Verdana"/>
        </w:rPr>
        <w:t xml:space="preserve">has highlighted that </w:t>
      </w:r>
      <w:r w:rsidR="00614EC1">
        <w:rPr>
          <w:rFonts w:ascii="Verdana" w:hAnsi="Verdana"/>
        </w:rPr>
        <w:t>“</w:t>
      </w:r>
      <w:r w:rsidR="00F67F51">
        <w:rPr>
          <w:rFonts w:ascii="Verdana" w:hAnsi="Verdana"/>
        </w:rPr>
        <w:t>the relationship between social categorisations, such as gender, ethnicity and class, and exclusion is</w:t>
      </w:r>
      <w:r w:rsidR="00614EC1">
        <w:rPr>
          <w:rFonts w:ascii="Verdana" w:hAnsi="Verdana"/>
        </w:rPr>
        <w:t xml:space="preserve"> complex, given the correlation with other risk factors such as living alone and income”.</w:t>
      </w:r>
      <w:r w:rsidR="00614EC1">
        <w:rPr>
          <w:rStyle w:val="FootnoteReference"/>
          <w:rFonts w:ascii="Verdana" w:hAnsi="Verdana"/>
        </w:rPr>
        <w:footnoteReference w:id="35"/>
      </w:r>
      <w:r w:rsidR="00614EC1">
        <w:rPr>
          <w:rFonts w:ascii="Verdana" w:hAnsi="Verdana"/>
        </w:rPr>
        <w:t xml:space="preserve"> If older people’s access to concessionary travel is reduced, those with intersecting identities m</w:t>
      </w:r>
      <w:r w:rsidR="0091062C">
        <w:rPr>
          <w:rFonts w:ascii="Verdana" w:hAnsi="Verdana"/>
        </w:rPr>
        <w:t>a</w:t>
      </w:r>
      <w:r w:rsidR="00614EC1">
        <w:rPr>
          <w:rFonts w:ascii="Verdana" w:hAnsi="Verdana"/>
        </w:rPr>
        <w:t>y be even more at risk of social exclusion and isolation.</w:t>
      </w:r>
    </w:p>
    <w:p w14:paraId="0E2971AC" w14:textId="77777777" w:rsidR="0096194F" w:rsidRDefault="0096194F" w:rsidP="0096194F">
      <w:pPr>
        <w:pStyle w:val="ListParagraph"/>
        <w:rPr>
          <w:rFonts w:ascii="Verdana" w:hAnsi="Verdana"/>
        </w:rPr>
      </w:pPr>
    </w:p>
    <w:p w14:paraId="6C4FDA76" w14:textId="77777777" w:rsidR="00042EB9" w:rsidRPr="00042EB9" w:rsidRDefault="00042EB9" w:rsidP="00042EB9">
      <w:pPr>
        <w:pStyle w:val="ListParagraph"/>
        <w:rPr>
          <w:rFonts w:ascii="Verdana" w:hAnsi="Verdana"/>
        </w:rPr>
      </w:pPr>
    </w:p>
    <w:p w14:paraId="43EF0EAF" w14:textId="4292165C" w:rsidR="00042EB9" w:rsidRDefault="0096194F" w:rsidP="00042EB9">
      <w:pPr>
        <w:pStyle w:val="ListParagraph"/>
        <w:numPr>
          <w:ilvl w:val="1"/>
          <w:numId w:val="15"/>
        </w:numPr>
        <w:spacing w:line="276" w:lineRule="auto"/>
        <w:ind w:left="709"/>
        <w:rPr>
          <w:rFonts w:ascii="Verdana" w:hAnsi="Verdana"/>
        </w:rPr>
      </w:pPr>
      <w:r>
        <w:rPr>
          <w:rFonts w:ascii="Verdana" w:hAnsi="Verdana"/>
        </w:rPr>
        <w:t>In 2016, t</w:t>
      </w:r>
      <w:r w:rsidR="00042EB9">
        <w:rPr>
          <w:rFonts w:ascii="Verdana" w:hAnsi="Verdana"/>
        </w:rPr>
        <w:t>he ICESCR Committee recommended to the UK Government that it “take steps to introduce measures to guarantee targeted support to all those living in poverty or at risk of poverty”.</w:t>
      </w:r>
      <w:r w:rsidR="00042EB9">
        <w:rPr>
          <w:rStyle w:val="FootnoteReference"/>
          <w:rFonts w:ascii="Verdana" w:hAnsi="Verdana"/>
        </w:rPr>
        <w:footnoteReference w:id="36"/>
      </w:r>
      <w:r w:rsidR="00042EB9">
        <w:rPr>
          <w:rFonts w:ascii="Verdana" w:hAnsi="Verdana"/>
        </w:rPr>
        <w:t xml:space="preserve"> T</w:t>
      </w:r>
      <w:r w:rsidR="00CF4482">
        <w:rPr>
          <w:rFonts w:ascii="Verdana" w:hAnsi="Verdana"/>
        </w:rPr>
        <w:t>wo years later, t</w:t>
      </w:r>
      <w:r w:rsidR="00042EB9">
        <w:rPr>
          <w:rFonts w:ascii="Verdana" w:hAnsi="Verdana"/>
        </w:rPr>
        <w:t>he UN Special Rapporteur on extreme poverty recommended that the UK Government remedy the systemic disadvantage created by welfare policies on, among others, older persons.</w:t>
      </w:r>
      <w:r w:rsidR="00042EB9">
        <w:rPr>
          <w:rStyle w:val="FootnoteReference"/>
          <w:rFonts w:ascii="Verdana" w:hAnsi="Verdana"/>
        </w:rPr>
        <w:footnoteReference w:id="37"/>
      </w:r>
      <w:r w:rsidR="00042EB9">
        <w:rPr>
          <w:rFonts w:ascii="Verdana" w:hAnsi="Verdana"/>
        </w:rPr>
        <w:t xml:space="preserve"> </w:t>
      </w:r>
    </w:p>
    <w:p w14:paraId="3F4E4655" w14:textId="77777777" w:rsidR="00614EC1" w:rsidRPr="00614EC1" w:rsidRDefault="00614EC1" w:rsidP="00614EC1">
      <w:pPr>
        <w:pStyle w:val="ListParagraph"/>
        <w:rPr>
          <w:rFonts w:ascii="Verdana" w:hAnsi="Verdana"/>
        </w:rPr>
      </w:pPr>
    </w:p>
    <w:p w14:paraId="6A69375C" w14:textId="77777777" w:rsidR="002F202A" w:rsidRDefault="00AE4157" w:rsidP="00227173">
      <w:pPr>
        <w:pStyle w:val="ListParagraph"/>
        <w:numPr>
          <w:ilvl w:val="1"/>
          <w:numId w:val="15"/>
        </w:numPr>
        <w:spacing w:line="276" w:lineRule="auto"/>
        <w:ind w:left="709"/>
        <w:rPr>
          <w:rFonts w:ascii="Verdana" w:hAnsi="Verdana"/>
        </w:rPr>
      </w:pPr>
      <w:r>
        <w:rPr>
          <w:rFonts w:ascii="Verdana" w:hAnsi="Verdana"/>
        </w:rPr>
        <w:t>According to statistics as of May 2022, there are around 65,000 households aged 60+ in NI who will have insufficient income to cover their essential spending for th</w:t>
      </w:r>
      <w:r w:rsidR="009D7A02">
        <w:rPr>
          <w:rFonts w:ascii="Verdana" w:hAnsi="Verdana"/>
        </w:rPr>
        <w:t xml:space="preserve">e </w:t>
      </w:r>
      <w:r>
        <w:rPr>
          <w:rFonts w:ascii="Verdana" w:hAnsi="Verdana"/>
        </w:rPr>
        <w:t xml:space="preserve">year, with </w:t>
      </w:r>
      <w:r w:rsidR="009D7A02">
        <w:rPr>
          <w:rFonts w:ascii="Verdana" w:hAnsi="Verdana"/>
        </w:rPr>
        <w:t>around 25,000 of these households living in poverty or just above the poverty line and/or in receipt of benefits</w:t>
      </w:r>
      <w:r>
        <w:rPr>
          <w:rFonts w:ascii="Verdana" w:hAnsi="Verdana"/>
        </w:rPr>
        <w:t>.</w:t>
      </w:r>
      <w:r w:rsidR="009D7A02">
        <w:rPr>
          <w:rStyle w:val="FootnoteReference"/>
          <w:rFonts w:ascii="Verdana" w:hAnsi="Verdana"/>
        </w:rPr>
        <w:footnoteReference w:id="38"/>
      </w:r>
      <w:r>
        <w:rPr>
          <w:rFonts w:ascii="Verdana" w:hAnsi="Verdana"/>
        </w:rPr>
        <w:t xml:space="preserve"> </w:t>
      </w:r>
      <w:r w:rsidR="009D7A02">
        <w:rPr>
          <w:rFonts w:ascii="Verdana" w:hAnsi="Verdana"/>
        </w:rPr>
        <w:t xml:space="preserve">The UN Independent Expert on older persons identified that </w:t>
      </w:r>
      <w:r w:rsidR="00042EB9">
        <w:rPr>
          <w:rFonts w:ascii="Verdana" w:hAnsi="Verdana"/>
        </w:rPr>
        <w:t>poverty can exacerbate the denial of basic human rights and limit people’s choices and opportunities, and exclusion from material and financial resources later in life can manifest social exclusion.</w:t>
      </w:r>
      <w:r w:rsidR="00894492">
        <w:rPr>
          <w:rStyle w:val="FootnoteReference"/>
          <w:rFonts w:ascii="Verdana" w:hAnsi="Verdana"/>
        </w:rPr>
        <w:footnoteReference w:id="39"/>
      </w:r>
      <w:r w:rsidR="00894492">
        <w:rPr>
          <w:rFonts w:ascii="Verdana" w:hAnsi="Verdana"/>
        </w:rPr>
        <w:t xml:space="preserve"> </w:t>
      </w:r>
    </w:p>
    <w:p w14:paraId="617DA860" w14:textId="77777777" w:rsidR="002F202A" w:rsidRPr="00644475" w:rsidRDefault="002F202A" w:rsidP="00644475">
      <w:pPr>
        <w:pStyle w:val="ListParagraph"/>
        <w:rPr>
          <w:rFonts w:ascii="Verdana" w:hAnsi="Verdana"/>
        </w:rPr>
      </w:pPr>
    </w:p>
    <w:p w14:paraId="51EB4BC6" w14:textId="3FF01A72" w:rsidR="00894492" w:rsidRDefault="00894492" w:rsidP="00227173">
      <w:pPr>
        <w:pStyle w:val="ListParagraph"/>
        <w:numPr>
          <w:ilvl w:val="1"/>
          <w:numId w:val="15"/>
        </w:numPr>
        <w:spacing w:line="276" w:lineRule="auto"/>
        <w:ind w:left="709"/>
        <w:rPr>
          <w:rFonts w:ascii="Verdana" w:hAnsi="Verdana"/>
        </w:rPr>
      </w:pPr>
      <w:r>
        <w:rPr>
          <w:rFonts w:ascii="Verdana" w:hAnsi="Verdana"/>
        </w:rPr>
        <w:t>Older women are more likely to experience poverty and women have lower rates of employment than men.</w:t>
      </w:r>
      <w:r w:rsidR="001D072D">
        <w:rPr>
          <w:rFonts w:ascii="Verdana" w:hAnsi="Verdana"/>
        </w:rPr>
        <w:t xml:space="preserve"> The Department</w:t>
      </w:r>
      <w:r w:rsidR="001206F3">
        <w:rPr>
          <w:rFonts w:ascii="Verdana" w:hAnsi="Verdana"/>
        </w:rPr>
        <w:t>’</w:t>
      </w:r>
      <w:r w:rsidR="001D072D">
        <w:rPr>
          <w:rFonts w:ascii="Verdana" w:hAnsi="Verdana"/>
        </w:rPr>
        <w:t>s consult</w:t>
      </w:r>
      <w:r w:rsidR="005B54B9">
        <w:rPr>
          <w:rFonts w:ascii="Verdana" w:hAnsi="Verdana"/>
        </w:rPr>
        <w:t xml:space="preserve">ation </w:t>
      </w:r>
      <w:r w:rsidR="006712CF">
        <w:rPr>
          <w:rFonts w:ascii="Verdana" w:hAnsi="Verdana"/>
        </w:rPr>
        <w:t>note</w:t>
      </w:r>
      <w:r w:rsidR="00CD33E1">
        <w:rPr>
          <w:rFonts w:ascii="Verdana" w:hAnsi="Verdana"/>
        </w:rPr>
        <w:t xml:space="preserve">s that, in 2022, 44% of females </w:t>
      </w:r>
      <w:r w:rsidR="000A6F85">
        <w:rPr>
          <w:rFonts w:ascii="Verdana" w:hAnsi="Verdana"/>
        </w:rPr>
        <w:t xml:space="preserve">aged 60-65 were employed, compared with </w:t>
      </w:r>
      <w:r w:rsidR="00CD33E1">
        <w:rPr>
          <w:rFonts w:ascii="Verdana" w:hAnsi="Verdana"/>
        </w:rPr>
        <w:t>61.5% of males</w:t>
      </w:r>
      <w:r w:rsidR="000A6F85">
        <w:rPr>
          <w:rFonts w:ascii="Verdana" w:hAnsi="Verdana"/>
        </w:rPr>
        <w:t xml:space="preserve">. </w:t>
      </w:r>
      <w:r w:rsidR="00BA417B">
        <w:rPr>
          <w:rFonts w:ascii="Verdana" w:hAnsi="Verdana"/>
        </w:rPr>
        <w:t>In addition to a lower number of women in employment than men,</w:t>
      </w:r>
      <w:r w:rsidR="00DF5D75">
        <w:rPr>
          <w:rFonts w:ascii="Verdana" w:hAnsi="Verdana"/>
        </w:rPr>
        <w:t xml:space="preserve"> the UN CEDAW Committee has identified that</w:t>
      </w:r>
      <w:r w:rsidR="00BA417B">
        <w:rPr>
          <w:rFonts w:ascii="Verdana" w:hAnsi="Verdana"/>
        </w:rPr>
        <w:t xml:space="preserve"> </w:t>
      </w:r>
      <w:r w:rsidR="00DF5D75">
        <w:rPr>
          <w:rFonts w:ascii="Verdana" w:hAnsi="Verdana"/>
        </w:rPr>
        <w:t>“</w:t>
      </w:r>
      <w:r w:rsidR="00BA417B">
        <w:rPr>
          <w:rFonts w:ascii="Verdana" w:hAnsi="Verdana"/>
        </w:rPr>
        <w:t xml:space="preserve">women are more likely to be engaged in </w:t>
      </w:r>
      <w:r w:rsidR="00F27845">
        <w:rPr>
          <w:rFonts w:ascii="Verdana" w:hAnsi="Verdana"/>
        </w:rPr>
        <w:t xml:space="preserve">informal, temporary or precarious </w:t>
      </w:r>
      <w:r w:rsidR="00DF5D75">
        <w:rPr>
          <w:rFonts w:ascii="Verdana" w:hAnsi="Verdana"/>
        </w:rPr>
        <w:t xml:space="preserve">forms of </w:t>
      </w:r>
      <w:r w:rsidR="00DF5D75">
        <w:rPr>
          <w:rFonts w:ascii="Verdana" w:hAnsi="Verdana"/>
        </w:rPr>
        <w:lastRenderedPageBreak/>
        <w:t>employment”.</w:t>
      </w:r>
      <w:r w:rsidR="00DF5D75">
        <w:rPr>
          <w:rStyle w:val="FootnoteReference"/>
          <w:rFonts w:ascii="Verdana" w:hAnsi="Verdana"/>
        </w:rPr>
        <w:footnoteReference w:id="40"/>
      </w:r>
      <w:r>
        <w:rPr>
          <w:rFonts w:ascii="Verdana" w:hAnsi="Verdana"/>
        </w:rPr>
        <w:t xml:space="preserve"> The </w:t>
      </w:r>
      <w:r w:rsidR="00D36011">
        <w:rPr>
          <w:rFonts w:ascii="Verdana" w:hAnsi="Verdana"/>
        </w:rPr>
        <w:t>Department has</w:t>
      </w:r>
      <w:r w:rsidR="003E6360">
        <w:rPr>
          <w:rFonts w:ascii="Verdana" w:hAnsi="Verdana"/>
        </w:rPr>
        <w:t xml:space="preserve"> additionally </w:t>
      </w:r>
      <w:r w:rsidR="00D36011">
        <w:rPr>
          <w:rFonts w:ascii="Verdana" w:hAnsi="Verdana"/>
        </w:rPr>
        <w:t>i</w:t>
      </w:r>
      <w:r w:rsidR="003E6360">
        <w:rPr>
          <w:rFonts w:ascii="Verdana" w:hAnsi="Verdana"/>
        </w:rPr>
        <w:t xml:space="preserve">dentified </w:t>
      </w:r>
      <w:r>
        <w:rPr>
          <w:rFonts w:ascii="Verdana" w:hAnsi="Verdana"/>
        </w:rPr>
        <w:t>that women are less likely to hold a driving licence than men</w:t>
      </w:r>
      <w:r w:rsidR="003E6360">
        <w:rPr>
          <w:rFonts w:ascii="Verdana" w:hAnsi="Verdana"/>
        </w:rPr>
        <w:t xml:space="preserve"> and will therefore </w:t>
      </w:r>
      <w:r w:rsidR="002F202A">
        <w:rPr>
          <w:rFonts w:ascii="Verdana" w:hAnsi="Verdana"/>
        </w:rPr>
        <w:t>potentially need to avail of public transport</w:t>
      </w:r>
      <w:r>
        <w:rPr>
          <w:rFonts w:ascii="Verdana" w:hAnsi="Verdana"/>
        </w:rPr>
        <w:t>.</w:t>
      </w:r>
      <w:r>
        <w:rPr>
          <w:rStyle w:val="FootnoteReference"/>
          <w:rFonts w:ascii="Verdana" w:hAnsi="Verdana"/>
        </w:rPr>
        <w:footnoteReference w:id="41"/>
      </w:r>
      <w:r>
        <w:rPr>
          <w:rFonts w:ascii="Verdana" w:hAnsi="Verdana"/>
        </w:rPr>
        <w:t xml:space="preserve"> </w:t>
      </w:r>
      <w:r w:rsidR="00A0624D">
        <w:rPr>
          <w:rFonts w:ascii="Verdana" w:hAnsi="Verdana"/>
        </w:rPr>
        <w:t>Delaying access to a senior smart pass will have a disproportionate</w:t>
      </w:r>
      <w:r w:rsidR="000579E2">
        <w:rPr>
          <w:rFonts w:ascii="Verdana" w:hAnsi="Verdana"/>
        </w:rPr>
        <w:t>ly negative</w:t>
      </w:r>
      <w:r w:rsidR="00A0624D">
        <w:rPr>
          <w:rFonts w:ascii="Verdana" w:hAnsi="Verdana"/>
        </w:rPr>
        <w:t xml:space="preserve"> </w:t>
      </w:r>
      <w:r w:rsidR="006865E1">
        <w:rPr>
          <w:rFonts w:ascii="Verdana" w:hAnsi="Verdana"/>
        </w:rPr>
        <w:t xml:space="preserve">impact on </w:t>
      </w:r>
      <w:r w:rsidR="00B039FA">
        <w:rPr>
          <w:rFonts w:ascii="Verdana" w:hAnsi="Verdana"/>
        </w:rPr>
        <w:t>older women</w:t>
      </w:r>
      <w:r w:rsidR="00900A74">
        <w:rPr>
          <w:rFonts w:ascii="Verdana" w:hAnsi="Verdana"/>
        </w:rPr>
        <w:t xml:space="preserve">, particularly those </w:t>
      </w:r>
      <w:r w:rsidR="1C609B69" w:rsidRPr="1CF76CEB">
        <w:rPr>
          <w:rFonts w:ascii="Verdana" w:hAnsi="Verdana"/>
        </w:rPr>
        <w:t>with</w:t>
      </w:r>
      <w:r w:rsidR="00900A74">
        <w:rPr>
          <w:rFonts w:ascii="Verdana" w:hAnsi="Verdana"/>
        </w:rPr>
        <w:t xml:space="preserve"> lower-income</w:t>
      </w:r>
      <w:r w:rsidR="00757B05">
        <w:rPr>
          <w:rFonts w:ascii="Verdana" w:hAnsi="Verdana"/>
        </w:rPr>
        <w:t>.</w:t>
      </w:r>
      <w:r w:rsidR="00900A74">
        <w:rPr>
          <w:rFonts w:ascii="Verdana" w:hAnsi="Verdana"/>
        </w:rPr>
        <w:t xml:space="preserve"> </w:t>
      </w:r>
    </w:p>
    <w:p w14:paraId="4AC6CFC8" w14:textId="77777777" w:rsidR="00894492" w:rsidRPr="00894492" w:rsidRDefault="00894492" w:rsidP="00894492">
      <w:pPr>
        <w:pStyle w:val="ListParagraph"/>
        <w:rPr>
          <w:rFonts w:ascii="Verdana" w:hAnsi="Verdana"/>
        </w:rPr>
      </w:pPr>
    </w:p>
    <w:p w14:paraId="6418BF43" w14:textId="22ECCC40" w:rsidR="009D7A02" w:rsidRDefault="00894492" w:rsidP="00227173">
      <w:pPr>
        <w:pStyle w:val="ListParagraph"/>
        <w:numPr>
          <w:ilvl w:val="1"/>
          <w:numId w:val="15"/>
        </w:numPr>
        <w:spacing w:line="276" w:lineRule="auto"/>
        <w:ind w:left="709"/>
        <w:rPr>
          <w:rFonts w:ascii="Verdana" w:hAnsi="Verdana"/>
        </w:rPr>
      </w:pPr>
      <w:r>
        <w:rPr>
          <w:rFonts w:ascii="Verdana" w:hAnsi="Verdana"/>
        </w:rPr>
        <w:t>T</w:t>
      </w:r>
      <w:r w:rsidR="007D5340">
        <w:rPr>
          <w:rFonts w:ascii="Verdana" w:hAnsi="Verdana"/>
        </w:rPr>
        <w:t xml:space="preserve">he Commission is concerned that </w:t>
      </w:r>
      <w:r>
        <w:rPr>
          <w:rFonts w:ascii="Verdana" w:hAnsi="Verdana"/>
        </w:rPr>
        <w:t>delay</w:t>
      </w:r>
      <w:r w:rsidR="007D5340">
        <w:rPr>
          <w:rFonts w:ascii="Verdana" w:hAnsi="Verdana"/>
        </w:rPr>
        <w:t>ing</w:t>
      </w:r>
      <w:r>
        <w:rPr>
          <w:rFonts w:ascii="Verdana" w:hAnsi="Verdana"/>
        </w:rPr>
        <w:t xml:space="preserve"> access to the senior smart pass until 65 or state pension age </w:t>
      </w:r>
      <w:r w:rsidR="0094100F">
        <w:rPr>
          <w:rFonts w:ascii="Verdana" w:hAnsi="Verdana"/>
        </w:rPr>
        <w:t>may</w:t>
      </w:r>
      <w:r w:rsidR="00E2542D">
        <w:rPr>
          <w:rFonts w:ascii="Verdana" w:hAnsi="Verdana"/>
        </w:rPr>
        <w:t xml:space="preserve"> </w:t>
      </w:r>
      <w:r>
        <w:rPr>
          <w:rFonts w:ascii="Verdana" w:hAnsi="Verdana"/>
        </w:rPr>
        <w:t>negatively impact on levels of social exclusion and isolation among older persons</w:t>
      </w:r>
      <w:r w:rsidR="00E2542D">
        <w:rPr>
          <w:rFonts w:ascii="Verdana" w:hAnsi="Verdana"/>
        </w:rPr>
        <w:t xml:space="preserve"> below the eligible age</w:t>
      </w:r>
      <w:r>
        <w:rPr>
          <w:rFonts w:ascii="Verdana" w:hAnsi="Verdana"/>
        </w:rPr>
        <w:t>, which may be further exacerbated by poverty or belonging to an already marginalised group.</w:t>
      </w:r>
    </w:p>
    <w:p w14:paraId="653966D2" w14:textId="77777777" w:rsidR="00894492" w:rsidRPr="00894492" w:rsidRDefault="00894492" w:rsidP="00894492">
      <w:pPr>
        <w:pStyle w:val="ListParagraph"/>
        <w:rPr>
          <w:rFonts w:ascii="Verdana" w:hAnsi="Verdana"/>
        </w:rPr>
      </w:pPr>
    </w:p>
    <w:p w14:paraId="65E38A31" w14:textId="4BE0EC36" w:rsidR="00894492" w:rsidRPr="00187032" w:rsidRDefault="00894492" w:rsidP="00227173">
      <w:pPr>
        <w:pStyle w:val="ListParagraph"/>
        <w:numPr>
          <w:ilvl w:val="1"/>
          <w:numId w:val="15"/>
        </w:numPr>
        <w:spacing w:line="276" w:lineRule="auto"/>
        <w:ind w:left="709"/>
        <w:rPr>
          <w:rFonts w:ascii="Verdana" w:hAnsi="Verdana"/>
        </w:rPr>
      </w:pPr>
      <w:r>
        <w:rPr>
          <w:rFonts w:ascii="Verdana" w:hAnsi="Verdana"/>
          <w:b/>
          <w:bCs/>
        </w:rPr>
        <w:t xml:space="preserve">The NIHRC recommends that the Department </w:t>
      </w:r>
      <w:r w:rsidR="00F1420F">
        <w:rPr>
          <w:rFonts w:ascii="Verdana" w:hAnsi="Verdana"/>
          <w:b/>
          <w:bCs/>
        </w:rPr>
        <w:t xml:space="preserve">for </w:t>
      </w:r>
      <w:r>
        <w:rPr>
          <w:rFonts w:ascii="Verdana" w:hAnsi="Verdana"/>
          <w:b/>
          <w:bCs/>
        </w:rPr>
        <w:t xml:space="preserve">Infrastructure refrains from increasing the </w:t>
      </w:r>
      <w:r w:rsidR="00187032">
        <w:rPr>
          <w:rFonts w:ascii="Verdana" w:hAnsi="Verdana"/>
          <w:b/>
          <w:bCs/>
        </w:rPr>
        <w:t>age eligibility for concessionary fares from 60+ to either 65+ or State pension age</w:t>
      </w:r>
      <w:r w:rsidR="00F474B0">
        <w:rPr>
          <w:rFonts w:ascii="Verdana" w:hAnsi="Verdana"/>
          <w:b/>
          <w:bCs/>
        </w:rPr>
        <w:t xml:space="preserve"> without fully assessing and mitigating the impact on affected older persons</w:t>
      </w:r>
      <w:r w:rsidR="00044A04">
        <w:rPr>
          <w:rFonts w:ascii="Verdana" w:hAnsi="Verdana"/>
          <w:b/>
          <w:bCs/>
        </w:rPr>
        <w:t>, particularly th</w:t>
      </w:r>
      <w:r w:rsidR="00C60B84">
        <w:rPr>
          <w:rFonts w:ascii="Verdana" w:hAnsi="Verdana"/>
          <w:b/>
          <w:bCs/>
        </w:rPr>
        <w:t>ose already vulnerable to social exclusion</w:t>
      </w:r>
      <w:r w:rsidR="00187032">
        <w:rPr>
          <w:rFonts w:ascii="Verdana" w:hAnsi="Verdana"/>
          <w:b/>
          <w:bCs/>
        </w:rPr>
        <w:t>.</w:t>
      </w:r>
    </w:p>
    <w:p w14:paraId="5FB4DF0D" w14:textId="77777777" w:rsidR="00187032" w:rsidRDefault="00187032" w:rsidP="00187032">
      <w:pPr>
        <w:rPr>
          <w:rFonts w:ascii="Verdana" w:hAnsi="Verdana"/>
        </w:rPr>
      </w:pPr>
    </w:p>
    <w:p w14:paraId="0021C332" w14:textId="6CA21520" w:rsidR="00187032" w:rsidRDefault="00470761" w:rsidP="00074174">
      <w:pPr>
        <w:pStyle w:val="Heading2"/>
      </w:pPr>
      <w:bookmarkStart w:id="7" w:name="_Toc143609775"/>
      <w:r>
        <w:t xml:space="preserve">Option 2: </w:t>
      </w:r>
      <w:r w:rsidR="00187032">
        <w:t>Limiting concessionary fares to off-peak travel times</w:t>
      </w:r>
      <w:bookmarkEnd w:id="7"/>
    </w:p>
    <w:p w14:paraId="7F157931" w14:textId="77777777" w:rsidR="00187032" w:rsidRPr="00187032" w:rsidRDefault="00187032" w:rsidP="00187032">
      <w:pPr>
        <w:rPr>
          <w:rFonts w:ascii="Verdana" w:hAnsi="Verdana"/>
          <w:b/>
          <w:bCs/>
        </w:rPr>
      </w:pPr>
    </w:p>
    <w:p w14:paraId="16AF9323" w14:textId="77777777" w:rsidR="005D71B1" w:rsidRDefault="00187032" w:rsidP="005D71B1">
      <w:pPr>
        <w:pStyle w:val="ListParagraph"/>
        <w:numPr>
          <w:ilvl w:val="1"/>
          <w:numId w:val="15"/>
        </w:numPr>
        <w:spacing w:line="276" w:lineRule="auto"/>
        <w:ind w:left="709"/>
        <w:rPr>
          <w:rFonts w:ascii="Verdana" w:hAnsi="Verdana"/>
        </w:rPr>
      </w:pPr>
      <w:r>
        <w:rPr>
          <w:rFonts w:ascii="Verdana" w:hAnsi="Verdana"/>
        </w:rPr>
        <w:t>Option 2 of the Department’s consultation</w:t>
      </w:r>
      <w:r w:rsidR="008E3D73">
        <w:rPr>
          <w:rFonts w:ascii="Verdana" w:hAnsi="Verdana"/>
        </w:rPr>
        <w:t xml:space="preserve"> proposes limiting concessionary fares to off-peak travel for all users, including older people over 60, individuals who are registered blind, war disabled and those who benefit from half fares.</w:t>
      </w:r>
      <w:r w:rsidR="008E3D73">
        <w:rPr>
          <w:rStyle w:val="FootnoteReference"/>
          <w:rFonts w:ascii="Verdana" w:hAnsi="Verdana"/>
        </w:rPr>
        <w:footnoteReference w:id="42"/>
      </w:r>
      <w:r w:rsidR="008E3D73">
        <w:rPr>
          <w:rFonts w:ascii="Verdana" w:hAnsi="Verdana"/>
        </w:rPr>
        <w:t xml:space="preserve"> This would mean that, for travel before 9:30am on weekdays, users of the Scheme would have to pay full fare to travel. </w:t>
      </w:r>
    </w:p>
    <w:p w14:paraId="3767D8A7" w14:textId="77777777" w:rsidR="005D71B1" w:rsidRDefault="005D71B1" w:rsidP="005D71B1">
      <w:pPr>
        <w:pStyle w:val="ListParagraph"/>
        <w:spacing w:line="276" w:lineRule="auto"/>
        <w:ind w:left="709"/>
        <w:rPr>
          <w:rFonts w:ascii="Verdana" w:hAnsi="Verdana"/>
        </w:rPr>
      </w:pPr>
    </w:p>
    <w:p w14:paraId="421F2629" w14:textId="1FD7038A" w:rsidR="005D71B1" w:rsidRPr="005D71B1" w:rsidRDefault="009712A0" w:rsidP="005D71B1">
      <w:pPr>
        <w:pStyle w:val="ListParagraph"/>
        <w:numPr>
          <w:ilvl w:val="1"/>
          <w:numId w:val="15"/>
        </w:numPr>
        <w:spacing w:line="276" w:lineRule="auto"/>
        <w:ind w:left="709"/>
        <w:rPr>
          <w:rFonts w:ascii="Verdana" w:hAnsi="Verdana"/>
        </w:rPr>
      </w:pPr>
      <w:r w:rsidRPr="005D71B1">
        <w:rPr>
          <w:rFonts w:ascii="Verdana" w:hAnsi="Verdana"/>
        </w:rPr>
        <w:t xml:space="preserve">The Department has identified that this may have a negative impact on service users with caring responsibilities, </w:t>
      </w:r>
      <w:r w:rsidR="00F477FE" w:rsidRPr="005D71B1">
        <w:rPr>
          <w:rFonts w:ascii="Verdana" w:hAnsi="Verdana"/>
        </w:rPr>
        <w:t xml:space="preserve">noting that as more </w:t>
      </w:r>
      <w:r w:rsidRPr="005D71B1">
        <w:rPr>
          <w:rFonts w:ascii="Verdana" w:hAnsi="Verdana"/>
        </w:rPr>
        <w:t xml:space="preserve">women </w:t>
      </w:r>
      <w:r w:rsidR="00F477FE" w:rsidRPr="005D71B1">
        <w:rPr>
          <w:rFonts w:ascii="Verdana" w:hAnsi="Verdana"/>
        </w:rPr>
        <w:t>than men</w:t>
      </w:r>
      <w:r w:rsidRPr="005D71B1">
        <w:rPr>
          <w:rFonts w:ascii="Verdana" w:hAnsi="Verdana"/>
        </w:rPr>
        <w:t xml:space="preserve"> have caring responsibilities</w:t>
      </w:r>
      <w:r w:rsidR="00F477FE" w:rsidRPr="005D71B1">
        <w:rPr>
          <w:rFonts w:ascii="Verdana" w:hAnsi="Verdana"/>
        </w:rPr>
        <w:t>, they will be further impacted</w:t>
      </w:r>
      <w:r w:rsidRPr="005D71B1">
        <w:rPr>
          <w:rFonts w:ascii="Verdana" w:hAnsi="Verdana"/>
        </w:rPr>
        <w:t>.</w:t>
      </w:r>
      <w:r w:rsidR="00F477FE">
        <w:rPr>
          <w:rStyle w:val="FootnoteReference"/>
          <w:rFonts w:ascii="Verdana" w:hAnsi="Verdana"/>
        </w:rPr>
        <w:footnoteReference w:id="43"/>
      </w:r>
      <w:r w:rsidRPr="005D71B1">
        <w:rPr>
          <w:rFonts w:ascii="Verdana" w:hAnsi="Verdana"/>
        </w:rPr>
        <w:t xml:space="preserve"> </w:t>
      </w:r>
      <w:r w:rsidR="005D71B1" w:rsidRPr="005D71B1">
        <w:rPr>
          <w:rFonts w:ascii="Verdana" w:hAnsi="Verdana"/>
          <w:color w:val="000000"/>
        </w:rPr>
        <w:t xml:space="preserve">In 2019, the UN CEDAW Committee noted </w:t>
      </w:r>
      <w:r w:rsidR="005D71B1" w:rsidRPr="005D71B1">
        <w:rPr>
          <w:rFonts w:ascii="Verdana" w:hAnsi="Verdana"/>
        </w:rPr>
        <w:t>with concern “that reductions in social care services increase the burden on primary caregivers, who are disproportionately women”.</w:t>
      </w:r>
      <w:r w:rsidR="005D71B1" w:rsidRPr="005D71B1">
        <w:rPr>
          <w:rStyle w:val="FootnoteReference"/>
          <w:rFonts w:ascii="Verdana" w:hAnsi="Verdana"/>
        </w:rPr>
        <w:footnoteReference w:id="44"/>
      </w:r>
    </w:p>
    <w:p w14:paraId="2144BC15" w14:textId="4007DA85" w:rsidR="005D71B1" w:rsidRDefault="005D71B1" w:rsidP="005D71B1">
      <w:pPr>
        <w:pStyle w:val="ListParagraph"/>
        <w:spacing w:line="276" w:lineRule="auto"/>
        <w:ind w:left="709"/>
        <w:rPr>
          <w:rFonts w:ascii="Verdana" w:hAnsi="Verdana"/>
        </w:rPr>
      </w:pPr>
    </w:p>
    <w:p w14:paraId="79D143FF" w14:textId="62F4FC9E" w:rsidR="009712A0" w:rsidRDefault="00F477FE" w:rsidP="00227173">
      <w:pPr>
        <w:pStyle w:val="ListParagraph"/>
        <w:numPr>
          <w:ilvl w:val="1"/>
          <w:numId w:val="15"/>
        </w:numPr>
        <w:spacing w:line="276" w:lineRule="auto"/>
        <w:ind w:left="709"/>
        <w:rPr>
          <w:rFonts w:ascii="Verdana" w:hAnsi="Verdana"/>
        </w:rPr>
      </w:pPr>
      <w:r>
        <w:rPr>
          <w:rFonts w:ascii="Verdana" w:hAnsi="Verdana"/>
        </w:rPr>
        <w:t xml:space="preserve">The Census 2021 detailed that there are 222,200 people providing unpaid care in NI, which accounts for one in eight people. The common age group providing unpaid care is 40-64, where 124,600 people are providing </w:t>
      </w:r>
      <w:r>
        <w:rPr>
          <w:rFonts w:ascii="Verdana" w:hAnsi="Verdana"/>
        </w:rPr>
        <w:lastRenderedPageBreak/>
        <w:t>unpaid care, accounting for one in five people.</w:t>
      </w:r>
      <w:r>
        <w:rPr>
          <w:rStyle w:val="FootnoteReference"/>
          <w:rFonts w:ascii="Verdana" w:hAnsi="Verdana"/>
        </w:rPr>
        <w:footnoteReference w:id="45"/>
      </w:r>
      <w:r>
        <w:rPr>
          <w:rFonts w:ascii="Verdana" w:hAnsi="Verdana"/>
        </w:rPr>
        <w:t xml:space="preserve"> The Census also listed 38,863 people age 65+ are providing unpaid care for a friend or relative.</w:t>
      </w:r>
      <w:r>
        <w:rPr>
          <w:rStyle w:val="FootnoteReference"/>
          <w:rFonts w:ascii="Verdana" w:hAnsi="Verdana"/>
        </w:rPr>
        <w:footnoteReference w:id="46"/>
      </w:r>
      <w:r w:rsidR="003B680B">
        <w:rPr>
          <w:rFonts w:ascii="Verdana" w:hAnsi="Verdana"/>
        </w:rPr>
        <w:t xml:space="preserve"> </w:t>
      </w:r>
      <w:r w:rsidR="00D56A1E">
        <w:rPr>
          <w:rFonts w:ascii="Verdana" w:hAnsi="Verdana"/>
        </w:rPr>
        <w:t xml:space="preserve">Additionally, in 2021, 55% of </w:t>
      </w:r>
      <w:r w:rsidR="00B136E2">
        <w:rPr>
          <w:rFonts w:ascii="Verdana" w:hAnsi="Verdana"/>
        </w:rPr>
        <w:t xml:space="preserve">families in NI used grandparents to provide some or all of their childcare, with this </w:t>
      </w:r>
      <w:r w:rsidR="007A0A0E">
        <w:rPr>
          <w:rFonts w:ascii="Verdana" w:hAnsi="Verdana"/>
        </w:rPr>
        <w:t>being the most popular form of childcare in NI.</w:t>
      </w:r>
      <w:r w:rsidR="007A0A0E">
        <w:rPr>
          <w:rStyle w:val="FootnoteReference"/>
          <w:rFonts w:ascii="Verdana" w:hAnsi="Verdana"/>
        </w:rPr>
        <w:footnoteReference w:id="47"/>
      </w:r>
      <w:r w:rsidR="006076ED">
        <w:rPr>
          <w:rFonts w:ascii="Verdana" w:hAnsi="Verdana"/>
        </w:rPr>
        <w:t xml:space="preserve"> Providing childcare </w:t>
      </w:r>
      <w:r w:rsidR="00B1682A">
        <w:rPr>
          <w:rFonts w:ascii="Verdana" w:hAnsi="Verdana"/>
        </w:rPr>
        <w:t xml:space="preserve">supports the economy, by allowing parents to re-join the workforce. </w:t>
      </w:r>
      <w:r w:rsidR="0092775A">
        <w:rPr>
          <w:rFonts w:ascii="Verdana" w:hAnsi="Verdana"/>
        </w:rPr>
        <w:t xml:space="preserve">Grandparents who provide childcare may be using their smart pass to commute to </w:t>
      </w:r>
      <w:r w:rsidR="007D3BA1">
        <w:rPr>
          <w:rFonts w:ascii="Verdana" w:hAnsi="Verdana"/>
        </w:rPr>
        <w:t>their childcare responsibilities before off-peak times, and will be impacted by these proposed changes.</w:t>
      </w:r>
    </w:p>
    <w:p w14:paraId="3BE782E2" w14:textId="77777777" w:rsidR="00791F09" w:rsidRPr="00791F09" w:rsidRDefault="00791F09" w:rsidP="00791F09">
      <w:pPr>
        <w:pStyle w:val="ListParagraph"/>
        <w:rPr>
          <w:rFonts w:ascii="Verdana" w:hAnsi="Verdana"/>
        </w:rPr>
      </w:pPr>
    </w:p>
    <w:p w14:paraId="4939726C" w14:textId="04B7B46B" w:rsidR="00791F09" w:rsidRDefault="0069168A" w:rsidP="00227173">
      <w:pPr>
        <w:pStyle w:val="ListParagraph"/>
        <w:numPr>
          <w:ilvl w:val="1"/>
          <w:numId w:val="15"/>
        </w:numPr>
        <w:spacing w:line="276" w:lineRule="auto"/>
        <w:ind w:left="709"/>
        <w:rPr>
          <w:rFonts w:ascii="Verdana" w:hAnsi="Verdana"/>
        </w:rPr>
      </w:pPr>
      <w:r>
        <w:rPr>
          <w:rFonts w:ascii="Verdana" w:hAnsi="Verdana"/>
        </w:rPr>
        <w:t>Unpaid carers contribute to the economy, with research from Carers UK and the University of Sheffield estimating that the value of unpaid care in England and Wales accounts for £162 billion per year.</w:t>
      </w:r>
      <w:r>
        <w:rPr>
          <w:rStyle w:val="FootnoteReference"/>
          <w:rFonts w:ascii="Verdana" w:hAnsi="Verdana"/>
        </w:rPr>
        <w:footnoteReference w:id="48"/>
      </w:r>
      <w:r w:rsidRPr="00A52B6D">
        <w:rPr>
          <w:rFonts w:ascii="Verdana" w:hAnsi="Verdana"/>
        </w:rPr>
        <w:t xml:space="preserve"> </w:t>
      </w:r>
      <w:r w:rsidR="00A52B6D" w:rsidRPr="00A52B6D">
        <w:rPr>
          <w:rFonts w:ascii="Verdana" w:hAnsi="Verdana"/>
          <w:color w:val="000000"/>
        </w:rPr>
        <w:t>Before the COVID-19 pandemic, the care provided by unpaid carers in NI was worth £4.6 billion per year.</w:t>
      </w:r>
      <w:r w:rsidR="00A52B6D" w:rsidRPr="00A52B6D">
        <w:rPr>
          <w:rStyle w:val="FootnoteReference"/>
          <w:rFonts w:ascii="Verdana" w:hAnsi="Verdana"/>
        </w:rPr>
        <w:footnoteReference w:id="49"/>
      </w:r>
      <w:r w:rsidR="00A52B6D" w:rsidRPr="00A52B6D">
        <w:rPr>
          <w:rFonts w:ascii="Verdana" w:hAnsi="Verdana"/>
          <w:color w:val="000000"/>
        </w:rPr>
        <w:t xml:space="preserve"> During the COVID-19 pandemic, it is estimated that this increased to £6.9 billion per year.</w:t>
      </w:r>
      <w:r w:rsidR="00A52B6D" w:rsidRPr="00A52B6D">
        <w:rPr>
          <w:rStyle w:val="FootnoteReference"/>
          <w:rFonts w:ascii="Verdana" w:hAnsi="Verdana"/>
        </w:rPr>
        <w:footnoteReference w:id="50"/>
      </w:r>
    </w:p>
    <w:p w14:paraId="53E30143" w14:textId="77777777" w:rsidR="000610E2" w:rsidRPr="000610E2" w:rsidRDefault="000610E2" w:rsidP="000610E2">
      <w:pPr>
        <w:pStyle w:val="ListParagraph"/>
        <w:rPr>
          <w:rFonts w:ascii="Verdana" w:hAnsi="Verdana"/>
        </w:rPr>
      </w:pPr>
    </w:p>
    <w:p w14:paraId="246E48FB" w14:textId="392FF3D3" w:rsidR="009D7A02" w:rsidRDefault="000610E2">
      <w:pPr>
        <w:pStyle w:val="ListParagraph"/>
        <w:numPr>
          <w:ilvl w:val="1"/>
          <w:numId w:val="15"/>
        </w:numPr>
        <w:spacing w:line="276" w:lineRule="auto"/>
        <w:ind w:left="709"/>
        <w:rPr>
          <w:rFonts w:ascii="Verdana" w:hAnsi="Verdana"/>
        </w:rPr>
      </w:pPr>
      <w:r w:rsidRPr="00A52B6D">
        <w:rPr>
          <w:rFonts w:ascii="Verdana" w:hAnsi="Verdana"/>
        </w:rPr>
        <w:t>Limiting travel to off-peak times under the Scheme will impact negatively on service users who have caring responsibilities</w:t>
      </w:r>
      <w:r w:rsidR="005828D2">
        <w:rPr>
          <w:rFonts w:ascii="Verdana" w:hAnsi="Verdana"/>
        </w:rPr>
        <w:t>, including providing childcare</w:t>
      </w:r>
      <w:r w:rsidR="00487E3D">
        <w:rPr>
          <w:rFonts w:ascii="Verdana" w:hAnsi="Verdana"/>
        </w:rPr>
        <w:t>,</w:t>
      </w:r>
      <w:r w:rsidRPr="00A52B6D">
        <w:rPr>
          <w:rFonts w:ascii="Verdana" w:hAnsi="Verdana"/>
        </w:rPr>
        <w:t xml:space="preserve"> and their families, who may be forced to make alternative care arrangements. </w:t>
      </w:r>
      <w:r w:rsidR="00A52B6D">
        <w:rPr>
          <w:rFonts w:ascii="Verdana" w:hAnsi="Verdana"/>
        </w:rPr>
        <w:t>While this may save money for the Scheme in the short term, it</w:t>
      </w:r>
      <w:r w:rsidR="006914CB">
        <w:rPr>
          <w:rFonts w:ascii="Verdana" w:hAnsi="Verdana"/>
        </w:rPr>
        <w:t xml:space="preserve"> could potentially contribute to</w:t>
      </w:r>
      <w:r w:rsidR="00A52B6D">
        <w:rPr>
          <w:rFonts w:ascii="Verdana" w:hAnsi="Verdana"/>
        </w:rPr>
        <w:t xml:space="preserve"> </w:t>
      </w:r>
      <w:r w:rsidR="006914CB">
        <w:rPr>
          <w:rFonts w:ascii="Verdana" w:hAnsi="Verdana"/>
        </w:rPr>
        <w:t xml:space="preserve">a rise in </w:t>
      </w:r>
      <w:r w:rsidR="00A52B6D">
        <w:rPr>
          <w:rFonts w:ascii="Verdana" w:hAnsi="Verdana"/>
        </w:rPr>
        <w:t>costs across other departments that are currently being absorbed by unpaid carers.</w:t>
      </w:r>
    </w:p>
    <w:p w14:paraId="784F98B3" w14:textId="77777777" w:rsidR="00A52B6D" w:rsidRPr="00A52B6D" w:rsidRDefault="00A52B6D" w:rsidP="00A52B6D">
      <w:pPr>
        <w:pStyle w:val="ListParagraph"/>
        <w:rPr>
          <w:rFonts w:ascii="Verdana" w:hAnsi="Verdana"/>
        </w:rPr>
      </w:pPr>
    </w:p>
    <w:p w14:paraId="379C0A9A" w14:textId="312A1EC8" w:rsidR="00A52B6D" w:rsidRPr="005C55DA" w:rsidRDefault="00A52B6D">
      <w:pPr>
        <w:pStyle w:val="ListParagraph"/>
        <w:numPr>
          <w:ilvl w:val="1"/>
          <w:numId w:val="15"/>
        </w:numPr>
        <w:spacing w:line="276" w:lineRule="auto"/>
        <w:ind w:left="709"/>
        <w:rPr>
          <w:rFonts w:ascii="Verdana" w:hAnsi="Verdana"/>
        </w:rPr>
      </w:pPr>
      <w:r>
        <w:rPr>
          <w:rFonts w:ascii="Verdana" w:hAnsi="Verdana"/>
          <w:b/>
          <w:bCs/>
        </w:rPr>
        <w:t xml:space="preserve">The NIHRC </w:t>
      </w:r>
      <w:r w:rsidR="006914CB">
        <w:rPr>
          <w:rFonts w:ascii="Verdana" w:hAnsi="Verdana"/>
          <w:b/>
          <w:bCs/>
        </w:rPr>
        <w:t>advises</w:t>
      </w:r>
      <w:r>
        <w:rPr>
          <w:rFonts w:ascii="Verdana" w:hAnsi="Verdana"/>
          <w:b/>
          <w:bCs/>
        </w:rPr>
        <w:t xml:space="preserve"> that the Department </w:t>
      </w:r>
      <w:r w:rsidR="00C64BEA">
        <w:rPr>
          <w:rFonts w:ascii="Verdana" w:hAnsi="Verdana"/>
          <w:b/>
          <w:bCs/>
        </w:rPr>
        <w:t xml:space="preserve">for </w:t>
      </w:r>
      <w:r>
        <w:rPr>
          <w:rFonts w:ascii="Verdana" w:hAnsi="Verdana"/>
          <w:b/>
          <w:bCs/>
        </w:rPr>
        <w:t>Infrastructure</w:t>
      </w:r>
      <w:r w:rsidR="006914CB">
        <w:rPr>
          <w:rFonts w:ascii="Verdana" w:hAnsi="Verdana"/>
          <w:b/>
          <w:bCs/>
        </w:rPr>
        <w:t xml:space="preserve"> </w:t>
      </w:r>
      <w:r w:rsidR="005D71B1">
        <w:rPr>
          <w:rFonts w:ascii="Verdana" w:hAnsi="Verdana"/>
          <w:b/>
          <w:bCs/>
        </w:rPr>
        <w:t>consider</w:t>
      </w:r>
      <w:r w:rsidR="006914CB">
        <w:rPr>
          <w:rFonts w:ascii="Verdana" w:hAnsi="Verdana"/>
          <w:b/>
          <w:bCs/>
        </w:rPr>
        <w:t xml:space="preserve"> how limiting concessionary travel to off-peak times will impact on service users who provide unpaid care, and the wider impact that may have on budgets across the NI Executive Departments.</w:t>
      </w:r>
    </w:p>
    <w:p w14:paraId="32854B7E" w14:textId="77777777" w:rsidR="005C55DA" w:rsidRPr="005C55DA" w:rsidRDefault="005C55DA" w:rsidP="005C55DA">
      <w:pPr>
        <w:pStyle w:val="ListParagraph"/>
        <w:rPr>
          <w:rFonts w:ascii="Verdana" w:hAnsi="Verdana"/>
        </w:rPr>
      </w:pPr>
    </w:p>
    <w:p w14:paraId="6B884618" w14:textId="7D4AB58F" w:rsidR="002C00E1" w:rsidRDefault="005C55DA" w:rsidP="00654223">
      <w:pPr>
        <w:pStyle w:val="ListParagraph"/>
        <w:numPr>
          <w:ilvl w:val="1"/>
          <w:numId w:val="15"/>
        </w:numPr>
        <w:spacing w:line="276" w:lineRule="auto"/>
        <w:ind w:left="709"/>
        <w:rPr>
          <w:rFonts w:ascii="Verdana" w:hAnsi="Verdana"/>
        </w:rPr>
      </w:pPr>
      <w:r w:rsidRPr="00654223">
        <w:rPr>
          <w:rFonts w:ascii="Verdana" w:hAnsi="Verdana"/>
        </w:rPr>
        <w:t>Limiting concessionary fares to off-peak travel times will also impact on service users who have medical appointments</w:t>
      </w:r>
      <w:r w:rsidR="000F106A" w:rsidRPr="00654223">
        <w:rPr>
          <w:rFonts w:ascii="Verdana" w:hAnsi="Verdana"/>
        </w:rPr>
        <w:t xml:space="preserve"> and those who travel to work or volunteer programmes</w:t>
      </w:r>
      <w:r w:rsidRPr="00654223">
        <w:rPr>
          <w:rFonts w:ascii="Verdana" w:hAnsi="Verdana"/>
        </w:rPr>
        <w:t xml:space="preserve">. </w:t>
      </w:r>
      <w:r w:rsidR="00F77E35">
        <w:rPr>
          <w:rFonts w:ascii="Verdana" w:hAnsi="Verdana"/>
        </w:rPr>
        <w:t xml:space="preserve">Volunteering </w:t>
      </w:r>
      <w:r w:rsidR="008F5AE6">
        <w:rPr>
          <w:rFonts w:ascii="Verdana" w:hAnsi="Verdana"/>
        </w:rPr>
        <w:t>can prevent social isolation and promote good mental health. The Mental</w:t>
      </w:r>
      <w:r w:rsidR="00947C2F">
        <w:rPr>
          <w:rFonts w:ascii="Verdana" w:hAnsi="Verdana"/>
        </w:rPr>
        <w:t xml:space="preserve"> Health Strategy for NI </w:t>
      </w:r>
      <w:r w:rsidR="00E407FD">
        <w:rPr>
          <w:rFonts w:ascii="Verdana" w:hAnsi="Verdana"/>
        </w:rPr>
        <w:t xml:space="preserve">states that </w:t>
      </w:r>
      <w:r w:rsidR="00D23A2C">
        <w:rPr>
          <w:rFonts w:ascii="Verdana" w:hAnsi="Verdana"/>
        </w:rPr>
        <w:t xml:space="preserve">the emotional wellbeing and mental health of individuals and </w:t>
      </w:r>
      <w:r w:rsidR="000026A9">
        <w:rPr>
          <w:rFonts w:ascii="Verdana" w:hAnsi="Verdana"/>
        </w:rPr>
        <w:t>communities</w:t>
      </w:r>
      <w:r w:rsidR="00D23A2C">
        <w:rPr>
          <w:rFonts w:ascii="Verdana" w:hAnsi="Verdana"/>
        </w:rPr>
        <w:t xml:space="preserve"> can be </w:t>
      </w:r>
      <w:r w:rsidR="00C06EEA">
        <w:rPr>
          <w:rFonts w:ascii="Verdana" w:hAnsi="Verdana"/>
        </w:rPr>
        <w:t>improved by, among other</w:t>
      </w:r>
      <w:r w:rsidR="000026A9">
        <w:rPr>
          <w:rFonts w:ascii="Verdana" w:hAnsi="Verdana"/>
        </w:rPr>
        <w:t xml:space="preserve"> activities</w:t>
      </w:r>
      <w:r w:rsidR="00C06EEA">
        <w:rPr>
          <w:rFonts w:ascii="Verdana" w:hAnsi="Verdana"/>
        </w:rPr>
        <w:t>, volunteering opportunities.</w:t>
      </w:r>
      <w:r w:rsidR="000026A9">
        <w:rPr>
          <w:rStyle w:val="FootnoteReference"/>
          <w:rFonts w:ascii="Verdana" w:hAnsi="Verdana"/>
        </w:rPr>
        <w:footnoteReference w:id="51"/>
      </w:r>
    </w:p>
    <w:p w14:paraId="65F5EFEB" w14:textId="77777777" w:rsidR="002C00E1" w:rsidRPr="002C00E1" w:rsidRDefault="002C00E1" w:rsidP="002C00E1">
      <w:pPr>
        <w:pStyle w:val="ListParagraph"/>
        <w:rPr>
          <w:rFonts w:ascii="Verdana" w:hAnsi="Verdana"/>
        </w:rPr>
      </w:pPr>
    </w:p>
    <w:p w14:paraId="13EAD1F4" w14:textId="29B2F0DB" w:rsidR="005C55DA" w:rsidRDefault="00C13D80" w:rsidP="00654223">
      <w:pPr>
        <w:pStyle w:val="ListParagraph"/>
        <w:numPr>
          <w:ilvl w:val="1"/>
          <w:numId w:val="15"/>
        </w:numPr>
        <w:spacing w:line="276" w:lineRule="auto"/>
        <w:ind w:left="709"/>
        <w:rPr>
          <w:rFonts w:ascii="Verdana" w:hAnsi="Verdana"/>
        </w:rPr>
      </w:pPr>
      <w:r>
        <w:rPr>
          <w:rFonts w:ascii="Verdana" w:hAnsi="Verdana"/>
        </w:rPr>
        <w:lastRenderedPageBreak/>
        <w:t>Limit</w:t>
      </w:r>
      <w:r w:rsidR="008856E1">
        <w:rPr>
          <w:rFonts w:ascii="Verdana" w:hAnsi="Verdana"/>
        </w:rPr>
        <w:t>ing</w:t>
      </w:r>
      <w:r>
        <w:rPr>
          <w:rFonts w:ascii="Verdana" w:hAnsi="Verdana"/>
        </w:rPr>
        <w:t xml:space="preserve"> </w:t>
      </w:r>
      <w:r w:rsidR="0010771F">
        <w:rPr>
          <w:rFonts w:ascii="Verdana" w:hAnsi="Verdana"/>
        </w:rPr>
        <w:t>concessionary fares to off-peak times will impact disproportionately on service users with lower-incomes or those living in poverty</w:t>
      </w:r>
      <w:r w:rsidR="007A59C2">
        <w:rPr>
          <w:rFonts w:ascii="Verdana" w:hAnsi="Verdana"/>
        </w:rPr>
        <w:t xml:space="preserve"> who would have to pay to use public transport during peak times, </w:t>
      </w:r>
      <w:r w:rsidR="008856E1">
        <w:rPr>
          <w:rFonts w:ascii="Verdana" w:hAnsi="Verdana"/>
        </w:rPr>
        <w:t>which may not be possible for people without disposable income</w:t>
      </w:r>
      <w:r w:rsidR="0010771F">
        <w:rPr>
          <w:rFonts w:ascii="Verdana" w:hAnsi="Verdana"/>
        </w:rPr>
        <w:t xml:space="preserve">. </w:t>
      </w:r>
      <w:r w:rsidR="005C55DA" w:rsidRPr="00654223">
        <w:rPr>
          <w:rFonts w:ascii="Verdana" w:hAnsi="Verdana"/>
        </w:rPr>
        <w:t xml:space="preserve">The Department has identified in its Equality Impact Assessment that this option may impact negatively on disabled people who </w:t>
      </w:r>
      <w:r w:rsidR="002F350E">
        <w:rPr>
          <w:rFonts w:ascii="Verdana" w:hAnsi="Verdana"/>
        </w:rPr>
        <w:t>may utilise their</w:t>
      </w:r>
      <w:r w:rsidR="003924A8">
        <w:rPr>
          <w:rFonts w:ascii="Verdana" w:hAnsi="Verdana"/>
        </w:rPr>
        <w:t xml:space="preserve"> </w:t>
      </w:r>
      <w:r w:rsidR="00276A43">
        <w:rPr>
          <w:rFonts w:ascii="Verdana" w:hAnsi="Verdana"/>
        </w:rPr>
        <w:t xml:space="preserve">smart pass in peak times to travel to </w:t>
      </w:r>
      <w:r w:rsidR="005E3FBE">
        <w:rPr>
          <w:rFonts w:ascii="Verdana" w:hAnsi="Verdana"/>
        </w:rPr>
        <w:t>work</w:t>
      </w:r>
      <w:r w:rsidR="005C55DA" w:rsidRPr="00654223">
        <w:rPr>
          <w:rFonts w:ascii="Verdana" w:hAnsi="Verdana"/>
        </w:rPr>
        <w:t>.</w:t>
      </w:r>
      <w:r w:rsidR="000F106A">
        <w:rPr>
          <w:rStyle w:val="FootnoteReference"/>
          <w:rFonts w:ascii="Verdana" w:hAnsi="Verdana"/>
        </w:rPr>
        <w:footnoteReference w:id="52"/>
      </w:r>
      <w:r w:rsidR="00A4216C">
        <w:rPr>
          <w:rFonts w:ascii="Verdana" w:hAnsi="Verdana"/>
        </w:rPr>
        <w:t xml:space="preserve"> </w:t>
      </w:r>
      <w:r w:rsidR="005E3FBE">
        <w:rPr>
          <w:rFonts w:ascii="Verdana" w:hAnsi="Verdana"/>
        </w:rPr>
        <w:t xml:space="preserve">The UN CRPD Committee have identified their concerns with a persistent pay gap </w:t>
      </w:r>
      <w:r w:rsidR="0035732E">
        <w:rPr>
          <w:rFonts w:ascii="Verdana" w:hAnsi="Verdana"/>
        </w:rPr>
        <w:t xml:space="preserve">affecting disabled people, “especially women </w:t>
      </w:r>
      <w:r w:rsidR="0035732E" w:rsidRPr="00320E72">
        <w:rPr>
          <w:rFonts w:ascii="Verdana" w:hAnsi="Verdana"/>
        </w:rPr>
        <w:t xml:space="preserve">and </w:t>
      </w:r>
      <w:r w:rsidR="00320E72" w:rsidRPr="004A50BB">
        <w:rPr>
          <w:rFonts w:ascii="Verdana" w:hAnsi="Verdana"/>
        </w:rPr>
        <w:t>persons with psychosocial and/or intellectual disabilities, as well as persons with visual impairments</w:t>
      </w:r>
      <w:r w:rsidR="00320E72">
        <w:rPr>
          <w:rFonts w:ascii="Verdana" w:hAnsi="Verdana"/>
        </w:rPr>
        <w:t>”.</w:t>
      </w:r>
      <w:r w:rsidR="00320E72">
        <w:rPr>
          <w:rStyle w:val="FootnoteReference"/>
          <w:rFonts w:ascii="Verdana" w:hAnsi="Verdana"/>
        </w:rPr>
        <w:footnoteReference w:id="53"/>
      </w:r>
      <w:r w:rsidR="00054874">
        <w:rPr>
          <w:rFonts w:ascii="Verdana" w:hAnsi="Verdana"/>
        </w:rPr>
        <w:t xml:space="preserve"> </w:t>
      </w:r>
      <w:r w:rsidR="000A2918">
        <w:rPr>
          <w:rFonts w:ascii="Verdana" w:hAnsi="Verdana"/>
        </w:rPr>
        <w:t xml:space="preserve">The Special Rapporteur on extreme poverty has identified that disabled </w:t>
      </w:r>
      <w:r w:rsidR="008B480A">
        <w:rPr>
          <w:rFonts w:ascii="Verdana" w:hAnsi="Verdana"/>
        </w:rPr>
        <w:t xml:space="preserve">people are more likely to </w:t>
      </w:r>
      <w:r w:rsidR="004D43C0">
        <w:rPr>
          <w:rFonts w:ascii="Verdana" w:hAnsi="Verdana"/>
        </w:rPr>
        <w:t>live in poverty</w:t>
      </w:r>
      <w:r w:rsidR="0036077F">
        <w:rPr>
          <w:rFonts w:ascii="Verdana" w:hAnsi="Verdana"/>
        </w:rPr>
        <w:t xml:space="preserve"> or be in insecure employment.</w:t>
      </w:r>
      <w:r w:rsidR="0036077F">
        <w:rPr>
          <w:rStyle w:val="FootnoteReference"/>
          <w:rFonts w:ascii="Verdana" w:hAnsi="Verdana"/>
        </w:rPr>
        <w:footnoteReference w:id="54"/>
      </w:r>
    </w:p>
    <w:p w14:paraId="1F2459FC" w14:textId="77777777" w:rsidR="00654223" w:rsidRPr="00BF3280" w:rsidRDefault="00654223" w:rsidP="00BF3280">
      <w:pPr>
        <w:pStyle w:val="ListParagraph"/>
        <w:rPr>
          <w:rFonts w:ascii="Verdana" w:hAnsi="Verdana"/>
        </w:rPr>
      </w:pPr>
    </w:p>
    <w:p w14:paraId="04E6A3BE" w14:textId="356A20DB" w:rsidR="00654223" w:rsidRPr="00654223" w:rsidRDefault="00950438" w:rsidP="00654223">
      <w:pPr>
        <w:pStyle w:val="ListParagraph"/>
        <w:numPr>
          <w:ilvl w:val="1"/>
          <w:numId w:val="15"/>
        </w:numPr>
        <w:spacing w:line="276" w:lineRule="auto"/>
        <w:ind w:left="709"/>
        <w:rPr>
          <w:rFonts w:ascii="Verdana" w:hAnsi="Verdana"/>
        </w:rPr>
      </w:pPr>
      <w:r>
        <w:rPr>
          <w:rFonts w:ascii="Verdana" w:hAnsi="Verdana"/>
        </w:rPr>
        <w:t xml:space="preserve">The </w:t>
      </w:r>
      <w:r w:rsidR="00591CC6">
        <w:rPr>
          <w:rFonts w:ascii="Verdana" w:hAnsi="Verdana"/>
        </w:rPr>
        <w:t>NIHRC</w:t>
      </w:r>
      <w:r>
        <w:rPr>
          <w:rFonts w:ascii="Verdana" w:hAnsi="Verdana"/>
        </w:rPr>
        <w:t xml:space="preserve"> is </w:t>
      </w:r>
      <w:r w:rsidR="62B5A5F4" w:rsidRPr="1CF76CEB">
        <w:rPr>
          <w:rFonts w:ascii="Verdana" w:hAnsi="Verdana"/>
        </w:rPr>
        <w:t>also</w:t>
      </w:r>
      <w:r>
        <w:rPr>
          <w:rFonts w:ascii="Verdana" w:hAnsi="Verdana"/>
        </w:rPr>
        <w:t xml:space="preserve"> concerned about the impact of limiting travel to off-peak times</w:t>
      </w:r>
      <w:r w:rsidR="00224C0F">
        <w:rPr>
          <w:rFonts w:ascii="Verdana" w:hAnsi="Verdana"/>
        </w:rPr>
        <w:t xml:space="preserve"> on access to healthcare for older people. Given the current pressures faced by the NHS, patients may not have the option to </w:t>
      </w:r>
      <w:r w:rsidR="0099021B">
        <w:rPr>
          <w:rFonts w:ascii="Verdana" w:hAnsi="Verdana"/>
        </w:rPr>
        <w:t>re-</w:t>
      </w:r>
      <w:r w:rsidR="00224C0F">
        <w:rPr>
          <w:rFonts w:ascii="Verdana" w:hAnsi="Verdana"/>
        </w:rPr>
        <w:t>schedule appointments for later in the day</w:t>
      </w:r>
      <w:r w:rsidR="00EE4F55">
        <w:rPr>
          <w:rFonts w:ascii="Verdana" w:hAnsi="Verdana"/>
        </w:rPr>
        <w:t xml:space="preserve"> when they ca</w:t>
      </w:r>
      <w:r w:rsidR="00312495">
        <w:rPr>
          <w:rFonts w:ascii="Verdana" w:hAnsi="Verdana"/>
        </w:rPr>
        <w:t>n</w:t>
      </w:r>
      <w:r w:rsidR="00EE4F55">
        <w:rPr>
          <w:rFonts w:ascii="Verdana" w:hAnsi="Verdana"/>
        </w:rPr>
        <w:t xml:space="preserve"> utilise their smart pass</w:t>
      </w:r>
      <w:r w:rsidR="00312495">
        <w:rPr>
          <w:rFonts w:ascii="Verdana" w:hAnsi="Verdana"/>
        </w:rPr>
        <w:t>es</w:t>
      </w:r>
      <w:r w:rsidR="00EE4F55">
        <w:rPr>
          <w:rFonts w:ascii="Verdana" w:hAnsi="Verdana"/>
        </w:rPr>
        <w:t xml:space="preserve">. Additionally, </w:t>
      </w:r>
      <w:r w:rsidR="00312495">
        <w:rPr>
          <w:rFonts w:ascii="Verdana" w:hAnsi="Verdana"/>
        </w:rPr>
        <w:t xml:space="preserve">smart pass users who are in employment </w:t>
      </w:r>
      <w:r w:rsidR="08D45A03" w:rsidRPr="1CF76CEB">
        <w:rPr>
          <w:rFonts w:ascii="Verdana" w:hAnsi="Verdana"/>
        </w:rPr>
        <w:t xml:space="preserve">or voluntary programmes, or with caring responsibilities, </w:t>
      </w:r>
      <w:r w:rsidR="00312495">
        <w:rPr>
          <w:rFonts w:ascii="Verdana" w:hAnsi="Verdana"/>
        </w:rPr>
        <w:t xml:space="preserve">may not be able to schedule appointments </w:t>
      </w:r>
      <w:r w:rsidR="009A727A">
        <w:rPr>
          <w:rFonts w:ascii="Verdana" w:hAnsi="Verdana"/>
        </w:rPr>
        <w:t>during their working day</w:t>
      </w:r>
      <w:r w:rsidR="0028375D">
        <w:rPr>
          <w:rFonts w:ascii="Verdana" w:hAnsi="Verdana"/>
        </w:rPr>
        <w:t xml:space="preserve">, meaning they would need to rely on earlier appointments and use public transport during peak times. </w:t>
      </w:r>
      <w:r w:rsidR="00434913">
        <w:rPr>
          <w:rFonts w:ascii="Verdana" w:hAnsi="Verdana"/>
        </w:rPr>
        <w:t>Limiting use of smart passes to off-peak times will place additional financial pressures on users of the Sc</w:t>
      </w:r>
      <w:r w:rsidR="00E60C78">
        <w:rPr>
          <w:rFonts w:ascii="Verdana" w:hAnsi="Verdana"/>
        </w:rPr>
        <w:t>heme who use public transport to attend medical appointments.</w:t>
      </w:r>
      <w:r w:rsidR="00312495">
        <w:rPr>
          <w:rFonts w:ascii="Verdana" w:hAnsi="Verdana"/>
        </w:rPr>
        <w:t xml:space="preserve"> </w:t>
      </w:r>
    </w:p>
    <w:p w14:paraId="5EB3646A" w14:textId="77777777" w:rsidR="0076085F" w:rsidRPr="0076085F" w:rsidRDefault="0076085F" w:rsidP="0076085F">
      <w:pPr>
        <w:pStyle w:val="ListParagraph"/>
        <w:rPr>
          <w:rFonts w:ascii="Verdana" w:hAnsi="Verdana"/>
        </w:rPr>
      </w:pPr>
    </w:p>
    <w:p w14:paraId="24BFE183" w14:textId="6BB5F13D" w:rsidR="000F106A" w:rsidRPr="002A1CBD" w:rsidRDefault="000F106A">
      <w:pPr>
        <w:pStyle w:val="ListParagraph"/>
        <w:numPr>
          <w:ilvl w:val="1"/>
          <w:numId w:val="15"/>
        </w:numPr>
        <w:spacing w:line="276" w:lineRule="auto"/>
        <w:ind w:left="709"/>
        <w:rPr>
          <w:rFonts w:ascii="Verdana" w:hAnsi="Verdana"/>
        </w:rPr>
      </w:pPr>
      <w:r w:rsidRPr="4E5835F8">
        <w:rPr>
          <w:rFonts w:ascii="Verdana" w:hAnsi="Verdana"/>
          <w:b/>
          <w:bCs/>
        </w:rPr>
        <w:t xml:space="preserve">The NIHRC advises that the Department </w:t>
      </w:r>
      <w:r w:rsidR="00E74C23" w:rsidRPr="4E5835F8">
        <w:rPr>
          <w:rFonts w:ascii="Verdana" w:hAnsi="Verdana"/>
          <w:b/>
          <w:bCs/>
        </w:rPr>
        <w:t>for</w:t>
      </w:r>
      <w:r w:rsidRPr="4E5835F8">
        <w:rPr>
          <w:rFonts w:ascii="Verdana" w:hAnsi="Verdana"/>
          <w:b/>
          <w:bCs/>
        </w:rPr>
        <w:t xml:space="preserve"> Infrastructure does not limit concessionary fares to off-peak travel times</w:t>
      </w:r>
      <w:r w:rsidR="00680604" w:rsidRPr="4E5835F8">
        <w:rPr>
          <w:rFonts w:ascii="Verdana" w:hAnsi="Verdana"/>
          <w:b/>
          <w:bCs/>
        </w:rPr>
        <w:t xml:space="preserve"> given the disproportionate impact this will have on service users experiencing poverty.</w:t>
      </w:r>
      <w:r w:rsidRPr="4E5835F8">
        <w:rPr>
          <w:rFonts w:ascii="Verdana" w:hAnsi="Verdana"/>
          <w:b/>
          <w:bCs/>
        </w:rPr>
        <w:t xml:space="preserve"> </w:t>
      </w:r>
      <w:r w:rsidR="00491050" w:rsidRPr="4E5835F8">
        <w:rPr>
          <w:rFonts w:ascii="Verdana" w:hAnsi="Verdana"/>
          <w:b/>
          <w:bCs/>
        </w:rPr>
        <w:t xml:space="preserve">The NIHRC </w:t>
      </w:r>
      <w:r w:rsidRPr="4E5835F8">
        <w:rPr>
          <w:rFonts w:ascii="Verdana" w:hAnsi="Verdana"/>
          <w:b/>
          <w:bCs/>
        </w:rPr>
        <w:t>recommends that, should the Department decide to implement this</w:t>
      </w:r>
      <w:r w:rsidR="576CC0CA" w:rsidRPr="4E5835F8">
        <w:rPr>
          <w:rFonts w:ascii="Verdana" w:hAnsi="Verdana"/>
          <w:b/>
          <w:bCs/>
        </w:rPr>
        <w:t xml:space="preserve"> proposal</w:t>
      </w:r>
      <w:r w:rsidRPr="4E5835F8">
        <w:rPr>
          <w:rFonts w:ascii="Verdana" w:hAnsi="Verdana"/>
          <w:b/>
          <w:bCs/>
        </w:rPr>
        <w:t xml:space="preserve">, they do </w:t>
      </w:r>
      <w:r w:rsidR="002A1CBD" w:rsidRPr="4E5835F8">
        <w:rPr>
          <w:rFonts w:ascii="Verdana" w:hAnsi="Verdana"/>
          <w:b/>
          <w:bCs/>
        </w:rPr>
        <w:t>so in close consultation with the service users that this most impacts on, namely older persons, disabled people and people with caring responsibilities and organisations which represent them.</w:t>
      </w:r>
    </w:p>
    <w:p w14:paraId="089A53C5" w14:textId="77777777" w:rsidR="002A1CBD" w:rsidRPr="002A1CBD" w:rsidRDefault="002A1CBD" w:rsidP="002A1CBD">
      <w:pPr>
        <w:pStyle w:val="ListParagraph"/>
        <w:rPr>
          <w:rFonts w:ascii="Verdana" w:hAnsi="Verdana"/>
        </w:rPr>
      </w:pPr>
    </w:p>
    <w:p w14:paraId="3D2FED8A" w14:textId="7D0985CA" w:rsidR="002A1CBD" w:rsidRDefault="00470761" w:rsidP="00074174">
      <w:pPr>
        <w:pStyle w:val="Heading2"/>
      </w:pPr>
      <w:bookmarkStart w:id="8" w:name="_Toc143609776"/>
      <w:r>
        <w:t xml:space="preserve">Option 3: </w:t>
      </w:r>
      <w:r w:rsidR="002A1CBD">
        <w:t>Limiting Smart Pass use to bus travel only</w:t>
      </w:r>
      <w:bookmarkEnd w:id="8"/>
    </w:p>
    <w:p w14:paraId="6B513537" w14:textId="77777777" w:rsidR="002A1CBD" w:rsidRPr="002A1CBD" w:rsidRDefault="002A1CBD" w:rsidP="002A1CBD">
      <w:pPr>
        <w:rPr>
          <w:rFonts w:ascii="Verdana" w:hAnsi="Verdana"/>
          <w:b/>
          <w:bCs/>
        </w:rPr>
      </w:pPr>
    </w:p>
    <w:p w14:paraId="4E7D5480" w14:textId="710ED0E8" w:rsidR="002A1CBD" w:rsidRDefault="002A1CBD" w:rsidP="002A1CBD">
      <w:pPr>
        <w:pStyle w:val="ListParagraph"/>
        <w:numPr>
          <w:ilvl w:val="1"/>
          <w:numId w:val="15"/>
        </w:numPr>
        <w:spacing w:line="276" w:lineRule="auto"/>
        <w:ind w:left="709"/>
        <w:rPr>
          <w:rFonts w:ascii="Verdana" w:hAnsi="Verdana"/>
        </w:rPr>
      </w:pPr>
      <w:r>
        <w:rPr>
          <w:rFonts w:ascii="Verdana" w:hAnsi="Verdana"/>
        </w:rPr>
        <w:t xml:space="preserve">Option 3 of the </w:t>
      </w:r>
      <w:r w:rsidR="000A6E35">
        <w:rPr>
          <w:rFonts w:ascii="Verdana" w:hAnsi="Verdana"/>
        </w:rPr>
        <w:t xml:space="preserve">Department’s consultation proposes to limit Smart Pass use to bus travel only, meaning that users of the Scheme will not be able to </w:t>
      </w:r>
      <w:r w:rsidR="000A6E35">
        <w:rPr>
          <w:rFonts w:ascii="Verdana" w:hAnsi="Verdana"/>
        </w:rPr>
        <w:lastRenderedPageBreak/>
        <w:t xml:space="preserve">use their pass to travel on trains. The Department has identified that this may have a significant negative impact on </w:t>
      </w:r>
      <w:r w:rsidR="00360C87">
        <w:rPr>
          <w:rFonts w:ascii="Verdana" w:hAnsi="Verdana"/>
        </w:rPr>
        <w:t>s</w:t>
      </w:r>
      <w:r w:rsidR="000A6E35">
        <w:rPr>
          <w:rFonts w:ascii="Verdana" w:hAnsi="Verdana"/>
        </w:rPr>
        <w:t>ome groups, including disabled people, who may find trains more accessible than trave</w:t>
      </w:r>
      <w:r w:rsidR="009A3B04">
        <w:rPr>
          <w:rFonts w:ascii="Verdana" w:hAnsi="Verdana"/>
        </w:rPr>
        <w:t>l</w:t>
      </w:r>
      <w:r w:rsidR="000A6E35">
        <w:rPr>
          <w:rFonts w:ascii="Verdana" w:hAnsi="Verdana"/>
        </w:rPr>
        <w:t>ling by bus.</w:t>
      </w:r>
      <w:r w:rsidR="000A6E35">
        <w:rPr>
          <w:rStyle w:val="FootnoteReference"/>
          <w:rFonts w:ascii="Verdana" w:hAnsi="Verdana"/>
        </w:rPr>
        <w:footnoteReference w:id="55"/>
      </w:r>
    </w:p>
    <w:p w14:paraId="45D181F1" w14:textId="77777777" w:rsidR="002A1CBD" w:rsidRDefault="002A1CBD" w:rsidP="002A1CBD">
      <w:pPr>
        <w:pStyle w:val="ListParagraph"/>
        <w:spacing w:line="276" w:lineRule="auto"/>
        <w:ind w:left="709"/>
        <w:rPr>
          <w:rFonts w:ascii="Verdana" w:hAnsi="Verdana"/>
        </w:rPr>
      </w:pPr>
    </w:p>
    <w:p w14:paraId="1975BEEB" w14:textId="07046402" w:rsidR="002A1CBD" w:rsidRDefault="002A1CBD" w:rsidP="002A1CBD">
      <w:pPr>
        <w:pStyle w:val="ListParagraph"/>
        <w:numPr>
          <w:ilvl w:val="1"/>
          <w:numId w:val="15"/>
        </w:numPr>
        <w:spacing w:line="276" w:lineRule="auto"/>
        <w:ind w:left="709"/>
        <w:rPr>
          <w:rFonts w:ascii="Verdana" w:hAnsi="Verdana"/>
        </w:rPr>
      </w:pPr>
      <w:r>
        <w:rPr>
          <w:rFonts w:ascii="Verdana" w:hAnsi="Verdana"/>
        </w:rPr>
        <w:t>Article 19 of UNCRPD requires States to:</w:t>
      </w:r>
    </w:p>
    <w:p w14:paraId="552A0C0B" w14:textId="77777777" w:rsidR="002A1CBD" w:rsidRPr="000F106A" w:rsidRDefault="002A1CBD" w:rsidP="002A1CBD">
      <w:pPr>
        <w:pStyle w:val="ListParagraph"/>
        <w:rPr>
          <w:rFonts w:ascii="Verdana" w:hAnsi="Verdana"/>
        </w:rPr>
      </w:pPr>
    </w:p>
    <w:p w14:paraId="491CF78F" w14:textId="77777777" w:rsidR="002A1CBD" w:rsidRDefault="002A1CBD" w:rsidP="002A1CBD">
      <w:pPr>
        <w:pStyle w:val="ListParagraph"/>
        <w:spacing w:line="276" w:lineRule="auto"/>
        <w:ind w:left="1440"/>
        <w:rPr>
          <w:rFonts w:ascii="Verdana" w:hAnsi="Verdana"/>
          <w:color w:val="000000"/>
          <w:shd w:val="clear" w:color="auto" w:fill="FFFFFF"/>
        </w:rPr>
      </w:pPr>
      <w:r w:rsidRPr="0076085F">
        <w:rPr>
          <w:rFonts w:ascii="Verdana" w:hAnsi="Verdana"/>
          <w:color w:val="000000"/>
          <w:shd w:val="clear" w:color="auto" w:fill="FFFFFF"/>
        </w:rPr>
        <w:t>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w:t>
      </w:r>
      <w:r>
        <w:rPr>
          <w:rFonts w:ascii="Verdana" w:hAnsi="Verdana"/>
          <w:color w:val="000000"/>
          <w:shd w:val="clear" w:color="auto" w:fill="FFFFFF"/>
        </w:rPr>
        <w:t>.</w:t>
      </w:r>
    </w:p>
    <w:p w14:paraId="064E1A5F" w14:textId="77777777" w:rsidR="00335211" w:rsidRPr="0076085F" w:rsidRDefault="00335211" w:rsidP="002A1CBD">
      <w:pPr>
        <w:pStyle w:val="ListParagraph"/>
        <w:spacing w:line="276" w:lineRule="auto"/>
        <w:ind w:left="1440"/>
        <w:rPr>
          <w:rFonts w:ascii="Verdana" w:hAnsi="Verdana"/>
        </w:rPr>
      </w:pPr>
    </w:p>
    <w:p w14:paraId="7752028F" w14:textId="77777777" w:rsidR="002A1CBD" w:rsidRPr="000F106A" w:rsidRDefault="002A1CBD" w:rsidP="002A1CBD">
      <w:pPr>
        <w:spacing w:line="276" w:lineRule="auto"/>
        <w:ind w:left="720"/>
        <w:rPr>
          <w:rFonts w:ascii="Verdana" w:hAnsi="Verdana"/>
        </w:rPr>
      </w:pPr>
      <w:r w:rsidRPr="000F106A">
        <w:rPr>
          <w:rFonts w:ascii="Verdana" w:hAnsi="Verdana"/>
        </w:rPr>
        <w:t>In General Comment No. 5, the CRPD Committee identifies barriers to the full implementation of Article 19, including a lack of affordable transport.</w:t>
      </w:r>
      <w:r>
        <w:rPr>
          <w:rStyle w:val="FootnoteReference"/>
          <w:rFonts w:ascii="Verdana" w:hAnsi="Verdana"/>
        </w:rPr>
        <w:footnoteReference w:id="56"/>
      </w:r>
    </w:p>
    <w:p w14:paraId="20393172" w14:textId="77777777" w:rsidR="002A1CBD" w:rsidRDefault="002A1CBD" w:rsidP="002A1CBD">
      <w:pPr>
        <w:pStyle w:val="ListParagraph"/>
        <w:spacing w:line="276" w:lineRule="auto"/>
        <w:ind w:left="709"/>
        <w:rPr>
          <w:rFonts w:ascii="Verdana" w:hAnsi="Verdana"/>
        </w:rPr>
      </w:pPr>
    </w:p>
    <w:p w14:paraId="4D2AA1E1" w14:textId="77777777" w:rsidR="002A1CBD" w:rsidRDefault="002A1CBD" w:rsidP="002A1CBD">
      <w:pPr>
        <w:pStyle w:val="ListParagraph"/>
        <w:numPr>
          <w:ilvl w:val="1"/>
          <w:numId w:val="15"/>
        </w:numPr>
        <w:spacing w:line="276" w:lineRule="auto"/>
        <w:ind w:left="709"/>
        <w:rPr>
          <w:rFonts w:ascii="Verdana" w:hAnsi="Verdana"/>
        </w:rPr>
      </w:pPr>
      <w:r>
        <w:rPr>
          <w:rFonts w:ascii="Verdana" w:hAnsi="Verdana"/>
        </w:rPr>
        <w:t>In its concluding observations on the UK, the CRPD Committee recommended that the UK Government and NI Executive “develop community-based independent living schemes through a holistic and cross-cutting approach, including … transport”.</w:t>
      </w:r>
      <w:r>
        <w:rPr>
          <w:rStyle w:val="FootnoteReference"/>
          <w:rFonts w:ascii="Verdana" w:hAnsi="Verdana"/>
        </w:rPr>
        <w:footnoteReference w:id="57"/>
      </w:r>
    </w:p>
    <w:p w14:paraId="4CC8835F" w14:textId="77777777" w:rsidR="0018585B" w:rsidRDefault="0018585B" w:rsidP="001F3A80">
      <w:pPr>
        <w:pStyle w:val="ListParagraph"/>
        <w:spacing w:line="276" w:lineRule="auto"/>
        <w:ind w:left="709"/>
        <w:rPr>
          <w:rFonts w:ascii="Verdana" w:hAnsi="Verdana"/>
        </w:rPr>
      </w:pPr>
    </w:p>
    <w:p w14:paraId="2132E4FA" w14:textId="08D7F969" w:rsidR="0018585B" w:rsidRDefault="0018585B" w:rsidP="002A1CBD">
      <w:pPr>
        <w:pStyle w:val="ListParagraph"/>
        <w:numPr>
          <w:ilvl w:val="1"/>
          <w:numId w:val="15"/>
        </w:numPr>
        <w:spacing w:line="276" w:lineRule="auto"/>
        <w:ind w:left="709"/>
        <w:rPr>
          <w:rFonts w:ascii="Verdana" w:hAnsi="Verdana"/>
        </w:rPr>
      </w:pPr>
      <w:r>
        <w:rPr>
          <w:rFonts w:ascii="Verdana" w:hAnsi="Verdana"/>
        </w:rPr>
        <w:t xml:space="preserve">The </w:t>
      </w:r>
      <w:r w:rsidR="00247F62">
        <w:rPr>
          <w:rFonts w:ascii="Verdana" w:hAnsi="Verdana"/>
        </w:rPr>
        <w:t>NIHRC</w:t>
      </w:r>
      <w:r>
        <w:rPr>
          <w:rFonts w:ascii="Verdana" w:hAnsi="Verdana"/>
        </w:rPr>
        <w:t xml:space="preserve"> </w:t>
      </w:r>
      <w:r w:rsidR="00C73659">
        <w:rPr>
          <w:rFonts w:ascii="Verdana" w:hAnsi="Verdana"/>
        </w:rPr>
        <w:t>notes that there may be areas within NI that are better serv</w:t>
      </w:r>
      <w:r w:rsidR="003250B6">
        <w:rPr>
          <w:rFonts w:ascii="Verdana" w:hAnsi="Verdana"/>
        </w:rPr>
        <w:t>ed</w:t>
      </w:r>
      <w:r w:rsidR="00C73659">
        <w:rPr>
          <w:rFonts w:ascii="Verdana" w:hAnsi="Verdana"/>
        </w:rPr>
        <w:t xml:space="preserve"> by trains tha</w:t>
      </w:r>
      <w:r w:rsidR="003250B6">
        <w:rPr>
          <w:rFonts w:ascii="Verdana" w:hAnsi="Verdana"/>
        </w:rPr>
        <w:t>n</w:t>
      </w:r>
      <w:r w:rsidR="00C73659">
        <w:rPr>
          <w:rFonts w:ascii="Verdana" w:hAnsi="Verdana"/>
        </w:rPr>
        <w:t xml:space="preserve"> others, or where </w:t>
      </w:r>
      <w:r w:rsidR="00C221F1">
        <w:rPr>
          <w:rFonts w:ascii="Verdana" w:hAnsi="Verdana"/>
        </w:rPr>
        <w:t>accessing trains is more efficient tha</w:t>
      </w:r>
      <w:r w:rsidR="00532869">
        <w:rPr>
          <w:rFonts w:ascii="Verdana" w:hAnsi="Verdana"/>
        </w:rPr>
        <w:t>n accessing</w:t>
      </w:r>
      <w:r w:rsidR="00C221F1">
        <w:rPr>
          <w:rFonts w:ascii="Verdana" w:hAnsi="Verdana"/>
        </w:rPr>
        <w:t xml:space="preserve"> buses. </w:t>
      </w:r>
    </w:p>
    <w:p w14:paraId="7570E4BF" w14:textId="77777777" w:rsidR="002A1CBD" w:rsidRDefault="002A1CBD" w:rsidP="002A1CBD">
      <w:pPr>
        <w:pStyle w:val="ListParagraph"/>
        <w:spacing w:line="276" w:lineRule="auto"/>
        <w:ind w:left="709"/>
        <w:rPr>
          <w:rFonts w:ascii="Verdana" w:hAnsi="Verdana"/>
        </w:rPr>
      </w:pPr>
    </w:p>
    <w:p w14:paraId="2718CCE9" w14:textId="05ECD7E7" w:rsidR="002A1CBD" w:rsidRPr="000A6E35" w:rsidRDefault="000A6E35">
      <w:pPr>
        <w:pStyle w:val="ListParagraph"/>
        <w:numPr>
          <w:ilvl w:val="1"/>
          <w:numId w:val="15"/>
        </w:numPr>
        <w:spacing w:line="276" w:lineRule="auto"/>
        <w:ind w:left="709"/>
        <w:rPr>
          <w:rFonts w:ascii="Verdana" w:hAnsi="Verdana"/>
        </w:rPr>
      </w:pPr>
      <w:r>
        <w:rPr>
          <w:rFonts w:ascii="Verdana" w:hAnsi="Verdana"/>
          <w:b/>
          <w:bCs/>
        </w:rPr>
        <w:t xml:space="preserve">The NIHRC recommends that the Department </w:t>
      </w:r>
      <w:r w:rsidR="00335211">
        <w:rPr>
          <w:rFonts w:ascii="Verdana" w:hAnsi="Verdana"/>
          <w:b/>
          <w:bCs/>
        </w:rPr>
        <w:t xml:space="preserve">for </w:t>
      </w:r>
      <w:r>
        <w:rPr>
          <w:rFonts w:ascii="Verdana" w:hAnsi="Verdana"/>
          <w:b/>
          <w:bCs/>
        </w:rPr>
        <w:t>Infrastructure closely consult with disabled people and relevant organisations which represent disabled people to ensure that all public transport is accessible to everyone in the community.</w:t>
      </w:r>
    </w:p>
    <w:p w14:paraId="1479F8C9" w14:textId="77777777" w:rsidR="000A6E35" w:rsidRPr="000A6E35" w:rsidRDefault="000A6E35" w:rsidP="000A6E35">
      <w:pPr>
        <w:pStyle w:val="ListParagraph"/>
        <w:rPr>
          <w:rFonts w:ascii="Verdana" w:hAnsi="Verdana"/>
        </w:rPr>
      </w:pPr>
    </w:p>
    <w:p w14:paraId="50096BD0" w14:textId="149A9023" w:rsidR="000A6E35" w:rsidRPr="00AB6289" w:rsidRDefault="000A6E35">
      <w:pPr>
        <w:pStyle w:val="ListParagraph"/>
        <w:numPr>
          <w:ilvl w:val="1"/>
          <w:numId w:val="15"/>
        </w:numPr>
        <w:spacing w:line="276" w:lineRule="auto"/>
        <w:ind w:left="709"/>
        <w:rPr>
          <w:rFonts w:ascii="Verdana" w:hAnsi="Verdana"/>
        </w:rPr>
      </w:pPr>
      <w:r>
        <w:rPr>
          <w:rFonts w:ascii="Verdana" w:hAnsi="Verdana"/>
          <w:b/>
          <w:bCs/>
        </w:rPr>
        <w:t>The NIHRC recommend that any changes made to the Concessionary Fares Scheme do not have a disproportionate impact on disabled people, and that any impact is mitigated as much as possible.</w:t>
      </w:r>
    </w:p>
    <w:p w14:paraId="63EB4BF6" w14:textId="77777777" w:rsidR="00AB6289" w:rsidRPr="00AB6289" w:rsidRDefault="00AB6289" w:rsidP="00AB6289">
      <w:pPr>
        <w:pStyle w:val="ListParagraph"/>
        <w:rPr>
          <w:rFonts w:ascii="Verdana" w:hAnsi="Verdana"/>
        </w:rPr>
      </w:pPr>
    </w:p>
    <w:p w14:paraId="68536F8C" w14:textId="7A2E99D0" w:rsidR="00AB6289" w:rsidRPr="00EC2F3D" w:rsidRDefault="00AB6289">
      <w:pPr>
        <w:pStyle w:val="ListParagraph"/>
        <w:numPr>
          <w:ilvl w:val="1"/>
          <w:numId w:val="15"/>
        </w:numPr>
        <w:spacing w:line="276" w:lineRule="auto"/>
        <w:ind w:left="709"/>
        <w:rPr>
          <w:rFonts w:ascii="Verdana" w:hAnsi="Verdana"/>
        </w:rPr>
      </w:pPr>
      <w:r>
        <w:rPr>
          <w:rFonts w:ascii="Verdana" w:hAnsi="Verdana"/>
          <w:b/>
          <w:bCs/>
        </w:rPr>
        <w:t xml:space="preserve">The NIHRC recommends that the Department for Infrastructure </w:t>
      </w:r>
      <w:r w:rsidR="00206287">
        <w:rPr>
          <w:rFonts w:ascii="Verdana" w:hAnsi="Verdana"/>
          <w:b/>
          <w:bCs/>
        </w:rPr>
        <w:t xml:space="preserve">consider geographically where removing trains from the Concessionary Fares </w:t>
      </w:r>
      <w:r w:rsidR="00D16915">
        <w:rPr>
          <w:rFonts w:ascii="Verdana" w:hAnsi="Verdana"/>
          <w:b/>
          <w:bCs/>
        </w:rPr>
        <w:t xml:space="preserve">Scheme might have the greatest impact and </w:t>
      </w:r>
      <w:r w:rsidR="00D16915">
        <w:rPr>
          <w:rFonts w:ascii="Verdana" w:hAnsi="Verdana"/>
          <w:b/>
          <w:bCs/>
        </w:rPr>
        <w:lastRenderedPageBreak/>
        <w:t xml:space="preserve">consults </w:t>
      </w:r>
      <w:r w:rsidR="00DC7C99">
        <w:rPr>
          <w:rFonts w:ascii="Verdana" w:hAnsi="Verdana"/>
          <w:b/>
          <w:bCs/>
        </w:rPr>
        <w:t>with the local community on the best way to support service users there.</w:t>
      </w:r>
    </w:p>
    <w:p w14:paraId="094C88A0" w14:textId="77777777" w:rsidR="00EC2F3D" w:rsidRPr="00EC2F3D" w:rsidRDefault="00EC2F3D" w:rsidP="00EC2F3D">
      <w:pPr>
        <w:pStyle w:val="ListParagraph"/>
        <w:rPr>
          <w:rFonts w:ascii="Verdana" w:hAnsi="Verdana"/>
        </w:rPr>
      </w:pPr>
    </w:p>
    <w:p w14:paraId="2D75550C" w14:textId="77777777" w:rsidR="00EC2F3D" w:rsidRDefault="00EC2F3D" w:rsidP="00EC2F3D">
      <w:pPr>
        <w:spacing w:line="276" w:lineRule="auto"/>
        <w:rPr>
          <w:rFonts w:ascii="Verdana" w:hAnsi="Verdana"/>
        </w:rPr>
      </w:pPr>
    </w:p>
    <w:p w14:paraId="776AE431" w14:textId="77777777" w:rsidR="00EC2F3D" w:rsidRDefault="00EC2F3D" w:rsidP="00EC2F3D">
      <w:pPr>
        <w:pStyle w:val="Heading2"/>
      </w:pPr>
      <w:bookmarkStart w:id="9" w:name="_Toc143609777"/>
      <w:r>
        <w:t>Option 4: Application, renewal and replacement fees</w:t>
      </w:r>
      <w:bookmarkEnd w:id="9"/>
    </w:p>
    <w:p w14:paraId="49725BF9" w14:textId="77777777" w:rsidR="00EC2F3D" w:rsidRPr="00EC2F3D" w:rsidRDefault="00EC2F3D" w:rsidP="00EC2F3D">
      <w:pPr>
        <w:pStyle w:val="ListParagraph"/>
        <w:rPr>
          <w:rFonts w:ascii="Verdana" w:hAnsi="Verdana"/>
        </w:rPr>
      </w:pPr>
    </w:p>
    <w:p w14:paraId="517727C7" w14:textId="4A421E60" w:rsidR="009C0803" w:rsidRDefault="00591CC6">
      <w:pPr>
        <w:pStyle w:val="ListParagraph"/>
        <w:numPr>
          <w:ilvl w:val="1"/>
          <w:numId w:val="15"/>
        </w:numPr>
        <w:spacing w:line="276" w:lineRule="auto"/>
        <w:ind w:left="709"/>
        <w:rPr>
          <w:rFonts w:ascii="Verdana" w:hAnsi="Verdana"/>
        </w:rPr>
      </w:pPr>
      <w:r>
        <w:rPr>
          <w:rFonts w:ascii="Verdana" w:hAnsi="Verdana"/>
        </w:rPr>
        <w:t xml:space="preserve">The </w:t>
      </w:r>
      <w:r w:rsidR="00247F62">
        <w:rPr>
          <w:rFonts w:ascii="Verdana" w:hAnsi="Verdana"/>
        </w:rPr>
        <w:t>Department for Infrastructure ha</w:t>
      </w:r>
      <w:r w:rsidR="008E161A">
        <w:rPr>
          <w:rFonts w:ascii="Verdana" w:hAnsi="Verdana"/>
        </w:rPr>
        <w:t>s proposed to introduce fees to apply, renew or replace smart passes.</w:t>
      </w:r>
      <w:r w:rsidR="00534EDF">
        <w:rPr>
          <w:rFonts w:ascii="Verdana" w:hAnsi="Verdana"/>
        </w:rPr>
        <w:t xml:space="preserve"> The Department has identified that</w:t>
      </w:r>
      <w:r w:rsidR="005D24D3">
        <w:rPr>
          <w:rFonts w:ascii="Verdana" w:hAnsi="Verdana"/>
        </w:rPr>
        <w:t xml:space="preserve">, should a fee be introduced, it would be on a cost recovery basis and </w:t>
      </w:r>
      <w:r w:rsidR="00237655">
        <w:rPr>
          <w:rFonts w:ascii="Verdana" w:hAnsi="Verdana"/>
        </w:rPr>
        <w:t xml:space="preserve">the price will likely be in the region of </w:t>
      </w:r>
      <w:r w:rsidR="00E35C1A">
        <w:rPr>
          <w:rFonts w:ascii="Verdana" w:hAnsi="Verdana"/>
        </w:rPr>
        <w:t>£5 to £10 pounds to each card issued.</w:t>
      </w:r>
      <w:r w:rsidR="00BF446D">
        <w:rPr>
          <w:rStyle w:val="FootnoteReference"/>
          <w:rFonts w:ascii="Verdana" w:hAnsi="Verdana"/>
        </w:rPr>
        <w:footnoteReference w:id="58"/>
      </w:r>
      <w:r w:rsidR="00E35C1A">
        <w:rPr>
          <w:rFonts w:ascii="Verdana" w:hAnsi="Verdana"/>
        </w:rPr>
        <w:t xml:space="preserve"> The NIHRC reminds the </w:t>
      </w:r>
      <w:r w:rsidR="1143939E" w:rsidRPr="1CF76CEB">
        <w:rPr>
          <w:rFonts w:ascii="Verdana" w:hAnsi="Verdana"/>
        </w:rPr>
        <w:t>D</w:t>
      </w:r>
      <w:r w:rsidR="00E35C1A">
        <w:rPr>
          <w:rFonts w:ascii="Verdana" w:hAnsi="Verdana"/>
        </w:rPr>
        <w:t>epartment that older people and disabled people, who this will impact on, are at higher risk of living in poverty.</w:t>
      </w:r>
      <w:r w:rsidR="00694402">
        <w:rPr>
          <w:rFonts w:ascii="Verdana" w:hAnsi="Verdana"/>
        </w:rPr>
        <w:t xml:space="preserve"> Introducing a fee on a cost recovery basis could suggest that, should costs go up, the fee too could continue to rise</w:t>
      </w:r>
      <w:r w:rsidR="00494D6D">
        <w:rPr>
          <w:rFonts w:ascii="Verdana" w:hAnsi="Verdana"/>
        </w:rPr>
        <w:t xml:space="preserve">. </w:t>
      </w:r>
    </w:p>
    <w:p w14:paraId="79E6D1F1" w14:textId="77777777" w:rsidR="009C0803" w:rsidRDefault="009C0803" w:rsidP="007F6A0E">
      <w:pPr>
        <w:pStyle w:val="ListParagraph"/>
        <w:spacing w:line="276" w:lineRule="auto"/>
        <w:ind w:left="709"/>
        <w:rPr>
          <w:rFonts w:ascii="Verdana" w:hAnsi="Verdana"/>
        </w:rPr>
      </w:pPr>
    </w:p>
    <w:p w14:paraId="497C87CB" w14:textId="6FC671B4" w:rsidR="00EC2F3D" w:rsidRPr="00BD6A69" w:rsidRDefault="009C0803">
      <w:pPr>
        <w:pStyle w:val="ListParagraph"/>
        <w:numPr>
          <w:ilvl w:val="1"/>
          <w:numId w:val="15"/>
        </w:numPr>
        <w:spacing w:line="276" w:lineRule="auto"/>
        <w:ind w:left="709"/>
        <w:rPr>
          <w:rFonts w:ascii="Verdana" w:hAnsi="Verdana"/>
        </w:rPr>
      </w:pPr>
      <w:r>
        <w:rPr>
          <w:rFonts w:ascii="Verdana" w:hAnsi="Verdana"/>
          <w:b/>
          <w:bCs/>
        </w:rPr>
        <w:t xml:space="preserve">The NIHRC recommends that, should the Department for Infrastructure introduce a fee for the </w:t>
      </w:r>
      <w:r w:rsidR="003365E5">
        <w:rPr>
          <w:rFonts w:ascii="Verdana" w:hAnsi="Verdana"/>
          <w:b/>
          <w:bCs/>
        </w:rPr>
        <w:t>application, renewal and replacement of smart passes, this fee should be</w:t>
      </w:r>
      <w:r w:rsidR="008B4EAC">
        <w:rPr>
          <w:rFonts w:ascii="Verdana" w:hAnsi="Verdana"/>
          <w:b/>
          <w:bCs/>
        </w:rPr>
        <w:t xml:space="preserve"> capped at a minimum, affordable amount and not raised without </w:t>
      </w:r>
      <w:r w:rsidR="002A3399">
        <w:rPr>
          <w:rFonts w:ascii="Verdana" w:hAnsi="Verdana"/>
          <w:b/>
          <w:bCs/>
        </w:rPr>
        <w:t>meaningful consultation with the individuals this affects, and the organisations which represent them.</w:t>
      </w:r>
    </w:p>
    <w:p w14:paraId="17CEA604" w14:textId="77777777" w:rsidR="00BD6A69" w:rsidRDefault="00BD6A69" w:rsidP="00BD6A69">
      <w:pPr>
        <w:pStyle w:val="ListParagraph"/>
        <w:rPr>
          <w:rFonts w:ascii="Verdana" w:hAnsi="Verdana"/>
        </w:rPr>
      </w:pPr>
    </w:p>
    <w:p w14:paraId="34E2197F" w14:textId="6706D7B0" w:rsidR="00EC2F3D" w:rsidRDefault="00EC2F3D" w:rsidP="00EC2F3D"/>
    <w:p w14:paraId="2855F737" w14:textId="4B4DD24E" w:rsidR="00BD6A69" w:rsidRDefault="00BD6A69" w:rsidP="00BD6A69">
      <w:pPr>
        <w:pStyle w:val="Heading1"/>
        <w:numPr>
          <w:ilvl w:val="0"/>
          <w:numId w:val="15"/>
        </w:numPr>
      </w:pPr>
      <w:bookmarkStart w:id="10" w:name="_Toc143609778"/>
      <w:r>
        <w:t>Part B</w:t>
      </w:r>
      <w:r w:rsidR="00F50384">
        <w:t xml:space="preserve"> – Options to promote social inclusion</w:t>
      </w:r>
      <w:bookmarkEnd w:id="10"/>
    </w:p>
    <w:p w14:paraId="350CF019" w14:textId="77777777" w:rsidR="00BD6A69" w:rsidRDefault="00BD6A69" w:rsidP="00BD6A69"/>
    <w:p w14:paraId="63D7CC4F" w14:textId="77777777" w:rsidR="00BD6A69" w:rsidRPr="00BD6A69" w:rsidRDefault="00BD6A69" w:rsidP="00BD6A69">
      <w:pPr>
        <w:pStyle w:val="ListParagraph"/>
        <w:numPr>
          <w:ilvl w:val="0"/>
          <w:numId w:val="18"/>
        </w:numPr>
        <w:rPr>
          <w:vanish/>
        </w:rPr>
      </w:pPr>
    </w:p>
    <w:p w14:paraId="0B8BCA89" w14:textId="77777777" w:rsidR="00BD6A69" w:rsidRPr="00BD6A69" w:rsidRDefault="00BD6A69" w:rsidP="00BD6A69">
      <w:pPr>
        <w:pStyle w:val="ListParagraph"/>
        <w:numPr>
          <w:ilvl w:val="0"/>
          <w:numId w:val="18"/>
        </w:numPr>
        <w:rPr>
          <w:vanish/>
        </w:rPr>
      </w:pPr>
    </w:p>
    <w:p w14:paraId="6027678C" w14:textId="77777777" w:rsidR="00BD6A69" w:rsidRPr="00BD6A69" w:rsidRDefault="00BD6A69" w:rsidP="00BD6A69">
      <w:pPr>
        <w:pStyle w:val="ListParagraph"/>
        <w:numPr>
          <w:ilvl w:val="0"/>
          <w:numId w:val="18"/>
        </w:numPr>
        <w:rPr>
          <w:vanish/>
        </w:rPr>
      </w:pPr>
    </w:p>
    <w:p w14:paraId="6EAD3C1D" w14:textId="77777777" w:rsidR="00BD6A69" w:rsidRPr="00BD6A69" w:rsidRDefault="00BD6A69" w:rsidP="00BD6A69">
      <w:pPr>
        <w:pStyle w:val="ListParagraph"/>
        <w:numPr>
          <w:ilvl w:val="0"/>
          <w:numId w:val="18"/>
        </w:numPr>
        <w:rPr>
          <w:vanish/>
        </w:rPr>
      </w:pPr>
    </w:p>
    <w:p w14:paraId="56718FE3" w14:textId="11968F29" w:rsidR="00BD6A69" w:rsidRPr="009158D0" w:rsidRDefault="00F50384" w:rsidP="001003CA">
      <w:pPr>
        <w:pStyle w:val="ListParagraph"/>
        <w:numPr>
          <w:ilvl w:val="1"/>
          <w:numId w:val="18"/>
        </w:numPr>
        <w:spacing w:line="276" w:lineRule="auto"/>
        <w:ind w:left="709"/>
      </w:pPr>
      <w:r>
        <w:rPr>
          <w:rFonts w:ascii="Verdana" w:hAnsi="Verdana"/>
        </w:rPr>
        <w:t xml:space="preserve">The NIHRC welcomes </w:t>
      </w:r>
      <w:r w:rsidR="002A0E4C">
        <w:rPr>
          <w:rFonts w:ascii="Verdana" w:hAnsi="Verdana"/>
        </w:rPr>
        <w:t xml:space="preserve">proposals </w:t>
      </w:r>
      <w:r>
        <w:rPr>
          <w:rFonts w:ascii="Verdana" w:hAnsi="Verdana"/>
        </w:rPr>
        <w:t xml:space="preserve">to promote the social inclusion of marginalised groups under the Concessionary Fares Scheme. </w:t>
      </w:r>
      <w:r w:rsidR="00284264">
        <w:rPr>
          <w:rFonts w:ascii="Verdana" w:hAnsi="Verdana"/>
        </w:rPr>
        <w:t>The NIHRC notes that</w:t>
      </w:r>
      <w:r w:rsidR="00B83287">
        <w:rPr>
          <w:rFonts w:ascii="Verdana" w:hAnsi="Verdana"/>
        </w:rPr>
        <w:t>, in relation to the options outlined in Part B to promote social inclusion,</w:t>
      </w:r>
      <w:r w:rsidR="00284264">
        <w:rPr>
          <w:rFonts w:ascii="Verdana" w:hAnsi="Verdana"/>
        </w:rPr>
        <w:t xml:space="preserve"> the </w:t>
      </w:r>
      <w:r w:rsidR="008F3C65">
        <w:rPr>
          <w:rFonts w:ascii="Verdana" w:hAnsi="Verdana"/>
        </w:rPr>
        <w:t>Department states that</w:t>
      </w:r>
      <w:r w:rsidR="00B83287">
        <w:rPr>
          <w:rFonts w:ascii="Verdana" w:hAnsi="Verdana"/>
        </w:rPr>
        <w:t xml:space="preserve"> “</w:t>
      </w:r>
      <w:r w:rsidR="00B83287" w:rsidRPr="009158D0">
        <w:rPr>
          <w:rFonts w:ascii="Verdana" w:hAnsi="Verdana"/>
        </w:rPr>
        <w:t>it is not currently in a position to implement these changes in light of the significant financial challenges being faced</w:t>
      </w:r>
      <w:r w:rsidR="00B83287">
        <w:rPr>
          <w:rFonts w:ascii="Verdana" w:hAnsi="Verdana"/>
        </w:rPr>
        <w:t xml:space="preserve">”, </w:t>
      </w:r>
      <w:r w:rsidR="001A5854">
        <w:rPr>
          <w:rFonts w:ascii="Verdana" w:hAnsi="Verdana"/>
        </w:rPr>
        <w:t xml:space="preserve">and that the </w:t>
      </w:r>
      <w:r w:rsidR="00284264">
        <w:rPr>
          <w:rFonts w:ascii="Verdana" w:hAnsi="Verdana"/>
        </w:rPr>
        <w:t xml:space="preserve">proposals </w:t>
      </w:r>
      <w:r w:rsidR="001A5854">
        <w:rPr>
          <w:rFonts w:ascii="Verdana" w:hAnsi="Verdana"/>
        </w:rPr>
        <w:t xml:space="preserve">consulted on </w:t>
      </w:r>
      <w:r w:rsidR="00284264">
        <w:rPr>
          <w:rFonts w:ascii="Verdana" w:hAnsi="Verdana"/>
        </w:rPr>
        <w:t>in Part B are</w:t>
      </w:r>
      <w:r w:rsidR="001A5854">
        <w:rPr>
          <w:rFonts w:ascii="Verdana" w:hAnsi="Verdana"/>
        </w:rPr>
        <w:t xml:space="preserve"> to inform future thinking</w:t>
      </w:r>
      <w:r w:rsidR="009727B9">
        <w:rPr>
          <w:rFonts w:ascii="Verdana" w:hAnsi="Verdana"/>
        </w:rPr>
        <w:t>,</w:t>
      </w:r>
      <w:r w:rsidR="001A5854">
        <w:rPr>
          <w:rFonts w:ascii="Verdana" w:hAnsi="Verdana"/>
        </w:rPr>
        <w:t xml:space="preserve"> should the </w:t>
      </w:r>
      <w:r w:rsidR="00C16C48">
        <w:rPr>
          <w:rFonts w:ascii="Verdana" w:hAnsi="Verdana"/>
        </w:rPr>
        <w:t>Department’s budgetary position change.</w:t>
      </w:r>
      <w:r w:rsidR="00C16C48">
        <w:rPr>
          <w:rStyle w:val="FootnoteReference"/>
          <w:rFonts w:ascii="Verdana" w:hAnsi="Verdana"/>
        </w:rPr>
        <w:footnoteReference w:id="59"/>
      </w:r>
      <w:r w:rsidR="00284264">
        <w:rPr>
          <w:rFonts w:ascii="Verdana" w:hAnsi="Verdana"/>
        </w:rPr>
        <w:t xml:space="preserve"> </w:t>
      </w:r>
      <w:r w:rsidR="00C77DA9">
        <w:rPr>
          <w:rFonts w:ascii="Verdana" w:hAnsi="Verdana"/>
        </w:rPr>
        <w:t xml:space="preserve"> </w:t>
      </w:r>
      <w:r w:rsidR="00467A6A">
        <w:rPr>
          <w:rFonts w:ascii="Verdana" w:hAnsi="Verdana"/>
        </w:rPr>
        <w:t xml:space="preserve">As </w:t>
      </w:r>
      <w:r w:rsidR="002E6251">
        <w:rPr>
          <w:rFonts w:ascii="Verdana" w:hAnsi="Verdana"/>
        </w:rPr>
        <w:t xml:space="preserve">highlighted above, the </w:t>
      </w:r>
      <w:r w:rsidR="003775CD">
        <w:rPr>
          <w:rFonts w:ascii="Verdana" w:hAnsi="Verdana"/>
        </w:rPr>
        <w:t xml:space="preserve">NIHRC </w:t>
      </w:r>
      <w:r w:rsidR="002E6251">
        <w:rPr>
          <w:rFonts w:ascii="Verdana" w:hAnsi="Verdana"/>
        </w:rPr>
        <w:t xml:space="preserve">is concerned that </w:t>
      </w:r>
      <w:r>
        <w:rPr>
          <w:rFonts w:ascii="Verdana" w:hAnsi="Verdana"/>
        </w:rPr>
        <w:t xml:space="preserve"> the structure of this consultation</w:t>
      </w:r>
      <w:r w:rsidR="002E6251">
        <w:rPr>
          <w:rFonts w:ascii="Verdana" w:hAnsi="Verdana"/>
        </w:rPr>
        <w:t xml:space="preserve"> document</w:t>
      </w:r>
      <w:r>
        <w:rPr>
          <w:rFonts w:ascii="Verdana" w:hAnsi="Verdana"/>
        </w:rPr>
        <w:t xml:space="preserve"> places groups at a heightened risk of social exclusion against one another to compete for resources. The NIHRC reiterates that the Department should allocate budget in </w:t>
      </w:r>
      <w:r w:rsidR="00446117">
        <w:rPr>
          <w:rFonts w:ascii="Verdana" w:hAnsi="Verdana"/>
        </w:rPr>
        <w:t>compliance with its human rights obligations</w:t>
      </w:r>
      <w:r>
        <w:rPr>
          <w:rFonts w:ascii="Verdana" w:hAnsi="Verdana"/>
        </w:rPr>
        <w:t>.</w:t>
      </w:r>
    </w:p>
    <w:p w14:paraId="5A534EF7" w14:textId="77777777" w:rsidR="00F57710" w:rsidRPr="009158D0" w:rsidRDefault="00F57710" w:rsidP="009158D0">
      <w:pPr>
        <w:pStyle w:val="ListParagraph"/>
        <w:ind w:left="709"/>
      </w:pPr>
    </w:p>
    <w:p w14:paraId="1B2EA03E" w14:textId="3D02CF69" w:rsidR="00010333" w:rsidRPr="00F50384" w:rsidRDefault="00010333" w:rsidP="001003CA">
      <w:pPr>
        <w:pStyle w:val="ListParagraph"/>
        <w:numPr>
          <w:ilvl w:val="1"/>
          <w:numId w:val="18"/>
        </w:numPr>
        <w:spacing w:line="276" w:lineRule="auto"/>
        <w:ind w:left="709"/>
      </w:pPr>
      <w:r>
        <w:rPr>
          <w:rFonts w:ascii="Verdana" w:hAnsi="Verdana"/>
        </w:rPr>
        <w:lastRenderedPageBreak/>
        <w:t xml:space="preserve">In this section, the NIHRC will comment briefly on </w:t>
      </w:r>
      <w:r w:rsidR="00F57710">
        <w:rPr>
          <w:rFonts w:ascii="Verdana" w:hAnsi="Verdana"/>
        </w:rPr>
        <w:t xml:space="preserve">the </w:t>
      </w:r>
      <w:r w:rsidR="004B3FB3">
        <w:rPr>
          <w:rFonts w:ascii="Verdana" w:hAnsi="Verdana"/>
        </w:rPr>
        <w:t>groups su</w:t>
      </w:r>
      <w:r w:rsidR="006B7659">
        <w:rPr>
          <w:rFonts w:ascii="Verdana" w:hAnsi="Verdana"/>
        </w:rPr>
        <w:t>ggested for</w:t>
      </w:r>
      <w:r w:rsidR="00C667E0">
        <w:rPr>
          <w:rFonts w:ascii="Verdana" w:hAnsi="Verdana"/>
        </w:rPr>
        <w:t xml:space="preserve"> future inclusion in the Concessionary Fares Scheme. For the purposes of analysis, these have been grouped thematically. </w:t>
      </w:r>
      <w:r w:rsidR="00340CD9">
        <w:rPr>
          <w:rFonts w:ascii="Verdana" w:hAnsi="Verdana"/>
        </w:rPr>
        <w:t xml:space="preserve">The NIHRC would be happy to provide more detailed commentary </w:t>
      </w:r>
      <w:r w:rsidR="00DF31E8">
        <w:rPr>
          <w:rFonts w:ascii="Verdana" w:hAnsi="Verdana"/>
        </w:rPr>
        <w:t>should the Department be in a position to develop further policy proposals on these issues</w:t>
      </w:r>
      <w:r w:rsidR="00172F56">
        <w:rPr>
          <w:rFonts w:ascii="Verdana" w:hAnsi="Verdana"/>
        </w:rPr>
        <w:t xml:space="preserve"> in the future.</w:t>
      </w:r>
    </w:p>
    <w:p w14:paraId="6F35AF91" w14:textId="77777777" w:rsidR="00F50384" w:rsidRDefault="00F50384" w:rsidP="00F50384">
      <w:pPr>
        <w:ind w:left="-11"/>
      </w:pPr>
    </w:p>
    <w:p w14:paraId="41EDD3B3" w14:textId="6CC2BED6" w:rsidR="00F50384" w:rsidRPr="00F50384" w:rsidRDefault="00F50384" w:rsidP="00074174">
      <w:pPr>
        <w:pStyle w:val="Heading2"/>
      </w:pPr>
      <w:bookmarkStart w:id="11" w:name="_Toc143609779"/>
      <w:r>
        <w:t>Disabled people</w:t>
      </w:r>
      <w:bookmarkEnd w:id="11"/>
    </w:p>
    <w:p w14:paraId="296E6410" w14:textId="77777777" w:rsidR="00F50384" w:rsidRDefault="00F50384" w:rsidP="00F50384">
      <w:pPr>
        <w:ind w:left="-11"/>
      </w:pPr>
    </w:p>
    <w:p w14:paraId="6714C749" w14:textId="112BC0D3" w:rsidR="00F251D6" w:rsidRDefault="00F251D6" w:rsidP="001003CA">
      <w:pPr>
        <w:pStyle w:val="ListParagraph"/>
        <w:numPr>
          <w:ilvl w:val="1"/>
          <w:numId w:val="18"/>
        </w:numPr>
        <w:spacing w:line="276" w:lineRule="auto"/>
        <w:ind w:left="709"/>
        <w:rPr>
          <w:rFonts w:ascii="Verdana" w:hAnsi="Verdana"/>
        </w:rPr>
      </w:pPr>
      <w:r>
        <w:rPr>
          <w:rFonts w:ascii="Verdana" w:hAnsi="Verdana"/>
        </w:rPr>
        <w:t xml:space="preserve">Part B of the consultation document sets out </w:t>
      </w:r>
      <w:r w:rsidR="004F0335">
        <w:rPr>
          <w:rFonts w:ascii="Verdana" w:hAnsi="Verdana"/>
        </w:rPr>
        <w:t>three</w:t>
      </w:r>
      <w:r>
        <w:rPr>
          <w:rFonts w:ascii="Verdana" w:hAnsi="Verdana"/>
        </w:rPr>
        <w:t xml:space="preserve"> options to extend the Scheme to </w:t>
      </w:r>
      <w:r w:rsidR="00F94473">
        <w:rPr>
          <w:rFonts w:ascii="Verdana" w:hAnsi="Verdana"/>
        </w:rPr>
        <w:t>disabled people.</w:t>
      </w:r>
      <w:r w:rsidR="007371BA">
        <w:rPr>
          <w:rFonts w:ascii="Verdana" w:hAnsi="Verdana"/>
        </w:rPr>
        <w:t xml:space="preserve"> NI is currently the only location in the UK and Ireland that does not provide </w:t>
      </w:r>
      <w:r w:rsidR="00FF7B3D">
        <w:rPr>
          <w:rFonts w:ascii="Verdana" w:hAnsi="Verdana"/>
        </w:rPr>
        <w:t>free travel for disabled people</w:t>
      </w:r>
      <w:r w:rsidR="00585F5C">
        <w:rPr>
          <w:rFonts w:ascii="Verdana" w:hAnsi="Verdana"/>
        </w:rPr>
        <w:t xml:space="preserve">. </w:t>
      </w:r>
    </w:p>
    <w:p w14:paraId="1D32F259" w14:textId="77777777" w:rsidR="00F94473" w:rsidRDefault="00F94473" w:rsidP="00F94473">
      <w:pPr>
        <w:pStyle w:val="ListParagraph"/>
        <w:ind w:left="709"/>
        <w:rPr>
          <w:rFonts w:ascii="Verdana" w:hAnsi="Verdana"/>
        </w:rPr>
      </w:pPr>
    </w:p>
    <w:p w14:paraId="4AC8400E" w14:textId="1DF8A669" w:rsidR="00AE79ED" w:rsidRDefault="0052188F" w:rsidP="001003CA">
      <w:pPr>
        <w:pStyle w:val="ListParagraph"/>
        <w:numPr>
          <w:ilvl w:val="1"/>
          <w:numId w:val="18"/>
        </w:numPr>
        <w:spacing w:line="276" w:lineRule="auto"/>
        <w:ind w:left="709"/>
        <w:rPr>
          <w:rFonts w:ascii="Verdana" w:hAnsi="Verdana"/>
        </w:rPr>
      </w:pPr>
      <w:r w:rsidRPr="00AE79ED">
        <w:rPr>
          <w:rFonts w:ascii="Verdana" w:hAnsi="Verdana"/>
        </w:rPr>
        <w:t xml:space="preserve">The </w:t>
      </w:r>
      <w:r w:rsidR="00AE79ED" w:rsidRPr="00AE79ED">
        <w:rPr>
          <w:rFonts w:ascii="Verdana" w:hAnsi="Verdana"/>
        </w:rPr>
        <w:t xml:space="preserve">UN CRPD compels States to ensure that persons with disabilities are supported to live in the community on an equal basis with others. Article 19 requires that States: </w:t>
      </w:r>
    </w:p>
    <w:p w14:paraId="5AB2F1F2" w14:textId="77777777" w:rsidR="00F251D6" w:rsidRPr="00AE79ED" w:rsidRDefault="00F251D6" w:rsidP="001003CA">
      <w:pPr>
        <w:pStyle w:val="ListParagraph"/>
        <w:spacing w:line="276" w:lineRule="auto"/>
        <w:ind w:left="709"/>
        <w:rPr>
          <w:rFonts w:ascii="Verdana" w:hAnsi="Verdana"/>
        </w:rPr>
      </w:pPr>
    </w:p>
    <w:p w14:paraId="22FE7D7F" w14:textId="77777777" w:rsidR="00AE79ED" w:rsidRPr="00AE79ED" w:rsidRDefault="00AE79ED" w:rsidP="001003CA">
      <w:pPr>
        <w:pStyle w:val="ListParagraph"/>
        <w:spacing w:line="276" w:lineRule="auto"/>
        <w:ind w:left="1276" w:firstLine="11"/>
        <w:rPr>
          <w:rFonts w:ascii="Verdana" w:hAnsi="Verdana"/>
        </w:rPr>
      </w:pPr>
      <w:r w:rsidRPr="00AE79ED">
        <w:rPr>
          <w:rFonts w:ascii="Verdana" w:hAnsi="Verdana"/>
        </w:rPr>
        <w:t xml:space="preserve">recognise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4DE4C5E9" w14:textId="77777777" w:rsidR="00AE79ED" w:rsidRPr="00AE79ED" w:rsidRDefault="00AE79ED" w:rsidP="001003CA">
      <w:pPr>
        <w:pStyle w:val="ListParagraph"/>
        <w:spacing w:line="276" w:lineRule="auto"/>
        <w:ind w:left="1276" w:firstLine="11"/>
        <w:rPr>
          <w:rFonts w:ascii="Verdana" w:hAnsi="Verdana"/>
        </w:rPr>
      </w:pPr>
    </w:p>
    <w:p w14:paraId="1A429780" w14:textId="77777777" w:rsidR="00AE79ED" w:rsidRPr="00AE79ED" w:rsidRDefault="00AE79ED" w:rsidP="001003CA">
      <w:pPr>
        <w:pStyle w:val="ListParagraph"/>
        <w:spacing w:line="276" w:lineRule="auto"/>
        <w:ind w:left="1276" w:firstLine="11"/>
        <w:rPr>
          <w:rFonts w:ascii="Verdana" w:hAnsi="Verdana"/>
        </w:rPr>
      </w:pPr>
      <w:r w:rsidRPr="00AE79ED">
        <w:rPr>
          <w:rFonts w:ascii="Verdana" w:hAnsi="Verdana"/>
        </w:rPr>
        <w:t xml:space="preserve">a) Persons with disabilities have the opportunity to choose their place of residence and where and with whom they live on an equal basis with others and are not obliged to live in a particular living arrangement; </w:t>
      </w:r>
    </w:p>
    <w:p w14:paraId="227A8E49" w14:textId="77777777" w:rsidR="00AE79ED" w:rsidRPr="00AE79ED" w:rsidRDefault="00AE79ED" w:rsidP="001003CA">
      <w:pPr>
        <w:pStyle w:val="ListParagraph"/>
        <w:spacing w:line="276" w:lineRule="auto"/>
        <w:ind w:left="1276" w:firstLine="11"/>
        <w:rPr>
          <w:rFonts w:ascii="Verdana" w:hAnsi="Verdana"/>
        </w:rPr>
      </w:pPr>
    </w:p>
    <w:p w14:paraId="78D34636" w14:textId="77777777" w:rsidR="00AE79ED" w:rsidRPr="00AE79ED" w:rsidRDefault="00AE79ED" w:rsidP="001003CA">
      <w:pPr>
        <w:pStyle w:val="ListParagraph"/>
        <w:spacing w:line="276" w:lineRule="auto"/>
        <w:ind w:left="1276" w:firstLine="11"/>
        <w:rPr>
          <w:rFonts w:ascii="Verdana" w:hAnsi="Verdana"/>
        </w:rPr>
      </w:pPr>
      <w:r w:rsidRPr="00AE79ED">
        <w:rPr>
          <w:rFonts w:ascii="Verdana" w:hAnsi="Verdana"/>
        </w:rPr>
        <w:t xml:space="preserve">b) Persons with disabilities have access to a range of in-home, residential and other community support services, including personal assistance necessary to support living and inclusion in the community, and to prevent isolation or segregation from the community; </w:t>
      </w:r>
    </w:p>
    <w:p w14:paraId="271D0C09" w14:textId="77777777" w:rsidR="00AE79ED" w:rsidRPr="00AE79ED" w:rsidRDefault="00AE79ED" w:rsidP="001003CA">
      <w:pPr>
        <w:pStyle w:val="ListParagraph"/>
        <w:spacing w:line="276" w:lineRule="auto"/>
        <w:ind w:left="1276" w:firstLine="11"/>
        <w:rPr>
          <w:rFonts w:ascii="Verdana" w:hAnsi="Verdana"/>
        </w:rPr>
      </w:pPr>
    </w:p>
    <w:p w14:paraId="11BE4A76" w14:textId="678FF426" w:rsidR="00EA5CFD" w:rsidRPr="00AE79ED" w:rsidRDefault="00AE79ED" w:rsidP="001003CA">
      <w:pPr>
        <w:pStyle w:val="ListParagraph"/>
        <w:spacing w:line="276" w:lineRule="auto"/>
        <w:ind w:left="1276" w:firstLine="11"/>
        <w:rPr>
          <w:rFonts w:ascii="Verdana" w:hAnsi="Verdana"/>
        </w:rPr>
      </w:pPr>
      <w:r w:rsidRPr="00AE79ED">
        <w:rPr>
          <w:rFonts w:ascii="Verdana" w:hAnsi="Verdana"/>
        </w:rPr>
        <w:t>c) Community services and facilities for the general population are available on an equal basis to persons with disabilities and are responsive to their needs.</w:t>
      </w:r>
    </w:p>
    <w:p w14:paraId="24C9AA1E" w14:textId="77777777" w:rsidR="00AE79ED" w:rsidRDefault="00AE79ED" w:rsidP="001003CA">
      <w:pPr>
        <w:pStyle w:val="ListParagraph"/>
        <w:spacing w:line="276" w:lineRule="auto"/>
        <w:ind w:left="1276" w:firstLine="11"/>
        <w:rPr>
          <w:rFonts w:ascii="Verdana" w:hAnsi="Verdana"/>
        </w:rPr>
      </w:pPr>
    </w:p>
    <w:p w14:paraId="509D7573" w14:textId="77777777" w:rsidR="00160167" w:rsidRDefault="00B219AF" w:rsidP="001003CA">
      <w:pPr>
        <w:pStyle w:val="ListParagraph"/>
        <w:numPr>
          <w:ilvl w:val="1"/>
          <w:numId w:val="18"/>
        </w:numPr>
        <w:spacing w:line="276" w:lineRule="auto"/>
        <w:ind w:left="709"/>
        <w:rPr>
          <w:rFonts w:ascii="Verdana" w:hAnsi="Verdana"/>
        </w:rPr>
      </w:pPr>
      <w:r w:rsidRPr="00B219AF">
        <w:rPr>
          <w:rFonts w:ascii="Verdana" w:hAnsi="Verdana"/>
        </w:rPr>
        <w:t>The UN CRPD Committee defines independent living as meaning “individuals with disabilities are provided with all necessary means to enable them to exercise choice and control over their lives and make all decisions concerning their lives”</w:t>
      </w:r>
      <w:r>
        <w:rPr>
          <w:rFonts w:ascii="Verdana" w:hAnsi="Verdana"/>
        </w:rPr>
        <w:t>.</w:t>
      </w:r>
      <w:r>
        <w:rPr>
          <w:rStyle w:val="FootnoteReference"/>
          <w:rFonts w:ascii="Verdana" w:hAnsi="Verdana"/>
        </w:rPr>
        <w:footnoteReference w:id="60"/>
      </w:r>
      <w:r w:rsidR="00D73D9F">
        <w:rPr>
          <w:rFonts w:ascii="Verdana" w:hAnsi="Verdana"/>
        </w:rPr>
        <w:t xml:space="preserve"> The Committee defines being included </w:t>
      </w:r>
      <w:r w:rsidR="00D73D9F">
        <w:rPr>
          <w:rFonts w:ascii="Verdana" w:hAnsi="Verdana"/>
        </w:rPr>
        <w:lastRenderedPageBreak/>
        <w:t xml:space="preserve">in the community as including </w:t>
      </w:r>
      <w:r w:rsidR="00D73D9F" w:rsidRPr="00A80610">
        <w:rPr>
          <w:rFonts w:ascii="Verdana" w:hAnsi="Verdana"/>
        </w:rPr>
        <w:t>“</w:t>
      </w:r>
      <w:r w:rsidR="00A80610" w:rsidRPr="00A80610">
        <w:rPr>
          <w:rFonts w:ascii="Verdana" w:hAnsi="Verdana"/>
        </w:rPr>
        <w:t>living a full social life and having access to all services offered to the public and to support services offered to persons with disabilities to enable them to be fully included and participate in all spheres of social life</w:t>
      </w:r>
      <w:r w:rsidR="00A80610">
        <w:rPr>
          <w:rFonts w:ascii="Verdana" w:hAnsi="Verdana"/>
        </w:rPr>
        <w:t>”.</w:t>
      </w:r>
      <w:r w:rsidR="00A80610">
        <w:rPr>
          <w:rStyle w:val="FootnoteReference"/>
          <w:rFonts w:ascii="Verdana" w:hAnsi="Verdana"/>
        </w:rPr>
        <w:footnoteReference w:id="61"/>
      </w:r>
      <w:r w:rsidR="00A80610">
        <w:rPr>
          <w:rFonts w:ascii="Verdana" w:hAnsi="Verdana"/>
        </w:rPr>
        <w:t xml:space="preserve"> The Committee identifies that these services can relate to, among others, transport.</w:t>
      </w:r>
      <w:r w:rsidR="00A80610">
        <w:rPr>
          <w:rStyle w:val="FootnoteReference"/>
          <w:rFonts w:ascii="Verdana" w:hAnsi="Verdana"/>
        </w:rPr>
        <w:footnoteReference w:id="62"/>
      </w:r>
      <w:r w:rsidR="00163E67">
        <w:rPr>
          <w:rFonts w:ascii="Verdana" w:hAnsi="Verdana"/>
        </w:rPr>
        <w:t xml:space="preserve"> </w:t>
      </w:r>
      <w:r w:rsidR="009B0C18">
        <w:rPr>
          <w:rFonts w:ascii="Verdana" w:hAnsi="Verdana"/>
        </w:rPr>
        <w:t>Furthermore, t</w:t>
      </w:r>
      <w:r w:rsidR="00163E67">
        <w:rPr>
          <w:rFonts w:ascii="Verdana" w:hAnsi="Verdana"/>
        </w:rPr>
        <w:t xml:space="preserve">he Committee has </w:t>
      </w:r>
      <w:r w:rsidR="009B0C18">
        <w:rPr>
          <w:rFonts w:ascii="Verdana" w:hAnsi="Verdana"/>
        </w:rPr>
        <w:t>recommended that authorities</w:t>
      </w:r>
      <w:r w:rsidR="00160167">
        <w:rPr>
          <w:rFonts w:ascii="Verdana" w:hAnsi="Verdana"/>
        </w:rPr>
        <w:t>:</w:t>
      </w:r>
    </w:p>
    <w:p w14:paraId="79A929AD" w14:textId="25873019" w:rsidR="00B219AF" w:rsidRDefault="00160167" w:rsidP="001003CA">
      <w:pPr>
        <w:pStyle w:val="ListParagraph"/>
        <w:spacing w:line="276" w:lineRule="auto"/>
        <w:ind w:left="1440"/>
        <w:rPr>
          <w:rFonts w:ascii="Verdana" w:hAnsi="Verdana"/>
        </w:rPr>
      </w:pPr>
      <w:r>
        <w:rPr>
          <w:rFonts w:ascii="Verdana" w:hAnsi="Verdana"/>
        </w:rPr>
        <w:t>e</w:t>
      </w:r>
      <w:r w:rsidR="009B0C18" w:rsidRPr="00160167">
        <w:rPr>
          <w:rStyle w:val="cf01"/>
          <w:rFonts w:ascii="Verdana" w:hAnsi="Verdana"/>
          <w:i w:val="0"/>
          <w:sz w:val="24"/>
          <w:szCs w:val="24"/>
        </w:rPr>
        <w:t>nsure that public budgets take into account the rights of persons with disabilities, that sufficient budget allocations are made available to cover the extra costs associated with living with a disability and that appropriate mitigation measures, with appropriate budget allocations, are in place for persons with disabilities affected by austerity measures.</w:t>
      </w:r>
      <w:r w:rsidR="006A2A5F">
        <w:rPr>
          <w:rStyle w:val="FootnoteReference"/>
          <w:rFonts w:ascii="Verdana" w:hAnsi="Verdana" w:cs="Segoe UI"/>
          <w:iCs/>
        </w:rPr>
        <w:footnoteReference w:id="63"/>
      </w:r>
    </w:p>
    <w:p w14:paraId="3D5E2646" w14:textId="77777777" w:rsidR="00B219AF" w:rsidRPr="00B219AF" w:rsidRDefault="00B219AF" w:rsidP="001003CA">
      <w:pPr>
        <w:pStyle w:val="ListParagraph"/>
        <w:spacing w:line="276" w:lineRule="auto"/>
        <w:ind w:left="709"/>
        <w:rPr>
          <w:rFonts w:ascii="Verdana" w:hAnsi="Verdana"/>
        </w:rPr>
      </w:pPr>
    </w:p>
    <w:p w14:paraId="42C532C5" w14:textId="11475C35" w:rsidR="00EA5CFD" w:rsidRDefault="007833D8" w:rsidP="001003CA">
      <w:pPr>
        <w:pStyle w:val="ListParagraph"/>
        <w:numPr>
          <w:ilvl w:val="1"/>
          <w:numId w:val="18"/>
        </w:numPr>
        <w:spacing w:line="276" w:lineRule="auto"/>
        <w:ind w:left="709"/>
        <w:rPr>
          <w:rFonts w:ascii="Verdana" w:hAnsi="Verdana"/>
        </w:rPr>
      </w:pPr>
      <w:r>
        <w:rPr>
          <w:rFonts w:ascii="Verdana" w:hAnsi="Verdana"/>
        </w:rPr>
        <w:t xml:space="preserve">It </w:t>
      </w:r>
      <w:r w:rsidRPr="00016366">
        <w:rPr>
          <w:rFonts w:ascii="Verdana" w:hAnsi="Verdana"/>
        </w:rPr>
        <w:t>is recognised</w:t>
      </w:r>
      <w:r w:rsidR="004B623E" w:rsidRPr="00016366">
        <w:rPr>
          <w:rFonts w:ascii="Verdana" w:hAnsi="Verdana"/>
        </w:rPr>
        <w:t xml:space="preserve"> that </w:t>
      </w:r>
      <w:r w:rsidRPr="00016366">
        <w:rPr>
          <w:rFonts w:ascii="Verdana" w:hAnsi="Verdana"/>
        </w:rPr>
        <w:t>fulfilment of social, economic and cultural rights, can only be achieved over time in a process of ‘progressive realisation’.</w:t>
      </w:r>
      <w:r w:rsidR="007568ED" w:rsidRPr="00016366">
        <w:rPr>
          <w:rStyle w:val="FootnoteReference"/>
          <w:rFonts w:ascii="Verdana" w:hAnsi="Verdana"/>
        </w:rPr>
        <w:footnoteReference w:id="64"/>
      </w:r>
      <w:r w:rsidR="007568ED" w:rsidRPr="00016366">
        <w:rPr>
          <w:rFonts w:ascii="Verdana" w:hAnsi="Verdana"/>
        </w:rPr>
        <w:t xml:space="preserve"> </w:t>
      </w:r>
      <w:r w:rsidRPr="00016366">
        <w:rPr>
          <w:rFonts w:ascii="Verdana" w:hAnsi="Verdana"/>
        </w:rPr>
        <w:t>The Committee on Economic Social and Cultural Rights has confirmed that States are expected to “move as expeditiously and effectively as possible”</w:t>
      </w:r>
      <w:r w:rsidR="007568ED" w:rsidRPr="00016366">
        <w:rPr>
          <w:rStyle w:val="FootnoteReference"/>
          <w:rFonts w:ascii="Verdana" w:hAnsi="Verdana"/>
        </w:rPr>
        <w:footnoteReference w:id="65"/>
      </w:r>
      <w:r w:rsidR="007568ED" w:rsidRPr="00016366">
        <w:rPr>
          <w:rFonts w:ascii="Verdana" w:hAnsi="Verdana"/>
        </w:rPr>
        <w:t xml:space="preserve"> </w:t>
      </w:r>
      <w:r w:rsidRPr="00016366">
        <w:rPr>
          <w:rFonts w:ascii="Verdana" w:hAnsi="Verdana"/>
        </w:rPr>
        <w:t>and take “deliberate, concrete and targeted” steps towards the realisation of the right in question.</w:t>
      </w:r>
      <w:r w:rsidR="00016366" w:rsidRPr="00016366">
        <w:rPr>
          <w:rStyle w:val="FootnoteReference"/>
          <w:rFonts w:ascii="Verdana" w:hAnsi="Verdana"/>
        </w:rPr>
        <w:footnoteReference w:id="66"/>
      </w:r>
    </w:p>
    <w:p w14:paraId="0082C368" w14:textId="77777777" w:rsidR="00276163" w:rsidRDefault="00276163" w:rsidP="001003CA">
      <w:pPr>
        <w:pStyle w:val="ListParagraph"/>
        <w:spacing w:line="276" w:lineRule="auto"/>
        <w:ind w:left="709"/>
        <w:rPr>
          <w:rFonts w:ascii="Verdana" w:hAnsi="Verdana"/>
        </w:rPr>
      </w:pPr>
    </w:p>
    <w:p w14:paraId="475A6EC5" w14:textId="4AE61162" w:rsidR="00276163" w:rsidRPr="00FD67F1" w:rsidRDefault="00336A4A" w:rsidP="001003CA">
      <w:pPr>
        <w:pStyle w:val="ListParagraph"/>
        <w:numPr>
          <w:ilvl w:val="1"/>
          <w:numId w:val="18"/>
        </w:numPr>
        <w:spacing w:line="276" w:lineRule="auto"/>
        <w:ind w:left="709"/>
        <w:rPr>
          <w:rFonts w:ascii="Verdana" w:hAnsi="Verdana"/>
        </w:rPr>
      </w:pPr>
      <w:r>
        <w:rPr>
          <w:rFonts w:ascii="Verdana" w:hAnsi="Verdana"/>
        </w:rPr>
        <w:t xml:space="preserve">The consultation document </w:t>
      </w:r>
      <w:r w:rsidR="00CC7F69">
        <w:rPr>
          <w:rFonts w:ascii="Verdana" w:hAnsi="Verdana"/>
        </w:rPr>
        <w:t>identifies an option to</w:t>
      </w:r>
      <w:r w:rsidR="00276163">
        <w:rPr>
          <w:rFonts w:ascii="Verdana" w:hAnsi="Verdana"/>
        </w:rPr>
        <w:t xml:space="preserve"> </w:t>
      </w:r>
      <w:r w:rsidR="00CC7F69">
        <w:rPr>
          <w:rFonts w:ascii="Verdana" w:hAnsi="Verdana"/>
        </w:rPr>
        <w:t>introduce</w:t>
      </w:r>
      <w:r w:rsidR="00E25239">
        <w:rPr>
          <w:rFonts w:ascii="Verdana" w:hAnsi="Verdana"/>
        </w:rPr>
        <w:t xml:space="preserve"> Companion passes</w:t>
      </w:r>
      <w:r w:rsidR="00CC7F69">
        <w:rPr>
          <w:rFonts w:ascii="Verdana" w:hAnsi="Verdana"/>
        </w:rPr>
        <w:t xml:space="preserve"> for </w:t>
      </w:r>
      <w:r w:rsidR="002901B7">
        <w:rPr>
          <w:rFonts w:ascii="Verdana" w:hAnsi="Verdana"/>
        </w:rPr>
        <w:t>those traveling with disabled people who use the Scheme</w:t>
      </w:r>
      <w:r>
        <w:rPr>
          <w:rFonts w:ascii="Verdana" w:hAnsi="Verdana"/>
        </w:rPr>
        <w:t>.</w:t>
      </w:r>
      <w:r w:rsidR="002901B7">
        <w:rPr>
          <w:rFonts w:ascii="Verdana" w:hAnsi="Verdana"/>
        </w:rPr>
        <w:t xml:space="preserve"> </w:t>
      </w:r>
      <w:r w:rsidR="000744AC">
        <w:rPr>
          <w:rFonts w:ascii="Verdana" w:hAnsi="Verdana"/>
        </w:rPr>
        <w:t xml:space="preserve">In </w:t>
      </w:r>
      <w:r w:rsidR="000744AC" w:rsidRPr="00FD67F1">
        <w:rPr>
          <w:rFonts w:ascii="Verdana" w:hAnsi="Verdana"/>
        </w:rPr>
        <w:t>G</w:t>
      </w:r>
      <w:r w:rsidR="00CB41B1" w:rsidRPr="00FD67F1">
        <w:rPr>
          <w:rFonts w:ascii="Verdana" w:hAnsi="Verdana"/>
        </w:rPr>
        <w:t xml:space="preserve">eneral Comment No.5, the CRPD Committee identify that </w:t>
      </w:r>
      <w:r w:rsidR="00715EF3" w:rsidRPr="00FD67F1">
        <w:rPr>
          <w:rFonts w:ascii="Verdana" w:hAnsi="Verdana"/>
        </w:rPr>
        <w:t>“States parties should empower family members to support the family members with disabilities to realize their right to live independently and be included in the community</w:t>
      </w:r>
      <w:r w:rsidR="00FD67F1" w:rsidRPr="00FD67F1">
        <w:rPr>
          <w:rFonts w:ascii="Verdana" w:hAnsi="Verdana"/>
        </w:rPr>
        <w:t>”.</w:t>
      </w:r>
      <w:r w:rsidR="00FD67F1" w:rsidRPr="00FD67F1">
        <w:rPr>
          <w:rStyle w:val="FootnoteReference"/>
          <w:rFonts w:ascii="Verdana" w:hAnsi="Verdana"/>
        </w:rPr>
        <w:footnoteReference w:id="67"/>
      </w:r>
      <w:r w:rsidR="00120B8E">
        <w:rPr>
          <w:rFonts w:ascii="Verdana" w:hAnsi="Verdana"/>
        </w:rPr>
        <w:t xml:space="preserve"> </w:t>
      </w:r>
      <w:r w:rsidR="00A41029" w:rsidRPr="004F494E">
        <w:rPr>
          <w:rFonts w:ascii="Verdana" w:hAnsi="Verdana"/>
        </w:rPr>
        <w:t>The Committee further note that “financial support is also crucial for family carers, who often live in situations of extreme poverty without the possibility of accessing the labour market”.</w:t>
      </w:r>
      <w:r w:rsidR="00A41029" w:rsidRPr="004F494E">
        <w:rPr>
          <w:rStyle w:val="FootnoteReference"/>
          <w:rFonts w:ascii="Verdana" w:hAnsi="Verdana"/>
        </w:rPr>
        <w:footnoteReference w:id="68"/>
      </w:r>
      <w:r w:rsidR="004F494E">
        <w:rPr>
          <w:rFonts w:ascii="Verdana" w:hAnsi="Verdana"/>
        </w:rPr>
        <w:t xml:space="preserve"> The NIHRC note that not all c</w:t>
      </w:r>
      <w:r w:rsidR="00A56C98">
        <w:rPr>
          <w:rFonts w:ascii="Verdana" w:hAnsi="Verdana"/>
        </w:rPr>
        <w:t>ompanions will be family members</w:t>
      </w:r>
      <w:r w:rsidR="00340217">
        <w:rPr>
          <w:rFonts w:ascii="Verdana" w:hAnsi="Verdana"/>
        </w:rPr>
        <w:t>. Extending the Scheme to include companion</w:t>
      </w:r>
      <w:r w:rsidR="00C675C9">
        <w:rPr>
          <w:rFonts w:ascii="Verdana" w:hAnsi="Verdana"/>
        </w:rPr>
        <w:t>s</w:t>
      </w:r>
      <w:r w:rsidR="00340217">
        <w:rPr>
          <w:rFonts w:ascii="Verdana" w:hAnsi="Verdana"/>
        </w:rPr>
        <w:t xml:space="preserve"> </w:t>
      </w:r>
      <w:r w:rsidR="00BF6B30">
        <w:rPr>
          <w:rFonts w:ascii="Verdana" w:hAnsi="Verdana"/>
        </w:rPr>
        <w:t>could assist</w:t>
      </w:r>
      <w:r w:rsidR="00A56C98">
        <w:rPr>
          <w:rFonts w:ascii="Verdana" w:hAnsi="Verdana"/>
        </w:rPr>
        <w:t xml:space="preserve"> disabled people to live independently</w:t>
      </w:r>
      <w:r w:rsidR="00C675C9">
        <w:rPr>
          <w:rFonts w:ascii="Verdana" w:hAnsi="Verdana"/>
        </w:rPr>
        <w:t>.</w:t>
      </w:r>
    </w:p>
    <w:p w14:paraId="7734E450" w14:textId="77777777" w:rsidR="00A80610" w:rsidRPr="00A80610" w:rsidRDefault="00A80610" w:rsidP="001003CA">
      <w:pPr>
        <w:pStyle w:val="ListParagraph"/>
        <w:spacing w:line="276" w:lineRule="auto"/>
        <w:rPr>
          <w:rFonts w:ascii="Verdana" w:hAnsi="Verdana"/>
        </w:rPr>
      </w:pPr>
    </w:p>
    <w:p w14:paraId="7F6C070C" w14:textId="55E8AC05" w:rsidR="00A80610" w:rsidRPr="008C7719" w:rsidRDefault="00A80610" w:rsidP="001003CA">
      <w:pPr>
        <w:pStyle w:val="ListParagraph"/>
        <w:numPr>
          <w:ilvl w:val="1"/>
          <w:numId w:val="18"/>
        </w:numPr>
        <w:spacing w:line="276" w:lineRule="auto"/>
        <w:ind w:left="709"/>
        <w:rPr>
          <w:rFonts w:ascii="Verdana" w:hAnsi="Verdana"/>
        </w:rPr>
      </w:pPr>
      <w:r>
        <w:rPr>
          <w:rFonts w:ascii="Verdana" w:hAnsi="Verdana"/>
          <w:b/>
          <w:bCs/>
        </w:rPr>
        <w:t xml:space="preserve">The NIHRC recommends that the Department </w:t>
      </w:r>
      <w:r w:rsidR="004F4C49">
        <w:rPr>
          <w:rFonts w:ascii="Verdana" w:hAnsi="Verdana"/>
          <w:b/>
          <w:bCs/>
        </w:rPr>
        <w:t xml:space="preserve">for </w:t>
      </w:r>
      <w:r>
        <w:rPr>
          <w:rFonts w:ascii="Verdana" w:hAnsi="Verdana"/>
          <w:b/>
          <w:bCs/>
        </w:rPr>
        <w:t xml:space="preserve">Infrastructure </w:t>
      </w:r>
      <w:r w:rsidR="00072374">
        <w:rPr>
          <w:rFonts w:ascii="Verdana" w:hAnsi="Verdana"/>
          <w:b/>
          <w:bCs/>
        </w:rPr>
        <w:t xml:space="preserve">explores </w:t>
      </w:r>
      <w:r>
        <w:rPr>
          <w:rFonts w:ascii="Verdana" w:hAnsi="Verdana"/>
          <w:b/>
          <w:bCs/>
        </w:rPr>
        <w:t>extend</w:t>
      </w:r>
      <w:r w:rsidR="00072374">
        <w:rPr>
          <w:rFonts w:ascii="Verdana" w:hAnsi="Verdana"/>
          <w:b/>
          <w:bCs/>
        </w:rPr>
        <w:t>ing</w:t>
      </w:r>
      <w:r>
        <w:rPr>
          <w:rFonts w:ascii="Verdana" w:hAnsi="Verdana"/>
          <w:b/>
          <w:bCs/>
        </w:rPr>
        <w:t xml:space="preserve"> the Concessionary Fares Scheme to include </w:t>
      </w:r>
      <w:r>
        <w:rPr>
          <w:rFonts w:ascii="Verdana" w:hAnsi="Verdana"/>
          <w:b/>
          <w:bCs/>
        </w:rPr>
        <w:lastRenderedPageBreak/>
        <w:t xml:space="preserve">disabled people. This should be done in close consultation with disabled people and </w:t>
      </w:r>
      <w:r w:rsidR="0036507B">
        <w:rPr>
          <w:rFonts w:ascii="Verdana" w:hAnsi="Verdana"/>
          <w:b/>
          <w:bCs/>
        </w:rPr>
        <w:t xml:space="preserve">representative </w:t>
      </w:r>
      <w:r>
        <w:rPr>
          <w:rFonts w:ascii="Verdana" w:hAnsi="Verdana"/>
          <w:b/>
          <w:bCs/>
        </w:rPr>
        <w:t>organisations to ensure the extension of the Scheme meets the specific needs of these individuals.</w:t>
      </w:r>
    </w:p>
    <w:p w14:paraId="68F0BC8F" w14:textId="77777777" w:rsidR="00C675C9" w:rsidRPr="008C7719" w:rsidRDefault="00C675C9" w:rsidP="001003CA">
      <w:pPr>
        <w:pStyle w:val="ListParagraph"/>
        <w:spacing w:line="276" w:lineRule="auto"/>
        <w:rPr>
          <w:rFonts w:ascii="Verdana" w:hAnsi="Verdana"/>
        </w:rPr>
      </w:pPr>
    </w:p>
    <w:p w14:paraId="4E8BEC30" w14:textId="0871A0AF" w:rsidR="00C675C9" w:rsidRPr="005E4B66" w:rsidRDefault="00C675C9" w:rsidP="001003CA">
      <w:pPr>
        <w:pStyle w:val="ListParagraph"/>
        <w:numPr>
          <w:ilvl w:val="1"/>
          <w:numId w:val="18"/>
        </w:numPr>
        <w:spacing w:line="276" w:lineRule="auto"/>
        <w:ind w:left="709"/>
        <w:rPr>
          <w:rFonts w:ascii="Verdana" w:hAnsi="Verdana"/>
        </w:rPr>
      </w:pPr>
      <w:r>
        <w:rPr>
          <w:rFonts w:ascii="Verdana" w:hAnsi="Verdana"/>
          <w:b/>
          <w:bCs/>
        </w:rPr>
        <w:t xml:space="preserve">The NIHRC recommends that the Department for Infrastructure extends the Concessionary </w:t>
      </w:r>
      <w:r w:rsidR="008C7719">
        <w:rPr>
          <w:rFonts w:ascii="Verdana" w:hAnsi="Verdana"/>
          <w:b/>
          <w:bCs/>
        </w:rPr>
        <w:t>Fares Scheme to include companion passes for disabled service users.</w:t>
      </w:r>
    </w:p>
    <w:p w14:paraId="5CC78B96" w14:textId="77777777" w:rsidR="00083A76" w:rsidRDefault="00083A76" w:rsidP="001003CA">
      <w:pPr>
        <w:pStyle w:val="ListParagraph"/>
        <w:spacing w:line="276" w:lineRule="auto"/>
        <w:rPr>
          <w:rFonts w:ascii="Verdana" w:hAnsi="Verdana"/>
        </w:rPr>
      </w:pPr>
    </w:p>
    <w:p w14:paraId="1071C23A" w14:textId="77777777" w:rsidR="00A80610" w:rsidRDefault="00A80610" w:rsidP="001003CA">
      <w:pPr>
        <w:pStyle w:val="ListParagraph"/>
        <w:spacing w:line="276" w:lineRule="auto"/>
        <w:ind w:left="709"/>
        <w:rPr>
          <w:rFonts w:ascii="Verdana" w:hAnsi="Verdana"/>
        </w:rPr>
      </w:pPr>
    </w:p>
    <w:p w14:paraId="6498FEC8" w14:textId="6954C737" w:rsidR="00F50384" w:rsidRDefault="00F50384" w:rsidP="001003CA">
      <w:pPr>
        <w:pStyle w:val="Heading2"/>
        <w:spacing w:line="276" w:lineRule="auto"/>
      </w:pPr>
      <w:bookmarkStart w:id="12" w:name="_Toc143609780"/>
      <w:r>
        <w:t>People receiving asylum support and victims of human trafficking</w:t>
      </w:r>
      <w:bookmarkEnd w:id="12"/>
    </w:p>
    <w:p w14:paraId="58F12A7C" w14:textId="77777777" w:rsidR="00F50384" w:rsidRPr="00F50384" w:rsidRDefault="00F50384" w:rsidP="001003CA">
      <w:pPr>
        <w:spacing w:line="276" w:lineRule="auto"/>
        <w:ind w:left="-11"/>
        <w:rPr>
          <w:rFonts w:ascii="Verdana" w:hAnsi="Verdana"/>
          <w:b/>
          <w:bCs/>
        </w:rPr>
      </w:pPr>
    </w:p>
    <w:p w14:paraId="670D4963" w14:textId="79CD4B74" w:rsidR="00F50384" w:rsidRPr="00B038CE" w:rsidRDefault="001F39DA" w:rsidP="001003CA">
      <w:pPr>
        <w:pStyle w:val="ListParagraph"/>
        <w:numPr>
          <w:ilvl w:val="1"/>
          <w:numId w:val="18"/>
        </w:numPr>
        <w:spacing w:line="276" w:lineRule="auto"/>
        <w:ind w:left="709"/>
        <w:rPr>
          <w:rFonts w:ascii="Verdana" w:hAnsi="Verdana"/>
        </w:rPr>
      </w:pPr>
      <w:r w:rsidRPr="001F39DA">
        <w:rPr>
          <w:rFonts w:ascii="Verdana" w:hAnsi="Verdana"/>
        </w:rPr>
        <w:t xml:space="preserve">The </w:t>
      </w:r>
      <w:r w:rsidR="001B5E2F">
        <w:rPr>
          <w:rFonts w:ascii="Verdana" w:hAnsi="Verdana"/>
        </w:rPr>
        <w:t xml:space="preserve">UN </w:t>
      </w:r>
      <w:r w:rsidR="008C7719">
        <w:rPr>
          <w:rFonts w:ascii="Verdana" w:hAnsi="Verdana"/>
        </w:rPr>
        <w:t>Co</w:t>
      </w:r>
      <w:r w:rsidR="001B5E2F">
        <w:rPr>
          <w:rFonts w:ascii="Verdana" w:hAnsi="Verdana"/>
        </w:rPr>
        <w:t>mmittee</w:t>
      </w:r>
      <w:r w:rsidR="008C7719">
        <w:rPr>
          <w:rFonts w:ascii="Verdana" w:hAnsi="Verdana"/>
        </w:rPr>
        <w:t xml:space="preserve"> on the Rights of the Child</w:t>
      </w:r>
      <w:r w:rsidR="008C7719" w:rsidRPr="001F39DA">
        <w:rPr>
          <w:rFonts w:ascii="Verdana" w:hAnsi="Verdana"/>
        </w:rPr>
        <w:t xml:space="preserve"> </w:t>
      </w:r>
      <w:r w:rsidRPr="001F39DA">
        <w:rPr>
          <w:rFonts w:ascii="Verdana" w:hAnsi="Verdana"/>
        </w:rPr>
        <w:t xml:space="preserve">has </w:t>
      </w:r>
      <w:r>
        <w:rPr>
          <w:rFonts w:ascii="Verdana" w:hAnsi="Verdana"/>
        </w:rPr>
        <w:t xml:space="preserve">recommended </w:t>
      </w:r>
      <w:r w:rsidRPr="001F39DA">
        <w:rPr>
          <w:rFonts w:ascii="Verdana" w:hAnsi="Verdana"/>
        </w:rPr>
        <w:t xml:space="preserve">that </w:t>
      </w:r>
      <w:r>
        <w:rPr>
          <w:rFonts w:ascii="Verdana" w:hAnsi="Verdana"/>
        </w:rPr>
        <w:t xml:space="preserve">the UK Government and NI Executive </w:t>
      </w:r>
      <w:r w:rsidRPr="001F39DA">
        <w:rPr>
          <w:rFonts w:ascii="Verdana" w:hAnsi="Verdana"/>
        </w:rPr>
        <w:t>“strengthen measures to ensure that all asylum-seeking, refugee and migrant children have equal and prompt access to education, health-care services, housing,</w:t>
      </w:r>
      <w:r w:rsidRPr="00B038CE">
        <w:rPr>
          <w:rFonts w:ascii="Verdana" w:hAnsi="Verdana"/>
        </w:rPr>
        <w:t xml:space="preserve"> psychosocial support and social protection, including benefit entitlements”.</w:t>
      </w:r>
      <w:r w:rsidRPr="001F39DA">
        <w:rPr>
          <w:rStyle w:val="FootnoteReference"/>
          <w:rFonts w:ascii="Verdana" w:hAnsi="Verdana"/>
        </w:rPr>
        <w:footnoteReference w:id="69"/>
      </w:r>
    </w:p>
    <w:p w14:paraId="55C5D541" w14:textId="77777777" w:rsidR="001F39DA" w:rsidRDefault="001F39DA" w:rsidP="001003CA">
      <w:pPr>
        <w:pStyle w:val="ListParagraph"/>
        <w:spacing w:line="276" w:lineRule="auto"/>
        <w:ind w:left="709"/>
        <w:rPr>
          <w:rFonts w:ascii="Verdana" w:hAnsi="Verdana"/>
        </w:rPr>
      </w:pPr>
    </w:p>
    <w:p w14:paraId="30A31DFD" w14:textId="69DC29D5" w:rsidR="001F39DA" w:rsidRPr="008E478E" w:rsidRDefault="001F39DA" w:rsidP="001003CA">
      <w:pPr>
        <w:pStyle w:val="ListParagraph"/>
        <w:numPr>
          <w:ilvl w:val="1"/>
          <w:numId w:val="18"/>
        </w:numPr>
        <w:spacing w:line="276" w:lineRule="auto"/>
        <w:ind w:left="709"/>
        <w:rPr>
          <w:rFonts w:ascii="Verdana" w:hAnsi="Verdana"/>
        </w:rPr>
      </w:pPr>
      <w:r>
        <w:rPr>
          <w:rFonts w:ascii="Verdana" w:hAnsi="Verdana"/>
          <w:color w:val="000000"/>
        </w:rPr>
        <w:t xml:space="preserve">The CEDAW Committee </w:t>
      </w:r>
      <w:r w:rsidR="00BC4AC7">
        <w:rPr>
          <w:rFonts w:ascii="Verdana" w:hAnsi="Verdana"/>
          <w:color w:val="000000"/>
        </w:rPr>
        <w:t xml:space="preserve">has </w:t>
      </w:r>
      <w:r>
        <w:rPr>
          <w:rFonts w:ascii="Verdana" w:hAnsi="Verdana"/>
          <w:color w:val="000000"/>
        </w:rPr>
        <w:t>noted</w:t>
      </w:r>
      <w:r w:rsidR="005E4B66">
        <w:rPr>
          <w:rFonts w:ascii="Verdana" w:hAnsi="Verdana"/>
          <w:color w:val="000000"/>
        </w:rPr>
        <w:t xml:space="preserve"> that, d</w:t>
      </w:r>
      <w:r w:rsidRPr="001F39DA">
        <w:rPr>
          <w:rFonts w:ascii="Verdana" w:hAnsi="Verdana"/>
          <w:color w:val="000000"/>
        </w:rPr>
        <w:t xml:space="preserve">ue to the low levels of financial support available to them, women seeking asylum </w:t>
      </w:r>
      <w:r w:rsidR="005E4B66">
        <w:rPr>
          <w:rFonts w:ascii="Verdana" w:hAnsi="Verdana"/>
          <w:color w:val="000000"/>
        </w:rPr>
        <w:t xml:space="preserve">in the UK </w:t>
      </w:r>
      <w:r w:rsidRPr="001F39DA">
        <w:rPr>
          <w:rFonts w:ascii="Verdana" w:hAnsi="Verdana"/>
          <w:color w:val="000000"/>
        </w:rPr>
        <w:t>are placed at higher risk of exploitation, abuse and trafficking.</w:t>
      </w:r>
      <w:r w:rsidRPr="001F39DA">
        <w:rPr>
          <w:rStyle w:val="FootnoteReference"/>
          <w:rFonts w:ascii="Verdana" w:hAnsi="Verdana"/>
          <w:color w:val="000000"/>
        </w:rPr>
        <w:footnoteReference w:id="70"/>
      </w:r>
      <w:r>
        <w:rPr>
          <w:rFonts w:ascii="Verdana" w:hAnsi="Verdana"/>
          <w:color w:val="000000"/>
        </w:rPr>
        <w:t xml:space="preserve"> </w:t>
      </w:r>
      <w:r w:rsidRPr="001F39DA">
        <w:rPr>
          <w:rFonts w:ascii="Verdana" w:hAnsi="Verdana"/>
          <w:color w:val="000000"/>
        </w:rPr>
        <w:t>Additionally,</w:t>
      </w:r>
      <w:r w:rsidR="005E4B66">
        <w:rPr>
          <w:rFonts w:ascii="Verdana" w:hAnsi="Verdana"/>
          <w:color w:val="000000"/>
        </w:rPr>
        <w:t xml:space="preserve"> the ICESCR Committee has identified </w:t>
      </w:r>
      <w:r w:rsidRPr="001F39DA">
        <w:rPr>
          <w:rFonts w:ascii="Verdana" w:hAnsi="Verdana"/>
          <w:color w:val="000000"/>
        </w:rPr>
        <w:t>a significant rise in homelessness affecting people seeking asylum, among other groups, particularly in England and NI.</w:t>
      </w:r>
      <w:r w:rsidRPr="001F39DA">
        <w:rPr>
          <w:rStyle w:val="FootnoteReference"/>
          <w:rFonts w:ascii="Verdana" w:hAnsi="Verdana"/>
          <w:color w:val="000000"/>
        </w:rPr>
        <w:footnoteReference w:id="71"/>
      </w:r>
    </w:p>
    <w:p w14:paraId="393ABB90" w14:textId="77777777" w:rsidR="008E478E" w:rsidRPr="008E478E" w:rsidRDefault="008E478E" w:rsidP="008E478E">
      <w:pPr>
        <w:pStyle w:val="ListParagraph"/>
        <w:rPr>
          <w:rFonts w:ascii="Verdana" w:hAnsi="Verdana"/>
        </w:rPr>
      </w:pPr>
    </w:p>
    <w:p w14:paraId="7F7150EE" w14:textId="73FD4D82" w:rsidR="008E478E" w:rsidRPr="00DA0549" w:rsidRDefault="008E478E" w:rsidP="001003CA">
      <w:pPr>
        <w:pStyle w:val="ListParagraph"/>
        <w:numPr>
          <w:ilvl w:val="1"/>
          <w:numId w:val="18"/>
        </w:numPr>
        <w:spacing w:line="276" w:lineRule="auto"/>
        <w:ind w:left="709"/>
        <w:rPr>
          <w:rFonts w:ascii="Verdana" w:hAnsi="Verdana"/>
        </w:rPr>
      </w:pPr>
      <w:r w:rsidRPr="00DA0549">
        <w:rPr>
          <w:rFonts w:ascii="Verdana" w:hAnsi="Verdana"/>
        </w:rPr>
        <w:t>Article 2 of the Windsor Framework requires the UK Government and NI Executive to ensure that there is no diminution of rights, safeguards and equality of opportunity as set out in the relevant chapter of the Belfast (Good Friday) Agreement 1998, as a result of the UK’s withdrawal from the EU.</w:t>
      </w:r>
      <w:r w:rsidR="000730D4" w:rsidRPr="00DA0549">
        <w:rPr>
          <w:rFonts w:ascii="Verdana" w:hAnsi="Verdana"/>
        </w:rPr>
        <w:t xml:space="preserve"> This commitment to ensure ‘no diminution’ is measured by and against the relevant EU standards on 31 December 2020. As such, the UK Government has committed to ensuring that there will be no diminution of protections as were contained in relevant underpinning EU law on this date</w:t>
      </w:r>
      <w:r w:rsidR="00527390" w:rsidRPr="00DA0549">
        <w:rPr>
          <w:rFonts w:ascii="Verdana" w:hAnsi="Verdana"/>
        </w:rPr>
        <w:t>.</w:t>
      </w:r>
      <w:r w:rsidR="00200437" w:rsidRPr="00DA0549">
        <w:rPr>
          <w:rStyle w:val="FootnoteReference"/>
          <w:rFonts w:ascii="Verdana" w:hAnsi="Verdana"/>
        </w:rPr>
        <w:footnoteReference w:id="72"/>
      </w:r>
    </w:p>
    <w:p w14:paraId="696B576B" w14:textId="77777777" w:rsidR="00833DDC" w:rsidRPr="00DA0549" w:rsidRDefault="00833DDC" w:rsidP="00833DDC">
      <w:pPr>
        <w:pStyle w:val="ListParagraph"/>
        <w:rPr>
          <w:rFonts w:ascii="Verdana" w:hAnsi="Verdana"/>
        </w:rPr>
      </w:pPr>
    </w:p>
    <w:p w14:paraId="2E17FDAB" w14:textId="4579E7C2" w:rsidR="00833DDC" w:rsidRPr="00DA0549" w:rsidRDefault="00833DDC" w:rsidP="001003CA">
      <w:pPr>
        <w:pStyle w:val="ListParagraph"/>
        <w:numPr>
          <w:ilvl w:val="1"/>
          <w:numId w:val="18"/>
        </w:numPr>
        <w:spacing w:line="276" w:lineRule="auto"/>
        <w:ind w:left="709"/>
        <w:rPr>
          <w:rFonts w:ascii="Verdana" w:hAnsi="Verdana"/>
        </w:rPr>
      </w:pPr>
      <w:r w:rsidRPr="00DA0549">
        <w:rPr>
          <w:rFonts w:ascii="Verdana" w:hAnsi="Verdana"/>
        </w:rPr>
        <w:lastRenderedPageBreak/>
        <w:t>Windsor Framework Article 2 entails a commitment by the UK Government that NI equality law will dynamically align or “keep pace” with any EU law developments falling within the six EU Equality Directives listed in Annex 1 to the Windsor Framework after 1 January 2021.</w:t>
      </w:r>
      <w:r w:rsidRPr="00DA0549">
        <w:rPr>
          <w:rStyle w:val="FootnoteReference"/>
          <w:rFonts w:ascii="Verdana" w:hAnsi="Verdana"/>
        </w:rPr>
        <w:footnoteReference w:id="73"/>
      </w:r>
      <w:r w:rsidR="00D66E00" w:rsidRPr="00DA0549">
        <w:rPr>
          <w:rFonts w:ascii="Verdana" w:hAnsi="Verdana"/>
        </w:rPr>
        <w:t xml:space="preserve"> </w:t>
      </w:r>
      <w:r w:rsidR="00DA0549" w:rsidRPr="00DA0549">
        <w:rPr>
          <w:rFonts w:ascii="Verdana" w:hAnsi="Verdana"/>
        </w:rPr>
        <w:t>This “keep pace” obligation means that if the minimum</w:t>
      </w:r>
      <w:r w:rsidR="00664DD0">
        <w:rPr>
          <w:rFonts w:ascii="Verdana" w:hAnsi="Verdana"/>
        </w:rPr>
        <w:t xml:space="preserve"> </w:t>
      </w:r>
      <w:r w:rsidR="00D66E00" w:rsidRPr="00DA0549">
        <w:rPr>
          <w:rFonts w:ascii="Verdana" w:hAnsi="Verdana"/>
        </w:rPr>
        <w:t xml:space="preserve">standards in the Annex 1 Directives are amended or replaced by the EU, the UK Government </w:t>
      </w:r>
      <w:r w:rsidR="008B37EF">
        <w:rPr>
          <w:rFonts w:ascii="Verdana" w:hAnsi="Verdana"/>
        </w:rPr>
        <w:t>and NI Executive</w:t>
      </w:r>
      <w:r w:rsidR="008B37EF" w:rsidRPr="00DA0549">
        <w:rPr>
          <w:rFonts w:ascii="Verdana" w:hAnsi="Verdana"/>
        </w:rPr>
        <w:t xml:space="preserve"> </w:t>
      </w:r>
      <w:r w:rsidR="00D66E00" w:rsidRPr="00DA0549">
        <w:rPr>
          <w:rFonts w:ascii="Verdana" w:hAnsi="Verdana"/>
        </w:rPr>
        <w:t>must ensure that domestic legislation in Northern Ireland reflects any enhancements in relevant protections.</w:t>
      </w:r>
      <w:r w:rsidR="008B37EF">
        <w:rPr>
          <w:rFonts w:ascii="Verdana" w:hAnsi="Verdana"/>
        </w:rPr>
        <w:t xml:space="preserve">  </w:t>
      </w:r>
      <w:r w:rsidR="008B37EF" w:rsidRPr="008B37EF">
        <w:rPr>
          <w:rFonts w:ascii="Verdana" w:hAnsi="Verdana"/>
        </w:rPr>
        <w:t>The EU Charter on Fundamental Rights continues to have relevance in the application and interpretation of those provisions of EU law which are relevant to the application of Protocol Article 2.</w:t>
      </w:r>
    </w:p>
    <w:p w14:paraId="0F9B295B" w14:textId="77777777" w:rsidR="00467861" w:rsidRPr="00467861" w:rsidRDefault="00467861" w:rsidP="00467861">
      <w:pPr>
        <w:pStyle w:val="ListParagraph"/>
        <w:rPr>
          <w:rFonts w:ascii="Verdana" w:hAnsi="Verdana"/>
        </w:rPr>
      </w:pPr>
    </w:p>
    <w:p w14:paraId="7F87963A" w14:textId="102F5C21" w:rsidR="00467861" w:rsidRPr="00467861" w:rsidRDefault="00467861" w:rsidP="001003CA">
      <w:pPr>
        <w:pStyle w:val="ListParagraph"/>
        <w:numPr>
          <w:ilvl w:val="1"/>
          <w:numId w:val="18"/>
        </w:numPr>
        <w:spacing w:line="276" w:lineRule="auto"/>
        <w:ind w:left="709"/>
        <w:rPr>
          <w:rFonts w:ascii="Verdana" w:hAnsi="Verdana"/>
        </w:rPr>
      </w:pPr>
      <w:r w:rsidRPr="00467861">
        <w:rPr>
          <w:rFonts w:ascii="Verdana" w:hAnsi="Verdana"/>
        </w:rPr>
        <w:t>The UK Government recognises that Article 2</w:t>
      </w:r>
      <w:r>
        <w:rPr>
          <w:rFonts w:ascii="Verdana" w:hAnsi="Verdana"/>
        </w:rPr>
        <w:t xml:space="preserve"> of the Windsor Framework</w:t>
      </w:r>
      <w:r w:rsidRPr="00467861">
        <w:rPr>
          <w:rFonts w:ascii="Verdana" w:hAnsi="Verdana"/>
        </w:rPr>
        <w:t xml:space="preserve"> applies to “everyone who is subject to [NI]… law”.</w:t>
      </w:r>
      <w:r w:rsidRPr="00467861">
        <w:rPr>
          <w:rStyle w:val="FootnoteReference"/>
          <w:rFonts w:ascii="Verdana" w:hAnsi="Verdana"/>
        </w:rPr>
        <w:footnoteReference w:id="74"/>
      </w:r>
      <w:r w:rsidRPr="00467861">
        <w:rPr>
          <w:rFonts w:ascii="Verdana" w:hAnsi="Verdana"/>
        </w:rPr>
        <w:t xml:space="preserve"> </w:t>
      </w:r>
      <w:r w:rsidR="000F0C58">
        <w:rPr>
          <w:rFonts w:ascii="Verdana" w:hAnsi="Verdana"/>
        </w:rPr>
        <w:t xml:space="preserve">The NIHRC takes the </w:t>
      </w:r>
      <w:r w:rsidRPr="00467861">
        <w:rPr>
          <w:rFonts w:ascii="Verdana" w:hAnsi="Verdana"/>
        </w:rPr>
        <w:t>view that the commitment in the Belfast (Good Friday) Agreement 1998 to the civil rights and religious liberties of “everyone in the community” includes asylum seekers and refugees.</w:t>
      </w:r>
      <w:r>
        <w:rPr>
          <w:rFonts w:ascii="Verdana" w:hAnsi="Verdana"/>
        </w:rPr>
        <w:t xml:space="preserve">  The NIHRC has identified the EU Reception Directive</w:t>
      </w:r>
      <w:r>
        <w:rPr>
          <w:rStyle w:val="FootnoteReference"/>
          <w:rFonts w:ascii="Verdana" w:hAnsi="Verdana"/>
        </w:rPr>
        <w:footnoteReference w:id="75"/>
      </w:r>
      <w:r>
        <w:rPr>
          <w:rFonts w:ascii="Verdana" w:hAnsi="Verdana"/>
        </w:rPr>
        <w:t xml:space="preserve"> as falling within scope of Article 2 of the Windsor Framework.</w:t>
      </w:r>
      <w:r>
        <w:rPr>
          <w:rStyle w:val="FootnoteReference"/>
          <w:rFonts w:ascii="Verdana" w:hAnsi="Verdana"/>
        </w:rPr>
        <w:footnoteReference w:id="76"/>
      </w:r>
      <w:r>
        <w:rPr>
          <w:rFonts w:ascii="Verdana" w:hAnsi="Verdana"/>
        </w:rPr>
        <w:t xml:space="preserve"> </w:t>
      </w:r>
    </w:p>
    <w:p w14:paraId="24FCA114" w14:textId="77777777" w:rsidR="005E4B66" w:rsidRPr="005E4B66" w:rsidRDefault="005E4B66" w:rsidP="001003CA">
      <w:pPr>
        <w:pStyle w:val="ListParagraph"/>
        <w:spacing w:line="276" w:lineRule="auto"/>
        <w:rPr>
          <w:rFonts w:ascii="Verdana" w:hAnsi="Verdana"/>
        </w:rPr>
      </w:pPr>
    </w:p>
    <w:p w14:paraId="2034CF2C" w14:textId="65AF0447" w:rsidR="005E4B66" w:rsidRPr="00073586" w:rsidRDefault="005E4B66" w:rsidP="001003CA">
      <w:pPr>
        <w:pStyle w:val="ListParagraph"/>
        <w:numPr>
          <w:ilvl w:val="1"/>
          <w:numId w:val="18"/>
        </w:numPr>
        <w:spacing w:line="276" w:lineRule="auto"/>
        <w:ind w:left="709"/>
        <w:rPr>
          <w:rFonts w:ascii="Verdana" w:hAnsi="Verdana"/>
        </w:rPr>
      </w:pPr>
      <w:r w:rsidRPr="00073586">
        <w:rPr>
          <w:rFonts w:ascii="Verdana" w:hAnsi="Verdana"/>
          <w:color w:val="000000"/>
        </w:rPr>
        <w:t>The EU Reception Directive</w:t>
      </w:r>
      <w:r w:rsidR="002531B6">
        <w:rPr>
          <w:rFonts w:ascii="Verdana" w:hAnsi="Verdana"/>
          <w:color w:val="000000"/>
        </w:rPr>
        <w:t xml:space="preserve">, which details the minimum standards </w:t>
      </w:r>
      <w:r w:rsidR="00871AF9">
        <w:rPr>
          <w:rFonts w:ascii="Verdana" w:hAnsi="Verdana"/>
          <w:color w:val="000000"/>
        </w:rPr>
        <w:t xml:space="preserve">for the treatment of </w:t>
      </w:r>
      <w:r w:rsidR="00F148A2">
        <w:rPr>
          <w:rFonts w:ascii="Verdana" w:hAnsi="Verdana"/>
          <w:color w:val="000000"/>
        </w:rPr>
        <w:t>stateless persons or refugees in Europe,</w:t>
      </w:r>
      <w:r w:rsidRPr="00073586">
        <w:rPr>
          <w:rFonts w:ascii="Verdana" w:hAnsi="Verdana"/>
          <w:color w:val="000000"/>
        </w:rPr>
        <w:t xml:space="preserve"> states that the best interests of the child shall be the primary consideration when implementing provisions of the Directive that relate to minors.</w:t>
      </w:r>
      <w:r w:rsidR="00073586">
        <w:rPr>
          <w:rStyle w:val="FootnoteReference"/>
          <w:rFonts w:ascii="Verdana" w:hAnsi="Verdana"/>
          <w:color w:val="000000"/>
        </w:rPr>
        <w:footnoteReference w:id="77"/>
      </w:r>
      <w:r w:rsidRPr="00073586">
        <w:rPr>
          <w:rFonts w:ascii="Verdana" w:hAnsi="Verdana"/>
          <w:color w:val="000000"/>
        </w:rPr>
        <w:t xml:space="preserve"> The Directive provides that states must grant asylum seeking minors access to education.</w:t>
      </w:r>
      <w:r w:rsidRPr="00073586">
        <w:rPr>
          <w:rStyle w:val="FootnoteReference"/>
          <w:rFonts w:ascii="Verdana" w:hAnsi="Verdana"/>
          <w:color w:val="000000"/>
        </w:rPr>
        <w:footnoteReference w:id="78"/>
      </w:r>
      <w:r w:rsidR="00073586">
        <w:rPr>
          <w:rFonts w:ascii="Verdana" w:hAnsi="Verdana"/>
          <w:color w:val="000000"/>
        </w:rPr>
        <w:t xml:space="preserve"> </w:t>
      </w:r>
      <w:r w:rsidRPr="00073586">
        <w:rPr>
          <w:rFonts w:ascii="Verdana" w:hAnsi="Verdana"/>
          <w:color w:val="000000"/>
        </w:rPr>
        <w:t>Additionally, the Directive obligates States to take into consideration the specific situation of, among others, children and young people and disabled people.</w:t>
      </w:r>
      <w:r w:rsidR="00073586" w:rsidRPr="00073586">
        <w:rPr>
          <w:rStyle w:val="FootnoteReference"/>
          <w:rFonts w:ascii="Verdana" w:hAnsi="Verdana"/>
          <w:color w:val="000000"/>
        </w:rPr>
        <w:footnoteReference w:id="79"/>
      </w:r>
      <w:r w:rsidR="00073586">
        <w:rPr>
          <w:rFonts w:ascii="Verdana" w:hAnsi="Verdana"/>
          <w:color w:val="000000"/>
        </w:rPr>
        <w:t xml:space="preserve"> </w:t>
      </w:r>
    </w:p>
    <w:p w14:paraId="0633E13A" w14:textId="77777777" w:rsidR="005E4B66" w:rsidRPr="005E4B66" w:rsidRDefault="005E4B66" w:rsidP="001003CA">
      <w:pPr>
        <w:pStyle w:val="ListParagraph"/>
        <w:spacing w:line="276" w:lineRule="auto"/>
        <w:rPr>
          <w:rFonts w:ascii="Verdana" w:hAnsi="Verdana"/>
        </w:rPr>
      </w:pPr>
    </w:p>
    <w:p w14:paraId="6C3448C3" w14:textId="750CCAFD" w:rsidR="005E4B66" w:rsidRPr="00073586" w:rsidRDefault="00C00759" w:rsidP="001003CA">
      <w:pPr>
        <w:pStyle w:val="ListParagraph"/>
        <w:numPr>
          <w:ilvl w:val="1"/>
          <w:numId w:val="18"/>
        </w:numPr>
        <w:spacing w:line="276" w:lineRule="auto"/>
        <w:ind w:left="709"/>
        <w:rPr>
          <w:rFonts w:ascii="Verdana" w:hAnsi="Verdana"/>
        </w:rPr>
      </w:pPr>
      <w:r>
        <w:rPr>
          <w:rFonts w:ascii="Verdana" w:hAnsi="Verdana"/>
          <w:color w:val="000000"/>
        </w:rPr>
        <w:t>For people without recourse to public funds</w:t>
      </w:r>
      <w:r w:rsidR="00BD4E58">
        <w:rPr>
          <w:rFonts w:ascii="Verdana" w:hAnsi="Verdana"/>
          <w:color w:val="000000"/>
        </w:rPr>
        <w:t>, r</w:t>
      </w:r>
      <w:r w:rsidR="005E4B66" w:rsidRPr="005E4B66">
        <w:rPr>
          <w:rFonts w:ascii="Verdana" w:hAnsi="Verdana"/>
          <w:color w:val="000000"/>
        </w:rPr>
        <w:t>eliance on local authority provision as an alternative source of support is a specific problem in NI, where local councils do not have responsibility for housing, social services or education.</w:t>
      </w:r>
      <w:r w:rsidR="005E4B66" w:rsidRPr="005E4B66">
        <w:rPr>
          <w:rStyle w:val="FootnoteReference"/>
          <w:rFonts w:ascii="Verdana" w:hAnsi="Verdana"/>
          <w:color w:val="000000"/>
        </w:rPr>
        <w:footnoteReference w:id="80"/>
      </w:r>
      <w:r w:rsidR="005E4B66">
        <w:rPr>
          <w:rFonts w:ascii="Verdana" w:hAnsi="Verdana"/>
          <w:color w:val="000000"/>
        </w:rPr>
        <w:t xml:space="preserve"> </w:t>
      </w:r>
      <w:r w:rsidR="005E4B66" w:rsidRPr="005E4B66">
        <w:rPr>
          <w:rFonts w:ascii="Verdana" w:hAnsi="Verdana"/>
          <w:color w:val="000000"/>
        </w:rPr>
        <w:t>Direct accounts of the living conditions for people seeking asylum in contingency accommodation are consistent with UK-wide reports, including raising issues of inadequate access to food that meet dietary requirements or is culturally appropriate. There are also restrictions on private and family life, and insufficient access to basic services.</w:t>
      </w:r>
      <w:r w:rsidR="005E4B66" w:rsidRPr="005E4B66">
        <w:rPr>
          <w:rStyle w:val="FootnoteReference"/>
          <w:rFonts w:ascii="Verdana" w:hAnsi="Verdana"/>
          <w:color w:val="000000"/>
        </w:rPr>
        <w:footnoteReference w:id="81"/>
      </w:r>
      <w:r w:rsidR="005E4B66" w:rsidRPr="005E4B66">
        <w:rPr>
          <w:rFonts w:ascii="Verdana" w:hAnsi="Verdana"/>
          <w:color w:val="000000"/>
        </w:rPr>
        <w:t xml:space="preserve"> These issues are particularly challenging for children and persons with disabilities.</w:t>
      </w:r>
      <w:r w:rsidR="005E4B66" w:rsidRPr="005E4B66">
        <w:rPr>
          <w:rStyle w:val="FootnoteReference"/>
          <w:rFonts w:ascii="Verdana" w:hAnsi="Verdana"/>
          <w:color w:val="000000"/>
        </w:rPr>
        <w:footnoteReference w:id="82"/>
      </w:r>
    </w:p>
    <w:p w14:paraId="3548E1B2" w14:textId="77777777" w:rsidR="00073586" w:rsidRPr="00073586" w:rsidRDefault="00073586" w:rsidP="001003CA">
      <w:pPr>
        <w:pStyle w:val="ListParagraph"/>
        <w:spacing w:line="276" w:lineRule="auto"/>
        <w:rPr>
          <w:rFonts w:ascii="Verdana" w:hAnsi="Verdana"/>
        </w:rPr>
      </w:pPr>
    </w:p>
    <w:p w14:paraId="7A0F3A9F" w14:textId="04D1A079" w:rsidR="00073586" w:rsidRDefault="00073586" w:rsidP="001003CA">
      <w:pPr>
        <w:pStyle w:val="ListParagraph"/>
        <w:numPr>
          <w:ilvl w:val="1"/>
          <w:numId w:val="18"/>
        </w:numPr>
        <w:spacing w:line="276" w:lineRule="auto"/>
        <w:ind w:left="709"/>
        <w:rPr>
          <w:rFonts w:ascii="Verdana" w:hAnsi="Verdana"/>
        </w:rPr>
      </w:pPr>
      <w:r>
        <w:rPr>
          <w:rFonts w:ascii="Verdana" w:hAnsi="Verdana"/>
        </w:rPr>
        <w:t>People seeking asylum and victims of human trafficking are already at an increased risk of poverty, which impedes social inclusion. The costs of public transport may not be within budget for people seeking asylum or victims of human trafficking, which could impede access to healthcare, education and the fulfilment of other economic, social and cultural rights.</w:t>
      </w:r>
    </w:p>
    <w:p w14:paraId="5CB3818C" w14:textId="77777777" w:rsidR="00A87A7C" w:rsidRPr="0037684B" w:rsidRDefault="00A87A7C" w:rsidP="001003CA">
      <w:pPr>
        <w:pStyle w:val="ListParagraph"/>
        <w:spacing w:line="276" w:lineRule="auto"/>
        <w:rPr>
          <w:rFonts w:ascii="Verdana" w:hAnsi="Verdana"/>
        </w:rPr>
      </w:pPr>
    </w:p>
    <w:p w14:paraId="224C1AF9" w14:textId="5B834E34" w:rsidR="00A87A7C" w:rsidRPr="005E4B66" w:rsidRDefault="00AE3EBC" w:rsidP="001003CA">
      <w:pPr>
        <w:pStyle w:val="ListParagraph"/>
        <w:numPr>
          <w:ilvl w:val="1"/>
          <w:numId w:val="18"/>
        </w:numPr>
        <w:spacing w:line="276" w:lineRule="auto"/>
        <w:ind w:left="709"/>
        <w:rPr>
          <w:rFonts w:ascii="Verdana" w:hAnsi="Verdana"/>
        </w:rPr>
      </w:pPr>
      <w:r>
        <w:rPr>
          <w:rFonts w:ascii="Verdana" w:hAnsi="Verdana"/>
        </w:rPr>
        <w:t xml:space="preserve">The Department for Infrastructure have proposed to </w:t>
      </w:r>
      <w:r w:rsidR="00140A8E">
        <w:rPr>
          <w:rFonts w:ascii="Verdana" w:hAnsi="Verdana"/>
        </w:rPr>
        <w:t>amend</w:t>
      </w:r>
      <w:r>
        <w:rPr>
          <w:rFonts w:ascii="Verdana" w:hAnsi="Verdana"/>
        </w:rPr>
        <w:t xml:space="preserve"> the </w:t>
      </w:r>
      <w:r w:rsidR="00C93461">
        <w:rPr>
          <w:rFonts w:ascii="Verdana" w:hAnsi="Verdana"/>
        </w:rPr>
        <w:t xml:space="preserve">current </w:t>
      </w:r>
      <w:r>
        <w:rPr>
          <w:rFonts w:ascii="Verdana" w:hAnsi="Verdana"/>
        </w:rPr>
        <w:t xml:space="preserve">residency </w:t>
      </w:r>
      <w:r w:rsidR="00C93461">
        <w:rPr>
          <w:rFonts w:ascii="Verdana" w:hAnsi="Verdana"/>
        </w:rPr>
        <w:t xml:space="preserve">test </w:t>
      </w:r>
      <w:r w:rsidR="00140A8E">
        <w:rPr>
          <w:rFonts w:ascii="Verdana" w:hAnsi="Verdana"/>
        </w:rPr>
        <w:t xml:space="preserve">from </w:t>
      </w:r>
      <w:r w:rsidR="00C93461">
        <w:rPr>
          <w:rFonts w:ascii="Verdana" w:hAnsi="Verdana"/>
        </w:rPr>
        <w:t xml:space="preserve">3 months permanent residence to </w:t>
      </w:r>
      <w:r w:rsidR="008E7CB6">
        <w:rPr>
          <w:rFonts w:ascii="Verdana" w:hAnsi="Verdana"/>
        </w:rPr>
        <w:t>primary residence to make this more accessible to all NI residents.</w:t>
      </w:r>
      <w:r w:rsidR="008E7CB6">
        <w:rPr>
          <w:rStyle w:val="FootnoteReference"/>
          <w:rFonts w:ascii="Verdana" w:hAnsi="Verdana"/>
        </w:rPr>
        <w:footnoteReference w:id="83"/>
      </w:r>
      <w:r w:rsidR="004E0C0F">
        <w:rPr>
          <w:rFonts w:ascii="Verdana" w:hAnsi="Verdana"/>
        </w:rPr>
        <w:t xml:space="preserve"> The NIHRC supports this inclusion. </w:t>
      </w:r>
      <w:r w:rsidR="00962780">
        <w:rPr>
          <w:rFonts w:ascii="Verdana" w:hAnsi="Verdana"/>
        </w:rPr>
        <w:t>Refugees</w:t>
      </w:r>
      <w:r w:rsidR="6CB249C5" w:rsidRPr="1CF76CEB">
        <w:rPr>
          <w:rFonts w:ascii="Verdana" w:hAnsi="Verdana"/>
        </w:rPr>
        <w:t>,</w:t>
      </w:r>
      <w:r w:rsidR="00962780">
        <w:rPr>
          <w:rFonts w:ascii="Verdana" w:hAnsi="Verdana"/>
        </w:rPr>
        <w:t xml:space="preserve"> people seeking asylum</w:t>
      </w:r>
      <w:r w:rsidR="00AC6A15">
        <w:rPr>
          <w:rFonts w:ascii="Verdana" w:hAnsi="Verdana"/>
        </w:rPr>
        <w:t xml:space="preserve"> </w:t>
      </w:r>
      <w:r w:rsidR="00962780">
        <w:rPr>
          <w:rFonts w:ascii="Verdana" w:hAnsi="Verdana"/>
        </w:rPr>
        <w:t xml:space="preserve">and </w:t>
      </w:r>
      <w:r w:rsidR="005E1D8D">
        <w:rPr>
          <w:rFonts w:ascii="Verdana" w:hAnsi="Verdana"/>
        </w:rPr>
        <w:t>ethnic minorities</w:t>
      </w:r>
      <w:r w:rsidR="00962780">
        <w:rPr>
          <w:rFonts w:ascii="Verdana" w:hAnsi="Verdana"/>
        </w:rPr>
        <w:t xml:space="preserve"> are</w:t>
      </w:r>
      <w:r w:rsidR="00DA42D0">
        <w:rPr>
          <w:rFonts w:ascii="Verdana" w:hAnsi="Verdana"/>
        </w:rPr>
        <w:t xml:space="preserve"> </w:t>
      </w:r>
      <w:r w:rsidR="00AC6A15">
        <w:rPr>
          <w:rFonts w:ascii="Verdana" w:hAnsi="Verdana"/>
        </w:rPr>
        <w:t>some of the most marginalised</w:t>
      </w:r>
      <w:r w:rsidR="005E1D8D">
        <w:rPr>
          <w:rFonts w:ascii="Verdana" w:hAnsi="Verdana"/>
        </w:rPr>
        <w:t xml:space="preserve"> groups in society</w:t>
      </w:r>
      <w:r w:rsidR="005E1D8D">
        <w:rPr>
          <w:rStyle w:val="FootnoteReference"/>
          <w:rFonts w:ascii="Verdana" w:hAnsi="Verdana"/>
        </w:rPr>
        <w:footnoteReference w:id="84"/>
      </w:r>
      <w:r w:rsidR="00D8419B">
        <w:rPr>
          <w:rFonts w:ascii="Verdana" w:hAnsi="Verdana"/>
        </w:rPr>
        <w:t>;</w:t>
      </w:r>
      <w:r w:rsidR="00633582">
        <w:rPr>
          <w:rFonts w:ascii="Verdana" w:hAnsi="Verdana"/>
        </w:rPr>
        <w:t xml:space="preserve"> extending the Scheme to these communities</w:t>
      </w:r>
      <w:r w:rsidR="00616F49">
        <w:rPr>
          <w:rFonts w:ascii="Verdana" w:hAnsi="Verdana"/>
        </w:rPr>
        <w:t xml:space="preserve"> could help mitigate social isolation, which can lead to loneliness and poor mental health</w:t>
      </w:r>
      <w:r w:rsidR="1A1AAD60" w:rsidRPr="1CF76CEB">
        <w:rPr>
          <w:rFonts w:ascii="Verdana" w:hAnsi="Verdana"/>
        </w:rPr>
        <w:t>, and may also support effective integration</w:t>
      </w:r>
      <w:r w:rsidR="00616F49">
        <w:rPr>
          <w:rFonts w:ascii="Verdana" w:hAnsi="Verdana"/>
        </w:rPr>
        <w:t>.</w:t>
      </w:r>
    </w:p>
    <w:p w14:paraId="78E0747C" w14:textId="77777777" w:rsidR="005E4B66" w:rsidRPr="005E4B66" w:rsidRDefault="005E4B66" w:rsidP="001003CA">
      <w:pPr>
        <w:pStyle w:val="ListParagraph"/>
        <w:spacing w:line="276" w:lineRule="auto"/>
        <w:rPr>
          <w:rFonts w:ascii="Verdana" w:hAnsi="Verdana"/>
        </w:rPr>
      </w:pPr>
    </w:p>
    <w:p w14:paraId="372DF36D" w14:textId="0F493AD3" w:rsidR="005E4B66" w:rsidRPr="005E4B66" w:rsidRDefault="005E4B66" w:rsidP="001003CA">
      <w:pPr>
        <w:pStyle w:val="ListParagraph"/>
        <w:numPr>
          <w:ilvl w:val="1"/>
          <w:numId w:val="18"/>
        </w:numPr>
        <w:spacing w:line="276" w:lineRule="auto"/>
        <w:ind w:left="709"/>
        <w:rPr>
          <w:rFonts w:ascii="Verdana" w:hAnsi="Verdana"/>
        </w:rPr>
      </w:pPr>
      <w:r>
        <w:rPr>
          <w:rFonts w:ascii="Verdana" w:hAnsi="Verdana"/>
          <w:b/>
          <w:bCs/>
        </w:rPr>
        <w:t>The NIHRC recommends that the</w:t>
      </w:r>
      <w:r w:rsidR="00073586">
        <w:rPr>
          <w:rFonts w:ascii="Verdana" w:hAnsi="Verdana"/>
          <w:b/>
          <w:bCs/>
        </w:rPr>
        <w:t xml:space="preserve"> Department </w:t>
      </w:r>
      <w:r w:rsidR="006B60BF">
        <w:rPr>
          <w:rFonts w:ascii="Verdana" w:hAnsi="Verdana"/>
          <w:b/>
          <w:bCs/>
        </w:rPr>
        <w:t>for</w:t>
      </w:r>
      <w:r w:rsidR="00073586">
        <w:rPr>
          <w:rFonts w:ascii="Verdana" w:hAnsi="Verdana"/>
          <w:b/>
          <w:bCs/>
        </w:rPr>
        <w:t xml:space="preserve"> Infrastructure</w:t>
      </w:r>
      <w:r w:rsidR="00264973">
        <w:rPr>
          <w:rFonts w:ascii="Verdana" w:hAnsi="Verdana"/>
          <w:b/>
          <w:bCs/>
        </w:rPr>
        <w:t xml:space="preserve"> explores</w:t>
      </w:r>
      <w:r w:rsidR="00073586">
        <w:rPr>
          <w:rFonts w:ascii="Verdana" w:hAnsi="Verdana"/>
          <w:b/>
          <w:bCs/>
        </w:rPr>
        <w:t xml:space="preserve"> extend</w:t>
      </w:r>
      <w:r w:rsidR="00264973">
        <w:rPr>
          <w:rFonts w:ascii="Verdana" w:hAnsi="Verdana"/>
          <w:b/>
          <w:bCs/>
        </w:rPr>
        <w:t>ing</w:t>
      </w:r>
      <w:r w:rsidR="00073586">
        <w:rPr>
          <w:rFonts w:ascii="Verdana" w:hAnsi="Verdana"/>
          <w:b/>
          <w:bCs/>
        </w:rPr>
        <w:t xml:space="preserve"> the</w:t>
      </w:r>
      <w:r>
        <w:rPr>
          <w:rFonts w:ascii="Verdana" w:hAnsi="Verdana"/>
          <w:b/>
          <w:bCs/>
        </w:rPr>
        <w:t xml:space="preserve"> Concessionary Fares Scheme to </w:t>
      </w:r>
      <w:r w:rsidR="00073586">
        <w:rPr>
          <w:rFonts w:ascii="Verdana" w:hAnsi="Verdana"/>
          <w:b/>
          <w:bCs/>
        </w:rPr>
        <w:t xml:space="preserve">include </w:t>
      </w:r>
      <w:r>
        <w:rPr>
          <w:rFonts w:ascii="Verdana" w:hAnsi="Verdana"/>
          <w:b/>
          <w:bCs/>
        </w:rPr>
        <w:t>people seeking asylum and victims of human trafficking.</w:t>
      </w:r>
      <w:r w:rsidR="0056739A">
        <w:rPr>
          <w:rFonts w:ascii="Verdana" w:hAnsi="Verdana"/>
          <w:b/>
          <w:bCs/>
        </w:rPr>
        <w:t xml:space="preserve"> This should be done in consultation with people </w:t>
      </w:r>
      <w:r w:rsidR="00B53CF9">
        <w:rPr>
          <w:rFonts w:ascii="Verdana" w:hAnsi="Verdana"/>
          <w:b/>
          <w:bCs/>
        </w:rPr>
        <w:t xml:space="preserve">who have experienced this, and their representative organisations. </w:t>
      </w:r>
    </w:p>
    <w:p w14:paraId="14B5C6DB" w14:textId="77777777" w:rsidR="0076085F" w:rsidRPr="0076085F" w:rsidRDefault="0076085F" w:rsidP="001003CA">
      <w:pPr>
        <w:pStyle w:val="ListParagraph"/>
        <w:spacing w:line="276" w:lineRule="auto"/>
        <w:rPr>
          <w:rFonts w:ascii="Verdana" w:hAnsi="Verdana"/>
        </w:rPr>
      </w:pPr>
    </w:p>
    <w:p w14:paraId="0801E7A9" w14:textId="77777777" w:rsidR="004C6FC4" w:rsidRDefault="004C6FC4" w:rsidP="004C6FC4">
      <w:pPr>
        <w:pStyle w:val="ListParagraph"/>
        <w:spacing w:line="276" w:lineRule="auto"/>
        <w:ind w:left="709"/>
        <w:rPr>
          <w:rFonts w:ascii="Verdana" w:hAnsi="Verdana"/>
        </w:rPr>
      </w:pPr>
    </w:p>
    <w:p w14:paraId="63F8F3BD" w14:textId="6BCD7336" w:rsidR="006A3F5A" w:rsidRPr="00BE44E7" w:rsidRDefault="006A3F5A" w:rsidP="006A3F5A">
      <w:pPr>
        <w:spacing w:line="276" w:lineRule="auto"/>
        <w:rPr>
          <w:rFonts w:ascii="Verdana" w:hAnsi="Verdana"/>
        </w:rPr>
      </w:pPr>
    </w:p>
    <w:p w14:paraId="5B469D13" w14:textId="77777777" w:rsidR="00245151" w:rsidRPr="00000FC3" w:rsidRDefault="00245151" w:rsidP="00000FC3">
      <w:pPr>
        <w:rPr>
          <w:rFonts w:ascii="Verdana" w:hAnsi="Verdana"/>
        </w:rPr>
      </w:pPr>
    </w:p>
    <w:p w14:paraId="3F04C4A9" w14:textId="77777777" w:rsidR="008A4C43" w:rsidRPr="003B7D0E" w:rsidRDefault="008A4C43" w:rsidP="00331C61">
      <w:pPr>
        <w:pStyle w:val="BasicParagraph"/>
        <w:suppressAutoHyphens/>
        <w:rPr>
          <w:rFonts w:ascii="Verdana" w:hAnsi="Verdana" w:cs="Arial"/>
          <w:color w:val="77328A"/>
          <w:sz w:val="30"/>
          <w:szCs w:val="30"/>
        </w:rPr>
      </w:pPr>
    </w:p>
    <w:p w14:paraId="34F94A4E" w14:textId="77777777" w:rsidR="004672AC" w:rsidRPr="00331C61" w:rsidRDefault="004672AC" w:rsidP="00331C61">
      <w:pPr>
        <w:pStyle w:val="BasicParagraph"/>
        <w:suppressAutoHyphens/>
        <w:spacing w:line="240" w:lineRule="auto"/>
        <w:rPr>
          <w:rFonts w:ascii="Verdana" w:hAnsi="Verdana" w:cs="Arial"/>
          <w:color w:val="232120"/>
          <w:sz w:val="20"/>
          <w:szCs w:val="20"/>
        </w:rPr>
      </w:pPr>
    </w:p>
    <w:p w14:paraId="5AA4740B" w14:textId="77777777" w:rsidR="003B7D0E" w:rsidRPr="00331C61" w:rsidRDefault="003B7D0E" w:rsidP="00331C61">
      <w:pPr>
        <w:pStyle w:val="BasicParagraph"/>
        <w:suppressAutoHyphens/>
        <w:rPr>
          <w:rFonts w:ascii="Verdana" w:hAnsi="Verdana" w:cs="Arial"/>
          <w:color w:val="232120"/>
          <w:sz w:val="20"/>
          <w:szCs w:val="20"/>
        </w:rPr>
      </w:pPr>
    </w:p>
    <w:p w14:paraId="72049E70" w14:textId="77777777" w:rsidR="003B7D0E" w:rsidRDefault="003B7D0E" w:rsidP="00331C61">
      <w:pPr>
        <w:pStyle w:val="BasicParagraph"/>
        <w:suppressAutoHyphens/>
        <w:rPr>
          <w:rFonts w:ascii="Verdana" w:hAnsi="Verdana" w:cs="Arial"/>
          <w:color w:val="232120"/>
          <w:sz w:val="20"/>
          <w:szCs w:val="20"/>
        </w:rPr>
      </w:pPr>
    </w:p>
    <w:p w14:paraId="005BB1BF" w14:textId="77777777" w:rsidR="007C019D" w:rsidRDefault="007C019D" w:rsidP="00331C61">
      <w:pPr>
        <w:pStyle w:val="BasicParagraph"/>
        <w:suppressAutoHyphens/>
        <w:rPr>
          <w:rFonts w:ascii="Verdana" w:hAnsi="Verdana" w:cs="Arial"/>
          <w:color w:val="232120"/>
          <w:sz w:val="20"/>
          <w:szCs w:val="20"/>
        </w:rPr>
      </w:pPr>
    </w:p>
    <w:p w14:paraId="24554F78" w14:textId="77777777" w:rsidR="007C019D" w:rsidRDefault="007C019D" w:rsidP="00331C61">
      <w:pPr>
        <w:pStyle w:val="BasicParagraph"/>
        <w:suppressAutoHyphens/>
        <w:rPr>
          <w:rFonts w:ascii="Verdana" w:hAnsi="Verdana" w:cs="Arial"/>
          <w:color w:val="232120"/>
          <w:sz w:val="20"/>
          <w:szCs w:val="20"/>
        </w:rPr>
      </w:pPr>
    </w:p>
    <w:p w14:paraId="79265F8F" w14:textId="77777777" w:rsidR="007C019D" w:rsidRDefault="007C019D" w:rsidP="00331C61">
      <w:pPr>
        <w:pStyle w:val="BasicParagraph"/>
        <w:suppressAutoHyphens/>
        <w:rPr>
          <w:rFonts w:ascii="Verdana" w:hAnsi="Verdana" w:cs="Arial"/>
          <w:color w:val="232120"/>
          <w:sz w:val="20"/>
          <w:szCs w:val="20"/>
        </w:rPr>
      </w:pPr>
    </w:p>
    <w:p w14:paraId="647A55F3" w14:textId="77777777" w:rsidR="007C019D" w:rsidRDefault="007C019D" w:rsidP="00331C61">
      <w:pPr>
        <w:pStyle w:val="BasicParagraph"/>
        <w:suppressAutoHyphens/>
        <w:rPr>
          <w:rFonts w:ascii="Verdana" w:hAnsi="Verdana" w:cs="Arial"/>
          <w:color w:val="232120"/>
          <w:sz w:val="20"/>
          <w:szCs w:val="20"/>
        </w:rPr>
      </w:pPr>
    </w:p>
    <w:p w14:paraId="7154A296" w14:textId="77777777" w:rsidR="007C019D" w:rsidRDefault="007C019D" w:rsidP="00331C61">
      <w:pPr>
        <w:pStyle w:val="BasicParagraph"/>
        <w:suppressAutoHyphens/>
        <w:rPr>
          <w:rFonts w:ascii="Verdana" w:hAnsi="Verdana" w:cs="Arial"/>
          <w:color w:val="232120"/>
          <w:sz w:val="20"/>
          <w:szCs w:val="20"/>
        </w:rPr>
      </w:pPr>
    </w:p>
    <w:p w14:paraId="0E53F7F0" w14:textId="77777777" w:rsidR="007C019D" w:rsidRDefault="007C019D" w:rsidP="00331C61">
      <w:pPr>
        <w:pStyle w:val="BasicParagraph"/>
        <w:suppressAutoHyphens/>
        <w:rPr>
          <w:rFonts w:ascii="Verdana" w:hAnsi="Verdana" w:cs="Arial"/>
          <w:color w:val="232120"/>
          <w:sz w:val="20"/>
          <w:szCs w:val="20"/>
        </w:rPr>
      </w:pPr>
    </w:p>
    <w:p w14:paraId="3AEDA137" w14:textId="77777777" w:rsidR="007C019D" w:rsidRDefault="007C019D" w:rsidP="00331C61">
      <w:pPr>
        <w:pStyle w:val="BasicParagraph"/>
        <w:suppressAutoHyphens/>
        <w:rPr>
          <w:rFonts w:ascii="Verdana" w:hAnsi="Verdana" w:cs="Arial"/>
          <w:color w:val="232120"/>
          <w:sz w:val="20"/>
          <w:szCs w:val="20"/>
        </w:rPr>
      </w:pPr>
    </w:p>
    <w:p w14:paraId="6679706B" w14:textId="77777777" w:rsidR="007C019D" w:rsidRDefault="007C019D" w:rsidP="00331C61">
      <w:pPr>
        <w:pStyle w:val="BasicParagraph"/>
        <w:suppressAutoHyphens/>
        <w:rPr>
          <w:rFonts w:ascii="Verdana" w:hAnsi="Verdana" w:cs="Arial"/>
          <w:color w:val="232120"/>
          <w:sz w:val="20"/>
          <w:szCs w:val="20"/>
        </w:rPr>
      </w:pPr>
    </w:p>
    <w:p w14:paraId="6B663FD9" w14:textId="77777777" w:rsidR="007C019D" w:rsidRDefault="007C019D" w:rsidP="00331C61">
      <w:pPr>
        <w:pStyle w:val="BasicParagraph"/>
        <w:suppressAutoHyphens/>
        <w:rPr>
          <w:rFonts w:ascii="Verdana" w:hAnsi="Verdana" w:cs="Arial"/>
          <w:color w:val="232120"/>
          <w:sz w:val="20"/>
          <w:szCs w:val="20"/>
        </w:rPr>
      </w:pPr>
    </w:p>
    <w:p w14:paraId="098AFC33" w14:textId="77777777" w:rsidR="007C019D" w:rsidRDefault="007C019D" w:rsidP="00331C61">
      <w:pPr>
        <w:pStyle w:val="BasicParagraph"/>
        <w:suppressAutoHyphens/>
        <w:rPr>
          <w:rFonts w:ascii="Verdana" w:hAnsi="Verdana" w:cs="Arial"/>
          <w:color w:val="232120"/>
          <w:sz w:val="20"/>
          <w:szCs w:val="20"/>
        </w:rPr>
      </w:pPr>
    </w:p>
    <w:p w14:paraId="16255B19" w14:textId="77777777" w:rsidR="007C019D" w:rsidRDefault="007C019D" w:rsidP="00331C61">
      <w:pPr>
        <w:pStyle w:val="BasicParagraph"/>
        <w:suppressAutoHyphens/>
        <w:rPr>
          <w:rFonts w:ascii="Verdana" w:hAnsi="Verdana" w:cs="Arial"/>
          <w:color w:val="232120"/>
          <w:sz w:val="20"/>
          <w:szCs w:val="20"/>
        </w:rPr>
      </w:pPr>
    </w:p>
    <w:p w14:paraId="3D0F822F" w14:textId="2615BD5F" w:rsidR="007C019D" w:rsidRDefault="007C019D" w:rsidP="00331C61">
      <w:pPr>
        <w:pStyle w:val="BasicParagraph"/>
        <w:suppressAutoHyphens/>
        <w:rPr>
          <w:rFonts w:ascii="Verdana" w:hAnsi="Verdana" w:cs="Arial"/>
          <w:color w:val="232120"/>
          <w:sz w:val="20"/>
          <w:szCs w:val="20"/>
        </w:rPr>
      </w:pPr>
    </w:p>
    <w:p w14:paraId="452702AD" w14:textId="6C1CD92A" w:rsidR="007C019D" w:rsidRDefault="007C019D" w:rsidP="00331C61">
      <w:pPr>
        <w:pStyle w:val="BasicParagraph"/>
        <w:suppressAutoHyphens/>
        <w:rPr>
          <w:rFonts w:ascii="Verdana" w:hAnsi="Verdana" w:cs="Arial"/>
          <w:color w:val="232120"/>
          <w:sz w:val="20"/>
          <w:szCs w:val="20"/>
        </w:rPr>
      </w:pPr>
    </w:p>
    <w:p w14:paraId="4D51AD6A" w14:textId="1F123EB9" w:rsidR="007C019D" w:rsidRDefault="007C019D" w:rsidP="00331C61">
      <w:pPr>
        <w:pStyle w:val="BasicParagraph"/>
        <w:suppressAutoHyphens/>
        <w:rPr>
          <w:rFonts w:ascii="Verdana" w:hAnsi="Verdana" w:cs="Arial"/>
          <w:color w:val="232120"/>
          <w:sz w:val="20"/>
          <w:szCs w:val="20"/>
        </w:rPr>
      </w:pPr>
    </w:p>
    <w:p w14:paraId="4DC7E371" w14:textId="1DD1FB41" w:rsidR="007C019D" w:rsidRDefault="007C019D" w:rsidP="00331C61">
      <w:pPr>
        <w:pStyle w:val="BasicParagraph"/>
        <w:suppressAutoHyphens/>
        <w:rPr>
          <w:rFonts w:ascii="Verdana" w:hAnsi="Verdana" w:cs="Arial"/>
          <w:color w:val="232120"/>
          <w:sz w:val="20"/>
          <w:szCs w:val="20"/>
        </w:rPr>
      </w:pPr>
    </w:p>
    <w:p w14:paraId="6458270E" w14:textId="3C800DA7" w:rsidR="007C019D" w:rsidRDefault="007C019D" w:rsidP="00331C61">
      <w:pPr>
        <w:pStyle w:val="BasicParagraph"/>
        <w:suppressAutoHyphens/>
        <w:rPr>
          <w:rFonts w:ascii="Verdana" w:hAnsi="Verdana" w:cs="Arial"/>
          <w:color w:val="232120"/>
          <w:sz w:val="20"/>
          <w:szCs w:val="20"/>
        </w:rPr>
      </w:pPr>
    </w:p>
    <w:p w14:paraId="227CD161" w14:textId="1855F54D" w:rsidR="007C019D" w:rsidRDefault="007C019D" w:rsidP="00331C61">
      <w:pPr>
        <w:pStyle w:val="BasicParagraph"/>
        <w:suppressAutoHyphens/>
        <w:rPr>
          <w:rFonts w:ascii="Verdana" w:hAnsi="Verdana" w:cs="Arial"/>
          <w:color w:val="232120"/>
          <w:sz w:val="20"/>
          <w:szCs w:val="20"/>
        </w:rPr>
      </w:pPr>
    </w:p>
    <w:p w14:paraId="29E2F067" w14:textId="04565F97" w:rsidR="007C019D" w:rsidRPr="00331C61" w:rsidRDefault="007C019D" w:rsidP="00331C61">
      <w:pPr>
        <w:pStyle w:val="BasicParagraph"/>
        <w:suppressAutoHyphens/>
        <w:rPr>
          <w:rFonts w:ascii="Verdana" w:hAnsi="Verdana" w:cs="Arial"/>
          <w:color w:val="232120"/>
          <w:sz w:val="20"/>
          <w:szCs w:val="20"/>
        </w:rPr>
      </w:pPr>
    </w:p>
    <w:p w14:paraId="28FE8BC3" w14:textId="77777777" w:rsidR="003B7D0E" w:rsidRDefault="003B7D0E" w:rsidP="00D8419B">
      <w:pPr>
        <w:pStyle w:val="BasicParagraph"/>
        <w:suppressAutoHyphens/>
        <w:rPr>
          <w:rFonts w:ascii="Verdana" w:hAnsi="Verdana" w:cs="Arial"/>
          <w:color w:val="3C3C3B"/>
          <w:sz w:val="20"/>
          <w:szCs w:val="20"/>
        </w:rPr>
      </w:pPr>
    </w:p>
    <w:p w14:paraId="48448B4F" w14:textId="77777777" w:rsidR="003B7D0E" w:rsidRDefault="003B7D0E" w:rsidP="003B7D0E">
      <w:pPr>
        <w:pStyle w:val="BasicParagraph"/>
        <w:suppressAutoHyphens/>
        <w:jc w:val="center"/>
        <w:rPr>
          <w:rFonts w:ascii="Verdana" w:hAnsi="Verdana" w:cs="Arial"/>
          <w:color w:val="3C3C3B"/>
          <w:sz w:val="20"/>
          <w:szCs w:val="20"/>
        </w:rPr>
      </w:pPr>
    </w:p>
    <w:p w14:paraId="736762C3" w14:textId="77777777" w:rsidR="003B7D0E" w:rsidRDefault="003B7D0E" w:rsidP="00D8419B">
      <w:pPr>
        <w:pStyle w:val="BasicParagraph"/>
        <w:suppressAutoHyphens/>
        <w:jc w:val="center"/>
        <w:rPr>
          <w:rFonts w:ascii="Verdana" w:hAnsi="Verdana" w:cs="Arial"/>
          <w:color w:val="3C3C3B"/>
          <w:sz w:val="20"/>
          <w:szCs w:val="20"/>
        </w:rPr>
      </w:pPr>
    </w:p>
    <w:p w14:paraId="6044BD63" w14:textId="643F49EA" w:rsidR="00705833"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ntact us</w:t>
      </w:r>
    </w:p>
    <w:p w14:paraId="053549D2" w14:textId="77777777" w:rsidR="00441BB6" w:rsidRDefault="00441BB6" w:rsidP="00331C61">
      <w:pPr>
        <w:pStyle w:val="BasicParagraph"/>
        <w:suppressAutoHyphens/>
        <w:jc w:val="center"/>
        <w:rPr>
          <w:rFonts w:ascii="Verdana" w:hAnsi="Verdana" w:cs="Arial"/>
          <w:b/>
          <w:bCs/>
          <w:color w:val="77328A"/>
          <w:sz w:val="36"/>
          <w:szCs w:val="36"/>
        </w:rPr>
      </w:pPr>
    </w:p>
    <w:p w14:paraId="4912EDCD" w14:textId="498C313A" w:rsidR="00441BB6" w:rsidRPr="009E751C" w:rsidRDefault="00441BB6" w:rsidP="00331C61">
      <w:pPr>
        <w:pStyle w:val="BasicParagraph"/>
        <w:suppressAutoHyphens/>
        <w:jc w:val="center"/>
        <w:rPr>
          <w:rFonts w:ascii="Verdana" w:hAnsi="Verdana" w:cs="Arial"/>
          <w:b/>
          <w:bCs/>
          <w:color w:val="77328A"/>
          <w:sz w:val="36"/>
          <w:szCs w:val="36"/>
        </w:rPr>
      </w:pPr>
      <w:r w:rsidRPr="009E751C">
        <w:rPr>
          <w:rFonts w:ascii="Verdana" w:hAnsi="Verdana"/>
        </w:rPr>
        <w:t>Any queries please contact: Colin.Caughey@nihrc.org and Eilis.Haughey</w:t>
      </w:r>
      <w:r w:rsidR="009E751C" w:rsidRPr="009E751C">
        <w:rPr>
          <w:rFonts w:ascii="Verdana" w:hAnsi="Verdana"/>
        </w:rPr>
        <w:t>@nihrc.org</w:t>
      </w:r>
    </w:p>
    <w:p w14:paraId="48226431" w14:textId="77777777" w:rsidR="00331C61" w:rsidRPr="00331C61" w:rsidRDefault="00331C61" w:rsidP="00331C61">
      <w:pPr>
        <w:pStyle w:val="BasicParagraph"/>
        <w:suppressAutoHyphens/>
        <w:jc w:val="center"/>
        <w:rPr>
          <w:rFonts w:ascii="Verdana" w:hAnsi="Verdana" w:cs="Arial"/>
          <w:b/>
          <w:color w:val="77328A"/>
          <w:sz w:val="36"/>
          <w:szCs w:val="36"/>
        </w:rPr>
      </w:pPr>
    </w:p>
    <w:p w14:paraId="15DD3C00" w14:textId="77777777" w:rsidR="00331C61" w:rsidRPr="00331C61" w:rsidRDefault="00331C61" w:rsidP="003B7D0E">
      <w:pPr>
        <w:spacing w:line="288" w:lineRule="auto"/>
        <w:jc w:val="center"/>
        <w:rPr>
          <w:rFonts w:ascii="Verdana" w:hAnsi="Verdana" w:cs="Arial"/>
          <w:b/>
          <w:color w:val="232120"/>
          <w:sz w:val="30"/>
          <w:szCs w:val="30"/>
        </w:rPr>
      </w:pPr>
    </w:p>
    <w:p w14:paraId="63538671" w14:textId="77777777" w:rsidR="00331C61" w:rsidRPr="00331C61" w:rsidRDefault="00331C61" w:rsidP="003B7D0E">
      <w:pPr>
        <w:spacing w:line="288" w:lineRule="auto"/>
        <w:jc w:val="center"/>
        <w:rPr>
          <w:rFonts w:ascii="Verdana" w:hAnsi="Verdana" w:cs="Arial"/>
          <w:b/>
          <w:color w:val="232120"/>
          <w:sz w:val="30"/>
          <w:szCs w:val="30"/>
        </w:rPr>
      </w:pPr>
    </w:p>
    <w:p w14:paraId="165990F8" w14:textId="77777777" w:rsidR="00331C61" w:rsidRPr="00331C61" w:rsidRDefault="007C3AB8" w:rsidP="00331C61">
      <w:pPr>
        <w:spacing w:line="288" w:lineRule="auto"/>
        <w:jc w:val="center"/>
        <w:rPr>
          <w:rFonts w:ascii="Verdana" w:hAnsi="Verdana" w:cs="Arial"/>
          <w:color w:val="232120"/>
          <w:sz w:val="28"/>
          <w:szCs w:val="28"/>
        </w:rPr>
      </w:pPr>
      <w:hyperlink r:id="rId12"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3"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051B2D80"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7EAD2BD6" w14:textId="77777777" w:rsidR="00F56C78" w:rsidRPr="00331C61" w:rsidRDefault="00F56C78" w:rsidP="003B7D0E">
      <w:pPr>
        <w:spacing w:line="288" w:lineRule="auto"/>
        <w:jc w:val="center"/>
        <w:rPr>
          <w:rFonts w:ascii="Verdana" w:hAnsi="Verdana" w:cs="Arial"/>
          <w:b/>
          <w:color w:val="232120"/>
          <w:sz w:val="28"/>
          <w:szCs w:val="28"/>
        </w:rPr>
      </w:pPr>
    </w:p>
    <w:p w14:paraId="5477B49D" w14:textId="77777777" w:rsidR="00F56C78" w:rsidRPr="00331C61" w:rsidRDefault="00F56C78" w:rsidP="003B7D0E">
      <w:pPr>
        <w:spacing w:line="288" w:lineRule="auto"/>
        <w:jc w:val="center"/>
        <w:rPr>
          <w:rFonts w:ascii="Verdana" w:hAnsi="Verdana" w:cs="Arial"/>
          <w:color w:val="232120"/>
          <w:sz w:val="20"/>
          <w:szCs w:val="20"/>
        </w:rPr>
      </w:pPr>
    </w:p>
    <w:p w14:paraId="0F58DF41"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A465B59" wp14:editId="082B4B77">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DF22" w14:textId="77777777" w:rsidR="001230B2" w:rsidRDefault="001230B2" w:rsidP="00962B2B">
      <w:r>
        <w:separator/>
      </w:r>
    </w:p>
  </w:endnote>
  <w:endnote w:type="continuationSeparator" w:id="0">
    <w:p w14:paraId="6878FAD2" w14:textId="77777777" w:rsidR="001230B2" w:rsidRDefault="001230B2" w:rsidP="00962B2B">
      <w:r>
        <w:continuationSeparator/>
      </w:r>
    </w:p>
  </w:endnote>
  <w:endnote w:type="continuationNotice" w:id="1">
    <w:p w14:paraId="719A15F6" w14:textId="77777777" w:rsidR="001230B2" w:rsidRDefault="00123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6E23" w14:textId="77777777" w:rsidR="00D2770F" w:rsidRDefault="00D2770F" w:rsidP="00656ECD">
    <w:pPr>
      <w:pStyle w:val="Footer"/>
      <w:jc w:val="right"/>
      <w:rPr>
        <w:rStyle w:val="PageNumber"/>
        <w:rFonts w:ascii="Arial" w:hAnsi="Arial" w:cs="Arial"/>
        <w:b/>
        <w:sz w:val="16"/>
        <w:szCs w:val="16"/>
      </w:rPr>
    </w:pPr>
  </w:p>
  <w:p w14:paraId="0CEC2509"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801600">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E791" w14:textId="77777777" w:rsidR="00D2770F" w:rsidRDefault="00D2770F" w:rsidP="00046705">
    <w:pPr>
      <w:pStyle w:val="Footer"/>
      <w:jc w:val="right"/>
      <w:rPr>
        <w:rStyle w:val="PageNumber"/>
        <w:rFonts w:ascii="Arial" w:hAnsi="Arial" w:cs="Arial"/>
        <w:b/>
        <w:sz w:val="16"/>
        <w:szCs w:val="16"/>
      </w:rPr>
    </w:pPr>
  </w:p>
  <w:p w14:paraId="06A07135"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A61A" w14:textId="77777777" w:rsidR="001230B2" w:rsidRDefault="001230B2" w:rsidP="00B96D34">
      <w:r>
        <w:continuationSeparator/>
      </w:r>
    </w:p>
    <w:p w14:paraId="54F70125" w14:textId="77777777" w:rsidR="001230B2" w:rsidRPr="00B96D34" w:rsidRDefault="001230B2" w:rsidP="00B96D34">
      <w:pPr>
        <w:pStyle w:val="Footer"/>
      </w:pPr>
    </w:p>
  </w:footnote>
  <w:footnote w:type="continuationSeparator" w:id="0">
    <w:p w14:paraId="7E84DDE6" w14:textId="77777777" w:rsidR="001230B2" w:rsidRDefault="001230B2" w:rsidP="00962B2B">
      <w:r>
        <w:continuationSeparator/>
      </w:r>
    </w:p>
  </w:footnote>
  <w:footnote w:type="continuationNotice" w:id="1">
    <w:p w14:paraId="58363CAB" w14:textId="77777777" w:rsidR="001230B2" w:rsidRDefault="001230B2"/>
  </w:footnote>
  <w:footnote w:id="2">
    <w:p w14:paraId="1BAF370F" w14:textId="683902EF" w:rsidR="00E10CEA" w:rsidRDefault="00E10CEA" w:rsidP="00BE56F5">
      <w:pPr>
        <w:pStyle w:val="NIHRCFootnotes"/>
      </w:pPr>
      <w:r w:rsidRPr="00707DD0">
        <w:rPr>
          <w:rStyle w:val="FootnoteReference"/>
        </w:rPr>
        <w:footnoteRef/>
      </w:r>
      <w:r w:rsidRPr="00707DD0">
        <w:t xml:space="preserve"> 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728B92EB" w14:textId="39E62FA1" w:rsidR="00DD49DC" w:rsidRDefault="00DD49DC" w:rsidP="008314FE">
      <w:pPr>
        <w:pStyle w:val="NIHRCFootnotes"/>
      </w:pPr>
      <w:r>
        <w:rPr>
          <w:rStyle w:val="FootnoteReference"/>
        </w:rPr>
        <w:footnoteRef/>
      </w:r>
      <w:r>
        <w:t xml:space="preserve"> </w:t>
      </w:r>
      <w:r w:rsidR="008110F8">
        <w:t>R</w:t>
      </w:r>
      <w:r w:rsidR="00AB7044">
        <w:t xml:space="preserve">atified </w:t>
      </w:r>
      <w:r w:rsidR="008110F8">
        <w:t>by the UK in 1976.</w:t>
      </w:r>
    </w:p>
  </w:footnote>
  <w:footnote w:id="4">
    <w:p w14:paraId="651D8E3C" w14:textId="4F8B65E7" w:rsidR="008110F8" w:rsidRDefault="008110F8" w:rsidP="008314FE">
      <w:pPr>
        <w:pStyle w:val="NIHRCFootnotes"/>
      </w:pPr>
      <w:r>
        <w:rPr>
          <w:rStyle w:val="FootnoteReference"/>
        </w:rPr>
        <w:footnoteRef/>
      </w:r>
      <w:r>
        <w:t xml:space="preserve"> </w:t>
      </w:r>
      <w:r w:rsidR="00E41428">
        <w:t>Ratified by the UK in 2009.</w:t>
      </w:r>
    </w:p>
  </w:footnote>
  <w:footnote w:id="5">
    <w:p w14:paraId="322EAB90" w14:textId="1E88E8B9" w:rsidR="00BC3203" w:rsidRDefault="00BC3203" w:rsidP="008314FE">
      <w:pPr>
        <w:pStyle w:val="NIHRCFootnotes"/>
      </w:pPr>
      <w:r>
        <w:rPr>
          <w:rStyle w:val="FootnoteReference"/>
        </w:rPr>
        <w:footnoteRef/>
      </w:r>
      <w:r>
        <w:t xml:space="preserve"> </w:t>
      </w:r>
      <w:r w:rsidR="008110F8">
        <w:t>Ratified by the UK in 1991.</w:t>
      </w:r>
    </w:p>
  </w:footnote>
  <w:footnote w:id="6">
    <w:p w14:paraId="136B4559" w14:textId="2EBB9867" w:rsidR="00E51E0D" w:rsidRDefault="00E51E0D" w:rsidP="008314FE">
      <w:pPr>
        <w:pStyle w:val="NIHRCFootnotes"/>
      </w:pPr>
      <w:r>
        <w:rPr>
          <w:rStyle w:val="FootnoteReference"/>
        </w:rPr>
        <w:footnoteRef/>
      </w:r>
      <w:r>
        <w:t xml:space="preserve"> </w:t>
      </w:r>
      <w:r w:rsidR="00E41428">
        <w:t>Ratified by the UK in 1986.</w:t>
      </w:r>
    </w:p>
  </w:footnote>
  <w:footnote w:id="7">
    <w:p w14:paraId="7ECEECF5" w14:textId="263081D3" w:rsidR="00642AF5" w:rsidRDefault="00642AF5" w:rsidP="009370C9">
      <w:pPr>
        <w:pStyle w:val="NIHRCFootnotes"/>
      </w:pPr>
      <w:r>
        <w:rPr>
          <w:rStyle w:val="FootnoteReference"/>
        </w:rPr>
        <w:footnoteRef/>
      </w:r>
      <w:r>
        <w:t xml:space="preserve"> </w:t>
      </w:r>
      <w:r w:rsidR="008314FE">
        <w:t>Recommendation CM/Rec(2014)2, ‘CoE Committee of Ministers to Member States on the Promotion of Human Rights of Older Persons’, 19 February 2014.</w:t>
      </w:r>
    </w:p>
  </w:footnote>
  <w:footnote w:id="8">
    <w:p w14:paraId="29D2852C" w14:textId="15CAFC96" w:rsidR="00E977F3" w:rsidRDefault="00E977F3" w:rsidP="009370C9">
      <w:pPr>
        <w:pStyle w:val="NIHRCFootnotes"/>
      </w:pPr>
      <w:r>
        <w:rPr>
          <w:rStyle w:val="FootnoteReference"/>
        </w:rPr>
        <w:footnoteRef/>
      </w:r>
      <w:r>
        <w:t xml:space="preserve"> </w:t>
      </w:r>
      <w:r w:rsidR="00E401F1">
        <w:t>Committee on Economic, Social and Cultural Rights, ‘General Comment No. 6: the economic, social and cultural rights of older persons’.</w:t>
      </w:r>
    </w:p>
  </w:footnote>
  <w:footnote w:id="9">
    <w:p w14:paraId="03AEE299" w14:textId="5456B134" w:rsidR="001A15CA" w:rsidRDefault="001A15CA" w:rsidP="009370C9">
      <w:pPr>
        <w:pStyle w:val="NIHRCFootnotes"/>
      </w:pPr>
      <w:r>
        <w:rPr>
          <w:rStyle w:val="FootnoteReference"/>
        </w:rPr>
        <w:footnoteRef/>
      </w:r>
      <w:r>
        <w:t xml:space="preserve"> </w:t>
      </w:r>
      <w:r w:rsidR="00382F20">
        <w:t>CRPD/C/GC/5,’ UN CRPD Committee General Comment No 5: Living Independently and Being Included in the Community’, 27 October 2017</w:t>
      </w:r>
    </w:p>
  </w:footnote>
  <w:footnote w:id="10">
    <w:p w14:paraId="0052034C" w14:textId="79D406F1" w:rsidR="00865EC5" w:rsidRDefault="00865EC5" w:rsidP="009370C9">
      <w:pPr>
        <w:pStyle w:val="NIHRCFootnotes"/>
      </w:pPr>
      <w:r>
        <w:rPr>
          <w:rStyle w:val="FootnoteReference"/>
        </w:rPr>
        <w:footnoteRef/>
      </w:r>
      <w:r>
        <w:t xml:space="preserve"> </w:t>
      </w:r>
      <w:r w:rsidR="009370C9">
        <w:t>A/HRC/39/50, Report of the Independent Expert on the enjoyment of all human rights by older persons, 10 July 2018.</w:t>
      </w:r>
    </w:p>
  </w:footnote>
  <w:footnote w:id="11">
    <w:p w14:paraId="33E19CE2" w14:textId="019E334F" w:rsidR="00572865" w:rsidRDefault="00572865" w:rsidP="009370C9">
      <w:pPr>
        <w:pStyle w:val="NIHRCFootnotes"/>
      </w:pPr>
      <w:r>
        <w:rPr>
          <w:rStyle w:val="FootnoteReference"/>
        </w:rPr>
        <w:footnoteRef/>
      </w:r>
      <w:r>
        <w:t xml:space="preserve"> </w:t>
      </w:r>
      <w:r w:rsidR="009370C9">
        <w:t>A/HRC/41/39.Add.1, Report of the Special Rapporteur on extreme poverty and human rights on their visit to the UK of Great Britain and NI, 23 April 2018.</w:t>
      </w:r>
    </w:p>
  </w:footnote>
  <w:footnote w:id="12">
    <w:p w14:paraId="7448624C" w14:textId="21765FD2" w:rsidR="00E90973" w:rsidRDefault="00E90973" w:rsidP="00E90973">
      <w:pPr>
        <w:pStyle w:val="NIHRCFootnotes"/>
      </w:pPr>
      <w:r>
        <w:rPr>
          <w:rStyle w:val="FootnoteReference"/>
        </w:rPr>
        <w:footnoteRef/>
      </w:r>
      <w:r>
        <w:t xml:space="preserve"> Department </w:t>
      </w:r>
      <w:r w:rsidR="00CC22B5">
        <w:t xml:space="preserve">for </w:t>
      </w:r>
      <w:r>
        <w:t>Infrastructure, ‘Consultation on free and discounted fares on public transport (concessionary fares)’, (D</w:t>
      </w:r>
      <w:r w:rsidR="00F47E2A">
        <w:t>f</w:t>
      </w:r>
      <w:r>
        <w:t>I, 2023), at 2.</w:t>
      </w:r>
    </w:p>
  </w:footnote>
  <w:footnote w:id="13">
    <w:p w14:paraId="4608949D" w14:textId="2852B621" w:rsidR="00BF57C0" w:rsidRDefault="00BF57C0" w:rsidP="00260B09">
      <w:pPr>
        <w:pStyle w:val="NIHRCFootnotes"/>
      </w:pPr>
      <w:r>
        <w:rPr>
          <w:rStyle w:val="FootnoteReference"/>
        </w:rPr>
        <w:footnoteRef/>
      </w:r>
      <w:r>
        <w:t xml:space="preserve"> Department </w:t>
      </w:r>
      <w:r w:rsidR="009E5A22">
        <w:t>for</w:t>
      </w:r>
      <w:r>
        <w:t xml:space="preserve"> Infrastructure, ‘Consultation on free and discounted fares on public transport (concessionary fares)’, (D</w:t>
      </w:r>
      <w:r w:rsidR="009E5A22">
        <w:t>f</w:t>
      </w:r>
      <w:r>
        <w:t xml:space="preserve">I, 2023), at </w:t>
      </w:r>
      <w:r w:rsidR="00F47E2A">
        <w:t>3</w:t>
      </w:r>
      <w:r>
        <w:t>.</w:t>
      </w:r>
    </w:p>
  </w:footnote>
  <w:footnote w:id="14">
    <w:p w14:paraId="0C5B21A0" w14:textId="0821E051" w:rsidR="00D50DAB" w:rsidRDefault="00D50DAB" w:rsidP="00260B09">
      <w:pPr>
        <w:pStyle w:val="NIHRCFootnotes"/>
      </w:pPr>
      <w:r>
        <w:rPr>
          <w:rStyle w:val="FootnoteReference"/>
        </w:rPr>
        <w:footnoteRef/>
      </w:r>
      <w:r>
        <w:t xml:space="preserve"> Department </w:t>
      </w:r>
      <w:r w:rsidR="009E5A22">
        <w:t xml:space="preserve">for </w:t>
      </w:r>
      <w:r>
        <w:t>Infrastructure, ‘Consultation on free and discounted fares on public transport (concessionary fares)’, (DfI, 2023), at 2.</w:t>
      </w:r>
    </w:p>
  </w:footnote>
  <w:footnote w:id="15">
    <w:p w14:paraId="23DBC437" w14:textId="16A72C1D" w:rsidR="00B47551" w:rsidRDefault="00B47551" w:rsidP="00260B09">
      <w:pPr>
        <w:pStyle w:val="NIHRCFootnotes"/>
      </w:pPr>
      <w:r>
        <w:rPr>
          <w:rStyle w:val="FootnoteReference"/>
        </w:rPr>
        <w:footnoteRef/>
      </w:r>
      <w:r>
        <w:t xml:space="preserve"> Department </w:t>
      </w:r>
      <w:r w:rsidR="009E5A22">
        <w:t xml:space="preserve">for </w:t>
      </w:r>
      <w:r>
        <w:t>Infrastructure, ‘Consultation on free and discounted fares on public transport (concessionary fares)’, (DfI, 2023), at 2.</w:t>
      </w:r>
    </w:p>
  </w:footnote>
  <w:footnote w:id="16">
    <w:p w14:paraId="2824F50D" w14:textId="77777777" w:rsidR="004A1439" w:rsidRPr="00BD4F87" w:rsidRDefault="004A1439" w:rsidP="004A1439">
      <w:pPr>
        <w:pStyle w:val="NIHRCFootnotes"/>
      </w:pPr>
      <w:r w:rsidRPr="00BD4F87">
        <w:rPr>
          <w:rStyle w:val="FootnoteReference"/>
        </w:rPr>
        <w:footnoteRef/>
      </w:r>
      <w:r w:rsidRPr="00BD4F87">
        <w:t xml:space="preserve"> E/</w:t>
      </w:r>
      <w:r>
        <w:t>1991/23</w:t>
      </w:r>
      <w:r w:rsidRPr="00BD4F87">
        <w:t>, ‘ICESCR Committee General Comment No.3: The nature of State Parties’ obligations’, 14 December 1990, at para 9.</w:t>
      </w:r>
    </w:p>
  </w:footnote>
  <w:footnote w:id="17">
    <w:p w14:paraId="6A2A253D" w14:textId="6264363A" w:rsidR="009957BE" w:rsidRDefault="009957BE" w:rsidP="00EB2F1D">
      <w:pPr>
        <w:pStyle w:val="NIHRCFootnotes"/>
      </w:pPr>
      <w:r>
        <w:rPr>
          <w:rStyle w:val="FootnoteReference"/>
        </w:rPr>
        <w:footnoteRef/>
      </w:r>
      <w:r>
        <w:t xml:space="preserve"> </w:t>
      </w:r>
      <w:r w:rsidR="00EB2F1D">
        <w:t>Committee on Economic, Social and Cultural Rights, ‘General Comment No. 6: the economic, social and cultural rights of older persons’</w:t>
      </w:r>
      <w:r w:rsidR="001079B3">
        <w:t>, at para 10.</w:t>
      </w:r>
    </w:p>
  </w:footnote>
  <w:footnote w:id="18">
    <w:p w14:paraId="6606B084" w14:textId="0D3F689C" w:rsidR="0000761F" w:rsidRDefault="0000761F" w:rsidP="00EB2F1D">
      <w:pPr>
        <w:pStyle w:val="NIHRCFootnotes"/>
      </w:pPr>
      <w:r>
        <w:rPr>
          <w:rStyle w:val="FootnoteReference"/>
        </w:rPr>
        <w:footnoteRef/>
      </w:r>
      <w:r>
        <w:t xml:space="preserve"> </w:t>
      </w:r>
      <w:r w:rsidR="00EB2F1D">
        <w:t xml:space="preserve">Committee on Economic, Social and Cultural Rights, ‘General Comment No. 6: the economic, social and cultural rights of older persons’, </w:t>
      </w:r>
      <w:r>
        <w:t>at para 10.</w:t>
      </w:r>
    </w:p>
  </w:footnote>
  <w:footnote w:id="19">
    <w:p w14:paraId="77243D5F" w14:textId="77777777" w:rsidR="00D802F6" w:rsidRDefault="00D802F6" w:rsidP="00D802F6">
      <w:pPr>
        <w:pStyle w:val="NIHRCFootnotes"/>
      </w:pPr>
      <w:r>
        <w:rPr>
          <w:rStyle w:val="FootnoteReference"/>
        </w:rPr>
        <w:footnoteRef/>
      </w:r>
      <w:r>
        <w:t xml:space="preserve"> </w:t>
      </w:r>
      <w:r w:rsidRPr="002F4FC6">
        <w:t>UK Parliament</w:t>
      </w:r>
      <w:r w:rsidRPr="00DD4A48">
        <w:t xml:space="preserve">, ‘Written Statement: NI Finances 2023-24 – Chris Heaton-Harris, Secretary of State for NI - UIN </w:t>
      </w:r>
      <w:r w:rsidRPr="0016312C">
        <w:t>HCWS748’, 27 April 2023.</w:t>
      </w:r>
    </w:p>
  </w:footnote>
  <w:footnote w:id="20">
    <w:p w14:paraId="44536F4E" w14:textId="77777777" w:rsidR="00D802F6" w:rsidRPr="00E4712B" w:rsidRDefault="00D802F6" w:rsidP="00972A06">
      <w:pPr>
        <w:pStyle w:val="NIHRCFootnotes"/>
      </w:pPr>
      <w:r w:rsidRPr="00E4712B">
        <w:rPr>
          <w:rStyle w:val="FootnoteReference"/>
        </w:rPr>
        <w:footnoteRef/>
      </w:r>
      <w:r w:rsidRPr="00E4712B">
        <w:t xml:space="preserve"> E/</w:t>
      </w:r>
      <w:r>
        <w:t>1990/23</w:t>
      </w:r>
      <w:r w:rsidRPr="00E4712B">
        <w:t>, ‘ICESCR Committee General Comment No.2: International technical assistance measures’, 2 February 1990, at para 9</w:t>
      </w:r>
      <w:r>
        <w:t>; Council of Europe Commissioner for Human Rights, ‘Safeguarding human rights in times of economic crisis’ (CoE, 2013), at 7.</w:t>
      </w:r>
    </w:p>
  </w:footnote>
  <w:footnote w:id="21">
    <w:p w14:paraId="4FE1DEAC" w14:textId="77777777" w:rsidR="00D802F6" w:rsidRPr="000D6AAF" w:rsidRDefault="00D802F6" w:rsidP="00972A06">
      <w:pPr>
        <w:pStyle w:val="NIHRCFootnotes"/>
      </w:pPr>
      <w:r w:rsidRPr="000D6AAF">
        <w:rPr>
          <w:rStyle w:val="FootnoteReference"/>
        </w:rPr>
        <w:footnoteRef/>
      </w:r>
      <w:r w:rsidRPr="000D6AAF">
        <w:t xml:space="preserve"> Council of Europe Commissioner for Human Rights, ‘Safeguarding human rights in times of economic crisis’ (CoE, 2013), at 7.</w:t>
      </w:r>
    </w:p>
  </w:footnote>
  <w:footnote w:id="22">
    <w:p w14:paraId="2728566F" w14:textId="77777777" w:rsidR="00D802F6" w:rsidRPr="000D6AAF" w:rsidRDefault="00D802F6" w:rsidP="00972A06">
      <w:pPr>
        <w:pStyle w:val="NIHRCFootnotes"/>
      </w:pPr>
      <w:r w:rsidRPr="000D6AAF">
        <w:rPr>
          <w:rStyle w:val="FootnoteReference"/>
        </w:rPr>
        <w:footnoteRef/>
      </w:r>
      <w:r w:rsidRPr="000D6AAF">
        <w:t xml:space="preserve"> Ibid.</w:t>
      </w:r>
    </w:p>
  </w:footnote>
  <w:footnote w:id="23">
    <w:p w14:paraId="2CD9C851" w14:textId="6E1F86A8" w:rsidR="004A1439" w:rsidRDefault="004A1439" w:rsidP="00EB2F1D">
      <w:pPr>
        <w:pStyle w:val="NIHRCFootnotes"/>
      </w:pPr>
      <w:r>
        <w:rPr>
          <w:rStyle w:val="FootnoteReference"/>
        </w:rPr>
        <w:footnoteRef/>
      </w:r>
      <w:r>
        <w:t xml:space="preserve"> </w:t>
      </w:r>
      <w:r w:rsidR="00063FAD">
        <w:t xml:space="preserve">Committee on </w:t>
      </w:r>
      <w:r w:rsidR="00EA723F">
        <w:t xml:space="preserve">Economic, Social and Cultural Rights, </w:t>
      </w:r>
      <w:r w:rsidR="00EB2F1D">
        <w:t>‘</w:t>
      </w:r>
      <w:r>
        <w:t xml:space="preserve">General Comment </w:t>
      </w:r>
      <w:r w:rsidR="002877F4">
        <w:t>N</w:t>
      </w:r>
      <w:r>
        <w:t>o</w:t>
      </w:r>
      <w:r w:rsidR="002877F4">
        <w:t>.</w:t>
      </w:r>
      <w:r>
        <w:t xml:space="preserve"> 6</w:t>
      </w:r>
      <w:r w:rsidR="002877F4">
        <w:t>: the economic, social and cultural rights of older persons</w:t>
      </w:r>
      <w:r w:rsidR="00991CA8">
        <w:t>’</w:t>
      </w:r>
      <w:r>
        <w:t>, at para 33.</w:t>
      </w:r>
    </w:p>
  </w:footnote>
  <w:footnote w:id="24">
    <w:p w14:paraId="58B4F3CB" w14:textId="4D2C9731" w:rsidR="00F6379D" w:rsidRDefault="00F6379D" w:rsidP="00F6379D">
      <w:pPr>
        <w:pStyle w:val="NIHRCFootnotes"/>
      </w:pPr>
      <w:r>
        <w:rPr>
          <w:rStyle w:val="FootnoteReference"/>
        </w:rPr>
        <w:footnoteRef/>
      </w:r>
      <w:r>
        <w:t xml:space="preserve"> </w:t>
      </w:r>
      <w:r w:rsidR="00450939">
        <w:t>A/HRC/39/50, Report of the Independent Expert on the enjoyment of all human rights by older persons, 10 July 2018, at para 30.</w:t>
      </w:r>
    </w:p>
  </w:footnote>
  <w:footnote w:id="25">
    <w:p w14:paraId="2BEC6DE5" w14:textId="00724F82" w:rsidR="006D3A45" w:rsidRDefault="006D3A45" w:rsidP="00AF2AEE">
      <w:pPr>
        <w:pStyle w:val="NIHRCFootnotes"/>
      </w:pPr>
      <w:r>
        <w:rPr>
          <w:rStyle w:val="FootnoteReference"/>
        </w:rPr>
        <w:footnoteRef/>
      </w:r>
      <w:r>
        <w:t xml:space="preserve"> Recommendation CM/Rec(2014)2, ‘CoE Committee of Ministers to Member States on the Promotion of Human Rights of Older Persons’, 19 February 2014, at </w:t>
      </w:r>
      <w:r w:rsidR="00AF2AEE">
        <w:t>7.</w:t>
      </w:r>
    </w:p>
  </w:footnote>
  <w:footnote w:id="26">
    <w:p w14:paraId="0B2F9580" w14:textId="019755D3" w:rsidR="000E35C6" w:rsidRDefault="000E35C6" w:rsidP="00692470">
      <w:pPr>
        <w:pStyle w:val="NIHRCFootnotes"/>
      </w:pPr>
      <w:r>
        <w:rPr>
          <w:rStyle w:val="FootnoteReference"/>
        </w:rPr>
        <w:footnoteRef/>
      </w:r>
      <w:r>
        <w:t xml:space="preserve"> </w:t>
      </w:r>
      <w:r w:rsidR="00692470">
        <w:t>Recommendation CM/Rec(2014)2, ‘CoE Committee of Ministers to Member States on the Promotion of Human Rights of Older Persons’, 19 February 2014, at para 22.</w:t>
      </w:r>
    </w:p>
  </w:footnote>
  <w:footnote w:id="27">
    <w:p w14:paraId="7A9E14F4" w14:textId="632C9E45" w:rsidR="0032541A" w:rsidRDefault="0032541A" w:rsidP="000039A0">
      <w:pPr>
        <w:pStyle w:val="NIHRCFootnotes"/>
      </w:pPr>
      <w:r>
        <w:rPr>
          <w:rStyle w:val="FootnoteReference"/>
        </w:rPr>
        <w:footnoteRef/>
      </w:r>
      <w:r>
        <w:t xml:space="preserve"> </w:t>
      </w:r>
      <w:r w:rsidR="000039A0" w:rsidRPr="006F1059">
        <w:t xml:space="preserve">Department for Infrastructure, ‘Consultation on free and discounted fares on public transport (concessionary fares)’, (DfI, 2023), at </w:t>
      </w:r>
      <w:r w:rsidR="000039A0">
        <w:t>2.</w:t>
      </w:r>
    </w:p>
  </w:footnote>
  <w:footnote w:id="28">
    <w:p w14:paraId="29EDE79A" w14:textId="5567643A" w:rsidR="00A40C8E" w:rsidRDefault="00A40C8E" w:rsidP="00664CC2">
      <w:pPr>
        <w:pStyle w:val="NIHRCFootnotes"/>
      </w:pPr>
      <w:r>
        <w:rPr>
          <w:rStyle w:val="FootnoteReference"/>
        </w:rPr>
        <w:footnoteRef/>
      </w:r>
      <w:r>
        <w:t xml:space="preserve"> United Nations, ‘Climate Change’ https://www.un.org/en/sections/issues-depth/climate-change/index.html</w:t>
      </w:r>
    </w:p>
  </w:footnote>
  <w:footnote w:id="29">
    <w:p w14:paraId="47F9E4BE" w14:textId="0EC9D9ED" w:rsidR="00676B60" w:rsidRDefault="00676B60" w:rsidP="00664CC2">
      <w:pPr>
        <w:pStyle w:val="NIHRCFootnotes"/>
      </w:pPr>
      <w:r>
        <w:rPr>
          <w:rStyle w:val="FootnoteReference"/>
        </w:rPr>
        <w:footnoteRef/>
      </w:r>
      <w:r>
        <w:t xml:space="preserve"> UN Paris Agreement, 2015. The UK Government signed and ratified the Paris Agreement in 2016.</w:t>
      </w:r>
    </w:p>
  </w:footnote>
  <w:footnote w:id="30">
    <w:p w14:paraId="561B142F" w14:textId="6B40EC56" w:rsidR="00861981" w:rsidRDefault="00861981" w:rsidP="00AC5E9E">
      <w:pPr>
        <w:pStyle w:val="NIHRCFootnotes"/>
      </w:pPr>
      <w:r>
        <w:rPr>
          <w:rStyle w:val="FootnoteReference"/>
        </w:rPr>
        <w:footnoteRef/>
      </w:r>
      <w:r>
        <w:t xml:space="preserve"> United Nations, ‘</w:t>
      </w:r>
      <w:r w:rsidR="00AC5E9E">
        <w:t xml:space="preserve">The Paris Agreement’. Available at: </w:t>
      </w:r>
      <w:hyperlink r:id="rId1" w:history="1">
        <w:r w:rsidR="00AC5E9E">
          <w:rPr>
            <w:rStyle w:val="Hyperlink"/>
          </w:rPr>
          <w:t>The Paris Agreement | United Nations</w:t>
        </w:r>
      </w:hyperlink>
    </w:p>
  </w:footnote>
  <w:footnote w:id="31">
    <w:p w14:paraId="4A293485" w14:textId="14B773DC" w:rsidR="005F7E8A" w:rsidRPr="006F1059" w:rsidRDefault="005F7E8A" w:rsidP="006F1059">
      <w:pPr>
        <w:pStyle w:val="NIHRCFootnotes"/>
      </w:pPr>
      <w:r w:rsidRPr="006F1059">
        <w:rPr>
          <w:rStyle w:val="FootnoteReference"/>
          <w:vertAlign w:val="baseline"/>
        </w:rPr>
        <w:footnoteRef/>
      </w:r>
      <w:r w:rsidRPr="006F1059">
        <w:t xml:space="preserve"> Department for Infrastructure, ‘Consultation on free and discounted fares on public transport (concessionary fares)’, (DfI, 2023), at </w:t>
      </w:r>
      <w:r w:rsidR="006F1059" w:rsidRPr="006F1059">
        <w:t>17.</w:t>
      </w:r>
    </w:p>
  </w:footnote>
  <w:footnote w:id="32">
    <w:p w14:paraId="63A61C6E" w14:textId="26542037" w:rsidR="00FD39E3" w:rsidRDefault="00FD39E3" w:rsidP="00FD39E3">
      <w:pPr>
        <w:pStyle w:val="NIHRCFootnotes"/>
      </w:pPr>
      <w:r>
        <w:rPr>
          <w:rStyle w:val="FootnoteReference"/>
        </w:rPr>
        <w:footnoteRef/>
      </w:r>
      <w:r>
        <w:t xml:space="preserve"> Department </w:t>
      </w:r>
      <w:r w:rsidR="009E5A22">
        <w:t xml:space="preserve">for </w:t>
      </w:r>
      <w:r>
        <w:t>Infrastructure, ‘Consultation on free and discounted fares on public transport (concessionary fares)’, (D</w:t>
      </w:r>
      <w:r w:rsidR="009E5A22">
        <w:t>f</w:t>
      </w:r>
      <w:r>
        <w:t>I, 2023), at 12.</w:t>
      </w:r>
    </w:p>
  </w:footnote>
  <w:footnote w:id="33">
    <w:p w14:paraId="7F3A0316" w14:textId="233F55E9" w:rsidR="00FD39E3" w:rsidRDefault="00FD39E3" w:rsidP="00FD39E3">
      <w:pPr>
        <w:pStyle w:val="NIHRCFootnotes"/>
      </w:pPr>
      <w:r>
        <w:rPr>
          <w:rStyle w:val="FootnoteReference"/>
        </w:rPr>
        <w:footnoteRef/>
      </w:r>
      <w:r>
        <w:t xml:space="preserve"> A/HRC/39/50, Report of the Independent Expert on the enjoyment of all human rights by older persons, 10 July 2018, at para 17.</w:t>
      </w:r>
    </w:p>
  </w:footnote>
  <w:footnote w:id="34">
    <w:p w14:paraId="5D7BC6CF" w14:textId="618BE6ED" w:rsidR="006E3E09" w:rsidRDefault="006E3E09" w:rsidP="006E3E09">
      <w:pPr>
        <w:pStyle w:val="NIHRCFootnotes"/>
      </w:pPr>
      <w:r>
        <w:rPr>
          <w:rStyle w:val="FootnoteReference"/>
        </w:rPr>
        <w:footnoteRef/>
      </w:r>
      <w:r>
        <w:t xml:space="preserve"> A/HRC/39/50, Report of the Independent Expert on the enjoyment of all human rights by older persons, 10 July 2018, at para 19.</w:t>
      </w:r>
    </w:p>
  </w:footnote>
  <w:footnote w:id="35">
    <w:p w14:paraId="57209B83" w14:textId="0116872B" w:rsidR="00614EC1" w:rsidRDefault="00614EC1" w:rsidP="00614EC1">
      <w:pPr>
        <w:pStyle w:val="NIHRCFootnotes"/>
      </w:pPr>
      <w:r>
        <w:rPr>
          <w:rStyle w:val="FootnoteReference"/>
        </w:rPr>
        <w:footnoteRef/>
      </w:r>
      <w:r>
        <w:t xml:space="preserve"> Ibid.</w:t>
      </w:r>
    </w:p>
  </w:footnote>
  <w:footnote w:id="36">
    <w:p w14:paraId="45133387" w14:textId="77777777" w:rsidR="00042EB9" w:rsidRDefault="00042EB9" w:rsidP="00042EB9">
      <w:pPr>
        <w:pStyle w:val="NIHRCFootnotes"/>
      </w:pPr>
      <w:r>
        <w:rPr>
          <w:rStyle w:val="FootnoteReference"/>
        </w:rPr>
        <w:footnoteRef/>
      </w:r>
      <w:r>
        <w:t xml:space="preserve"> E/C.12/GBR/CO.6, Concluding observations on the sixth periodic report of the UK of Great Britain and NI, 14 July 2016, at para 48.</w:t>
      </w:r>
    </w:p>
  </w:footnote>
  <w:footnote w:id="37">
    <w:p w14:paraId="0CACA7B9" w14:textId="77777777" w:rsidR="00042EB9" w:rsidRDefault="00042EB9" w:rsidP="00042EB9">
      <w:pPr>
        <w:pStyle w:val="NIHRCFootnotes"/>
      </w:pPr>
      <w:r>
        <w:rPr>
          <w:rStyle w:val="FootnoteReference"/>
        </w:rPr>
        <w:footnoteRef/>
      </w:r>
      <w:r>
        <w:t xml:space="preserve"> A/HRC/41/39.Add.1, Report of the Special Rapporteur on extreme poverty and human rights on their visit to the UK of Great Britain and NI, 23 April 2018, at para 96(j).</w:t>
      </w:r>
    </w:p>
  </w:footnote>
  <w:footnote w:id="38">
    <w:p w14:paraId="78BDD6B1" w14:textId="2E65A220" w:rsidR="009D7A02" w:rsidRDefault="009D7A02" w:rsidP="009D7A02">
      <w:pPr>
        <w:pStyle w:val="NIHRCFootnotes"/>
      </w:pPr>
      <w:r>
        <w:rPr>
          <w:rStyle w:val="FootnoteReference"/>
        </w:rPr>
        <w:footnoteRef/>
      </w:r>
      <w:r>
        <w:t xml:space="preserve"> Age NI, ‘Press Release: Age NI statement on the cost of living’, 26 May 2022.</w:t>
      </w:r>
    </w:p>
  </w:footnote>
  <w:footnote w:id="39">
    <w:p w14:paraId="5F4CCA94" w14:textId="033D3B53" w:rsidR="00894492" w:rsidRDefault="00894492" w:rsidP="00894492">
      <w:pPr>
        <w:pStyle w:val="NIHRCFootnotes"/>
      </w:pPr>
      <w:r>
        <w:rPr>
          <w:rStyle w:val="FootnoteReference"/>
        </w:rPr>
        <w:footnoteRef/>
      </w:r>
      <w:r>
        <w:t xml:space="preserve"> A/HRC/39/50, Report of the Independent Expert on the enjoyment of all human rights by older persons, 10 July 2018, at para 19.</w:t>
      </w:r>
    </w:p>
  </w:footnote>
  <w:footnote w:id="40">
    <w:p w14:paraId="006DECA2" w14:textId="23CDA8EA" w:rsidR="00DF5D75" w:rsidRDefault="00DF5D75" w:rsidP="00AC5778">
      <w:pPr>
        <w:pStyle w:val="NIHRCFootnotes"/>
      </w:pPr>
      <w:r>
        <w:rPr>
          <w:rStyle w:val="FootnoteReference"/>
        </w:rPr>
        <w:footnoteRef/>
      </w:r>
      <w:r>
        <w:t xml:space="preserve"> </w:t>
      </w:r>
      <w:r w:rsidR="003A0A5B">
        <w:t>CEDAW/C/GBR/CO/8, ‘</w:t>
      </w:r>
      <w:r w:rsidR="00BC4D14">
        <w:t xml:space="preserve">UN </w:t>
      </w:r>
      <w:r w:rsidR="003A0A5B">
        <w:t>C</w:t>
      </w:r>
      <w:r w:rsidR="00BC4D14">
        <w:t>EDAW Committee concluding observations on the eig</w:t>
      </w:r>
      <w:r w:rsidR="00AC5778">
        <w:t xml:space="preserve">hth periodic report of the UK of Great Britain and NI’, 14 March 2019, </w:t>
      </w:r>
      <w:r w:rsidR="001418C0">
        <w:t>a</w:t>
      </w:r>
      <w:r>
        <w:t>t para 43(b)</w:t>
      </w:r>
    </w:p>
  </w:footnote>
  <w:footnote w:id="41">
    <w:p w14:paraId="5C776843" w14:textId="79146665" w:rsidR="00894492" w:rsidRDefault="00894492" w:rsidP="008E3D73">
      <w:pPr>
        <w:pStyle w:val="NIHRCFootnotes"/>
      </w:pPr>
      <w:r>
        <w:rPr>
          <w:rStyle w:val="FootnoteReference"/>
        </w:rPr>
        <w:footnoteRef/>
      </w:r>
      <w:r>
        <w:t xml:space="preserve"> Department </w:t>
      </w:r>
      <w:r w:rsidR="00695C7F">
        <w:t xml:space="preserve">for </w:t>
      </w:r>
      <w:r>
        <w:t>Infrastructure, ‘Consultation on free and discounted fares on public transport (concessionary fares)’, (DoI, 2023), at 19.</w:t>
      </w:r>
    </w:p>
  </w:footnote>
  <w:footnote w:id="42">
    <w:p w14:paraId="5F08A908" w14:textId="60F7CA55" w:rsidR="008E3D73" w:rsidRDefault="008E3D73" w:rsidP="00F477FE">
      <w:pPr>
        <w:pStyle w:val="NIHRCFootnotes"/>
      </w:pPr>
      <w:r>
        <w:rPr>
          <w:rStyle w:val="FootnoteReference"/>
        </w:rPr>
        <w:footnoteRef/>
      </w:r>
      <w:r>
        <w:t xml:space="preserve"> Department </w:t>
      </w:r>
      <w:r w:rsidR="009E5A22">
        <w:t xml:space="preserve">for </w:t>
      </w:r>
      <w:r>
        <w:t>Infrastructure, ‘Consultation on free and discounted fares on public transport (concessionary fares)’, (D</w:t>
      </w:r>
      <w:r w:rsidR="009E5A22">
        <w:t>f</w:t>
      </w:r>
      <w:r>
        <w:t>I, 2023), at 24.</w:t>
      </w:r>
    </w:p>
  </w:footnote>
  <w:footnote w:id="43">
    <w:p w14:paraId="34A73B3A" w14:textId="0947B26F" w:rsidR="00F477FE" w:rsidRDefault="00F477FE" w:rsidP="00F477FE">
      <w:pPr>
        <w:pStyle w:val="NIHRCFootnotes"/>
      </w:pPr>
      <w:r>
        <w:rPr>
          <w:rStyle w:val="FootnoteReference"/>
        </w:rPr>
        <w:footnoteRef/>
      </w:r>
      <w:r>
        <w:t xml:space="preserve"> Department </w:t>
      </w:r>
      <w:r w:rsidR="009E5A22">
        <w:t xml:space="preserve">for </w:t>
      </w:r>
      <w:r>
        <w:t>Infrastructure, ‘Consultation on free and discounted fares on public transport (concessionary fares)’, (D</w:t>
      </w:r>
      <w:r w:rsidR="009E5A22">
        <w:t>f</w:t>
      </w:r>
      <w:r>
        <w:t>I, 2023), at 24.</w:t>
      </w:r>
    </w:p>
  </w:footnote>
  <w:footnote w:id="44">
    <w:p w14:paraId="0857022D" w14:textId="77777777" w:rsidR="005D71B1" w:rsidRPr="00654887" w:rsidRDefault="005D71B1" w:rsidP="005D71B1">
      <w:pPr>
        <w:pStyle w:val="NIHRCFootnotes"/>
      </w:pPr>
      <w:r w:rsidRPr="00654887">
        <w:rPr>
          <w:rStyle w:val="FootnoteReference"/>
          <w:rFonts w:eastAsiaTheme="majorEastAsia"/>
        </w:rPr>
        <w:footnoteRef/>
      </w:r>
      <w:r w:rsidRPr="00654887">
        <w:t xml:space="preserve"> CEDAW/C/GBR/CO/8, ‘UN CEDAW Committee Concluding Observations on the Eighth Periodic Report of the UK of Great Britain and NI’, 14 March 2019, at para 17.</w:t>
      </w:r>
    </w:p>
  </w:footnote>
  <w:footnote w:id="45">
    <w:p w14:paraId="0DEC7C3B" w14:textId="35F315B3" w:rsidR="00F477FE" w:rsidRDefault="00F477FE" w:rsidP="00F477FE">
      <w:pPr>
        <w:pStyle w:val="NIHRCFootnotes"/>
      </w:pPr>
      <w:r>
        <w:rPr>
          <w:rStyle w:val="FootnoteReference"/>
        </w:rPr>
        <w:footnoteRef/>
      </w:r>
      <w:r>
        <w:t xml:space="preserve"> NI Statistics and Research Agency, ‘Main statistics for NI: Statistical bulletin health, disability and unpaid care’, (NISRA, 2022), at 7.</w:t>
      </w:r>
    </w:p>
  </w:footnote>
  <w:footnote w:id="46">
    <w:p w14:paraId="570C4B62" w14:textId="59F95692" w:rsidR="00F477FE" w:rsidRDefault="00F477FE" w:rsidP="00791F09">
      <w:pPr>
        <w:pStyle w:val="NIHRCFootnotes"/>
      </w:pPr>
      <w:r>
        <w:rPr>
          <w:rStyle w:val="FootnoteReference"/>
        </w:rPr>
        <w:footnoteRef/>
      </w:r>
      <w:r>
        <w:t xml:space="preserve"> NI Statistics and Research Agency, ‘Provision of unpaid care by broad age bands MS-D-17</w:t>
      </w:r>
      <w:r w:rsidR="00791F09">
        <w:t>’</w:t>
      </w:r>
      <w:r>
        <w:t>, (NISRA, 2022).</w:t>
      </w:r>
    </w:p>
  </w:footnote>
  <w:footnote w:id="47">
    <w:p w14:paraId="1EE4BEEA" w14:textId="52B5307E" w:rsidR="007A0A0E" w:rsidRDefault="007A0A0E" w:rsidP="00FB4DB9">
      <w:pPr>
        <w:pStyle w:val="NIHRCFootnotes"/>
      </w:pPr>
      <w:r>
        <w:rPr>
          <w:rStyle w:val="FootnoteReference"/>
        </w:rPr>
        <w:footnoteRef/>
      </w:r>
      <w:r>
        <w:t xml:space="preserve"> Employers for Childcare, ‘</w:t>
      </w:r>
      <w:r w:rsidR="009D485A">
        <w:t xml:space="preserve">Northern Ireland Childcare Survey 2021’, </w:t>
      </w:r>
      <w:r w:rsidR="00FB4DB9">
        <w:t>(2023), at 17.</w:t>
      </w:r>
    </w:p>
  </w:footnote>
  <w:footnote w:id="48">
    <w:p w14:paraId="498DC4AA" w14:textId="4617F4DE" w:rsidR="0069168A" w:rsidRDefault="0069168A" w:rsidP="0069168A">
      <w:pPr>
        <w:pStyle w:val="NIHRCFootnotes"/>
      </w:pPr>
      <w:r>
        <w:rPr>
          <w:rStyle w:val="FootnoteReference"/>
        </w:rPr>
        <w:footnoteRef/>
      </w:r>
      <w:r>
        <w:t xml:space="preserve"> Carers UK, ‘Press Release: Unpaid care in England and Wales valued at £445 million per day’, 3 May 2023</w:t>
      </w:r>
    </w:p>
  </w:footnote>
  <w:footnote w:id="49">
    <w:p w14:paraId="169128AB" w14:textId="77777777" w:rsidR="00A52B6D" w:rsidRPr="00654887" w:rsidRDefault="00A52B6D" w:rsidP="00A52B6D">
      <w:pPr>
        <w:pStyle w:val="NIHRCFootnotes"/>
      </w:pPr>
      <w:r w:rsidRPr="00654887">
        <w:rPr>
          <w:rStyle w:val="FootnoteReference"/>
          <w:rFonts w:eastAsiaTheme="majorEastAsia"/>
        </w:rPr>
        <w:footnoteRef/>
      </w:r>
      <w:r w:rsidRPr="00654887">
        <w:t xml:space="preserve"> Carers NI, 'Unpaid Carers, Poverty and the Cost of Living Crisis in NI' (CNI, 2022), at 5.</w:t>
      </w:r>
    </w:p>
  </w:footnote>
  <w:footnote w:id="50">
    <w:p w14:paraId="59D1D9A6" w14:textId="77777777" w:rsidR="00A52B6D" w:rsidRPr="00654887" w:rsidRDefault="00A52B6D" w:rsidP="00A52B6D">
      <w:pPr>
        <w:pStyle w:val="NIHRCFootnotes"/>
      </w:pPr>
      <w:r w:rsidRPr="00654887">
        <w:rPr>
          <w:rStyle w:val="FootnoteReference"/>
          <w:rFonts w:eastAsiaTheme="majorEastAsia"/>
        </w:rPr>
        <w:footnoteRef/>
      </w:r>
      <w:r w:rsidRPr="00654887">
        <w:t xml:space="preserve"> Carers UK, 'Unseen and Undervalued: The Value of Unpaid Care During the COVID-19 Pandemic' (CUK, 2020), at 4.</w:t>
      </w:r>
    </w:p>
  </w:footnote>
  <w:footnote w:id="51">
    <w:p w14:paraId="36243585" w14:textId="5F42B0B7" w:rsidR="000026A9" w:rsidRDefault="000026A9" w:rsidP="009E5A22">
      <w:pPr>
        <w:pStyle w:val="NIHRCFootnotes"/>
      </w:pPr>
      <w:r>
        <w:rPr>
          <w:rStyle w:val="FootnoteReference"/>
        </w:rPr>
        <w:footnoteRef/>
      </w:r>
      <w:r>
        <w:t xml:space="preserve"> Department of Health, ‘Mental Health Strategies 2021-2031’, (DoH, 2021), at para 44.</w:t>
      </w:r>
    </w:p>
  </w:footnote>
  <w:footnote w:id="52">
    <w:p w14:paraId="5731A737" w14:textId="52E74702" w:rsidR="000F106A" w:rsidRDefault="000F106A" w:rsidP="000F106A">
      <w:pPr>
        <w:pStyle w:val="NIHRCFootnotes"/>
      </w:pPr>
      <w:r>
        <w:rPr>
          <w:rStyle w:val="FootnoteReference"/>
        </w:rPr>
        <w:footnoteRef/>
      </w:r>
      <w:r>
        <w:t xml:space="preserve"> Department </w:t>
      </w:r>
      <w:r w:rsidR="00E74C23">
        <w:t>for</w:t>
      </w:r>
      <w:r>
        <w:t xml:space="preserve"> Infrastructure, ‘Draft equality impact assessment: Changes to the NI concessionary fares scheme’, (D</w:t>
      </w:r>
      <w:r w:rsidR="00E74C23">
        <w:t>f</w:t>
      </w:r>
      <w:r>
        <w:t>I, 2023), at 6.</w:t>
      </w:r>
    </w:p>
  </w:footnote>
  <w:footnote w:id="53">
    <w:p w14:paraId="56A05C6A" w14:textId="3023B313" w:rsidR="00320E72" w:rsidRDefault="00320E72" w:rsidP="00E96DAB">
      <w:pPr>
        <w:pStyle w:val="NIHRCFootnotes"/>
      </w:pPr>
      <w:r>
        <w:rPr>
          <w:rStyle w:val="FootnoteReference"/>
        </w:rPr>
        <w:footnoteRef/>
      </w:r>
      <w:r>
        <w:t xml:space="preserve"> CRPD/C/GBR/CO/1, Concluding observations on the initial report of the UK of Great Britain and NI, 3 October 2017, at para </w:t>
      </w:r>
      <w:r w:rsidR="003D0DF0">
        <w:t>56(a)</w:t>
      </w:r>
      <w:r>
        <w:t>.</w:t>
      </w:r>
    </w:p>
  </w:footnote>
  <w:footnote w:id="54">
    <w:p w14:paraId="7E554B27" w14:textId="05B3FB24" w:rsidR="0036077F" w:rsidRDefault="0036077F" w:rsidP="00E96DAB">
      <w:pPr>
        <w:pStyle w:val="NIHRCFootnotes"/>
      </w:pPr>
      <w:r>
        <w:rPr>
          <w:rStyle w:val="FootnoteReference"/>
        </w:rPr>
        <w:footnoteRef/>
      </w:r>
      <w:r>
        <w:t xml:space="preserve"> </w:t>
      </w:r>
      <w:r w:rsidR="00A75549">
        <w:t xml:space="preserve">A/HRC/41/39.Add.1, Report of the Special Rapporteur on extreme poverty and human rights on their visit to the UK of Great Britain and NI, 23 April 2018, at para </w:t>
      </w:r>
      <w:r w:rsidR="00E96DAB">
        <w:t>76</w:t>
      </w:r>
      <w:r w:rsidR="00A75549">
        <w:t>.</w:t>
      </w:r>
    </w:p>
  </w:footnote>
  <w:footnote w:id="55">
    <w:p w14:paraId="6036DADA" w14:textId="0AA0BABF" w:rsidR="000A6E35" w:rsidRDefault="000A6E35" w:rsidP="000A6E35">
      <w:pPr>
        <w:pStyle w:val="NIHRCFootnotes"/>
      </w:pPr>
      <w:r>
        <w:rPr>
          <w:rStyle w:val="FootnoteReference"/>
        </w:rPr>
        <w:footnoteRef/>
      </w:r>
      <w:r>
        <w:t xml:space="preserve"> Department </w:t>
      </w:r>
      <w:r w:rsidR="00F30BD2">
        <w:t>for</w:t>
      </w:r>
      <w:r>
        <w:t xml:space="preserve"> Infrastructure, ‘Draft equality impact assessment: Changes to the NI concessionary fares scheme’, (D</w:t>
      </w:r>
      <w:r w:rsidR="00F30BD2">
        <w:t>f</w:t>
      </w:r>
      <w:r>
        <w:t>I, 2023), at 28.</w:t>
      </w:r>
    </w:p>
  </w:footnote>
  <w:footnote w:id="56">
    <w:p w14:paraId="779108CE" w14:textId="77777777" w:rsidR="002A1CBD" w:rsidRDefault="002A1CBD" w:rsidP="002A1CBD">
      <w:pPr>
        <w:pStyle w:val="NIHRCFootnotes"/>
      </w:pPr>
      <w:r>
        <w:rPr>
          <w:rStyle w:val="FootnoteReference"/>
        </w:rPr>
        <w:footnoteRef/>
      </w:r>
      <w:r>
        <w:t xml:space="preserve"> CRPD/C.GC/5, General Comment No. 5 on living independently and being included in the community, 27 October 2017.</w:t>
      </w:r>
    </w:p>
  </w:footnote>
  <w:footnote w:id="57">
    <w:p w14:paraId="120BBF66" w14:textId="77777777" w:rsidR="002A1CBD" w:rsidRDefault="002A1CBD" w:rsidP="002A1CBD">
      <w:pPr>
        <w:pStyle w:val="NIHRCFootnotes"/>
      </w:pPr>
      <w:r>
        <w:rPr>
          <w:rStyle w:val="FootnoteReference"/>
        </w:rPr>
        <w:footnoteRef/>
      </w:r>
      <w:r>
        <w:t xml:space="preserve"> CRPD/C/GBR/CO/1, Concluding observations on the initial report of the UK of Great Britain and NI, 3 October 2017, at para 45(d).</w:t>
      </w:r>
    </w:p>
  </w:footnote>
  <w:footnote w:id="58">
    <w:p w14:paraId="531CBB0B" w14:textId="64A1F8DF" w:rsidR="00BF446D" w:rsidRDefault="00BF446D" w:rsidP="00FD3948">
      <w:pPr>
        <w:pStyle w:val="NIHRCFootnotes"/>
      </w:pPr>
      <w:r>
        <w:rPr>
          <w:rStyle w:val="FootnoteReference"/>
        </w:rPr>
        <w:footnoteRef/>
      </w:r>
      <w:r>
        <w:t xml:space="preserve"> Department for Infrastructure, ‘Consultation on free and discounted fares on public transport (concessionary fares)’, (DfI, 2023), at 31.</w:t>
      </w:r>
    </w:p>
  </w:footnote>
  <w:footnote w:id="59">
    <w:p w14:paraId="099901DF" w14:textId="6A10EDAD" w:rsidR="00C16C48" w:rsidRDefault="00C16C48" w:rsidP="00FD3948">
      <w:pPr>
        <w:pStyle w:val="NIHRCFootnotes"/>
      </w:pPr>
      <w:r>
        <w:rPr>
          <w:rStyle w:val="FootnoteReference"/>
        </w:rPr>
        <w:footnoteRef/>
      </w:r>
      <w:r>
        <w:t xml:space="preserve"> </w:t>
      </w:r>
      <w:r w:rsidR="00CF251D">
        <w:t>Department for Infrastructure, ‘Consultation on free and discounted fares on public transport (concessionary fares)’, (DfI, 2023), at 32.</w:t>
      </w:r>
    </w:p>
  </w:footnote>
  <w:footnote w:id="60">
    <w:p w14:paraId="3163E64D" w14:textId="4474DDA9" w:rsidR="00B219AF" w:rsidRDefault="00B219AF" w:rsidP="00A919FA">
      <w:pPr>
        <w:pStyle w:val="NIHRCFootnotes"/>
      </w:pPr>
      <w:r>
        <w:rPr>
          <w:rStyle w:val="FootnoteReference"/>
        </w:rPr>
        <w:footnoteRef/>
      </w:r>
      <w:r>
        <w:t xml:space="preserve"> </w:t>
      </w:r>
      <w:r w:rsidR="00A919FA">
        <w:t>CRPD/C/GC/5,’ UN CRPD Committee General Comment No 5: Living Independently and Being Included in the Community’, 27 October 2017, at para 16(a).</w:t>
      </w:r>
    </w:p>
  </w:footnote>
  <w:footnote w:id="61">
    <w:p w14:paraId="4CA5C5CC" w14:textId="5D2317AC" w:rsidR="00A80610" w:rsidRDefault="00A80610" w:rsidP="00A80610">
      <w:pPr>
        <w:pStyle w:val="NIHRCFootnotes"/>
      </w:pPr>
      <w:r>
        <w:rPr>
          <w:rStyle w:val="FootnoteReference"/>
        </w:rPr>
        <w:footnoteRef/>
      </w:r>
      <w:r>
        <w:t xml:space="preserve"> CRPD/C/GC/5,’ UN CRPD Committee General Comment No 5: Living Independently and Being Included in the Community’, 27 October 2017, at para 16(b).</w:t>
      </w:r>
    </w:p>
  </w:footnote>
  <w:footnote w:id="62">
    <w:p w14:paraId="0053FA4B" w14:textId="570EE948" w:rsidR="00A80610" w:rsidRDefault="00A80610" w:rsidP="00A80610">
      <w:pPr>
        <w:pStyle w:val="NIHRCFootnotes"/>
      </w:pPr>
      <w:r>
        <w:rPr>
          <w:rStyle w:val="FootnoteReference"/>
        </w:rPr>
        <w:footnoteRef/>
      </w:r>
      <w:r>
        <w:t xml:space="preserve"> Ibid.</w:t>
      </w:r>
    </w:p>
  </w:footnote>
  <w:footnote w:id="63">
    <w:p w14:paraId="6D1BE93A" w14:textId="150D07C3" w:rsidR="006A2A5F" w:rsidRDefault="006A2A5F" w:rsidP="00B435B9">
      <w:pPr>
        <w:pStyle w:val="NIHRCFootnotes"/>
      </w:pPr>
      <w:r>
        <w:rPr>
          <w:rStyle w:val="FootnoteReference"/>
        </w:rPr>
        <w:footnoteRef/>
      </w:r>
      <w:r>
        <w:t xml:space="preserve"> CRPD/C/15/4, ‘CRPD Committee inquiry concerning the UK of Great Britain and NI car</w:t>
      </w:r>
      <w:r w:rsidR="00B435B9">
        <w:t>ried out by the Committee under article 6 of the optional protocol to the Convention’, 24 October 2017, at para 114(d).</w:t>
      </w:r>
    </w:p>
  </w:footnote>
  <w:footnote w:id="64">
    <w:p w14:paraId="462E5C1F" w14:textId="2B5B8B7F" w:rsidR="007568ED" w:rsidRDefault="007568ED" w:rsidP="00016366">
      <w:pPr>
        <w:pStyle w:val="NIHRCFootnotes"/>
      </w:pPr>
      <w:r>
        <w:rPr>
          <w:rStyle w:val="FootnoteReference"/>
        </w:rPr>
        <w:footnoteRef/>
      </w:r>
      <w:r>
        <w:t xml:space="preserve"> Office of the United Nations High Commissioner for Human Rights, Questions on Economic, Social and Cultural Rights (Factsheet 33), at 13.</w:t>
      </w:r>
    </w:p>
  </w:footnote>
  <w:footnote w:id="65">
    <w:p w14:paraId="31A6B838" w14:textId="3745B619" w:rsidR="007568ED" w:rsidRDefault="007568ED" w:rsidP="00016366">
      <w:pPr>
        <w:pStyle w:val="NIHRCFootnotes"/>
      </w:pPr>
      <w:r>
        <w:rPr>
          <w:rStyle w:val="FootnoteReference"/>
        </w:rPr>
        <w:footnoteRef/>
      </w:r>
      <w:r>
        <w:t xml:space="preserve"> E/1991/23, UN Committee on Economic, Social and Cultural Rights, ‘General Comment No. 3: The Nature of States Parties’ Obligations’, (CESCR, 1990), at para 9.</w:t>
      </w:r>
    </w:p>
  </w:footnote>
  <w:footnote w:id="66">
    <w:p w14:paraId="53AF6746" w14:textId="3D59FF0D" w:rsidR="00016366" w:rsidRDefault="00016366" w:rsidP="00016366">
      <w:pPr>
        <w:pStyle w:val="NIHRCFootnotes"/>
      </w:pPr>
      <w:r>
        <w:rPr>
          <w:rStyle w:val="FootnoteReference"/>
        </w:rPr>
        <w:footnoteRef/>
      </w:r>
      <w:r>
        <w:t xml:space="preserve"> Ibid, at para 2.</w:t>
      </w:r>
    </w:p>
  </w:footnote>
  <w:footnote w:id="67">
    <w:p w14:paraId="0843B5A0" w14:textId="3134AECF" w:rsidR="00FD67F1" w:rsidRDefault="00FD67F1" w:rsidP="00FD67F1">
      <w:pPr>
        <w:pStyle w:val="NIHRCFootnotes"/>
      </w:pPr>
      <w:r>
        <w:rPr>
          <w:rStyle w:val="FootnoteReference"/>
        </w:rPr>
        <w:footnoteRef/>
      </w:r>
      <w:r>
        <w:t xml:space="preserve"> CRPD/C/GC/5,’ UN CRPD Committee General Comment No 5: Living Independently and Being Included in the Community’, 27 October 2017, at para 55.</w:t>
      </w:r>
    </w:p>
  </w:footnote>
  <w:footnote w:id="68">
    <w:p w14:paraId="20F54EBC" w14:textId="0C2C798A" w:rsidR="00A41029" w:rsidRDefault="00A41029" w:rsidP="004F494E">
      <w:pPr>
        <w:pStyle w:val="NIHRCFootnotes"/>
      </w:pPr>
      <w:r>
        <w:rPr>
          <w:rStyle w:val="FootnoteReference"/>
        </w:rPr>
        <w:footnoteRef/>
      </w:r>
      <w:r>
        <w:t xml:space="preserve"> CRPD/C/GC/5,’ UN CRPD Committee General Comment No 5: Living Independently and Being Included in the Community’, 27 October 2017, at para </w:t>
      </w:r>
      <w:r w:rsidR="004F494E">
        <w:t>67.</w:t>
      </w:r>
    </w:p>
  </w:footnote>
  <w:footnote w:id="69">
    <w:p w14:paraId="42290675" w14:textId="68CAAC99" w:rsidR="001F39DA" w:rsidRDefault="001F39DA" w:rsidP="001F39DA">
      <w:pPr>
        <w:pStyle w:val="NIHRCFootnotes"/>
      </w:pPr>
      <w:r>
        <w:rPr>
          <w:rStyle w:val="FootnoteReference"/>
        </w:rPr>
        <w:footnoteRef/>
      </w:r>
      <w:r>
        <w:t xml:space="preserve"> CRC/C/GBR/CO/6-7, 'UN CRC Committee Concluding Observations on the combined sixth and seventh periodic reports of the UK of Great Britain and NI', 22 June 2023, at para 50(d).</w:t>
      </w:r>
    </w:p>
  </w:footnote>
  <w:footnote w:id="70">
    <w:p w14:paraId="30B78DAA" w14:textId="3B9CB630" w:rsidR="001F39DA" w:rsidRPr="001F39DA" w:rsidRDefault="001F39DA" w:rsidP="001F39DA">
      <w:pPr>
        <w:pStyle w:val="NIHRCFootnotes"/>
        <w:rPr>
          <w:b/>
          <w:bCs/>
        </w:rPr>
      </w:pPr>
      <w:r>
        <w:rPr>
          <w:rStyle w:val="FootnoteReference"/>
        </w:rPr>
        <w:footnoteRef/>
      </w:r>
      <w:r>
        <w:t xml:space="preserve"> CEDAW/C/GBR/CO/8, 'UN CEDAW Committee Concluding Observations on the Eighth Periodic Report of the UK of Great Britain and NI', 14 March 2019, at para 55.</w:t>
      </w:r>
    </w:p>
  </w:footnote>
  <w:footnote w:id="71">
    <w:p w14:paraId="56205D29" w14:textId="749E9544" w:rsidR="001F39DA" w:rsidRDefault="001F39DA" w:rsidP="001F39DA">
      <w:pPr>
        <w:pStyle w:val="NIHRCFootnotes"/>
      </w:pPr>
      <w:r>
        <w:rPr>
          <w:rStyle w:val="FootnoteReference"/>
        </w:rPr>
        <w:footnoteRef/>
      </w:r>
      <w:r>
        <w:t xml:space="preserve"> E/C.12/GBR/CO/6, ‘UN CESCR Committee concluding observations on the sixth periodic report of the UK of Great Britain and NI’, 14 July 2016, at para 51.</w:t>
      </w:r>
    </w:p>
  </w:footnote>
  <w:footnote w:id="72">
    <w:p w14:paraId="57935D33" w14:textId="34307909" w:rsidR="00200437" w:rsidRDefault="00200437" w:rsidP="00200437">
      <w:pPr>
        <w:pStyle w:val="NIHRCFootnotes"/>
      </w:pPr>
      <w:r>
        <w:rPr>
          <w:rStyle w:val="FootnoteReference"/>
        </w:rPr>
        <w:footnoteRef/>
      </w:r>
      <w:r>
        <w:t xml:space="preserve"> UK Government, ‘UK Government commitment to no-diminution of rights, safeguards and equality of opportunity in Northern Ireland’, (NIO, 2020), at para 13.</w:t>
      </w:r>
    </w:p>
  </w:footnote>
  <w:footnote w:id="73">
    <w:p w14:paraId="07541DD8" w14:textId="64F7F1F6" w:rsidR="00833DDC" w:rsidRDefault="00833DDC" w:rsidP="00651F91">
      <w:pPr>
        <w:pStyle w:val="NIHRCFootnotes"/>
      </w:pPr>
      <w:r>
        <w:rPr>
          <w:rStyle w:val="FootnoteReference"/>
        </w:rPr>
        <w:footnoteRef/>
      </w:r>
      <w:r>
        <w:t xml:space="preserve"> </w:t>
      </w:r>
      <w:r w:rsidR="000F0C58">
        <w:t>Article 13(3) of the Windsor Framework.</w:t>
      </w:r>
      <w:r>
        <w:t xml:space="preserve"> </w:t>
      </w:r>
      <w:r w:rsidR="00651F91">
        <w:t>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74">
    <w:p w14:paraId="47D2A536" w14:textId="77777777" w:rsidR="00467861" w:rsidRPr="009B4791" w:rsidRDefault="00467861" w:rsidP="009B4791">
      <w:pPr>
        <w:pStyle w:val="NIHRCFootnotes"/>
      </w:pPr>
      <w:r w:rsidRPr="009B4791">
        <w:rPr>
          <w:rStyle w:val="FootnoteReference"/>
          <w:rFonts w:eastAsiaTheme="majorEastAsia" w:cstheme="majorHAnsi"/>
          <w:sz w:val="18"/>
          <w:szCs w:val="18"/>
        </w:rPr>
        <w:footnoteRef/>
      </w:r>
      <w:r w:rsidRPr="009B4791">
        <w:t xml:space="preserve"> NI Office, ‘UK Government Commitment To “No Diminution of Rights, Safeguards and Equality of Opportunity” In NI: What Does It Mean and How Will It Be Implemented?’ (NIO, 2020), at para 8.</w:t>
      </w:r>
    </w:p>
  </w:footnote>
  <w:footnote w:id="75">
    <w:p w14:paraId="6545181A" w14:textId="46E16D73" w:rsidR="00467861" w:rsidRPr="009B4791" w:rsidRDefault="00467861" w:rsidP="009B4791">
      <w:pPr>
        <w:pStyle w:val="NIHRCFootnotes"/>
      </w:pPr>
      <w:r w:rsidRPr="009B4791">
        <w:rPr>
          <w:rStyle w:val="FootnoteReference"/>
          <w:rFonts w:cstheme="majorHAnsi"/>
          <w:sz w:val="18"/>
          <w:szCs w:val="18"/>
        </w:rPr>
        <w:footnoteRef/>
      </w:r>
      <w:r w:rsidRPr="009B4791">
        <w:t xml:space="preserve"> Directive 2003/9/EC, ‘EU Council Directive Laying Down Minimum Standards for the Reception of Asylum Seekers’, 27 January 2003.</w:t>
      </w:r>
    </w:p>
  </w:footnote>
  <w:footnote w:id="76">
    <w:p w14:paraId="738517C6" w14:textId="3F574845" w:rsidR="00467861" w:rsidRDefault="00467861" w:rsidP="009B4791">
      <w:pPr>
        <w:pStyle w:val="NIHRCFootnotes"/>
      </w:pPr>
      <w:r w:rsidRPr="009B4791">
        <w:rPr>
          <w:rStyle w:val="FootnoteReference"/>
          <w:rFonts w:cstheme="majorHAnsi"/>
          <w:sz w:val="18"/>
          <w:szCs w:val="18"/>
        </w:rPr>
        <w:footnoteRef/>
      </w:r>
      <w:r w:rsidRPr="009B4791">
        <w:t xml:space="preserve"> Northern Ireland Human Rights Commission and Equality Commission for Northern Ireland ‘Working Paper: The Scope of Article 2(1) of the Ireland/ Northern Ireland Protocol’, (NIHRC and ECNI, December 2022).</w:t>
      </w:r>
    </w:p>
  </w:footnote>
  <w:footnote w:id="77">
    <w:p w14:paraId="2EE65FDE" w14:textId="121988A2" w:rsidR="00073586" w:rsidRDefault="00073586" w:rsidP="00073586">
      <w:pPr>
        <w:pStyle w:val="NIHRCFootnotes"/>
      </w:pPr>
      <w:r>
        <w:rPr>
          <w:rStyle w:val="FootnoteReference"/>
        </w:rPr>
        <w:footnoteRef/>
      </w:r>
      <w:r>
        <w:t xml:space="preserve"> Article 18, Directive 2003/9/EC, ‘EU Council Directive Laying Down Minimum Standards for the Reception of Asylum Seekers’, 27 January 2003.</w:t>
      </w:r>
    </w:p>
  </w:footnote>
  <w:footnote w:id="78">
    <w:p w14:paraId="3884BB87" w14:textId="068457DD" w:rsidR="005E4B66" w:rsidRDefault="005E4B66" w:rsidP="00073586">
      <w:pPr>
        <w:pStyle w:val="NIHRCFootnotes"/>
      </w:pPr>
      <w:r>
        <w:rPr>
          <w:rStyle w:val="FootnoteReference"/>
        </w:rPr>
        <w:footnoteRef/>
      </w:r>
      <w:r>
        <w:t xml:space="preserve"> </w:t>
      </w:r>
      <w:r w:rsidR="00073586">
        <w:t>Article 10, Directive 2003/9/EC, ‘EU Council Directive Laying Down Minimum Standards for the Reception of Asylum Seekers’, 27 January 2003.</w:t>
      </w:r>
    </w:p>
  </w:footnote>
  <w:footnote w:id="79">
    <w:p w14:paraId="3637F670" w14:textId="21D42019" w:rsidR="00073586" w:rsidRDefault="00073586" w:rsidP="00073586">
      <w:pPr>
        <w:pStyle w:val="NIHRCFootnotes"/>
      </w:pPr>
      <w:r>
        <w:rPr>
          <w:rStyle w:val="FootnoteReference"/>
        </w:rPr>
        <w:footnoteRef/>
      </w:r>
      <w:r>
        <w:t xml:space="preserve"> Article 17, Directive 2003/9/EC, ‘EU Council Directive Laying Down Minimum Standards for the Reception of Asylum Seekers’, 27 January 2003.</w:t>
      </w:r>
    </w:p>
  </w:footnote>
  <w:footnote w:id="80">
    <w:p w14:paraId="1673DCAB" w14:textId="4CD4CC71" w:rsidR="005E4B66" w:rsidRDefault="005E4B66" w:rsidP="005E4B66">
      <w:pPr>
        <w:pStyle w:val="NIHRCFootnotes"/>
      </w:pPr>
      <w:r>
        <w:rPr>
          <w:rStyle w:val="FootnoteReference"/>
        </w:rPr>
        <w:footnoteRef/>
      </w:r>
      <w:r>
        <w:t xml:space="preserve"> NI Human Rights Commission, 'Response to the NI Affairs Committee Inquiry into the Experience of Minority Ethnic and Migrant People in NI' (NIHRC, 2021).</w:t>
      </w:r>
    </w:p>
  </w:footnote>
  <w:footnote w:id="81">
    <w:p w14:paraId="1F6EC584" w14:textId="044E125C" w:rsidR="005E4B66" w:rsidRDefault="005E4B66" w:rsidP="005E4B66">
      <w:pPr>
        <w:pStyle w:val="NIHRCFootnotes"/>
      </w:pPr>
      <w:r>
        <w:rPr>
          <w:rStyle w:val="FootnoteReference"/>
        </w:rPr>
        <w:footnoteRef/>
      </w:r>
      <w:r>
        <w:t xml:space="preserve"> Independent Chief Inspector of Borders and Immigration, 'An Inspection of Contingency Asylum Accommodation May 2021-November 2021' (UK Gov, 2022), at paras 9.7 and 9.41.</w:t>
      </w:r>
    </w:p>
  </w:footnote>
  <w:footnote w:id="82">
    <w:p w14:paraId="341A4E4B" w14:textId="44EAA824" w:rsidR="005E4B66" w:rsidRDefault="005E4B66" w:rsidP="005E4B66">
      <w:pPr>
        <w:pStyle w:val="NIHRCFootnotes"/>
      </w:pPr>
      <w:r>
        <w:rPr>
          <w:rStyle w:val="FootnoteReference"/>
        </w:rPr>
        <w:footnoteRef/>
      </w:r>
      <w:r>
        <w:t xml:space="preserve"> Meetings between NI Human Rights Commission and civil society organisations, May 2022, August 2022 and October 2022.</w:t>
      </w:r>
    </w:p>
  </w:footnote>
  <w:footnote w:id="83">
    <w:p w14:paraId="268F9716" w14:textId="0BAC858B" w:rsidR="008E7CB6" w:rsidRDefault="008E7CB6" w:rsidP="002557E8">
      <w:pPr>
        <w:pStyle w:val="NIHRCFootnotes"/>
      </w:pPr>
      <w:r>
        <w:rPr>
          <w:rStyle w:val="FootnoteReference"/>
        </w:rPr>
        <w:footnoteRef/>
      </w:r>
      <w:r>
        <w:t xml:space="preserve"> </w:t>
      </w:r>
      <w:r w:rsidR="004E0C0F">
        <w:t>Department for Infrastructure, ‘Consultation on free and discounted fares on public transport (concessionary fares)’, (DfI, 2023), at 45.</w:t>
      </w:r>
    </w:p>
  </w:footnote>
  <w:footnote w:id="84">
    <w:p w14:paraId="6ED5322F" w14:textId="2AE0C800" w:rsidR="005E1D8D" w:rsidRDefault="005E1D8D" w:rsidP="002557E8">
      <w:pPr>
        <w:pStyle w:val="NIHRCFootnotes"/>
      </w:pPr>
      <w:r>
        <w:rPr>
          <w:rStyle w:val="FootnoteReference"/>
        </w:rPr>
        <w:footnoteRef/>
      </w:r>
      <w:r>
        <w:t xml:space="preserve"> </w:t>
      </w:r>
      <w:r w:rsidR="00E329F6">
        <w:t xml:space="preserve">The UN Refugee Agency, ‘Press Release: Minorities and indigenous peoples’, Available at: </w:t>
      </w:r>
      <w:hyperlink r:id="rId2" w:history="1">
        <w:r w:rsidR="002557E8">
          <w:rPr>
            <w:rStyle w:val="Hyperlink"/>
          </w:rPr>
          <w:t>Minorities and indigenous peoples | UNHCR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5EA"/>
    <w:multiLevelType w:val="multilevel"/>
    <w:tmpl w:val="796A75D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C150F"/>
    <w:multiLevelType w:val="multilevel"/>
    <w:tmpl w:val="D640E9C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3"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46C51"/>
    <w:multiLevelType w:val="hybridMultilevel"/>
    <w:tmpl w:val="F59C17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C015F02"/>
    <w:multiLevelType w:val="hybridMultilevel"/>
    <w:tmpl w:val="434AD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874925"/>
    <w:multiLevelType w:val="multilevel"/>
    <w:tmpl w:val="A7E0C80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F2189"/>
    <w:multiLevelType w:val="multilevel"/>
    <w:tmpl w:val="85720024"/>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1582055"/>
    <w:multiLevelType w:val="multilevel"/>
    <w:tmpl w:val="8E56146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2" w15:restartNumberingAfterBreak="0">
    <w:nsid w:val="44360A21"/>
    <w:multiLevelType w:val="multilevel"/>
    <w:tmpl w:val="D640E9C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3"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4103C"/>
    <w:multiLevelType w:val="multilevel"/>
    <w:tmpl w:val="D640E9C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5" w15:restartNumberingAfterBreak="0">
    <w:nsid w:val="6A6A20B8"/>
    <w:multiLevelType w:val="multilevel"/>
    <w:tmpl w:val="04BCE8A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6"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4D2A6B"/>
    <w:multiLevelType w:val="multilevel"/>
    <w:tmpl w:val="D640E9C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8" w15:restartNumberingAfterBreak="0">
    <w:nsid w:val="7B8C6EA7"/>
    <w:multiLevelType w:val="multilevel"/>
    <w:tmpl w:val="D640E9C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9"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308426">
    <w:abstractNumId w:val="13"/>
  </w:num>
  <w:num w:numId="2" w16cid:durableId="842357142">
    <w:abstractNumId w:val="19"/>
  </w:num>
  <w:num w:numId="3" w16cid:durableId="1297418815">
    <w:abstractNumId w:val="1"/>
  </w:num>
  <w:num w:numId="4" w16cid:durableId="365570389">
    <w:abstractNumId w:val="8"/>
  </w:num>
  <w:num w:numId="5" w16cid:durableId="1491486481">
    <w:abstractNumId w:val="16"/>
  </w:num>
  <w:num w:numId="6" w16cid:durableId="627511467">
    <w:abstractNumId w:val="3"/>
  </w:num>
  <w:num w:numId="7" w16cid:durableId="821626393">
    <w:abstractNumId w:val="9"/>
  </w:num>
  <w:num w:numId="8" w16cid:durableId="1850825055">
    <w:abstractNumId w:val="6"/>
  </w:num>
  <w:num w:numId="9" w16cid:durableId="575743117">
    <w:abstractNumId w:val="12"/>
  </w:num>
  <w:num w:numId="10" w16cid:durableId="275451460">
    <w:abstractNumId w:val="14"/>
  </w:num>
  <w:num w:numId="11" w16cid:durableId="2042168081">
    <w:abstractNumId w:val="11"/>
  </w:num>
  <w:num w:numId="12" w16cid:durableId="772483130">
    <w:abstractNumId w:val="7"/>
  </w:num>
  <w:num w:numId="13" w16cid:durableId="347830479">
    <w:abstractNumId w:val="17"/>
  </w:num>
  <w:num w:numId="14" w16cid:durableId="155464429">
    <w:abstractNumId w:val="18"/>
  </w:num>
  <w:num w:numId="15" w16cid:durableId="602998190">
    <w:abstractNumId w:val="0"/>
  </w:num>
  <w:num w:numId="16" w16cid:durableId="1303462541">
    <w:abstractNumId w:val="14"/>
    <w:lvlOverride w:ilvl="0">
      <w:startOverride w:val="4"/>
    </w:lvlOverride>
  </w:num>
  <w:num w:numId="17" w16cid:durableId="342514484">
    <w:abstractNumId w:val="2"/>
  </w:num>
  <w:num w:numId="18" w16cid:durableId="347026724">
    <w:abstractNumId w:val="15"/>
  </w:num>
  <w:num w:numId="19" w16cid:durableId="94328688">
    <w:abstractNumId w:val="4"/>
  </w:num>
  <w:num w:numId="20" w16cid:durableId="1929919512">
    <w:abstractNumId w:val="5"/>
  </w:num>
  <w:num w:numId="21" w16cid:durableId="2042049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108C"/>
    <w:rsid w:val="000022C5"/>
    <w:rsid w:val="000026A9"/>
    <w:rsid w:val="00003663"/>
    <w:rsid w:val="000039A0"/>
    <w:rsid w:val="0000761F"/>
    <w:rsid w:val="00010333"/>
    <w:rsid w:val="00016366"/>
    <w:rsid w:val="000275D6"/>
    <w:rsid w:val="000308D8"/>
    <w:rsid w:val="00031991"/>
    <w:rsid w:val="00042DC8"/>
    <w:rsid w:val="00042EB9"/>
    <w:rsid w:val="00044A04"/>
    <w:rsid w:val="00046705"/>
    <w:rsid w:val="00046E2B"/>
    <w:rsid w:val="0005379E"/>
    <w:rsid w:val="0005465C"/>
    <w:rsid w:val="00054874"/>
    <w:rsid w:val="00056B77"/>
    <w:rsid w:val="000579E2"/>
    <w:rsid w:val="000610E2"/>
    <w:rsid w:val="0006386C"/>
    <w:rsid w:val="00063FAD"/>
    <w:rsid w:val="000665B4"/>
    <w:rsid w:val="00067E61"/>
    <w:rsid w:val="00072374"/>
    <w:rsid w:val="000730D4"/>
    <w:rsid w:val="00073586"/>
    <w:rsid w:val="000738D9"/>
    <w:rsid w:val="00074174"/>
    <w:rsid w:val="000744AC"/>
    <w:rsid w:val="00076FF8"/>
    <w:rsid w:val="0008022A"/>
    <w:rsid w:val="00082F66"/>
    <w:rsid w:val="00083A76"/>
    <w:rsid w:val="000A0FCC"/>
    <w:rsid w:val="000A1672"/>
    <w:rsid w:val="000A1C98"/>
    <w:rsid w:val="000A2918"/>
    <w:rsid w:val="000A67FF"/>
    <w:rsid w:val="000A6E35"/>
    <w:rsid w:val="000A6F85"/>
    <w:rsid w:val="000D0BB2"/>
    <w:rsid w:val="000E1F61"/>
    <w:rsid w:val="000E35C6"/>
    <w:rsid w:val="000E6F31"/>
    <w:rsid w:val="000E7F0C"/>
    <w:rsid w:val="000F0C58"/>
    <w:rsid w:val="000F106A"/>
    <w:rsid w:val="000F492E"/>
    <w:rsid w:val="000F7772"/>
    <w:rsid w:val="0010023C"/>
    <w:rsid w:val="001003CA"/>
    <w:rsid w:val="00100DAD"/>
    <w:rsid w:val="00103B73"/>
    <w:rsid w:val="0010771F"/>
    <w:rsid w:val="001079B3"/>
    <w:rsid w:val="00110426"/>
    <w:rsid w:val="001122FC"/>
    <w:rsid w:val="001139DC"/>
    <w:rsid w:val="0011413C"/>
    <w:rsid w:val="00117BAA"/>
    <w:rsid w:val="001206F3"/>
    <w:rsid w:val="00120B8E"/>
    <w:rsid w:val="001230B2"/>
    <w:rsid w:val="0012506B"/>
    <w:rsid w:val="00130281"/>
    <w:rsid w:val="00140A8E"/>
    <w:rsid w:val="001418C0"/>
    <w:rsid w:val="00144414"/>
    <w:rsid w:val="00151037"/>
    <w:rsid w:val="0015135C"/>
    <w:rsid w:val="00160167"/>
    <w:rsid w:val="00163E67"/>
    <w:rsid w:val="00172F56"/>
    <w:rsid w:val="0018585B"/>
    <w:rsid w:val="00187032"/>
    <w:rsid w:val="001A15CA"/>
    <w:rsid w:val="001A41A2"/>
    <w:rsid w:val="001A5854"/>
    <w:rsid w:val="001B5E2F"/>
    <w:rsid w:val="001B5E66"/>
    <w:rsid w:val="001D072D"/>
    <w:rsid w:val="001D1848"/>
    <w:rsid w:val="001D2594"/>
    <w:rsid w:val="001E1557"/>
    <w:rsid w:val="001E79A9"/>
    <w:rsid w:val="001F2FAE"/>
    <w:rsid w:val="001F39DA"/>
    <w:rsid w:val="001F3A80"/>
    <w:rsid w:val="001F7B7D"/>
    <w:rsid w:val="00200437"/>
    <w:rsid w:val="00204153"/>
    <w:rsid w:val="0020505A"/>
    <w:rsid w:val="0020538E"/>
    <w:rsid w:val="00206287"/>
    <w:rsid w:val="002109D8"/>
    <w:rsid w:val="00213921"/>
    <w:rsid w:val="00213B8A"/>
    <w:rsid w:val="00224140"/>
    <w:rsid w:val="00224C0F"/>
    <w:rsid w:val="00227173"/>
    <w:rsid w:val="002351CB"/>
    <w:rsid w:val="00237655"/>
    <w:rsid w:val="002428EC"/>
    <w:rsid w:val="00245151"/>
    <w:rsid w:val="002466A8"/>
    <w:rsid w:val="00247F62"/>
    <w:rsid w:val="002531B6"/>
    <w:rsid w:val="002557E8"/>
    <w:rsid w:val="00256939"/>
    <w:rsid w:val="00260812"/>
    <w:rsid w:val="00260B09"/>
    <w:rsid w:val="00262F6D"/>
    <w:rsid w:val="002632D9"/>
    <w:rsid w:val="0026381F"/>
    <w:rsid w:val="00264973"/>
    <w:rsid w:val="00272ADE"/>
    <w:rsid w:val="00276163"/>
    <w:rsid w:val="00276A43"/>
    <w:rsid w:val="0028375D"/>
    <w:rsid w:val="00284264"/>
    <w:rsid w:val="002877F4"/>
    <w:rsid w:val="002901B7"/>
    <w:rsid w:val="00296BE8"/>
    <w:rsid w:val="002A0E4C"/>
    <w:rsid w:val="002A1CBD"/>
    <w:rsid w:val="002A3399"/>
    <w:rsid w:val="002A5E13"/>
    <w:rsid w:val="002B0AD6"/>
    <w:rsid w:val="002B1272"/>
    <w:rsid w:val="002B4077"/>
    <w:rsid w:val="002C00E1"/>
    <w:rsid w:val="002C1041"/>
    <w:rsid w:val="002C30C7"/>
    <w:rsid w:val="002C30FB"/>
    <w:rsid w:val="002C3318"/>
    <w:rsid w:val="002D50CA"/>
    <w:rsid w:val="002E0FA8"/>
    <w:rsid w:val="002E6251"/>
    <w:rsid w:val="002E7A0A"/>
    <w:rsid w:val="002F202A"/>
    <w:rsid w:val="002F350E"/>
    <w:rsid w:val="002F3F6B"/>
    <w:rsid w:val="00306317"/>
    <w:rsid w:val="00312495"/>
    <w:rsid w:val="00316470"/>
    <w:rsid w:val="00320E72"/>
    <w:rsid w:val="003231A4"/>
    <w:rsid w:val="003250B6"/>
    <w:rsid w:val="0032541A"/>
    <w:rsid w:val="003271E9"/>
    <w:rsid w:val="00331C61"/>
    <w:rsid w:val="00334233"/>
    <w:rsid w:val="00335211"/>
    <w:rsid w:val="003365E5"/>
    <w:rsid w:val="00336A4A"/>
    <w:rsid w:val="00340217"/>
    <w:rsid w:val="00340CD9"/>
    <w:rsid w:val="00341BFE"/>
    <w:rsid w:val="0035732E"/>
    <w:rsid w:val="00357BA6"/>
    <w:rsid w:val="0036077F"/>
    <w:rsid w:val="00360C87"/>
    <w:rsid w:val="0036507B"/>
    <w:rsid w:val="00367CCA"/>
    <w:rsid w:val="0037684B"/>
    <w:rsid w:val="003775CD"/>
    <w:rsid w:val="00382F20"/>
    <w:rsid w:val="003866ED"/>
    <w:rsid w:val="00392189"/>
    <w:rsid w:val="003924A8"/>
    <w:rsid w:val="00394FF4"/>
    <w:rsid w:val="003A0A5B"/>
    <w:rsid w:val="003B680B"/>
    <w:rsid w:val="003B7D0E"/>
    <w:rsid w:val="003B7F97"/>
    <w:rsid w:val="003C5479"/>
    <w:rsid w:val="003D09D2"/>
    <w:rsid w:val="003D0DF0"/>
    <w:rsid w:val="003D3738"/>
    <w:rsid w:val="003E6360"/>
    <w:rsid w:val="003E7AA4"/>
    <w:rsid w:val="003F5210"/>
    <w:rsid w:val="00402467"/>
    <w:rsid w:val="00407DFC"/>
    <w:rsid w:val="00410E72"/>
    <w:rsid w:val="0041128A"/>
    <w:rsid w:val="00427BF7"/>
    <w:rsid w:val="00434913"/>
    <w:rsid w:val="0043631A"/>
    <w:rsid w:val="00436F13"/>
    <w:rsid w:val="00441BB6"/>
    <w:rsid w:val="00446117"/>
    <w:rsid w:val="00450939"/>
    <w:rsid w:val="00454CB6"/>
    <w:rsid w:val="004619C6"/>
    <w:rsid w:val="004619D1"/>
    <w:rsid w:val="00463D6B"/>
    <w:rsid w:val="00466A2E"/>
    <w:rsid w:val="004672AC"/>
    <w:rsid w:val="00467861"/>
    <w:rsid w:val="00467950"/>
    <w:rsid w:val="00467A6A"/>
    <w:rsid w:val="00470761"/>
    <w:rsid w:val="00472762"/>
    <w:rsid w:val="00476C95"/>
    <w:rsid w:val="00486C24"/>
    <w:rsid w:val="00487E3D"/>
    <w:rsid w:val="00490CC0"/>
    <w:rsid w:val="00491050"/>
    <w:rsid w:val="00494D6D"/>
    <w:rsid w:val="004977E0"/>
    <w:rsid w:val="004A1439"/>
    <w:rsid w:val="004A1AEB"/>
    <w:rsid w:val="004A27E2"/>
    <w:rsid w:val="004A392D"/>
    <w:rsid w:val="004A50BB"/>
    <w:rsid w:val="004B3FB3"/>
    <w:rsid w:val="004B623E"/>
    <w:rsid w:val="004C47D2"/>
    <w:rsid w:val="004C49CB"/>
    <w:rsid w:val="004C6FC4"/>
    <w:rsid w:val="004D1C27"/>
    <w:rsid w:val="004D43C0"/>
    <w:rsid w:val="004D4FCC"/>
    <w:rsid w:val="004D5CB3"/>
    <w:rsid w:val="004D626B"/>
    <w:rsid w:val="004E0C0F"/>
    <w:rsid w:val="004E7B55"/>
    <w:rsid w:val="004F006D"/>
    <w:rsid w:val="004F0335"/>
    <w:rsid w:val="004F494E"/>
    <w:rsid w:val="004F4C49"/>
    <w:rsid w:val="004F705F"/>
    <w:rsid w:val="00503CB7"/>
    <w:rsid w:val="005060A8"/>
    <w:rsid w:val="0050672E"/>
    <w:rsid w:val="00512FE2"/>
    <w:rsid w:val="005167B4"/>
    <w:rsid w:val="00517F9F"/>
    <w:rsid w:val="00520D9B"/>
    <w:rsid w:val="0052188F"/>
    <w:rsid w:val="00527390"/>
    <w:rsid w:val="00532869"/>
    <w:rsid w:val="0053434A"/>
    <w:rsid w:val="00534EDF"/>
    <w:rsid w:val="0054312F"/>
    <w:rsid w:val="00552293"/>
    <w:rsid w:val="00554EA9"/>
    <w:rsid w:val="005651FC"/>
    <w:rsid w:val="00566574"/>
    <w:rsid w:val="0056739A"/>
    <w:rsid w:val="00572865"/>
    <w:rsid w:val="00573CAB"/>
    <w:rsid w:val="005828D2"/>
    <w:rsid w:val="00585F5C"/>
    <w:rsid w:val="005912F9"/>
    <w:rsid w:val="00591342"/>
    <w:rsid w:val="00591CC6"/>
    <w:rsid w:val="00596102"/>
    <w:rsid w:val="005B0F0B"/>
    <w:rsid w:val="005B54B9"/>
    <w:rsid w:val="005B723E"/>
    <w:rsid w:val="005C0874"/>
    <w:rsid w:val="005C55DA"/>
    <w:rsid w:val="005C721B"/>
    <w:rsid w:val="005C742C"/>
    <w:rsid w:val="005C7637"/>
    <w:rsid w:val="005C7A9F"/>
    <w:rsid w:val="005D015F"/>
    <w:rsid w:val="005D24D3"/>
    <w:rsid w:val="005D71B1"/>
    <w:rsid w:val="005E1D8D"/>
    <w:rsid w:val="005E3FBE"/>
    <w:rsid w:val="005E4ABF"/>
    <w:rsid w:val="005E4B66"/>
    <w:rsid w:val="005F6AD4"/>
    <w:rsid w:val="005F7E8A"/>
    <w:rsid w:val="006076ED"/>
    <w:rsid w:val="00612DE1"/>
    <w:rsid w:val="00614EC1"/>
    <w:rsid w:val="00616F49"/>
    <w:rsid w:val="00621392"/>
    <w:rsid w:val="00626CEE"/>
    <w:rsid w:val="00631876"/>
    <w:rsid w:val="00633582"/>
    <w:rsid w:val="00635738"/>
    <w:rsid w:val="00642AF5"/>
    <w:rsid w:val="00644475"/>
    <w:rsid w:val="0064548E"/>
    <w:rsid w:val="00646B18"/>
    <w:rsid w:val="00651F91"/>
    <w:rsid w:val="00654223"/>
    <w:rsid w:val="00656ECD"/>
    <w:rsid w:val="00663952"/>
    <w:rsid w:val="00664CC2"/>
    <w:rsid w:val="00664DD0"/>
    <w:rsid w:val="0067115F"/>
    <w:rsid w:val="006712CF"/>
    <w:rsid w:val="006769C9"/>
    <w:rsid w:val="00676B60"/>
    <w:rsid w:val="00680464"/>
    <w:rsid w:val="00680604"/>
    <w:rsid w:val="00685F31"/>
    <w:rsid w:val="006865E1"/>
    <w:rsid w:val="006914CB"/>
    <w:rsid w:val="0069168A"/>
    <w:rsid w:val="00692470"/>
    <w:rsid w:val="00694402"/>
    <w:rsid w:val="00694AD8"/>
    <w:rsid w:val="00695C7F"/>
    <w:rsid w:val="006A2A5F"/>
    <w:rsid w:val="006A2BC2"/>
    <w:rsid w:val="006A3F5A"/>
    <w:rsid w:val="006B60BF"/>
    <w:rsid w:val="006B7659"/>
    <w:rsid w:val="006C24D0"/>
    <w:rsid w:val="006C7E7D"/>
    <w:rsid w:val="006D26DB"/>
    <w:rsid w:val="006D3A45"/>
    <w:rsid w:val="006D3E1E"/>
    <w:rsid w:val="006D4B4C"/>
    <w:rsid w:val="006E3E09"/>
    <w:rsid w:val="006F1059"/>
    <w:rsid w:val="00705833"/>
    <w:rsid w:val="0071403A"/>
    <w:rsid w:val="00715EF3"/>
    <w:rsid w:val="00720E9F"/>
    <w:rsid w:val="007237FE"/>
    <w:rsid w:val="00725210"/>
    <w:rsid w:val="007337D3"/>
    <w:rsid w:val="0073419C"/>
    <w:rsid w:val="007371BA"/>
    <w:rsid w:val="00737269"/>
    <w:rsid w:val="00741BAD"/>
    <w:rsid w:val="00745874"/>
    <w:rsid w:val="007462D8"/>
    <w:rsid w:val="00750C90"/>
    <w:rsid w:val="007568ED"/>
    <w:rsid w:val="007569C1"/>
    <w:rsid w:val="00757B05"/>
    <w:rsid w:val="0076085F"/>
    <w:rsid w:val="00761F21"/>
    <w:rsid w:val="00763E0D"/>
    <w:rsid w:val="00772C76"/>
    <w:rsid w:val="007833D8"/>
    <w:rsid w:val="007843B4"/>
    <w:rsid w:val="00785747"/>
    <w:rsid w:val="00791F09"/>
    <w:rsid w:val="007A0A0E"/>
    <w:rsid w:val="007A1D2E"/>
    <w:rsid w:val="007A4AE0"/>
    <w:rsid w:val="007A59C2"/>
    <w:rsid w:val="007B17E1"/>
    <w:rsid w:val="007B7B37"/>
    <w:rsid w:val="007C019D"/>
    <w:rsid w:val="007C16A2"/>
    <w:rsid w:val="007C290B"/>
    <w:rsid w:val="007C3AB8"/>
    <w:rsid w:val="007D17A1"/>
    <w:rsid w:val="007D3BA1"/>
    <w:rsid w:val="007D4237"/>
    <w:rsid w:val="007D5340"/>
    <w:rsid w:val="007E59AB"/>
    <w:rsid w:val="007E74F3"/>
    <w:rsid w:val="007F266D"/>
    <w:rsid w:val="007F6A0E"/>
    <w:rsid w:val="00801600"/>
    <w:rsid w:val="008110F8"/>
    <w:rsid w:val="00812D47"/>
    <w:rsid w:val="008159E8"/>
    <w:rsid w:val="0082388E"/>
    <w:rsid w:val="008314FE"/>
    <w:rsid w:val="00833DDC"/>
    <w:rsid w:val="0085508A"/>
    <w:rsid w:val="0085652B"/>
    <w:rsid w:val="00861981"/>
    <w:rsid w:val="008627EE"/>
    <w:rsid w:val="00864173"/>
    <w:rsid w:val="00865EC5"/>
    <w:rsid w:val="0087161B"/>
    <w:rsid w:val="00871AF9"/>
    <w:rsid w:val="00872187"/>
    <w:rsid w:val="00875E68"/>
    <w:rsid w:val="00882CD7"/>
    <w:rsid w:val="008856E1"/>
    <w:rsid w:val="008918BC"/>
    <w:rsid w:val="00893427"/>
    <w:rsid w:val="00894492"/>
    <w:rsid w:val="008A15B3"/>
    <w:rsid w:val="008A4C43"/>
    <w:rsid w:val="008A68EB"/>
    <w:rsid w:val="008B13EA"/>
    <w:rsid w:val="008B37EF"/>
    <w:rsid w:val="008B480A"/>
    <w:rsid w:val="008B4EAC"/>
    <w:rsid w:val="008C313A"/>
    <w:rsid w:val="008C7719"/>
    <w:rsid w:val="008D7C32"/>
    <w:rsid w:val="008D7D2E"/>
    <w:rsid w:val="008E161A"/>
    <w:rsid w:val="008E3D73"/>
    <w:rsid w:val="008E40C7"/>
    <w:rsid w:val="008E478E"/>
    <w:rsid w:val="008E5EA6"/>
    <w:rsid w:val="008E7CB6"/>
    <w:rsid w:val="008F3C65"/>
    <w:rsid w:val="008F5AE6"/>
    <w:rsid w:val="00900A74"/>
    <w:rsid w:val="00902956"/>
    <w:rsid w:val="009056DD"/>
    <w:rsid w:val="00910305"/>
    <w:rsid w:val="0091062C"/>
    <w:rsid w:val="00913EE1"/>
    <w:rsid w:val="009158D0"/>
    <w:rsid w:val="0092775A"/>
    <w:rsid w:val="009370C9"/>
    <w:rsid w:val="0094100F"/>
    <w:rsid w:val="00941CB1"/>
    <w:rsid w:val="00944176"/>
    <w:rsid w:val="00947C2F"/>
    <w:rsid w:val="00950438"/>
    <w:rsid w:val="0096194F"/>
    <w:rsid w:val="00962780"/>
    <w:rsid w:val="00962B2B"/>
    <w:rsid w:val="0096459E"/>
    <w:rsid w:val="009712A0"/>
    <w:rsid w:val="009727B9"/>
    <w:rsid w:val="00972A06"/>
    <w:rsid w:val="00972FB4"/>
    <w:rsid w:val="00985C10"/>
    <w:rsid w:val="0099021B"/>
    <w:rsid w:val="00991CA8"/>
    <w:rsid w:val="00991F97"/>
    <w:rsid w:val="009957BE"/>
    <w:rsid w:val="009A3B04"/>
    <w:rsid w:val="009A727A"/>
    <w:rsid w:val="009B0C18"/>
    <w:rsid w:val="009B17B3"/>
    <w:rsid w:val="009B4791"/>
    <w:rsid w:val="009B520B"/>
    <w:rsid w:val="009C0803"/>
    <w:rsid w:val="009C39E1"/>
    <w:rsid w:val="009C3AC2"/>
    <w:rsid w:val="009D485A"/>
    <w:rsid w:val="009D7A02"/>
    <w:rsid w:val="009E20C1"/>
    <w:rsid w:val="009E2AFA"/>
    <w:rsid w:val="009E5A22"/>
    <w:rsid w:val="009E751C"/>
    <w:rsid w:val="009F147D"/>
    <w:rsid w:val="009F3792"/>
    <w:rsid w:val="009F5526"/>
    <w:rsid w:val="00A0624D"/>
    <w:rsid w:val="00A11F7B"/>
    <w:rsid w:val="00A171F2"/>
    <w:rsid w:val="00A33337"/>
    <w:rsid w:val="00A349F7"/>
    <w:rsid w:val="00A40C8E"/>
    <w:rsid w:val="00A41029"/>
    <w:rsid w:val="00A4216C"/>
    <w:rsid w:val="00A52B6D"/>
    <w:rsid w:val="00A54048"/>
    <w:rsid w:val="00A56C98"/>
    <w:rsid w:val="00A63F15"/>
    <w:rsid w:val="00A70E8C"/>
    <w:rsid w:val="00A73FD4"/>
    <w:rsid w:val="00A75549"/>
    <w:rsid w:val="00A80610"/>
    <w:rsid w:val="00A87A7C"/>
    <w:rsid w:val="00A919FA"/>
    <w:rsid w:val="00AB6289"/>
    <w:rsid w:val="00AB7044"/>
    <w:rsid w:val="00AC4DC6"/>
    <w:rsid w:val="00AC5778"/>
    <w:rsid w:val="00AC5E9E"/>
    <w:rsid w:val="00AC6A15"/>
    <w:rsid w:val="00AE0875"/>
    <w:rsid w:val="00AE3EBC"/>
    <w:rsid w:val="00AE4157"/>
    <w:rsid w:val="00AE6E7F"/>
    <w:rsid w:val="00AE79ED"/>
    <w:rsid w:val="00AF2AEE"/>
    <w:rsid w:val="00B00DD1"/>
    <w:rsid w:val="00B01147"/>
    <w:rsid w:val="00B038CE"/>
    <w:rsid w:val="00B039FA"/>
    <w:rsid w:val="00B06BB0"/>
    <w:rsid w:val="00B13095"/>
    <w:rsid w:val="00B136E2"/>
    <w:rsid w:val="00B1682A"/>
    <w:rsid w:val="00B16AD1"/>
    <w:rsid w:val="00B16F0C"/>
    <w:rsid w:val="00B219AF"/>
    <w:rsid w:val="00B258F0"/>
    <w:rsid w:val="00B435B9"/>
    <w:rsid w:val="00B47551"/>
    <w:rsid w:val="00B50162"/>
    <w:rsid w:val="00B51C12"/>
    <w:rsid w:val="00B53CF9"/>
    <w:rsid w:val="00B577A3"/>
    <w:rsid w:val="00B6639B"/>
    <w:rsid w:val="00B72402"/>
    <w:rsid w:val="00B73932"/>
    <w:rsid w:val="00B83287"/>
    <w:rsid w:val="00B85B8F"/>
    <w:rsid w:val="00B877F5"/>
    <w:rsid w:val="00B92F60"/>
    <w:rsid w:val="00B96D34"/>
    <w:rsid w:val="00BA193C"/>
    <w:rsid w:val="00BA417B"/>
    <w:rsid w:val="00BB1383"/>
    <w:rsid w:val="00BC3203"/>
    <w:rsid w:val="00BC33AF"/>
    <w:rsid w:val="00BC4AC7"/>
    <w:rsid w:val="00BC4D14"/>
    <w:rsid w:val="00BD4E58"/>
    <w:rsid w:val="00BD6A69"/>
    <w:rsid w:val="00BD7A98"/>
    <w:rsid w:val="00BE2CF5"/>
    <w:rsid w:val="00BE44E7"/>
    <w:rsid w:val="00BE56F5"/>
    <w:rsid w:val="00BE5849"/>
    <w:rsid w:val="00BF317C"/>
    <w:rsid w:val="00BF3280"/>
    <w:rsid w:val="00BF446D"/>
    <w:rsid w:val="00BF57C0"/>
    <w:rsid w:val="00BF6B30"/>
    <w:rsid w:val="00C00759"/>
    <w:rsid w:val="00C06EEA"/>
    <w:rsid w:val="00C11100"/>
    <w:rsid w:val="00C13D80"/>
    <w:rsid w:val="00C16C48"/>
    <w:rsid w:val="00C221F1"/>
    <w:rsid w:val="00C2346D"/>
    <w:rsid w:val="00C24111"/>
    <w:rsid w:val="00C24505"/>
    <w:rsid w:val="00C2725D"/>
    <w:rsid w:val="00C27907"/>
    <w:rsid w:val="00C460D5"/>
    <w:rsid w:val="00C523C4"/>
    <w:rsid w:val="00C52FFC"/>
    <w:rsid w:val="00C568D7"/>
    <w:rsid w:val="00C60B84"/>
    <w:rsid w:val="00C64BEA"/>
    <w:rsid w:val="00C667E0"/>
    <w:rsid w:val="00C675C9"/>
    <w:rsid w:val="00C73659"/>
    <w:rsid w:val="00C76E49"/>
    <w:rsid w:val="00C77524"/>
    <w:rsid w:val="00C77DA9"/>
    <w:rsid w:val="00C83443"/>
    <w:rsid w:val="00C85F0A"/>
    <w:rsid w:val="00C93461"/>
    <w:rsid w:val="00C96A74"/>
    <w:rsid w:val="00CB0E50"/>
    <w:rsid w:val="00CB41B1"/>
    <w:rsid w:val="00CC22B5"/>
    <w:rsid w:val="00CC7F69"/>
    <w:rsid w:val="00CD0015"/>
    <w:rsid w:val="00CD2674"/>
    <w:rsid w:val="00CD33E1"/>
    <w:rsid w:val="00CD3A19"/>
    <w:rsid w:val="00CE3039"/>
    <w:rsid w:val="00CE5943"/>
    <w:rsid w:val="00CF0261"/>
    <w:rsid w:val="00CF251D"/>
    <w:rsid w:val="00CF4482"/>
    <w:rsid w:val="00D12BAB"/>
    <w:rsid w:val="00D12EF8"/>
    <w:rsid w:val="00D16532"/>
    <w:rsid w:val="00D16915"/>
    <w:rsid w:val="00D23A2C"/>
    <w:rsid w:val="00D2770F"/>
    <w:rsid w:val="00D36011"/>
    <w:rsid w:val="00D41688"/>
    <w:rsid w:val="00D43469"/>
    <w:rsid w:val="00D45B54"/>
    <w:rsid w:val="00D50DAB"/>
    <w:rsid w:val="00D55BB2"/>
    <w:rsid w:val="00D56A1E"/>
    <w:rsid w:val="00D616DD"/>
    <w:rsid w:val="00D66E00"/>
    <w:rsid w:val="00D73D9F"/>
    <w:rsid w:val="00D75053"/>
    <w:rsid w:val="00D802F6"/>
    <w:rsid w:val="00D81318"/>
    <w:rsid w:val="00D82A55"/>
    <w:rsid w:val="00D8419B"/>
    <w:rsid w:val="00D84352"/>
    <w:rsid w:val="00D84E14"/>
    <w:rsid w:val="00D87A78"/>
    <w:rsid w:val="00D92666"/>
    <w:rsid w:val="00D93AD7"/>
    <w:rsid w:val="00DA0549"/>
    <w:rsid w:val="00DA3E33"/>
    <w:rsid w:val="00DA42D0"/>
    <w:rsid w:val="00DA5271"/>
    <w:rsid w:val="00DC381E"/>
    <w:rsid w:val="00DC7C99"/>
    <w:rsid w:val="00DD49DC"/>
    <w:rsid w:val="00DD6C7D"/>
    <w:rsid w:val="00DE1E9C"/>
    <w:rsid w:val="00DE2697"/>
    <w:rsid w:val="00DE2C1B"/>
    <w:rsid w:val="00DE6591"/>
    <w:rsid w:val="00DF31E8"/>
    <w:rsid w:val="00DF5D75"/>
    <w:rsid w:val="00E0227C"/>
    <w:rsid w:val="00E10CEA"/>
    <w:rsid w:val="00E12951"/>
    <w:rsid w:val="00E167BE"/>
    <w:rsid w:val="00E25239"/>
    <w:rsid w:val="00E2542D"/>
    <w:rsid w:val="00E31F19"/>
    <w:rsid w:val="00E329F6"/>
    <w:rsid w:val="00E33440"/>
    <w:rsid w:val="00E35C1A"/>
    <w:rsid w:val="00E401F1"/>
    <w:rsid w:val="00E407FD"/>
    <w:rsid w:val="00E41428"/>
    <w:rsid w:val="00E51E0D"/>
    <w:rsid w:val="00E542BE"/>
    <w:rsid w:val="00E5627E"/>
    <w:rsid w:val="00E60C78"/>
    <w:rsid w:val="00E635E6"/>
    <w:rsid w:val="00E65B10"/>
    <w:rsid w:val="00E73855"/>
    <w:rsid w:val="00E73FC9"/>
    <w:rsid w:val="00E74C23"/>
    <w:rsid w:val="00E75248"/>
    <w:rsid w:val="00E857E7"/>
    <w:rsid w:val="00E90973"/>
    <w:rsid w:val="00E96DAB"/>
    <w:rsid w:val="00E977F3"/>
    <w:rsid w:val="00EA12CE"/>
    <w:rsid w:val="00EA1723"/>
    <w:rsid w:val="00EA2EB7"/>
    <w:rsid w:val="00EA5CFD"/>
    <w:rsid w:val="00EA723F"/>
    <w:rsid w:val="00EB1A9B"/>
    <w:rsid w:val="00EB2F1D"/>
    <w:rsid w:val="00EC2F3D"/>
    <w:rsid w:val="00EC4D04"/>
    <w:rsid w:val="00ED40E9"/>
    <w:rsid w:val="00ED76A8"/>
    <w:rsid w:val="00EE4F55"/>
    <w:rsid w:val="00EF0969"/>
    <w:rsid w:val="00EF13A7"/>
    <w:rsid w:val="00EF7021"/>
    <w:rsid w:val="00F05BA8"/>
    <w:rsid w:val="00F1420F"/>
    <w:rsid w:val="00F148A2"/>
    <w:rsid w:val="00F24872"/>
    <w:rsid w:val="00F251D6"/>
    <w:rsid w:val="00F2757A"/>
    <w:rsid w:val="00F27845"/>
    <w:rsid w:val="00F30BD2"/>
    <w:rsid w:val="00F31387"/>
    <w:rsid w:val="00F41A2B"/>
    <w:rsid w:val="00F43CE4"/>
    <w:rsid w:val="00F4494C"/>
    <w:rsid w:val="00F474B0"/>
    <w:rsid w:val="00F47689"/>
    <w:rsid w:val="00F477FE"/>
    <w:rsid w:val="00F47E2A"/>
    <w:rsid w:val="00F50384"/>
    <w:rsid w:val="00F510AD"/>
    <w:rsid w:val="00F5152F"/>
    <w:rsid w:val="00F56C78"/>
    <w:rsid w:val="00F57710"/>
    <w:rsid w:val="00F6379D"/>
    <w:rsid w:val="00F65185"/>
    <w:rsid w:val="00F67F51"/>
    <w:rsid w:val="00F7153A"/>
    <w:rsid w:val="00F741C2"/>
    <w:rsid w:val="00F77E35"/>
    <w:rsid w:val="00F85CF8"/>
    <w:rsid w:val="00F85FC6"/>
    <w:rsid w:val="00F91B51"/>
    <w:rsid w:val="00F94473"/>
    <w:rsid w:val="00FB0486"/>
    <w:rsid w:val="00FB4DB9"/>
    <w:rsid w:val="00FB516B"/>
    <w:rsid w:val="00FC5491"/>
    <w:rsid w:val="00FD3948"/>
    <w:rsid w:val="00FD39E3"/>
    <w:rsid w:val="00FD67F1"/>
    <w:rsid w:val="00FE1E03"/>
    <w:rsid w:val="00FF3CBA"/>
    <w:rsid w:val="00FF7B3D"/>
    <w:rsid w:val="05850340"/>
    <w:rsid w:val="08D45A03"/>
    <w:rsid w:val="1143939E"/>
    <w:rsid w:val="192C2B58"/>
    <w:rsid w:val="1A1AAD60"/>
    <w:rsid w:val="1C609B69"/>
    <w:rsid w:val="1CF76CEB"/>
    <w:rsid w:val="1D73512A"/>
    <w:rsid w:val="201CA3E6"/>
    <w:rsid w:val="223EEE97"/>
    <w:rsid w:val="284A68E2"/>
    <w:rsid w:val="2F26A6A9"/>
    <w:rsid w:val="368A0AE1"/>
    <w:rsid w:val="449172A0"/>
    <w:rsid w:val="4A5F923C"/>
    <w:rsid w:val="4CF845F1"/>
    <w:rsid w:val="4E5835F8"/>
    <w:rsid w:val="5025C938"/>
    <w:rsid w:val="50CCAD97"/>
    <w:rsid w:val="576CC0CA"/>
    <w:rsid w:val="57D38BFB"/>
    <w:rsid w:val="5EC2D599"/>
    <w:rsid w:val="62B5A5F4"/>
    <w:rsid w:val="6562D345"/>
    <w:rsid w:val="69AFFEC5"/>
    <w:rsid w:val="6CB249C5"/>
    <w:rsid w:val="7C774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9D610"/>
  <w14:defaultImageDpi w14:val="300"/>
  <w15:docId w15:val="{341585B0-DA51-474F-B557-C30CBA8C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015"/>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074174"/>
    <w:pPr>
      <w:keepNext/>
      <w:keepLines/>
      <w:spacing w:before="40"/>
      <w:outlineLvl w:val="1"/>
    </w:pPr>
    <w:rPr>
      <w:rFonts w:ascii="Verdana" w:eastAsiaTheme="majorEastAsia" w:hAnsi="Verdana" w:cstheme="majorBidi"/>
      <w:b/>
      <w:color w:val="000000" w:themeColor="text1"/>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No"/>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10CEA"/>
    <w:pPr>
      <w:spacing w:line="240" w:lineRule="exact"/>
      <w:jc w:val="both"/>
    </w:pPr>
    <w:rPr>
      <w:vertAlign w:val="superscript"/>
    </w:rPr>
  </w:style>
  <w:style w:type="paragraph" w:styleId="EndnoteText">
    <w:name w:val="endnote text"/>
    <w:basedOn w:val="Normal"/>
    <w:link w:val="EndnoteTextChar"/>
    <w:uiPriority w:val="99"/>
    <w:semiHidden/>
    <w:unhideWhenUsed/>
    <w:rsid w:val="00073586"/>
    <w:rPr>
      <w:sz w:val="20"/>
      <w:szCs w:val="20"/>
    </w:rPr>
  </w:style>
  <w:style w:type="character" w:customStyle="1" w:styleId="EndnoteTextChar">
    <w:name w:val="Endnote Text Char"/>
    <w:basedOn w:val="DefaultParagraphFont"/>
    <w:link w:val="EndnoteText"/>
    <w:uiPriority w:val="99"/>
    <w:semiHidden/>
    <w:rsid w:val="00073586"/>
    <w:rPr>
      <w:sz w:val="20"/>
      <w:szCs w:val="20"/>
    </w:rPr>
  </w:style>
  <w:style w:type="character" w:styleId="EndnoteReference">
    <w:name w:val="endnote reference"/>
    <w:basedOn w:val="DefaultParagraphFont"/>
    <w:uiPriority w:val="99"/>
    <w:semiHidden/>
    <w:unhideWhenUsed/>
    <w:rsid w:val="00073586"/>
    <w:rPr>
      <w:vertAlign w:val="superscript"/>
    </w:rPr>
  </w:style>
  <w:style w:type="paragraph" w:styleId="TOCHeading">
    <w:name w:val="TOC Heading"/>
    <w:basedOn w:val="Heading1"/>
    <w:next w:val="Normal"/>
    <w:uiPriority w:val="39"/>
    <w:unhideWhenUsed/>
    <w:qFormat/>
    <w:rsid w:val="00BE2CF5"/>
    <w:p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BE2CF5"/>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427BF7"/>
    <w:pPr>
      <w:tabs>
        <w:tab w:val="left" w:pos="660"/>
        <w:tab w:val="right" w:leader="dot" w:pos="9848"/>
      </w:tabs>
      <w:spacing w:after="100" w:line="259" w:lineRule="auto"/>
    </w:pPr>
    <w:rPr>
      <w:rFonts w:ascii="Verdana" w:hAnsi="Verdana" w:cs="Times New Roman"/>
      <w:b/>
      <w:bCs/>
      <w:noProof/>
      <w:lang w:val="en-US"/>
    </w:rPr>
  </w:style>
  <w:style w:type="paragraph" w:styleId="TOC3">
    <w:name w:val="toc 3"/>
    <w:basedOn w:val="Normal"/>
    <w:next w:val="Normal"/>
    <w:autoRedefine/>
    <w:uiPriority w:val="39"/>
    <w:unhideWhenUsed/>
    <w:rsid w:val="00BE2CF5"/>
    <w:pPr>
      <w:spacing w:after="100" w:line="259" w:lineRule="auto"/>
      <w:ind w:left="440"/>
    </w:pPr>
    <w:rPr>
      <w:rFonts w:cs="Times New Roman"/>
      <w:sz w:val="22"/>
      <w:szCs w:val="22"/>
      <w:lang w:val="en-US"/>
    </w:rPr>
  </w:style>
  <w:style w:type="character" w:customStyle="1" w:styleId="Heading2Char">
    <w:name w:val="Heading 2 Char"/>
    <w:basedOn w:val="DefaultParagraphFont"/>
    <w:link w:val="Heading2"/>
    <w:uiPriority w:val="9"/>
    <w:rsid w:val="00074174"/>
    <w:rPr>
      <w:rFonts w:ascii="Verdana" w:eastAsiaTheme="majorEastAsia" w:hAnsi="Verdana" w:cstheme="majorBidi"/>
      <w:b/>
      <w:color w:val="000000" w:themeColor="text1"/>
      <w:szCs w:val="26"/>
    </w:rPr>
  </w:style>
  <w:style w:type="paragraph" w:styleId="Revision">
    <w:name w:val="Revision"/>
    <w:hidden/>
    <w:uiPriority w:val="99"/>
    <w:semiHidden/>
    <w:rsid w:val="00944176"/>
  </w:style>
  <w:style w:type="character" w:styleId="CommentReference">
    <w:name w:val="annotation reference"/>
    <w:basedOn w:val="DefaultParagraphFont"/>
    <w:uiPriority w:val="99"/>
    <w:semiHidden/>
    <w:unhideWhenUsed/>
    <w:rsid w:val="00C11100"/>
    <w:rPr>
      <w:sz w:val="16"/>
      <w:szCs w:val="16"/>
    </w:rPr>
  </w:style>
  <w:style w:type="paragraph" w:styleId="CommentText">
    <w:name w:val="annotation text"/>
    <w:basedOn w:val="Normal"/>
    <w:link w:val="CommentTextChar"/>
    <w:uiPriority w:val="99"/>
    <w:unhideWhenUsed/>
    <w:rsid w:val="00C11100"/>
    <w:rPr>
      <w:sz w:val="20"/>
      <w:szCs w:val="20"/>
    </w:rPr>
  </w:style>
  <w:style w:type="character" w:customStyle="1" w:styleId="CommentTextChar">
    <w:name w:val="Comment Text Char"/>
    <w:basedOn w:val="DefaultParagraphFont"/>
    <w:link w:val="CommentText"/>
    <w:uiPriority w:val="99"/>
    <w:rsid w:val="00C11100"/>
    <w:rPr>
      <w:sz w:val="20"/>
      <w:szCs w:val="20"/>
    </w:rPr>
  </w:style>
  <w:style w:type="paragraph" w:styleId="CommentSubject">
    <w:name w:val="annotation subject"/>
    <w:basedOn w:val="CommentText"/>
    <w:next w:val="CommentText"/>
    <w:link w:val="CommentSubjectChar"/>
    <w:uiPriority w:val="99"/>
    <w:semiHidden/>
    <w:unhideWhenUsed/>
    <w:rsid w:val="00C11100"/>
    <w:rPr>
      <w:b/>
      <w:bCs/>
    </w:rPr>
  </w:style>
  <w:style w:type="character" w:customStyle="1" w:styleId="CommentSubjectChar">
    <w:name w:val="Comment Subject Char"/>
    <w:basedOn w:val="CommentTextChar"/>
    <w:link w:val="CommentSubject"/>
    <w:uiPriority w:val="99"/>
    <w:semiHidden/>
    <w:rsid w:val="00C11100"/>
    <w:rPr>
      <w:b/>
      <w:bCs/>
      <w:sz w:val="20"/>
      <w:szCs w:val="20"/>
    </w:rPr>
  </w:style>
  <w:style w:type="character" w:customStyle="1" w:styleId="cf01">
    <w:name w:val="cf01"/>
    <w:basedOn w:val="DefaultParagraphFont"/>
    <w:rsid w:val="009B0C1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unhcr.org/minorities-and-indigenous-peoples" TargetMode="External"/><Relationship Id="rId1" Type="http://schemas.openxmlformats.org/officeDocument/2006/relationships/hyperlink" Target="https://www.un.org/en/climatechange/paris-agre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708A96E1-3F01-4868-ADF7-63672C7B8231}">
  <ds:schemaRefs>
    <ds:schemaRef ds:uri="http://schemas.microsoft.com/sharepoint/v3/contenttype/forms"/>
  </ds:schemaRefs>
</ds:datastoreItem>
</file>

<file path=customXml/itemProps2.xml><?xml version="1.0" encoding="utf-8"?>
<ds:datastoreItem xmlns:ds="http://schemas.openxmlformats.org/officeDocument/2006/customXml" ds:itemID="{A8D89B12-D5BC-441C-939D-66F871F8C345}"/>
</file>

<file path=customXml/itemProps3.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customXml/itemProps4.xml><?xml version="1.0" encoding="utf-8"?>
<ds:datastoreItem xmlns:ds="http://schemas.openxmlformats.org/officeDocument/2006/customXml" ds:itemID="{BBA63C76-74A7-4EB9-900A-B838F9163BC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06d6863-a85d-4a14-ba5d-ada9e5b222dd"/>
    <ds:schemaRef ds:uri="http://purl.org/dc/terms/"/>
    <ds:schemaRef ds:uri="12479bdc-b58c-44ab-9f0f-fa5baefb3d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193</TotalTime>
  <Pages>22</Pages>
  <Words>5647</Words>
  <Characters>32190</Characters>
  <Application>Microsoft Office Word</Application>
  <DocSecurity>0</DocSecurity>
  <Lines>268</Lines>
  <Paragraphs>75</Paragraphs>
  <ScaleCrop>false</ScaleCrop>
  <Company>Whitenoise</Company>
  <LinksUpToDate>false</LinksUpToDate>
  <CharactersWithSpaces>37762</CharactersWithSpaces>
  <SharedDoc>false</SharedDoc>
  <HLinks>
    <vt:vector size="102" baseType="variant">
      <vt:variant>
        <vt:i4>6946881</vt:i4>
      </vt:variant>
      <vt:variant>
        <vt:i4>84</vt:i4>
      </vt:variant>
      <vt:variant>
        <vt:i4>0</vt:i4>
      </vt:variant>
      <vt:variant>
        <vt:i4>5</vt:i4>
      </vt:variant>
      <vt:variant>
        <vt:lpwstr>mailto:info@nihrc.org</vt:lpwstr>
      </vt:variant>
      <vt:variant>
        <vt:lpwstr/>
      </vt:variant>
      <vt:variant>
        <vt:i4>4587543</vt:i4>
      </vt:variant>
      <vt:variant>
        <vt:i4>81</vt:i4>
      </vt:variant>
      <vt:variant>
        <vt:i4>0</vt:i4>
      </vt:variant>
      <vt:variant>
        <vt:i4>5</vt:i4>
      </vt:variant>
      <vt:variant>
        <vt:lpwstr>http://www.nihrc.org/</vt:lpwstr>
      </vt:variant>
      <vt:variant>
        <vt:lpwstr/>
      </vt:variant>
      <vt:variant>
        <vt:i4>1900606</vt:i4>
      </vt:variant>
      <vt:variant>
        <vt:i4>74</vt:i4>
      </vt:variant>
      <vt:variant>
        <vt:i4>0</vt:i4>
      </vt:variant>
      <vt:variant>
        <vt:i4>5</vt:i4>
      </vt:variant>
      <vt:variant>
        <vt:lpwstr/>
      </vt:variant>
      <vt:variant>
        <vt:lpwstr>_Toc141364893</vt:lpwstr>
      </vt:variant>
      <vt:variant>
        <vt:i4>1900606</vt:i4>
      </vt:variant>
      <vt:variant>
        <vt:i4>68</vt:i4>
      </vt:variant>
      <vt:variant>
        <vt:i4>0</vt:i4>
      </vt:variant>
      <vt:variant>
        <vt:i4>5</vt:i4>
      </vt:variant>
      <vt:variant>
        <vt:lpwstr/>
      </vt:variant>
      <vt:variant>
        <vt:lpwstr>_Toc141364892</vt:lpwstr>
      </vt:variant>
      <vt:variant>
        <vt:i4>1900606</vt:i4>
      </vt:variant>
      <vt:variant>
        <vt:i4>62</vt:i4>
      </vt:variant>
      <vt:variant>
        <vt:i4>0</vt:i4>
      </vt:variant>
      <vt:variant>
        <vt:i4>5</vt:i4>
      </vt:variant>
      <vt:variant>
        <vt:lpwstr/>
      </vt:variant>
      <vt:variant>
        <vt:lpwstr>_Toc141364891</vt:lpwstr>
      </vt:variant>
      <vt:variant>
        <vt:i4>1900606</vt:i4>
      </vt:variant>
      <vt:variant>
        <vt:i4>56</vt:i4>
      </vt:variant>
      <vt:variant>
        <vt:i4>0</vt:i4>
      </vt:variant>
      <vt:variant>
        <vt:i4>5</vt:i4>
      </vt:variant>
      <vt:variant>
        <vt:lpwstr/>
      </vt:variant>
      <vt:variant>
        <vt:lpwstr>_Toc141364890</vt:lpwstr>
      </vt:variant>
      <vt:variant>
        <vt:i4>1835070</vt:i4>
      </vt:variant>
      <vt:variant>
        <vt:i4>50</vt:i4>
      </vt:variant>
      <vt:variant>
        <vt:i4>0</vt:i4>
      </vt:variant>
      <vt:variant>
        <vt:i4>5</vt:i4>
      </vt:variant>
      <vt:variant>
        <vt:lpwstr/>
      </vt:variant>
      <vt:variant>
        <vt:lpwstr>_Toc141364889</vt:lpwstr>
      </vt:variant>
      <vt:variant>
        <vt:i4>1835070</vt:i4>
      </vt:variant>
      <vt:variant>
        <vt:i4>44</vt:i4>
      </vt:variant>
      <vt:variant>
        <vt:i4>0</vt:i4>
      </vt:variant>
      <vt:variant>
        <vt:i4>5</vt:i4>
      </vt:variant>
      <vt:variant>
        <vt:lpwstr/>
      </vt:variant>
      <vt:variant>
        <vt:lpwstr>_Toc141364888</vt:lpwstr>
      </vt:variant>
      <vt:variant>
        <vt:i4>1835070</vt:i4>
      </vt:variant>
      <vt:variant>
        <vt:i4>38</vt:i4>
      </vt:variant>
      <vt:variant>
        <vt:i4>0</vt:i4>
      </vt:variant>
      <vt:variant>
        <vt:i4>5</vt:i4>
      </vt:variant>
      <vt:variant>
        <vt:lpwstr/>
      </vt:variant>
      <vt:variant>
        <vt:lpwstr>_Toc141364887</vt:lpwstr>
      </vt:variant>
      <vt:variant>
        <vt:i4>1835070</vt:i4>
      </vt:variant>
      <vt:variant>
        <vt:i4>32</vt:i4>
      </vt:variant>
      <vt:variant>
        <vt:i4>0</vt:i4>
      </vt:variant>
      <vt:variant>
        <vt:i4>5</vt:i4>
      </vt:variant>
      <vt:variant>
        <vt:lpwstr/>
      </vt:variant>
      <vt:variant>
        <vt:lpwstr>_Toc141364886</vt:lpwstr>
      </vt:variant>
      <vt:variant>
        <vt:i4>1835070</vt:i4>
      </vt:variant>
      <vt:variant>
        <vt:i4>26</vt:i4>
      </vt:variant>
      <vt:variant>
        <vt:i4>0</vt:i4>
      </vt:variant>
      <vt:variant>
        <vt:i4>5</vt:i4>
      </vt:variant>
      <vt:variant>
        <vt:lpwstr/>
      </vt:variant>
      <vt:variant>
        <vt:lpwstr>_Toc141364885</vt:lpwstr>
      </vt:variant>
      <vt:variant>
        <vt:i4>1835070</vt:i4>
      </vt:variant>
      <vt:variant>
        <vt:i4>20</vt:i4>
      </vt:variant>
      <vt:variant>
        <vt:i4>0</vt:i4>
      </vt:variant>
      <vt:variant>
        <vt:i4>5</vt:i4>
      </vt:variant>
      <vt:variant>
        <vt:lpwstr/>
      </vt:variant>
      <vt:variant>
        <vt:lpwstr>_Toc141364884</vt:lpwstr>
      </vt:variant>
      <vt:variant>
        <vt:i4>1835070</vt:i4>
      </vt:variant>
      <vt:variant>
        <vt:i4>14</vt:i4>
      </vt:variant>
      <vt:variant>
        <vt:i4>0</vt:i4>
      </vt:variant>
      <vt:variant>
        <vt:i4>5</vt:i4>
      </vt:variant>
      <vt:variant>
        <vt:lpwstr/>
      </vt:variant>
      <vt:variant>
        <vt:lpwstr>_Toc141364883</vt:lpwstr>
      </vt:variant>
      <vt:variant>
        <vt:i4>1835070</vt:i4>
      </vt:variant>
      <vt:variant>
        <vt:i4>8</vt:i4>
      </vt:variant>
      <vt:variant>
        <vt:i4>0</vt:i4>
      </vt:variant>
      <vt:variant>
        <vt:i4>5</vt:i4>
      </vt:variant>
      <vt:variant>
        <vt:lpwstr/>
      </vt:variant>
      <vt:variant>
        <vt:lpwstr>_Toc141364882</vt:lpwstr>
      </vt:variant>
      <vt:variant>
        <vt:i4>1835070</vt:i4>
      </vt:variant>
      <vt:variant>
        <vt:i4>2</vt:i4>
      </vt:variant>
      <vt:variant>
        <vt:i4>0</vt:i4>
      </vt:variant>
      <vt:variant>
        <vt:i4>5</vt:i4>
      </vt:variant>
      <vt:variant>
        <vt:lpwstr/>
      </vt:variant>
      <vt:variant>
        <vt:lpwstr>_Toc141364881</vt:lpwstr>
      </vt:variant>
      <vt:variant>
        <vt:i4>6946852</vt:i4>
      </vt:variant>
      <vt:variant>
        <vt:i4>3</vt:i4>
      </vt:variant>
      <vt:variant>
        <vt:i4>0</vt:i4>
      </vt:variant>
      <vt:variant>
        <vt:i4>5</vt:i4>
      </vt:variant>
      <vt:variant>
        <vt:lpwstr>https://www.unhcr.org/minorities-and-indigenous-peoples</vt:lpwstr>
      </vt:variant>
      <vt:variant>
        <vt:lpwstr/>
      </vt:variant>
      <vt:variant>
        <vt:i4>8323111</vt:i4>
      </vt:variant>
      <vt:variant>
        <vt:i4>0</vt:i4>
      </vt:variant>
      <vt:variant>
        <vt:i4>0</vt:i4>
      </vt:variant>
      <vt:variant>
        <vt:i4>5</vt:i4>
      </vt:variant>
      <vt:variant>
        <vt:lpwstr>https://www.un.org/en/climatechange/paris-agreement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547</cp:revision>
  <cp:lastPrinted>2018-04-20T11:30:00Z</cp:lastPrinted>
  <dcterms:created xsi:type="dcterms:W3CDTF">2020-09-10T10:53:00Z</dcterms:created>
  <dcterms:modified xsi:type="dcterms:W3CDTF">2023-08-22T14:21:00Z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