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118" w:rsidRDefault="008A6118" w:rsidP="00623E52">
      <w:pPr>
        <w:rPr>
          <w:rFonts w:ascii="Verdana" w:hAnsi="Verdana"/>
          <w:sz w:val="24"/>
          <w:szCs w:val="24"/>
        </w:rPr>
      </w:pPr>
      <w:r w:rsidRPr="002E69A0">
        <w:rPr>
          <w:rFonts w:ascii="Verdana" w:hAnsi="Verdana"/>
          <w:noProof/>
          <w:sz w:val="24"/>
          <w:szCs w:val="24"/>
          <w:lang w:eastAsia="en-GB"/>
        </w:rPr>
        <w:drawing>
          <wp:anchor distT="0" distB="0" distL="114300" distR="114300" simplePos="0" relativeHeight="251658240" behindDoc="0" locked="0" layoutInCell="1" allowOverlap="1" wp14:anchorId="1B17E4D1" wp14:editId="7EB1EF0D">
            <wp:simplePos x="0" y="0"/>
            <wp:positionH relativeFrom="column">
              <wp:posOffset>1971675</wp:posOffset>
            </wp:positionH>
            <wp:positionV relativeFrom="paragraph">
              <wp:align>top</wp:align>
            </wp:positionV>
            <wp:extent cx="1258570" cy="18764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8570" cy="1876425"/>
                    </a:xfrm>
                    <a:prstGeom prst="rect">
                      <a:avLst/>
                    </a:prstGeom>
                    <a:noFill/>
                    <a:ln>
                      <a:noFill/>
                    </a:ln>
                  </pic:spPr>
                </pic:pic>
              </a:graphicData>
            </a:graphic>
          </wp:anchor>
        </w:drawing>
      </w:r>
    </w:p>
    <w:p w:rsidR="00623E52" w:rsidRDefault="00623E52" w:rsidP="00623E52">
      <w:pPr>
        <w:rPr>
          <w:rFonts w:ascii="Verdana" w:hAnsi="Verdana"/>
          <w:sz w:val="24"/>
          <w:szCs w:val="24"/>
        </w:rPr>
      </w:pPr>
    </w:p>
    <w:p w:rsidR="00623E52" w:rsidRDefault="00623E52" w:rsidP="00623E52">
      <w:pPr>
        <w:rPr>
          <w:rFonts w:ascii="Verdana" w:hAnsi="Verdana"/>
          <w:sz w:val="24"/>
          <w:szCs w:val="24"/>
        </w:rPr>
      </w:pPr>
    </w:p>
    <w:p w:rsidR="00623E52" w:rsidRDefault="00623E52" w:rsidP="00623E52">
      <w:pPr>
        <w:rPr>
          <w:rFonts w:ascii="Verdana" w:hAnsi="Verdana"/>
          <w:sz w:val="24"/>
          <w:szCs w:val="24"/>
        </w:rPr>
      </w:pPr>
    </w:p>
    <w:p w:rsidR="00623E52" w:rsidRDefault="00623E52" w:rsidP="00623E52">
      <w:pPr>
        <w:rPr>
          <w:rFonts w:ascii="Verdana" w:hAnsi="Verdana"/>
          <w:sz w:val="24"/>
          <w:szCs w:val="24"/>
        </w:rPr>
      </w:pPr>
    </w:p>
    <w:p w:rsidR="00623E52" w:rsidRPr="00623E52" w:rsidRDefault="00623E52" w:rsidP="00623E52">
      <w:pPr>
        <w:rPr>
          <w:rFonts w:ascii="Verdana" w:hAnsi="Verdana"/>
          <w:sz w:val="24"/>
          <w:szCs w:val="24"/>
        </w:rPr>
      </w:pPr>
    </w:p>
    <w:p w:rsidR="00BA5BA1" w:rsidRPr="002E69A0" w:rsidRDefault="00C6424A" w:rsidP="00E929D0">
      <w:pPr>
        <w:rPr>
          <w:rFonts w:ascii="Verdana" w:hAnsi="Verdana"/>
          <w:b/>
          <w:sz w:val="24"/>
          <w:szCs w:val="24"/>
        </w:rPr>
      </w:pPr>
      <w:r w:rsidRPr="002E69A0">
        <w:rPr>
          <w:rFonts w:ascii="Verdana" w:hAnsi="Verdana"/>
          <w:b/>
          <w:sz w:val="24"/>
          <w:szCs w:val="24"/>
        </w:rPr>
        <w:t xml:space="preserve">Submission of the Northern Ireland Human Rights Commission </w:t>
      </w:r>
      <w:r w:rsidR="00463D3F" w:rsidRPr="002E69A0">
        <w:rPr>
          <w:rFonts w:ascii="Verdana" w:hAnsi="Verdana"/>
          <w:b/>
          <w:sz w:val="24"/>
          <w:szCs w:val="24"/>
        </w:rPr>
        <w:t xml:space="preserve">to the </w:t>
      </w:r>
      <w:r w:rsidR="00EA250A">
        <w:rPr>
          <w:rFonts w:ascii="Verdana" w:hAnsi="Verdana"/>
          <w:b/>
          <w:sz w:val="24"/>
          <w:szCs w:val="24"/>
        </w:rPr>
        <w:t xml:space="preserve">Department of Justice and Department of Health consultation on improving health within criminal justice. </w:t>
      </w:r>
    </w:p>
    <w:p w:rsidR="002F7FEA" w:rsidRPr="002E69A0" w:rsidRDefault="002F7FEA" w:rsidP="00E929D0">
      <w:pPr>
        <w:spacing w:after="0" w:line="240" w:lineRule="auto"/>
        <w:contextualSpacing/>
        <w:rPr>
          <w:rFonts w:ascii="Verdana" w:hAnsi="Verdana"/>
          <w:sz w:val="24"/>
          <w:szCs w:val="24"/>
        </w:rPr>
      </w:pPr>
    </w:p>
    <w:p w:rsidR="00623E52" w:rsidRPr="00623E52" w:rsidRDefault="00623E52" w:rsidP="00623E52">
      <w:pPr>
        <w:spacing w:after="0" w:line="240" w:lineRule="auto"/>
        <w:contextualSpacing/>
        <w:jc w:val="center"/>
        <w:rPr>
          <w:rFonts w:ascii="Verdana" w:hAnsi="Verdana"/>
          <w:b/>
          <w:i/>
          <w:sz w:val="24"/>
          <w:szCs w:val="24"/>
        </w:rPr>
      </w:pPr>
      <w:r w:rsidRPr="00623E52">
        <w:rPr>
          <w:rFonts w:ascii="Verdana" w:hAnsi="Verdana"/>
          <w:b/>
          <w:i/>
          <w:sz w:val="24"/>
          <w:szCs w:val="24"/>
        </w:rPr>
        <w:t>Summary</w:t>
      </w:r>
    </w:p>
    <w:p w:rsidR="00623E52" w:rsidRPr="00623E52" w:rsidRDefault="00623E52" w:rsidP="00623E52">
      <w:pPr>
        <w:spacing w:after="0" w:line="240" w:lineRule="auto"/>
        <w:contextualSpacing/>
        <w:rPr>
          <w:rFonts w:ascii="Verdana" w:hAnsi="Verdana"/>
          <w:b/>
          <w:i/>
          <w:sz w:val="24"/>
          <w:szCs w:val="24"/>
        </w:rPr>
      </w:pPr>
    </w:p>
    <w:p w:rsidR="00623E52" w:rsidRPr="00623E52" w:rsidRDefault="00E5304C" w:rsidP="00623E52">
      <w:pPr>
        <w:spacing w:after="0" w:line="240" w:lineRule="auto"/>
        <w:contextualSpacing/>
        <w:rPr>
          <w:rFonts w:ascii="Verdana" w:hAnsi="Verdana"/>
          <w:b/>
          <w:i/>
          <w:sz w:val="24"/>
          <w:szCs w:val="24"/>
        </w:rPr>
      </w:pPr>
      <w:r>
        <w:rPr>
          <w:rFonts w:ascii="Verdana" w:hAnsi="Verdana"/>
          <w:b/>
          <w:i/>
          <w:sz w:val="24"/>
          <w:szCs w:val="24"/>
        </w:rPr>
        <w:t>2.12</w:t>
      </w:r>
      <w:r w:rsidR="00623E52" w:rsidRPr="00623E52">
        <w:rPr>
          <w:rFonts w:ascii="Verdana" w:hAnsi="Verdana"/>
          <w:b/>
          <w:i/>
          <w:sz w:val="24"/>
          <w:szCs w:val="24"/>
        </w:rPr>
        <w:t xml:space="preserve"> The Commission advises the Department of Health and Department of Justice to include references to the NI Executive’s human rights obligations within the strategy and to specifically address the relevant aspects of the recommendations of the UN Human Rights Committee and UN Committee against Torture through the strategy. </w:t>
      </w:r>
    </w:p>
    <w:p w:rsidR="00623E52" w:rsidRPr="00623E52" w:rsidRDefault="00623E52" w:rsidP="00623E52">
      <w:pPr>
        <w:spacing w:after="0" w:line="240" w:lineRule="auto"/>
        <w:contextualSpacing/>
        <w:rPr>
          <w:rFonts w:ascii="Verdana" w:hAnsi="Verdana"/>
          <w:b/>
          <w:i/>
          <w:sz w:val="24"/>
          <w:szCs w:val="24"/>
        </w:rPr>
      </w:pPr>
    </w:p>
    <w:p w:rsidR="00623E52" w:rsidRPr="00623E52" w:rsidRDefault="00623E52" w:rsidP="00623E52">
      <w:pPr>
        <w:spacing w:after="0" w:line="240" w:lineRule="auto"/>
        <w:contextualSpacing/>
        <w:rPr>
          <w:rFonts w:ascii="Verdana" w:hAnsi="Verdana"/>
          <w:b/>
          <w:i/>
          <w:sz w:val="24"/>
          <w:szCs w:val="24"/>
        </w:rPr>
      </w:pPr>
      <w:r w:rsidRPr="00623E52">
        <w:rPr>
          <w:rFonts w:ascii="Verdana" w:hAnsi="Verdana"/>
          <w:b/>
          <w:i/>
          <w:sz w:val="24"/>
          <w:szCs w:val="24"/>
        </w:rPr>
        <w:t xml:space="preserve">3.3 The Commission advises that the strategy would be strengthened by the inclusion of concrete, deliberate and targeted </w:t>
      </w:r>
      <w:r w:rsidR="00CD3625">
        <w:rPr>
          <w:rFonts w:ascii="Verdana" w:hAnsi="Verdana"/>
          <w:b/>
          <w:i/>
          <w:sz w:val="24"/>
          <w:szCs w:val="24"/>
        </w:rPr>
        <w:t xml:space="preserve">outcome </w:t>
      </w:r>
      <w:r w:rsidRPr="00623E52">
        <w:rPr>
          <w:rFonts w:ascii="Verdana" w:hAnsi="Verdana"/>
          <w:b/>
          <w:i/>
          <w:sz w:val="24"/>
          <w:szCs w:val="24"/>
        </w:rPr>
        <w:t>measures attached to each strategic priority. This should be accompanied by a detailed timeframe and the establishment of robust monitoring and evaluation mechanisms. The Department of Health and Department of Justice must ensure the strategy is formulated on the basis of a reliable data set.</w:t>
      </w:r>
    </w:p>
    <w:p w:rsidR="00623E52" w:rsidRPr="00623E52" w:rsidRDefault="00623E52" w:rsidP="00623E52">
      <w:pPr>
        <w:spacing w:after="0" w:line="240" w:lineRule="auto"/>
        <w:contextualSpacing/>
        <w:rPr>
          <w:rFonts w:ascii="Verdana" w:hAnsi="Verdana"/>
          <w:b/>
          <w:i/>
          <w:sz w:val="24"/>
          <w:szCs w:val="24"/>
        </w:rPr>
      </w:pPr>
    </w:p>
    <w:p w:rsidR="00623E52" w:rsidRPr="00623E52" w:rsidRDefault="00623E52" w:rsidP="00623E52">
      <w:pPr>
        <w:spacing w:after="0" w:line="240" w:lineRule="auto"/>
        <w:contextualSpacing/>
        <w:rPr>
          <w:rFonts w:ascii="Verdana" w:hAnsi="Verdana"/>
          <w:b/>
          <w:i/>
          <w:sz w:val="24"/>
          <w:szCs w:val="24"/>
        </w:rPr>
      </w:pPr>
      <w:r w:rsidRPr="00623E52">
        <w:rPr>
          <w:rFonts w:ascii="Verdana" w:hAnsi="Verdana"/>
          <w:b/>
          <w:i/>
          <w:sz w:val="24"/>
          <w:szCs w:val="24"/>
        </w:rPr>
        <w:t>4.3 The Commission advises that this strategic priority should be further developed by outlining the specific objectives that the strategy will deliver and the desired outcome. This should include analysis of the existing sentencing framework with consideration of whether it can be utilised to ensure effective diversion or if law reform is required to ensure an appropriate range of disposals.</w:t>
      </w:r>
    </w:p>
    <w:p w:rsidR="00623E52" w:rsidRPr="00623E52" w:rsidRDefault="00623E52" w:rsidP="00623E52">
      <w:pPr>
        <w:spacing w:after="0" w:line="240" w:lineRule="auto"/>
        <w:contextualSpacing/>
        <w:rPr>
          <w:rFonts w:ascii="Verdana" w:hAnsi="Verdana"/>
          <w:b/>
          <w:i/>
          <w:sz w:val="24"/>
          <w:szCs w:val="24"/>
        </w:rPr>
      </w:pPr>
    </w:p>
    <w:p w:rsidR="00623E52" w:rsidRPr="00623E52" w:rsidRDefault="00623E52" w:rsidP="00623E52">
      <w:pPr>
        <w:spacing w:after="0" w:line="240" w:lineRule="auto"/>
        <w:contextualSpacing/>
        <w:rPr>
          <w:rFonts w:ascii="Verdana" w:hAnsi="Verdana"/>
          <w:b/>
          <w:i/>
          <w:sz w:val="24"/>
          <w:szCs w:val="24"/>
        </w:rPr>
      </w:pPr>
      <w:r w:rsidRPr="00623E52">
        <w:rPr>
          <w:rFonts w:ascii="Verdana" w:hAnsi="Verdana"/>
          <w:b/>
          <w:i/>
          <w:sz w:val="24"/>
          <w:szCs w:val="24"/>
        </w:rPr>
        <w:t xml:space="preserve">4.6 The Commission advises that significant investment in </w:t>
      </w:r>
    </w:p>
    <w:p w:rsidR="00623E52" w:rsidRPr="00623E52" w:rsidRDefault="00623E52" w:rsidP="00623E52">
      <w:pPr>
        <w:spacing w:after="0" w:line="240" w:lineRule="auto"/>
        <w:contextualSpacing/>
        <w:rPr>
          <w:rFonts w:ascii="Verdana" w:hAnsi="Verdana"/>
          <w:b/>
          <w:i/>
          <w:sz w:val="24"/>
          <w:szCs w:val="24"/>
        </w:rPr>
      </w:pPr>
      <w:proofErr w:type="gramStart"/>
      <w:r w:rsidRPr="00623E52">
        <w:rPr>
          <w:rFonts w:ascii="Verdana" w:hAnsi="Verdana"/>
          <w:b/>
          <w:i/>
          <w:sz w:val="24"/>
          <w:szCs w:val="24"/>
        </w:rPr>
        <w:t>the</w:t>
      </w:r>
      <w:proofErr w:type="gramEnd"/>
      <w:r w:rsidRPr="00623E52">
        <w:rPr>
          <w:rFonts w:ascii="Verdana" w:hAnsi="Verdana"/>
          <w:b/>
          <w:i/>
          <w:sz w:val="24"/>
          <w:szCs w:val="24"/>
        </w:rPr>
        <w:t xml:space="preserve"> development of alternatives to pre-trial detention is </w:t>
      </w:r>
    </w:p>
    <w:p w:rsidR="00623E52" w:rsidRPr="00623E52" w:rsidRDefault="00623E52" w:rsidP="00623E52">
      <w:pPr>
        <w:spacing w:after="0" w:line="240" w:lineRule="auto"/>
        <w:contextualSpacing/>
        <w:rPr>
          <w:rFonts w:ascii="Verdana" w:hAnsi="Verdana"/>
          <w:b/>
          <w:i/>
          <w:sz w:val="24"/>
          <w:szCs w:val="24"/>
        </w:rPr>
      </w:pPr>
      <w:proofErr w:type="gramStart"/>
      <w:r w:rsidRPr="00623E52">
        <w:rPr>
          <w:rFonts w:ascii="Verdana" w:hAnsi="Verdana"/>
          <w:b/>
          <w:i/>
          <w:sz w:val="24"/>
          <w:szCs w:val="24"/>
        </w:rPr>
        <w:t>required</w:t>
      </w:r>
      <w:proofErr w:type="gramEnd"/>
      <w:r w:rsidRPr="00623E52">
        <w:rPr>
          <w:rFonts w:ascii="Verdana" w:hAnsi="Verdana"/>
          <w:b/>
          <w:i/>
          <w:sz w:val="24"/>
          <w:szCs w:val="24"/>
        </w:rPr>
        <w:t xml:space="preserve"> as a matter of priority and considers that legislative </w:t>
      </w:r>
    </w:p>
    <w:p w:rsidR="00623E52" w:rsidRPr="00623E52" w:rsidRDefault="00623E52" w:rsidP="00623E52">
      <w:pPr>
        <w:spacing w:after="0" w:line="240" w:lineRule="auto"/>
        <w:contextualSpacing/>
        <w:rPr>
          <w:rFonts w:ascii="Verdana" w:hAnsi="Verdana"/>
          <w:b/>
          <w:i/>
          <w:sz w:val="24"/>
          <w:szCs w:val="24"/>
        </w:rPr>
      </w:pPr>
      <w:proofErr w:type="gramStart"/>
      <w:r w:rsidRPr="00623E52">
        <w:rPr>
          <w:rFonts w:ascii="Verdana" w:hAnsi="Verdana"/>
          <w:b/>
          <w:i/>
          <w:sz w:val="24"/>
          <w:szCs w:val="24"/>
        </w:rPr>
        <w:t>and</w:t>
      </w:r>
      <w:proofErr w:type="gramEnd"/>
      <w:r w:rsidRPr="00623E52">
        <w:rPr>
          <w:rFonts w:ascii="Verdana" w:hAnsi="Verdana"/>
          <w:b/>
          <w:i/>
          <w:sz w:val="24"/>
          <w:szCs w:val="24"/>
        </w:rPr>
        <w:t xml:space="preserve"> administrative measures, including the development of </w:t>
      </w:r>
    </w:p>
    <w:p w:rsidR="00623E52" w:rsidRPr="00623E52" w:rsidRDefault="00623E52" w:rsidP="00623E52">
      <w:pPr>
        <w:spacing w:after="0" w:line="240" w:lineRule="auto"/>
        <w:contextualSpacing/>
        <w:rPr>
          <w:rFonts w:ascii="Verdana" w:hAnsi="Verdana"/>
          <w:b/>
          <w:i/>
          <w:sz w:val="24"/>
          <w:szCs w:val="24"/>
        </w:rPr>
      </w:pPr>
      <w:proofErr w:type="gramStart"/>
      <w:r w:rsidRPr="00623E52">
        <w:rPr>
          <w:rFonts w:ascii="Verdana" w:hAnsi="Verdana"/>
          <w:b/>
          <w:i/>
          <w:sz w:val="24"/>
          <w:szCs w:val="24"/>
        </w:rPr>
        <w:t>bail</w:t>
      </w:r>
      <w:proofErr w:type="gramEnd"/>
      <w:r w:rsidRPr="00623E52">
        <w:rPr>
          <w:rFonts w:ascii="Verdana" w:hAnsi="Verdana"/>
          <w:b/>
          <w:i/>
          <w:sz w:val="24"/>
          <w:szCs w:val="24"/>
        </w:rPr>
        <w:t xml:space="preserve"> arrangements such as accommodation should be </w:t>
      </w:r>
    </w:p>
    <w:p w:rsidR="00623E52" w:rsidRPr="00623E52" w:rsidRDefault="00623E52" w:rsidP="00623E52">
      <w:pPr>
        <w:spacing w:after="0" w:line="240" w:lineRule="auto"/>
        <w:contextualSpacing/>
        <w:rPr>
          <w:rFonts w:ascii="Verdana" w:hAnsi="Verdana"/>
          <w:b/>
          <w:i/>
          <w:sz w:val="24"/>
          <w:szCs w:val="24"/>
        </w:rPr>
      </w:pPr>
      <w:proofErr w:type="gramStart"/>
      <w:r w:rsidRPr="00623E52">
        <w:rPr>
          <w:rFonts w:ascii="Verdana" w:hAnsi="Verdana"/>
          <w:b/>
          <w:i/>
          <w:sz w:val="24"/>
          <w:szCs w:val="24"/>
        </w:rPr>
        <w:t>expedited</w:t>
      </w:r>
      <w:proofErr w:type="gramEnd"/>
      <w:r w:rsidRPr="00623E52">
        <w:rPr>
          <w:rFonts w:ascii="Verdana" w:hAnsi="Verdana"/>
          <w:b/>
          <w:i/>
          <w:sz w:val="24"/>
          <w:szCs w:val="24"/>
        </w:rPr>
        <w:t xml:space="preserve"> to ensure children are held in detention only as a </w:t>
      </w:r>
    </w:p>
    <w:p w:rsidR="00623E52" w:rsidRPr="00623E52" w:rsidRDefault="00623E52" w:rsidP="00623E52">
      <w:pPr>
        <w:spacing w:after="0" w:line="240" w:lineRule="auto"/>
        <w:contextualSpacing/>
        <w:rPr>
          <w:rFonts w:ascii="Verdana" w:hAnsi="Verdana"/>
          <w:b/>
          <w:i/>
          <w:sz w:val="24"/>
          <w:szCs w:val="24"/>
        </w:rPr>
      </w:pPr>
      <w:proofErr w:type="gramStart"/>
      <w:r w:rsidRPr="00623E52">
        <w:rPr>
          <w:rFonts w:ascii="Verdana" w:hAnsi="Verdana"/>
          <w:b/>
          <w:i/>
          <w:sz w:val="24"/>
          <w:szCs w:val="24"/>
        </w:rPr>
        <w:t>measure</w:t>
      </w:r>
      <w:proofErr w:type="gramEnd"/>
      <w:r w:rsidRPr="00623E52">
        <w:rPr>
          <w:rFonts w:ascii="Verdana" w:hAnsi="Verdana"/>
          <w:b/>
          <w:i/>
          <w:sz w:val="24"/>
          <w:szCs w:val="24"/>
        </w:rPr>
        <w:t xml:space="preserve"> of last resort.      </w:t>
      </w:r>
    </w:p>
    <w:p w:rsidR="00623E52" w:rsidRPr="00623E52" w:rsidRDefault="00623E52" w:rsidP="00623E52">
      <w:pPr>
        <w:spacing w:after="0" w:line="240" w:lineRule="auto"/>
        <w:contextualSpacing/>
        <w:rPr>
          <w:rFonts w:ascii="Verdana" w:hAnsi="Verdana"/>
          <w:b/>
          <w:i/>
          <w:sz w:val="24"/>
          <w:szCs w:val="24"/>
        </w:rPr>
      </w:pPr>
    </w:p>
    <w:p w:rsidR="00623E52" w:rsidRPr="00623E52" w:rsidRDefault="00623E52" w:rsidP="00623E52">
      <w:pPr>
        <w:spacing w:after="0" w:line="240" w:lineRule="auto"/>
        <w:contextualSpacing/>
        <w:rPr>
          <w:rFonts w:ascii="Verdana" w:hAnsi="Verdana"/>
          <w:b/>
          <w:i/>
          <w:sz w:val="24"/>
          <w:szCs w:val="24"/>
        </w:rPr>
      </w:pPr>
      <w:r w:rsidRPr="00623E52">
        <w:rPr>
          <w:rFonts w:ascii="Verdana" w:hAnsi="Verdana"/>
          <w:b/>
          <w:i/>
          <w:sz w:val="24"/>
          <w:szCs w:val="24"/>
        </w:rPr>
        <w:t xml:space="preserve">4.10 The Commission advises that the strategy refer to the   </w:t>
      </w:r>
    </w:p>
    <w:p w:rsidR="00623E52" w:rsidRPr="00623E52" w:rsidRDefault="00623E52" w:rsidP="00623E52">
      <w:pPr>
        <w:spacing w:after="0" w:line="240" w:lineRule="auto"/>
        <w:contextualSpacing/>
        <w:rPr>
          <w:rFonts w:ascii="Verdana" w:hAnsi="Verdana"/>
          <w:b/>
          <w:i/>
          <w:sz w:val="24"/>
          <w:szCs w:val="24"/>
        </w:rPr>
      </w:pPr>
      <w:r w:rsidRPr="00623E52">
        <w:rPr>
          <w:rFonts w:ascii="Verdana" w:hAnsi="Verdana"/>
          <w:b/>
          <w:i/>
          <w:sz w:val="24"/>
          <w:szCs w:val="24"/>
        </w:rPr>
        <w:t xml:space="preserve">acknowledged need to address the high number of prisoners on remand for lengthy periods within the prison system, the impact of this </w:t>
      </w:r>
      <w:r w:rsidR="00CD3625">
        <w:rPr>
          <w:rFonts w:ascii="Verdana" w:hAnsi="Verdana"/>
          <w:b/>
          <w:i/>
          <w:sz w:val="24"/>
          <w:szCs w:val="24"/>
        </w:rPr>
        <w:t>issue</w:t>
      </w:r>
      <w:r w:rsidRPr="00623E52">
        <w:rPr>
          <w:rFonts w:ascii="Verdana" w:hAnsi="Verdana"/>
          <w:b/>
          <w:i/>
          <w:sz w:val="24"/>
          <w:szCs w:val="24"/>
        </w:rPr>
        <w:t xml:space="preserve"> on our criminal justice system</w:t>
      </w:r>
      <w:r w:rsidR="00CD3625">
        <w:rPr>
          <w:rFonts w:ascii="Verdana" w:hAnsi="Verdana"/>
          <w:b/>
          <w:i/>
          <w:sz w:val="24"/>
          <w:szCs w:val="24"/>
        </w:rPr>
        <w:t xml:space="preserve"> including the pressure it places on health and social care services</w:t>
      </w:r>
      <w:r w:rsidRPr="00623E52">
        <w:rPr>
          <w:rFonts w:ascii="Verdana" w:hAnsi="Verdana"/>
          <w:b/>
          <w:i/>
          <w:sz w:val="24"/>
          <w:szCs w:val="24"/>
        </w:rPr>
        <w:t xml:space="preserve"> and the proposals to address it.</w:t>
      </w:r>
    </w:p>
    <w:p w:rsidR="00623E52" w:rsidRPr="00623E52" w:rsidRDefault="00623E52" w:rsidP="00623E52">
      <w:pPr>
        <w:spacing w:after="0" w:line="240" w:lineRule="auto"/>
        <w:contextualSpacing/>
        <w:rPr>
          <w:rFonts w:ascii="Verdana" w:hAnsi="Verdana"/>
          <w:b/>
          <w:i/>
          <w:sz w:val="24"/>
          <w:szCs w:val="24"/>
        </w:rPr>
      </w:pPr>
    </w:p>
    <w:p w:rsidR="00623E52" w:rsidRPr="00623E52" w:rsidRDefault="00623E52" w:rsidP="00623E52">
      <w:pPr>
        <w:spacing w:after="0" w:line="240" w:lineRule="auto"/>
        <w:contextualSpacing/>
        <w:rPr>
          <w:rFonts w:ascii="Verdana" w:hAnsi="Verdana"/>
          <w:b/>
          <w:i/>
          <w:sz w:val="24"/>
          <w:szCs w:val="24"/>
        </w:rPr>
      </w:pPr>
      <w:r w:rsidRPr="00623E52">
        <w:rPr>
          <w:rFonts w:ascii="Verdana" w:hAnsi="Verdana"/>
          <w:b/>
          <w:i/>
          <w:sz w:val="24"/>
          <w:szCs w:val="24"/>
        </w:rPr>
        <w:t xml:space="preserve">5.3 The Commission advises that in developing a suicide and  </w:t>
      </w:r>
    </w:p>
    <w:p w:rsidR="00623E52" w:rsidRPr="00623E52" w:rsidRDefault="00623E52" w:rsidP="00623E52">
      <w:pPr>
        <w:spacing w:after="0" w:line="240" w:lineRule="auto"/>
        <w:contextualSpacing/>
        <w:rPr>
          <w:rFonts w:ascii="Verdana" w:hAnsi="Verdana"/>
          <w:b/>
          <w:i/>
          <w:sz w:val="24"/>
          <w:szCs w:val="24"/>
        </w:rPr>
      </w:pPr>
      <w:proofErr w:type="gramStart"/>
      <w:r w:rsidRPr="00623E52">
        <w:rPr>
          <w:rFonts w:ascii="Verdana" w:hAnsi="Verdana"/>
          <w:b/>
          <w:i/>
          <w:sz w:val="24"/>
          <w:szCs w:val="24"/>
        </w:rPr>
        <w:t>self-harm</w:t>
      </w:r>
      <w:proofErr w:type="gramEnd"/>
      <w:r w:rsidRPr="00623E52">
        <w:rPr>
          <w:rFonts w:ascii="Verdana" w:hAnsi="Verdana"/>
          <w:b/>
          <w:i/>
          <w:sz w:val="24"/>
          <w:szCs w:val="24"/>
        </w:rPr>
        <w:t xml:space="preserve"> strategy the Department of Health and Department of Justice should take stock of all relevant recommendations from the Prisoner Ombudsman and should consider how failures to operationalise safeguards within the existing procedures have been allowed to occur.  </w:t>
      </w:r>
    </w:p>
    <w:p w:rsidR="00623E52" w:rsidRPr="00623E52" w:rsidRDefault="00623E52" w:rsidP="00623E52">
      <w:pPr>
        <w:spacing w:after="0" w:line="240" w:lineRule="auto"/>
        <w:contextualSpacing/>
        <w:rPr>
          <w:rFonts w:ascii="Verdana" w:hAnsi="Verdana"/>
          <w:b/>
          <w:i/>
          <w:sz w:val="24"/>
          <w:szCs w:val="24"/>
        </w:rPr>
      </w:pPr>
    </w:p>
    <w:p w:rsidR="00623E52" w:rsidRPr="00623E52" w:rsidRDefault="00623E52" w:rsidP="00623E52">
      <w:pPr>
        <w:spacing w:after="0" w:line="240" w:lineRule="auto"/>
        <w:contextualSpacing/>
        <w:rPr>
          <w:rFonts w:ascii="Verdana" w:hAnsi="Verdana"/>
          <w:b/>
          <w:i/>
          <w:sz w:val="24"/>
          <w:szCs w:val="24"/>
        </w:rPr>
      </w:pPr>
      <w:r w:rsidRPr="00623E52">
        <w:rPr>
          <w:rFonts w:ascii="Verdana" w:hAnsi="Verdana"/>
          <w:b/>
          <w:i/>
          <w:sz w:val="24"/>
          <w:szCs w:val="24"/>
        </w:rPr>
        <w:t xml:space="preserve">5.6 The Commission advises that the review of discharge planning arrangements should be focused on ensuring the reformation and social rehabilitation of the offender.  The review should include specific </w:t>
      </w:r>
      <w:r w:rsidR="00CD3625">
        <w:rPr>
          <w:rFonts w:ascii="Verdana" w:hAnsi="Verdana"/>
          <w:b/>
          <w:i/>
          <w:sz w:val="24"/>
          <w:szCs w:val="24"/>
        </w:rPr>
        <w:t>outcomes</w:t>
      </w:r>
      <w:r w:rsidRPr="00623E52">
        <w:rPr>
          <w:rFonts w:ascii="Verdana" w:hAnsi="Verdana"/>
          <w:b/>
          <w:i/>
          <w:sz w:val="24"/>
          <w:szCs w:val="24"/>
        </w:rPr>
        <w:t xml:space="preserve"> which are measurable, verifiable through performance indicators and time-bound. Key stakeholders should be involved in the review from an early stage and the review should be informed by the experiences of users. </w:t>
      </w:r>
    </w:p>
    <w:p w:rsidR="00623E52" w:rsidRPr="00623E52" w:rsidRDefault="00623E52" w:rsidP="00623E52">
      <w:pPr>
        <w:spacing w:after="0" w:line="240" w:lineRule="auto"/>
        <w:contextualSpacing/>
        <w:rPr>
          <w:rFonts w:ascii="Verdana" w:hAnsi="Verdana"/>
          <w:b/>
          <w:i/>
          <w:sz w:val="24"/>
          <w:szCs w:val="24"/>
        </w:rPr>
      </w:pPr>
    </w:p>
    <w:p w:rsidR="00623E52" w:rsidRPr="00623E52" w:rsidRDefault="002D0373" w:rsidP="00623E52">
      <w:pPr>
        <w:spacing w:after="0" w:line="240" w:lineRule="auto"/>
        <w:contextualSpacing/>
        <w:rPr>
          <w:rFonts w:ascii="Verdana" w:hAnsi="Verdana"/>
          <w:b/>
          <w:i/>
          <w:sz w:val="24"/>
          <w:szCs w:val="24"/>
        </w:rPr>
      </w:pPr>
      <w:r>
        <w:rPr>
          <w:rFonts w:ascii="Verdana" w:hAnsi="Verdana"/>
          <w:b/>
          <w:i/>
          <w:sz w:val="24"/>
          <w:szCs w:val="24"/>
        </w:rPr>
        <w:t>6.4</w:t>
      </w:r>
      <w:r w:rsidR="00623E52" w:rsidRPr="00623E52">
        <w:rPr>
          <w:rFonts w:ascii="Verdana" w:hAnsi="Verdana"/>
          <w:b/>
          <w:i/>
          <w:sz w:val="24"/>
          <w:szCs w:val="24"/>
        </w:rPr>
        <w:t xml:space="preserve"> The Commission advises the Department of Health and Department of Justice to clarify and clearly set out within the strategy the body responsible for the social care of prisoners and ensure specific actions </w:t>
      </w:r>
      <w:r w:rsidR="00CD3625">
        <w:rPr>
          <w:rFonts w:ascii="Verdana" w:hAnsi="Verdana"/>
          <w:b/>
          <w:i/>
          <w:sz w:val="24"/>
          <w:szCs w:val="24"/>
        </w:rPr>
        <w:t xml:space="preserve">and appropriate resources are </w:t>
      </w:r>
      <w:r w:rsidR="00623E52" w:rsidRPr="00623E52">
        <w:rPr>
          <w:rFonts w:ascii="Verdana" w:hAnsi="Verdana"/>
          <w:b/>
          <w:i/>
          <w:sz w:val="24"/>
          <w:szCs w:val="24"/>
        </w:rPr>
        <w:t xml:space="preserve">allocated. </w:t>
      </w:r>
    </w:p>
    <w:p w:rsidR="00623E52" w:rsidRPr="00623E52" w:rsidRDefault="00623E52" w:rsidP="00623E52">
      <w:pPr>
        <w:spacing w:after="0" w:line="240" w:lineRule="auto"/>
        <w:contextualSpacing/>
        <w:rPr>
          <w:rFonts w:ascii="Verdana" w:hAnsi="Verdana"/>
          <w:b/>
          <w:i/>
          <w:sz w:val="24"/>
          <w:szCs w:val="24"/>
        </w:rPr>
      </w:pPr>
    </w:p>
    <w:p w:rsidR="00623E52" w:rsidRPr="00623E52" w:rsidRDefault="00623E52" w:rsidP="00623E52">
      <w:pPr>
        <w:spacing w:after="0" w:line="240" w:lineRule="auto"/>
        <w:contextualSpacing/>
        <w:rPr>
          <w:rFonts w:ascii="Verdana" w:hAnsi="Verdana"/>
          <w:b/>
          <w:i/>
          <w:sz w:val="24"/>
          <w:szCs w:val="24"/>
        </w:rPr>
      </w:pPr>
      <w:r w:rsidRPr="00623E52">
        <w:rPr>
          <w:rFonts w:ascii="Verdana" w:hAnsi="Verdana"/>
          <w:b/>
          <w:i/>
          <w:sz w:val="24"/>
          <w:szCs w:val="24"/>
        </w:rPr>
        <w:t>7.4 The Commission advises the Department of Justice to publish details of the construction of a separate custodial facility for female prisoners in Northern Ireland and to identify within the strategy how the healthcare needs of women will be addressed.</w:t>
      </w:r>
    </w:p>
    <w:p w:rsidR="00623E52" w:rsidRPr="00623E52" w:rsidRDefault="00623E52" w:rsidP="00623E52">
      <w:pPr>
        <w:spacing w:after="0" w:line="240" w:lineRule="auto"/>
        <w:contextualSpacing/>
        <w:rPr>
          <w:rFonts w:ascii="Verdana" w:hAnsi="Verdana"/>
          <w:b/>
          <w:i/>
          <w:sz w:val="24"/>
          <w:szCs w:val="24"/>
        </w:rPr>
      </w:pPr>
    </w:p>
    <w:p w:rsidR="00623E52" w:rsidRDefault="00770D77" w:rsidP="00623E52">
      <w:pPr>
        <w:spacing w:after="0" w:line="240" w:lineRule="auto"/>
        <w:contextualSpacing/>
        <w:rPr>
          <w:rFonts w:ascii="Verdana" w:hAnsi="Verdana"/>
          <w:b/>
          <w:i/>
          <w:sz w:val="24"/>
          <w:szCs w:val="24"/>
        </w:rPr>
      </w:pPr>
      <w:r w:rsidRPr="00770D77">
        <w:rPr>
          <w:rFonts w:ascii="Verdana" w:hAnsi="Verdana"/>
          <w:b/>
          <w:i/>
          <w:sz w:val="24"/>
          <w:szCs w:val="24"/>
        </w:rPr>
        <w:t>8.3 The Commission advises the Department of Health and Department of Justice to consider how the strategy can contribute to the effective implementation of the Mental Capacity (NI) Act 2016.</w:t>
      </w:r>
    </w:p>
    <w:p w:rsidR="00770D77" w:rsidRPr="00623E52" w:rsidRDefault="00770D77" w:rsidP="00623E52">
      <w:pPr>
        <w:spacing w:after="0" w:line="240" w:lineRule="auto"/>
        <w:contextualSpacing/>
        <w:rPr>
          <w:rFonts w:ascii="Verdana" w:hAnsi="Verdana"/>
          <w:b/>
          <w:i/>
          <w:sz w:val="24"/>
          <w:szCs w:val="24"/>
        </w:rPr>
      </w:pPr>
    </w:p>
    <w:p w:rsidR="00623E52" w:rsidRPr="00623E52" w:rsidRDefault="00623E52" w:rsidP="00623E52">
      <w:pPr>
        <w:spacing w:after="0" w:line="240" w:lineRule="auto"/>
        <w:contextualSpacing/>
        <w:rPr>
          <w:rFonts w:ascii="Verdana" w:hAnsi="Verdana"/>
          <w:b/>
          <w:i/>
          <w:sz w:val="24"/>
          <w:szCs w:val="24"/>
        </w:rPr>
      </w:pPr>
      <w:r w:rsidRPr="00623E52">
        <w:rPr>
          <w:rFonts w:ascii="Verdana" w:hAnsi="Verdana"/>
          <w:b/>
          <w:i/>
          <w:sz w:val="24"/>
          <w:szCs w:val="24"/>
        </w:rPr>
        <w:t xml:space="preserve">9.5 The Commission advises that the Department of Health and Department of Justice ensure that the maximum available resources are devoted to ensure the fulfilment of the right to health for those within the criminal justice system and to ensure that persons deprived of their liberty are never treated in an inhuman or degrading manner.  </w:t>
      </w:r>
    </w:p>
    <w:p w:rsidR="002E69A0" w:rsidRDefault="002E69A0" w:rsidP="00E929D0">
      <w:pPr>
        <w:spacing w:after="0" w:line="240" w:lineRule="auto"/>
        <w:contextualSpacing/>
        <w:rPr>
          <w:rFonts w:ascii="Verdana" w:hAnsi="Verdana"/>
          <w:b/>
          <w:sz w:val="24"/>
          <w:szCs w:val="24"/>
        </w:rPr>
      </w:pPr>
    </w:p>
    <w:p w:rsidR="00623E52" w:rsidRDefault="00623E52" w:rsidP="00E929D0">
      <w:pPr>
        <w:spacing w:after="0" w:line="240" w:lineRule="auto"/>
        <w:contextualSpacing/>
        <w:rPr>
          <w:rFonts w:ascii="Verdana" w:hAnsi="Verdana"/>
          <w:b/>
          <w:sz w:val="24"/>
          <w:szCs w:val="24"/>
        </w:rPr>
      </w:pPr>
    </w:p>
    <w:p w:rsidR="00623E52" w:rsidRDefault="00623E52" w:rsidP="00E929D0">
      <w:pPr>
        <w:spacing w:after="0" w:line="240" w:lineRule="auto"/>
        <w:contextualSpacing/>
        <w:rPr>
          <w:rFonts w:ascii="Verdana" w:hAnsi="Verdana"/>
          <w:b/>
          <w:sz w:val="24"/>
          <w:szCs w:val="24"/>
        </w:rPr>
      </w:pPr>
    </w:p>
    <w:p w:rsidR="00EA60EF" w:rsidRDefault="00EA60EF" w:rsidP="00EA60EF">
      <w:pPr>
        <w:spacing w:after="0" w:line="240" w:lineRule="auto"/>
        <w:contextualSpacing/>
        <w:rPr>
          <w:rFonts w:ascii="Verdana" w:hAnsi="Verdana"/>
          <w:b/>
          <w:sz w:val="24"/>
          <w:szCs w:val="24"/>
        </w:rPr>
      </w:pPr>
    </w:p>
    <w:p w:rsidR="00EA60EF" w:rsidRDefault="00EA60EF" w:rsidP="00EA60EF">
      <w:pPr>
        <w:spacing w:after="0" w:line="240" w:lineRule="auto"/>
        <w:contextualSpacing/>
        <w:rPr>
          <w:rFonts w:ascii="Verdana" w:hAnsi="Verdana"/>
          <w:b/>
          <w:sz w:val="24"/>
          <w:szCs w:val="24"/>
        </w:rPr>
      </w:pPr>
    </w:p>
    <w:p w:rsidR="00EA60EF" w:rsidRPr="00EA60EF" w:rsidRDefault="00EA60EF" w:rsidP="00EA60EF">
      <w:pPr>
        <w:spacing w:after="0" w:line="240" w:lineRule="auto"/>
        <w:contextualSpacing/>
        <w:rPr>
          <w:rFonts w:ascii="Verdana" w:hAnsi="Verdana"/>
          <w:b/>
          <w:sz w:val="24"/>
          <w:szCs w:val="24"/>
        </w:rPr>
      </w:pPr>
      <w:r w:rsidRPr="00EA60EF">
        <w:rPr>
          <w:rFonts w:ascii="Verdana" w:hAnsi="Verdana"/>
          <w:b/>
          <w:sz w:val="24"/>
          <w:szCs w:val="24"/>
        </w:rPr>
        <w:t>1.</w:t>
      </w:r>
      <w:r w:rsidRPr="00EA60EF">
        <w:rPr>
          <w:rFonts w:ascii="Verdana" w:hAnsi="Verdana"/>
          <w:b/>
          <w:sz w:val="24"/>
          <w:szCs w:val="24"/>
        </w:rPr>
        <w:tab/>
        <w:t>Introduction</w:t>
      </w:r>
    </w:p>
    <w:p w:rsidR="00EA60EF" w:rsidRPr="00EA60EF" w:rsidRDefault="00EA60EF" w:rsidP="00EA60EF">
      <w:pPr>
        <w:spacing w:after="0" w:line="240" w:lineRule="auto"/>
        <w:contextualSpacing/>
        <w:rPr>
          <w:rFonts w:ascii="Verdana" w:hAnsi="Verdana"/>
          <w:b/>
          <w:sz w:val="24"/>
          <w:szCs w:val="24"/>
        </w:rPr>
      </w:pPr>
    </w:p>
    <w:p w:rsidR="00EA60EF" w:rsidRPr="00EA60EF" w:rsidRDefault="00EA60EF" w:rsidP="00EA60EF">
      <w:pPr>
        <w:spacing w:after="0" w:line="240" w:lineRule="auto"/>
        <w:contextualSpacing/>
        <w:rPr>
          <w:rFonts w:ascii="Verdana" w:hAnsi="Verdana"/>
          <w:sz w:val="24"/>
          <w:szCs w:val="24"/>
        </w:rPr>
      </w:pPr>
      <w:r w:rsidRPr="00EA60EF">
        <w:rPr>
          <w:rFonts w:ascii="Verdana" w:hAnsi="Verdana"/>
          <w:sz w:val="24"/>
          <w:szCs w:val="24"/>
        </w:rPr>
        <w:t>1.1</w:t>
      </w:r>
      <w:r w:rsidRPr="00EA60EF">
        <w:rPr>
          <w:rFonts w:ascii="Verdana" w:hAnsi="Verdana"/>
          <w:sz w:val="24"/>
          <w:szCs w:val="24"/>
        </w:rPr>
        <w:tab/>
      </w:r>
      <w:r w:rsidRPr="00EA60EF">
        <w:rPr>
          <w:rFonts w:ascii="Verdana" w:hAnsi="Verdana" w:cs="Tahoma"/>
          <w:sz w:val="24"/>
          <w:szCs w:val="24"/>
        </w:rPr>
        <w:t>The Northern Ireland Human Rights Commission (NIHRC) pursuant to Section 69 (1) of the Northern Ireland Act 1998, reviews the adequacy and effectiveness of law and practice relating to the protection of Human Rights.</w:t>
      </w:r>
      <w:r w:rsidRPr="00EA60EF">
        <w:rPr>
          <w:rFonts w:ascii="Verdana" w:hAnsi="Verdana" w:cs="Tahoma"/>
          <w:sz w:val="24"/>
          <w:szCs w:val="24"/>
          <w:vertAlign w:val="superscript"/>
        </w:rPr>
        <w:footnoteReference w:id="1"/>
      </w:r>
      <w:r w:rsidRPr="00EA60EF">
        <w:rPr>
          <w:rFonts w:ascii="Verdana" w:hAnsi="Verdana" w:cs="Tahoma"/>
          <w:sz w:val="24"/>
          <w:szCs w:val="24"/>
        </w:rPr>
        <w:t xml:space="preserve">  </w:t>
      </w:r>
      <w:r w:rsidRPr="00EA60EF">
        <w:rPr>
          <w:rFonts w:ascii="Verdana" w:hAnsi="Verdana"/>
          <w:sz w:val="24"/>
          <w:szCs w:val="24"/>
        </w:rPr>
        <w:t>In accordance with this function the following statutory advice is submitted</w:t>
      </w:r>
      <w:r w:rsidRPr="00EA60EF">
        <w:rPr>
          <w:rFonts w:ascii="Verdana" w:eastAsia="Times New Roman" w:hAnsi="Verdana" w:cs="Tahoma"/>
          <w:sz w:val="24"/>
          <w:szCs w:val="24"/>
        </w:rPr>
        <w:t xml:space="preserve"> to </w:t>
      </w:r>
      <w:r w:rsidRPr="00EA60EF">
        <w:rPr>
          <w:rFonts w:ascii="Verdana" w:hAnsi="Verdana"/>
          <w:sz w:val="24"/>
          <w:szCs w:val="24"/>
        </w:rPr>
        <w:t>the Department of Justice and Department of Health in response to the consultation on improving health within prisons.</w:t>
      </w:r>
      <w:r w:rsidR="00E5304C">
        <w:rPr>
          <w:rStyle w:val="FootnoteReference"/>
          <w:szCs w:val="24"/>
        </w:rPr>
        <w:footnoteReference w:id="2"/>
      </w:r>
    </w:p>
    <w:p w:rsidR="00EA60EF" w:rsidRPr="00EA60EF" w:rsidRDefault="00EA60EF" w:rsidP="00EA60EF">
      <w:pPr>
        <w:spacing w:after="0" w:line="240" w:lineRule="auto"/>
        <w:contextualSpacing/>
        <w:rPr>
          <w:rFonts w:ascii="Verdana" w:hAnsi="Verdana"/>
          <w:b/>
          <w:sz w:val="24"/>
          <w:szCs w:val="24"/>
        </w:rPr>
      </w:pPr>
    </w:p>
    <w:p w:rsidR="00EA60EF" w:rsidRPr="00EA60EF" w:rsidRDefault="00EA60EF" w:rsidP="00EA60EF">
      <w:pPr>
        <w:spacing w:after="0" w:line="240" w:lineRule="auto"/>
        <w:contextualSpacing/>
        <w:rPr>
          <w:rFonts w:ascii="Verdana" w:hAnsi="Verdana"/>
          <w:b/>
          <w:sz w:val="24"/>
          <w:szCs w:val="24"/>
        </w:rPr>
      </w:pPr>
      <w:r w:rsidRPr="00EA60EF">
        <w:rPr>
          <w:rFonts w:ascii="Verdana" w:hAnsi="Verdana"/>
          <w:sz w:val="24"/>
          <w:szCs w:val="24"/>
        </w:rPr>
        <w:t xml:space="preserve">1.2  </w:t>
      </w:r>
      <w:r w:rsidRPr="00EA60EF">
        <w:rPr>
          <w:rFonts w:ascii="Verdana" w:hAnsi="Verdana"/>
          <w:sz w:val="24"/>
          <w:szCs w:val="24"/>
        </w:rPr>
        <w:tab/>
      </w:r>
      <w:r w:rsidRPr="00EA60EF">
        <w:rPr>
          <w:rFonts w:ascii="Verdana" w:eastAsia="Calibri" w:hAnsi="Verdana" w:cs="Times New Roman"/>
          <w:sz w:val="24"/>
          <w:szCs w:val="24"/>
        </w:rPr>
        <w:t>The NIHRC bases its advice on the full range of internationally accepted human rights standards, including the European Convention on Human Rights as incorporated by the Human Rights Act 1998 and the treaty obligations of the Council of Europe (</w:t>
      </w:r>
      <w:proofErr w:type="spellStart"/>
      <w:r w:rsidRPr="00EA60EF">
        <w:rPr>
          <w:rFonts w:ascii="Verdana" w:eastAsia="Calibri" w:hAnsi="Verdana" w:cs="Times New Roman"/>
          <w:sz w:val="24"/>
          <w:szCs w:val="24"/>
        </w:rPr>
        <w:t>CoE</w:t>
      </w:r>
      <w:proofErr w:type="spellEnd"/>
      <w:r w:rsidRPr="00EA60EF">
        <w:rPr>
          <w:rFonts w:ascii="Verdana" w:eastAsia="Calibri" w:hAnsi="Verdana" w:cs="Times New Roman"/>
          <w:sz w:val="24"/>
          <w:szCs w:val="24"/>
        </w:rPr>
        <w:t>) and United Nations (UN) systems.  The relevant international treaties in this context include:</w:t>
      </w:r>
    </w:p>
    <w:p w:rsidR="00EA60EF" w:rsidRPr="00EA60EF" w:rsidRDefault="00EA60EF" w:rsidP="00EA60EF">
      <w:pPr>
        <w:autoSpaceDE w:val="0"/>
        <w:autoSpaceDN w:val="0"/>
        <w:adjustRightInd w:val="0"/>
        <w:spacing w:after="0" w:line="240" w:lineRule="auto"/>
        <w:rPr>
          <w:rFonts w:ascii="Verdana" w:hAnsi="Verdana" w:cs="Verdana"/>
          <w:sz w:val="24"/>
          <w:szCs w:val="24"/>
        </w:rPr>
      </w:pPr>
    </w:p>
    <w:p w:rsidR="00EA60EF" w:rsidRPr="00EA60EF" w:rsidRDefault="00EA60EF" w:rsidP="00EA60EF">
      <w:pPr>
        <w:numPr>
          <w:ilvl w:val="0"/>
          <w:numId w:val="4"/>
        </w:numPr>
        <w:autoSpaceDE w:val="0"/>
        <w:autoSpaceDN w:val="0"/>
        <w:adjustRightInd w:val="0"/>
        <w:spacing w:after="0" w:line="240" w:lineRule="auto"/>
        <w:contextualSpacing/>
        <w:rPr>
          <w:rFonts w:ascii="Verdana" w:hAnsi="Verdana" w:cs="ZurichBT-LightCondensed"/>
          <w:sz w:val="24"/>
          <w:szCs w:val="24"/>
        </w:rPr>
      </w:pPr>
      <w:r w:rsidRPr="00EA60EF">
        <w:rPr>
          <w:rFonts w:ascii="Verdana" w:hAnsi="Verdana" w:cs="ZurichBT-LightCondensed"/>
          <w:sz w:val="24"/>
          <w:szCs w:val="24"/>
        </w:rPr>
        <w:t>the International Covenant on Civil and Political Rights (ICCPR)</w:t>
      </w:r>
      <w:r w:rsidRPr="00EA60EF">
        <w:rPr>
          <w:rFonts w:ascii="Verdana" w:hAnsi="Verdana" w:cs="ZurichBT-LightCondensed"/>
          <w:sz w:val="24"/>
          <w:szCs w:val="24"/>
          <w:vertAlign w:val="superscript"/>
        </w:rPr>
        <w:footnoteReference w:id="3"/>
      </w:r>
      <w:r w:rsidRPr="00EA60EF">
        <w:rPr>
          <w:rFonts w:ascii="Verdana" w:hAnsi="Verdana" w:cs="ZurichBT-LightCondensed"/>
          <w:sz w:val="24"/>
          <w:szCs w:val="24"/>
        </w:rPr>
        <w:t>;</w:t>
      </w:r>
    </w:p>
    <w:p w:rsidR="00EA60EF" w:rsidRPr="00EA60EF" w:rsidRDefault="00EA60EF" w:rsidP="00EA60EF">
      <w:pPr>
        <w:numPr>
          <w:ilvl w:val="0"/>
          <w:numId w:val="4"/>
        </w:numPr>
        <w:autoSpaceDE w:val="0"/>
        <w:autoSpaceDN w:val="0"/>
        <w:adjustRightInd w:val="0"/>
        <w:spacing w:after="0" w:line="240" w:lineRule="auto"/>
        <w:contextualSpacing/>
        <w:rPr>
          <w:rFonts w:ascii="Verdana" w:hAnsi="Verdana" w:cs="ZurichBT-LightCondensed"/>
          <w:sz w:val="24"/>
          <w:szCs w:val="24"/>
        </w:rPr>
      </w:pPr>
      <w:r w:rsidRPr="00EA60EF">
        <w:rPr>
          <w:rFonts w:ascii="Verdana" w:hAnsi="Verdana" w:cs="ZurichBT-LightCondensed"/>
          <w:sz w:val="24"/>
          <w:szCs w:val="24"/>
        </w:rPr>
        <w:t>the International Covenant on Economic, Social and Cultural Rights (ICESCR)</w:t>
      </w:r>
      <w:r w:rsidRPr="00EA60EF">
        <w:rPr>
          <w:rFonts w:ascii="Verdana" w:hAnsi="Verdana"/>
          <w:sz w:val="24"/>
          <w:szCs w:val="24"/>
          <w:vertAlign w:val="superscript"/>
        </w:rPr>
        <w:footnoteReference w:id="4"/>
      </w:r>
      <w:r w:rsidRPr="00EA60EF">
        <w:rPr>
          <w:rFonts w:ascii="Verdana" w:hAnsi="Verdana" w:cs="ZurichBT-LightCondensed"/>
          <w:sz w:val="24"/>
          <w:szCs w:val="24"/>
        </w:rPr>
        <w:t>;</w:t>
      </w:r>
    </w:p>
    <w:p w:rsidR="00EA60EF" w:rsidRPr="00EA60EF" w:rsidRDefault="00EA60EF" w:rsidP="00EA60EF">
      <w:pPr>
        <w:numPr>
          <w:ilvl w:val="0"/>
          <w:numId w:val="4"/>
        </w:numPr>
        <w:autoSpaceDE w:val="0"/>
        <w:autoSpaceDN w:val="0"/>
        <w:adjustRightInd w:val="0"/>
        <w:spacing w:after="0" w:line="240" w:lineRule="auto"/>
        <w:contextualSpacing/>
        <w:rPr>
          <w:rFonts w:ascii="Verdana" w:hAnsi="Verdana" w:cs="ZurichBT-LightCondensed"/>
          <w:sz w:val="24"/>
          <w:szCs w:val="24"/>
        </w:rPr>
      </w:pPr>
      <w:r w:rsidRPr="00EA60EF">
        <w:rPr>
          <w:rFonts w:ascii="Verdana" w:hAnsi="Verdana" w:cs="ZurichBT-LightCondensed"/>
          <w:sz w:val="24"/>
          <w:szCs w:val="24"/>
        </w:rPr>
        <w:t>the Convention on the Elimination of All Forms of Discrimination Against Women (CEDAW)</w:t>
      </w:r>
      <w:r w:rsidRPr="00EA60EF">
        <w:rPr>
          <w:rFonts w:ascii="Verdana" w:hAnsi="Verdana" w:cs="ZurichBT-LightCondensed"/>
          <w:sz w:val="24"/>
          <w:szCs w:val="24"/>
          <w:vertAlign w:val="superscript"/>
        </w:rPr>
        <w:footnoteReference w:id="5"/>
      </w:r>
      <w:r w:rsidRPr="00EA60EF">
        <w:rPr>
          <w:rFonts w:ascii="Verdana" w:hAnsi="Verdana" w:cs="ZurichBT-LightCondensed"/>
          <w:sz w:val="24"/>
          <w:szCs w:val="24"/>
        </w:rPr>
        <w:t>;</w:t>
      </w:r>
    </w:p>
    <w:p w:rsidR="00EA60EF" w:rsidRPr="00EA60EF" w:rsidRDefault="00EA60EF" w:rsidP="00EA60EF">
      <w:pPr>
        <w:numPr>
          <w:ilvl w:val="0"/>
          <w:numId w:val="4"/>
        </w:numPr>
        <w:autoSpaceDE w:val="0"/>
        <w:autoSpaceDN w:val="0"/>
        <w:adjustRightInd w:val="0"/>
        <w:spacing w:after="0" w:line="240" w:lineRule="auto"/>
        <w:contextualSpacing/>
        <w:rPr>
          <w:rFonts w:ascii="Verdana" w:hAnsi="Verdana" w:cs="ZurichBT-LightCondensed"/>
          <w:sz w:val="24"/>
          <w:szCs w:val="24"/>
        </w:rPr>
      </w:pPr>
      <w:r w:rsidRPr="00EA60EF">
        <w:rPr>
          <w:rFonts w:ascii="Verdana" w:hAnsi="Verdana" w:cs="ZurichBT-LightCondensed"/>
          <w:sz w:val="24"/>
          <w:szCs w:val="24"/>
        </w:rPr>
        <w:t>the Convention against Torture (CAT)</w:t>
      </w:r>
      <w:r w:rsidRPr="00EA60EF">
        <w:rPr>
          <w:rFonts w:ascii="Verdana" w:hAnsi="Verdana" w:cs="ZurichBT-LightCondensed"/>
          <w:sz w:val="24"/>
          <w:szCs w:val="24"/>
          <w:vertAlign w:val="superscript"/>
        </w:rPr>
        <w:footnoteReference w:id="6"/>
      </w:r>
      <w:r w:rsidRPr="00EA60EF">
        <w:rPr>
          <w:rFonts w:ascii="Verdana" w:hAnsi="Verdana" w:cs="ZurichBT-LightCondensed"/>
          <w:sz w:val="24"/>
          <w:szCs w:val="24"/>
        </w:rPr>
        <w:t>;</w:t>
      </w:r>
    </w:p>
    <w:p w:rsidR="00EA60EF" w:rsidRPr="00EA60EF" w:rsidRDefault="00EA60EF" w:rsidP="00EA60EF">
      <w:pPr>
        <w:numPr>
          <w:ilvl w:val="0"/>
          <w:numId w:val="4"/>
        </w:numPr>
        <w:autoSpaceDE w:val="0"/>
        <w:autoSpaceDN w:val="0"/>
        <w:adjustRightInd w:val="0"/>
        <w:spacing w:after="0" w:line="240" w:lineRule="auto"/>
        <w:contextualSpacing/>
        <w:rPr>
          <w:rFonts w:ascii="Verdana" w:hAnsi="Verdana" w:cs="ZurichBT-LightCondensed"/>
          <w:sz w:val="24"/>
          <w:szCs w:val="24"/>
        </w:rPr>
      </w:pPr>
      <w:r w:rsidRPr="00EA60EF">
        <w:rPr>
          <w:rFonts w:ascii="Verdana" w:hAnsi="Verdana" w:cs="ZurichBT-LightCondensed"/>
          <w:sz w:val="24"/>
          <w:szCs w:val="24"/>
        </w:rPr>
        <w:t>the UN Convention on the Rights of the Child (CRC)</w:t>
      </w:r>
      <w:r w:rsidRPr="00EA60EF">
        <w:rPr>
          <w:rFonts w:ascii="Verdana" w:hAnsi="Verdana" w:cs="ZurichBT-LightCondensed"/>
          <w:sz w:val="24"/>
          <w:szCs w:val="24"/>
          <w:vertAlign w:val="superscript"/>
        </w:rPr>
        <w:footnoteReference w:id="7"/>
      </w:r>
      <w:r w:rsidRPr="00EA60EF">
        <w:rPr>
          <w:rFonts w:ascii="Verdana" w:hAnsi="Verdana" w:cs="ZurichBT-LightCondensed"/>
          <w:sz w:val="24"/>
          <w:szCs w:val="24"/>
        </w:rPr>
        <w:t>;</w:t>
      </w:r>
    </w:p>
    <w:p w:rsidR="00EA60EF" w:rsidRPr="00EA60EF" w:rsidRDefault="00EA60EF" w:rsidP="00EA60EF">
      <w:pPr>
        <w:numPr>
          <w:ilvl w:val="0"/>
          <w:numId w:val="4"/>
        </w:numPr>
        <w:autoSpaceDE w:val="0"/>
        <w:autoSpaceDN w:val="0"/>
        <w:adjustRightInd w:val="0"/>
        <w:spacing w:after="0" w:line="240" w:lineRule="auto"/>
        <w:contextualSpacing/>
        <w:rPr>
          <w:rFonts w:ascii="Verdana" w:hAnsi="Verdana" w:cs="ZurichBT-LightCondensed"/>
          <w:sz w:val="24"/>
          <w:szCs w:val="24"/>
        </w:rPr>
      </w:pPr>
      <w:proofErr w:type="gramStart"/>
      <w:r w:rsidRPr="00EA60EF">
        <w:rPr>
          <w:rFonts w:ascii="Verdana" w:hAnsi="Verdana" w:cs="ZurichBT-LightCondensed"/>
          <w:sz w:val="24"/>
          <w:szCs w:val="24"/>
        </w:rPr>
        <w:t>the</w:t>
      </w:r>
      <w:proofErr w:type="gramEnd"/>
      <w:r w:rsidRPr="00EA60EF">
        <w:rPr>
          <w:rFonts w:ascii="Verdana" w:hAnsi="Verdana" w:cs="ZurichBT-LightCondensed"/>
          <w:sz w:val="24"/>
          <w:szCs w:val="24"/>
        </w:rPr>
        <w:t xml:space="preserve"> UN Convention on the Rights of Persons with Disabilities (CRPD)</w:t>
      </w:r>
      <w:r w:rsidRPr="00EA60EF">
        <w:rPr>
          <w:rFonts w:ascii="Verdana" w:hAnsi="Verdana" w:cs="ZurichBT-LightCondensed"/>
          <w:sz w:val="24"/>
          <w:szCs w:val="24"/>
          <w:vertAlign w:val="superscript"/>
        </w:rPr>
        <w:footnoteReference w:id="8"/>
      </w:r>
      <w:r w:rsidRPr="00EA60EF">
        <w:rPr>
          <w:rFonts w:ascii="Verdana" w:hAnsi="Verdana" w:cs="ZurichBT-LightCondensed"/>
          <w:sz w:val="24"/>
          <w:szCs w:val="24"/>
        </w:rPr>
        <w:t>.</w:t>
      </w:r>
    </w:p>
    <w:p w:rsidR="00EA60EF" w:rsidRPr="00EA60EF" w:rsidRDefault="00EA60EF" w:rsidP="00EA60EF">
      <w:pPr>
        <w:spacing w:after="0" w:line="240" w:lineRule="auto"/>
        <w:contextualSpacing/>
        <w:rPr>
          <w:rFonts w:ascii="Verdana" w:hAnsi="Verdana"/>
          <w:sz w:val="24"/>
          <w:szCs w:val="24"/>
        </w:rPr>
      </w:pPr>
    </w:p>
    <w:p w:rsidR="00EA60EF" w:rsidRPr="00EA60EF" w:rsidRDefault="00EA60EF" w:rsidP="00EA60EF">
      <w:pPr>
        <w:spacing w:after="0" w:line="240" w:lineRule="auto"/>
        <w:contextualSpacing/>
        <w:rPr>
          <w:rFonts w:ascii="Verdana" w:eastAsia="Calibri" w:hAnsi="Verdana" w:cs="Times New Roman"/>
          <w:sz w:val="24"/>
          <w:szCs w:val="24"/>
        </w:rPr>
      </w:pPr>
      <w:r w:rsidRPr="00EA60EF">
        <w:rPr>
          <w:rFonts w:ascii="Verdana" w:hAnsi="Verdana"/>
          <w:sz w:val="24"/>
          <w:szCs w:val="24"/>
        </w:rPr>
        <w:t>1.3</w:t>
      </w:r>
      <w:r w:rsidRPr="00EA60EF">
        <w:rPr>
          <w:rFonts w:ascii="Verdana" w:hAnsi="Verdana"/>
          <w:sz w:val="24"/>
          <w:szCs w:val="24"/>
        </w:rPr>
        <w:tab/>
      </w:r>
      <w:r w:rsidRPr="00EA60EF">
        <w:rPr>
          <w:rFonts w:ascii="Verdana" w:eastAsia="Calibri" w:hAnsi="Verdana" w:cs="Times New Roman"/>
          <w:sz w:val="24"/>
          <w:szCs w:val="24"/>
        </w:rPr>
        <w:t xml:space="preserve">In addition to these treaties, there </w:t>
      </w:r>
      <w:proofErr w:type="gramStart"/>
      <w:r w:rsidRPr="00EA60EF">
        <w:rPr>
          <w:rFonts w:ascii="Verdana" w:eastAsia="Calibri" w:hAnsi="Verdana" w:cs="Times New Roman"/>
          <w:sz w:val="24"/>
          <w:szCs w:val="24"/>
        </w:rPr>
        <w:t>exists</w:t>
      </w:r>
      <w:proofErr w:type="gramEnd"/>
      <w:r w:rsidRPr="00EA60EF">
        <w:rPr>
          <w:rFonts w:ascii="Verdana" w:eastAsia="Calibri" w:hAnsi="Verdana" w:cs="Times New Roman"/>
          <w:sz w:val="24"/>
          <w:szCs w:val="24"/>
        </w:rPr>
        <w:t xml:space="preserve"> a body of ‘soft law’ developed by the human rights bodies of the UN and Council of Europe.  These declarations and principles are non-binding but provide further guidance in respect of specific areas.  The relevant standards in this context include:</w:t>
      </w:r>
    </w:p>
    <w:p w:rsidR="00EA60EF" w:rsidRPr="00EA60EF" w:rsidRDefault="00EA60EF" w:rsidP="00EA60EF">
      <w:pPr>
        <w:spacing w:after="0" w:line="240" w:lineRule="auto"/>
        <w:contextualSpacing/>
        <w:rPr>
          <w:rFonts w:ascii="Verdana" w:eastAsia="Calibri" w:hAnsi="Verdana" w:cs="Times New Roman"/>
          <w:sz w:val="24"/>
          <w:szCs w:val="24"/>
        </w:rPr>
      </w:pPr>
    </w:p>
    <w:p w:rsidR="00EA60EF" w:rsidRPr="00EA60EF" w:rsidRDefault="00EA60EF" w:rsidP="00EA60EF">
      <w:pPr>
        <w:numPr>
          <w:ilvl w:val="0"/>
          <w:numId w:val="13"/>
        </w:numPr>
        <w:spacing w:after="0" w:line="240" w:lineRule="auto"/>
        <w:contextualSpacing/>
        <w:rPr>
          <w:rFonts w:ascii="Verdana" w:hAnsi="Verdana"/>
          <w:sz w:val="24"/>
          <w:szCs w:val="24"/>
        </w:rPr>
      </w:pPr>
      <w:r w:rsidRPr="00EA60EF">
        <w:rPr>
          <w:rFonts w:ascii="Verdana" w:hAnsi="Verdana"/>
          <w:sz w:val="24"/>
          <w:szCs w:val="24"/>
        </w:rPr>
        <w:t>United Nations Standard Minimum Rules for the Treatment of Prisoners (‘Standard Minimum Rules’) (1977);</w:t>
      </w:r>
    </w:p>
    <w:p w:rsidR="00EA60EF" w:rsidRPr="00EA60EF" w:rsidRDefault="00EA60EF" w:rsidP="00EA60EF">
      <w:pPr>
        <w:numPr>
          <w:ilvl w:val="0"/>
          <w:numId w:val="13"/>
        </w:numPr>
        <w:spacing w:after="0" w:line="240" w:lineRule="auto"/>
        <w:contextualSpacing/>
        <w:rPr>
          <w:rFonts w:ascii="Verdana" w:hAnsi="Verdana"/>
          <w:sz w:val="24"/>
          <w:szCs w:val="24"/>
        </w:rPr>
      </w:pPr>
      <w:r w:rsidRPr="00EA60EF">
        <w:rPr>
          <w:rFonts w:ascii="Verdana" w:hAnsi="Verdana"/>
          <w:sz w:val="24"/>
          <w:szCs w:val="24"/>
        </w:rPr>
        <w:t>United Nations Standard Minimum Rules for the Administration of Juvenile Justice (‘the Beijing Rules’) (1985);</w:t>
      </w:r>
    </w:p>
    <w:p w:rsidR="00EA60EF" w:rsidRPr="00EA60EF" w:rsidRDefault="00EA60EF" w:rsidP="00EA60EF">
      <w:pPr>
        <w:numPr>
          <w:ilvl w:val="0"/>
          <w:numId w:val="13"/>
        </w:numPr>
        <w:spacing w:after="0" w:line="240" w:lineRule="auto"/>
        <w:contextualSpacing/>
        <w:rPr>
          <w:rFonts w:ascii="Verdana" w:hAnsi="Verdana"/>
          <w:sz w:val="24"/>
          <w:szCs w:val="24"/>
        </w:rPr>
      </w:pPr>
      <w:r w:rsidRPr="00EA60EF">
        <w:rPr>
          <w:rFonts w:ascii="Verdana" w:hAnsi="Verdana"/>
          <w:sz w:val="24"/>
          <w:szCs w:val="24"/>
        </w:rPr>
        <w:t>United Nations Body of Principles for the protection of All Persons under Any Form of Detention and Imprisonment (1988);</w:t>
      </w:r>
    </w:p>
    <w:p w:rsidR="00EA60EF" w:rsidRPr="00EA60EF" w:rsidRDefault="00EA60EF" w:rsidP="00EA60EF">
      <w:pPr>
        <w:numPr>
          <w:ilvl w:val="0"/>
          <w:numId w:val="13"/>
        </w:numPr>
        <w:spacing w:after="0" w:line="240" w:lineRule="auto"/>
        <w:contextualSpacing/>
        <w:rPr>
          <w:rFonts w:ascii="Verdana" w:hAnsi="Verdana"/>
          <w:sz w:val="24"/>
          <w:szCs w:val="24"/>
        </w:rPr>
      </w:pPr>
      <w:r w:rsidRPr="00EA60EF">
        <w:rPr>
          <w:rFonts w:ascii="Verdana" w:hAnsi="Verdana"/>
          <w:sz w:val="24"/>
          <w:szCs w:val="24"/>
        </w:rPr>
        <w:t>United Nations Rules for the Protection of Juveniles Deprived of their Liberty (1990);</w:t>
      </w:r>
    </w:p>
    <w:p w:rsidR="00EA60EF" w:rsidRPr="00EA60EF" w:rsidRDefault="00EA60EF" w:rsidP="00EA60EF">
      <w:pPr>
        <w:numPr>
          <w:ilvl w:val="0"/>
          <w:numId w:val="13"/>
        </w:numPr>
        <w:spacing w:after="0" w:line="240" w:lineRule="auto"/>
        <w:contextualSpacing/>
        <w:rPr>
          <w:rFonts w:ascii="Verdana" w:hAnsi="Verdana"/>
          <w:sz w:val="24"/>
          <w:szCs w:val="24"/>
        </w:rPr>
      </w:pPr>
      <w:r w:rsidRPr="00EA60EF">
        <w:rPr>
          <w:rFonts w:ascii="Verdana" w:hAnsi="Verdana"/>
          <w:sz w:val="24"/>
          <w:szCs w:val="24"/>
        </w:rPr>
        <w:t>United Nations Guidelines for the Prevention of Juvenile Delinquency (‘the Riyadh Guidelines’) (1990);</w:t>
      </w:r>
    </w:p>
    <w:p w:rsidR="00EA60EF" w:rsidRPr="00EA60EF" w:rsidRDefault="00EA60EF" w:rsidP="00EA60EF">
      <w:pPr>
        <w:numPr>
          <w:ilvl w:val="0"/>
          <w:numId w:val="13"/>
        </w:numPr>
        <w:spacing w:after="0" w:line="240" w:lineRule="auto"/>
        <w:contextualSpacing/>
        <w:rPr>
          <w:rFonts w:ascii="Verdana" w:hAnsi="Verdana"/>
          <w:sz w:val="24"/>
          <w:szCs w:val="24"/>
        </w:rPr>
      </w:pPr>
      <w:r w:rsidRPr="00EA60EF">
        <w:rPr>
          <w:rFonts w:ascii="Verdana" w:hAnsi="Verdana"/>
          <w:sz w:val="24"/>
          <w:szCs w:val="24"/>
        </w:rPr>
        <w:t>United Nations Basic Principles for the Treatment of Prisoners ‘the Basic Principles’) (1990);</w:t>
      </w:r>
    </w:p>
    <w:p w:rsidR="00EA60EF" w:rsidRPr="00EA60EF" w:rsidRDefault="00EA60EF" w:rsidP="00EA60EF">
      <w:pPr>
        <w:numPr>
          <w:ilvl w:val="0"/>
          <w:numId w:val="13"/>
        </w:numPr>
        <w:spacing w:after="0" w:line="240" w:lineRule="auto"/>
        <w:contextualSpacing/>
        <w:rPr>
          <w:rFonts w:ascii="Verdana" w:hAnsi="Verdana"/>
          <w:sz w:val="24"/>
          <w:szCs w:val="24"/>
        </w:rPr>
      </w:pPr>
      <w:r w:rsidRPr="00EA60EF">
        <w:rPr>
          <w:rFonts w:ascii="Verdana" w:hAnsi="Verdana"/>
          <w:sz w:val="24"/>
          <w:szCs w:val="24"/>
        </w:rPr>
        <w:t>United Nations Standard Minimum Rules for Non-custodial Measures (‘the Tokyo Rules’) (1990);</w:t>
      </w:r>
    </w:p>
    <w:p w:rsidR="00EA60EF" w:rsidRPr="00EA60EF" w:rsidRDefault="00EA60EF" w:rsidP="00EA60EF">
      <w:pPr>
        <w:numPr>
          <w:ilvl w:val="0"/>
          <w:numId w:val="13"/>
        </w:numPr>
        <w:spacing w:after="0" w:line="240" w:lineRule="auto"/>
        <w:contextualSpacing/>
        <w:rPr>
          <w:rFonts w:ascii="Verdana" w:hAnsi="Verdana"/>
          <w:sz w:val="24"/>
          <w:szCs w:val="24"/>
        </w:rPr>
      </w:pPr>
      <w:r w:rsidRPr="00EA60EF">
        <w:rPr>
          <w:rFonts w:ascii="Verdana" w:hAnsi="Verdana"/>
          <w:sz w:val="24"/>
          <w:szCs w:val="24"/>
        </w:rPr>
        <w:t>United Nations Economic and Social Council-endorsed Basic Principles on the use of Restorative Justice Programmes in Criminal Matters (2002);</w:t>
      </w:r>
    </w:p>
    <w:p w:rsidR="00EA60EF" w:rsidRPr="00EA60EF" w:rsidRDefault="00EA60EF" w:rsidP="00EA60EF">
      <w:pPr>
        <w:numPr>
          <w:ilvl w:val="0"/>
          <w:numId w:val="13"/>
        </w:numPr>
        <w:spacing w:after="0" w:line="240" w:lineRule="auto"/>
        <w:contextualSpacing/>
        <w:rPr>
          <w:rFonts w:ascii="Verdana" w:hAnsi="Verdana"/>
          <w:sz w:val="24"/>
          <w:szCs w:val="24"/>
        </w:rPr>
      </w:pPr>
      <w:r w:rsidRPr="00EA60EF">
        <w:rPr>
          <w:rFonts w:ascii="Verdana" w:hAnsi="Verdana"/>
          <w:sz w:val="24"/>
          <w:szCs w:val="24"/>
        </w:rPr>
        <w:t>United Nations Rules for the Treatment of Women Prisoners and Non-custodial Measures for Women Offenders (‘the Bangkok Rules’) (2010);</w:t>
      </w:r>
    </w:p>
    <w:p w:rsidR="00EA60EF" w:rsidRPr="00EA60EF" w:rsidRDefault="00EA60EF" w:rsidP="00EA60EF">
      <w:pPr>
        <w:numPr>
          <w:ilvl w:val="0"/>
          <w:numId w:val="13"/>
        </w:numPr>
        <w:spacing w:after="0" w:line="240" w:lineRule="auto"/>
        <w:contextualSpacing/>
        <w:rPr>
          <w:rFonts w:ascii="Verdana" w:hAnsi="Verdana"/>
          <w:sz w:val="24"/>
          <w:szCs w:val="24"/>
        </w:rPr>
      </w:pPr>
      <w:r w:rsidRPr="00EA60EF">
        <w:rPr>
          <w:rFonts w:ascii="Verdana" w:hAnsi="Verdana"/>
          <w:sz w:val="24"/>
          <w:szCs w:val="24"/>
        </w:rPr>
        <w:t>United Nations Standard Minimum Rules on the Treatment of Prisoners (‘the Nelson Mandela Rules’) (2016).</w:t>
      </w:r>
    </w:p>
    <w:p w:rsidR="00EA60EF" w:rsidRPr="00EA60EF" w:rsidRDefault="00EA60EF" w:rsidP="00EA60EF">
      <w:pPr>
        <w:spacing w:after="0" w:line="240" w:lineRule="auto"/>
        <w:rPr>
          <w:rFonts w:ascii="Verdana" w:hAnsi="Verdana"/>
          <w:sz w:val="24"/>
          <w:szCs w:val="24"/>
        </w:rPr>
      </w:pPr>
    </w:p>
    <w:p w:rsidR="00EA60EF" w:rsidRPr="00EA60EF" w:rsidRDefault="00EA60EF" w:rsidP="00EA60EF">
      <w:pPr>
        <w:spacing w:after="0" w:line="240" w:lineRule="auto"/>
        <w:rPr>
          <w:rFonts w:ascii="Verdana" w:hAnsi="Verdana"/>
          <w:sz w:val="24"/>
          <w:szCs w:val="24"/>
        </w:rPr>
      </w:pPr>
      <w:r w:rsidRPr="00EA60EF">
        <w:rPr>
          <w:rFonts w:ascii="Verdana" w:hAnsi="Verdana"/>
          <w:sz w:val="24"/>
          <w:szCs w:val="24"/>
        </w:rPr>
        <w:t>1.4</w:t>
      </w:r>
      <w:r w:rsidRPr="00EA60EF">
        <w:rPr>
          <w:rFonts w:ascii="Verdana" w:hAnsi="Verdana"/>
          <w:sz w:val="24"/>
          <w:szCs w:val="24"/>
        </w:rPr>
        <w:tab/>
        <w:t>Relevant regional instruments and recommendations include:</w:t>
      </w:r>
    </w:p>
    <w:p w:rsidR="00EA60EF" w:rsidRPr="00EA60EF" w:rsidRDefault="00EA60EF" w:rsidP="00EA60EF">
      <w:pPr>
        <w:spacing w:after="0" w:line="240" w:lineRule="auto"/>
        <w:rPr>
          <w:rFonts w:ascii="Verdana" w:hAnsi="Verdana"/>
          <w:sz w:val="24"/>
          <w:szCs w:val="24"/>
        </w:rPr>
      </w:pPr>
    </w:p>
    <w:p w:rsidR="00EA60EF" w:rsidRPr="00EA60EF" w:rsidRDefault="00EA60EF" w:rsidP="00EA60EF">
      <w:pPr>
        <w:numPr>
          <w:ilvl w:val="0"/>
          <w:numId w:val="15"/>
        </w:numPr>
        <w:autoSpaceDE w:val="0"/>
        <w:autoSpaceDN w:val="0"/>
        <w:adjustRightInd w:val="0"/>
        <w:spacing w:after="0" w:line="240" w:lineRule="auto"/>
        <w:contextualSpacing/>
        <w:rPr>
          <w:rFonts w:ascii="Verdana" w:hAnsi="Verdana" w:cs="ZurichBT-LightCondensed"/>
          <w:sz w:val="24"/>
          <w:szCs w:val="24"/>
        </w:rPr>
      </w:pPr>
      <w:r w:rsidRPr="00EA60EF">
        <w:rPr>
          <w:rFonts w:ascii="Verdana" w:hAnsi="Verdana"/>
          <w:sz w:val="24"/>
          <w:szCs w:val="24"/>
        </w:rPr>
        <w:t>Council of Europe European Convention on Human Rights, 1950 (ECHR)</w:t>
      </w:r>
      <w:r w:rsidRPr="00EA60EF">
        <w:rPr>
          <w:rFonts w:ascii="Verdana" w:hAnsi="Verdana"/>
          <w:sz w:val="24"/>
          <w:szCs w:val="24"/>
          <w:vertAlign w:val="superscript"/>
        </w:rPr>
        <w:footnoteReference w:id="9"/>
      </w:r>
      <w:r w:rsidRPr="00EA60EF">
        <w:rPr>
          <w:rFonts w:ascii="Verdana" w:hAnsi="Verdana"/>
          <w:sz w:val="24"/>
          <w:szCs w:val="24"/>
        </w:rPr>
        <w:t>;</w:t>
      </w:r>
    </w:p>
    <w:p w:rsidR="00EA60EF" w:rsidRPr="00EA60EF" w:rsidRDefault="00EA60EF" w:rsidP="00EA60EF">
      <w:pPr>
        <w:numPr>
          <w:ilvl w:val="0"/>
          <w:numId w:val="15"/>
        </w:numPr>
        <w:spacing w:after="0" w:line="240" w:lineRule="auto"/>
        <w:contextualSpacing/>
        <w:rPr>
          <w:rFonts w:ascii="Verdana" w:hAnsi="Verdana"/>
          <w:sz w:val="24"/>
          <w:szCs w:val="24"/>
        </w:rPr>
      </w:pPr>
      <w:r w:rsidRPr="00EA60EF">
        <w:rPr>
          <w:rFonts w:ascii="Verdana" w:hAnsi="Verdana"/>
          <w:sz w:val="24"/>
          <w:szCs w:val="24"/>
        </w:rPr>
        <w:t>Council of Europe European Prison Rules (2006);</w:t>
      </w:r>
    </w:p>
    <w:p w:rsidR="00EA60EF" w:rsidRPr="00EA60EF" w:rsidRDefault="00EA60EF" w:rsidP="00EA60EF">
      <w:pPr>
        <w:numPr>
          <w:ilvl w:val="0"/>
          <w:numId w:val="15"/>
        </w:numPr>
        <w:spacing w:after="0" w:line="240" w:lineRule="auto"/>
        <w:contextualSpacing/>
        <w:rPr>
          <w:rFonts w:ascii="Verdana" w:hAnsi="Verdana"/>
          <w:sz w:val="24"/>
          <w:szCs w:val="24"/>
        </w:rPr>
      </w:pPr>
      <w:r w:rsidRPr="00EA60EF">
        <w:rPr>
          <w:rFonts w:ascii="Verdana" w:hAnsi="Verdana"/>
          <w:sz w:val="24"/>
          <w:szCs w:val="24"/>
        </w:rPr>
        <w:t>Council of Europe Recommendation R(92)16 on the European Rules on Community Sanctions and Measures (1992);</w:t>
      </w:r>
    </w:p>
    <w:p w:rsidR="00EA60EF" w:rsidRPr="00EA60EF" w:rsidRDefault="00EA60EF" w:rsidP="00EA60EF">
      <w:pPr>
        <w:numPr>
          <w:ilvl w:val="0"/>
          <w:numId w:val="15"/>
        </w:numPr>
        <w:spacing w:after="0" w:line="240" w:lineRule="auto"/>
        <w:contextualSpacing/>
        <w:rPr>
          <w:rFonts w:ascii="Verdana" w:hAnsi="Verdana"/>
          <w:sz w:val="24"/>
          <w:szCs w:val="24"/>
        </w:rPr>
      </w:pPr>
      <w:r w:rsidRPr="00EA60EF">
        <w:rPr>
          <w:rFonts w:ascii="Verdana" w:hAnsi="Verdana"/>
          <w:sz w:val="24"/>
          <w:szCs w:val="24"/>
        </w:rPr>
        <w:t>Council of Europe Recommendation R(2000)22 on improving the implementation of the European Rules on community sanctions and measures (2000);</w:t>
      </w:r>
    </w:p>
    <w:p w:rsidR="00EA60EF" w:rsidRPr="00EA60EF" w:rsidRDefault="00EA60EF" w:rsidP="00EA60EF">
      <w:pPr>
        <w:numPr>
          <w:ilvl w:val="0"/>
          <w:numId w:val="15"/>
        </w:numPr>
        <w:spacing w:after="0" w:line="240" w:lineRule="auto"/>
        <w:contextualSpacing/>
        <w:rPr>
          <w:rFonts w:ascii="Verdana" w:hAnsi="Verdana"/>
          <w:sz w:val="24"/>
          <w:szCs w:val="24"/>
        </w:rPr>
      </w:pPr>
      <w:r w:rsidRPr="00EA60EF">
        <w:rPr>
          <w:rFonts w:ascii="Verdana" w:hAnsi="Verdana"/>
          <w:sz w:val="24"/>
          <w:szCs w:val="24"/>
        </w:rPr>
        <w:t>Committee of Ministers Recommendation CM/R(2010)1 on the Council of Europe Probation Rules (2010);</w:t>
      </w:r>
    </w:p>
    <w:p w:rsidR="00EA60EF" w:rsidRPr="00EA60EF" w:rsidRDefault="00EA60EF" w:rsidP="00EA60EF">
      <w:pPr>
        <w:numPr>
          <w:ilvl w:val="0"/>
          <w:numId w:val="15"/>
        </w:numPr>
        <w:spacing w:after="0" w:line="240" w:lineRule="auto"/>
        <w:contextualSpacing/>
        <w:rPr>
          <w:rFonts w:ascii="Verdana" w:hAnsi="Verdana"/>
          <w:sz w:val="24"/>
          <w:szCs w:val="24"/>
        </w:rPr>
      </w:pPr>
      <w:r w:rsidRPr="00EA60EF">
        <w:rPr>
          <w:rFonts w:ascii="Verdana" w:hAnsi="Verdana"/>
          <w:sz w:val="24"/>
          <w:szCs w:val="24"/>
        </w:rPr>
        <w:t>European Union Framework Decision on Restorative Justice (2001);</w:t>
      </w:r>
    </w:p>
    <w:p w:rsidR="00EA60EF" w:rsidRPr="00EA60EF" w:rsidRDefault="00EA60EF" w:rsidP="00EA60EF">
      <w:pPr>
        <w:spacing w:after="0" w:line="240" w:lineRule="auto"/>
        <w:contextualSpacing/>
        <w:rPr>
          <w:rFonts w:ascii="Verdana" w:hAnsi="Verdana"/>
          <w:sz w:val="24"/>
          <w:szCs w:val="24"/>
        </w:rPr>
      </w:pPr>
    </w:p>
    <w:p w:rsidR="00EA60EF" w:rsidRPr="00EA60EF" w:rsidRDefault="00EA60EF" w:rsidP="00EA60EF">
      <w:pPr>
        <w:spacing w:after="0" w:line="240" w:lineRule="auto"/>
        <w:contextualSpacing/>
        <w:rPr>
          <w:b/>
        </w:rPr>
      </w:pPr>
      <w:r w:rsidRPr="00EA60EF">
        <w:rPr>
          <w:rFonts w:ascii="Verdana" w:eastAsia="Calibri" w:hAnsi="Verdana" w:cs="Times New Roman"/>
          <w:sz w:val="24"/>
          <w:szCs w:val="24"/>
        </w:rPr>
        <w:t xml:space="preserve">1.5 </w:t>
      </w:r>
      <w:r w:rsidRPr="00EA60EF">
        <w:rPr>
          <w:rFonts w:ascii="Verdana" w:eastAsia="Calibri" w:hAnsi="Verdana" w:cs="Times New Roman"/>
          <w:sz w:val="24"/>
          <w:szCs w:val="24"/>
        </w:rPr>
        <w:tab/>
        <w:t>The Northern Ireland Executive (NI Executive) is subject to the obligations contained within these international treaties by virtue of the United Kingdom (UK) Government’s ratification and the provisions of the Northern Ireland Act 1998.</w:t>
      </w:r>
      <w:r w:rsidRPr="00EA60EF">
        <w:rPr>
          <w:rFonts w:ascii="Times New Roman" w:eastAsia="Calibri" w:hAnsi="Times New Roman" w:cs="Times New Roman"/>
          <w:sz w:val="18"/>
          <w:szCs w:val="24"/>
          <w:vertAlign w:val="superscript"/>
        </w:rPr>
        <w:footnoteReference w:id="10"/>
      </w:r>
    </w:p>
    <w:p w:rsidR="002E69A0" w:rsidRDefault="002E69A0" w:rsidP="00E929D0">
      <w:pPr>
        <w:pStyle w:val="Default"/>
        <w:rPr>
          <w:rFonts w:cstheme="minorBidi"/>
          <w:b/>
          <w:color w:val="auto"/>
          <w:u w:val="single"/>
        </w:rPr>
      </w:pPr>
    </w:p>
    <w:p w:rsidR="0011611C" w:rsidRPr="002E69A0" w:rsidRDefault="008207B7" w:rsidP="00E929D0">
      <w:pPr>
        <w:pStyle w:val="Default"/>
        <w:rPr>
          <w:rFonts w:cstheme="minorBidi"/>
          <w:b/>
          <w:color w:val="auto"/>
          <w:u w:val="single"/>
        </w:rPr>
      </w:pPr>
      <w:r w:rsidRPr="002E69A0">
        <w:rPr>
          <w:rFonts w:cstheme="minorBidi"/>
          <w:b/>
          <w:color w:val="auto"/>
          <w:u w:val="single"/>
        </w:rPr>
        <w:t xml:space="preserve">General Observations </w:t>
      </w:r>
    </w:p>
    <w:p w:rsidR="00401525" w:rsidRPr="002E69A0" w:rsidRDefault="00401525" w:rsidP="00E929D0">
      <w:pPr>
        <w:pStyle w:val="Default"/>
        <w:rPr>
          <w:color w:val="auto"/>
        </w:rPr>
      </w:pPr>
    </w:p>
    <w:p w:rsidR="0081277E" w:rsidRPr="002E69A0" w:rsidRDefault="001962F4" w:rsidP="00D542C2">
      <w:pPr>
        <w:pStyle w:val="Default"/>
        <w:rPr>
          <w:color w:val="auto"/>
        </w:rPr>
      </w:pPr>
      <w:r w:rsidRPr="002E69A0">
        <w:rPr>
          <w:color w:val="auto"/>
        </w:rPr>
        <w:t>2.1</w:t>
      </w:r>
      <w:r w:rsidRPr="002E69A0">
        <w:rPr>
          <w:color w:val="auto"/>
        </w:rPr>
        <w:tab/>
      </w:r>
      <w:r w:rsidR="00D542C2" w:rsidRPr="002E69A0">
        <w:rPr>
          <w:color w:val="auto"/>
        </w:rPr>
        <w:t>The Commission broadly welcomes the proposed Strategy and Action Plan on ‘Improving Health within Criminal Justice’</w:t>
      </w:r>
      <w:r w:rsidR="00082025" w:rsidRPr="002E69A0">
        <w:rPr>
          <w:color w:val="auto"/>
        </w:rPr>
        <w:t xml:space="preserve">. </w:t>
      </w:r>
      <w:r w:rsidR="00CD3625">
        <w:rPr>
          <w:color w:val="auto"/>
        </w:rPr>
        <w:t xml:space="preserve">The Commission also recognises that other issues in the criminal justice system affecting the number held in prison whether under sentence or on remand impacts on the health and social care provided. The Commission therefore address these issues as well as the direct health and social care matters with the strategy. </w:t>
      </w:r>
      <w:r w:rsidR="00082025" w:rsidRPr="002E69A0">
        <w:rPr>
          <w:color w:val="auto"/>
        </w:rPr>
        <w:t xml:space="preserve">The Commission notes that whilst an initial human rights assessment has been carried out the consultation document does not refer to the breadth of human rights obligations relevant to the subject matter. </w:t>
      </w:r>
    </w:p>
    <w:p w:rsidR="00623394" w:rsidRPr="002E69A0" w:rsidRDefault="00623394" w:rsidP="00D542C2">
      <w:pPr>
        <w:pStyle w:val="Default"/>
        <w:rPr>
          <w:color w:val="auto"/>
        </w:rPr>
      </w:pPr>
    </w:p>
    <w:p w:rsidR="00623394" w:rsidRPr="00623394" w:rsidRDefault="00623394" w:rsidP="00623394">
      <w:pPr>
        <w:rPr>
          <w:rFonts w:ascii="Verdana" w:hAnsi="Verdana"/>
          <w:sz w:val="24"/>
          <w:szCs w:val="24"/>
        </w:rPr>
      </w:pPr>
      <w:r w:rsidRPr="002E69A0">
        <w:rPr>
          <w:rFonts w:ascii="Verdana" w:hAnsi="Verdana"/>
          <w:sz w:val="24"/>
          <w:szCs w:val="24"/>
        </w:rPr>
        <w:t xml:space="preserve">2.2 </w:t>
      </w:r>
      <w:r w:rsidRPr="00623394">
        <w:rPr>
          <w:rFonts w:ascii="Verdana" w:hAnsi="Verdana"/>
          <w:sz w:val="24"/>
          <w:szCs w:val="24"/>
        </w:rPr>
        <w:t>The right to heath is protected by way of ICESCR, Article 12 which states:</w:t>
      </w:r>
    </w:p>
    <w:p w:rsidR="00623394" w:rsidRPr="00623394" w:rsidRDefault="00623394" w:rsidP="00623394">
      <w:pPr>
        <w:spacing w:before="100" w:beforeAutospacing="1" w:after="100" w:afterAutospacing="1" w:line="240" w:lineRule="auto"/>
        <w:ind w:left="720"/>
        <w:rPr>
          <w:rFonts w:ascii="Verdana" w:eastAsia="Times New Roman" w:hAnsi="Verdana" w:cs="Arial"/>
          <w:color w:val="000000"/>
          <w:sz w:val="24"/>
          <w:szCs w:val="24"/>
          <w:lang w:eastAsia="en-GB"/>
        </w:rPr>
      </w:pPr>
      <w:r w:rsidRPr="00623394">
        <w:rPr>
          <w:rFonts w:ascii="Verdana" w:eastAsia="Times New Roman" w:hAnsi="Verdana" w:cs="Arial"/>
          <w:color w:val="000000"/>
          <w:sz w:val="24"/>
          <w:szCs w:val="24"/>
          <w:lang w:eastAsia="en-GB"/>
        </w:rPr>
        <w:t xml:space="preserve">1. The States Parties to the present Covenant recognize the right of everyone to the enjoyment of the highest attainable standard of physical and mental health. </w:t>
      </w:r>
    </w:p>
    <w:p w:rsidR="00623394" w:rsidRPr="00623394" w:rsidRDefault="00623394" w:rsidP="00623394">
      <w:pPr>
        <w:spacing w:before="100" w:beforeAutospacing="1" w:after="100" w:afterAutospacing="1" w:line="240" w:lineRule="auto"/>
        <w:ind w:left="720"/>
        <w:rPr>
          <w:rFonts w:ascii="Verdana" w:eastAsia="Times New Roman" w:hAnsi="Verdana" w:cs="Arial"/>
          <w:color w:val="000000"/>
          <w:sz w:val="24"/>
          <w:szCs w:val="24"/>
          <w:lang w:eastAsia="en-GB"/>
        </w:rPr>
      </w:pPr>
      <w:r w:rsidRPr="00623394">
        <w:rPr>
          <w:rFonts w:ascii="Verdana" w:eastAsia="Times New Roman" w:hAnsi="Verdana" w:cs="Arial"/>
          <w:color w:val="000000"/>
          <w:sz w:val="24"/>
          <w:szCs w:val="24"/>
          <w:lang w:eastAsia="en-GB"/>
        </w:rPr>
        <w:t xml:space="preserve">2. The steps to be taken by the States Parties to the present Covenant to achieve the full realization of this right shall include those necessary for: </w:t>
      </w:r>
    </w:p>
    <w:p w:rsidR="00623394" w:rsidRPr="00623394" w:rsidRDefault="00CD3625" w:rsidP="00623394">
      <w:pPr>
        <w:spacing w:before="100" w:beforeAutospacing="1" w:after="100" w:afterAutospacing="1" w:line="240" w:lineRule="auto"/>
        <w:ind w:left="1440"/>
        <w:rPr>
          <w:rFonts w:ascii="Verdana" w:eastAsia="Times New Roman" w:hAnsi="Verdana" w:cs="Arial"/>
          <w:color w:val="000000"/>
          <w:sz w:val="24"/>
          <w:szCs w:val="24"/>
          <w:lang w:eastAsia="en-GB"/>
        </w:rPr>
      </w:pPr>
      <w:r>
        <w:rPr>
          <w:rFonts w:ascii="Verdana" w:eastAsia="Times New Roman" w:hAnsi="Verdana" w:cs="Arial"/>
          <w:color w:val="000000"/>
          <w:sz w:val="24"/>
          <w:szCs w:val="24"/>
          <w:lang w:eastAsia="en-GB"/>
        </w:rPr>
        <w:t>…</w:t>
      </w:r>
    </w:p>
    <w:p w:rsidR="00623394" w:rsidRPr="00623394" w:rsidRDefault="00623394" w:rsidP="00623394">
      <w:pPr>
        <w:spacing w:before="100" w:beforeAutospacing="1" w:after="100" w:afterAutospacing="1" w:line="240" w:lineRule="auto"/>
        <w:ind w:left="1440"/>
        <w:rPr>
          <w:rFonts w:ascii="Verdana" w:eastAsia="Times New Roman" w:hAnsi="Verdana" w:cs="Arial"/>
          <w:color w:val="000000"/>
          <w:sz w:val="24"/>
          <w:szCs w:val="24"/>
          <w:lang w:eastAsia="en-GB"/>
        </w:rPr>
      </w:pPr>
      <w:r w:rsidRPr="00623394">
        <w:rPr>
          <w:rFonts w:ascii="Verdana" w:eastAsia="Times New Roman" w:hAnsi="Verdana" w:cs="Arial"/>
          <w:color w:val="000000"/>
          <w:sz w:val="24"/>
          <w:szCs w:val="24"/>
          <w:lang w:eastAsia="en-GB"/>
        </w:rPr>
        <w:t xml:space="preserve">(d) The creation of conditions which would assure to all medical service and medical attention in the event of sickness. </w:t>
      </w:r>
    </w:p>
    <w:p w:rsidR="00623394" w:rsidRPr="00623394" w:rsidRDefault="00623394" w:rsidP="00623394">
      <w:pPr>
        <w:rPr>
          <w:rFonts w:ascii="Verdana" w:hAnsi="Verdana"/>
          <w:sz w:val="24"/>
          <w:szCs w:val="24"/>
        </w:rPr>
      </w:pPr>
      <w:r w:rsidRPr="002E69A0">
        <w:rPr>
          <w:rFonts w:ascii="Verdana" w:hAnsi="Verdana"/>
          <w:sz w:val="24"/>
          <w:szCs w:val="24"/>
        </w:rPr>
        <w:t xml:space="preserve">2.3 </w:t>
      </w:r>
      <w:r w:rsidRPr="00623394">
        <w:rPr>
          <w:rFonts w:ascii="Verdana" w:hAnsi="Verdana"/>
          <w:sz w:val="24"/>
          <w:szCs w:val="24"/>
        </w:rPr>
        <w:t>The ICESCR Committee has elaborated on Article 12 by way of General Comment 14 which states:</w:t>
      </w:r>
    </w:p>
    <w:p w:rsidR="00FE7CFD" w:rsidRPr="003B0555" w:rsidRDefault="00623394" w:rsidP="003B0555">
      <w:pPr>
        <w:ind w:left="720"/>
        <w:rPr>
          <w:rFonts w:ascii="Verdana" w:hAnsi="Verdana"/>
          <w:sz w:val="24"/>
          <w:szCs w:val="24"/>
        </w:rPr>
      </w:pPr>
      <w:r w:rsidRPr="00623394">
        <w:rPr>
          <w:rFonts w:ascii="Verdana" w:hAnsi="Verdana"/>
          <w:sz w:val="24"/>
          <w:szCs w:val="24"/>
        </w:rPr>
        <w:t xml:space="preserve">States are under the obligation to </w:t>
      </w:r>
      <w:r w:rsidRPr="00623394">
        <w:rPr>
          <w:rFonts w:ascii="Verdana" w:hAnsi="Verdana"/>
          <w:i/>
          <w:iCs/>
          <w:sz w:val="24"/>
          <w:szCs w:val="24"/>
        </w:rPr>
        <w:t xml:space="preserve">respect </w:t>
      </w:r>
      <w:r w:rsidRPr="00623394">
        <w:rPr>
          <w:rFonts w:ascii="Verdana" w:hAnsi="Verdana"/>
          <w:sz w:val="24"/>
          <w:szCs w:val="24"/>
        </w:rPr>
        <w:t>the right to health by, inter alia, refraining from denying or limiting equal access for all persons, including prisoners or detainees, minorities, asylum-seekers and illegal immigrants, to preventive, curative and palliative health services; abstaining from enforcing discriminatory practices as a State policy; and abstaining from imposing discriminatory practices relating to women’s health status and needs.</w:t>
      </w:r>
      <w:r w:rsidRPr="002E69A0">
        <w:rPr>
          <w:rFonts w:ascii="Verdana" w:hAnsi="Verdana"/>
          <w:sz w:val="24"/>
          <w:szCs w:val="24"/>
          <w:vertAlign w:val="superscript"/>
        </w:rPr>
        <w:footnoteReference w:id="11"/>
      </w:r>
    </w:p>
    <w:p w:rsidR="00623394" w:rsidRPr="002E69A0" w:rsidRDefault="00623394" w:rsidP="00D542C2">
      <w:pPr>
        <w:pStyle w:val="Default"/>
        <w:rPr>
          <w:color w:val="auto"/>
        </w:rPr>
      </w:pPr>
      <w:r w:rsidRPr="002E69A0">
        <w:rPr>
          <w:color w:val="auto"/>
        </w:rPr>
        <w:t>2.4</w:t>
      </w:r>
      <w:r w:rsidR="00623E52">
        <w:rPr>
          <w:color w:val="auto"/>
        </w:rPr>
        <w:t xml:space="preserve"> </w:t>
      </w:r>
      <w:r w:rsidRPr="002E69A0">
        <w:rPr>
          <w:color w:val="auto"/>
        </w:rPr>
        <w:t xml:space="preserve">The right to health is also protected by UNCRPD, Article 25. </w:t>
      </w:r>
    </w:p>
    <w:p w:rsidR="00623394" w:rsidRDefault="00623394" w:rsidP="00D542C2">
      <w:pPr>
        <w:pStyle w:val="Default"/>
        <w:rPr>
          <w:color w:val="auto"/>
        </w:rPr>
      </w:pPr>
    </w:p>
    <w:p w:rsidR="00E5304C" w:rsidRDefault="00E5304C" w:rsidP="00E5304C">
      <w:pPr>
        <w:pStyle w:val="Default"/>
        <w:ind w:left="1440" w:hanging="1440"/>
        <w:rPr>
          <w:color w:val="auto"/>
        </w:rPr>
      </w:pPr>
      <w:r>
        <w:rPr>
          <w:color w:val="auto"/>
        </w:rPr>
        <w:t xml:space="preserve">2.5 As recorded within the consultation document health and social care </w:t>
      </w:r>
    </w:p>
    <w:p w:rsidR="00E5304C" w:rsidRDefault="00E5304C" w:rsidP="00E5304C">
      <w:pPr>
        <w:pStyle w:val="Default"/>
        <w:ind w:left="1440" w:hanging="1440"/>
        <w:rPr>
          <w:color w:val="auto"/>
        </w:rPr>
      </w:pPr>
      <w:proofErr w:type="gramStart"/>
      <w:r>
        <w:rPr>
          <w:color w:val="auto"/>
        </w:rPr>
        <w:t>provision</w:t>
      </w:r>
      <w:proofErr w:type="gramEnd"/>
      <w:r>
        <w:rPr>
          <w:color w:val="auto"/>
        </w:rPr>
        <w:t xml:space="preserve"> for prisoners in Northern Ireland is delivered in a range of </w:t>
      </w:r>
    </w:p>
    <w:p w:rsidR="000A1EBE" w:rsidRDefault="000A1EBE" w:rsidP="00E5304C">
      <w:pPr>
        <w:pStyle w:val="Default"/>
        <w:ind w:left="1440" w:hanging="1440"/>
        <w:rPr>
          <w:color w:val="auto"/>
        </w:rPr>
      </w:pPr>
      <w:proofErr w:type="gramStart"/>
      <w:r>
        <w:rPr>
          <w:color w:val="auto"/>
        </w:rPr>
        <w:t>settings</w:t>
      </w:r>
      <w:proofErr w:type="gramEnd"/>
      <w:r w:rsidR="00E5304C">
        <w:rPr>
          <w:color w:val="auto"/>
        </w:rPr>
        <w:t xml:space="preserve"> including hospitals and secondary care facilities. </w:t>
      </w:r>
      <w:r>
        <w:rPr>
          <w:color w:val="auto"/>
        </w:rPr>
        <w:t>Ensuring</w:t>
      </w:r>
    </w:p>
    <w:p w:rsidR="00247346" w:rsidRDefault="000A1EBE" w:rsidP="000A1EBE">
      <w:pPr>
        <w:pStyle w:val="Default"/>
        <w:ind w:left="1440" w:hanging="1440"/>
        <w:rPr>
          <w:color w:val="auto"/>
        </w:rPr>
      </w:pPr>
      <w:proofErr w:type="gramStart"/>
      <w:r>
        <w:rPr>
          <w:color w:val="auto"/>
        </w:rPr>
        <w:t>adequate</w:t>
      </w:r>
      <w:proofErr w:type="gramEnd"/>
      <w:r>
        <w:rPr>
          <w:color w:val="auto"/>
        </w:rPr>
        <w:t xml:space="preserve"> resources</w:t>
      </w:r>
      <w:r w:rsidR="00247346">
        <w:rPr>
          <w:color w:val="auto"/>
        </w:rPr>
        <w:t>, personnel</w:t>
      </w:r>
      <w:r>
        <w:rPr>
          <w:color w:val="auto"/>
        </w:rPr>
        <w:t xml:space="preserve"> and</w:t>
      </w:r>
      <w:r w:rsidR="00247346">
        <w:rPr>
          <w:color w:val="auto"/>
        </w:rPr>
        <w:t xml:space="preserve"> staffing stability alongside</w:t>
      </w:r>
      <w:r>
        <w:rPr>
          <w:color w:val="auto"/>
        </w:rPr>
        <w:t xml:space="preserve"> </w:t>
      </w:r>
      <w:r w:rsidR="00E5304C">
        <w:rPr>
          <w:color w:val="auto"/>
        </w:rPr>
        <w:t xml:space="preserve">effective </w:t>
      </w:r>
    </w:p>
    <w:p w:rsidR="00247346" w:rsidRDefault="00E5304C" w:rsidP="00247346">
      <w:pPr>
        <w:pStyle w:val="Default"/>
        <w:ind w:left="1440" w:hanging="1440"/>
        <w:rPr>
          <w:color w:val="auto"/>
        </w:rPr>
      </w:pPr>
      <w:proofErr w:type="gramStart"/>
      <w:r>
        <w:rPr>
          <w:color w:val="auto"/>
        </w:rPr>
        <w:t>linkages</w:t>
      </w:r>
      <w:proofErr w:type="gramEnd"/>
      <w:r>
        <w:rPr>
          <w:color w:val="auto"/>
        </w:rPr>
        <w:t xml:space="preserve"> between the prison and </w:t>
      </w:r>
      <w:r w:rsidR="00247346">
        <w:rPr>
          <w:color w:val="auto"/>
        </w:rPr>
        <w:t>hospital and community services</w:t>
      </w:r>
      <w:r>
        <w:rPr>
          <w:color w:val="auto"/>
        </w:rPr>
        <w:t xml:space="preserve"> is </w:t>
      </w:r>
    </w:p>
    <w:p w:rsidR="00247346" w:rsidRDefault="00E5304C" w:rsidP="00247346">
      <w:pPr>
        <w:pStyle w:val="Default"/>
        <w:ind w:left="1440" w:hanging="1440"/>
        <w:rPr>
          <w:rFonts w:eastAsia="Times New Roman" w:cs="Arial"/>
          <w:lang w:eastAsia="en-GB"/>
        </w:rPr>
      </w:pPr>
      <w:proofErr w:type="gramStart"/>
      <w:r>
        <w:rPr>
          <w:color w:val="auto"/>
        </w:rPr>
        <w:t>essential</w:t>
      </w:r>
      <w:proofErr w:type="gramEnd"/>
      <w:r>
        <w:rPr>
          <w:color w:val="auto"/>
        </w:rPr>
        <w:t xml:space="preserve"> to ensuring prisoners </w:t>
      </w:r>
      <w:r>
        <w:rPr>
          <w:rFonts w:eastAsia="Times New Roman" w:cs="Arial"/>
          <w:lang w:eastAsia="en-GB"/>
        </w:rPr>
        <w:t>enjoy</w:t>
      </w:r>
      <w:r w:rsidRPr="00623394">
        <w:rPr>
          <w:rFonts w:eastAsia="Times New Roman" w:cs="Arial"/>
          <w:lang w:eastAsia="en-GB"/>
        </w:rPr>
        <w:t xml:space="preserve"> the highest attainable standard of </w:t>
      </w:r>
    </w:p>
    <w:p w:rsidR="00E5304C" w:rsidRPr="002E69A0" w:rsidRDefault="00E5304C" w:rsidP="00247346">
      <w:pPr>
        <w:pStyle w:val="Default"/>
        <w:ind w:left="1440" w:hanging="1440"/>
        <w:rPr>
          <w:color w:val="auto"/>
        </w:rPr>
      </w:pPr>
      <w:proofErr w:type="gramStart"/>
      <w:r w:rsidRPr="00623394">
        <w:rPr>
          <w:rFonts w:eastAsia="Times New Roman" w:cs="Arial"/>
          <w:lang w:eastAsia="en-GB"/>
        </w:rPr>
        <w:t>physical</w:t>
      </w:r>
      <w:proofErr w:type="gramEnd"/>
      <w:r w:rsidRPr="00623394">
        <w:rPr>
          <w:rFonts w:eastAsia="Times New Roman" w:cs="Arial"/>
          <w:lang w:eastAsia="en-GB"/>
        </w:rPr>
        <w:t xml:space="preserve"> and mental health</w:t>
      </w:r>
      <w:r>
        <w:rPr>
          <w:rFonts w:eastAsia="Times New Roman" w:cs="Arial"/>
          <w:lang w:eastAsia="en-GB"/>
        </w:rPr>
        <w:t xml:space="preserve">. </w:t>
      </w:r>
    </w:p>
    <w:p w:rsidR="00E5304C" w:rsidRPr="002E69A0" w:rsidRDefault="00E5304C" w:rsidP="00D542C2">
      <w:pPr>
        <w:pStyle w:val="Default"/>
        <w:rPr>
          <w:color w:val="auto"/>
        </w:rPr>
      </w:pPr>
    </w:p>
    <w:p w:rsidR="0081277E" w:rsidRPr="002E69A0" w:rsidRDefault="00E5304C" w:rsidP="00D542C2">
      <w:pPr>
        <w:pStyle w:val="Default"/>
        <w:rPr>
          <w:color w:val="auto"/>
        </w:rPr>
      </w:pPr>
      <w:r>
        <w:rPr>
          <w:color w:val="auto"/>
        </w:rPr>
        <w:t>2.6</w:t>
      </w:r>
      <w:r w:rsidR="00623394" w:rsidRPr="002E69A0">
        <w:rPr>
          <w:color w:val="auto"/>
        </w:rPr>
        <w:t xml:space="preserve"> </w:t>
      </w:r>
      <w:r w:rsidR="0081277E" w:rsidRPr="002E69A0">
        <w:rPr>
          <w:color w:val="auto"/>
        </w:rPr>
        <w:t>Human rights law has recognised the vulnerabilities of prisoners. The European Court of Human Rights (ECt.HR) has often</w:t>
      </w:r>
      <w:r w:rsidR="00386EA0" w:rsidRPr="002E69A0">
        <w:rPr>
          <w:color w:val="auto"/>
        </w:rPr>
        <w:t xml:space="preserve"> considered the implication of prison conditions on an individual’s </w:t>
      </w:r>
      <w:r w:rsidR="003E13D6" w:rsidRPr="002E69A0">
        <w:rPr>
          <w:color w:val="auto"/>
        </w:rPr>
        <w:t xml:space="preserve">Article 3 </w:t>
      </w:r>
      <w:r w:rsidR="00386EA0" w:rsidRPr="002E69A0">
        <w:rPr>
          <w:color w:val="auto"/>
        </w:rPr>
        <w:t xml:space="preserve">right to freedom from torture and inhuman or degrading treatment. In the case of </w:t>
      </w:r>
      <w:proofErr w:type="spellStart"/>
      <w:r w:rsidR="00386EA0" w:rsidRPr="002E69A0">
        <w:rPr>
          <w:color w:val="auto"/>
        </w:rPr>
        <w:t>Kudla</w:t>
      </w:r>
      <w:proofErr w:type="spellEnd"/>
      <w:r w:rsidR="00386EA0" w:rsidRPr="002E69A0">
        <w:rPr>
          <w:color w:val="auto"/>
        </w:rPr>
        <w:t xml:space="preserve"> v Poland </w:t>
      </w:r>
      <w:r w:rsidR="003E13D6" w:rsidRPr="002E69A0">
        <w:rPr>
          <w:color w:val="auto"/>
        </w:rPr>
        <w:t>the ECt.HR stated:</w:t>
      </w:r>
    </w:p>
    <w:p w:rsidR="003E13D6" w:rsidRPr="002E69A0" w:rsidRDefault="003E13D6" w:rsidP="00D542C2">
      <w:pPr>
        <w:pStyle w:val="Default"/>
        <w:rPr>
          <w:color w:val="auto"/>
        </w:rPr>
      </w:pPr>
    </w:p>
    <w:p w:rsidR="003E13D6" w:rsidRPr="002E69A0" w:rsidRDefault="003E13D6" w:rsidP="003E13D6">
      <w:pPr>
        <w:pStyle w:val="Default"/>
        <w:ind w:left="720"/>
        <w:rPr>
          <w:color w:val="auto"/>
        </w:rPr>
      </w:pPr>
      <w:r w:rsidRPr="002E69A0">
        <w:t>under this provision [Art</w:t>
      </w:r>
      <w:r w:rsidR="00F75A23" w:rsidRPr="002E69A0">
        <w:t>icle</w:t>
      </w:r>
      <w:r w:rsidRPr="002E69A0">
        <w:t xml:space="preserve"> 3] the State must ensure that a person is detained in conditions which are compatible with respect for his human dignity, that the manner and method of the execution of the measure do not subject him to distress or hardship of an intensity exceeding the unavoidable level of suffering inherent in detention and that, given the practical demands of imprisonment, his health and well-being are adequately secured by, among other things, providing him with t</w:t>
      </w:r>
      <w:r w:rsidR="00623E52">
        <w:t>he requisite medical assistance</w:t>
      </w:r>
      <w:r w:rsidRPr="002E69A0">
        <w:t>.</w:t>
      </w:r>
      <w:r w:rsidRPr="002E69A0">
        <w:rPr>
          <w:rStyle w:val="FootnoteReference"/>
          <w:rFonts w:ascii="Verdana" w:hAnsi="Verdana"/>
          <w:sz w:val="24"/>
        </w:rPr>
        <w:footnoteReference w:id="12"/>
      </w:r>
    </w:p>
    <w:p w:rsidR="00386EA0" w:rsidRPr="002E69A0" w:rsidRDefault="00386EA0" w:rsidP="00D542C2">
      <w:pPr>
        <w:pStyle w:val="Default"/>
        <w:rPr>
          <w:color w:val="auto"/>
        </w:rPr>
      </w:pPr>
    </w:p>
    <w:p w:rsidR="0081277E" w:rsidRPr="002E69A0" w:rsidRDefault="00E5304C" w:rsidP="00D542C2">
      <w:pPr>
        <w:pStyle w:val="Default"/>
        <w:rPr>
          <w:color w:val="auto"/>
        </w:rPr>
      </w:pPr>
      <w:r>
        <w:rPr>
          <w:color w:val="auto"/>
        </w:rPr>
        <w:t>2.7</w:t>
      </w:r>
      <w:r w:rsidR="003E13D6" w:rsidRPr="002E69A0">
        <w:rPr>
          <w:color w:val="auto"/>
        </w:rPr>
        <w:t xml:space="preserve"> In Keenan v UK the ECt.HR stated:</w:t>
      </w:r>
    </w:p>
    <w:p w:rsidR="003E13D6" w:rsidRPr="002E69A0" w:rsidRDefault="003E13D6" w:rsidP="00D542C2">
      <w:pPr>
        <w:pStyle w:val="Default"/>
        <w:rPr>
          <w:color w:val="auto"/>
        </w:rPr>
      </w:pPr>
    </w:p>
    <w:p w:rsidR="003E13D6" w:rsidRPr="002E69A0" w:rsidRDefault="003E13D6" w:rsidP="003E13D6">
      <w:pPr>
        <w:pStyle w:val="Default"/>
        <w:ind w:left="720"/>
        <w:rPr>
          <w:color w:val="auto"/>
        </w:rPr>
      </w:pPr>
      <w:proofErr w:type="gramStart"/>
      <w:r w:rsidRPr="002E69A0">
        <w:rPr>
          <w:color w:val="auto"/>
        </w:rPr>
        <w:t>the</w:t>
      </w:r>
      <w:proofErr w:type="gramEnd"/>
      <w:r w:rsidRPr="002E69A0">
        <w:rPr>
          <w:color w:val="auto"/>
        </w:rPr>
        <w:t xml:space="preserve"> authorities are under an obligation to protect the health of persons deprived of liberty. The lack of appropriate medical care may amount to </w:t>
      </w:r>
      <w:r w:rsidR="00623E52">
        <w:rPr>
          <w:color w:val="auto"/>
        </w:rPr>
        <w:t>treatment contrary to Article 3</w:t>
      </w:r>
      <w:r w:rsidRPr="002E69A0">
        <w:rPr>
          <w:color w:val="auto"/>
        </w:rPr>
        <w:t>.</w:t>
      </w:r>
      <w:r w:rsidRPr="002E69A0">
        <w:rPr>
          <w:rStyle w:val="FootnoteReference"/>
          <w:rFonts w:ascii="Verdana" w:hAnsi="Verdana"/>
          <w:color w:val="auto"/>
          <w:sz w:val="24"/>
        </w:rPr>
        <w:footnoteReference w:id="13"/>
      </w:r>
    </w:p>
    <w:p w:rsidR="003E13D6" w:rsidRPr="002E69A0" w:rsidRDefault="003E13D6" w:rsidP="00D542C2">
      <w:pPr>
        <w:pStyle w:val="Default"/>
        <w:rPr>
          <w:color w:val="auto"/>
        </w:rPr>
      </w:pPr>
    </w:p>
    <w:p w:rsidR="003E13D6" w:rsidRPr="002E69A0" w:rsidRDefault="00E5304C" w:rsidP="00D542C2">
      <w:pPr>
        <w:pStyle w:val="Default"/>
        <w:rPr>
          <w:color w:val="auto"/>
        </w:rPr>
      </w:pPr>
      <w:r>
        <w:rPr>
          <w:color w:val="auto"/>
        </w:rPr>
        <w:t>2.8</w:t>
      </w:r>
      <w:r w:rsidR="00DC2DC2" w:rsidRPr="002E69A0">
        <w:rPr>
          <w:color w:val="auto"/>
        </w:rPr>
        <w:t xml:space="preserve"> International human rights law similarly recognises the vulnerable position of prisoners. The ICCPR, Article 10 state</w:t>
      </w:r>
      <w:r w:rsidR="00BA086A" w:rsidRPr="002E69A0">
        <w:rPr>
          <w:color w:val="auto"/>
        </w:rPr>
        <w:t>s</w:t>
      </w:r>
      <w:r w:rsidR="00DC2DC2" w:rsidRPr="002E69A0">
        <w:rPr>
          <w:color w:val="auto"/>
        </w:rPr>
        <w:t>:</w:t>
      </w:r>
    </w:p>
    <w:p w:rsidR="00DC2DC2" w:rsidRPr="002E69A0" w:rsidRDefault="00DC2DC2" w:rsidP="00D542C2">
      <w:pPr>
        <w:pStyle w:val="Default"/>
        <w:rPr>
          <w:color w:val="auto"/>
        </w:rPr>
      </w:pPr>
    </w:p>
    <w:p w:rsidR="00DC2DC2" w:rsidRPr="002E69A0" w:rsidRDefault="00DC2DC2" w:rsidP="00DC2DC2">
      <w:pPr>
        <w:pStyle w:val="Default"/>
        <w:ind w:left="720"/>
        <w:rPr>
          <w:color w:val="auto"/>
        </w:rPr>
      </w:pPr>
      <w:r w:rsidRPr="002E69A0">
        <w:rPr>
          <w:color w:val="auto"/>
        </w:rPr>
        <w:t xml:space="preserve">1. All persons deprived of their liberty shall be treated with humanity and with respect for the inherent dignity of the human person. </w:t>
      </w:r>
    </w:p>
    <w:p w:rsidR="00DC2DC2" w:rsidRPr="002E69A0" w:rsidRDefault="00DC2DC2" w:rsidP="00DC2DC2">
      <w:pPr>
        <w:pStyle w:val="Default"/>
        <w:rPr>
          <w:color w:val="auto"/>
        </w:rPr>
      </w:pPr>
    </w:p>
    <w:p w:rsidR="00DC2DC2" w:rsidRPr="002E69A0" w:rsidRDefault="00DC2DC2" w:rsidP="00DC2DC2">
      <w:pPr>
        <w:pStyle w:val="Default"/>
        <w:ind w:left="720"/>
        <w:rPr>
          <w:color w:val="auto"/>
        </w:rPr>
      </w:pPr>
      <w:r w:rsidRPr="002E69A0">
        <w:rPr>
          <w:color w:val="auto"/>
        </w:rPr>
        <w:t>2. (</w:t>
      </w:r>
      <w:proofErr w:type="gramStart"/>
      <w:r w:rsidRPr="002E69A0">
        <w:rPr>
          <w:color w:val="auto"/>
        </w:rPr>
        <w:t>a</w:t>
      </w:r>
      <w:proofErr w:type="gramEnd"/>
      <w:r w:rsidRPr="002E69A0">
        <w:rPr>
          <w:color w:val="auto"/>
        </w:rPr>
        <w:t xml:space="preserve">) Accused persons shall, save in exceptional circumstances, be segregated from convicted persons and shall be subject to separate treatment appropriate to their status as </w:t>
      </w:r>
      <w:proofErr w:type="spellStart"/>
      <w:r w:rsidRPr="002E69A0">
        <w:rPr>
          <w:color w:val="auto"/>
        </w:rPr>
        <w:t>unconvicted</w:t>
      </w:r>
      <w:proofErr w:type="spellEnd"/>
      <w:r w:rsidRPr="002E69A0">
        <w:rPr>
          <w:color w:val="auto"/>
        </w:rPr>
        <w:t xml:space="preserve"> persons; </w:t>
      </w:r>
    </w:p>
    <w:p w:rsidR="00DC2DC2" w:rsidRPr="002E69A0" w:rsidRDefault="00DC2DC2" w:rsidP="00DC2DC2">
      <w:pPr>
        <w:pStyle w:val="Default"/>
        <w:rPr>
          <w:color w:val="auto"/>
        </w:rPr>
      </w:pPr>
    </w:p>
    <w:p w:rsidR="00DC2DC2" w:rsidRPr="002E69A0" w:rsidRDefault="00DC2DC2" w:rsidP="00DC2DC2">
      <w:pPr>
        <w:pStyle w:val="Default"/>
        <w:ind w:left="720"/>
        <w:rPr>
          <w:color w:val="auto"/>
        </w:rPr>
      </w:pPr>
      <w:r w:rsidRPr="002E69A0">
        <w:rPr>
          <w:color w:val="auto"/>
        </w:rPr>
        <w:t xml:space="preserve">(b) Accused juvenile persons shall be separated from adults and brought as speedily as possible for adjudication. </w:t>
      </w:r>
    </w:p>
    <w:p w:rsidR="00DC2DC2" w:rsidRPr="002E69A0" w:rsidRDefault="00DC2DC2" w:rsidP="00DC2DC2">
      <w:pPr>
        <w:pStyle w:val="Default"/>
        <w:rPr>
          <w:color w:val="auto"/>
        </w:rPr>
      </w:pPr>
    </w:p>
    <w:p w:rsidR="00DC2DC2" w:rsidRPr="002E69A0" w:rsidRDefault="00DC2DC2" w:rsidP="00DC2DC2">
      <w:pPr>
        <w:pStyle w:val="Default"/>
        <w:ind w:left="720"/>
        <w:rPr>
          <w:color w:val="auto"/>
        </w:rPr>
      </w:pPr>
      <w:r w:rsidRPr="002E69A0">
        <w:rPr>
          <w:color w:val="auto"/>
        </w:rPr>
        <w:t>3. The penitentiary system shall comprise treatment of prisoners the essential aim of which shall be their reformation and social rehabilitation. Juvenile offenders shall be segregated from adults and be accorded treatment appropriate to their age and legal status.</w:t>
      </w:r>
    </w:p>
    <w:p w:rsidR="00DC2DC2" w:rsidRPr="002E69A0" w:rsidRDefault="00DC2DC2" w:rsidP="00D542C2">
      <w:pPr>
        <w:pStyle w:val="Default"/>
        <w:rPr>
          <w:color w:val="auto"/>
        </w:rPr>
      </w:pPr>
    </w:p>
    <w:p w:rsidR="00543C93" w:rsidRPr="002E69A0" w:rsidRDefault="00E5304C" w:rsidP="00D542C2">
      <w:pPr>
        <w:pStyle w:val="Default"/>
        <w:rPr>
          <w:color w:val="auto"/>
        </w:rPr>
      </w:pPr>
      <w:r>
        <w:rPr>
          <w:color w:val="auto"/>
        </w:rPr>
        <w:t>2.9</w:t>
      </w:r>
      <w:r w:rsidR="00543C93" w:rsidRPr="002E69A0">
        <w:rPr>
          <w:color w:val="auto"/>
        </w:rPr>
        <w:t xml:space="preserve"> By way of General Comment No. 21 th</w:t>
      </w:r>
      <w:r w:rsidR="006E32AB" w:rsidRPr="002E69A0">
        <w:rPr>
          <w:color w:val="auto"/>
        </w:rPr>
        <w:t>e UN Human Rights Committee has</w:t>
      </w:r>
      <w:r w:rsidR="00543C93" w:rsidRPr="002E69A0">
        <w:rPr>
          <w:color w:val="auto"/>
        </w:rPr>
        <w:t xml:space="preserve"> elaborated on the requirements of Article 1</w:t>
      </w:r>
      <w:r w:rsidR="002D37DA" w:rsidRPr="002E69A0">
        <w:rPr>
          <w:color w:val="auto"/>
        </w:rPr>
        <w:t>0</w:t>
      </w:r>
      <w:r w:rsidR="00543C93" w:rsidRPr="002E69A0">
        <w:rPr>
          <w:color w:val="auto"/>
        </w:rPr>
        <w:t xml:space="preserve">: </w:t>
      </w:r>
    </w:p>
    <w:p w:rsidR="00543C93" w:rsidRPr="002E69A0" w:rsidRDefault="00543C93" w:rsidP="00D542C2">
      <w:pPr>
        <w:pStyle w:val="Default"/>
        <w:rPr>
          <w:color w:val="auto"/>
        </w:rPr>
      </w:pPr>
      <w:r w:rsidRPr="002E69A0">
        <w:rPr>
          <w:color w:val="auto"/>
        </w:rPr>
        <w:tab/>
      </w:r>
    </w:p>
    <w:p w:rsidR="00543C93" w:rsidRPr="002E69A0" w:rsidRDefault="00543C93" w:rsidP="00543C93">
      <w:pPr>
        <w:pStyle w:val="Default"/>
        <w:ind w:left="720"/>
        <w:rPr>
          <w:color w:val="auto"/>
        </w:rPr>
      </w:pPr>
      <w:r w:rsidRPr="002E69A0">
        <w:rPr>
          <w:color w:val="auto"/>
        </w:rPr>
        <w:t>Article 10, paragraph 1, imposes on States parties a positive obligation towards persons who are particularly vulnerable because of their status as person</w:t>
      </w:r>
      <w:r w:rsidR="002D37DA" w:rsidRPr="002E69A0">
        <w:rPr>
          <w:color w:val="auto"/>
        </w:rPr>
        <w:t>s</w:t>
      </w:r>
      <w:r w:rsidRPr="002E69A0">
        <w:rPr>
          <w:color w:val="auto"/>
        </w:rPr>
        <w:t xml:space="preserve"> deprived of liberty, and complements for them the ban on torture or other cruel, inhuman or degrading treatment or punishment contained in Article 7… Thus, not only may persons deprived of their liberty not be subject to treatment that is contrary to article 7, including medical or scientific experimentation, but neither may they be subjected to any hardship or </w:t>
      </w:r>
      <w:r w:rsidR="002D37DA" w:rsidRPr="002E69A0">
        <w:rPr>
          <w:color w:val="auto"/>
        </w:rPr>
        <w:t>constraint</w:t>
      </w:r>
      <w:r w:rsidRPr="002E69A0">
        <w:rPr>
          <w:color w:val="auto"/>
        </w:rPr>
        <w:t xml:space="preserve"> other than that resulting from the deprivation of liberty; respect for the dignity of such persons must be guaranteed under the same conditions as for that of free persons. Persons deprived of their liberty shall enjoy all the rights set forth in the Covenant, subject to the restrictions that are unav</w:t>
      </w:r>
      <w:r w:rsidR="00623E52">
        <w:rPr>
          <w:color w:val="auto"/>
        </w:rPr>
        <w:t>oidable in a closed environment</w:t>
      </w:r>
      <w:r w:rsidRPr="002E69A0">
        <w:rPr>
          <w:color w:val="auto"/>
        </w:rPr>
        <w:t>.</w:t>
      </w:r>
      <w:r w:rsidRPr="002E69A0">
        <w:rPr>
          <w:rStyle w:val="FootnoteReference"/>
          <w:rFonts w:ascii="Verdana" w:hAnsi="Verdana"/>
          <w:color w:val="auto"/>
          <w:sz w:val="24"/>
        </w:rPr>
        <w:footnoteReference w:id="14"/>
      </w:r>
    </w:p>
    <w:p w:rsidR="00543C93" w:rsidRPr="002E69A0" w:rsidRDefault="00543C93" w:rsidP="00D542C2">
      <w:pPr>
        <w:pStyle w:val="Default"/>
        <w:rPr>
          <w:color w:val="auto"/>
        </w:rPr>
      </w:pPr>
    </w:p>
    <w:p w:rsidR="00D542C2" w:rsidRPr="002E69A0" w:rsidRDefault="00E5304C" w:rsidP="00D542C2">
      <w:pPr>
        <w:pStyle w:val="Default"/>
        <w:rPr>
          <w:color w:val="auto"/>
        </w:rPr>
      </w:pPr>
      <w:r>
        <w:rPr>
          <w:color w:val="auto"/>
        </w:rPr>
        <w:t>2.10</w:t>
      </w:r>
      <w:r w:rsidR="00FE7CFD" w:rsidRPr="002E69A0">
        <w:rPr>
          <w:color w:val="auto"/>
        </w:rPr>
        <w:t xml:space="preserve"> </w:t>
      </w:r>
      <w:r w:rsidR="005269B1" w:rsidRPr="002E69A0">
        <w:rPr>
          <w:color w:val="auto"/>
        </w:rPr>
        <w:t>The UN Treaty Bodies have made a number recommendations relating to prisons in the United Kingdom, most recently the UN Human Rights Committee recommended that the UK Government and devolved administrations:</w:t>
      </w:r>
    </w:p>
    <w:p w:rsidR="005269B1" w:rsidRPr="002E69A0" w:rsidRDefault="005269B1" w:rsidP="00E1762D">
      <w:pPr>
        <w:keepNext/>
        <w:keepLines/>
        <w:tabs>
          <w:tab w:val="right" w:pos="851"/>
        </w:tabs>
        <w:suppressAutoHyphens/>
        <w:spacing w:before="240" w:after="120" w:line="240" w:lineRule="exact"/>
        <w:ind w:left="851" w:right="1134"/>
        <w:rPr>
          <w:rFonts w:ascii="Verdana" w:eastAsia="Times New Roman" w:hAnsi="Verdana" w:cs="Times New Roman"/>
          <w:sz w:val="24"/>
          <w:szCs w:val="24"/>
        </w:rPr>
      </w:pPr>
      <w:proofErr w:type="gramStart"/>
      <w:r w:rsidRPr="002E69A0">
        <w:rPr>
          <w:rFonts w:ascii="Verdana" w:eastAsia="Times New Roman" w:hAnsi="Verdana" w:cs="Times New Roman"/>
          <w:sz w:val="24"/>
          <w:szCs w:val="24"/>
        </w:rPr>
        <w:t>take</w:t>
      </w:r>
      <w:proofErr w:type="gramEnd"/>
      <w:r w:rsidRPr="002E69A0">
        <w:rPr>
          <w:rFonts w:ascii="Verdana" w:eastAsia="Times New Roman" w:hAnsi="Verdana" w:cs="Times New Roman"/>
          <w:sz w:val="24"/>
          <w:szCs w:val="24"/>
        </w:rPr>
        <w:t xml:space="preserve"> robust measures to prevent self-inflicted deaths (suicides), including suicides and self-harm in custody, inter alia by</w:t>
      </w:r>
      <w:r w:rsidR="00AB274D" w:rsidRPr="002E69A0">
        <w:rPr>
          <w:rStyle w:val="FootnoteReference"/>
          <w:rFonts w:ascii="Verdana" w:eastAsia="Times New Roman" w:hAnsi="Verdana" w:cs="Times New Roman"/>
          <w:sz w:val="24"/>
          <w:szCs w:val="24"/>
        </w:rPr>
        <w:footnoteReference w:id="15"/>
      </w:r>
      <w:r w:rsidRPr="002E69A0">
        <w:rPr>
          <w:rFonts w:ascii="Verdana" w:eastAsia="Times New Roman" w:hAnsi="Verdana" w:cs="Times New Roman"/>
          <w:sz w:val="24"/>
          <w:szCs w:val="24"/>
        </w:rPr>
        <w:t>:</w:t>
      </w:r>
    </w:p>
    <w:p w:rsidR="005269B1" w:rsidRPr="002E69A0" w:rsidRDefault="005269B1" w:rsidP="005269B1">
      <w:pPr>
        <w:suppressAutoHyphens/>
        <w:spacing w:after="120" w:line="240" w:lineRule="atLeast"/>
        <w:ind w:left="1134" w:right="1134"/>
        <w:jc w:val="both"/>
        <w:rPr>
          <w:rFonts w:ascii="Verdana" w:eastAsia="Times New Roman" w:hAnsi="Verdana" w:cs="Times New Roman"/>
          <w:sz w:val="24"/>
          <w:szCs w:val="24"/>
        </w:rPr>
      </w:pPr>
      <w:r w:rsidRPr="002E69A0">
        <w:rPr>
          <w:rFonts w:ascii="Verdana" w:eastAsia="Times New Roman" w:hAnsi="Verdana" w:cs="Times New Roman"/>
          <w:sz w:val="24"/>
          <w:szCs w:val="24"/>
        </w:rPr>
        <w:tab/>
        <w:t>(a)</w:t>
      </w:r>
      <w:r w:rsidRPr="002E69A0">
        <w:rPr>
          <w:rFonts w:ascii="Verdana" w:eastAsia="Times New Roman" w:hAnsi="Verdana" w:cs="Times New Roman"/>
          <w:sz w:val="24"/>
          <w:szCs w:val="24"/>
        </w:rPr>
        <w:tab/>
      </w:r>
      <w:r w:rsidRPr="002E69A0">
        <w:rPr>
          <w:rFonts w:ascii="Verdana" w:eastAsia="Times New Roman" w:hAnsi="Verdana" w:cs="Times New Roman"/>
          <w:sz w:val="24"/>
          <w:szCs w:val="24"/>
          <w:lang w:bidi="he-IL"/>
        </w:rPr>
        <w:t>Studying and a</w:t>
      </w:r>
      <w:r w:rsidRPr="002E69A0">
        <w:rPr>
          <w:rFonts w:ascii="Verdana" w:eastAsia="Times New Roman" w:hAnsi="Verdana" w:cs="Times New Roman"/>
          <w:sz w:val="24"/>
          <w:szCs w:val="24"/>
        </w:rPr>
        <w:t>ddressing the root causes of the problem, continuing improving the identification of persons at risk of suicide and self-harm and operating effective early prevention strategies and programmes;</w:t>
      </w:r>
    </w:p>
    <w:p w:rsidR="005269B1" w:rsidRPr="002E69A0" w:rsidRDefault="005269B1" w:rsidP="005269B1">
      <w:pPr>
        <w:suppressAutoHyphens/>
        <w:spacing w:after="120" w:line="240" w:lineRule="atLeast"/>
        <w:ind w:left="1134" w:right="1134"/>
        <w:jc w:val="both"/>
        <w:rPr>
          <w:rFonts w:ascii="Verdana" w:eastAsia="Times New Roman" w:hAnsi="Verdana" w:cs="Times New Roman"/>
          <w:sz w:val="24"/>
          <w:szCs w:val="24"/>
        </w:rPr>
      </w:pPr>
      <w:r w:rsidRPr="002E69A0">
        <w:rPr>
          <w:rFonts w:ascii="Verdana" w:eastAsia="Times New Roman" w:hAnsi="Verdana" w:cs="Times New Roman"/>
          <w:sz w:val="24"/>
          <w:szCs w:val="24"/>
        </w:rPr>
        <w:tab/>
        <w:t>(b)</w:t>
      </w:r>
      <w:r w:rsidRPr="002E69A0">
        <w:rPr>
          <w:rFonts w:ascii="Verdana" w:eastAsia="Times New Roman" w:hAnsi="Verdana" w:cs="Times New Roman"/>
          <w:sz w:val="24"/>
          <w:szCs w:val="24"/>
        </w:rPr>
        <w:tab/>
        <w:t>Providing adequate training to prison officials on suicide and self-harm prevention;</w:t>
      </w:r>
    </w:p>
    <w:p w:rsidR="005269B1" w:rsidRPr="002E69A0" w:rsidRDefault="005269B1" w:rsidP="005269B1">
      <w:pPr>
        <w:suppressAutoHyphens/>
        <w:spacing w:after="120" w:line="240" w:lineRule="atLeast"/>
        <w:ind w:left="1134" w:right="1134"/>
        <w:jc w:val="both"/>
        <w:rPr>
          <w:rFonts w:ascii="Verdana" w:eastAsia="Times New Roman" w:hAnsi="Verdana" w:cs="Times New Roman"/>
          <w:sz w:val="24"/>
          <w:szCs w:val="24"/>
        </w:rPr>
      </w:pPr>
      <w:r w:rsidRPr="002E69A0">
        <w:rPr>
          <w:rFonts w:ascii="Verdana" w:eastAsia="Times New Roman" w:hAnsi="Verdana" w:cs="Times New Roman"/>
          <w:sz w:val="24"/>
          <w:szCs w:val="24"/>
        </w:rPr>
        <w:tab/>
        <w:t>(c)</w:t>
      </w:r>
      <w:r w:rsidRPr="002E69A0">
        <w:rPr>
          <w:rFonts w:ascii="Verdana" w:eastAsia="Times New Roman" w:hAnsi="Verdana" w:cs="Times New Roman"/>
          <w:sz w:val="24"/>
          <w:szCs w:val="24"/>
        </w:rPr>
        <w:tab/>
        <w:t>Ensuring adequate protection of, and appropriate mental health and other support services to, prisoners;</w:t>
      </w:r>
    </w:p>
    <w:p w:rsidR="005269B1" w:rsidRPr="002E69A0" w:rsidRDefault="005269B1" w:rsidP="005269B1">
      <w:pPr>
        <w:suppressAutoHyphens/>
        <w:spacing w:after="120" w:line="240" w:lineRule="atLeast"/>
        <w:ind w:left="1134" w:right="1134"/>
        <w:jc w:val="both"/>
        <w:rPr>
          <w:rFonts w:ascii="Verdana" w:eastAsia="Times New Roman" w:hAnsi="Verdana" w:cs="Times New Roman"/>
          <w:sz w:val="24"/>
          <w:szCs w:val="24"/>
        </w:rPr>
      </w:pPr>
      <w:r w:rsidRPr="002E69A0">
        <w:rPr>
          <w:rFonts w:ascii="Verdana" w:eastAsia="Times New Roman" w:hAnsi="Verdana" w:cs="Times New Roman"/>
          <w:sz w:val="24"/>
          <w:szCs w:val="24"/>
        </w:rPr>
        <w:tab/>
        <w:t>(d)</w:t>
      </w:r>
      <w:r w:rsidRPr="002E69A0">
        <w:rPr>
          <w:rFonts w:ascii="Verdana" w:eastAsia="Times New Roman" w:hAnsi="Verdana" w:cs="Times New Roman"/>
          <w:sz w:val="24"/>
          <w:szCs w:val="24"/>
        </w:rPr>
        <w:tab/>
        <w:t>Combating bullying in custody facilities effectively;</w:t>
      </w:r>
    </w:p>
    <w:p w:rsidR="005269B1" w:rsidRPr="002E69A0" w:rsidRDefault="005269B1" w:rsidP="005269B1">
      <w:pPr>
        <w:suppressAutoHyphens/>
        <w:spacing w:after="120" w:line="240" w:lineRule="atLeast"/>
        <w:ind w:left="1134" w:right="1134"/>
        <w:jc w:val="both"/>
        <w:rPr>
          <w:rFonts w:ascii="Verdana" w:eastAsia="Times New Roman" w:hAnsi="Verdana" w:cs="Times New Roman"/>
          <w:sz w:val="24"/>
          <w:szCs w:val="24"/>
        </w:rPr>
      </w:pPr>
      <w:r w:rsidRPr="002E69A0">
        <w:rPr>
          <w:rFonts w:ascii="Verdana" w:eastAsia="Times New Roman" w:hAnsi="Verdana" w:cs="Times New Roman"/>
          <w:sz w:val="24"/>
          <w:szCs w:val="24"/>
        </w:rPr>
        <w:tab/>
        <w:t>(e)</w:t>
      </w:r>
      <w:r w:rsidRPr="002E69A0">
        <w:rPr>
          <w:rFonts w:ascii="Verdana" w:eastAsia="Times New Roman" w:hAnsi="Verdana" w:cs="Times New Roman"/>
          <w:sz w:val="24"/>
          <w:szCs w:val="24"/>
        </w:rPr>
        <w:tab/>
        <w:t>Ensuring that cases of suicide and self-harm are independently and thoroughly i</w:t>
      </w:r>
      <w:r w:rsidR="00AB274D" w:rsidRPr="002E69A0">
        <w:rPr>
          <w:rFonts w:ascii="Verdana" w:eastAsia="Times New Roman" w:hAnsi="Verdana" w:cs="Times New Roman"/>
          <w:sz w:val="24"/>
          <w:szCs w:val="24"/>
        </w:rPr>
        <w:t>nvestigated and lessons learned …</w:t>
      </w:r>
    </w:p>
    <w:p w:rsidR="002E35EC" w:rsidRPr="002E69A0" w:rsidRDefault="002E35EC" w:rsidP="002E35EC">
      <w:pPr>
        <w:pStyle w:val="Default"/>
        <w:rPr>
          <w:color w:val="auto"/>
        </w:rPr>
      </w:pPr>
    </w:p>
    <w:p w:rsidR="00623394" w:rsidRPr="002E69A0" w:rsidRDefault="00E5304C" w:rsidP="00623394">
      <w:pPr>
        <w:pStyle w:val="Default"/>
        <w:ind w:left="1440" w:hanging="1440"/>
        <w:rPr>
          <w:color w:val="auto"/>
        </w:rPr>
      </w:pPr>
      <w:r>
        <w:rPr>
          <w:color w:val="auto"/>
        </w:rPr>
        <w:t>2.11</w:t>
      </w:r>
      <w:r w:rsidR="00E1762D" w:rsidRPr="002E69A0">
        <w:rPr>
          <w:color w:val="auto"/>
        </w:rPr>
        <w:t xml:space="preserve"> In 2013 the UN Committee against Torture welcomed the adoption </w:t>
      </w:r>
    </w:p>
    <w:p w:rsidR="0011611C" w:rsidRPr="002E69A0" w:rsidRDefault="00E1762D" w:rsidP="00623394">
      <w:pPr>
        <w:pStyle w:val="Default"/>
        <w:ind w:left="1440" w:hanging="1440"/>
        <w:rPr>
          <w:color w:val="auto"/>
        </w:rPr>
      </w:pPr>
      <w:proofErr w:type="gramStart"/>
      <w:r w:rsidRPr="002E69A0">
        <w:rPr>
          <w:color w:val="auto"/>
        </w:rPr>
        <w:t>of</w:t>
      </w:r>
      <w:proofErr w:type="gramEnd"/>
      <w:r w:rsidR="0011611C" w:rsidRPr="002E69A0">
        <w:rPr>
          <w:color w:val="auto"/>
        </w:rPr>
        <w:t xml:space="preserve"> </w:t>
      </w:r>
      <w:r w:rsidRPr="002E69A0">
        <w:rPr>
          <w:color w:val="auto"/>
        </w:rPr>
        <w:t>the Supporting Prisoners At Risk</w:t>
      </w:r>
      <w:r w:rsidR="0011611C" w:rsidRPr="002E69A0">
        <w:rPr>
          <w:color w:val="auto"/>
        </w:rPr>
        <w:t xml:space="preserve"> procedures but raised concerns</w:t>
      </w:r>
    </w:p>
    <w:p w:rsidR="00E1762D" w:rsidRPr="002E69A0" w:rsidRDefault="00E1762D" w:rsidP="0011611C">
      <w:pPr>
        <w:pStyle w:val="Default"/>
        <w:rPr>
          <w:color w:val="auto"/>
        </w:rPr>
      </w:pPr>
      <w:proofErr w:type="gramStart"/>
      <w:r w:rsidRPr="002E69A0">
        <w:rPr>
          <w:color w:val="auto"/>
        </w:rPr>
        <w:t>regarding</w:t>
      </w:r>
      <w:proofErr w:type="gramEnd"/>
      <w:r w:rsidRPr="002E69A0">
        <w:rPr>
          <w:color w:val="auto"/>
        </w:rPr>
        <w:t xml:space="preserve"> the ‘steady increase in the prison population’ and recommended</w:t>
      </w:r>
    </w:p>
    <w:p w:rsidR="00E1762D" w:rsidRPr="002E69A0" w:rsidRDefault="00E1762D" w:rsidP="0011611C">
      <w:pPr>
        <w:pStyle w:val="Default"/>
        <w:rPr>
          <w:color w:val="auto"/>
        </w:rPr>
      </w:pPr>
      <w:proofErr w:type="gramStart"/>
      <w:r w:rsidRPr="002E69A0">
        <w:rPr>
          <w:color w:val="auto"/>
        </w:rPr>
        <w:t>reforms</w:t>
      </w:r>
      <w:proofErr w:type="gramEnd"/>
      <w:r w:rsidRPr="002E69A0">
        <w:rPr>
          <w:color w:val="auto"/>
        </w:rPr>
        <w:t xml:space="preserve"> to reduce the re</w:t>
      </w:r>
      <w:r w:rsidR="002D37DA" w:rsidRPr="002E69A0">
        <w:rPr>
          <w:color w:val="auto"/>
        </w:rPr>
        <w:t>offending rate and address self-</w:t>
      </w:r>
      <w:r w:rsidRPr="002E69A0">
        <w:rPr>
          <w:color w:val="auto"/>
        </w:rPr>
        <w:t>harm.</w:t>
      </w:r>
      <w:r w:rsidRPr="002E69A0">
        <w:rPr>
          <w:rStyle w:val="FootnoteReference"/>
          <w:rFonts w:ascii="Verdana" w:hAnsi="Verdana"/>
          <w:color w:val="auto"/>
          <w:sz w:val="24"/>
        </w:rPr>
        <w:footnoteReference w:id="16"/>
      </w:r>
      <w:r w:rsidRPr="002E69A0">
        <w:rPr>
          <w:color w:val="auto"/>
        </w:rPr>
        <w:t xml:space="preserve"> The UN </w:t>
      </w:r>
    </w:p>
    <w:p w:rsidR="00E1762D" w:rsidRPr="002E69A0" w:rsidRDefault="00E1762D" w:rsidP="00E1762D">
      <w:pPr>
        <w:pStyle w:val="Default"/>
        <w:ind w:left="1440" w:hanging="1440"/>
        <w:rPr>
          <w:color w:val="auto"/>
        </w:rPr>
      </w:pPr>
      <w:r w:rsidRPr="002E69A0">
        <w:rPr>
          <w:color w:val="auto"/>
        </w:rPr>
        <w:t>Committee against Torture also recommended the construction of a</w:t>
      </w:r>
    </w:p>
    <w:p w:rsidR="00D542C2" w:rsidRDefault="00E1762D" w:rsidP="00E1762D">
      <w:pPr>
        <w:pStyle w:val="Default"/>
        <w:ind w:left="1440" w:hanging="1440"/>
        <w:rPr>
          <w:color w:val="auto"/>
        </w:rPr>
      </w:pPr>
      <w:proofErr w:type="gramStart"/>
      <w:r w:rsidRPr="002E69A0">
        <w:rPr>
          <w:color w:val="auto"/>
        </w:rPr>
        <w:t>separate</w:t>
      </w:r>
      <w:proofErr w:type="gramEnd"/>
      <w:r w:rsidRPr="002E69A0">
        <w:rPr>
          <w:color w:val="auto"/>
        </w:rPr>
        <w:t xml:space="preserve"> custodial facility for women prisoners.</w:t>
      </w:r>
      <w:r w:rsidRPr="002E69A0">
        <w:rPr>
          <w:rStyle w:val="FootnoteReference"/>
          <w:rFonts w:ascii="Verdana" w:hAnsi="Verdana"/>
          <w:color w:val="auto"/>
          <w:sz w:val="24"/>
        </w:rPr>
        <w:footnoteReference w:id="17"/>
      </w:r>
      <w:r w:rsidRPr="002E69A0">
        <w:rPr>
          <w:color w:val="auto"/>
        </w:rPr>
        <w:t xml:space="preserve"> </w:t>
      </w:r>
    </w:p>
    <w:p w:rsidR="003F6B67" w:rsidRPr="002E69A0" w:rsidRDefault="003F6B67" w:rsidP="00E5304C">
      <w:pPr>
        <w:pStyle w:val="Default"/>
        <w:rPr>
          <w:color w:val="auto"/>
        </w:rPr>
      </w:pPr>
    </w:p>
    <w:p w:rsidR="00E1762D" w:rsidRPr="002E69A0" w:rsidRDefault="00E1762D" w:rsidP="00100620">
      <w:pPr>
        <w:pStyle w:val="Default"/>
        <w:ind w:left="1440" w:hanging="1440"/>
        <w:rPr>
          <w:color w:val="auto"/>
        </w:rPr>
      </w:pPr>
    </w:p>
    <w:p w:rsidR="0011611C" w:rsidRPr="002E69A0" w:rsidRDefault="00E5304C" w:rsidP="0011611C">
      <w:pPr>
        <w:pStyle w:val="NoSpacing"/>
        <w:ind w:left="720"/>
        <w:rPr>
          <w:rFonts w:ascii="Verdana" w:hAnsi="Verdana"/>
          <w:b/>
          <w:sz w:val="24"/>
          <w:szCs w:val="24"/>
        </w:rPr>
      </w:pPr>
      <w:r>
        <w:rPr>
          <w:rFonts w:ascii="Verdana" w:hAnsi="Verdana"/>
          <w:b/>
          <w:sz w:val="24"/>
          <w:szCs w:val="24"/>
        </w:rPr>
        <w:t>2.12</w:t>
      </w:r>
      <w:r w:rsidR="00617ABE" w:rsidRPr="002E69A0">
        <w:rPr>
          <w:rFonts w:ascii="Verdana" w:hAnsi="Verdana"/>
          <w:b/>
          <w:sz w:val="24"/>
          <w:szCs w:val="24"/>
        </w:rPr>
        <w:t xml:space="preserve"> </w:t>
      </w:r>
      <w:r w:rsidR="00FE7CFD" w:rsidRPr="002E69A0">
        <w:rPr>
          <w:rFonts w:ascii="Verdana" w:hAnsi="Verdana"/>
          <w:b/>
          <w:sz w:val="24"/>
          <w:szCs w:val="24"/>
        </w:rPr>
        <w:t>The Commission advises the D</w:t>
      </w:r>
      <w:r w:rsidR="0011611C" w:rsidRPr="002E69A0">
        <w:rPr>
          <w:rFonts w:ascii="Verdana" w:hAnsi="Verdana"/>
          <w:b/>
          <w:sz w:val="24"/>
          <w:szCs w:val="24"/>
        </w:rPr>
        <w:t>epartment</w:t>
      </w:r>
      <w:r w:rsidR="00623394" w:rsidRPr="002E69A0">
        <w:rPr>
          <w:rFonts w:ascii="Verdana" w:hAnsi="Verdana"/>
          <w:b/>
          <w:sz w:val="24"/>
          <w:szCs w:val="24"/>
        </w:rPr>
        <w:t xml:space="preserve"> of Health and Department of Justice</w:t>
      </w:r>
      <w:r w:rsidR="0011611C" w:rsidRPr="002E69A0">
        <w:rPr>
          <w:rFonts w:ascii="Verdana" w:hAnsi="Verdana"/>
          <w:b/>
          <w:sz w:val="24"/>
          <w:szCs w:val="24"/>
        </w:rPr>
        <w:t xml:space="preserve"> to include references </w:t>
      </w:r>
      <w:r w:rsidR="00FE7CFD" w:rsidRPr="002E69A0">
        <w:rPr>
          <w:rFonts w:ascii="Verdana" w:hAnsi="Verdana"/>
          <w:b/>
          <w:sz w:val="24"/>
          <w:szCs w:val="24"/>
        </w:rPr>
        <w:t xml:space="preserve">to the NI Executive’s human rights obligations within the strategy and to </w:t>
      </w:r>
      <w:r w:rsidR="002D37DA" w:rsidRPr="002E69A0">
        <w:rPr>
          <w:rFonts w:ascii="Verdana" w:hAnsi="Verdana"/>
          <w:b/>
          <w:sz w:val="24"/>
          <w:szCs w:val="24"/>
        </w:rPr>
        <w:t xml:space="preserve">specifically </w:t>
      </w:r>
      <w:r w:rsidR="00FE7CFD" w:rsidRPr="002E69A0">
        <w:rPr>
          <w:rFonts w:ascii="Verdana" w:hAnsi="Verdana"/>
          <w:b/>
          <w:sz w:val="24"/>
          <w:szCs w:val="24"/>
        </w:rPr>
        <w:t xml:space="preserve">address the </w:t>
      </w:r>
      <w:r w:rsidR="002E35EC" w:rsidRPr="002E69A0">
        <w:rPr>
          <w:rFonts w:ascii="Verdana" w:hAnsi="Verdana"/>
          <w:b/>
          <w:sz w:val="24"/>
          <w:szCs w:val="24"/>
        </w:rPr>
        <w:t xml:space="preserve">relevant aspects of the </w:t>
      </w:r>
      <w:r w:rsidR="00FE7CFD" w:rsidRPr="002E69A0">
        <w:rPr>
          <w:rFonts w:ascii="Verdana" w:hAnsi="Verdana"/>
          <w:b/>
          <w:sz w:val="24"/>
          <w:szCs w:val="24"/>
        </w:rPr>
        <w:t>recommendations of the UN Human Rights Committee</w:t>
      </w:r>
      <w:r w:rsidR="00623394" w:rsidRPr="002E69A0">
        <w:rPr>
          <w:rFonts w:ascii="Verdana" w:hAnsi="Verdana"/>
          <w:b/>
          <w:sz w:val="24"/>
          <w:szCs w:val="24"/>
        </w:rPr>
        <w:t xml:space="preserve"> (2015)</w:t>
      </w:r>
      <w:r w:rsidR="00FE7CFD" w:rsidRPr="002E69A0">
        <w:rPr>
          <w:rFonts w:ascii="Verdana" w:hAnsi="Verdana"/>
          <w:b/>
          <w:sz w:val="24"/>
          <w:szCs w:val="24"/>
        </w:rPr>
        <w:t xml:space="preserve"> and UN Committee against Torture</w:t>
      </w:r>
      <w:r w:rsidR="00623394" w:rsidRPr="002E69A0">
        <w:rPr>
          <w:rFonts w:ascii="Verdana" w:hAnsi="Verdana"/>
          <w:b/>
          <w:sz w:val="24"/>
          <w:szCs w:val="24"/>
        </w:rPr>
        <w:t xml:space="preserve"> (2013)</w:t>
      </w:r>
      <w:r w:rsidR="00FE7CFD" w:rsidRPr="002E69A0">
        <w:rPr>
          <w:rFonts w:ascii="Verdana" w:hAnsi="Verdana"/>
          <w:b/>
          <w:sz w:val="24"/>
          <w:szCs w:val="24"/>
        </w:rPr>
        <w:t xml:space="preserve"> through the strategy. </w:t>
      </w:r>
    </w:p>
    <w:p w:rsidR="0011611C" w:rsidRPr="002E69A0" w:rsidRDefault="0011611C" w:rsidP="0011611C">
      <w:pPr>
        <w:pStyle w:val="NoSpacing"/>
        <w:rPr>
          <w:rFonts w:ascii="Verdana" w:hAnsi="Verdana"/>
          <w:sz w:val="24"/>
          <w:szCs w:val="24"/>
        </w:rPr>
      </w:pPr>
    </w:p>
    <w:p w:rsidR="00B447B5" w:rsidRPr="002E69A0" w:rsidRDefault="00B447B5" w:rsidP="0011611C">
      <w:pPr>
        <w:pStyle w:val="NoSpacing"/>
        <w:rPr>
          <w:rFonts w:ascii="Verdana" w:hAnsi="Verdana" w:cs="Times New Roman"/>
          <w:b/>
          <w:bCs/>
          <w:sz w:val="24"/>
          <w:szCs w:val="24"/>
        </w:rPr>
      </w:pPr>
      <w:r w:rsidRPr="002E69A0">
        <w:rPr>
          <w:rFonts w:ascii="Verdana" w:hAnsi="Verdana" w:cs="Times New Roman"/>
          <w:b/>
          <w:bCs/>
          <w:sz w:val="24"/>
          <w:szCs w:val="24"/>
        </w:rPr>
        <w:t xml:space="preserve">Strategy </w:t>
      </w:r>
    </w:p>
    <w:p w:rsidR="0011611C" w:rsidRPr="002E69A0" w:rsidRDefault="0011611C" w:rsidP="0011611C">
      <w:pPr>
        <w:pStyle w:val="NoSpacing"/>
        <w:rPr>
          <w:rFonts w:ascii="Verdana" w:hAnsi="Verdana" w:cs="Times New Roman"/>
          <w:b/>
          <w:bCs/>
          <w:sz w:val="24"/>
          <w:szCs w:val="24"/>
        </w:rPr>
      </w:pPr>
    </w:p>
    <w:p w:rsidR="00CC3DAA" w:rsidRPr="002E69A0" w:rsidRDefault="002E35EC" w:rsidP="00DE17CD">
      <w:pPr>
        <w:pStyle w:val="NoSpacing"/>
        <w:rPr>
          <w:rFonts w:ascii="Verdana" w:hAnsi="Verdana"/>
          <w:sz w:val="24"/>
          <w:szCs w:val="24"/>
        </w:rPr>
      </w:pPr>
      <w:r w:rsidRPr="002E69A0">
        <w:rPr>
          <w:rFonts w:ascii="Verdana" w:hAnsi="Verdana"/>
          <w:sz w:val="24"/>
          <w:szCs w:val="24"/>
        </w:rPr>
        <w:t xml:space="preserve">3.1 </w:t>
      </w:r>
      <w:r w:rsidR="00CC3DAA" w:rsidRPr="002E69A0">
        <w:rPr>
          <w:rFonts w:ascii="Verdana" w:hAnsi="Verdana"/>
          <w:sz w:val="24"/>
          <w:szCs w:val="24"/>
        </w:rPr>
        <w:t>The Commission notes that th</w:t>
      </w:r>
      <w:r w:rsidRPr="002E69A0">
        <w:rPr>
          <w:rFonts w:ascii="Verdana" w:hAnsi="Verdana"/>
          <w:sz w:val="24"/>
          <w:szCs w:val="24"/>
        </w:rPr>
        <w:t>e strategy is formulated around</w:t>
      </w:r>
      <w:r w:rsidR="002956C9" w:rsidRPr="002E69A0">
        <w:rPr>
          <w:rFonts w:ascii="Verdana" w:hAnsi="Verdana"/>
          <w:sz w:val="24"/>
          <w:szCs w:val="24"/>
        </w:rPr>
        <w:t xml:space="preserve"> </w:t>
      </w:r>
      <w:r w:rsidR="00CC3DAA" w:rsidRPr="002E69A0">
        <w:rPr>
          <w:rFonts w:ascii="Verdana" w:hAnsi="Verdana"/>
          <w:sz w:val="24"/>
          <w:szCs w:val="24"/>
        </w:rPr>
        <w:t xml:space="preserve">seven key strategic priorities. </w:t>
      </w:r>
      <w:r w:rsidRPr="002E69A0">
        <w:rPr>
          <w:rFonts w:ascii="Verdana" w:hAnsi="Verdana"/>
          <w:sz w:val="24"/>
          <w:szCs w:val="24"/>
        </w:rPr>
        <w:t>Whilst an action plan has been</w:t>
      </w:r>
      <w:r w:rsidR="002956C9" w:rsidRPr="002E69A0">
        <w:rPr>
          <w:rFonts w:ascii="Verdana" w:hAnsi="Verdana"/>
          <w:sz w:val="24"/>
          <w:szCs w:val="24"/>
        </w:rPr>
        <w:t xml:space="preserve"> </w:t>
      </w:r>
      <w:r w:rsidR="00F503E0" w:rsidRPr="002E69A0">
        <w:rPr>
          <w:rFonts w:ascii="Verdana" w:hAnsi="Verdana"/>
          <w:sz w:val="24"/>
          <w:szCs w:val="24"/>
        </w:rPr>
        <w:t>provided the strategy does not c</w:t>
      </w:r>
      <w:r w:rsidRPr="002E69A0">
        <w:rPr>
          <w:rFonts w:ascii="Verdana" w:hAnsi="Verdana"/>
          <w:sz w:val="24"/>
          <w:szCs w:val="24"/>
        </w:rPr>
        <w:t xml:space="preserve">ontain more specific </w:t>
      </w:r>
      <w:r w:rsidR="00CD3625">
        <w:rPr>
          <w:rFonts w:ascii="Verdana" w:hAnsi="Verdana"/>
          <w:sz w:val="24"/>
          <w:szCs w:val="24"/>
        </w:rPr>
        <w:t>outcomes to</w:t>
      </w:r>
      <w:r w:rsidRPr="002E69A0">
        <w:rPr>
          <w:rFonts w:ascii="Verdana" w:hAnsi="Verdana"/>
          <w:sz w:val="24"/>
          <w:szCs w:val="24"/>
        </w:rPr>
        <w:t xml:space="preserve"> address the priority issue</w:t>
      </w:r>
      <w:r w:rsidR="00CD3625">
        <w:rPr>
          <w:rFonts w:ascii="Verdana" w:hAnsi="Verdana"/>
          <w:sz w:val="24"/>
          <w:szCs w:val="24"/>
        </w:rPr>
        <w:t>s</w:t>
      </w:r>
      <w:r w:rsidR="002D37DA" w:rsidRPr="002E69A0">
        <w:rPr>
          <w:rFonts w:ascii="Verdana" w:hAnsi="Verdana"/>
          <w:sz w:val="24"/>
          <w:szCs w:val="24"/>
        </w:rPr>
        <w:t>.</w:t>
      </w:r>
      <w:r w:rsidR="00F503E0" w:rsidRPr="002E69A0">
        <w:rPr>
          <w:rStyle w:val="FootnoteReference"/>
          <w:rFonts w:ascii="Verdana" w:hAnsi="Verdana" w:cs="Times New Roman"/>
          <w:bCs/>
          <w:sz w:val="24"/>
          <w:szCs w:val="24"/>
        </w:rPr>
        <w:footnoteReference w:id="18"/>
      </w:r>
      <w:r w:rsidR="00F503E0" w:rsidRPr="002E69A0">
        <w:rPr>
          <w:rFonts w:ascii="Verdana" w:hAnsi="Verdana"/>
          <w:sz w:val="24"/>
          <w:szCs w:val="24"/>
        </w:rPr>
        <w:t xml:space="preserve"> The inclusion o</w:t>
      </w:r>
      <w:r w:rsidRPr="002E69A0">
        <w:rPr>
          <w:rFonts w:ascii="Verdana" w:hAnsi="Verdana"/>
          <w:sz w:val="24"/>
          <w:szCs w:val="24"/>
        </w:rPr>
        <w:t xml:space="preserve">f specific </w:t>
      </w:r>
      <w:r w:rsidR="00CD3625">
        <w:rPr>
          <w:rFonts w:ascii="Verdana" w:hAnsi="Verdana"/>
          <w:sz w:val="24"/>
          <w:szCs w:val="24"/>
        </w:rPr>
        <w:t>outcomes</w:t>
      </w:r>
      <w:r w:rsidRPr="002E69A0">
        <w:rPr>
          <w:rFonts w:ascii="Verdana" w:hAnsi="Verdana"/>
          <w:sz w:val="24"/>
          <w:szCs w:val="24"/>
        </w:rPr>
        <w:t xml:space="preserve"> which are</w:t>
      </w:r>
      <w:r w:rsidR="002956C9" w:rsidRPr="002E69A0">
        <w:rPr>
          <w:rFonts w:ascii="Verdana" w:hAnsi="Verdana"/>
          <w:sz w:val="24"/>
          <w:szCs w:val="24"/>
        </w:rPr>
        <w:t xml:space="preserve"> </w:t>
      </w:r>
      <w:r w:rsidR="002D37DA" w:rsidRPr="002E69A0">
        <w:rPr>
          <w:rFonts w:ascii="Verdana" w:hAnsi="Verdana"/>
          <w:sz w:val="24"/>
          <w:szCs w:val="24"/>
        </w:rPr>
        <w:t xml:space="preserve">measurable, </w:t>
      </w:r>
      <w:r w:rsidR="00F503E0" w:rsidRPr="002E69A0">
        <w:rPr>
          <w:rFonts w:ascii="Verdana" w:hAnsi="Verdana"/>
          <w:sz w:val="24"/>
          <w:szCs w:val="24"/>
        </w:rPr>
        <w:t>verifiable thro</w:t>
      </w:r>
      <w:r w:rsidRPr="002E69A0">
        <w:rPr>
          <w:rFonts w:ascii="Verdana" w:hAnsi="Verdana"/>
          <w:sz w:val="24"/>
          <w:szCs w:val="24"/>
        </w:rPr>
        <w:t>ugh performance indicators</w:t>
      </w:r>
      <w:r w:rsidR="00DE17CD" w:rsidRPr="002E69A0">
        <w:rPr>
          <w:rFonts w:ascii="Verdana" w:hAnsi="Verdana"/>
          <w:sz w:val="24"/>
          <w:szCs w:val="24"/>
        </w:rPr>
        <w:t xml:space="preserve"> and time-bound</w:t>
      </w:r>
      <w:r w:rsidRPr="002E69A0">
        <w:rPr>
          <w:rFonts w:ascii="Verdana" w:hAnsi="Verdana"/>
          <w:sz w:val="24"/>
          <w:szCs w:val="24"/>
        </w:rPr>
        <w:t xml:space="preserve"> will</w:t>
      </w:r>
      <w:r w:rsidR="002956C9" w:rsidRPr="002E69A0">
        <w:rPr>
          <w:rFonts w:ascii="Verdana" w:hAnsi="Verdana"/>
          <w:sz w:val="24"/>
          <w:szCs w:val="24"/>
        </w:rPr>
        <w:t xml:space="preserve"> </w:t>
      </w:r>
      <w:r w:rsidR="00F503E0" w:rsidRPr="002E69A0">
        <w:rPr>
          <w:rFonts w:ascii="Verdana" w:hAnsi="Verdana"/>
          <w:sz w:val="24"/>
          <w:szCs w:val="24"/>
        </w:rPr>
        <w:t xml:space="preserve">facilitate effective monitoring and evaluation. </w:t>
      </w:r>
      <w:r w:rsidR="00DE17CD" w:rsidRPr="002E69A0">
        <w:rPr>
          <w:rFonts w:ascii="Verdana" w:hAnsi="Verdana"/>
          <w:sz w:val="24"/>
          <w:szCs w:val="24"/>
        </w:rPr>
        <w:t xml:space="preserve">The Commission </w:t>
      </w:r>
      <w:r w:rsidR="00CD3625">
        <w:rPr>
          <w:rFonts w:ascii="Verdana" w:hAnsi="Verdana"/>
          <w:sz w:val="24"/>
          <w:szCs w:val="24"/>
        </w:rPr>
        <w:t>welcomes</w:t>
      </w:r>
      <w:r w:rsidR="00DE17CD" w:rsidRPr="002E69A0">
        <w:rPr>
          <w:rFonts w:ascii="Verdana" w:hAnsi="Verdana"/>
          <w:sz w:val="24"/>
          <w:szCs w:val="24"/>
        </w:rPr>
        <w:t xml:space="preserve"> the proposed Implementation Group and provision for service user feedback and independent oversight. </w:t>
      </w:r>
    </w:p>
    <w:p w:rsidR="00B8654C" w:rsidRPr="002E69A0" w:rsidRDefault="00B8654C" w:rsidP="00DE17CD">
      <w:pPr>
        <w:pStyle w:val="NoSpacing"/>
        <w:rPr>
          <w:rFonts w:ascii="Verdana" w:hAnsi="Verdana"/>
          <w:sz w:val="24"/>
          <w:szCs w:val="24"/>
        </w:rPr>
      </w:pPr>
    </w:p>
    <w:p w:rsidR="00B8654C" w:rsidRPr="00266692" w:rsidRDefault="00F92D7E" w:rsidP="00DE17CD">
      <w:pPr>
        <w:pStyle w:val="NoSpacing"/>
        <w:rPr>
          <w:rFonts w:ascii="Verdana" w:hAnsi="Verdana"/>
          <w:sz w:val="24"/>
          <w:szCs w:val="24"/>
        </w:rPr>
      </w:pPr>
      <w:r w:rsidRPr="002E69A0">
        <w:rPr>
          <w:rFonts w:ascii="Verdana" w:hAnsi="Verdana"/>
          <w:sz w:val="24"/>
          <w:szCs w:val="24"/>
        </w:rPr>
        <w:t xml:space="preserve">3.2 With respect to the data upon which the strategy is developed it is </w:t>
      </w:r>
      <w:r w:rsidR="00CD3625">
        <w:rPr>
          <w:rFonts w:ascii="Verdana" w:hAnsi="Verdana"/>
          <w:sz w:val="24"/>
          <w:szCs w:val="24"/>
        </w:rPr>
        <w:t>welcomed</w:t>
      </w:r>
      <w:r w:rsidRPr="002E69A0">
        <w:rPr>
          <w:rFonts w:ascii="Verdana" w:hAnsi="Verdana"/>
          <w:sz w:val="24"/>
          <w:szCs w:val="24"/>
        </w:rPr>
        <w:t xml:space="preserve"> that a preliminary Equality Screening and a review will be carried out follow</w:t>
      </w:r>
      <w:r w:rsidR="00CD3625">
        <w:rPr>
          <w:rFonts w:ascii="Verdana" w:hAnsi="Verdana"/>
          <w:sz w:val="24"/>
          <w:szCs w:val="24"/>
        </w:rPr>
        <w:t xml:space="preserve">ing the consultation exercise. </w:t>
      </w:r>
      <w:r w:rsidR="00CD3625" w:rsidRPr="00266692">
        <w:rPr>
          <w:rFonts w:ascii="Verdana" w:hAnsi="Verdana"/>
          <w:sz w:val="24"/>
          <w:szCs w:val="24"/>
        </w:rPr>
        <w:t>Nonetheless a</w:t>
      </w:r>
      <w:r w:rsidRPr="00266692">
        <w:rPr>
          <w:rFonts w:ascii="Verdana" w:hAnsi="Verdana"/>
          <w:sz w:val="24"/>
          <w:szCs w:val="24"/>
        </w:rPr>
        <w:t xml:space="preserve"> number of gaps in the data collection arrangement are acknowledged within the draft </w:t>
      </w:r>
      <w:proofErr w:type="gramStart"/>
      <w:r w:rsidRPr="00266692">
        <w:rPr>
          <w:rFonts w:ascii="Verdana" w:hAnsi="Verdana"/>
          <w:sz w:val="24"/>
          <w:szCs w:val="24"/>
        </w:rPr>
        <w:t>strategy,</w:t>
      </w:r>
      <w:proofErr w:type="gramEnd"/>
      <w:r w:rsidRPr="00266692">
        <w:rPr>
          <w:rFonts w:ascii="Verdana" w:hAnsi="Verdana"/>
          <w:sz w:val="24"/>
          <w:szCs w:val="24"/>
        </w:rPr>
        <w:t xml:space="preserve"> in particular a lack of reliable data around the number of homeless people coming into contact with the criminal justice system is a source of concern</w:t>
      </w:r>
      <w:r w:rsidR="00266692" w:rsidRPr="00266692">
        <w:rPr>
          <w:rFonts w:ascii="Verdana" w:hAnsi="Verdana"/>
          <w:sz w:val="24"/>
          <w:szCs w:val="24"/>
        </w:rPr>
        <w:t xml:space="preserve"> given their diverse needs</w:t>
      </w:r>
      <w:r w:rsidRPr="00266692">
        <w:rPr>
          <w:rFonts w:ascii="Verdana" w:hAnsi="Verdana"/>
          <w:sz w:val="24"/>
          <w:szCs w:val="24"/>
        </w:rPr>
        <w:t>.</w:t>
      </w:r>
      <w:r w:rsidR="00266692" w:rsidRPr="00266692">
        <w:rPr>
          <w:rFonts w:ascii="Verdana" w:hAnsi="Verdana"/>
          <w:sz w:val="24"/>
          <w:szCs w:val="24"/>
        </w:rPr>
        <w:t xml:space="preserve"> The lack of clear data on the numbers of people from the LGBT community in contact with the criminal justice system is also a source of concern given the vulnerable position of members of the LGBT community when held in custody. </w:t>
      </w:r>
    </w:p>
    <w:p w:rsidR="002E35EC" w:rsidRPr="002E69A0" w:rsidRDefault="002E35EC" w:rsidP="00D60183">
      <w:pPr>
        <w:pStyle w:val="NoSpacing"/>
        <w:rPr>
          <w:rFonts w:ascii="Verdana" w:hAnsi="Verdana"/>
          <w:sz w:val="24"/>
          <w:szCs w:val="24"/>
        </w:rPr>
      </w:pPr>
    </w:p>
    <w:p w:rsidR="00B447B5" w:rsidRPr="002E69A0" w:rsidRDefault="00B8654C" w:rsidP="0011611C">
      <w:pPr>
        <w:pStyle w:val="NoSpacing"/>
        <w:ind w:left="720"/>
        <w:rPr>
          <w:rFonts w:ascii="Verdana" w:hAnsi="Verdana"/>
          <w:b/>
          <w:sz w:val="24"/>
          <w:szCs w:val="24"/>
        </w:rPr>
      </w:pPr>
      <w:r w:rsidRPr="002E69A0">
        <w:rPr>
          <w:rFonts w:ascii="Verdana" w:hAnsi="Verdana"/>
          <w:b/>
          <w:sz w:val="24"/>
          <w:szCs w:val="24"/>
        </w:rPr>
        <w:t>3.3</w:t>
      </w:r>
      <w:r w:rsidR="002E35EC" w:rsidRPr="002E69A0">
        <w:rPr>
          <w:rFonts w:ascii="Verdana" w:hAnsi="Verdana"/>
          <w:b/>
          <w:sz w:val="24"/>
          <w:szCs w:val="24"/>
        </w:rPr>
        <w:t xml:space="preserve"> </w:t>
      </w:r>
      <w:r w:rsidR="004565DA" w:rsidRPr="002E69A0">
        <w:rPr>
          <w:rFonts w:ascii="Verdana" w:hAnsi="Verdana"/>
          <w:b/>
          <w:sz w:val="24"/>
          <w:szCs w:val="24"/>
        </w:rPr>
        <w:t xml:space="preserve">The Commission </w:t>
      </w:r>
      <w:r w:rsidR="002956C9" w:rsidRPr="002E69A0">
        <w:rPr>
          <w:rFonts w:ascii="Verdana" w:hAnsi="Verdana"/>
          <w:b/>
          <w:sz w:val="24"/>
          <w:szCs w:val="24"/>
        </w:rPr>
        <w:t>advises</w:t>
      </w:r>
      <w:r w:rsidR="004565DA" w:rsidRPr="002E69A0">
        <w:rPr>
          <w:rFonts w:ascii="Verdana" w:hAnsi="Verdana"/>
          <w:b/>
          <w:sz w:val="24"/>
          <w:szCs w:val="24"/>
        </w:rPr>
        <w:t xml:space="preserve"> that the strategy would be strengthened by the inclusion of</w:t>
      </w:r>
      <w:r w:rsidR="00561AD0" w:rsidRPr="002E69A0">
        <w:rPr>
          <w:rFonts w:ascii="Verdana" w:hAnsi="Verdana"/>
          <w:b/>
          <w:sz w:val="24"/>
          <w:szCs w:val="24"/>
        </w:rPr>
        <w:t xml:space="preserve"> concrete, deliberate and targeted </w:t>
      </w:r>
      <w:r w:rsidR="00CD3625">
        <w:rPr>
          <w:rFonts w:ascii="Verdana" w:hAnsi="Verdana"/>
          <w:b/>
          <w:sz w:val="24"/>
          <w:szCs w:val="24"/>
        </w:rPr>
        <w:t xml:space="preserve">outcome </w:t>
      </w:r>
      <w:r w:rsidR="00561AD0" w:rsidRPr="002E69A0">
        <w:rPr>
          <w:rFonts w:ascii="Verdana" w:hAnsi="Verdana"/>
          <w:b/>
          <w:sz w:val="24"/>
          <w:szCs w:val="24"/>
        </w:rPr>
        <w:t>measures</w:t>
      </w:r>
      <w:r w:rsidR="004565DA" w:rsidRPr="002E69A0">
        <w:rPr>
          <w:rFonts w:ascii="Verdana" w:hAnsi="Verdana"/>
          <w:b/>
          <w:sz w:val="24"/>
          <w:szCs w:val="24"/>
        </w:rPr>
        <w:t xml:space="preserve"> attached to each strategic priority. </w:t>
      </w:r>
      <w:r w:rsidR="00D60183" w:rsidRPr="002E69A0">
        <w:rPr>
          <w:rFonts w:ascii="Verdana" w:hAnsi="Verdana"/>
          <w:b/>
          <w:sz w:val="24"/>
          <w:szCs w:val="24"/>
        </w:rPr>
        <w:t>This should be a</w:t>
      </w:r>
      <w:r w:rsidR="002956C9" w:rsidRPr="002E69A0">
        <w:rPr>
          <w:rFonts w:ascii="Verdana" w:hAnsi="Verdana"/>
          <w:b/>
          <w:sz w:val="24"/>
          <w:szCs w:val="24"/>
        </w:rPr>
        <w:t xml:space="preserve">ccompanied by a detailed timeframe and </w:t>
      </w:r>
      <w:r w:rsidR="00DE17CD" w:rsidRPr="002E69A0">
        <w:rPr>
          <w:rFonts w:ascii="Verdana" w:hAnsi="Verdana"/>
          <w:b/>
          <w:sz w:val="24"/>
          <w:szCs w:val="24"/>
        </w:rPr>
        <w:t xml:space="preserve">the establishment of </w:t>
      </w:r>
      <w:r w:rsidR="002956C9" w:rsidRPr="002E69A0">
        <w:rPr>
          <w:rFonts w:ascii="Verdana" w:hAnsi="Verdana"/>
          <w:b/>
          <w:sz w:val="24"/>
          <w:szCs w:val="24"/>
        </w:rPr>
        <w:t xml:space="preserve">robust monitoring and evaluation mechanisms. </w:t>
      </w:r>
      <w:r w:rsidR="00F92D7E" w:rsidRPr="002E69A0">
        <w:rPr>
          <w:rFonts w:ascii="Verdana" w:hAnsi="Verdana"/>
          <w:b/>
          <w:sz w:val="24"/>
          <w:szCs w:val="24"/>
        </w:rPr>
        <w:t xml:space="preserve">The Department of Health and Department of Justice must ensure the strategy is formulated on the basis of a reliable data set. </w:t>
      </w:r>
    </w:p>
    <w:p w:rsidR="00B447B5" w:rsidRPr="002E69A0" w:rsidRDefault="00B447B5" w:rsidP="00D60183">
      <w:pPr>
        <w:pStyle w:val="NoSpacing"/>
        <w:rPr>
          <w:rFonts w:ascii="Verdana" w:hAnsi="Verdana"/>
          <w:sz w:val="24"/>
          <w:szCs w:val="24"/>
        </w:rPr>
      </w:pPr>
    </w:p>
    <w:p w:rsidR="00FE7CFD" w:rsidRPr="002E69A0" w:rsidRDefault="00A24F69" w:rsidP="00D60183">
      <w:pPr>
        <w:pStyle w:val="NoSpacing"/>
        <w:rPr>
          <w:rFonts w:ascii="Verdana" w:hAnsi="Verdana"/>
          <w:b/>
          <w:sz w:val="24"/>
          <w:szCs w:val="24"/>
        </w:rPr>
      </w:pPr>
      <w:r w:rsidRPr="002E69A0">
        <w:rPr>
          <w:rFonts w:ascii="Verdana" w:hAnsi="Verdana"/>
          <w:b/>
          <w:sz w:val="24"/>
          <w:szCs w:val="24"/>
        </w:rPr>
        <w:t>Strategic Priority 4</w:t>
      </w:r>
      <w:r w:rsidR="002956C9" w:rsidRPr="002E69A0">
        <w:rPr>
          <w:rFonts w:ascii="Verdana" w:hAnsi="Verdana"/>
          <w:b/>
          <w:sz w:val="24"/>
          <w:szCs w:val="24"/>
        </w:rPr>
        <w:t xml:space="preserve">: </w:t>
      </w:r>
      <w:r w:rsidR="00BA086A" w:rsidRPr="002E69A0">
        <w:rPr>
          <w:rFonts w:ascii="Verdana" w:hAnsi="Verdana"/>
          <w:b/>
          <w:sz w:val="24"/>
          <w:szCs w:val="24"/>
        </w:rPr>
        <w:t xml:space="preserve">Diversion </w:t>
      </w:r>
    </w:p>
    <w:p w:rsidR="00F12490" w:rsidRPr="002E69A0" w:rsidRDefault="00F12490" w:rsidP="00D60183">
      <w:pPr>
        <w:pStyle w:val="NoSpacing"/>
        <w:rPr>
          <w:rFonts w:ascii="Verdana" w:hAnsi="Verdana"/>
          <w:sz w:val="24"/>
          <w:szCs w:val="24"/>
        </w:rPr>
      </w:pPr>
    </w:p>
    <w:p w:rsidR="00D60183" w:rsidRPr="002E69A0" w:rsidRDefault="002E35EC" w:rsidP="00D60183">
      <w:pPr>
        <w:pStyle w:val="NoSpacing"/>
        <w:rPr>
          <w:rFonts w:ascii="Verdana" w:hAnsi="Verdana"/>
          <w:sz w:val="24"/>
          <w:szCs w:val="24"/>
        </w:rPr>
      </w:pPr>
      <w:r w:rsidRPr="002E69A0">
        <w:rPr>
          <w:rFonts w:ascii="Verdana" w:hAnsi="Verdana"/>
          <w:sz w:val="24"/>
          <w:szCs w:val="24"/>
        </w:rPr>
        <w:t xml:space="preserve">4.1 </w:t>
      </w:r>
      <w:r w:rsidR="00D60183" w:rsidRPr="002E69A0">
        <w:rPr>
          <w:rFonts w:ascii="Verdana" w:hAnsi="Verdana"/>
          <w:sz w:val="24"/>
          <w:szCs w:val="24"/>
        </w:rPr>
        <w:t>The Prison Review Team recommended</w:t>
      </w:r>
      <w:r w:rsidR="002956C9" w:rsidRPr="002E69A0">
        <w:rPr>
          <w:rFonts w:ascii="Verdana" w:hAnsi="Verdana"/>
          <w:sz w:val="24"/>
          <w:szCs w:val="24"/>
        </w:rPr>
        <w:t xml:space="preserve"> </w:t>
      </w:r>
      <w:r w:rsidR="00826261" w:rsidRPr="002E69A0">
        <w:rPr>
          <w:rFonts w:ascii="Verdana" w:hAnsi="Verdana"/>
          <w:sz w:val="24"/>
          <w:szCs w:val="24"/>
        </w:rPr>
        <w:t>the introduction of a statutory presumption against prison sentences of three months or less, with commensurate investment in robust and e</w:t>
      </w:r>
      <w:r w:rsidR="00D14E8F" w:rsidRPr="002E69A0">
        <w:rPr>
          <w:rFonts w:ascii="Verdana" w:hAnsi="Verdana"/>
          <w:sz w:val="24"/>
          <w:szCs w:val="24"/>
        </w:rPr>
        <w:t>ffective community alternatives</w:t>
      </w:r>
      <w:r w:rsidR="00826261" w:rsidRPr="002E69A0">
        <w:rPr>
          <w:rFonts w:ascii="Verdana" w:hAnsi="Verdana"/>
          <w:sz w:val="24"/>
          <w:szCs w:val="24"/>
        </w:rPr>
        <w:t>.</w:t>
      </w:r>
      <w:r w:rsidR="00D60183" w:rsidRPr="002E69A0">
        <w:rPr>
          <w:rStyle w:val="FootnoteReference"/>
          <w:rFonts w:ascii="Verdana" w:hAnsi="Verdana"/>
          <w:sz w:val="24"/>
          <w:szCs w:val="24"/>
        </w:rPr>
        <w:footnoteReference w:id="19"/>
      </w:r>
      <w:r w:rsidR="00D14E8F" w:rsidRPr="002E69A0">
        <w:rPr>
          <w:rFonts w:ascii="Verdana" w:hAnsi="Verdana"/>
          <w:sz w:val="24"/>
          <w:szCs w:val="24"/>
        </w:rPr>
        <w:t xml:space="preserve"> </w:t>
      </w:r>
      <w:r w:rsidR="00D60183" w:rsidRPr="002E69A0">
        <w:rPr>
          <w:rFonts w:ascii="Verdana" w:hAnsi="Verdana"/>
          <w:sz w:val="24"/>
          <w:szCs w:val="24"/>
        </w:rPr>
        <w:t>T</w:t>
      </w:r>
      <w:r w:rsidR="00D14E8F" w:rsidRPr="002E69A0">
        <w:rPr>
          <w:rFonts w:ascii="Verdana" w:hAnsi="Verdana"/>
          <w:sz w:val="24"/>
          <w:szCs w:val="24"/>
        </w:rPr>
        <w:t>hi</w:t>
      </w:r>
      <w:r w:rsidR="00A24F69" w:rsidRPr="002E69A0">
        <w:rPr>
          <w:rFonts w:ascii="Verdana" w:hAnsi="Verdana"/>
          <w:sz w:val="24"/>
          <w:szCs w:val="24"/>
        </w:rPr>
        <w:t>s recommendation remains</w:t>
      </w:r>
      <w:r w:rsidR="00D14E8F" w:rsidRPr="002E69A0">
        <w:rPr>
          <w:rFonts w:ascii="Verdana" w:hAnsi="Verdana"/>
          <w:sz w:val="24"/>
          <w:szCs w:val="24"/>
        </w:rPr>
        <w:t xml:space="preserve"> outstanding</w:t>
      </w:r>
      <w:r w:rsidR="00BA3BD6">
        <w:rPr>
          <w:rFonts w:ascii="Verdana" w:hAnsi="Verdana"/>
          <w:sz w:val="24"/>
          <w:szCs w:val="24"/>
        </w:rPr>
        <w:t>. A</w:t>
      </w:r>
      <w:r w:rsidRPr="002E69A0">
        <w:rPr>
          <w:rFonts w:ascii="Verdana" w:hAnsi="Verdana"/>
          <w:sz w:val="24"/>
          <w:szCs w:val="24"/>
        </w:rPr>
        <w:t>t its final meeting</w:t>
      </w:r>
      <w:r w:rsidR="00D14E8F" w:rsidRPr="002E69A0">
        <w:rPr>
          <w:rFonts w:ascii="Verdana" w:hAnsi="Verdana"/>
          <w:sz w:val="24"/>
          <w:szCs w:val="24"/>
        </w:rPr>
        <w:t xml:space="preserve"> th</w:t>
      </w:r>
      <w:r w:rsidR="009E4120" w:rsidRPr="002E69A0">
        <w:rPr>
          <w:rFonts w:ascii="Verdana" w:hAnsi="Verdana"/>
          <w:sz w:val="24"/>
          <w:szCs w:val="24"/>
        </w:rPr>
        <w:t>e Prison Review Oversight Team</w:t>
      </w:r>
      <w:r w:rsidR="00D60183" w:rsidRPr="002E69A0">
        <w:rPr>
          <w:rFonts w:ascii="Verdana" w:hAnsi="Verdana"/>
          <w:sz w:val="24"/>
          <w:szCs w:val="24"/>
        </w:rPr>
        <w:t xml:space="preserve"> </w:t>
      </w:r>
      <w:r w:rsidR="00D14E8F" w:rsidRPr="002E69A0">
        <w:rPr>
          <w:rFonts w:ascii="Verdana" w:hAnsi="Verdana"/>
          <w:sz w:val="24"/>
          <w:szCs w:val="24"/>
        </w:rPr>
        <w:t>noted a lack of support within the NI As</w:t>
      </w:r>
      <w:r w:rsidR="00A24F69" w:rsidRPr="002E69A0">
        <w:rPr>
          <w:rFonts w:ascii="Verdana" w:hAnsi="Verdana"/>
          <w:sz w:val="24"/>
          <w:szCs w:val="24"/>
        </w:rPr>
        <w:t>sembly for the introduction of</w:t>
      </w:r>
      <w:r w:rsidR="00D60183" w:rsidRPr="002E69A0">
        <w:rPr>
          <w:rFonts w:ascii="Verdana" w:hAnsi="Verdana"/>
          <w:sz w:val="24"/>
          <w:szCs w:val="24"/>
        </w:rPr>
        <w:t xml:space="preserve"> </w:t>
      </w:r>
      <w:r w:rsidR="00D14E8F" w:rsidRPr="002E69A0">
        <w:rPr>
          <w:rFonts w:ascii="Verdana" w:hAnsi="Verdana"/>
          <w:sz w:val="24"/>
          <w:szCs w:val="24"/>
        </w:rPr>
        <w:t>diversionary disposals</w:t>
      </w:r>
      <w:r w:rsidR="00617ABE" w:rsidRPr="002E69A0">
        <w:rPr>
          <w:rFonts w:ascii="Verdana" w:hAnsi="Verdana"/>
          <w:sz w:val="24"/>
          <w:szCs w:val="24"/>
        </w:rPr>
        <w:t>.</w:t>
      </w:r>
      <w:r w:rsidR="00617ABE" w:rsidRPr="002E69A0">
        <w:rPr>
          <w:rStyle w:val="FootnoteReference"/>
          <w:rFonts w:ascii="Verdana" w:hAnsi="Verdana"/>
          <w:sz w:val="24"/>
          <w:szCs w:val="24"/>
        </w:rPr>
        <w:footnoteReference w:id="20"/>
      </w:r>
      <w:r w:rsidR="00D14E8F" w:rsidRPr="002E69A0">
        <w:rPr>
          <w:rFonts w:ascii="Verdana" w:hAnsi="Verdana"/>
          <w:sz w:val="24"/>
          <w:szCs w:val="24"/>
        </w:rPr>
        <w:t xml:space="preserve"> The Commission consider</w:t>
      </w:r>
      <w:r w:rsidR="009E4120" w:rsidRPr="002E69A0">
        <w:rPr>
          <w:rFonts w:ascii="Verdana" w:hAnsi="Verdana"/>
          <w:sz w:val="24"/>
          <w:szCs w:val="24"/>
        </w:rPr>
        <w:t xml:space="preserve">s that a range of diversionary </w:t>
      </w:r>
      <w:r w:rsidR="00D14E8F" w:rsidRPr="002E69A0">
        <w:rPr>
          <w:rFonts w:ascii="Verdana" w:hAnsi="Verdana"/>
          <w:sz w:val="24"/>
          <w:szCs w:val="24"/>
        </w:rPr>
        <w:t xml:space="preserve">disposals are required to ensure those convicted </w:t>
      </w:r>
      <w:r w:rsidR="009E4120" w:rsidRPr="002E69A0">
        <w:rPr>
          <w:rFonts w:ascii="Verdana" w:hAnsi="Verdana"/>
          <w:sz w:val="24"/>
          <w:szCs w:val="24"/>
        </w:rPr>
        <w:t xml:space="preserve">of criminal offences are dealt </w:t>
      </w:r>
      <w:r w:rsidR="00D14E8F" w:rsidRPr="002E69A0">
        <w:rPr>
          <w:rFonts w:ascii="Verdana" w:hAnsi="Verdana"/>
          <w:sz w:val="24"/>
          <w:szCs w:val="24"/>
        </w:rPr>
        <w:t>with appropriately and in a manner reflective of t</w:t>
      </w:r>
      <w:r w:rsidR="009E4120" w:rsidRPr="002E69A0">
        <w:rPr>
          <w:rFonts w:ascii="Verdana" w:hAnsi="Verdana"/>
          <w:sz w:val="24"/>
          <w:szCs w:val="24"/>
        </w:rPr>
        <w:t xml:space="preserve">he principle of rehabilitation </w:t>
      </w:r>
      <w:r w:rsidR="00D14E8F" w:rsidRPr="002E69A0">
        <w:rPr>
          <w:rFonts w:ascii="Verdana" w:hAnsi="Verdana"/>
          <w:sz w:val="24"/>
          <w:szCs w:val="24"/>
        </w:rPr>
        <w:t>which addre</w:t>
      </w:r>
      <w:r w:rsidR="00D60183" w:rsidRPr="002E69A0">
        <w:rPr>
          <w:rFonts w:ascii="Verdana" w:hAnsi="Verdana"/>
          <w:sz w:val="24"/>
          <w:szCs w:val="24"/>
        </w:rPr>
        <w:t>sses their offending behaviour.</w:t>
      </w:r>
      <w:r w:rsidR="00D60183" w:rsidRPr="002E69A0">
        <w:rPr>
          <w:rStyle w:val="FootnoteReference"/>
          <w:rFonts w:ascii="Verdana" w:hAnsi="Verdana"/>
          <w:sz w:val="24"/>
          <w:szCs w:val="24"/>
        </w:rPr>
        <w:footnoteReference w:id="21"/>
      </w:r>
      <w:r w:rsidR="00D96DDA" w:rsidRPr="002E69A0">
        <w:rPr>
          <w:rFonts w:ascii="Verdana" w:hAnsi="Verdana"/>
          <w:sz w:val="24"/>
          <w:szCs w:val="24"/>
        </w:rPr>
        <w:t xml:space="preserve"> As part of </w:t>
      </w:r>
      <w:r w:rsidR="002E69A0" w:rsidRPr="002E69A0">
        <w:rPr>
          <w:rFonts w:ascii="Verdana" w:hAnsi="Verdana"/>
          <w:sz w:val="24"/>
          <w:szCs w:val="24"/>
        </w:rPr>
        <w:t>its</w:t>
      </w:r>
      <w:r w:rsidR="00D96DDA" w:rsidRPr="002E69A0">
        <w:rPr>
          <w:rFonts w:ascii="Verdana" w:hAnsi="Verdana"/>
          <w:sz w:val="24"/>
          <w:szCs w:val="24"/>
        </w:rPr>
        <w:t xml:space="preserve"> forthcoming examination process the UN Committee against Torture has recently asked the UK Government, including the NI Executive to </w:t>
      </w:r>
      <w:r w:rsidR="00BC6001" w:rsidRPr="002E69A0">
        <w:rPr>
          <w:rFonts w:ascii="Verdana" w:hAnsi="Verdana"/>
          <w:sz w:val="24"/>
          <w:szCs w:val="24"/>
        </w:rPr>
        <w:t>provide detail o</w:t>
      </w:r>
      <w:r w:rsidR="00D96DDA" w:rsidRPr="002E69A0">
        <w:rPr>
          <w:rFonts w:ascii="Verdana" w:hAnsi="Verdana"/>
          <w:sz w:val="24"/>
          <w:szCs w:val="24"/>
        </w:rPr>
        <w:t>n “measures taken by the State party to reduce prison overcrowding, including alternatives to imprisonment, both before and after trial”</w:t>
      </w:r>
      <w:r w:rsidR="00BC6001" w:rsidRPr="002E69A0">
        <w:rPr>
          <w:rFonts w:ascii="Verdana" w:hAnsi="Verdana"/>
          <w:sz w:val="24"/>
          <w:szCs w:val="24"/>
        </w:rPr>
        <w:t>.</w:t>
      </w:r>
      <w:r w:rsidR="00BC6001" w:rsidRPr="002E69A0">
        <w:rPr>
          <w:rStyle w:val="FootnoteReference"/>
          <w:rFonts w:ascii="Verdana" w:hAnsi="Verdana"/>
          <w:sz w:val="24"/>
          <w:szCs w:val="24"/>
        </w:rPr>
        <w:footnoteReference w:id="22"/>
      </w:r>
    </w:p>
    <w:p w:rsidR="009E4120" w:rsidRPr="002E69A0" w:rsidRDefault="009E4120" w:rsidP="00D60183">
      <w:pPr>
        <w:pStyle w:val="NoSpacing"/>
        <w:rPr>
          <w:rFonts w:ascii="Verdana" w:hAnsi="Verdana"/>
          <w:sz w:val="24"/>
          <w:szCs w:val="24"/>
        </w:rPr>
      </w:pPr>
    </w:p>
    <w:p w:rsidR="009E4120" w:rsidRPr="002E69A0" w:rsidRDefault="002E35EC" w:rsidP="00156632">
      <w:pPr>
        <w:pStyle w:val="NoSpacing"/>
        <w:rPr>
          <w:rFonts w:ascii="Verdana" w:hAnsi="Verdana"/>
          <w:sz w:val="24"/>
          <w:szCs w:val="24"/>
        </w:rPr>
      </w:pPr>
      <w:r w:rsidRPr="002E69A0">
        <w:rPr>
          <w:rFonts w:ascii="Verdana" w:hAnsi="Verdana"/>
          <w:sz w:val="24"/>
          <w:szCs w:val="24"/>
        </w:rPr>
        <w:t xml:space="preserve">4.2 </w:t>
      </w:r>
      <w:r w:rsidR="00C10880" w:rsidRPr="002E69A0">
        <w:rPr>
          <w:rFonts w:ascii="Verdana" w:hAnsi="Verdana"/>
          <w:sz w:val="24"/>
          <w:szCs w:val="24"/>
        </w:rPr>
        <w:t xml:space="preserve">It is noted that the strategy acknowledges the need for appropriate diversionary disposals and acknowledges that a ‘good service’ would include a sentencing framework which supports diversion. </w:t>
      </w:r>
      <w:r w:rsidRPr="002E69A0">
        <w:rPr>
          <w:rFonts w:ascii="Verdana" w:hAnsi="Verdana"/>
          <w:sz w:val="24"/>
          <w:szCs w:val="24"/>
        </w:rPr>
        <w:t>However</w:t>
      </w:r>
      <w:r w:rsidR="00B635AC" w:rsidRPr="002E69A0">
        <w:rPr>
          <w:rFonts w:ascii="Verdana" w:hAnsi="Verdana"/>
          <w:sz w:val="24"/>
          <w:szCs w:val="24"/>
        </w:rPr>
        <w:t>,</w:t>
      </w:r>
      <w:r w:rsidRPr="002E69A0">
        <w:rPr>
          <w:rFonts w:ascii="Verdana" w:hAnsi="Verdana"/>
          <w:sz w:val="24"/>
          <w:szCs w:val="24"/>
        </w:rPr>
        <w:t xml:space="preserve"> specific details on how diversionary disposals</w:t>
      </w:r>
      <w:r w:rsidR="00156632" w:rsidRPr="002E69A0">
        <w:rPr>
          <w:rFonts w:ascii="Verdana" w:hAnsi="Verdana"/>
          <w:sz w:val="24"/>
          <w:szCs w:val="24"/>
        </w:rPr>
        <w:t xml:space="preserve"> and the sentencing framework will be developed</w:t>
      </w:r>
      <w:r w:rsidR="00B635AC" w:rsidRPr="002E69A0">
        <w:rPr>
          <w:rFonts w:ascii="Verdana" w:hAnsi="Verdana"/>
          <w:sz w:val="24"/>
          <w:szCs w:val="24"/>
        </w:rPr>
        <w:t xml:space="preserve"> are not presented</w:t>
      </w:r>
      <w:r w:rsidR="00156632" w:rsidRPr="002E69A0">
        <w:rPr>
          <w:rFonts w:ascii="Verdana" w:hAnsi="Verdana"/>
          <w:sz w:val="24"/>
          <w:szCs w:val="24"/>
        </w:rPr>
        <w:t xml:space="preserve">. </w:t>
      </w:r>
    </w:p>
    <w:p w:rsidR="00156632" w:rsidRPr="002E69A0" w:rsidRDefault="00156632" w:rsidP="00156632">
      <w:pPr>
        <w:pStyle w:val="NoSpacing"/>
        <w:rPr>
          <w:rFonts w:ascii="Verdana" w:hAnsi="Verdana"/>
          <w:sz w:val="24"/>
          <w:szCs w:val="24"/>
        </w:rPr>
      </w:pPr>
    </w:p>
    <w:p w:rsidR="00AD0A43" w:rsidRPr="002E69A0" w:rsidRDefault="00156632" w:rsidP="0011611C">
      <w:pPr>
        <w:pStyle w:val="NoSpacing"/>
        <w:ind w:left="720"/>
        <w:rPr>
          <w:rFonts w:ascii="Verdana" w:hAnsi="Verdana"/>
          <w:sz w:val="24"/>
          <w:szCs w:val="24"/>
        </w:rPr>
      </w:pPr>
      <w:r w:rsidRPr="002E69A0">
        <w:rPr>
          <w:rFonts w:ascii="Verdana" w:hAnsi="Verdana"/>
          <w:b/>
          <w:sz w:val="24"/>
          <w:szCs w:val="24"/>
        </w:rPr>
        <w:t>4.3</w:t>
      </w:r>
      <w:r w:rsidRPr="002E69A0">
        <w:rPr>
          <w:rFonts w:ascii="Verdana" w:hAnsi="Verdana"/>
          <w:sz w:val="24"/>
          <w:szCs w:val="24"/>
        </w:rPr>
        <w:t xml:space="preserve"> </w:t>
      </w:r>
      <w:r w:rsidR="00B447B5" w:rsidRPr="002E69A0">
        <w:rPr>
          <w:rFonts w:ascii="Verdana" w:hAnsi="Verdana"/>
          <w:b/>
          <w:sz w:val="24"/>
          <w:szCs w:val="24"/>
        </w:rPr>
        <w:t xml:space="preserve">The Commission advises that this strategic priority should be further developed by </w:t>
      </w:r>
      <w:r w:rsidR="00B635AC" w:rsidRPr="002E69A0">
        <w:rPr>
          <w:rFonts w:ascii="Verdana" w:hAnsi="Verdana"/>
          <w:b/>
          <w:sz w:val="24"/>
          <w:szCs w:val="24"/>
        </w:rPr>
        <w:t>outlining</w:t>
      </w:r>
      <w:r w:rsidR="00B447B5" w:rsidRPr="002E69A0">
        <w:rPr>
          <w:rFonts w:ascii="Verdana" w:hAnsi="Verdana"/>
          <w:b/>
          <w:sz w:val="24"/>
          <w:szCs w:val="24"/>
        </w:rPr>
        <w:t xml:space="preserve"> the specific o</w:t>
      </w:r>
      <w:r w:rsidR="009E4120" w:rsidRPr="002E69A0">
        <w:rPr>
          <w:rFonts w:ascii="Verdana" w:hAnsi="Verdana"/>
          <w:b/>
          <w:sz w:val="24"/>
          <w:szCs w:val="24"/>
        </w:rPr>
        <w:t>bjectives</w:t>
      </w:r>
      <w:r w:rsidR="00B447B5" w:rsidRPr="002E69A0">
        <w:rPr>
          <w:rFonts w:ascii="Verdana" w:hAnsi="Verdana"/>
          <w:b/>
          <w:sz w:val="24"/>
          <w:szCs w:val="24"/>
        </w:rPr>
        <w:t xml:space="preserve"> that the strategy will deliver and the desired outcome.</w:t>
      </w:r>
      <w:r w:rsidR="009E4120" w:rsidRPr="002E69A0">
        <w:rPr>
          <w:rFonts w:ascii="Verdana" w:hAnsi="Verdana"/>
          <w:b/>
          <w:sz w:val="24"/>
          <w:szCs w:val="24"/>
        </w:rPr>
        <w:t xml:space="preserve"> This should include analysis of the existing sentencing framework with consideration of whether </w:t>
      </w:r>
      <w:r w:rsidR="00B635AC" w:rsidRPr="002E69A0">
        <w:rPr>
          <w:rFonts w:ascii="Verdana" w:hAnsi="Verdana"/>
          <w:b/>
          <w:sz w:val="24"/>
          <w:szCs w:val="24"/>
        </w:rPr>
        <w:t>it</w:t>
      </w:r>
      <w:r w:rsidR="009E4120" w:rsidRPr="002E69A0">
        <w:rPr>
          <w:rFonts w:ascii="Verdana" w:hAnsi="Verdana"/>
          <w:b/>
          <w:sz w:val="24"/>
          <w:szCs w:val="24"/>
        </w:rPr>
        <w:t xml:space="preserve"> can be utilised to ensure effective diversion or if </w:t>
      </w:r>
      <w:r w:rsidRPr="002E69A0">
        <w:rPr>
          <w:rFonts w:ascii="Verdana" w:hAnsi="Verdana"/>
          <w:b/>
          <w:sz w:val="24"/>
          <w:szCs w:val="24"/>
        </w:rPr>
        <w:t>law reform is required</w:t>
      </w:r>
      <w:r w:rsidR="009E4120" w:rsidRPr="002E69A0">
        <w:rPr>
          <w:rFonts w:ascii="Verdana" w:hAnsi="Verdana"/>
          <w:b/>
          <w:sz w:val="24"/>
          <w:szCs w:val="24"/>
        </w:rPr>
        <w:t xml:space="preserve"> to ensure an appropriate range of disposals. </w:t>
      </w:r>
    </w:p>
    <w:p w:rsidR="00D0256E" w:rsidRPr="002E69A0" w:rsidRDefault="00D0256E" w:rsidP="00D0256E">
      <w:pPr>
        <w:pStyle w:val="Body"/>
        <w:spacing w:after="0" w:line="240" w:lineRule="auto"/>
        <w:rPr>
          <w:rFonts w:ascii="Verdana" w:hAnsi="Verdana"/>
          <w:sz w:val="24"/>
          <w:szCs w:val="24"/>
        </w:rPr>
      </w:pPr>
    </w:p>
    <w:p w:rsidR="00CC43D5" w:rsidRPr="002E69A0" w:rsidRDefault="00156632" w:rsidP="00D0256E">
      <w:pPr>
        <w:pStyle w:val="Body"/>
        <w:spacing w:after="0" w:line="240" w:lineRule="auto"/>
        <w:rPr>
          <w:rFonts w:ascii="Verdana" w:hAnsi="Verdana"/>
          <w:sz w:val="24"/>
          <w:szCs w:val="24"/>
          <w:lang w:val="en-US"/>
        </w:rPr>
      </w:pPr>
      <w:r w:rsidRPr="002E69A0">
        <w:rPr>
          <w:rFonts w:ascii="Verdana" w:hAnsi="Verdana"/>
          <w:sz w:val="24"/>
          <w:szCs w:val="24"/>
        </w:rPr>
        <w:t xml:space="preserve">4.4 </w:t>
      </w:r>
      <w:r w:rsidR="00623394" w:rsidRPr="002E69A0">
        <w:rPr>
          <w:rFonts w:ascii="Verdana" w:hAnsi="Verdana"/>
          <w:sz w:val="24"/>
          <w:szCs w:val="24"/>
        </w:rPr>
        <w:t xml:space="preserve">The </w:t>
      </w:r>
      <w:proofErr w:type="spellStart"/>
      <w:r w:rsidR="00623394" w:rsidRPr="002E69A0">
        <w:rPr>
          <w:rFonts w:ascii="Verdana" w:hAnsi="Verdana"/>
          <w:sz w:val="24"/>
          <w:szCs w:val="24"/>
        </w:rPr>
        <w:t>Department</w:t>
      </w:r>
      <w:proofErr w:type="spellEnd"/>
      <w:r w:rsidR="00623394" w:rsidRPr="002E69A0">
        <w:rPr>
          <w:rFonts w:ascii="Verdana" w:hAnsi="Verdana"/>
          <w:sz w:val="24"/>
          <w:szCs w:val="24"/>
        </w:rPr>
        <w:t xml:space="preserve"> of </w:t>
      </w:r>
      <w:proofErr w:type="spellStart"/>
      <w:r w:rsidR="00623394" w:rsidRPr="002E69A0">
        <w:rPr>
          <w:rFonts w:ascii="Verdana" w:hAnsi="Verdana"/>
          <w:sz w:val="24"/>
          <w:szCs w:val="24"/>
        </w:rPr>
        <w:t>Health</w:t>
      </w:r>
      <w:proofErr w:type="spellEnd"/>
      <w:r w:rsidR="00623394" w:rsidRPr="002E69A0">
        <w:rPr>
          <w:rFonts w:ascii="Verdana" w:hAnsi="Verdana"/>
          <w:sz w:val="24"/>
          <w:szCs w:val="24"/>
        </w:rPr>
        <w:t xml:space="preserve"> and </w:t>
      </w:r>
      <w:proofErr w:type="spellStart"/>
      <w:r w:rsidR="00623394" w:rsidRPr="002E69A0">
        <w:rPr>
          <w:rFonts w:ascii="Verdana" w:hAnsi="Verdana"/>
          <w:sz w:val="24"/>
          <w:szCs w:val="24"/>
        </w:rPr>
        <w:t>Department</w:t>
      </w:r>
      <w:proofErr w:type="spellEnd"/>
      <w:r w:rsidR="00623394" w:rsidRPr="002E69A0">
        <w:rPr>
          <w:rFonts w:ascii="Verdana" w:hAnsi="Verdana"/>
          <w:sz w:val="24"/>
          <w:szCs w:val="24"/>
        </w:rPr>
        <w:t xml:space="preserve"> of Justice</w:t>
      </w:r>
      <w:r w:rsidR="00CC43D5" w:rsidRPr="002E69A0">
        <w:rPr>
          <w:rFonts w:ascii="Verdana" w:hAnsi="Verdana"/>
          <w:sz w:val="24"/>
          <w:szCs w:val="24"/>
        </w:rPr>
        <w:t xml:space="preserve"> </w:t>
      </w:r>
      <w:proofErr w:type="spellStart"/>
      <w:r w:rsidR="00CC43D5" w:rsidRPr="002E69A0">
        <w:rPr>
          <w:rFonts w:ascii="Verdana" w:hAnsi="Verdana"/>
          <w:sz w:val="24"/>
          <w:szCs w:val="24"/>
        </w:rPr>
        <w:t>will</w:t>
      </w:r>
      <w:proofErr w:type="spellEnd"/>
      <w:r w:rsidR="00CC43D5" w:rsidRPr="002E69A0">
        <w:rPr>
          <w:rFonts w:ascii="Verdana" w:hAnsi="Verdana"/>
          <w:sz w:val="24"/>
          <w:szCs w:val="24"/>
        </w:rPr>
        <w:t xml:space="preserve"> </w:t>
      </w:r>
      <w:proofErr w:type="spellStart"/>
      <w:r w:rsidR="00CC43D5" w:rsidRPr="002E69A0">
        <w:rPr>
          <w:rFonts w:ascii="Verdana" w:hAnsi="Verdana"/>
          <w:sz w:val="24"/>
          <w:szCs w:val="24"/>
        </w:rPr>
        <w:t>be</w:t>
      </w:r>
      <w:proofErr w:type="spellEnd"/>
      <w:r w:rsidR="00CC43D5" w:rsidRPr="002E69A0">
        <w:rPr>
          <w:rFonts w:ascii="Verdana" w:hAnsi="Verdana"/>
          <w:sz w:val="24"/>
          <w:szCs w:val="24"/>
        </w:rPr>
        <w:t xml:space="preserve"> </w:t>
      </w:r>
      <w:proofErr w:type="spellStart"/>
      <w:r w:rsidR="00CC43D5" w:rsidRPr="002E69A0">
        <w:rPr>
          <w:rFonts w:ascii="Verdana" w:hAnsi="Verdana"/>
          <w:sz w:val="24"/>
          <w:szCs w:val="24"/>
        </w:rPr>
        <w:t>aware</w:t>
      </w:r>
      <w:proofErr w:type="spellEnd"/>
      <w:r w:rsidR="00CC43D5" w:rsidRPr="002E69A0">
        <w:rPr>
          <w:rFonts w:ascii="Verdana" w:hAnsi="Verdana"/>
          <w:sz w:val="24"/>
          <w:szCs w:val="24"/>
        </w:rPr>
        <w:t xml:space="preserve"> of </w:t>
      </w:r>
      <w:proofErr w:type="spellStart"/>
      <w:r w:rsidR="00CC43D5" w:rsidRPr="002E69A0">
        <w:rPr>
          <w:rFonts w:ascii="Verdana" w:hAnsi="Verdana"/>
          <w:sz w:val="24"/>
          <w:szCs w:val="24"/>
        </w:rPr>
        <w:t>concerns</w:t>
      </w:r>
      <w:proofErr w:type="spellEnd"/>
      <w:r w:rsidR="00CC43D5" w:rsidRPr="002E69A0">
        <w:rPr>
          <w:rFonts w:ascii="Verdana" w:hAnsi="Verdana"/>
          <w:sz w:val="24"/>
          <w:szCs w:val="24"/>
        </w:rPr>
        <w:t xml:space="preserve"> </w:t>
      </w:r>
      <w:proofErr w:type="spellStart"/>
      <w:r w:rsidR="00CC43D5" w:rsidRPr="002E69A0">
        <w:rPr>
          <w:rFonts w:ascii="Verdana" w:hAnsi="Verdana"/>
          <w:sz w:val="24"/>
          <w:szCs w:val="24"/>
        </w:rPr>
        <w:t>regarding</w:t>
      </w:r>
      <w:proofErr w:type="spellEnd"/>
      <w:r w:rsidR="00CC43D5" w:rsidRPr="002E69A0">
        <w:rPr>
          <w:rFonts w:ascii="Verdana" w:hAnsi="Verdana"/>
          <w:sz w:val="24"/>
          <w:szCs w:val="24"/>
        </w:rPr>
        <w:t xml:space="preserve"> the </w:t>
      </w:r>
      <w:proofErr w:type="spellStart"/>
      <w:r w:rsidR="00CC43D5" w:rsidRPr="002E69A0">
        <w:rPr>
          <w:rFonts w:ascii="Verdana" w:hAnsi="Verdana"/>
          <w:sz w:val="24"/>
          <w:szCs w:val="24"/>
        </w:rPr>
        <w:t>overuse</w:t>
      </w:r>
      <w:proofErr w:type="spellEnd"/>
      <w:r w:rsidR="00CC43D5" w:rsidRPr="002E69A0">
        <w:rPr>
          <w:rFonts w:ascii="Verdana" w:hAnsi="Verdana"/>
          <w:sz w:val="24"/>
          <w:szCs w:val="24"/>
        </w:rPr>
        <w:t xml:space="preserve"> of </w:t>
      </w:r>
      <w:proofErr w:type="spellStart"/>
      <w:r w:rsidR="00CC43D5" w:rsidRPr="002E69A0">
        <w:rPr>
          <w:rFonts w:ascii="Verdana" w:hAnsi="Verdana"/>
          <w:sz w:val="24"/>
          <w:szCs w:val="24"/>
        </w:rPr>
        <w:t>imprisonment</w:t>
      </w:r>
      <w:proofErr w:type="spellEnd"/>
      <w:r w:rsidR="00CC43D5" w:rsidRPr="002E69A0">
        <w:rPr>
          <w:rFonts w:ascii="Verdana" w:hAnsi="Verdana"/>
          <w:sz w:val="24"/>
          <w:szCs w:val="24"/>
        </w:rPr>
        <w:t xml:space="preserve"> of </w:t>
      </w:r>
      <w:proofErr w:type="spellStart"/>
      <w:r w:rsidR="00CC43D5" w:rsidRPr="002E69A0">
        <w:rPr>
          <w:rFonts w:ascii="Verdana" w:hAnsi="Verdana"/>
          <w:sz w:val="24"/>
          <w:szCs w:val="24"/>
        </w:rPr>
        <w:t>children</w:t>
      </w:r>
      <w:proofErr w:type="spellEnd"/>
      <w:r w:rsidR="00CC43D5" w:rsidRPr="002E69A0">
        <w:rPr>
          <w:rFonts w:ascii="Verdana" w:hAnsi="Verdana"/>
          <w:sz w:val="24"/>
          <w:szCs w:val="24"/>
        </w:rPr>
        <w:t xml:space="preserve"> in </w:t>
      </w:r>
      <w:proofErr w:type="spellStart"/>
      <w:r w:rsidR="00CC43D5" w:rsidRPr="002E69A0">
        <w:rPr>
          <w:rFonts w:ascii="Verdana" w:hAnsi="Verdana"/>
          <w:sz w:val="24"/>
          <w:szCs w:val="24"/>
        </w:rPr>
        <w:t>Northern</w:t>
      </w:r>
      <w:proofErr w:type="spellEnd"/>
      <w:r w:rsidR="00CC43D5" w:rsidRPr="002E69A0">
        <w:rPr>
          <w:rFonts w:ascii="Verdana" w:hAnsi="Verdana"/>
          <w:sz w:val="24"/>
          <w:szCs w:val="24"/>
        </w:rPr>
        <w:t xml:space="preserve"> Ireland. </w:t>
      </w:r>
      <w:r w:rsidR="00CC43D5" w:rsidRPr="002E69A0">
        <w:rPr>
          <w:rFonts w:ascii="Verdana" w:hAnsi="Verdana"/>
          <w:sz w:val="24"/>
          <w:szCs w:val="24"/>
          <w:lang w:val="en-US"/>
        </w:rPr>
        <w:t xml:space="preserve">In 2015 the National Preventative Mechanism designated under the Optional Protocol to the UN </w:t>
      </w:r>
      <w:r w:rsidR="00BA3BD6">
        <w:rPr>
          <w:rFonts w:ascii="Verdana" w:hAnsi="Verdana"/>
          <w:sz w:val="24"/>
          <w:szCs w:val="24"/>
          <w:lang w:val="en-US"/>
        </w:rPr>
        <w:t>Convention</w:t>
      </w:r>
      <w:r w:rsidR="00B635AC" w:rsidRPr="002E69A0">
        <w:rPr>
          <w:rFonts w:ascii="Verdana" w:hAnsi="Verdana"/>
          <w:sz w:val="24"/>
          <w:szCs w:val="24"/>
          <w:lang w:val="en-US"/>
        </w:rPr>
        <w:t xml:space="preserve"> against Torture</w:t>
      </w:r>
      <w:r w:rsidR="00CC43D5" w:rsidRPr="002E69A0">
        <w:rPr>
          <w:rFonts w:ascii="Verdana" w:hAnsi="Verdana"/>
          <w:sz w:val="24"/>
          <w:szCs w:val="24"/>
          <w:lang w:val="en-US"/>
        </w:rPr>
        <w:t xml:space="preserve"> published a report of an announced inspection of Woodlands Juvenile Justice Centre.</w:t>
      </w:r>
      <w:r w:rsidR="00CC43D5" w:rsidRPr="002E69A0">
        <w:rPr>
          <w:rFonts w:ascii="Verdana" w:eastAsia="Verdana" w:hAnsi="Verdana" w:cs="Verdana"/>
          <w:sz w:val="24"/>
          <w:szCs w:val="24"/>
          <w:vertAlign w:val="superscript"/>
          <w:lang w:val="en-US"/>
        </w:rPr>
        <w:footnoteReference w:id="23"/>
      </w:r>
      <w:r w:rsidR="00CC43D5" w:rsidRPr="002E69A0">
        <w:rPr>
          <w:rFonts w:ascii="Verdana" w:hAnsi="Verdana"/>
          <w:sz w:val="24"/>
          <w:szCs w:val="24"/>
          <w:lang w:val="en-US"/>
        </w:rPr>
        <w:t xml:space="preserve"> It recorded that only 9 percent of children imprisoned at Woodlands in 2013-14 were there as a result of being sentenced following a conviction. Of the remainder, 47 percent were formally remanded to custody and 44 percent related to proceedings under the Police and Criminal Evidence (NI) Order 1989 (PACE).</w:t>
      </w:r>
      <w:r w:rsidR="00CC43D5" w:rsidRPr="002E69A0">
        <w:rPr>
          <w:rFonts w:ascii="Verdana" w:eastAsia="Verdana" w:hAnsi="Verdana" w:cs="Verdana"/>
          <w:sz w:val="24"/>
          <w:szCs w:val="24"/>
          <w:vertAlign w:val="superscript"/>
          <w:lang w:val="en-US"/>
        </w:rPr>
        <w:footnoteReference w:id="24"/>
      </w:r>
      <w:r w:rsidR="00CC43D5" w:rsidRPr="002E69A0">
        <w:rPr>
          <w:rFonts w:ascii="Verdana" w:hAnsi="Verdana"/>
          <w:sz w:val="24"/>
          <w:szCs w:val="24"/>
          <w:lang w:val="en-US"/>
        </w:rPr>
        <w:t xml:space="preserve"> During 2014/15 there were 233 PACE admissions to Woodlands JJC involving 130 individual children.</w:t>
      </w:r>
      <w:r w:rsidR="00CC43D5" w:rsidRPr="002E69A0">
        <w:rPr>
          <w:rFonts w:ascii="Verdana" w:eastAsia="Verdana" w:hAnsi="Verdana" w:cs="Verdana"/>
          <w:sz w:val="24"/>
          <w:szCs w:val="24"/>
          <w:vertAlign w:val="superscript"/>
          <w:lang w:val="en-US"/>
        </w:rPr>
        <w:footnoteReference w:id="25"/>
      </w:r>
      <w:r w:rsidR="00CC43D5" w:rsidRPr="002E69A0">
        <w:rPr>
          <w:rFonts w:ascii="Verdana" w:hAnsi="Verdana"/>
          <w:sz w:val="24"/>
          <w:szCs w:val="24"/>
          <w:lang w:val="en-US"/>
        </w:rPr>
        <w:t xml:space="preserve"> The National Preventative Mechanism found that the rate of PACE admissions to </w:t>
      </w:r>
      <w:r w:rsidR="00B635AC" w:rsidRPr="002E69A0">
        <w:rPr>
          <w:rFonts w:ascii="Verdana" w:hAnsi="Verdana"/>
          <w:sz w:val="24"/>
          <w:szCs w:val="24"/>
          <w:lang w:val="en-US"/>
        </w:rPr>
        <w:t>Woodlands JJC</w:t>
      </w:r>
      <w:r w:rsidR="00CC43D5" w:rsidRPr="002E69A0">
        <w:rPr>
          <w:rFonts w:ascii="Verdana" w:hAnsi="Verdana"/>
          <w:sz w:val="24"/>
          <w:szCs w:val="24"/>
          <w:lang w:val="en-US"/>
        </w:rPr>
        <w:t xml:space="preserve"> has almost trebled between 2008–9 and 2013–14 and has described this as ‘disproportionately high’. It recommended that the Youth Justice Agency and its statutory partners should set targets to improve the current arrangements for children who do not have a suitable bail address.</w:t>
      </w:r>
      <w:r w:rsidR="00CC43D5" w:rsidRPr="002E69A0">
        <w:rPr>
          <w:rFonts w:ascii="Verdana" w:eastAsia="Verdana" w:hAnsi="Verdana" w:cs="Verdana"/>
          <w:sz w:val="24"/>
          <w:szCs w:val="24"/>
          <w:vertAlign w:val="superscript"/>
          <w:lang w:val="en-US"/>
        </w:rPr>
        <w:footnoteReference w:id="26"/>
      </w:r>
      <w:r w:rsidR="00CC43D5" w:rsidRPr="002E69A0">
        <w:rPr>
          <w:rFonts w:ascii="Verdana" w:hAnsi="Verdana"/>
          <w:sz w:val="24"/>
          <w:szCs w:val="24"/>
          <w:lang w:val="en-US"/>
        </w:rPr>
        <w:t xml:space="preserve"> </w:t>
      </w:r>
    </w:p>
    <w:p w:rsidR="001A10F2" w:rsidRPr="002E69A0" w:rsidRDefault="001A10F2" w:rsidP="00D0256E">
      <w:pPr>
        <w:pStyle w:val="Body"/>
        <w:spacing w:after="0" w:line="240" w:lineRule="auto"/>
        <w:rPr>
          <w:rStyle w:val="news-date"/>
          <w:rFonts w:ascii="Verdana" w:hAnsi="Verdana"/>
          <w:sz w:val="24"/>
          <w:szCs w:val="24"/>
        </w:rPr>
      </w:pPr>
    </w:p>
    <w:p w:rsidR="00623394" w:rsidRPr="002E69A0" w:rsidRDefault="00156632" w:rsidP="00623394">
      <w:pPr>
        <w:pStyle w:val="Body"/>
        <w:spacing w:after="0" w:line="240" w:lineRule="auto"/>
        <w:rPr>
          <w:rStyle w:val="news-date"/>
          <w:rFonts w:ascii="Verdana" w:hAnsi="Verdana"/>
          <w:sz w:val="24"/>
          <w:szCs w:val="24"/>
        </w:rPr>
      </w:pPr>
      <w:r w:rsidRPr="002E69A0">
        <w:rPr>
          <w:rStyle w:val="news-date"/>
          <w:rFonts w:ascii="Verdana" w:hAnsi="Verdana"/>
          <w:sz w:val="24"/>
          <w:szCs w:val="24"/>
        </w:rPr>
        <w:t xml:space="preserve">4.5 </w:t>
      </w:r>
      <w:r w:rsidR="00623394" w:rsidRPr="002E69A0">
        <w:rPr>
          <w:rStyle w:val="news-date"/>
          <w:rFonts w:ascii="Verdana" w:hAnsi="Verdana"/>
          <w:sz w:val="24"/>
          <w:szCs w:val="24"/>
        </w:rPr>
        <w:t xml:space="preserve">In July 2015 the UN Human Rights Committee called for actions to: </w:t>
      </w:r>
    </w:p>
    <w:p w:rsidR="00623394" w:rsidRPr="002E69A0" w:rsidRDefault="00623394" w:rsidP="00623394">
      <w:pPr>
        <w:pStyle w:val="Body"/>
        <w:spacing w:after="0" w:line="240" w:lineRule="auto"/>
        <w:rPr>
          <w:rStyle w:val="news-date"/>
          <w:rFonts w:ascii="Verdana" w:hAnsi="Verdana"/>
          <w:sz w:val="24"/>
          <w:szCs w:val="24"/>
        </w:rPr>
      </w:pPr>
    </w:p>
    <w:p w:rsidR="00623394" w:rsidRPr="002E69A0" w:rsidRDefault="00623394" w:rsidP="00623394">
      <w:pPr>
        <w:pStyle w:val="Body"/>
        <w:spacing w:after="0" w:line="240" w:lineRule="auto"/>
        <w:ind w:left="720"/>
        <w:rPr>
          <w:rStyle w:val="news-date"/>
          <w:rFonts w:ascii="Verdana" w:hAnsi="Verdana"/>
          <w:sz w:val="24"/>
          <w:szCs w:val="24"/>
        </w:rPr>
      </w:pPr>
      <w:proofErr w:type="gramStart"/>
      <w:r w:rsidRPr="002E69A0">
        <w:rPr>
          <w:rStyle w:val="news-date"/>
          <w:rFonts w:ascii="Verdana" w:hAnsi="Verdana"/>
          <w:sz w:val="24"/>
          <w:szCs w:val="24"/>
        </w:rPr>
        <w:t>ensure</w:t>
      </w:r>
      <w:proofErr w:type="gramEnd"/>
      <w:r w:rsidRPr="002E69A0">
        <w:rPr>
          <w:rStyle w:val="news-date"/>
          <w:rFonts w:ascii="Verdana" w:hAnsi="Verdana"/>
          <w:sz w:val="24"/>
          <w:szCs w:val="24"/>
        </w:rPr>
        <w:t xml:space="preserve"> that detention on remand of child defendants is used only as a measure of last resort and for the shortest possible period of time and that suitable bail packages are available to child defendants in Northern Ireland. </w:t>
      </w:r>
    </w:p>
    <w:p w:rsidR="00623394" w:rsidRPr="002E69A0" w:rsidRDefault="00623394" w:rsidP="00623394">
      <w:pPr>
        <w:pStyle w:val="Body"/>
        <w:spacing w:after="0" w:line="240" w:lineRule="auto"/>
        <w:rPr>
          <w:rStyle w:val="news-date"/>
          <w:rFonts w:ascii="Verdana" w:hAnsi="Verdana"/>
          <w:sz w:val="24"/>
          <w:szCs w:val="24"/>
        </w:rPr>
      </w:pPr>
    </w:p>
    <w:p w:rsidR="00156632" w:rsidRPr="002E69A0" w:rsidRDefault="00623394" w:rsidP="00623394">
      <w:pPr>
        <w:pStyle w:val="Body"/>
        <w:spacing w:after="0" w:line="240" w:lineRule="auto"/>
        <w:rPr>
          <w:rStyle w:val="news-date"/>
          <w:rFonts w:ascii="Verdana" w:hAnsi="Verdana"/>
          <w:sz w:val="24"/>
          <w:szCs w:val="24"/>
        </w:rPr>
      </w:pPr>
      <w:r w:rsidRPr="002E69A0">
        <w:rPr>
          <w:rStyle w:val="news-date"/>
          <w:rFonts w:ascii="Verdana" w:hAnsi="Verdana"/>
          <w:sz w:val="24"/>
          <w:szCs w:val="24"/>
        </w:rPr>
        <w:t xml:space="preserve">4.6 </w:t>
      </w:r>
      <w:r w:rsidR="00156632" w:rsidRPr="002E69A0">
        <w:rPr>
          <w:rStyle w:val="news-date"/>
          <w:rFonts w:ascii="Verdana" w:hAnsi="Verdana"/>
          <w:sz w:val="24"/>
          <w:szCs w:val="24"/>
        </w:rPr>
        <w:t>In June 2016 the UN C</w:t>
      </w:r>
      <w:r w:rsidR="00B635AC" w:rsidRPr="002E69A0">
        <w:rPr>
          <w:rStyle w:val="news-date"/>
          <w:rFonts w:ascii="Verdana" w:hAnsi="Verdana"/>
          <w:sz w:val="24"/>
          <w:szCs w:val="24"/>
        </w:rPr>
        <w:t xml:space="preserve">ommittee on the Rights of the Child </w:t>
      </w:r>
      <w:r w:rsidR="00156632" w:rsidRPr="002E69A0">
        <w:rPr>
          <w:rStyle w:val="news-date"/>
          <w:rFonts w:ascii="Verdana" w:hAnsi="Verdana"/>
          <w:sz w:val="24"/>
          <w:szCs w:val="24"/>
        </w:rPr>
        <w:t>recommended that the UK Government including the N</w:t>
      </w:r>
      <w:r w:rsidR="00574E4E" w:rsidRPr="002E69A0">
        <w:rPr>
          <w:rStyle w:val="news-date"/>
          <w:rFonts w:ascii="Verdana" w:hAnsi="Verdana"/>
          <w:sz w:val="24"/>
          <w:szCs w:val="24"/>
        </w:rPr>
        <w:t>I</w:t>
      </w:r>
      <w:r w:rsidR="00156632" w:rsidRPr="002E69A0">
        <w:rPr>
          <w:rStyle w:val="news-date"/>
          <w:rFonts w:ascii="Verdana" w:hAnsi="Verdana"/>
          <w:sz w:val="24"/>
          <w:szCs w:val="24"/>
        </w:rPr>
        <w:t xml:space="preserve"> Executive take measures to bring the juvenile justice system into line with UN CRC standards including, inter alia, by:</w:t>
      </w:r>
    </w:p>
    <w:p w:rsidR="00156632" w:rsidRPr="002E69A0" w:rsidRDefault="00156632" w:rsidP="00D0256E">
      <w:pPr>
        <w:pStyle w:val="Body"/>
        <w:spacing w:after="0" w:line="240" w:lineRule="auto"/>
        <w:rPr>
          <w:rStyle w:val="news-date"/>
          <w:rFonts w:ascii="Verdana" w:hAnsi="Verdana"/>
          <w:sz w:val="24"/>
          <w:szCs w:val="24"/>
        </w:rPr>
      </w:pPr>
    </w:p>
    <w:p w:rsidR="00574E4E" w:rsidRPr="002E69A0" w:rsidRDefault="00156632" w:rsidP="00574E4E">
      <w:pPr>
        <w:pStyle w:val="Body"/>
        <w:spacing w:after="0" w:line="240" w:lineRule="auto"/>
        <w:ind w:left="720"/>
        <w:rPr>
          <w:rStyle w:val="news-date"/>
          <w:rFonts w:ascii="Verdana" w:hAnsi="Verdana"/>
          <w:sz w:val="24"/>
          <w:szCs w:val="24"/>
        </w:rPr>
      </w:pPr>
      <w:r w:rsidRPr="002E69A0">
        <w:rPr>
          <w:rStyle w:val="news-date"/>
          <w:rFonts w:ascii="Verdana" w:hAnsi="Verdana"/>
          <w:sz w:val="24"/>
          <w:szCs w:val="24"/>
        </w:rPr>
        <w:t>Establish[</w:t>
      </w:r>
      <w:proofErr w:type="spellStart"/>
      <w:r w:rsidRPr="002E69A0">
        <w:rPr>
          <w:rStyle w:val="news-date"/>
          <w:rFonts w:ascii="Verdana" w:hAnsi="Verdana"/>
          <w:sz w:val="24"/>
          <w:szCs w:val="24"/>
        </w:rPr>
        <w:t>ing</w:t>
      </w:r>
      <w:proofErr w:type="spellEnd"/>
      <w:r w:rsidRPr="002E69A0">
        <w:rPr>
          <w:rStyle w:val="news-date"/>
          <w:rFonts w:ascii="Verdana" w:hAnsi="Verdana"/>
          <w:sz w:val="24"/>
          <w:szCs w:val="24"/>
        </w:rPr>
        <w:t>] the statutory principle that detention should be used as a measure of last resort and for the shortest possible period of time and ensure that detention is not used discriminatorily against certain groups of children</w:t>
      </w:r>
      <w:r w:rsidR="00B635AC" w:rsidRPr="002E69A0">
        <w:rPr>
          <w:rStyle w:val="news-date"/>
          <w:rFonts w:ascii="Verdana" w:hAnsi="Verdana"/>
          <w:sz w:val="24"/>
          <w:szCs w:val="24"/>
        </w:rPr>
        <w:t>.</w:t>
      </w:r>
      <w:r w:rsidRPr="002E69A0">
        <w:rPr>
          <w:rStyle w:val="FootnoteReference"/>
          <w:rFonts w:ascii="Verdana" w:hAnsi="Verdana"/>
          <w:sz w:val="24"/>
          <w:szCs w:val="24"/>
          <w:lang w:val="en-US"/>
        </w:rPr>
        <w:footnoteReference w:id="27"/>
      </w:r>
    </w:p>
    <w:p w:rsidR="00CA40B4" w:rsidRPr="002E69A0" w:rsidRDefault="00CA40B4" w:rsidP="00D0256E">
      <w:pPr>
        <w:pStyle w:val="Body"/>
        <w:spacing w:after="0" w:line="240" w:lineRule="auto"/>
        <w:rPr>
          <w:rStyle w:val="news-date"/>
          <w:rFonts w:ascii="Verdana" w:hAnsi="Verdana"/>
          <w:sz w:val="24"/>
          <w:szCs w:val="24"/>
        </w:rPr>
      </w:pPr>
    </w:p>
    <w:p w:rsidR="001A10F2" w:rsidRPr="002E69A0" w:rsidRDefault="00156632" w:rsidP="0011611C">
      <w:pPr>
        <w:pStyle w:val="Body"/>
        <w:spacing w:after="0" w:line="240" w:lineRule="auto"/>
        <w:ind w:left="720"/>
        <w:rPr>
          <w:rFonts w:ascii="Verdana" w:hAnsi="Verdana"/>
          <w:b/>
          <w:sz w:val="24"/>
          <w:szCs w:val="24"/>
          <w:lang w:val="en-US"/>
        </w:rPr>
      </w:pPr>
      <w:r w:rsidRPr="002E69A0">
        <w:rPr>
          <w:rStyle w:val="news-date"/>
          <w:rFonts w:ascii="Verdana" w:hAnsi="Verdana"/>
          <w:b/>
          <w:sz w:val="24"/>
          <w:szCs w:val="24"/>
        </w:rPr>
        <w:t xml:space="preserve">4.6 </w:t>
      </w:r>
      <w:r w:rsidR="001A10F2" w:rsidRPr="002E69A0">
        <w:rPr>
          <w:rStyle w:val="news-date"/>
          <w:rFonts w:ascii="Verdana" w:hAnsi="Verdana"/>
          <w:b/>
          <w:sz w:val="24"/>
          <w:szCs w:val="24"/>
        </w:rPr>
        <w:t xml:space="preserve">The Commission </w:t>
      </w:r>
      <w:r w:rsidR="0070766D" w:rsidRPr="002E69A0">
        <w:rPr>
          <w:rStyle w:val="news-date"/>
          <w:rFonts w:ascii="Verdana" w:hAnsi="Verdana"/>
          <w:b/>
          <w:sz w:val="24"/>
          <w:szCs w:val="24"/>
        </w:rPr>
        <w:t>advises</w:t>
      </w:r>
      <w:r w:rsidR="001A10F2" w:rsidRPr="002E69A0">
        <w:rPr>
          <w:rStyle w:val="news-date"/>
          <w:rFonts w:ascii="Verdana" w:hAnsi="Verdana"/>
          <w:b/>
          <w:sz w:val="24"/>
          <w:szCs w:val="24"/>
        </w:rPr>
        <w:t xml:space="preserve"> that significant investment in the development of alternatives to pre-tr</w:t>
      </w:r>
      <w:r w:rsidR="00372FEF" w:rsidRPr="002E69A0">
        <w:rPr>
          <w:rStyle w:val="news-date"/>
          <w:rFonts w:ascii="Verdana" w:hAnsi="Verdana"/>
          <w:b/>
          <w:sz w:val="24"/>
          <w:szCs w:val="24"/>
        </w:rPr>
        <w:t>ia</w:t>
      </w:r>
      <w:r w:rsidR="001A10F2" w:rsidRPr="002E69A0">
        <w:rPr>
          <w:rStyle w:val="news-date"/>
          <w:rFonts w:ascii="Verdana" w:hAnsi="Verdana"/>
          <w:b/>
          <w:sz w:val="24"/>
          <w:szCs w:val="24"/>
        </w:rPr>
        <w:t xml:space="preserve">l detention is required as a matter of priority and </w:t>
      </w:r>
      <w:r w:rsidR="0070766D" w:rsidRPr="002E69A0">
        <w:rPr>
          <w:rStyle w:val="news-date"/>
          <w:rFonts w:ascii="Verdana" w:hAnsi="Verdana"/>
          <w:b/>
          <w:sz w:val="24"/>
          <w:szCs w:val="24"/>
        </w:rPr>
        <w:t>considers that legislative and administrative measures</w:t>
      </w:r>
      <w:r w:rsidR="00623394" w:rsidRPr="002E69A0">
        <w:rPr>
          <w:rStyle w:val="news-date"/>
          <w:rFonts w:ascii="Verdana" w:hAnsi="Verdana"/>
          <w:b/>
          <w:sz w:val="24"/>
          <w:szCs w:val="24"/>
        </w:rPr>
        <w:t xml:space="preserve">, including the development of bail arrangements </w:t>
      </w:r>
      <w:r w:rsidR="00882081">
        <w:rPr>
          <w:rStyle w:val="news-date"/>
          <w:rFonts w:ascii="Verdana" w:hAnsi="Verdana"/>
          <w:b/>
          <w:sz w:val="24"/>
          <w:szCs w:val="24"/>
        </w:rPr>
        <w:t>such as</w:t>
      </w:r>
      <w:r w:rsidR="00623394" w:rsidRPr="002E69A0">
        <w:rPr>
          <w:rStyle w:val="news-date"/>
          <w:rFonts w:ascii="Verdana" w:hAnsi="Verdana"/>
          <w:b/>
          <w:sz w:val="24"/>
          <w:szCs w:val="24"/>
        </w:rPr>
        <w:t xml:space="preserve"> accommodation</w:t>
      </w:r>
      <w:r w:rsidR="0070766D" w:rsidRPr="002E69A0">
        <w:rPr>
          <w:rStyle w:val="news-date"/>
          <w:rFonts w:ascii="Verdana" w:hAnsi="Verdana"/>
          <w:b/>
          <w:sz w:val="24"/>
          <w:szCs w:val="24"/>
        </w:rPr>
        <w:t xml:space="preserve"> should be expedited to ensure children are held in detention only as a measure of last resort.  </w:t>
      </w:r>
    </w:p>
    <w:p w:rsidR="00CC43D5" w:rsidRPr="002E69A0" w:rsidRDefault="00CC43D5" w:rsidP="00D60183">
      <w:pPr>
        <w:pStyle w:val="NoSpacing"/>
        <w:rPr>
          <w:rFonts w:ascii="Verdana" w:hAnsi="Verdana"/>
          <w:sz w:val="24"/>
          <w:szCs w:val="24"/>
        </w:rPr>
      </w:pPr>
    </w:p>
    <w:p w:rsidR="00623394" w:rsidRPr="00623394" w:rsidRDefault="00623394" w:rsidP="00623394">
      <w:pPr>
        <w:autoSpaceDE w:val="0"/>
        <w:autoSpaceDN w:val="0"/>
        <w:adjustRightInd w:val="0"/>
        <w:spacing w:after="0" w:line="240" w:lineRule="auto"/>
        <w:rPr>
          <w:rFonts w:ascii="Verdana" w:hAnsi="Verdana" w:cs="Verdana"/>
          <w:color w:val="000000"/>
          <w:sz w:val="24"/>
          <w:szCs w:val="24"/>
        </w:rPr>
      </w:pPr>
      <w:r w:rsidRPr="002E69A0">
        <w:rPr>
          <w:rFonts w:ascii="Verdana" w:hAnsi="Verdana" w:cs="Verdana"/>
          <w:color w:val="000000"/>
          <w:sz w:val="24"/>
          <w:szCs w:val="24"/>
        </w:rPr>
        <w:t xml:space="preserve">4.7 </w:t>
      </w:r>
      <w:r w:rsidRPr="00623394">
        <w:rPr>
          <w:rFonts w:ascii="Verdana" w:hAnsi="Verdana" w:cs="Verdana"/>
          <w:color w:val="000000"/>
          <w:sz w:val="24"/>
          <w:szCs w:val="24"/>
        </w:rPr>
        <w:t xml:space="preserve">In September 2015 prisoners held on remand accounted for just </w:t>
      </w:r>
      <w:proofErr w:type="gramStart"/>
      <w:r w:rsidRPr="00623394">
        <w:rPr>
          <w:rFonts w:ascii="Verdana" w:hAnsi="Verdana" w:cs="Verdana"/>
          <w:color w:val="000000"/>
          <w:sz w:val="24"/>
          <w:szCs w:val="24"/>
        </w:rPr>
        <w:t>under</w:t>
      </w:r>
      <w:proofErr w:type="gramEnd"/>
      <w:r w:rsidRPr="00623394">
        <w:rPr>
          <w:rFonts w:ascii="Verdana" w:hAnsi="Verdana" w:cs="Verdana"/>
          <w:color w:val="000000"/>
          <w:sz w:val="24"/>
          <w:szCs w:val="24"/>
        </w:rPr>
        <w:t xml:space="preserve"> 25% of the overall prison population.</w:t>
      </w:r>
      <w:r w:rsidRPr="002E69A0">
        <w:rPr>
          <w:rFonts w:ascii="Verdana" w:hAnsi="Verdana" w:cs="Verdana"/>
          <w:color w:val="000000"/>
          <w:sz w:val="24"/>
          <w:szCs w:val="24"/>
          <w:vertAlign w:val="superscript"/>
        </w:rPr>
        <w:footnoteReference w:id="28"/>
      </w:r>
      <w:r w:rsidRPr="00623394">
        <w:rPr>
          <w:rFonts w:ascii="Verdana" w:hAnsi="Verdana" w:cs="Verdana"/>
          <w:color w:val="000000"/>
          <w:sz w:val="24"/>
          <w:szCs w:val="24"/>
        </w:rPr>
        <w:t xml:space="preserve"> This represents an improvement on previous years, but remand prisoners continue to be disproportionately represented in the overall prison population.</w:t>
      </w:r>
      <w:r w:rsidRPr="002E69A0">
        <w:rPr>
          <w:rFonts w:ascii="Verdana" w:hAnsi="Verdana" w:cs="Verdana"/>
          <w:color w:val="000000"/>
          <w:sz w:val="24"/>
          <w:szCs w:val="24"/>
          <w:vertAlign w:val="superscript"/>
        </w:rPr>
        <w:footnoteReference w:id="29"/>
      </w:r>
      <w:r w:rsidRPr="00623394">
        <w:rPr>
          <w:rFonts w:ascii="Verdana" w:hAnsi="Verdana" w:cs="Verdana"/>
          <w:color w:val="000000"/>
          <w:sz w:val="24"/>
          <w:szCs w:val="24"/>
        </w:rPr>
        <w:t xml:space="preserve"> A report by the European Commission for the Efficiency of Justice into justice systems in 33 European countries ranked the NI justice system as the second most inefficient on the basis of criminal prosecution clearance rates.</w:t>
      </w:r>
      <w:r w:rsidRPr="002E69A0">
        <w:rPr>
          <w:rFonts w:ascii="Verdana" w:hAnsi="Verdana" w:cs="Verdana"/>
          <w:color w:val="000000"/>
          <w:sz w:val="24"/>
          <w:szCs w:val="24"/>
          <w:vertAlign w:val="superscript"/>
        </w:rPr>
        <w:footnoteReference w:id="30"/>
      </w:r>
      <w:r w:rsidRPr="00623394">
        <w:rPr>
          <w:rFonts w:ascii="Verdana" w:hAnsi="Verdana" w:cs="Verdana"/>
          <w:color w:val="000000"/>
          <w:sz w:val="24"/>
          <w:szCs w:val="24"/>
        </w:rPr>
        <w:t xml:space="preserve"> </w:t>
      </w:r>
    </w:p>
    <w:p w:rsidR="00623394" w:rsidRPr="00623394" w:rsidRDefault="00623394" w:rsidP="00623394">
      <w:pPr>
        <w:spacing w:after="0" w:line="240" w:lineRule="auto"/>
        <w:rPr>
          <w:rFonts w:ascii="Verdana" w:hAnsi="Verdana"/>
          <w:sz w:val="24"/>
          <w:szCs w:val="24"/>
        </w:rPr>
      </w:pPr>
    </w:p>
    <w:p w:rsidR="00623394" w:rsidRDefault="00623394" w:rsidP="00623394">
      <w:pPr>
        <w:spacing w:after="0" w:line="240" w:lineRule="auto"/>
        <w:rPr>
          <w:rFonts w:ascii="Verdana" w:hAnsi="Verdana"/>
          <w:sz w:val="24"/>
          <w:szCs w:val="24"/>
        </w:rPr>
      </w:pPr>
      <w:r w:rsidRPr="002E69A0">
        <w:rPr>
          <w:rFonts w:ascii="Verdana" w:hAnsi="Verdana"/>
          <w:sz w:val="24"/>
          <w:szCs w:val="24"/>
        </w:rPr>
        <w:t xml:space="preserve">4.8 </w:t>
      </w:r>
      <w:r w:rsidRPr="00623394">
        <w:rPr>
          <w:rFonts w:ascii="Verdana" w:hAnsi="Verdana"/>
          <w:sz w:val="24"/>
          <w:szCs w:val="24"/>
        </w:rPr>
        <w:t>The UN Human Rights Committee in 2015 recommended the introduction of:</w:t>
      </w:r>
    </w:p>
    <w:p w:rsidR="00882081" w:rsidRPr="002E69A0" w:rsidRDefault="00882081" w:rsidP="00623394">
      <w:pPr>
        <w:spacing w:after="0" w:line="240" w:lineRule="auto"/>
        <w:rPr>
          <w:rFonts w:ascii="Verdana" w:hAnsi="Verdana"/>
          <w:sz w:val="24"/>
          <w:szCs w:val="24"/>
        </w:rPr>
      </w:pPr>
    </w:p>
    <w:p w:rsidR="00623394" w:rsidRPr="00623394" w:rsidRDefault="00623394" w:rsidP="00623394">
      <w:pPr>
        <w:spacing w:after="0" w:line="240" w:lineRule="auto"/>
        <w:ind w:left="720"/>
        <w:rPr>
          <w:rFonts w:ascii="Verdana" w:hAnsi="Verdana"/>
          <w:sz w:val="24"/>
          <w:szCs w:val="24"/>
        </w:rPr>
      </w:pPr>
      <w:proofErr w:type="gramStart"/>
      <w:r w:rsidRPr="00623394">
        <w:rPr>
          <w:rFonts w:ascii="Verdana" w:eastAsia="Times New Roman" w:hAnsi="Verdana" w:cs="Times New Roman"/>
          <w:sz w:val="24"/>
          <w:szCs w:val="24"/>
        </w:rPr>
        <w:t>concrete</w:t>
      </w:r>
      <w:proofErr w:type="gramEnd"/>
      <w:r w:rsidRPr="00623394">
        <w:rPr>
          <w:rFonts w:ascii="Verdana" w:eastAsia="Times New Roman" w:hAnsi="Verdana" w:cs="Times New Roman"/>
          <w:sz w:val="24"/>
          <w:szCs w:val="24"/>
        </w:rPr>
        <w:t xml:space="preserve"> measures to reduce avoidable delay</w:t>
      </w:r>
      <w:r w:rsidRPr="00623394">
        <w:rPr>
          <w:rFonts w:ascii="Verdana" w:eastAsia="Times New Roman" w:hAnsi="Verdana" w:cs="Times New Roman"/>
          <w:sz w:val="24"/>
          <w:szCs w:val="24"/>
          <w:lang w:bidi="he-IL"/>
        </w:rPr>
        <w:t>s</w:t>
      </w:r>
      <w:r w:rsidRPr="00623394">
        <w:rPr>
          <w:rFonts w:ascii="Verdana" w:eastAsia="Times New Roman" w:hAnsi="Verdana" w:cs="Times New Roman"/>
          <w:sz w:val="24"/>
          <w:szCs w:val="24"/>
        </w:rPr>
        <w:t xml:space="preserve"> in the criminal justice system in Northern Ireland, including by introducing custodial time limits.</w:t>
      </w:r>
      <w:r w:rsidRPr="002E69A0">
        <w:rPr>
          <w:rFonts w:ascii="Verdana" w:eastAsia="Times New Roman" w:hAnsi="Verdana" w:cs="Times New Roman"/>
          <w:sz w:val="24"/>
          <w:szCs w:val="24"/>
          <w:vertAlign w:val="superscript"/>
        </w:rPr>
        <w:footnoteReference w:id="31"/>
      </w:r>
    </w:p>
    <w:p w:rsidR="00623394" w:rsidRPr="00623394" w:rsidRDefault="00623394" w:rsidP="00623394">
      <w:pPr>
        <w:spacing w:after="0" w:line="240" w:lineRule="auto"/>
        <w:rPr>
          <w:rFonts w:ascii="Verdana" w:hAnsi="Verdana"/>
          <w:sz w:val="24"/>
          <w:szCs w:val="24"/>
        </w:rPr>
      </w:pPr>
    </w:p>
    <w:p w:rsidR="00623394" w:rsidRDefault="00623394" w:rsidP="00544241">
      <w:pPr>
        <w:spacing w:after="0" w:line="240" w:lineRule="auto"/>
        <w:rPr>
          <w:rFonts w:ascii="Verdana" w:hAnsi="Verdana"/>
          <w:sz w:val="24"/>
          <w:szCs w:val="24"/>
        </w:rPr>
      </w:pPr>
      <w:r w:rsidRPr="002E69A0">
        <w:rPr>
          <w:rFonts w:ascii="Verdana" w:hAnsi="Verdana"/>
          <w:sz w:val="24"/>
          <w:szCs w:val="24"/>
        </w:rPr>
        <w:t xml:space="preserve">4.9 </w:t>
      </w:r>
      <w:r w:rsidRPr="00623394">
        <w:rPr>
          <w:rFonts w:ascii="Verdana" w:hAnsi="Verdana"/>
          <w:sz w:val="24"/>
          <w:szCs w:val="24"/>
        </w:rPr>
        <w:t>The Commission has recommended on a number of occasions the introduction of custodial time limits in the NI criminal justice system. These were first introduced to England and Wales in 1991.</w:t>
      </w:r>
      <w:r w:rsidRPr="002E69A0">
        <w:rPr>
          <w:rFonts w:ascii="Verdana" w:hAnsi="Verdana"/>
          <w:sz w:val="24"/>
          <w:szCs w:val="24"/>
          <w:vertAlign w:val="superscript"/>
        </w:rPr>
        <w:footnoteReference w:id="32"/>
      </w:r>
      <w:r w:rsidRPr="00623394">
        <w:rPr>
          <w:rFonts w:ascii="Verdana" w:hAnsi="Verdana"/>
          <w:sz w:val="24"/>
          <w:szCs w:val="24"/>
        </w:rPr>
        <w:t xml:space="preserve"> The Criminal Justice Inspector for NI has stated that failure to introduce statutory custodial time limits in NI “consigns the justice process here to continuing unacceptable delay in processing cases”. </w:t>
      </w:r>
      <w:r w:rsidRPr="00623394">
        <w:rPr>
          <w:rFonts w:ascii="Verdana" w:hAnsi="Verdana"/>
          <w:sz w:val="24"/>
          <w:szCs w:val="24"/>
          <w:vertAlign w:val="superscript"/>
        </w:rPr>
        <w:footnoteReference w:id="33"/>
      </w:r>
    </w:p>
    <w:p w:rsidR="00544241" w:rsidRPr="00623394" w:rsidRDefault="00544241" w:rsidP="00544241">
      <w:pPr>
        <w:spacing w:after="0" w:line="240" w:lineRule="auto"/>
        <w:rPr>
          <w:rFonts w:ascii="Verdana" w:hAnsi="Verdana"/>
          <w:sz w:val="24"/>
          <w:szCs w:val="24"/>
        </w:rPr>
      </w:pPr>
    </w:p>
    <w:p w:rsidR="00882081" w:rsidRDefault="00882081" w:rsidP="00882081">
      <w:pPr>
        <w:pStyle w:val="NoSpacing"/>
        <w:rPr>
          <w:rFonts w:ascii="Verdana" w:hAnsi="Verdana"/>
          <w:b/>
          <w:sz w:val="24"/>
          <w:szCs w:val="24"/>
        </w:rPr>
      </w:pPr>
      <w:r>
        <w:rPr>
          <w:rFonts w:ascii="Verdana" w:hAnsi="Verdana"/>
          <w:b/>
          <w:sz w:val="24"/>
          <w:szCs w:val="24"/>
        </w:rPr>
        <w:tab/>
      </w:r>
      <w:r w:rsidRPr="00882081">
        <w:rPr>
          <w:rFonts w:ascii="Verdana" w:hAnsi="Verdana"/>
          <w:b/>
          <w:sz w:val="24"/>
          <w:szCs w:val="24"/>
        </w:rPr>
        <w:t xml:space="preserve">4.10 The Commission advises that the strategy refer to the </w:t>
      </w:r>
      <w:r>
        <w:rPr>
          <w:rFonts w:ascii="Verdana" w:hAnsi="Verdana"/>
          <w:b/>
          <w:sz w:val="24"/>
          <w:szCs w:val="24"/>
        </w:rPr>
        <w:t xml:space="preserve">  </w:t>
      </w:r>
    </w:p>
    <w:p w:rsidR="00882081" w:rsidRDefault="00882081" w:rsidP="00882081">
      <w:pPr>
        <w:pStyle w:val="NoSpacing"/>
        <w:rPr>
          <w:rFonts w:ascii="Verdana" w:hAnsi="Verdana"/>
          <w:b/>
          <w:sz w:val="24"/>
          <w:szCs w:val="24"/>
        </w:rPr>
      </w:pPr>
      <w:r>
        <w:rPr>
          <w:rFonts w:ascii="Verdana" w:hAnsi="Verdana"/>
          <w:b/>
          <w:sz w:val="24"/>
          <w:szCs w:val="24"/>
        </w:rPr>
        <w:t xml:space="preserve">        </w:t>
      </w:r>
      <w:r w:rsidR="00CD3625">
        <w:rPr>
          <w:rFonts w:ascii="Verdana" w:hAnsi="Verdana"/>
          <w:b/>
          <w:sz w:val="24"/>
          <w:szCs w:val="24"/>
        </w:rPr>
        <w:t xml:space="preserve"> </w:t>
      </w:r>
      <w:proofErr w:type="gramStart"/>
      <w:r>
        <w:rPr>
          <w:rFonts w:ascii="Verdana" w:hAnsi="Verdana"/>
          <w:b/>
          <w:sz w:val="24"/>
          <w:szCs w:val="24"/>
        </w:rPr>
        <w:t>a</w:t>
      </w:r>
      <w:r w:rsidRPr="00882081">
        <w:rPr>
          <w:rFonts w:ascii="Verdana" w:hAnsi="Verdana"/>
          <w:b/>
          <w:sz w:val="24"/>
          <w:szCs w:val="24"/>
        </w:rPr>
        <w:t>cknowledged</w:t>
      </w:r>
      <w:proofErr w:type="gramEnd"/>
      <w:r w:rsidRPr="00882081">
        <w:rPr>
          <w:rFonts w:ascii="Verdana" w:hAnsi="Verdana"/>
          <w:b/>
          <w:sz w:val="24"/>
          <w:szCs w:val="24"/>
        </w:rPr>
        <w:t xml:space="preserve"> need to address the high number of prisoners </w:t>
      </w:r>
    </w:p>
    <w:p w:rsidR="00882081" w:rsidRDefault="00882081" w:rsidP="00882081">
      <w:pPr>
        <w:pStyle w:val="NoSpacing"/>
        <w:rPr>
          <w:rFonts w:ascii="Verdana" w:hAnsi="Verdana"/>
          <w:b/>
          <w:sz w:val="24"/>
          <w:szCs w:val="24"/>
        </w:rPr>
      </w:pPr>
      <w:r>
        <w:rPr>
          <w:rFonts w:ascii="Verdana" w:hAnsi="Verdana"/>
          <w:b/>
          <w:sz w:val="24"/>
          <w:szCs w:val="24"/>
        </w:rPr>
        <w:t xml:space="preserve">        </w:t>
      </w:r>
      <w:r w:rsidR="00CD3625">
        <w:rPr>
          <w:rFonts w:ascii="Verdana" w:hAnsi="Verdana"/>
          <w:b/>
          <w:sz w:val="24"/>
          <w:szCs w:val="24"/>
        </w:rPr>
        <w:t xml:space="preserve"> </w:t>
      </w:r>
      <w:proofErr w:type="gramStart"/>
      <w:r w:rsidRPr="00882081">
        <w:rPr>
          <w:rFonts w:ascii="Verdana" w:hAnsi="Verdana"/>
          <w:b/>
          <w:sz w:val="24"/>
          <w:szCs w:val="24"/>
        </w:rPr>
        <w:t>on</w:t>
      </w:r>
      <w:proofErr w:type="gramEnd"/>
      <w:r w:rsidRPr="00882081">
        <w:rPr>
          <w:rFonts w:ascii="Verdana" w:hAnsi="Verdana"/>
          <w:b/>
          <w:sz w:val="24"/>
          <w:szCs w:val="24"/>
        </w:rPr>
        <w:t xml:space="preserve"> remand for lengthy periods within the prison system, the </w:t>
      </w:r>
    </w:p>
    <w:p w:rsidR="00882081" w:rsidRDefault="00882081" w:rsidP="00CD3625">
      <w:pPr>
        <w:pStyle w:val="NoSpacing"/>
        <w:ind w:left="720"/>
        <w:rPr>
          <w:rFonts w:ascii="Verdana" w:hAnsi="Verdana"/>
          <w:b/>
          <w:sz w:val="24"/>
          <w:szCs w:val="24"/>
        </w:rPr>
      </w:pPr>
      <w:proofErr w:type="gramStart"/>
      <w:r w:rsidRPr="00882081">
        <w:rPr>
          <w:rFonts w:ascii="Verdana" w:hAnsi="Verdana"/>
          <w:b/>
          <w:sz w:val="24"/>
          <w:szCs w:val="24"/>
        </w:rPr>
        <w:t>impact</w:t>
      </w:r>
      <w:proofErr w:type="gramEnd"/>
      <w:r w:rsidRPr="00882081">
        <w:rPr>
          <w:rFonts w:ascii="Verdana" w:hAnsi="Verdana"/>
          <w:b/>
          <w:sz w:val="24"/>
          <w:szCs w:val="24"/>
        </w:rPr>
        <w:t xml:space="preserve"> of this </w:t>
      </w:r>
      <w:r w:rsidR="00CD3625">
        <w:rPr>
          <w:rFonts w:ascii="Verdana" w:hAnsi="Verdana"/>
          <w:b/>
          <w:sz w:val="24"/>
          <w:szCs w:val="24"/>
        </w:rPr>
        <w:t>issue</w:t>
      </w:r>
      <w:r w:rsidR="00544241">
        <w:rPr>
          <w:rFonts w:ascii="Verdana" w:hAnsi="Verdana"/>
          <w:b/>
          <w:sz w:val="24"/>
          <w:szCs w:val="24"/>
        </w:rPr>
        <w:t xml:space="preserve"> on</w:t>
      </w:r>
      <w:r w:rsidRPr="00882081">
        <w:rPr>
          <w:rFonts w:ascii="Verdana" w:hAnsi="Verdana"/>
          <w:b/>
          <w:sz w:val="24"/>
          <w:szCs w:val="24"/>
        </w:rPr>
        <w:t xml:space="preserve"> our criminal justice system </w:t>
      </w:r>
      <w:r w:rsidR="00CD3625">
        <w:rPr>
          <w:rFonts w:ascii="Verdana" w:hAnsi="Verdana"/>
          <w:b/>
          <w:sz w:val="24"/>
          <w:szCs w:val="24"/>
        </w:rPr>
        <w:t xml:space="preserve">including the pressure it places on health and social care services </w:t>
      </w:r>
      <w:r w:rsidRPr="00882081">
        <w:rPr>
          <w:rFonts w:ascii="Verdana" w:hAnsi="Verdana"/>
          <w:b/>
          <w:sz w:val="24"/>
          <w:szCs w:val="24"/>
        </w:rPr>
        <w:t xml:space="preserve">and </w:t>
      </w:r>
    </w:p>
    <w:p w:rsidR="00882081" w:rsidRDefault="00882081" w:rsidP="00882081">
      <w:pPr>
        <w:pStyle w:val="NoSpacing"/>
        <w:rPr>
          <w:rFonts w:ascii="Verdana" w:hAnsi="Verdana"/>
          <w:b/>
          <w:sz w:val="24"/>
          <w:szCs w:val="24"/>
        </w:rPr>
      </w:pPr>
      <w:r>
        <w:rPr>
          <w:rFonts w:ascii="Verdana" w:hAnsi="Verdana"/>
          <w:b/>
          <w:sz w:val="24"/>
          <w:szCs w:val="24"/>
        </w:rPr>
        <w:t xml:space="preserve">        </w:t>
      </w:r>
      <w:r w:rsidR="00CD3625">
        <w:rPr>
          <w:rFonts w:ascii="Verdana" w:hAnsi="Verdana"/>
          <w:b/>
          <w:sz w:val="24"/>
          <w:szCs w:val="24"/>
        </w:rPr>
        <w:t xml:space="preserve"> </w:t>
      </w:r>
      <w:proofErr w:type="gramStart"/>
      <w:r w:rsidRPr="00882081">
        <w:rPr>
          <w:rFonts w:ascii="Verdana" w:hAnsi="Verdana"/>
          <w:b/>
          <w:sz w:val="24"/>
          <w:szCs w:val="24"/>
        </w:rPr>
        <w:t>the</w:t>
      </w:r>
      <w:proofErr w:type="gramEnd"/>
      <w:r w:rsidRPr="00882081">
        <w:rPr>
          <w:rFonts w:ascii="Verdana" w:hAnsi="Verdana"/>
          <w:b/>
          <w:sz w:val="24"/>
          <w:szCs w:val="24"/>
        </w:rPr>
        <w:t xml:space="preserve"> proposals to address</w:t>
      </w:r>
      <w:r>
        <w:rPr>
          <w:rFonts w:ascii="Verdana" w:hAnsi="Verdana"/>
          <w:b/>
          <w:sz w:val="24"/>
          <w:szCs w:val="24"/>
        </w:rPr>
        <w:t xml:space="preserve"> it</w:t>
      </w:r>
      <w:r w:rsidRPr="00882081">
        <w:rPr>
          <w:rFonts w:ascii="Verdana" w:hAnsi="Verdana"/>
          <w:b/>
          <w:sz w:val="24"/>
          <w:szCs w:val="24"/>
        </w:rPr>
        <w:t>.</w:t>
      </w:r>
    </w:p>
    <w:p w:rsidR="00623394" w:rsidRPr="002E69A0" w:rsidRDefault="00623394" w:rsidP="00D60183">
      <w:pPr>
        <w:pStyle w:val="NoSpacing"/>
        <w:rPr>
          <w:rFonts w:ascii="Verdana" w:hAnsi="Verdana"/>
          <w:sz w:val="24"/>
          <w:szCs w:val="24"/>
        </w:rPr>
      </w:pPr>
    </w:p>
    <w:p w:rsidR="009E4120" w:rsidRPr="002E69A0" w:rsidRDefault="00276DF0" w:rsidP="00D60183">
      <w:pPr>
        <w:pStyle w:val="NoSpacing"/>
        <w:rPr>
          <w:rFonts w:ascii="Verdana" w:hAnsi="Verdana"/>
          <w:b/>
          <w:sz w:val="24"/>
          <w:szCs w:val="24"/>
        </w:rPr>
      </w:pPr>
      <w:r w:rsidRPr="002E69A0">
        <w:rPr>
          <w:rFonts w:ascii="Verdana" w:hAnsi="Verdana"/>
          <w:b/>
          <w:sz w:val="24"/>
          <w:szCs w:val="24"/>
        </w:rPr>
        <w:t>Strategic Priority 5</w:t>
      </w:r>
      <w:r w:rsidR="009E4120" w:rsidRPr="002E69A0">
        <w:rPr>
          <w:rFonts w:ascii="Verdana" w:hAnsi="Verdana"/>
          <w:b/>
          <w:sz w:val="24"/>
          <w:szCs w:val="24"/>
        </w:rPr>
        <w:t xml:space="preserve">: Health Promotion and ill health prevention </w:t>
      </w:r>
    </w:p>
    <w:p w:rsidR="009E4120" w:rsidRPr="002E69A0" w:rsidRDefault="009E4120" w:rsidP="00D60183">
      <w:pPr>
        <w:pStyle w:val="NoSpacing"/>
        <w:rPr>
          <w:rFonts w:ascii="Verdana" w:hAnsi="Verdana"/>
          <w:sz w:val="24"/>
          <w:szCs w:val="24"/>
        </w:rPr>
      </w:pPr>
    </w:p>
    <w:p w:rsidR="00497B4E" w:rsidRPr="002E69A0" w:rsidRDefault="0070766D" w:rsidP="00D60183">
      <w:pPr>
        <w:pStyle w:val="NoSpacing"/>
        <w:rPr>
          <w:rFonts w:ascii="Verdana" w:hAnsi="Verdana"/>
          <w:sz w:val="24"/>
          <w:szCs w:val="24"/>
        </w:rPr>
      </w:pPr>
      <w:r w:rsidRPr="002E69A0">
        <w:rPr>
          <w:rFonts w:ascii="Verdana" w:hAnsi="Verdana"/>
          <w:sz w:val="24"/>
          <w:szCs w:val="24"/>
        </w:rPr>
        <w:t xml:space="preserve">5.1 </w:t>
      </w:r>
      <w:r w:rsidR="00F12490" w:rsidRPr="002E69A0">
        <w:rPr>
          <w:rFonts w:ascii="Verdana" w:hAnsi="Verdana"/>
          <w:sz w:val="24"/>
          <w:szCs w:val="24"/>
        </w:rPr>
        <w:t xml:space="preserve">The UN General Assembly resolution 43/173, </w:t>
      </w:r>
      <w:r w:rsidR="00544241">
        <w:rPr>
          <w:rFonts w:ascii="Verdana" w:hAnsi="Verdana"/>
          <w:sz w:val="24"/>
          <w:szCs w:val="24"/>
        </w:rPr>
        <w:t xml:space="preserve">on the </w:t>
      </w:r>
      <w:r w:rsidR="00F12490" w:rsidRPr="002E69A0">
        <w:rPr>
          <w:rFonts w:ascii="Verdana" w:hAnsi="Verdana"/>
          <w:sz w:val="24"/>
          <w:szCs w:val="24"/>
        </w:rPr>
        <w:t xml:space="preserve">‘Body of Principles for the Protection of All Persons under Any Form of Detention or Imprisonment’, principle 24 states:  </w:t>
      </w:r>
    </w:p>
    <w:p w:rsidR="00F12490" w:rsidRPr="002E69A0" w:rsidRDefault="00F12490" w:rsidP="00D60183">
      <w:pPr>
        <w:pStyle w:val="NoSpacing"/>
        <w:rPr>
          <w:rFonts w:ascii="Verdana" w:hAnsi="Verdana"/>
          <w:sz w:val="24"/>
          <w:szCs w:val="24"/>
        </w:rPr>
      </w:pPr>
    </w:p>
    <w:p w:rsidR="00497B4E" w:rsidRPr="002E69A0" w:rsidRDefault="00F12490" w:rsidP="00F12490">
      <w:pPr>
        <w:pStyle w:val="NoSpacing"/>
        <w:ind w:left="720"/>
        <w:rPr>
          <w:rFonts w:ascii="Verdana" w:hAnsi="Verdana"/>
          <w:sz w:val="24"/>
          <w:szCs w:val="24"/>
        </w:rPr>
      </w:pPr>
      <w:r w:rsidRPr="002E69A0">
        <w:rPr>
          <w:rFonts w:ascii="Verdana" w:hAnsi="Verdana"/>
          <w:sz w:val="24"/>
          <w:szCs w:val="24"/>
        </w:rPr>
        <w:t>A proper medical examination shall be offered to a detained or imprisoned person as promptly as possible after his admission to the place of detention or imprisonment, and thereafter medical care and treatment shall be provided whenever necessary. This care and treatment shall be provided free of charge.</w:t>
      </w:r>
      <w:r w:rsidRPr="002E69A0">
        <w:rPr>
          <w:rStyle w:val="FootnoteReference"/>
          <w:rFonts w:ascii="Verdana" w:hAnsi="Verdana"/>
          <w:sz w:val="24"/>
          <w:szCs w:val="24"/>
        </w:rPr>
        <w:footnoteReference w:id="34"/>
      </w:r>
    </w:p>
    <w:p w:rsidR="00574E4E" w:rsidRPr="002E69A0" w:rsidRDefault="00574E4E" w:rsidP="00574E4E">
      <w:pPr>
        <w:pStyle w:val="NoSpacing"/>
        <w:rPr>
          <w:rFonts w:ascii="Verdana" w:hAnsi="Verdana"/>
          <w:sz w:val="24"/>
          <w:szCs w:val="24"/>
        </w:rPr>
      </w:pPr>
    </w:p>
    <w:p w:rsidR="00574E4E" w:rsidRPr="002E69A0" w:rsidRDefault="00574E4E" w:rsidP="00574E4E">
      <w:pPr>
        <w:pStyle w:val="NoSpacing"/>
        <w:rPr>
          <w:rFonts w:ascii="Verdana" w:hAnsi="Verdana"/>
          <w:sz w:val="24"/>
          <w:szCs w:val="24"/>
        </w:rPr>
      </w:pPr>
      <w:r w:rsidRPr="002E69A0">
        <w:rPr>
          <w:rFonts w:ascii="Verdana" w:hAnsi="Verdana"/>
          <w:sz w:val="24"/>
          <w:szCs w:val="24"/>
        </w:rPr>
        <w:t xml:space="preserve">5.2 In relation to women prisoners, the UN General Assembly resolution 65/229 </w:t>
      </w:r>
      <w:r w:rsidR="00372FEF" w:rsidRPr="002E69A0">
        <w:rPr>
          <w:rFonts w:ascii="Verdana" w:hAnsi="Verdana"/>
          <w:sz w:val="24"/>
          <w:szCs w:val="24"/>
        </w:rPr>
        <w:t>on the treatment of women prisoners</w:t>
      </w:r>
      <w:r w:rsidRPr="002E69A0">
        <w:rPr>
          <w:rFonts w:ascii="Verdana" w:hAnsi="Verdana"/>
          <w:sz w:val="24"/>
          <w:szCs w:val="24"/>
        </w:rPr>
        <w:t xml:space="preserve"> (‘the Bangkok Rules’)</w:t>
      </w:r>
      <w:r w:rsidR="00372FEF" w:rsidRPr="002E69A0">
        <w:rPr>
          <w:rFonts w:ascii="Verdana" w:hAnsi="Verdana"/>
          <w:sz w:val="24"/>
          <w:szCs w:val="24"/>
        </w:rPr>
        <w:t xml:space="preserve"> contains obligations concerning gender-specific health care and suicide prevention:</w:t>
      </w:r>
    </w:p>
    <w:p w:rsidR="00372FEF" w:rsidRPr="002E69A0" w:rsidRDefault="00372FEF" w:rsidP="00574E4E">
      <w:pPr>
        <w:pStyle w:val="NoSpacing"/>
        <w:rPr>
          <w:rFonts w:ascii="Verdana" w:hAnsi="Verdana"/>
          <w:sz w:val="24"/>
          <w:szCs w:val="24"/>
        </w:rPr>
      </w:pPr>
    </w:p>
    <w:p w:rsidR="00372FEF" w:rsidRPr="002E69A0" w:rsidRDefault="00372FEF" w:rsidP="00372FEF">
      <w:pPr>
        <w:pStyle w:val="NoSpacing"/>
        <w:ind w:left="720"/>
        <w:rPr>
          <w:rFonts w:ascii="Verdana" w:hAnsi="Verdana"/>
          <w:sz w:val="24"/>
          <w:szCs w:val="24"/>
        </w:rPr>
      </w:pPr>
      <w:r w:rsidRPr="002E69A0">
        <w:rPr>
          <w:rFonts w:ascii="Verdana" w:hAnsi="Verdana"/>
          <w:sz w:val="24"/>
          <w:szCs w:val="24"/>
        </w:rPr>
        <w:t>[</w:t>
      </w:r>
      <w:proofErr w:type="gramStart"/>
      <w:r w:rsidRPr="002E69A0">
        <w:rPr>
          <w:rFonts w:ascii="Verdana" w:hAnsi="Verdana"/>
          <w:sz w:val="24"/>
          <w:szCs w:val="24"/>
        </w:rPr>
        <w:t>rule</w:t>
      </w:r>
      <w:proofErr w:type="gramEnd"/>
      <w:r w:rsidRPr="002E69A0">
        <w:rPr>
          <w:rFonts w:ascii="Verdana" w:hAnsi="Verdana"/>
          <w:sz w:val="24"/>
          <w:szCs w:val="24"/>
        </w:rPr>
        <w:t xml:space="preserve"> 9] Gender-specific health-care services at least equivalent to those available in the community shall be provided to women prisoners.</w:t>
      </w:r>
    </w:p>
    <w:p w:rsidR="00372FEF" w:rsidRPr="002E69A0" w:rsidRDefault="00372FEF" w:rsidP="00372FEF">
      <w:pPr>
        <w:pStyle w:val="NoSpacing"/>
        <w:ind w:left="720"/>
        <w:rPr>
          <w:rFonts w:ascii="Verdana" w:hAnsi="Verdana"/>
          <w:sz w:val="24"/>
          <w:szCs w:val="24"/>
        </w:rPr>
      </w:pPr>
    </w:p>
    <w:p w:rsidR="00372FEF" w:rsidRPr="002E69A0" w:rsidRDefault="00372FEF" w:rsidP="00372FEF">
      <w:pPr>
        <w:pStyle w:val="NoSpacing"/>
        <w:ind w:left="720"/>
        <w:rPr>
          <w:rFonts w:ascii="Verdana" w:hAnsi="Verdana"/>
          <w:sz w:val="24"/>
          <w:szCs w:val="24"/>
        </w:rPr>
      </w:pPr>
      <w:r w:rsidRPr="002E69A0">
        <w:rPr>
          <w:rFonts w:ascii="Verdana" w:hAnsi="Verdana"/>
          <w:sz w:val="24"/>
          <w:szCs w:val="24"/>
        </w:rPr>
        <w:t>[</w:t>
      </w:r>
      <w:proofErr w:type="gramStart"/>
      <w:r w:rsidRPr="002E69A0">
        <w:rPr>
          <w:rFonts w:ascii="Verdana" w:hAnsi="Verdana"/>
          <w:sz w:val="24"/>
          <w:szCs w:val="24"/>
        </w:rPr>
        <w:t>rule</w:t>
      </w:r>
      <w:proofErr w:type="gramEnd"/>
      <w:r w:rsidRPr="002E69A0">
        <w:rPr>
          <w:rFonts w:ascii="Verdana" w:hAnsi="Verdana"/>
          <w:sz w:val="24"/>
          <w:szCs w:val="24"/>
        </w:rPr>
        <w:t xml:space="preserve"> 16] Developing and implementing strategies, in consultation with mental health-care and social welfare services, to prevent suicide and self-harm among women prisoners and providing appropriate, gender-specific and specialised support to those at risk shall be part of a comprehensive policy of mental health care in women’s prisons.</w:t>
      </w:r>
      <w:r w:rsidRPr="002E69A0">
        <w:rPr>
          <w:rStyle w:val="FootnoteReference"/>
          <w:rFonts w:ascii="Verdana" w:hAnsi="Verdana"/>
          <w:sz w:val="24"/>
          <w:szCs w:val="24"/>
        </w:rPr>
        <w:footnoteReference w:id="35"/>
      </w:r>
    </w:p>
    <w:p w:rsidR="00F12490" w:rsidRPr="002E69A0" w:rsidRDefault="00F12490" w:rsidP="00D60183">
      <w:pPr>
        <w:pStyle w:val="NoSpacing"/>
        <w:rPr>
          <w:rFonts w:ascii="Verdana" w:hAnsi="Verdana"/>
          <w:sz w:val="24"/>
          <w:szCs w:val="24"/>
        </w:rPr>
      </w:pPr>
    </w:p>
    <w:p w:rsidR="00B5665A" w:rsidRPr="002E69A0" w:rsidRDefault="0070766D" w:rsidP="00D60183">
      <w:pPr>
        <w:pStyle w:val="NoSpacing"/>
        <w:rPr>
          <w:rFonts w:ascii="Verdana" w:hAnsi="Verdana"/>
          <w:sz w:val="24"/>
          <w:szCs w:val="24"/>
        </w:rPr>
      </w:pPr>
      <w:r w:rsidRPr="002E69A0">
        <w:rPr>
          <w:rFonts w:ascii="Verdana" w:hAnsi="Verdana"/>
          <w:sz w:val="24"/>
          <w:szCs w:val="24"/>
        </w:rPr>
        <w:t xml:space="preserve">5.2 </w:t>
      </w:r>
      <w:r w:rsidR="00BC6001" w:rsidRPr="002E69A0">
        <w:rPr>
          <w:rFonts w:ascii="Verdana" w:hAnsi="Verdana"/>
          <w:sz w:val="24"/>
          <w:szCs w:val="24"/>
        </w:rPr>
        <w:t>The Commission notes that</w:t>
      </w:r>
      <w:r w:rsidR="00AB274D" w:rsidRPr="002E69A0">
        <w:rPr>
          <w:rFonts w:ascii="Verdana" w:hAnsi="Verdana"/>
          <w:sz w:val="24"/>
          <w:szCs w:val="24"/>
        </w:rPr>
        <w:t xml:space="preserve"> the Prisoner Ombudsman’s</w:t>
      </w:r>
      <w:r w:rsidR="00BC6001" w:rsidRPr="002E69A0">
        <w:rPr>
          <w:rFonts w:ascii="Verdana" w:hAnsi="Verdana"/>
          <w:sz w:val="24"/>
          <w:szCs w:val="24"/>
        </w:rPr>
        <w:t xml:space="preserve"> </w:t>
      </w:r>
      <w:r w:rsidRPr="002E69A0">
        <w:rPr>
          <w:rFonts w:ascii="Verdana" w:hAnsi="Verdana"/>
          <w:sz w:val="24"/>
          <w:szCs w:val="24"/>
        </w:rPr>
        <w:t>‘</w:t>
      </w:r>
      <w:r w:rsidR="00BC6001" w:rsidRPr="002E69A0">
        <w:rPr>
          <w:rFonts w:ascii="Verdana" w:hAnsi="Verdana"/>
          <w:sz w:val="24"/>
          <w:szCs w:val="24"/>
        </w:rPr>
        <w:t>death in custody</w:t>
      </w:r>
      <w:r w:rsidRPr="002E69A0">
        <w:rPr>
          <w:rFonts w:ascii="Verdana" w:hAnsi="Verdana"/>
          <w:sz w:val="24"/>
          <w:szCs w:val="24"/>
        </w:rPr>
        <w:t>’</w:t>
      </w:r>
      <w:r w:rsidR="00BC6001" w:rsidRPr="002E69A0">
        <w:rPr>
          <w:rFonts w:ascii="Verdana" w:hAnsi="Verdana"/>
          <w:sz w:val="24"/>
          <w:szCs w:val="24"/>
        </w:rPr>
        <w:t xml:space="preserve"> investigation</w:t>
      </w:r>
      <w:r w:rsidR="00AB274D" w:rsidRPr="002E69A0">
        <w:rPr>
          <w:rFonts w:ascii="Verdana" w:hAnsi="Verdana"/>
          <w:sz w:val="24"/>
          <w:szCs w:val="24"/>
        </w:rPr>
        <w:t xml:space="preserve"> reports routinely</w:t>
      </w:r>
      <w:r w:rsidR="00BC6001" w:rsidRPr="002E69A0">
        <w:rPr>
          <w:rFonts w:ascii="Verdana" w:hAnsi="Verdana"/>
          <w:sz w:val="24"/>
          <w:szCs w:val="24"/>
        </w:rPr>
        <w:t xml:space="preserve"> raise concerns and make recommendations relating to the Supporting Prisoners at Risk Procedures</w:t>
      </w:r>
      <w:r w:rsidR="00E0133B" w:rsidRPr="002E69A0">
        <w:rPr>
          <w:rFonts w:ascii="Verdana" w:hAnsi="Verdana"/>
          <w:sz w:val="24"/>
          <w:szCs w:val="24"/>
        </w:rPr>
        <w:t xml:space="preserve"> (SPAR)</w:t>
      </w:r>
      <w:r w:rsidR="00BC6001" w:rsidRPr="002E69A0">
        <w:rPr>
          <w:rFonts w:ascii="Verdana" w:hAnsi="Verdana"/>
          <w:sz w:val="24"/>
          <w:szCs w:val="24"/>
        </w:rPr>
        <w:t>.</w:t>
      </w:r>
      <w:r w:rsidR="00E0133B" w:rsidRPr="002E69A0">
        <w:rPr>
          <w:rFonts w:ascii="Verdana" w:hAnsi="Verdana"/>
          <w:sz w:val="24"/>
          <w:szCs w:val="24"/>
        </w:rPr>
        <w:t xml:space="preserve"> For instance</w:t>
      </w:r>
      <w:r w:rsidRPr="002E69A0">
        <w:rPr>
          <w:rFonts w:ascii="Verdana" w:hAnsi="Verdana"/>
          <w:sz w:val="24"/>
          <w:szCs w:val="24"/>
        </w:rPr>
        <w:t>,</w:t>
      </w:r>
      <w:r w:rsidR="00E0133B" w:rsidRPr="002E69A0">
        <w:rPr>
          <w:rFonts w:ascii="Verdana" w:hAnsi="Verdana"/>
          <w:sz w:val="24"/>
          <w:szCs w:val="24"/>
        </w:rPr>
        <w:t xml:space="preserve"> in the case of Joseph Rainey concerns were raised regarding SPAR handovers, suspensions and observation logs.</w:t>
      </w:r>
      <w:r w:rsidR="00E0133B" w:rsidRPr="002E69A0">
        <w:rPr>
          <w:rStyle w:val="FootnoteReference"/>
          <w:rFonts w:ascii="Verdana" w:hAnsi="Verdana"/>
          <w:sz w:val="24"/>
          <w:szCs w:val="24"/>
        </w:rPr>
        <w:footnoteReference w:id="36"/>
      </w:r>
      <w:r w:rsidR="00E0133B" w:rsidRPr="002E69A0">
        <w:rPr>
          <w:rFonts w:ascii="Verdana" w:hAnsi="Verdana"/>
          <w:sz w:val="24"/>
          <w:szCs w:val="24"/>
        </w:rPr>
        <w:t xml:space="preserve"> The Commission further notes that</w:t>
      </w:r>
      <w:r w:rsidR="00276DF0" w:rsidRPr="002E69A0">
        <w:rPr>
          <w:rFonts w:ascii="Verdana" w:hAnsi="Verdana"/>
          <w:sz w:val="24"/>
          <w:szCs w:val="24"/>
        </w:rPr>
        <w:t xml:space="preserve"> the Prisoner Ombudsman wrote</w:t>
      </w:r>
      <w:r w:rsidR="00E0133B" w:rsidRPr="002E69A0">
        <w:rPr>
          <w:rFonts w:ascii="Verdana" w:hAnsi="Verdana"/>
          <w:sz w:val="24"/>
          <w:szCs w:val="24"/>
        </w:rPr>
        <w:t xml:space="preserve"> </w:t>
      </w:r>
      <w:r w:rsidRPr="002E69A0">
        <w:rPr>
          <w:rFonts w:ascii="Verdana" w:hAnsi="Verdana"/>
          <w:sz w:val="24"/>
          <w:szCs w:val="24"/>
        </w:rPr>
        <w:t xml:space="preserve">to </w:t>
      </w:r>
      <w:r w:rsidR="00E0133B" w:rsidRPr="002E69A0">
        <w:rPr>
          <w:rFonts w:ascii="Verdana" w:hAnsi="Verdana"/>
          <w:sz w:val="24"/>
          <w:szCs w:val="24"/>
        </w:rPr>
        <w:t>the Ministers of Justice and Health in November 2014</w:t>
      </w:r>
      <w:r w:rsidR="00276DF0" w:rsidRPr="002E69A0">
        <w:rPr>
          <w:rFonts w:ascii="Verdana" w:hAnsi="Verdana"/>
          <w:sz w:val="24"/>
          <w:szCs w:val="24"/>
        </w:rPr>
        <w:t xml:space="preserve"> raising concerns regarding the need to repeat recommendations within deaths in custody reports, which perhaps indicates failings at managerial and operational levels and possibly also systemic failings.</w:t>
      </w:r>
      <w:r w:rsidR="00AB274D" w:rsidRPr="002E69A0">
        <w:rPr>
          <w:rStyle w:val="FootnoteReference"/>
          <w:rFonts w:ascii="Verdana" w:hAnsi="Verdana"/>
          <w:sz w:val="24"/>
          <w:szCs w:val="24"/>
        </w:rPr>
        <w:footnoteReference w:id="37"/>
      </w:r>
      <w:r w:rsidR="00276DF0" w:rsidRPr="002E69A0">
        <w:rPr>
          <w:rFonts w:ascii="Verdana" w:hAnsi="Verdana"/>
          <w:sz w:val="24"/>
          <w:szCs w:val="24"/>
        </w:rPr>
        <w:t xml:space="preserve"> </w:t>
      </w:r>
      <w:r w:rsidRPr="002E69A0">
        <w:rPr>
          <w:rFonts w:ascii="Verdana" w:hAnsi="Verdana"/>
          <w:sz w:val="24"/>
          <w:szCs w:val="24"/>
        </w:rPr>
        <w:t>In light of these reports t</w:t>
      </w:r>
      <w:r w:rsidR="00276DF0" w:rsidRPr="002E69A0">
        <w:rPr>
          <w:rFonts w:ascii="Verdana" w:hAnsi="Verdana"/>
          <w:sz w:val="24"/>
          <w:szCs w:val="24"/>
        </w:rPr>
        <w:t xml:space="preserve">he Commission </w:t>
      </w:r>
      <w:r w:rsidR="00B5665A" w:rsidRPr="002E69A0">
        <w:rPr>
          <w:rFonts w:ascii="Verdana" w:hAnsi="Verdana"/>
          <w:sz w:val="24"/>
          <w:szCs w:val="24"/>
        </w:rPr>
        <w:t>welcomes</w:t>
      </w:r>
      <w:r w:rsidR="00276DF0" w:rsidRPr="002E69A0">
        <w:rPr>
          <w:rFonts w:ascii="Verdana" w:hAnsi="Verdana"/>
          <w:sz w:val="24"/>
          <w:szCs w:val="24"/>
        </w:rPr>
        <w:t xml:space="preserve"> the intention to develop a suicide and self-harm strategy to cover NI Prison Service including SPAR procedures</w:t>
      </w:r>
      <w:r w:rsidR="00B5665A" w:rsidRPr="002E69A0">
        <w:rPr>
          <w:rFonts w:ascii="Verdana" w:hAnsi="Verdana"/>
          <w:sz w:val="24"/>
          <w:szCs w:val="24"/>
        </w:rPr>
        <w:t xml:space="preserve">. </w:t>
      </w:r>
    </w:p>
    <w:p w:rsidR="0070766D" w:rsidRPr="002E69A0" w:rsidRDefault="0070766D" w:rsidP="00D60183">
      <w:pPr>
        <w:pStyle w:val="NoSpacing"/>
        <w:rPr>
          <w:rFonts w:ascii="Verdana" w:hAnsi="Verdana"/>
          <w:sz w:val="24"/>
          <w:szCs w:val="24"/>
        </w:rPr>
      </w:pPr>
    </w:p>
    <w:p w:rsidR="00276DF0" w:rsidRPr="002E69A0" w:rsidRDefault="0070766D" w:rsidP="0070766D">
      <w:pPr>
        <w:pStyle w:val="NoSpacing"/>
        <w:ind w:left="720"/>
        <w:rPr>
          <w:rFonts w:ascii="Verdana" w:hAnsi="Verdana"/>
          <w:b/>
          <w:sz w:val="24"/>
          <w:szCs w:val="24"/>
        </w:rPr>
      </w:pPr>
      <w:r w:rsidRPr="002E69A0">
        <w:rPr>
          <w:rFonts w:ascii="Verdana" w:hAnsi="Verdana"/>
          <w:b/>
          <w:sz w:val="24"/>
          <w:szCs w:val="24"/>
        </w:rPr>
        <w:t xml:space="preserve">5.3 </w:t>
      </w:r>
      <w:r w:rsidR="00B5665A" w:rsidRPr="002E69A0">
        <w:rPr>
          <w:rFonts w:ascii="Verdana" w:hAnsi="Verdana"/>
          <w:b/>
          <w:sz w:val="24"/>
          <w:szCs w:val="24"/>
        </w:rPr>
        <w:t>The Commission advises that i</w:t>
      </w:r>
      <w:r w:rsidR="00B635AC" w:rsidRPr="002E69A0">
        <w:rPr>
          <w:rFonts w:ascii="Verdana" w:hAnsi="Verdana"/>
          <w:b/>
          <w:sz w:val="24"/>
          <w:szCs w:val="24"/>
        </w:rPr>
        <w:t>n developing a suicide and self-</w:t>
      </w:r>
      <w:r w:rsidR="00623394" w:rsidRPr="002E69A0">
        <w:rPr>
          <w:rFonts w:ascii="Verdana" w:hAnsi="Verdana"/>
          <w:b/>
          <w:sz w:val="24"/>
          <w:szCs w:val="24"/>
        </w:rPr>
        <w:t>harm strategy the Department of Justice and Department of Health</w:t>
      </w:r>
      <w:r w:rsidR="00B5665A" w:rsidRPr="002E69A0">
        <w:rPr>
          <w:rFonts w:ascii="Verdana" w:hAnsi="Verdana"/>
          <w:b/>
          <w:sz w:val="24"/>
          <w:szCs w:val="24"/>
        </w:rPr>
        <w:t xml:space="preserve"> should take stock of all relevant recommendations from the Prisoner Ombudsman and should consider how failures to operationalise safeguards within the existing procedures have been allowed to occur. </w:t>
      </w:r>
      <w:r w:rsidR="00276DF0" w:rsidRPr="002E69A0">
        <w:rPr>
          <w:rFonts w:ascii="Verdana" w:hAnsi="Verdana"/>
          <w:b/>
          <w:sz w:val="24"/>
          <w:szCs w:val="24"/>
        </w:rPr>
        <w:t xml:space="preserve"> </w:t>
      </w:r>
    </w:p>
    <w:p w:rsidR="00DE17CD" w:rsidRPr="002E69A0" w:rsidRDefault="00DE17CD" w:rsidP="00DE17CD">
      <w:pPr>
        <w:pStyle w:val="NoSpacing"/>
        <w:rPr>
          <w:rFonts w:ascii="Verdana" w:hAnsi="Verdana"/>
          <w:b/>
          <w:sz w:val="24"/>
          <w:szCs w:val="24"/>
        </w:rPr>
      </w:pPr>
    </w:p>
    <w:p w:rsidR="00DE17CD" w:rsidRPr="002E69A0" w:rsidRDefault="00DE17CD" w:rsidP="00DE17CD">
      <w:pPr>
        <w:pStyle w:val="NoSpacing"/>
        <w:rPr>
          <w:rFonts w:ascii="Verdana" w:hAnsi="Verdana"/>
          <w:sz w:val="24"/>
          <w:szCs w:val="24"/>
        </w:rPr>
      </w:pPr>
      <w:r w:rsidRPr="002E69A0">
        <w:rPr>
          <w:rFonts w:ascii="Verdana" w:hAnsi="Verdana"/>
          <w:sz w:val="24"/>
          <w:szCs w:val="24"/>
        </w:rPr>
        <w:t xml:space="preserve">5.4 </w:t>
      </w:r>
      <w:r w:rsidR="00965278" w:rsidRPr="002E69A0">
        <w:rPr>
          <w:rFonts w:ascii="Verdana" w:hAnsi="Verdana"/>
          <w:sz w:val="24"/>
          <w:szCs w:val="24"/>
        </w:rPr>
        <w:t>The ICCPR, Article 10(3) states:</w:t>
      </w:r>
    </w:p>
    <w:p w:rsidR="00DE17CD" w:rsidRPr="002E69A0" w:rsidRDefault="00DE17CD" w:rsidP="00DE17CD">
      <w:pPr>
        <w:pStyle w:val="NoSpacing"/>
        <w:rPr>
          <w:rFonts w:ascii="Verdana" w:hAnsi="Verdana"/>
          <w:b/>
          <w:sz w:val="24"/>
          <w:szCs w:val="24"/>
        </w:rPr>
      </w:pPr>
    </w:p>
    <w:p w:rsidR="00412CD1" w:rsidRPr="002E69A0" w:rsidRDefault="00965278" w:rsidP="00965278">
      <w:pPr>
        <w:pStyle w:val="NoSpacing"/>
        <w:ind w:left="720"/>
        <w:rPr>
          <w:rFonts w:ascii="Verdana" w:hAnsi="Verdana"/>
          <w:sz w:val="24"/>
          <w:szCs w:val="24"/>
        </w:rPr>
      </w:pPr>
      <w:r w:rsidRPr="002E69A0">
        <w:rPr>
          <w:rFonts w:ascii="Verdana" w:hAnsi="Verdana"/>
          <w:sz w:val="24"/>
          <w:szCs w:val="24"/>
        </w:rPr>
        <w:t>‘The penitentiary system shall comprise treatment of prisoners the essential aim of which shall be their reform</w:t>
      </w:r>
      <w:r w:rsidR="00623394" w:rsidRPr="002E69A0">
        <w:rPr>
          <w:rFonts w:ascii="Verdana" w:hAnsi="Verdana"/>
          <w:sz w:val="24"/>
          <w:szCs w:val="24"/>
        </w:rPr>
        <w:t>ation and social rehabilitation…</w:t>
      </w:r>
      <w:r w:rsidRPr="002E69A0">
        <w:rPr>
          <w:rFonts w:ascii="Verdana" w:hAnsi="Verdana"/>
          <w:sz w:val="24"/>
          <w:szCs w:val="24"/>
        </w:rPr>
        <w:t>’</w:t>
      </w:r>
    </w:p>
    <w:p w:rsidR="00965278" w:rsidRPr="002E69A0" w:rsidRDefault="00965278" w:rsidP="00D60183">
      <w:pPr>
        <w:pStyle w:val="NoSpacing"/>
        <w:rPr>
          <w:rFonts w:ascii="Verdana" w:hAnsi="Verdana"/>
          <w:sz w:val="24"/>
          <w:szCs w:val="24"/>
        </w:rPr>
      </w:pPr>
    </w:p>
    <w:p w:rsidR="00640AE8" w:rsidRPr="002E69A0" w:rsidRDefault="00965278" w:rsidP="00640AE8">
      <w:pPr>
        <w:pStyle w:val="Default"/>
        <w:rPr>
          <w:rFonts w:cs="Arial Narrow"/>
        </w:rPr>
      </w:pPr>
      <w:r w:rsidRPr="002E69A0">
        <w:t xml:space="preserve">5.5 The </w:t>
      </w:r>
      <w:r w:rsidR="00E6148B" w:rsidRPr="002E69A0">
        <w:t>draft strategy</w:t>
      </w:r>
      <w:r w:rsidRPr="002E69A0">
        <w:t xml:space="preserve"> acknowledges that the period of release from prison requires careful management and is most likely to lead to a breakdown in continuity of care</w:t>
      </w:r>
      <w:r w:rsidR="00640AE8" w:rsidRPr="002E69A0">
        <w:t xml:space="preserve"> and as such the strategy places an emphasis on ‘discharge planning’.</w:t>
      </w:r>
      <w:r w:rsidR="00E6148B" w:rsidRPr="002E69A0">
        <w:t xml:space="preserve"> Appropriate discharge planning is essential to ensure the reform and rehabilitation of prisoners and to address recidivism.</w:t>
      </w:r>
      <w:r w:rsidR="00640AE8" w:rsidRPr="002E69A0">
        <w:t xml:space="preserve"> Some details on the arrangement for discharge planning have been provided. However further specific detail on the review of </w:t>
      </w:r>
      <w:r w:rsidR="00640AE8" w:rsidRPr="002E69A0">
        <w:rPr>
          <w:rFonts w:cs="Arial Narrow"/>
        </w:rPr>
        <w:t xml:space="preserve">current discharge planning arrangements would provide clarity to stakeholders and contribute to the effectiveness of the review. </w:t>
      </w:r>
    </w:p>
    <w:p w:rsidR="00640AE8" w:rsidRPr="002E69A0" w:rsidRDefault="00640AE8" w:rsidP="00640AE8">
      <w:pPr>
        <w:pStyle w:val="Default"/>
        <w:rPr>
          <w:rFonts w:cs="Arial Narrow"/>
        </w:rPr>
      </w:pPr>
    </w:p>
    <w:p w:rsidR="00965278" w:rsidRPr="002E69A0" w:rsidRDefault="00640AE8" w:rsidP="0011611C">
      <w:pPr>
        <w:pStyle w:val="Default"/>
        <w:ind w:left="720"/>
        <w:rPr>
          <w:rFonts w:cs="Arial Narrow"/>
          <w:b/>
        </w:rPr>
      </w:pPr>
      <w:r w:rsidRPr="002E69A0">
        <w:rPr>
          <w:rFonts w:cs="Arial Narrow"/>
          <w:b/>
        </w:rPr>
        <w:t xml:space="preserve">5.6 The Commission advises that the </w:t>
      </w:r>
      <w:r w:rsidR="00A703C0" w:rsidRPr="002E69A0">
        <w:rPr>
          <w:rFonts w:cs="Arial Narrow"/>
          <w:b/>
        </w:rPr>
        <w:t>review of discharge planning arrangements should be focused on ensuring the reformation and social rehabilitation of the offender</w:t>
      </w:r>
      <w:r w:rsidR="00E6148B" w:rsidRPr="002E69A0">
        <w:rPr>
          <w:rFonts w:cs="Arial Narrow"/>
          <w:b/>
        </w:rPr>
        <w:t xml:space="preserve"> to ensure compliance with ICCPR Article 10(3)</w:t>
      </w:r>
      <w:r w:rsidR="00A703C0" w:rsidRPr="002E69A0">
        <w:rPr>
          <w:rFonts w:cs="Arial Narrow"/>
          <w:b/>
        </w:rPr>
        <w:t xml:space="preserve">. </w:t>
      </w:r>
      <w:r w:rsidRPr="002E69A0">
        <w:rPr>
          <w:rFonts w:cs="Arial Narrow"/>
          <w:b/>
        </w:rPr>
        <w:t xml:space="preserve"> </w:t>
      </w:r>
      <w:r w:rsidR="00A703C0" w:rsidRPr="002E69A0">
        <w:rPr>
          <w:rFonts w:cs="Arial Narrow"/>
          <w:b/>
        </w:rPr>
        <w:t xml:space="preserve">The review should include </w:t>
      </w:r>
      <w:r w:rsidR="00A703C0" w:rsidRPr="002E69A0">
        <w:rPr>
          <w:b/>
        </w:rPr>
        <w:t xml:space="preserve">specific </w:t>
      </w:r>
      <w:r w:rsidR="00CD3625">
        <w:rPr>
          <w:b/>
        </w:rPr>
        <w:t>outcomes</w:t>
      </w:r>
      <w:r w:rsidR="00A703C0" w:rsidRPr="002E69A0">
        <w:rPr>
          <w:b/>
        </w:rPr>
        <w:t xml:space="preserve"> which are measurable, verifiable through performance indicators and time-bound</w:t>
      </w:r>
      <w:r w:rsidR="00715F23" w:rsidRPr="002E69A0">
        <w:rPr>
          <w:b/>
        </w:rPr>
        <w:t xml:space="preserve">. Key stakeholders should be involved in the review from an early stage and the review should be informed by the experiences of users. </w:t>
      </w:r>
    </w:p>
    <w:p w:rsidR="00965278" w:rsidRPr="002E69A0" w:rsidRDefault="00965278" w:rsidP="00D60183">
      <w:pPr>
        <w:pStyle w:val="NoSpacing"/>
        <w:rPr>
          <w:rFonts w:ascii="Verdana" w:hAnsi="Verdana"/>
          <w:sz w:val="24"/>
          <w:szCs w:val="24"/>
        </w:rPr>
      </w:pPr>
    </w:p>
    <w:p w:rsidR="001F0F8D" w:rsidRPr="002E69A0" w:rsidRDefault="00B5665A" w:rsidP="00D60183">
      <w:pPr>
        <w:pStyle w:val="NoSpacing"/>
        <w:rPr>
          <w:rFonts w:ascii="Verdana" w:hAnsi="Verdana"/>
          <w:b/>
          <w:sz w:val="24"/>
          <w:szCs w:val="24"/>
        </w:rPr>
      </w:pPr>
      <w:r w:rsidRPr="002E69A0">
        <w:rPr>
          <w:rFonts w:ascii="Verdana" w:hAnsi="Verdana"/>
          <w:b/>
          <w:sz w:val="24"/>
          <w:szCs w:val="24"/>
        </w:rPr>
        <w:t>Strategic Priority 6: Social c</w:t>
      </w:r>
      <w:r w:rsidR="001F0F8D" w:rsidRPr="002E69A0">
        <w:rPr>
          <w:rFonts w:ascii="Verdana" w:hAnsi="Verdana"/>
          <w:b/>
          <w:sz w:val="24"/>
          <w:szCs w:val="24"/>
        </w:rPr>
        <w:t xml:space="preserve">are </w:t>
      </w:r>
    </w:p>
    <w:p w:rsidR="00354BA0" w:rsidRPr="002E69A0" w:rsidRDefault="00354BA0" w:rsidP="00D60183">
      <w:pPr>
        <w:pStyle w:val="NoSpacing"/>
        <w:rPr>
          <w:rFonts w:ascii="Verdana" w:hAnsi="Verdana"/>
          <w:sz w:val="24"/>
          <w:szCs w:val="24"/>
        </w:rPr>
      </w:pPr>
    </w:p>
    <w:p w:rsidR="00FD7706" w:rsidRPr="002E69A0" w:rsidRDefault="0070766D" w:rsidP="00D60183">
      <w:pPr>
        <w:pStyle w:val="NoSpacing"/>
        <w:rPr>
          <w:rFonts w:ascii="Verdana" w:hAnsi="Verdana"/>
          <w:sz w:val="24"/>
          <w:szCs w:val="24"/>
        </w:rPr>
      </w:pPr>
      <w:r w:rsidRPr="002E69A0">
        <w:rPr>
          <w:rFonts w:ascii="Verdana" w:hAnsi="Verdana"/>
          <w:sz w:val="24"/>
          <w:szCs w:val="24"/>
        </w:rPr>
        <w:t xml:space="preserve">6.1 </w:t>
      </w:r>
      <w:r w:rsidR="001F0F8D" w:rsidRPr="002E69A0">
        <w:rPr>
          <w:rFonts w:ascii="Verdana" w:hAnsi="Verdana"/>
          <w:sz w:val="24"/>
          <w:szCs w:val="24"/>
        </w:rPr>
        <w:t xml:space="preserve">The </w:t>
      </w:r>
      <w:r w:rsidR="00B8654C" w:rsidRPr="002E69A0">
        <w:rPr>
          <w:rFonts w:ascii="Verdana" w:hAnsi="Verdana"/>
          <w:sz w:val="24"/>
          <w:szCs w:val="24"/>
        </w:rPr>
        <w:t>draft strategy</w:t>
      </w:r>
      <w:r w:rsidR="001F0F8D" w:rsidRPr="002E69A0">
        <w:rPr>
          <w:rFonts w:ascii="Verdana" w:hAnsi="Verdana"/>
          <w:sz w:val="24"/>
          <w:szCs w:val="24"/>
        </w:rPr>
        <w:t xml:space="preserve"> notes that “social care provision in the criminal ju</w:t>
      </w:r>
      <w:r w:rsidR="00B635AC" w:rsidRPr="002E69A0">
        <w:rPr>
          <w:rFonts w:ascii="Verdana" w:hAnsi="Verdana"/>
          <w:sz w:val="24"/>
          <w:szCs w:val="24"/>
        </w:rPr>
        <w:t xml:space="preserve">stice context can be confusing”. </w:t>
      </w:r>
      <w:r w:rsidR="00E6148B" w:rsidRPr="002E69A0">
        <w:rPr>
          <w:rFonts w:ascii="Verdana" w:hAnsi="Verdana"/>
          <w:sz w:val="24"/>
          <w:szCs w:val="24"/>
        </w:rPr>
        <w:t xml:space="preserve">This is a source of concern to the Commission. </w:t>
      </w:r>
      <w:r w:rsidR="00B635AC" w:rsidRPr="002E69A0">
        <w:rPr>
          <w:rFonts w:ascii="Verdana" w:hAnsi="Verdana"/>
          <w:sz w:val="24"/>
          <w:szCs w:val="24"/>
        </w:rPr>
        <w:t>I</w:t>
      </w:r>
      <w:r w:rsidR="001F0F8D" w:rsidRPr="002E69A0">
        <w:rPr>
          <w:rFonts w:ascii="Verdana" w:hAnsi="Verdana"/>
          <w:sz w:val="24"/>
          <w:szCs w:val="24"/>
        </w:rPr>
        <w:t>t states that the South East Health and Social Care Trust is the pro</w:t>
      </w:r>
      <w:r w:rsidRPr="002E69A0">
        <w:rPr>
          <w:rFonts w:ascii="Verdana" w:hAnsi="Verdana"/>
          <w:sz w:val="24"/>
          <w:szCs w:val="24"/>
        </w:rPr>
        <w:t xml:space="preserve">vider of </w:t>
      </w:r>
      <w:r w:rsidR="00B635AC" w:rsidRPr="002E69A0">
        <w:rPr>
          <w:rFonts w:ascii="Verdana" w:hAnsi="Verdana"/>
          <w:sz w:val="24"/>
          <w:szCs w:val="24"/>
        </w:rPr>
        <w:t xml:space="preserve">prisoner </w:t>
      </w:r>
      <w:r w:rsidRPr="002E69A0">
        <w:rPr>
          <w:rFonts w:ascii="Verdana" w:hAnsi="Verdana"/>
          <w:sz w:val="24"/>
          <w:szCs w:val="24"/>
        </w:rPr>
        <w:t xml:space="preserve">healthcare in Northern </w:t>
      </w:r>
      <w:r w:rsidR="001F0F8D" w:rsidRPr="002E69A0">
        <w:rPr>
          <w:rFonts w:ascii="Verdana" w:hAnsi="Verdana"/>
          <w:sz w:val="24"/>
          <w:szCs w:val="24"/>
        </w:rPr>
        <w:t>Ireland but does not c</w:t>
      </w:r>
      <w:r w:rsidR="00354BA0" w:rsidRPr="002E69A0">
        <w:rPr>
          <w:rFonts w:ascii="Verdana" w:hAnsi="Verdana"/>
          <w:sz w:val="24"/>
          <w:szCs w:val="24"/>
        </w:rPr>
        <w:t>larify which Department or agency is responsible for social care</w:t>
      </w:r>
      <w:r w:rsidR="002E26E0" w:rsidRPr="002E69A0">
        <w:rPr>
          <w:rFonts w:ascii="Verdana" w:hAnsi="Verdana"/>
          <w:sz w:val="24"/>
          <w:szCs w:val="24"/>
        </w:rPr>
        <w:t xml:space="preserve">. </w:t>
      </w:r>
      <w:r w:rsidR="00FD7706" w:rsidRPr="002E69A0">
        <w:rPr>
          <w:rFonts w:ascii="Verdana" w:hAnsi="Verdana"/>
          <w:sz w:val="24"/>
          <w:szCs w:val="24"/>
        </w:rPr>
        <w:t xml:space="preserve">The Council of Europe’s Committee of Ministers has </w:t>
      </w:r>
      <w:r w:rsidR="00574E4E" w:rsidRPr="002E69A0">
        <w:rPr>
          <w:rFonts w:ascii="Verdana" w:hAnsi="Verdana"/>
          <w:sz w:val="24"/>
          <w:szCs w:val="24"/>
        </w:rPr>
        <w:t xml:space="preserve">specifically </w:t>
      </w:r>
      <w:r w:rsidR="00FD7706" w:rsidRPr="002E69A0">
        <w:rPr>
          <w:rFonts w:ascii="Verdana" w:hAnsi="Verdana"/>
          <w:sz w:val="24"/>
          <w:szCs w:val="24"/>
        </w:rPr>
        <w:t>stated</w:t>
      </w:r>
      <w:r w:rsidR="00574E4E" w:rsidRPr="002E69A0">
        <w:rPr>
          <w:rFonts w:ascii="Verdana" w:hAnsi="Verdana"/>
          <w:sz w:val="24"/>
          <w:szCs w:val="24"/>
        </w:rPr>
        <w:t xml:space="preserve"> in recommendation </w:t>
      </w:r>
      <w:proofErr w:type="gramStart"/>
      <w:r w:rsidR="00574E4E" w:rsidRPr="002E69A0">
        <w:rPr>
          <w:rFonts w:ascii="Verdana" w:hAnsi="Verdana"/>
          <w:sz w:val="24"/>
          <w:szCs w:val="24"/>
        </w:rPr>
        <w:t>R(</w:t>
      </w:r>
      <w:proofErr w:type="gramEnd"/>
      <w:r w:rsidR="00574E4E" w:rsidRPr="002E69A0">
        <w:rPr>
          <w:rFonts w:ascii="Verdana" w:hAnsi="Verdana"/>
          <w:sz w:val="24"/>
          <w:szCs w:val="24"/>
        </w:rPr>
        <w:t>98)7</w:t>
      </w:r>
      <w:r w:rsidR="00FD7706" w:rsidRPr="002E69A0">
        <w:rPr>
          <w:rFonts w:ascii="Verdana" w:hAnsi="Verdana"/>
          <w:sz w:val="24"/>
          <w:szCs w:val="24"/>
        </w:rPr>
        <w:t xml:space="preserve"> that</w:t>
      </w:r>
    </w:p>
    <w:p w:rsidR="00FD7706" w:rsidRPr="002E69A0" w:rsidRDefault="00FD7706" w:rsidP="00D60183">
      <w:pPr>
        <w:pStyle w:val="NoSpacing"/>
        <w:rPr>
          <w:rFonts w:ascii="Verdana" w:hAnsi="Verdana"/>
          <w:sz w:val="24"/>
          <w:szCs w:val="24"/>
        </w:rPr>
      </w:pPr>
    </w:p>
    <w:p w:rsidR="00FD7706" w:rsidRPr="002E69A0" w:rsidRDefault="00FD7706" w:rsidP="00FD7706">
      <w:pPr>
        <w:pStyle w:val="NoSpacing"/>
        <w:ind w:left="720"/>
        <w:rPr>
          <w:rFonts w:ascii="Verdana" w:hAnsi="Verdana"/>
          <w:sz w:val="24"/>
          <w:szCs w:val="24"/>
        </w:rPr>
      </w:pPr>
      <w:r w:rsidRPr="002E69A0">
        <w:rPr>
          <w:rFonts w:ascii="Verdana" w:hAnsi="Verdana"/>
          <w:sz w:val="24"/>
          <w:szCs w:val="24"/>
        </w:rPr>
        <w:t>[</w:t>
      </w:r>
      <w:proofErr w:type="gramStart"/>
      <w:r w:rsidRPr="002E69A0">
        <w:rPr>
          <w:rFonts w:ascii="Verdana" w:hAnsi="Verdana"/>
          <w:sz w:val="24"/>
          <w:szCs w:val="24"/>
        </w:rPr>
        <w:t>a</w:t>
      </w:r>
      <w:proofErr w:type="gramEnd"/>
      <w:r w:rsidRPr="002E69A0">
        <w:rPr>
          <w:rFonts w:ascii="Verdana" w:hAnsi="Verdana"/>
          <w:sz w:val="24"/>
          <w:szCs w:val="24"/>
        </w:rPr>
        <w:t>] clear division of responsibilities and authority should be established between the ministry responsible for health or other competent ministries, which should co-operate in implementing an integrated health policy in prison.</w:t>
      </w:r>
      <w:r w:rsidRPr="002E69A0">
        <w:rPr>
          <w:rStyle w:val="FootnoteReference"/>
          <w:rFonts w:ascii="Verdana" w:hAnsi="Verdana"/>
          <w:sz w:val="24"/>
          <w:szCs w:val="24"/>
        </w:rPr>
        <w:footnoteReference w:id="38"/>
      </w:r>
    </w:p>
    <w:p w:rsidR="00FD7706" w:rsidRPr="002E69A0" w:rsidRDefault="00FD7706" w:rsidP="00D60183">
      <w:pPr>
        <w:pStyle w:val="NoSpacing"/>
        <w:rPr>
          <w:rFonts w:ascii="Verdana" w:hAnsi="Verdana"/>
          <w:sz w:val="24"/>
          <w:szCs w:val="24"/>
        </w:rPr>
      </w:pPr>
    </w:p>
    <w:p w:rsidR="001F0F8D" w:rsidRDefault="00E6148B" w:rsidP="00D60183">
      <w:pPr>
        <w:pStyle w:val="NoSpacing"/>
        <w:rPr>
          <w:rFonts w:ascii="Verdana" w:hAnsi="Verdana"/>
          <w:sz w:val="24"/>
          <w:szCs w:val="24"/>
        </w:rPr>
      </w:pPr>
      <w:r w:rsidRPr="002E69A0">
        <w:rPr>
          <w:rFonts w:ascii="Verdana" w:hAnsi="Verdana"/>
          <w:sz w:val="24"/>
          <w:szCs w:val="24"/>
        </w:rPr>
        <w:t xml:space="preserve">6.2 The situation of confusion must be resolved to ensure effective implementation of the strategy. </w:t>
      </w:r>
      <w:r w:rsidR="002E26E0" w:rsidRPr="002E69A0">
        <w:rPr>
          <w:rFonts w:ascii="Verdana" w:hAnsi="Verdana"/>
          <w:sz w:val="24"/>
          <w:szCs w:val="24"/>
        </w:rPr>
        <w:t xml:space="preserve">As with any strategy </w:t>
      </w:r>
      <w:r w:rsidR="00354BA0" w:rsidRPr="002E69A0">
        <w:rPr>
          <w:rFonts w:ascii="Verdana" w:hAnsi="Verdana"/>
          <w:sz w:val="24"/>
          <w:szCs w:val="24"/>
        </w:rPr>
        <w:t>it</w:t>
      </w:r>
      <w:r w:rsidR="0070766D" w:rsidRPr="002E69A0">
        <w:rPr>
          <w:rFonts w:ascii="Verdana" w:hAnsi="Verdana"/>
          <w:sz w:val="24"/>
          <w:szCs w:val="24"/>
        </w:rPr>
        <w:t xml:space="preserve"> is essential to identify</w:t>
      </w:r>
      <w:r w:rsidR="002E26E0" w:rsidRPr="002E69A0">
        <w:rPr>
          <w:rFonts w:ascii="Verdana" w:hAnsi="Verdana"/>
          <w:sz w:val="24"/>
          <w:szCs w:val="24"/>
        </w:rPr>
        <w:t xml:space="preserve"> the State bodies which will be responsible for carrying out the activities. </w:t>
      </w:r>
    </w:p>
    <w:p w:rsidR="00BF681D" w:rsidRDefault="00BF681D" w:rsidP="00D60183">
      <w:pPr>
        <w:pStyle w:val="NoSpacing"/>
        <w:rPr>
          <w:rFonts w:ascii="Verdana" w:hAnsi="Verdana"/>
          <w:sz w:val="24"/>
          <w:szCs w:val="24"/>
        </w:rPr>
      </w:pPr>
    </w:p>
    <w:p w:rsidR="00FD0667" w:rsidRDefault="00BF681D" w:rsidP="00D60183">
      <w:pPr>
        <w:pStyle w:val="NoSpacing"/>
        <w:rPr>
          <w:rFonts w:ascii="Verdana" w:hAnsi="Verdana"/>
          <w:sz w:val="24"/>
          <w:szCs w:val="24"/>
        </w:rPr>
      </w:pPr>
      <w:r>
        <w:rPr>
          <w:rFonts w:ascii="Verdana" w:hAnsi="Verdana"/>
          <w:sz w:val="24"/>
          <w:szCs w:val="24"/>
        </w:rPr>
        <w:t xml:space="preserve">6.3 The Commission notes that the ECt.HR </w:t>
      </w:r>
      <w:r w:rsidR="00FD0667" w:rsidRPr="00FD0667">
        <w:rPr>
          <w:rFonts w:ascii="Verdana" w:hAnsi="Verdana"/>
          <w:sz w:val="24"/>
          <w:szCs w:val="24"/>
        </w:rPr>
        <w:t xml:space="preserve">being a prisoner per se does constitute </w:t>
      </w:r>
      <w:r w:rsidR="00FD0667">
        <w:rPr>
          <w:rFonts w:ascii="Verdana" w:hAnsi="Verdana"/>
          <w:sz w:val="24"/>
          <w:szCs w:val="24"/>
        </w:rPr>
        <w:t>‘</w:t>
      </w:r>
      <w:r w:rsidR="00FD0667" w:rsidRPr="00FD0667">
        <w:rPr>
          <w:rFonts w:ascii="Verdana" w:hAnsi="Verdana"/>
          <w:sz w:val="24"/>
          <w:szCs w:val="24"/>
        </w:rPr>
        <w:t>another status</w:t>
      </w:r>
      <w:r w:rsidR="00FD0667">
        <w:rPr>
          <w:rFonts w:ascii="Verdana" w:hAnsi="Verdana"/>
          <w:sz w:val="24"/>
          <w:szCs w:val="24"/>
        </w:rPr>
        <w:t>’</w:t>
      </w:r>
      <w:r w:rsidR="00FD0667" w:rsidRPr="00FD0667">
        <w:rPr>
          <w:rFonts w:ascii="Verdana" w:hAnsi="Verdana"/>
          <w:sz w:val="24"/>
          <w:szCs w:val="24"/>
        </w:rPr>
        <w:t xml:space="preserve"> for the purposes of Article 14</w:t>
      </w:r>
      <w:r w:rsidR="00FD0667">
        <w:rPr>
          <w:rFonts w:ascii="Verdana" w:hAnsi="Verdana"/>
          <w:sz w:val="24"/>
          <w:szCs w:val="24"/>
        </w:rPr>
        <w:t xml:space="preserve"> of the ECHR.</w:t>
      </w:r>
      <w:r>
        <w:rPr>
          <w:rStyle w:val="FootnoteReference"/>
          <w:szCs w:val="24"/>
        </w:rPr>
        <w:footnoteReference w:id="39"/>
      </w:r>
      <w:r w:rsidR="00FD0667">
        <w:rPr>
          <w:rFonts w:ascii="Verdana" w:hAnsi="Verdana"/>
          <w:sz w:val="24"/>
          <w:szCs w:val="24"/>
        </w:rPr>
        <w:t xml:space="preserve"> The right to private life</w:t>
      </w:r>
      <w:r w:rsidR="001110AA">
        <w:rPr>
          <w:rFonts w:ascii="Verdana" w:hAnsi="Verdana"/>
          <w:sz w:val="24"/>
          <w:szCs w:val="24"/>
        </w:rPr>
        <w:t xml:space="preserve"> (ECHR, Article 8)</w:t>
      </w:r>
      <w:r w:rsidR="00FD0667">
        <w:rPr>
          <w:rFonts w:ascii="Verdana" w:hAnsi="Verdana"/>
          <w:sz w:val="24"/>
          <w:szCs w:val="24"/>
        </w:rPr>
        <w:t xml:space="preserve"> extends to an individual’s physical and psychological integrity and health, which may be impacted upon by the provision or lack of provision of adequate social care.</w:t>
      </w:r>
      <w:r w:rsidR="00FD0667">
        <w:rPr>
          <w:rStyle w:val="FootnoteReference"/>
          <w:szCs w:val="24"/>
        </w:rPr>
        <w:footnoteReference w:id="40"/>
      </w:r>
      <w:r w:rsidR="00FD0667">
        <w:rPr>
          <w:rFonts w:ascii="Verdana" w:hAnsi="Verdana"/>
          <w:sz w:val="24"/>
          <w:szCs w:val="24"/>
        </w:rPr>
        <w:t xml:space="preserve"> The ECt.HR has ruled that:</w:t>
      </w:r>
    </w:p>
    <w:p w:rsidR="00FD0667" w:rsidRDefault="00FD0667" w:rsidP="00D60183">
      <w:pPr>
        <w:pStyle w:val="NoSpacing"/>
        <w:rPr>
          <w:rFonts w:ascii="Verdana" w:hAnsi="Verdana"/>
          <w:sz w:val="24"/>
          <w:szCs w:val="24"/>
        </w:rPr>
      </w:pPr>
    </w:p>
    <w:p w:rsidR="00FD0667" w:rsidRDefault="00FD0667" w:rsidP="00FD0667">
      <w:pPr>
        <w:pStyle w:val="NoSpacing"/>
        <w:ind w:left="720"/>
        <w:rPr>
          <w:rFonts w:ascii="Verdana" w:hAnsi="Verdana"/>
          <w:sz w:val="24"/>
          <w:szCs w:val="24"/>
        </w:rPr>
      </w:pPr>
      <w:r>
        <w:rPr>
          <w:rFonts w:ascii="Verdana" w:hAnsi="Verdana"/>
          <w:sz w:val="24"/>
          <w:szCs w:val="24"/>
        </w:rPr>
        <w:t>“</w:t>
      </w:r>
      <w:r w:rsidRPr="00FD0667">
        <w:rPr>
          <w:rFonts w:ascii="Verdana" w:hAnsi="Verdana"/>
          <w:sz w:val="24"/>
          <w:szCs w:val="24"/>
        </w:rPr>
        <w:t>For the purposes of Article 14, a difference in treatment between persons in analogous or relevantly similar positions is discriminatory if it has no objective and reasonable justification, that is if it does not pursue a legitimate aim or if there is not a reasonable relationship of proportionality between the means employed and the aim sought to be realised</w:t>
      </w:r>
      <w:r>
        <w:rPr>
          <w:rFonts w:ascii="Verdana" w:hAnsi="Verdana"/>
          <w:sz w:val="24"/>
          <w:szCs w:val="24"/>
        </w:rPr>
        <w:t>….</w:t>
      </w:r>
      <w:r w:rsidRPr="00FD0667">
        <w:rPr>
          <w:rFonts w:ascii="Verdana" w:hAnsi="Verdana"/>
          <w:sz w:val="24"/>
          <w:szCs w:val="24"/>
        </w:rPr>
        <w:t>the Court is prepared to assume that prisoners can claim to be on the same footing as the community as regards the provision of health care</w:t>
      </w:r>
      <w:r>
        <w:rPr>
          <w:rFonts w:ascii="Verdana" w:hAnsi="Verdana"/>
          <w:sz w:val="24"/>
          <w:szCs w:val="24"/>
        </w:rPr>
        <w:t>”</w:t>
      </w:r>
      <w:r w:rsidR="00E51549">
        <w:rPr>
          <w:rFonts w:ascii="Verdana" w:hAnsi="Verdana"/>
          <w:sz w:val="24"/>
          <w:szCs w:val="24"/>
        </w:rPr>
        <w:t>.</w:t>
      </w:r>
      <w:r>
        <w:rPr>
          <w:rStyle w:val="FootnoteReference"/>
          <w:szCs w:val="24"/>
        </w:rPr>
        <w:footnoteReference w:id="41"/>
      </w:r>
    </w:p>
    <w:p w:rsidR="00FD0667" w:rsidRPr="002E69A0" w:rsidRDefault="00FD0667" w:rsidP="00D60183">
      <w:pPr>
        <w:pStyle w:val="NoSpacing"/>
        <w:rPr>
          <w:rFonts w:ascii="Verdana" w:hAnsi="Verdana"/>
          <w:sz w:val="24"/>
          <w:szCs w:val="24"/>
        </w:rPr>
      </w:pPr>
    </w:p>
    <w:p w:rsidR="00354BA0" w:rsidRPr="002E69A0" w:rsidRDefault="00FD0667" w:rsidP="00CD3625">
      <w:pPr>
        <w:pStyle w:val="NoSpacing"/>
        <w:ind w:left="720"/>
        <w:rPr>
          <w:rFonts w:ascii="Verdana" w:hAnsi="Verdana"/>
          <w:b/>
          <w:sz w:val="24"/>
          <w:szCs w:val="24"/>
        </w:rPr>
      </w:pPr>
      <w:r>
        <w:rPr>
          <w:rFonts w:ascii="Verdana" w:hAnsi="Verdana"/>
          <w:b/>
          <w:sz w:val="24"/>
          <w:szCs w:val="24"/>
        </w:rPr>
        <w:t>6.4</w:t>
      </w:r>
      <w:r w:rsidR="00CD3625" w:rsidRPr="00CD3625">
        <w:rPr>
          <w:rFonts w:ascii="Verdana" w:hAnsi="Verdana"/>
          <w:b/>
          <w:sz w:val="24"/>
          <w:szCs w:val="24"/>
        </w:rPr>
        <w:t xml:space="preserve"> The Commission advises the Department of Health and Department of Justice to clarify and clearly set out within the strategy the body responsible for the social care of prisoners and ensure specific actions and appropriate resources are allocated.</w:t>
      </w:r>
    </w:p>
    <w:p w:rsidR="00882081" w:rsidRDefault="00882081" w:rsidP="00D60183">
      <w:pPr>
        <w:pStyle w:val="NoSpacing"/>
        <w:rPr>
          <w:rFonts w:ascii="Verdana" w:hAnsi="Verdana"/>
          <w:b/>
          <w:sz w:val="24"/>
          <w:szCs w:val="24"/>
        </w:rPr>
      </w:pPr>
    </w:p>
    <w:p w:rsidR="002E26E0" w:rsidRPr="002E69A0" w:rsidRDefault="001C054D" w:rsidP="00D60183">
      <w:pPr>
        <w:pStyle w:val="NoSpacing"/>
        <w:rPr>
          <w:rFonts w:ascii="Verdana" w:hAnsi="Verdana"/>
          <w:b/>
          <w:sz w:val="24"/>
          <w:szCs w:val="24"/>
        </w:rPr>
      </w:pPr>
      <w:r w:rsidRPr="002E69A0">
        <w:rPr>
          <w:rFonts w:ascii="Verdana" w:hAnsi="Verdana"/>
          <w:b/>
          <w:sz w:val="24"/>
          <w:szCs w:val="24"/>
        </w:rPr>
        <w:t>Strategic Pri</w:t>
      </w:r>
      <w:r w:rsidR="00BA69C9" w:rsidRPr="002E69A0">
        <w:rPr>
          <w:rFonts w:ascii="Verdana" w:hAnsi="Verdana"/>
          <w:b/>
          <w:sz w:val="24"/>
          <w:szCs w:val="24"/>
        </w:rPr>
        <w:t>ori</w:t>
      </w:r>
      <w:r w:rsidRPr="002E69A0">
        <w:rPr>
          <w:rFonts w:ascii="Verdana" w:hAnsi="Verdana"/>
          <w:b/>
          <w:sz w:val="24"/>
          <w:szCs w:val="24"/>
        </w:rPr>
        <w:t>ty 7</w:t>
      </w:r>
      <w:r w:rsidR="00B635AC" w:rsidRPr="002E69A0">
        <w:rPr>
          <w:rFonts w:ascii="Verdana" w:hAnsi="Verdana"/>
          <w:b/>
          <w:sz w:val="24"/>
          <w:szCs w:val="24"/>
        </w:rPr>
        <w:t>: Accommodation</w:t>
      </w:r>
      <w:r w:rsidRPr="002E69A0">
        <w:rPr>
          <w:rFonts w:ascii="Verdana" w:hAnsi="Verdana"/>
          <w:b/>
          <w:sz w:val="24"/>
          <w:szCs w:val="24"/>
        </w:rPr>
        <w:t xml:space="preserve"> </w:t>
      </w:r>
    </w:p>
    <w:p w:rsidR="001C054D" w:rsidRPr="002E69A0" w:rsidRDefault="001C054D" w:rsidP="00D60183">
      <w:pPr>
        <w:pStyle w:val="NoSpacing"/>
        <w:rPr>
          <w:rFonts w:ascii="Verdana" w:hAnsi="Verdana"/>
          <w:b/>
          <w:sz w:val="24"/>
          <w:szCs w:val="24"/>
        </w:rPr>
      </w:pPr>
    </w:p>
    <w:p w:rsidR="001C054D" w:rsidRPr="002E69A0" w:rsidRDefault="0070766D" w:rsidP="004905E2">
      <w:pPr>
        <w:pStyle w:val="NoSpacing"/>
        <w:rPr>
          <w:rFonts w:ascii="Verdana" w:hAnsi="Verdana"/>
          <w:sz w:val="24"/>
          <w:szCs w:val="24"/>
        </w:rPr>
      </w:pPr>
      <w:r w:rsidRPr="002E69A0">
        <w:rPr>
          <w:rFonts w:ascii="Verdana" w:hAnsi="Verdana"/>
          <w:sz w:val="24"/>
          <w:szCs w:val="24"/>
        </w:rPr>
        <w:t xml:space="preserve">7.1 </w:t>
      </w:r>
      <w:r w:rsidR="001C054D" w:rsidRPr="002E69A0">
        <w:rPr>
          <w:rFonts w:ascii="Verdana" w:hAnsi="Verdana"/>
          <w:sz w:val="24"/>
          <w:szCs w:val="24"/>
        </w:rPr>
        <w:t>The Commission notes the strategic priority to “ensu</w:t>
      </w:r>
      <w:r w:rsidRPr="002E69A0">
        <w:rPr>
          <w:rFonts w:ascii="Verdana" w:hAnsi="Verdana"/>
          <w:sz w:val="24"/>
          <w:szCs w:val="24"/>
        </w:rPr>
        <w:t>r</w:t>
      </w:r>
      <w:r w:rsidR="001C054D" w:rsidRPr="002E69A0">
        <w:rPr>
          <w:rFonts w:ascii="Verdana" w:hAnsi="Verdana"/>
          <w:sz w:val="24"/>
          <w:szCs w:val="24"/>
        </w:rPr>
        <w:t xml:space="preserve">e a range of accommodation options is in place to meet the health and social care </w:t>
      </w:r>
      <w:proofErr w:type="gramStart"/>
      <w:r w:rsidR="001C054D" w:rsidRPr="002E69A0">
        <w:rPr>
          <w:rFonts w:ascii="Verdana" w:hAnsi="Verdana"/>
          <w:sz w:val="24"/>
          <w:szCs w:val="24"/>
        </w:rPr>
        <w:t>needs</w:t>
      </w:r>
      <w:proofErr w:type="gramEnd"/>
      <w:r w:rsidR="001C054D" w:rsidRPr="002E69A0">
        <w:rPr>
          <w:rFonts w:ascii="Verdana" w:hAnsi="Verdana"/>
          <w:sz w:val="24"/>
          <w:szCs w:val="24"/>
        </w:rPr>
        <w:t xml:space="preserve"> of chi</w:t>
      </w:r>
      <w:r w:rsidR="00B635AC" w:rsidRPr="002E69A0">
        <w:rPr>
          <w:rFonts w:ascii="Verdana" w:hAnsi="Verdana"/>
          <w:sz w:val="24"/>
          <w:szCs w:val="24"/>
        </w:rPr>
        <w:t>ldren, young people and adults”.</w:t>
      </w:r>
      <w:r w:rsidR="001C054D" w:rsidRPr="002E69A0">
        <w:rPr>
          <w:rFonts w:ascii="Verdana" w:hAnsi="Verdana"/>
          <w:sz w:val="24"/>
          <w:szCs w:val="24"/>
        </w:rPr>
        <w:t xml:space="preserve"> </w:t>
      </w:r>
      <w:r w:rsidR="00B635AC" w:rsidRPr="002E69A0">
        <w:rPr>
          <w:rFonts w:ascii="Verdana" w:hAnsi="Verdana"/>
          <w:sz w:val="24"/>
          <w:szCs w:val="24"/>
        </w:rPr>
        <w:t>F</w:t>
      </w:r>
      <w:r w:rsidR="001C054D" w:rsidRPr="002E69A0">
        <w:rPr>
          <w:rFonts w:ascii="Verdana" w:hAnsi="Verdana"/>
          <w:sz w:val="24"/>
          <w:szCs w:val="24"/>
        </w:rPr>
        <w:t xml:space="preserve">or some time it has been accepted that the use of </w:t>
      </w:r>
      <w:proofErr w:type="spellStart"/>
      <w:r w:rsidR="001C054D" w:rsidRPr="002E69A0">
        <w:rPr>
          <w:rFonts w:ascii="Verdana" w:hAnsi="Verdana"/>
          <w:sz w:val="24"/>
          <w:szCs w:val="24"/>
        </w:rPr>
        <w:t>Hydebank</w:t>
      </w:r>
      <w:proofErr w:type="spellEnd"/>
      <w:r w:rsidR="001C054D" w:rsidRPr="002E69A0">
        <w:rPr>
          <w:rFonts w:ascii="Verdana" w:hAnsi="Verdana"/>
          <w:sz w:val="24"/>
          <w:szCs w:val="24"/>
        </w:rPr>
        <w:t xml:space="preserve"> Wood to accommodate female prisoners is not suitable and impacts negatively on the health and care of female prisoners. </w:t>
      </w:r>
      <w:r w:rsidR="001C054D" w:rsidRPr="002E69A0">
        <w:rPr>
          <w:rFonts w:ascii="Verdana" w:hAnsi="Verdana" w:cs="ZurichBT-Light"/>
          <w:sz w:val="24"/>
          <w:szCs w:val="24"/>
        </w:rPr>
        <w:t>Both the UN C</w:t>
      </w:r>
      <w:r w:rsidR="00B635AC" w:rsidRPr="002E69A0">
        <w:rPr>
          <w:rFonts w:ascii="Verdana" w:hAnsi="Verdana" w:cs="ZurichBT-Light"/>
          <w:sz w:val="24"/>
          <w:szCs w:val="24"/>
        </w:rPr>
        <w:t>ommittee against Torture</w:t>
      </w:r>
      <w:r w:rsidR="001C054D" w:rsidRPr="002E69A0">
        <w:rPr>
          <w:rFonts w:ascii="Verdana" w:hAnsi="Verdana" w:cs="ZurichBT-Light"/>
          <w:sz w:val="24"/>
          <w:szCs w:val="24"/>
        </w:rPr>
        <w:t xml:space="preserve"> and the </w:t>
      </w:r>
      <w:r w:rsidR="00B8654C" w:rsidRPr="002E69A0">
        <w:rPr>
          <w:rFonts w:ascii="Verdana" w:hAnsi="Verdana" w:cs="ZurichBT-Light"/>
          <w:sz w:val="24"/>
          <w:szCs w:val="24"/>
        </w:rPr>
        <w:t>UN CEDAW Committee</w:t>
      </w:r>
      <w:r w:rsidR="001C054D" w:rsidRPr="002E69A0">
        <w:rPr>
          <w:rFonts w:ascii="Verdana" w:hAnsi="Verdana" w:cs="ZurichBT-Light"/>
          <w:sz w:val="24"/>
          <w:szCs w:val="24"/>
        </w:rPr>
        <w:t xml:space="preserve"> have recommended that women should no longer be held at </w:t>
      </w:r>
      <w:proofErr w:type="spellStart"/>
      <w:r w:rsidR="001C054D" w:rsidRPr="002E69A0">
        <w:rPr>
          <w:rFonts w:ascii="Verdana" w:hAnsi="Verdana" w:cs="ZurichBT-Light"/>
          <w:sz w:val="24"/>
          <w:szCs w:val="24"/>
        </w:rPr>
        <w:t>Hydebank</w:t>
      </w:r>
      <w:proofErr w:type="spellEnd"/>
      <w:r w:rsidR="001C054D" w:rsidRPr="002E69A0">
        <w:rPr>
          <w:rFonts w:ascii="Verdana" w:hAnsi="Verdana" w:cs="ZurichBT-Light"/>
          <w:sz w:val="24"/>
          <w:szCs w:val="24"/>
        </w:rPr>
        <w:t xml:space="preserve"> Wood and that a separate custodial facility should be established.</w:t>
      </w:r>
      <w:r w:rsidR="001C054D" w:rsidRPr="002E69A0">
        <w:rPr>
          <w:rFonts w:ascii="Verdana" w:hAnsi="Verdana" w:cs="ZurichBT-Light"/>
          <w:sz w:val="24"/>
          <w:szCs w:val="24"/>
          <w:vertAlign w:val="superscript"/>
        </w:rPr>
        <w:footnoteReference w:id="42"/>
      </w:r>
      <w:r w:rsidR="001C054D" w:rsidRPr="002E69A0">
        <w:rPr>
          <w:rFonts w:ascii="Verdana" w:hAnsi="Verdana" w:cs="ZurichBT-Light"/>
          <w:sz w:val="24"/>
          <w:szCs w:val="24"/>
        </w:rPr>
        <w:t xml:space="preserve"> </w:t>
      </w:r>
    </w:p>
    <w:p w:rsidR="001C054D" w:rsidRPr="002E69A0" w:rsidRDefault="001C054D" w:rsidP="001C054D">
      <w:pPr>
        <w:autoSpaceDE w:val="0"/>
        <w:autoSpaceDN w:val="0"/>
        <w:adjustRightInd w:val="0"/>
        <w:spacing w:after="0" w:line="240" w:lineRule="auto"/>
        <w:rPr>
          <w:rFonts w:ascii="Verdana" w:hAnsi="Verdana" w:cs="ZurichBT-Light"/>
          <w:sz w:val="24"/>
          <w:szCs w:val="24"/>
        </w:rPr>
      </w:pPr>
    </w:p>
    <w:p w:rsidR="001C054D" w:rsidRPr="002E69A0" w:rsidRDefault="004905E2" w:rsidP="001C054D">
      <w:pPr>
        <w:autoSpaceDE w:val="0"/>
        <w:autoSpaceDN w:val="0"/>
        <w:adjustRightInd w:val="0"/>
        <w:spacing w:after="0" w:line="240" w:lineRule="auto"/>
        <w:rPr>
          <w:rFonts w:ascii="Verdana" w:hAnsi="Verdana" w:cs="Zurich BT"/>
          <w:color w:val="000000"/>
          <w:sz w:val="24"/>
          <w:szCs w:val="24"/>
        </w:rPr>
      </w:pPr>
      <w:r w:rsidRPr="002E69A0">
        <w:rPr>
          <w:rFonts w:ascii="Verdana" w:hAnsi="Verdana" w:cs="Zurich BT"/>
          <w:color w:val="000000"/>
          <w:sz w:val="24"/>
          <w:szCs w:val="24"/>
        </w:rPr>
        <w:t xml:space="preserve">7.2 </w:t>
      </w:r>
      <w:r w:rsidR="001C054D" w:rsidRPr="002E69A0">
        <w:rPr>
          <w:rFonts w:ascii="Verdana" w:hAnsi="Verdana" w:cs="Zurich BT"/>
          <w:color w:val="000000"/>
          <w:sz w:val="24"/>
          <w:szCs w:val="24"/>
        </w:rPr>
        <w:t xml:space="preserve">The </w:t>
      </w:r>
      <w:r w:rsidR="00BA69C9" w:rsidRPr="002E69A0">
        <w:rPr>
          <w:rFonts w:ascii="Verdana" w:hAnsi="Verdana" w:cs="Zurich BT"/>
          <w:color w:val="000000"/>
          <w:sz w:val="24"/>
          <w:szCs w:val="24"/>
        </w:rPr>
        <w:t>previous Minister of Justice</w:t>
      </w:r>
      <w:r w:rsidR="001C054D" w:rsidRPr="002E69A0">
        <w:rPr>
          <w:rFonts w:ascii="Verdana" w:hAnsi="Verdana" w:cs="Zurich BT"/>
          <w:color w:val="000000"/>
          <w:sz w:val="24"/>
          <w:szCs w:val="24"/>
        </w:rPr>
        <w:t xml:space="preserve"> indicated his support for the construction of a separate custodial facility for women in N</w:t>
      </w:r>
      <w:r w:rsidR="00B635AC" w:rsidRPr="002E69A0">
        <w:rPr>
          <w:rFonts w:ascii="Verdana" w:hAnsi="Verdana" w:cs="Zurich BT"/>
          <w:color w:val="000000"/>
          <w:sz w:val="24"/>
          <w:szCs w:val="24"/>
        </w:rPr>
        <w:t xml:space="preserve">orthern </w:t>
      </w:r>
      <w:r w:rsidR="001C054D" w:rsidRPr="002E69A0">
        <w:rPr>
          <w:rFonts w:ascii="Verdana" w:hAnsi="Verdana" w:cs="Zurich BT"/>
          <w:color w:val="000000"/>
          <w:sz w:val="24"/>
          <w:szCs w:val="24"/>
        </w:rPr>
        <w:t>I</w:t>
      </w:r>
      <w:r w:rsidR="00B635AC" w:rsidRPr="002E69A0">
        <w:rPr>
          <w:rFonts w:ascii="Verdana" w:hAnsi="Verdana" w:cs="Zurich BT"/>
          <w:color w:val="000000"/>
          <w:sz w:val="24"/>
          <w:szCs w:val="24"/>
        </w:rPr>
        <w:t>reland</w:t>
      </w:r>
      <w:r w:rsidR="001C054D" w:rsidRPr="002E69A0">
        <w:rPr>
          <w:rFonts w:ascii="Verdana" w:hAnsi="Verdana" w:cs="Zurich BT"/>
          <w:color w:val="000000"/>
          <w:sz w:val="24"/>
          <w:szCs w:val="24"/>
        </w:rPr>
        <w:t>. However the delivery of this commitment is subject to appropriate funding.</w:t>
      </w:r>
      <w:r w:rsidR="001C054D" w:rsidRPr="002E69A0">
        <w:rPr>
          <w:rFonts w:ascii="Verdana" w:hAnsi="Verdana" w:cs="Zurich BT"/>
          <w:color w:val="000000"/>
          <w:sz w:val="24"/>
          <w:szCs w:val="24"/>
          <w:vertAlign w:val="superscript"/>
        </w:rPr>
        <w:footnoteReference w:id="43"/>
      </w:r>
    </w:p>
    <w:p w:rsidR="001C054D" w:rsidRPr="002E69A0" w:rsidRDefault="001C054D" w:rsidP="001C054D">
      <w:pPr>
        <w:autoSpaceDE w:val="0"/>
        <w:autoSpaceDN w:val="0"/>
        <w:adjustRightInd w:val="0"/>
        <w:spacing w:after="0" w:line="240" w:lineRule="auto"/>
        <w:rPr>
          <w:rFonts w:ascii="Verdana" w:hAnsi="Verdana" w:cs="ZurichBT-Light"/>
          <w:sz w:val="24"/>
          <w:szCs w:val="24"/>
        </w:rPr>
      </w:pPr>
    </w:p>
    <w:p w:rsidR="001C054D" w:rsidRPr="002E69A0" w:rsidRDefault="004905E2" w:rsidP="001C054D">
      <w:pPr>
        <w:autoSpaceDE w:val="0"/>
        <w:autoSpaceDN w:val="0"/>
        <w:adjustRightInd w:val="0"/>
        <w:spacing w:after="0" w:line="240" w:lineRule="auto"/>
        <w:rPr>
          <w:rFonts w:ascii="Verdana" w:hAnsi="Verdana" w:cs="ZurichBT-Light"/>
          <w:sz w:val="24"/>
          <w:szCs w:val="24"/>
        </w:rPr>
      </w:pPr>
      <w:r w:rsidRPr="002E69A0">
        <w:rPr>
          <w:rFonts w:ascii="Verdana" w:hAnsi="Verdana" w:cs="ZurichBT-Light"/>
          <w:sz w:val="24"/>
          <w:szCs w:val="24"/>
        </w:rPr>
        <w:t xml:space="preserve">7.3 Whilst it is noted that </w:t>
      </w:r>
      <w:r w:rsidR="001C054D" w:rsidRPr="002E69A0">
        <w:rPr>
          <w:rFonts w:ascii="Verdana" w:hAnsi="Verdana" w:cs="Zurich BT"/>
          <w:color w:val="000000"/>
          <w:sz w:val="24"/>
          <w:szCs w:val="24"/>
        </w:rPr>
        <w:t xml:space="preserve">a step-down facility for women prisoners, nearing the end of their sentence, has been established at </w:t>
      </w:r>
      <w:proofErr w:type="spellStart"/>
      <w:r w:rsidR="001C054D" w:rsidRPr="002E69A0">
        <w:rPr>
          <w:rFonts w:ascii="Verdana" w:hAnsi="Verdana" w:cs="Zurich BT"/>
          <w:color w:val="000000"/>
          <w:sz w:val="24"/>
          <w:szCs w:val="24"/>
        </w:rPr>
        <w:t>Hydebank</w:t>
      </w:r>
      <w:proofErr w:type="spellEnd"/>
      <w:r w:rsidR="001C054D" w:rsidRPr="002E69A0">
        <w:rPr>
          <w:rFonts w:ascii="Verdana" w:hAnsi="Verdana" w:cs="Zurich BT"/>
          <w:color w:val="000000"/>
          <w:sz w:val="24"/>
          <w:szCs w:val="24"/>
        </w:rPr>
        <w:t xml:space="preserve"> Wood</w:t>
      </w:r>
      <w:r w:rsidR="00B635AC" w:rsidRPr="002E69A0">
        <w:rPr>
          <w:rFonts w:ascii="Verdana" w:hAnsi="Verdana" w:cs="Zurich BT"/>
          <w:color w:val="000000"/>
          <w:sz w:val="24"/>
          <w:szCs w:val="24"/>
        </w:rPr>
        <w:t>,</w:t>
      </w:r>
      <w:r w:rsidRPr="002E69A0">
        <w:rPr>
          <w:rFonts w:ascii="Verdana" w:hAnsi="Verdana" w:cs="Zurich BT"/>
          <w:color w:val="000000"/>
          <w:sz w:val="24"/>
          <w:szCs w:val="24"/>
        </w:rPr>
        <w:t xml:space="preserve"> the obligation to construct a separate custodial facility for women has not been realised and construction is yet to commence</w:t>
      </w:r>
      <w:r w:rsidR="001C054D" w:rsidRPr="002E69A0">
        <w:rPr>
          <w:rFonts w:ascii="Verdana" w:hAnsi="Verdana" w:cs="Zurich BT"/>
          <w:color w:val="000000"/>
          <w:sz w:val="24"/>
          <w:szCs w:val="24"/>
        </w:rPr>
        <w:t>.</w:t>
      </w:r>
      <w:r w:rsidR="001C054D" w:rsidRPr="002E69A0">
        <w:rPr>
          <w:rFonts w:ascii="Verdana" w:hAnsi="Verdana" w:cs="Zurich BT"/>
          <w:color w:val="000000"/>
          <w:sz w:val="24"/>
          <w:szCs w:val="24"/>
          <w:vertAlign w:val="superscript"/>
        </w:rPr>
        <w:footnoteReference w:id="44"/>
      </w:r>
      <w:r w:rsidR="001C054D" w:rsidRPr="002E69A0">
        <w:rPr>
          <w:rFonts w:ascii="Verdana" w:hAnsi="Verdana" w:cs="Zurich BT"/>
          <w:color w:val="000000"/>
          <w:sz w:val="24"/>
          <w:szCs w:val="24"/>
        </w:rPr>
        <w:t xml:space="preserve"> </w:t>
      </w:r>
    </w:p>
    <w:p w:rsidR="001C054D" w:rsidRPr="002E69A0" w:rsidRDefault="001C054D" w:rsidP="00D60183">
      <w:pPr>
        <w:pStyle w:val="NoSpacing"/>
        <w:rPr>
          <w:rFonts w:ascii="Verdana" w:hAnsi="Verdana"/>
          <w:b/>
          <w:sz w:val="24"/>
          <w:szCs w:val="24"/>
        </w:rPr>
      </w:pPr>
    </w:p>
    <w:p w:rsidR="004905E2" w:rsidRPr="002E69A0" w:rsidRDefault="004905E2" w:rsidP="0011611C">
      <w:pPr>
        <w:pStyle w:val="NoSpacing"/>
        <w:ind w:left="720"/>
        <w:rPr>
          <w:rFonts w:ascii="Verdana" w:hAnsi="Verdana"/>
          <w:b/>
          <w:sz w:val="24"/>
          <w:szCs w:val="24"/>
        </w:rPr>
      </w:pPr>
      <w:r w:rsidRPr="002E69A0">
        <w:rPr>
          <w:rFonts w:ascii="Verdana" w:hAnsi="Verdana"/>
          <w:b/>
          <w:sz w:val="24"/>
          <w:szCs w:val="24"/>
        </w:rPr>
        <w:t>7.4 The Commission advises the Department of Justice to publish details of the construction of a separate custodial facility for female prisoners in Northern Ireland and to identify within the strategy how the healthcare needs of women will be addressed.</w:t>
      </w:r>
    </w:p>
    <w:p w:rsidR="00715F23" w:rsidRPr="002E69A0" w:rsidRDefault="00715F23" w:rsidP="00D60183">
      <w:pPr>
        <w:pStyle w:val="NoSpacing"/>
        <w:rPr>
          <w:rFonts w:ascii="Verdana" w:hAnsi="Verdana"/>
          <w:b/>
          <w:sz w:val="24"/>
          <w:szCs w:val="24"/>
        </w:rPr>
      </w:pPr>
    </w:p>
    <w:p w:rsidR="00CD3625" w:rsidRDefault="00CD3625" w:rsidP="00D60183">
      <w:pPr>
        <w:pStyle w:val="NoSpacing"/>
        <w:rPr>
          <w:rFonts w:ascii="Verdana" w:hAnsi="Verdana"/>
          <w:b/>
          <w:sz w:val="24"/>
          <w:szCs w:val="24"/>
        </w:rPr>
      </w:pPr>
    </w:p>
    <w:p w:rsidR="00E6148B" w:rsidRPr="002E69A0" w:rsidRDefault="00E6148B" w:rsidP="00D60183">
      <w:pPr>
        <w:pStyle w:val="NoSpacing"/>
        <w:rPr>
          <w:rFonts w:ascii="Verdana" w:hAnsi="Verdana"/>
          <w:b/>
          <w:sz w:val="24"/>
          <w:szCs w:val="24"/>
        </w:rPr>
      </w:pPr>
      <w:r w:rsidRPr="002E69A0">
        <w:rPr>
          <w:rFonts w:ascii="Verdana" w:hAnsi="Verdana"/>
          <w:b/>
          <w:sz w:val="24"/>
          <w:szCs w:val="24"/>
        </w:rPr>
        <w:t xml:space="preserve">Persons with disabilities </w:t>
      </w:r>
    </w:p>
    <w:p w:rsidR="00E6148B" w:rsidRPr="002E69A0" w:rsidRDefault="00E6148B" w:rsidP="00D60183">
      <w:pPr>
        <w:pStyle w:val="NoSpacing"/>
        <w:rPr>
          <w:rFonts w:ascii="Verdana" w:hAnsi="Verdana"/>
          <w:b/>
          <w:sz w:val="24"/>
          <w:szCs w:val="24"/>
        </w:rPr>
      </w:pPr>
    </w:p>
    <w:p w:rsidR="00E6148B" w:rsidRPr="002E69A0" w:rsidRDefault="00E6148B" w:rsidP="00E6148B">
      <w:pPr>
        <w:rPr>
          <w:rFonts w:ascii="Verdana" w:hAnsi="Verdana"/>
          <w:sz w:val="24"/>
          <w:szCs w:val="24"/>
        </w:rPr>
      </w:pPr>
      <w:r w:rsidRPr="002E69A0">
        <w:rPr>
          <w:rFonts w:ascii="Verdana" w:hAnsi="Verdana"/>
          <w:sz w:val="24"/>
          <w:szCs w:val="24"/>
        </w:rPr>
        <w:t>8.1 The strategy makes numerous references to persons with disabilities and it is noted that a preliminary Equality Screening, including a Disability Duties Assessment has been carried out. The UN Standard Minimum Rules for the Treatment of Prisoners make specific recommendations relating to prisoners wi</w:t>
      </w:r>
      <w:r w:rsidR="00544241">
        <w:rPr>
          <w:rFonts w:ascii="Verdana" w:hAnsi="Verdana"/>
          <w:sz w:val="24"/>
          <w:szCs w:val="24"/>
        </w:rPr>
        <w:t>th disabilities</w:t>
      </w:r>
      <w:r w:rsidR="002E69A0">
        <w:rPr>
          <w:rFonts w:ascii="Verdana" w:hAnsi="Verdana"/>
          <w:sz w:val="24"/>
          <w:szCs w:val="24"/>
        </w:rPr>
        <w:t xml:space="preserve"> Rule 5 states:</w:t>
      </w:r>
    </w:p>
    <w:p w:rsidR="00E6148B" w:rsidRPr="002E69A0" w:rsidRDefault="00E6148B" w:rsidP="00E6148B">
      <w:pPr>
        <w:pStyle w:val="NoSpacing"/>
        <w:ind w:left="720"/>
        <w:rPr>
          <w:rFonts w:ascii="Verdana" w:hAnsi="Verdana"/>
          <w:sz w:val="24"/>
          <w:szCs w:val="24"/>
        </w:rPr>
      </w:pPr>
      <w:r w:rsidRPr="002E69A0">
        <w:rPr>
          <w:rFonts w:ascii="Verdana" w:hAnsi="Verdana"/>
          <w:sz w:val="24"/>
          <w:szCs w:val="24"/>
        </w:rPr>
        <w:t>“Prison administrations shall make all reasonable accommodation and adjustments to ensure that prisoners with physical, mental or other disabilities have full and effective access to prison life on an equitable basis”.</w:t>
      </w:r>
      <w:r w:rsidRPr="002E69A0">
        <w:rPr>
          <w:rStyle w:val="FootnoteReference"/>
          <w:rFonts w:ascii="Verdana" w:hAnsi="Verdana"/>
          <w:sz w:val="24"/>
          <w:szCs w:val="24"/>
        </w:rPr>
        <w:footnoteReference w:id="45"/>
      </w:r>
    </w:p>
    <w:p w:rsidR="00E6148B" w:rsidRPr="002E69A0" w:rsidRDefault="00E6148B" w:rsidP="00E6148B">
      <w:pPr>
        <w:pStyle w:val="NoSpacing"/>
        <w:ind w:left="720"/>
        <w:rPr>
          <w:rFonts w:ascii="Verdana" w:hAnsi="Verdana"/>
          <w:sz w:val="24"/>
          <w:szCs w:val="24"/>
        </w:rPr>
      </w:pPr>
    </w:p>
    <w:p w:rsidR="00E6148B" w:rsidRPr="002E69A0" w:rsidRDefault="00E6148B" w:rsidP="00E6148B">
      <w:pPr>
        <w:rPr>
          <w:rFonts w:ascii="Verdana" w:hAnsi="Verdana"/>
          <w:sz w:val="24"/>
          <w:szCs w:val="24"/>
        </w:rPr>
      </w:pPr>
      <w:r w:rsidRPr="002E69A0">
        <w:rPr>
          <w:rFonts w:ascii="Verdana" w:hAnsi="Verdana"/>
          <w:sz w:val="24"/>
          <w:szCs w:val="24"/>
        </w:rPr>
        <w:t xml:space="preserve">8.2 In developing the strategy it is important that full consideration is given to the state’s obligations under the UNCRPD. </w:t>
      </w:r>
      <w:r w:rsidR="00CD3625">
        <w:rPr>
          <w:rFonts w:ascii="Verdana" w:hAnsi="Verdana"/>
          <w:sz w:val="24"/>
          <w:szCs w:val="24"/>
        </w:rPr>
        <w:t xml:space="preserve">The Commission recently welcomed the enactment of the </w:t>
      </w:r>
      <w:r w:rsidRPr="002E69A0">
        <w:rPr>
          <w:rFonts w:ascii="Verdana" w:hAnsi="Verdana"/>
          <w:sz w:val="24"/>
          <w:szCs w:val="24"/>
        </w:rPr>
        <w:t>Mental Capacity Act (NI) 2016</w:t>
      </w:r>
      <w:r w:rsidR="00CD3625">
        <w:rPr>
          <w:rFonts w:ascii="Verdana" w:hAnsi="Verdana"/>
          <w:sz w:val="24"/>
          <w:szCs w:val="24"/>
        </w:rPr>
        <w:t>, this Act</w:t>
      </w:r>
      <w:r w:rsidRPr="002E69A0">
        <w:rPr>
          <w:rFonts w:ascii="Verdana" w:hAnsi="Verdana"/>
          <w:sz w:val="24"/>
          <w:szCs w:val="24"/>
        </w:rPr>
        <w:t xml:space="preserve"> will </w:t>
      </w:r>
      <w:r w:rsidR="00770D77">
        <w:rPr>
          <w:rFonts w:ascii="Verdana" w:hAnsi="Verdana"/>
          <w:sz w:val="24"/>
          <w:szCs w:val="24"/>
        </w:rPr>
        <w:t>have particular implications in</w:t>
      </w:r>
      <w:r w:rsidRPr="002E69A0">
        <w:rPr>
          <w:rFonts w:ascii="Verdana" w:hAnsi="Verdana"/>
          <w:sz w:val="24"/>
          <w:szCs w:val="24"/>
        </w:rPr>
        <w:t xml:space="preserve"> </w:t>
      </w:r>
      <w:r w:rsidR="00770D77">
        <w:rPr>
          <w:rFonts w:ascii="Verdana" w:hAnsi="Verdana"/>
          <w:sz w:val="24"/>
          <w:szCs w:val="24"/>
        </w:rPr>
        <w:t xml:space="preserve">the provision of healthcare to </w:t>
      </w:r>
      <w:r w:rsidRPr="002E69A0">
        <w:rPr>
          <w:rFonts w:ascii="Verdana" w:hAnsi="Verdana"/>
          <w:sz w:val="24"/>
          <w:szCs w:val="24"/>
        </w:rPr>
        <w:t xml:space="preserve">persons with disabilities and </w:t>
      </w:r>
      <w:r w:rsidR="00770D77">
        <w:rPr>
          <w:rFonts w:ascii="Verdana" w:hAnsi="Verdana"/>
          <w:sz w:val="24"/>
          <w:szCs w:val="24"/>
        </w:rPr>
        <w:t>its implications require consideration in the context of the strategy</w:t>
      </w:r>
      <w:r w:rsidRPr="002E69A0">
        <w:rPr>
          <w:rFonts w:ascii="Verdana" w:hAnsi="Verdana"/>
          <w:sz w:val="24"/>
          <w:szCs w:val="24"/>
        </w:rPr>
        <w:t xml:space="preserve">. </w:t>
      </w:r>
    </w:p>
    <w:p w:rsidR="00770D77" w:rsidRDefault="00B8654C" w:rsidP="00882081">
      <w:pPr>
        <w:ind w:left="720"/>
        <w:rPr>
          <w:rFonts w:ascii="Verdana" w:hAnsi="Verdana"/>
          <w:b/>
          <w:sz w:val="24"/>
          <w:szCs w:val="24"/>
        </w:rPr>
      </w:pPr>
      <w:r w:rsidRPr="002E69A0">
        <w:rPr>
          <w:rFonts w:ascii="Verdana" w:hAnsi="Verdana"/>
          <w:b/>
          <w:sz w:val="24"/>
          <w:szCs w:val="24"/>
        </w:rPr>
        <w:t xml:space="preserve">8.3 </w:t>
      </w:r>
      <w:r w:rsidR="00E6148B" w:rsidRPr="002E69A0">
        <w:rPr>
          <w:rFonts w:ascii="Verdana" w:hAnsi="Verdana"/>
          <w:b/>
          <w:sz w:val="24"/>
          <w:szCs w:val="24"/>
        </w:rPr>
        <w:t>The Co</w:t>
      </w:r>
      <w:r w:rsidRPr="002E69A0">
        <w:rPr>
          <w:rFonts w:ascii="Verdana" w:hAnsi="Verdana"/>
          <w:b/>
          <w:sz w:val="24"/>
          <w:szCs w:val="24"/>
        </w:rPr>
        <w:t>mmission advises the Department of Health and Department of Justice</w:t>
      </w:r>
      <w:r w:rsidR="00E6148B" w:rsidRPr="002E69A0">
        <w:rPr>
          <w:rFonts w:ascii="Verdana" w:hAnsi="Verdana"/>
          <w:b/>
          <w:sz w:val="24"/>
          <w:szCs w:val="24"/>
        </w:rPr>
        <w:t xml:space="preserve"> to</w:t>
      </w:r>
      <w:r w:rsidR="00770D77">
        <w:rPr>
          <w:rFonts w:ascii="Verdana" w:hAnsi="Verdana"/>
          <w:b/>
          <w:sz w:val="24"/>
          <w:szCs w:val="24"/>
        </w:rPr>
        <w:t xml:space="preserve"> consider how the strategy can contribute to the effective implementation of the Mental Capacity (NI) Act 2016. </w:t>
      </w:r>
    </w:p>
    <w:p w:rsidR="0011611C" w:rsidRPr="002E69A0" w:rsidRDefault="0011611C" w:rsidP="00D60183">
      <w:pPr>
        <w:pStyle w:val="NoSpacing"/>
        <w:rPr>
          <w:rFonts w:ascii="Verdana" w:hAnsi="Verdana"/>
          <w:b/>
          <w:sz w:val="24"/>
          <w:szCs w:val="24"/>
        </w:rPr>
      </w:pPr>
      <w:r w:rsidRPr="002E69A0">
        <w:rPr>
          <w:rFonts w:ascii="Verdana" w:hAnsi="Verdana"/>
          <w:b/>
          <w:sz w:val="24"/>
          <w:szCs w:val="24"/>
        </w:rPr>
        <w:t>Budget</w:t>
      </w:r>
    </w:p>
    <w:p w:rsidR="0011611C" w:rsidRPr="002E69A0" w:rsidRDefault="0011611C" w:rsidP="00D60183">
      <w:pPr>
        <w:pStyle w:val="NoSpacing"/>
        <w:rPr>
          <w:rFonts w:ascii="Verdana" w:hAnsi="Verdana"/>
          <w:b/>
          <w:sz w:val="24"/>
          <w:szCs w:val="24"/>
        </w:rPr>
      </w:pPr>
    </w:p>
    <w:p w:rsidR="00715F23" w:rsidRPr="002E69A0" w:rsidRDefault="00B8654C" w:rsidP="00D60183">
      <w:pPr>
        <w:pStyle w:val="NoSpacing"/>
        <w:rPr>
          <w:rFonts w:ascii="Verdana" w:hAnsi="Verdana"/>
          <w:sz w:val="24"/>
          <w:szCs w:val="24"/>
        </w:rPr>
      </w:pPr>
      <w:r w:rsidRPr="002E69A0">
        <w:rPr>
          <w:rFonts w:ascii="Verdana" w:hAnsi="Verdana"/>
          <w:sz w:val="24"/>
          <w:szCs w:val="24"/>
        </w:rPr>
        <w:t>9</w:t>
      </w:r>
      <w:r w:rsidR="00715F23" w:rsidRPr="002E69A0">
        <w:rPr>
          <w:rFonts w:ascii="Verdana" w:hAnsi="Verdana"/>
          <w:sz w:val="24"/>
          <w:szCs w:val="24"/>
        </w:rPr>
        <w:t xml:space="preserve">.1 The </w:t>
      </w:r>
      <w:r w:rsidR="00C22040" w:rsidRPr="002E69A0">
        <w:rPr>
          <w:rFonts w:ascii="Verdana" w:hAnsi="Verdana"/>
          <w:sz w:val="24"/>
          <w:szCs w:val="24"/>
        </w:rPr>
        <w:t>Commission notes that a proposed budget for implementation of the strategy has not been provided</w:t>
      </w:r>
      <w:r w:rsidR="00B5399D" w:rsidRPr="002E69A0">
        <w:rPr>
          <w:rFonts w:ascii="Verdana" w:hAnsi="Verdana"/>
          <w:sz w:val="24"/>
          <w:szCs w:val="24"/>
        </w:rPr>
        <w:t>,</w:t>
      </w:r>
      <w:r w:rsidR="00C22040" w:rsidRPr="002E69A0">
        <w:rPr>
          <w:rFonts w:ascii="Verdana" w:hAnsi="Verdana"/>
          <w:sz w:val="24"/>
          <w:szCs w:val="24"/>
        </w:rPr>
        <w:t xml:space="preserve"> th</w:t>
      </w:r>
      <w:r w:rsidR="00BC7A23" w:rsidRPr="002E69A0">
        <w:rPr>
          <w:rFonts w:ascii="Verdana" w:hAnsi="Verdana"/>
          <w:sz w:val="24"/>
          <w:szCs w:val="24"/>
        </w:rPr>
        <w:t>at elements of strategy appear to be contingent upon the availability of additional funding</w:t>
      </w:r>
      <w:r w:rsidR="00B5399D" w:rsidRPr="002E69A0">
        <w:rPr>
          <w:rFonts w:ascii="Verdana" w:hAnsi="Verdana"/>
          <w:sz w:val="24"/>
          <w:szCs w:val="24"/>
        </w:rPr>
        <w:t xml:space="preserve"> and that no significant cost projections have been provided.</w:t>
      </w:r>
      <w:r w:rsidR="00BC7A23" w:rsidRPr="002E69A0">
        <w:rPr>
          <w:rStyle w:val="FootnoteReference"/>
          <w:rFonts w:ascii="Verdana" w:hAnsi="Verdana"/>
          <w:sz w:val="24"/>
          <w:szCs w:val="24"/>
        </w:rPr>
        <w:footnoteReference w:id="46"/>
      </w:r>
      <w:r w:rsidR="00B5399D" w:rsidRPr="002E69A0">
        <w:rPr>
          <w:rFonts w:ascii="Verdana" w:hAnsi="Verdana"/>
          <w:sz w:val="24"/>
          <w:szCs w:val="24"/>
        </w:rPr>
        <w:t xml:space="preserve"> The </w:t>
      </w:r>
      <w:r w:rsidR="00770D77">
        <w:rPr>
          <w:rFonts w:ascii="Verdana" w:hAnsi="Verdana"/>
          <w:sz w:val="24"/>
          <w:szCs w:val="24"/>
        </w:rPr>
        <w:t>Departments’</w:t>
      </w:r>
      <w:r w:rsidR="00B5399D" w:rsidRPr="002E69A0">
        <w:rPr>
          <w:rFonts w:ascii="Verdana" w:hAnsi="Verdana"/>
          <w:sz w:val="24"/>
          <w:szCs w:val="24"/>
        </w:rPr>
        <w:t xml:space="preserve"> consultation paper emphasises the ‘extremely challenging financial climate’. </w:t>
      </w:r>
    </w:p>
    <w:p w:rsidR="00B5399D" w:rsidRPr="002E69A0" w:rsidRDefault="00B5399D" w:rsidP="00D60183">
      <w:pPr>
        <w:pStyle w:val="NoSpacing"/>
        <w:rPr>
          <w:rFonts w:ascii="Verdana" w:hAnsi="Verdana"/>
          <w:sz w:val="24"/>
          <w:szCs w:val="24"/>
        </w:rPr>
      </w:pPr>
    </w:p>
    <w:p w:rsidR="00B5399D" w:rsidRPr="002E69A0" w:rsidRDefault="00B8654C" w:rsidP="00D60183">
      <w:pPr>
        <w:pStyle w:val="NoSpacing"/>
        <w:rPr>
          <w:rFonts w:ascii="Verdana" w:hAnsi="Verdana"/>
          <w:sz w:val="24"/>
          <w:szCs w:val="24"/>
        </w:rPr>
      </w:pPr>
      <w:r w:rsidRPr="002E69A0">
        <w:rPr>
          <w:rFonts w:ascii="Verdana" w:hAnsi="Verdana"/>
          <w:sz w:val="24"/>
          <w:szCs w:val="24"/>
        </w:rPr>
        <w:t>9</w:t>
      </w:r>
      <w:r w:rsidR="00B5399D" w:rsidRPr="002E69A0">
        <w:rPr>
          <w:rFonts w:ascii="Verdana" w:hAnsi="Verdana"/>
          <w:sz w:val="24"/>
          <w:szCs w:val="24"/>
        </w:rPr>
        <w:t xml:space="preserve">.2 </w:t>
      </w:r>
      <w:r w:rsidR="00865F63" w:rsidRPr="002E69A0">
        <w:rPr>
          <w:rFonts w:ascii="Verdana" w:hAnsi="Verdana"/>
          <w:sz w:val="24"/>
          <w:szCs w:val="24"/>
        </w:rPr>
        <w:t>Whilst the Commission appreciates the challenging financial context the protection of human rights cannot be contingent upon adequate resourcing. The Commission notes that experience demonstrates that inadequate resourcing can lead to an undermini</w:t>
      </w:r>
      <w:r w:rsidR="00544241">
        <w:rPr>
          <w:rFonts w:ascii="Verdana" w:hAnsi="Verdana"/>
          <w:sz w:val="24"/>
          <w:szCs w:val="24"/>
        </w:rPr>
        <w:t>ng of protections for prisoners. F</w:t>
      </w:r>
      <w:r w:rsidR="00865F63" w:rsidRPr="002E69A0">
        <w:rPr>
          <w:rFonts w:ascii="Verdana" w:hAnsi="Verdana"/>
          <w:sz w:val="24"/>
          <w:szCs w:val="24"/>
        </w:rPr>
        <w:t>or</w:t>
      </w:r>
      <w:r w:rsidR="008749E4" w:rsidRPr="002E69A0">
        <w:rPr>
          <w:rFonts w:ascii="Verdana" w:hAnsi="Verdana"/>
          <w:sz w:val="24"/>
          <w:szCs w:val="24"/>
        </w:rPr>
        <w:t xml:space="preserve"> instance</w:t>
      </w:r>
      <w:r w:rsidR="00865F63" w:rsidRPr="002E69A0">
        <w:rPr>
          <w:rFonts w:ascii="Verdana" w:hAnsi="Verdana"/>
          <w:sz w:val="24"/>
          <w:szCs w:val="24"/>
        </w:rPr>
        <w:t xml:space="preserve"> </w:t>
      </w:r>
      <w:r w:rsidR="008749E4" w:rsidRPr="002E69A0">
        <w:rPr>
          <w:rFonts w:ascii="Verdana" w:hAnsi="Verdana"/>
          <w:sz w:val="24"/>
          <w:szCs w:val="24"/>
        </w:rPr>
        <w:t xml:space="preserve">in its 2016 inspection of </w:t>
      </w:r>
      <w:r w:rsidR="00AE5335" w:rsidRPr="002E69A0">
        <w:rPr>
          <w:rFonts w:ascii="Verdana" w:hAnsi="Verdana"/>
          <w:sz w:val="24"/>
          <w:szCs w:val="24"/>
        </w:rPr>
        <w:t xml:space="preserve">HM </w:t>
      </w:r>
      <w:proofErr w:type="spellStart"/>
      <w:r w:rsidR="008749E4" w:rsidRPr="002E69A0">
        <w:rPr>
          <w:rFonts w:ascii="Verdana" w:hAnsi="Verdana"/>
          <w:sz w:val="24"/>
          <w:szCs w:val="24"/>
        </w:rPr>
        <w:t>Maghaberry</w:t>
      </w:r>
      <w:proofErr w:type="spellEnd"/>
      <w:r w:rsidR="008749E4" w:rsidRPr="002E69A0">
        <w:rPr>
          <w:rFonts w:ascii="Verdana" w:hAnsi="Verdana"/>
          <w:sz w:val="24"/>
          <w:szCs w:val="24"/>
        </w:rPr>
        <w:t xml:space="preserve"> the Regulation and Quality Assurance</w:t>
      </w:r>
      <w:r w:rsidR="00865F63" w:rsidRPr="002E69A0">
        <w:rPr>
          <w:rFonts w:ascii="Verdana" w:hAnsi="Verdana"/>
          <w:sz w:val="24"/>
          <w:szCs w:val="24"/>
        </w:rPr>
        <w:t xml:space="preserve"> </w:t>
      </w:r>
      <w:r w:rsidR="008749E4" w:rsidRPr="002E69A0">
        <w:rPr>
          <w:rFonts w:ascii="Verdana" w:hAnsi="Verdana"/>
          <w:sz w:val="24"/>
          <w:szCs w:val="24"/>
        </w:rPr>
        <w:t>mental health provision had deteriorated as a result of staff shortages.</w:t>
      </w:r>
      <w:r w:rsidR="008749E4" w:rsidRPr="002E69A0">
        <w:rPr>
          <w:rStyle w:val="FootnoteReference"/>
          <w:rFonts w:ascii="Verdana" w:hAnsi="Verdana"/>
          <w:sz w:val="24"/>
          <w:szCs w:val="24"/>
        </w:rPr>
        <w:footnoteReference w:id="47"/>
      </w:r>
      <w:r w:rsidR="00BD1F50" w:rsidRPr="002E69A0">
        <w:rPr>
          <w:rFonts w:ascii="Verdana" w:hAnsi="Verdana"/>
          <w:sz w:val="24"/>
          <w:szCs w:val="24"/>
        </w:rPr>
        <w:t xml:space="preserve"> </w:t>
      </w:r>
    </w:p>
    <w:p w:rsidR="00865F63" w:rsidRPr="002E69A0" w:rsidRDefault="00865F63" w:rsidP="00D60183">
      <w:pPr>
        <w:pStyle w:val="NoSpacing"/>
        <w:rPr>
          <w:rFonts w:ascii="Verdana" w:hAnsi="Verdana"/>
          <w:sz w:val="24"/>
          <w:szCs w:val="24"/>
        </w:rPr>
      </w:pPr>
    </w:p>
    <w:p w:rsidR="008749E4" w:rsidRPr="002E69A0" w:rsidRDefault="00B8654C" w:rsidP="008749E4">
      <w:pPr>
        <w:pStyle w:val="NoSpacing"/>
        <w:rPr>
          <w:rFonts w:ascii="Verdana" w:hAnsi="Verdana"/>
          <w:sz w:val="24"/>
          <w:szCs w:val="24"/>
        </w:rPr>
      </w:pPr>
      <w:r w:rsidRPr="002E69A0">
        <w:rPr>
          <w:rFonts w:ascii="Verdana" w:hAnsi="Verdana"/>
          <w:sz w:val="24"/>
          <w:szCs w:val="24"/>
        </w:rPr>
        <w:t>9</w:t>
      </w:r>
      <w:r w:rsidR="008749E4" w:rsidRPr="002E69A0">
        <w:rPr>
          <w:rFonts w:ascii="Verdana" w:hAnsi="Verdana"/>
          <w:sz w:val="24"/>
          <w:szCs w:val="24"/>
        </w:rPr>
        <w:t xml:space="preserve">.3 </w:t>
      </w:r>
      <w:r w:rsidR="008360EB" w:rsidRPr="002E69A0">
        <w:rPr>
          <w:rFonts w:ascii="Verdana" w:hAnsi="Verdana"/>
          <w:sz w:val="24"/>
          <w:szCs w:val="24"/>
        </w:rPr>
        <w:t xml:space="preserve">The </w:t>
      </w:r>
      <w:r w:rsidR="00544241">
        <w:rPr>
          <w:rFonts w:ascii="Verdana" w:hAnsi="Verdana"/>
          <w:sz w:val="24"/>
          <w:szCs w:val="24"/>
        </w:rPr>
        <w:t xml:space="preserve">UN </w:t>
      </w:r>
      <w:r w:rsidR="008360EB" w:rsidRPr="002E69A0">
        <w:rPr>
          <w:rFonts w:ascii="Verdana" w:hAnsi="Verdana"/>
          <w:sz w:val="24"/>
          <w:szCs w:val="24"/>
        </w:rPr>
        <w:t>Committee on Economic, Social and Cultural Rights noted in General comment No. 3 States parties’ obligations under the Covenant to dedicate “maximum available resources” to the fulfilment of economic, social and cultural rights.</w:t>
      </w:r>
      <w:r w:rsidR="008360EB" w:rsidRPr="002E69A0">
        <w:rPr>
          <w:rStyle w:val="FootnoteReference"/>
          <w:rFonts w:ascii="Verdana" w:hAnsi="Verdana"/>
          <w:sz w:val="24"/>
          <w:szCs w:val="24"/>
        </w:rPr>
        <w:footnoteReference w:id="48"/>
      </w:r>
      <w:r w:rsidR="006448BF" w:rsidRPr="002E69A0">
        <w:rPr>
          <w:rFonts w:ascii="Verdana" w:hAnsi="Verdana"/>
          <w:sz w:val="24"/>
          <w:szCs w:val="24"/>
        </w:rPr>
        <w:t xml:space="preserve"> </w:t>
      </w:r>
      <w:r w:rsidR="008360EB" w:rsidRPr="002E69A0">
        <w:rPr>
          <w:rFonts w:ascii="Verdana" w:hAnsi="Verdana"/>
          <w:sz w:val="24"/>
          <w:szCs w:val="24"/>
        </w:rPr>
        <w:t>In relation to healthcare in custody, t</w:t>
      </w:r>
      <w:r w:rsidR="008749E4" w:rsidRPr="002E69A0">
        <w:rPr>
          <w:rFonts w:ascii="Verdana" w:hAnsi="Verdana"/>
          <w:sz w:val="24"/>
          <w:szCs w:val="24"/>
        </w:rPr>
        <w:t>he UN Human Rights Committee, in General comment No. 21</w:t>
      </w:r>
      <w:r w:rsidR="007256F2" w:rsidRPr="002E69A0">
        <w:rPr>
          <w:rFonts w:ascii="Verdana" w:hAnsi="Verdana"/>
          <w:sz w:val="24"/>
          <w:szCs w:val="24"/>
        </w:rPr>
        <w:t xml:space="preserve"> on Article 10 stated that: </w:t>
      </w:r>
    </w:p>
    <w:p w:rsidR="007256F2" w:rsidRPr="002E69A0" w:rsidRDefault="007256F2" w:rsidP="008749E4">
      <w:pPr>
        <w:pStyle w:val="NoSpacing"/>
        <w:rPr>
          <w:rFonts w:ascii="Verdana" w:hAnsi="Verdana"/>
          <w:sz w:val="24"/>
          <w:szCs w:val="24"/>
        </w:rPr>
      </w:pPr>
    </w:p>
    <w:p w:rsidR="008749E4" w:rsidRPr="002E69A0" w:rsidRDefault="008749E4" w:rsidP="007256F2">
      <w:pPr>
        <w:pStyle w:val="NoSpacing"/>
        <w:ind w:left="720"/>
        <w:rPr>
          <w:rFonts w:ascii="Verdana" w:hAnsi="Verdana"/>
          <w:sz w:val="24"/>
          <w:szCs w:val="24"/>
        </w:rPr>
      </w:pPr>
      <w:r w:rsidRPr="002E69A0">
        <w:rPr>
          <w:rFonts w:ascii="Verdana" w:hAnsi="Verdana"/>
          <w:sz w:val="24"/>
          <w:szCs w:val="24"/>
        </w:rPr>
        <w:t>“Treating all persons deprived of their liberty with humanity and with respect for their dignity is a fundamental and universally applicable rule. Consequently, the application of this rule, as a minimum, cannot be dependent on the material resources available in the State party”.</w:t>
      </w:r>
      <w:r w:rsidR="007256F2" w:rsidRPr="002E69A0">
        <w:rPr>
          <w:rStyle w:val="FootnoteReference"/>
          <w:rFonts w:ascii="Verdana" w:hAnsi="Verdana"/>
          <w:sz w:val="24"/>
          <w:szCs w:val="24"/>
        </w:rPr>
        <w:footnoteReference w:id="49"/>
      </w:r>
    </w:p>
    <w:p w:rsidR="008749E4" w:rsidRPr="002E69A0" w:rsidRDefault="008749E4" w:rsidP="00D60183">
      <w:pPr>
        <w:pStyle w:val="NoSpacing"/>
        <w:rPr>
          <w:rFonts w:ascii="Verdana" w:hAnsi="Verdana"/>
          <w:sz w:val="24"/>
          <w:szCs w:val="24"/>
        </w:rPr>
      </w:pPr>
    </w:p>
    <w:p w:rsidR="00865F63" w:rsidRPr="002E69A0" w:rsidRDefault="00B8654C" w:rsidP="00D60183">
      <w:pPr>
        <w:pStyle w:val="NoSpacing"/>
        <w:rPr>
          <w:rFonts w:ascii="Verdana" w:hAnsi="Verdana"/>
          <w:sz w:val="24"/>
          <w:szCs w:val="24"/>
        </w:rPr>
      </w:pPr>
      <w:r w:rsidRPr="002E69A0">
        <w:rPr>
          <w:rFonts w:ascii="Verdana" w:hAnsi="Verdana"/>
          <w:sz w:val="24"/>
          <w:szCs w:val="24"/>
        </w:rPr>
        <w:t>9</w:t>
      </w:r>
      <w:r w:rsidR="007256F2" w:rsidRPr="002E69A0">
        <w:rPr>
          <w:rFonts w:ascii="Verdana" w:hAnsi="Verdana"/>
          <w:sz w:val="24"/>
          <w:szCs w:val="24"/>
        </w:rPr>
        <w:t xml:space="preserve">.4 </w:t>
      </w:r>
      <w:r w:rsidR="008749E4" w:rsidRPr="002E69A0">
        <w:rPr>
          <w:rFonts w:ascii="Verdana" w:hAnsi="Verdana"/>
          <w:sz w:val="24"/>
          <w:szCs w:val="24"/>
        </w:rPr>
        <w:t xml:space="preserve">In the case of </w:t>
      </w:r>
      <w:proofErr w:type="spellStart"/>
      <w:r w:rsidR="008749E4" w:rsidRPr="002E69A0">
        <w:rPr>
          <w:rFonts w:ascii="Verdana" w:hAnsi="Verdana"/>
          <w:sz w:val="24"/>
          <w:szCs w:val="24"/>
        </w:rPr>
        <w:t>Dybeku</w:t>
      </w:r>
      <w:proofErr w:type="spellEnd"/>
      <w:r w:rsidR="008749E4" w:rsidRPr="002E69A0">
        <w:rPr>
          <w:rFonts w:ascii="Verdana" w:hAnsi="Verdana"/>
          <w:sz w:val="24"/>
          <w:szCs w:val="24"/>
        </w:rPr>
        <w:t xml:space="preserve"> v Albania the ECt.HR ruled that:</w:t>
      </w:r>
    </w:p>
    <w:p w:rsidR="00BC7A23" w:rsidRPr="002E69A0" w:rsidRDefault="00BC7A23" w:rsidP="00D60183">
      <w:pPr>
        <w:pStyle w:val="NoSpacing"/>
        <w:rPr>
          <w:rFonts w:ascii="Verdana" w:hAnsi="Verdana"/>
          <w:sz w:val="24"/>
          <w:szCs w:val="24"/>
        </w:rPr>
      </w:pPr>
    </w:p>
    <w:p w:rsidR="00BF681D" w:rsidRDefault="008749E4" w:rsidP="00BF681D">
      <w:pPr>
        <w:pStyle w:val="NoSpacing"/>
        <w:ind w:left="720"/>
        <w:rPr>
          <w:rFonts w:ascii="Verdana" w:hAnsi="Verdana"/>
          <w:sz w:val="24"/>
          <w:szCs w:val="24"/>
        </w:rPr>
      </w:pPr>
      <w:r w:rsidRPr="002E69A0">
        <w:rPr>
          <w:rFonts w:ascii="Verdana" w:hAnsi="Verdana"/>
          <w:sz w:val="24"/>
          <w:szCs w:val="24"/>
        </w:rPr>
        <w:t>“</w:t>
      </w:r>
      <w:proofErr w:type="gramStart"/>
      <w:r w:rsidRPr="002E69A0">
        <w:rPr>
          <w:rFonts w:ascii="Verdana" w:hAnsi="Verdana"/>
          <w:sz w:val="24"/>
          <w:szCs w:val="24"/>
        </w:rPr>
        <w:t>a</w:t>
      </w:r>
      <w:proofErr w:type="gramEnd"/>
      <w:r w:rsidRPr="002E69A0">
        <w:rPr>
          <w:rFonts w:ascii="Verdana" w:hAnsi="Verdana"/>
          <w:sz w:val="24"/>
          <w:szCs w:val="24"/>
        </w:rPr>
        <w:t xml:space="preserve"> lack of resources cannot in principle justify detention conditions which are so poor as to reach the threshold of severity for Article 3 to apply”.</w:t>
      </w:r>
      <w:r w:rsidRPr="002E69A0">
        <w:rPr>
          <w:rStyle w:val="FootnoteReference"/>
          <w:rFonts w:ascii="Verdana" w:hAnsi="Verdana"/>
          <w:sz w:val="24"/>
          <w:szCs w:val="24"/>
        </w:rPr>
        <w:footnoteReference w:id="50"/>
      </w:r>
    </w:p>
    <w:p w:rsidR="00BF681D" w:rsidRDefault="00BF681D" w:rsidP="008749E4">
      <w:pPr>
        <w:pStyle w:val="NoSpacing"/>
        <w:rPr>
          <w:rFonts w:ascii="Verdana" w:hAnsi="Verdana"/>
          <w:sz w:val="24"/>
          <w:szCs w:val="24"/>
        </w:rPr>
      </w:pPr>
    </w:p>
    <w:p w:rsidR="00BF681D" w:rsidRPr="002E69A0" w:rsidRDefault="00BF681D" w:rsidP="008749E4">
      <w:pPr>
        <w:pStyle w:val="NoSpacing"/>
        <w:rPr>
          <w:rFonts w:ascii="Verdana" w:hAnsi="Verdana"/>
          <w:sz w:val="24"/>
          <w:szCs w:val="24"/>
        </w:rPr>
      </w:pPr>
    </w:p>
    <w:p w:rsidR="008749E4" w:rsidRDefault="00B8654C" w:rsidP="00B8654C">
      <w:pPr>
        <w:pStyle w:val="NoSpacing"/>
        <w:ind w:left="720"/>
        <w:rPr>
          <w:rFonts w:ascii="Verdana" w:hAnsi="Verdana"/>
          <w:b/>
          <w:sz w:val="24"/>
          <w:szCs w:val="24"/>
        </w:rPr>
      </w:pPr>
      <w:r w:rsidRPr="002E69A0">
        <w:rPr>
          <w:rFonts w:ascii="Verdana" w:hAnsi="Verdana"/>
          <w:b/>
          <w:sz w:val="24"/>
          <w:szCs w:val="24"/>
        </w:rPr>
        <w:t>9</w:t>
      </w:r>
      <w:r w:rsidR="007256F2" w:rsidRPr="002E69A0">
        <w:rPr>
          <w:rFonts w:ascii="Verdana" w:hAnsi="Verdana"/>
          <w:b/>
          <w:sz w:val="24"/>
          <w:szCs w:val="24"/>
        </w:rPr>
        <w:t>.5 The Commission advises that the Department</w:t>
      </w:r>
      <w:r w:rsidRPr="002E69A0">
        <w:rPr>
          <w:rFonts w:ascii="Verdana" w:hAnsi="Verdana"/>
          <w:b/>
          <w:sz w:val="24"/>
          <w:szCs w:val="24"/>
        </w:rPr>
        <w:t xml:space="preserve"> of Health and Department of Justice</w:t>
      </w:r>
      <w:r w:rsidR="007256F2" w:rsidRPr="002E69A0">
        <w:rPr>
          <w:rFonts w:ascii="Verdana" w:hAnsi="Verdana"/>
          <w:b/>
          <w:sz w:val="24"/>
          <w:szCs w:val="24"/>
        </w:rPr>
        <w:t xml:space="preserve"> ensure that</w:t>
      </w:r>
      <w:r w:rsidRPr="002E69A0">
        <w:rPr>
          <w:rFonts w:ascii="Verdana" w:hAnsi="Verdana"/>
          <w:b/>
          <w:sz w:val="24"/>
          <w:szCs w:val="24"/>
        </w:rPr>
        <w:t xml:space="preserve"> the maximum available resources are devoted to ensure the fulfilment of the right to health for those within the criminal justice system and to ensure that </w:t>
      </w:r>
      <w:r w:rsidR="007256F2" w:rsidRPr="002E69A0">
        <w:rPr>
          <w:rFonts w:ascii="Verdana" w:hAnsi="Verdana"/>
          <w:b/>
          <w:sz w:val="24"/>
          <w:szCs w:val="24"/>
        </w:rPr>
        <w:t>persons</w:t>
      </w:r>
      <w:r w:rsidRPr="002E69A0">
        <w:rPr>
          <w:rFonts w:ascii="Verdana" w:hAnsi="Verdana"/>
          <w:b/>
          <w:sz w:val="24"/>
          <w:szCs w:val="24"/>
        </w:rPr>
        <w:t xml:space="preserve"> deprived of their liberty are never</w:t>
      </w:r>
      <w:r w:rsidR="007256F2" w:rsidRPr="002E69A0">
        <w:rPr>
          <w:rFonts w:ascii="Verdana" w:hAnsi="Verdana"/>
          <w:b/>
          <w:sz w:val="24"/>
          <w:szCs w:val="24"/>
        </w:rPr>
        <w:t xml:space="preserve"> treated in an inhuman or degrading manner. </w:t>
      </w:r>
    </w:p>
    <w:p w:rsidR="00BF681D" w:rsidRDefault="00BF681D" w:rsidP="00BF681D">
      <w:pPr>
        <w:pStyle w:val="NoSpacing"/>
        <w:rPr>
          <w:rFonts w:ascii="Verdana" w:hAnsi="Verdana"/>
          <w:b/>
          <w:sz w:val="24"/>
          <w:szCs w:val="24"/>
        </w:rPr>
      </w:pPr>
    </w:p>
    <w:p w:rsidR="00BF681D" w:rsidRPr="002E69A0" w:rsidRDefault="00BF681D" w:rsidP="00BF681D">
      <w:pPr>
        <w:pStyle w:val="NoSpacing"/>
        <w:rPr>
          <w:rFonts w:ascii="Verdana" w:hAnsi="Verdana"/>
          <w:b/>
          <w:sz w:val="24"/>
          <w:szCs w:val="24"/>
        </w:rPr>
      </w:pPr>
    </w:p>
    <w:sectPr w:rsidR="00BF681D" w:rsidRPr="002E69A0">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C4C" w:rsidRDefault="00045C4C" w:rsidP="00EA6821">
      <w:pPr>
        <w:spacing w:after="0" w:line="240" w:lineRule="auto"/>
      </w:pPr>
      <w:r>
        <w:separator/>
      </w:r>
    </w:p>
  </w:endnote>
  <w:endnote w:type="continuationSeparator" w:id="0">
    <w:p w:rsidR="00045C4C" w:rsidRDefault="00045C4C" w:rsidP="00EA6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ZurichBT-LightCondense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ZurichBT-Light">
    <w:panose1 w:val="00000000000000000000"/>
    <w:charset w:val="00"/>
    <w:family w:val="swiss"/>
    <w:notTrueType/>
    <w:pitch w:val="default"/>
    <w:sig w:usb0="00000003" w:usb1="00000000" w:usb2="00000000" w:usb3="00000000" w:csb0="00000001" w:csb1="00000000"/>
  </w:font>
  <w:font w:name="Zurich BT">
    <w:altName w:val="Zurich B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2137106"/>
      <w:docPartObj>
        <w:docPartGallery w:val="Page Numbers (Bottom of Page)"/>
        <w:docPartUnique/>
      </w:docPartObj>
    </w:sdtPr>
    <w:sdtEndPr>
      <w:rPr>
        <w:noProof/>
      </w:rPr>
    </w:sdtEndPr>
    <w:sdtContent>
      <w:p w:rsidR="00EA250A" w:rsidRDefault="00EA250A">
        <w:pPr>
          <w:pStyle w:val="Footer"/>
          <w:jc w:val="center"/>
        </w:pPr>
        <w:r>
          <w:fldChar w:fldCharType="begin"/>
        </w:r>
        <w:r>
          <w:instrText xml:space="preserve"> PAGE   \* MERGEFORMAT </w:instrText>
        </w:r>
        <w:r>
          <w:fldChar w:fldCharType="separate"/>
        </w:r>
        <w:r w:rsidR="005A6BFC">
          <w:rPr>
            <w:noProof/>
          </w:rPr>
          <w:t>1</w:t>
        </w:r>
        <w:r>
          <w:rPr>
            <w:noProof/>
          </w:rPr>
          <w:fldChar w:fldCharType="end"/>
        </w:r>
      </w:p>
    </w:sdtContent>
  </w:sdt>
  <w:p w:rsidR="00EA250A" w:rsidRDefault="00EA25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C4C" w:rsidRDefault="00045C4C" w:rsidP="00EA6821">
      <w:pPr>
        <w:spacing w:after="0" w:line="240" w:lineRule="auto"/>
      </w:pPr>
      <w:r>
        <w:separator/>
      </w:r>
    </w:p>
  </w:footnote>
  <w:footnote w:type="continuationSeparator" w:id="0">
    <w:p w:rsidR="00045C4C" w:rsidRDefault="00045C4C" w:rsidP="00EA6821">
      <w:pPr>
        <w:spacing w:after="0" w:line="240" w:lineRule="auto"/>
      </w:pPr>
      <w:r>
        <w:continuationSeparator/>
      </w:r>
    </w:p>
  </w:footnote>
  <w:footnote w:id="1">
    <w:p w:rsidR="00EA60EF" w:rsidRPr="002E69A0" w:rsidRDefault="00EA60EF" w:rsidP="00EA60EF">
      <w:pPr>
        <w:pStyle w:val="NoSpacing"/>
        <w:rPr>
          <w:rFonts w:ascii="Verdana" w:hAnsi="Verdana" w:cs="Times New Roman"/>
          <w:sz w:val="16"/>
          <w:szCs w:val="16"/>
        </w:rPr>
      </w:pPr>
      <w:r w:rsidRPr="002E69A0">
        <w:rPr>
          <w:rStyle w:val="FootnoteReference"/>
          <w:rFonts w:ascii="Verdana" w:hAnsi="Verdana" w:cs="Times New Roman"/>
          <w:sz w:val="16"/>
          <w:szCs w:val="16"/>
        </w:rPr>
        <w:footnoteRef/>
      </w:r>
      <w:r w:rsidRPr="002E69A0">
        <w:rPr>
          <w:rFonts w:ascii="Verdana" w:hAnsi="Verdana" w:cs="Times New Roman"/>
          <w:sz w:val="16"/>
          <w:szCs w:val="16"/>
        </w:rPr>
        <w:t xml:space="preserve"> Northern Ireland Act 1998, Section 69(1).</w:t>
      </w:r>
    </w:p>
  </w:footnote>
  <w:footnote w:id="2">
    <w:p w:rsidR="00E5304C" w:rsidRDefault="00E5304C" w:rsidP="00E5304C">
      <w:pPr>
        <w:pStyle w:val="FootnoteText"/>
        <w:rPr>
          <w:rFonts w:ascii="Verdana" w:hAnsi="Verdana"/>
          <w:sz w:val="16"/>
          <w:szCs w:val="16"/>
          <w:lang w:val="en-GB"/>
        </w:rPr>
      </w:pPr>
      <w:r>
        <w:rPr>
          <w:rStyle w:val="FootnoteReference"/>
        </w:rPr>
        <w:footnoteRef/>
      </w:r>
      <w:r>
        <w:t xml:space="preserve"> </w:t>
      </w:r>
      <w:proofErr w:type="spellStart"/>
      <w:r w:rsidRPr="00E5304C">
        <w:rPr>
          <w:rFonts w:ascii="Verdana" w:hAnsi="Verdana"/>
          <w:sz w:val="16"/>
          <w:szCs w:val="16"/>
          <w:lang w:val="en-GB"/>
        </w:rPr>
        <w:t>DoJNI</w:t>
      </w:r>
      <w:proofErr w:type="spellEnd"/>
      <w:r w:rsidRPr="00E5304C">
        <w:rPr>
          <w:rFonts w:ascii="Verdana" w:hAnsi="Verdana"/>
          <w:sz w:val="16"/>
          <w:szCs w:val="16"/>
          <w:lang w:val="en-GB"/>
        </w:rPr>
        <w:t xml:space="preserve"> DHSSPS ‘Improving Health within Criminal Justice’ 2016 a</w:t>
      </w:r>
      <w:r>
        <w:rPr>
          <w:rFonts w:ascii="Verdana" w:hAnsi="Verdana"/>
          <w:sz w:val="16"/>
          <w:szCs w:val="16"/>
          <w:lang w:val="en-GB"/>
        </w:rPr>
        <w:t>vailable at:</w:t>
      </w:r>
    </w:p>
    <w:p w:rsidR="00E5304C" w:rsidRPr="00E5304C" w:rsidRDefault="00045C4C" w:rsidP="00E5304C">
      <w:pPr>
        <w:pStyle w:val="FootnoteText"/>
        <w:rPr>
          <w:rFonts w:ascii="Verdana" w:hAnsi="Verdana"/>
          <w:sz w:val="16"/>
          <w:szCs w:val="16"/>
          <w:lang w:val="en-GB"/>
        </w:rPr>
      </w:pPr>
      <w:hyperlink r:id="rId1" w:history="1">
        <w:r w:rsidR="00E5304C" w:rsidRPr="00BA33D6">
          <w:rPr>
            <w:rStyle w:val="Hyperlink"/>
            <w:rFonts w:ascii="Verdana" w:hAnsi="Verdana"/>
            <w:sz w:val="16"/>
            <w:szCs w:val="16"/>
            <w:lang w:val="en-GB"/>
          </w:rPr>
          <w:t>https://www.justice-ni.gov.uk/sites/default/files/consultations/doj/improving-healthwithinjustice-system-consultation_0.pdf</w:t>
        </w:r>
      </w:hyperlink>
    </w:p>
  </w:footnote>
  <w:footnote w:id="3">
    <w:p w:rsidR="00EA60EF" w:rsidRPr="002E69A0" w:rsidRDefault="00EA60EF" w:rsidP="00EA60EF">
      <w:pPr>
        <w:pStyle w:val="NoSpacing"/>
        <w:rPr>
          <w:rFonts w:ascii="Verdana" w:hAnsi="Verdana" w:cs="Times New Roman"/>
          <w:sz w:val="16"/>
          <w:szCs w:val="16"/>
        </w:rPr>
      </w:pPr>
      <w:r w:rsidRPr="002E69A0">
        <w:rPr>
          <w:rStyle w:val="FootnoteReference"/>
          <w:rFonts w:ascii="Verdana" w:hAnsi="Verdana" w:cs="Times New Roman"/>
          <w:sz w:val="16"/>
          <w:szCs w:val="16"/>
        </w:rPr>
        <w:footnoteRef/>
      </w:r>
      <w:r w:rsidRPr="002E69A0">
        <w:rPr>
          <w:rFonts w:ascii="Verdana" w:hAnsi="Verdana" w:cs="Times New Roman"/>
          <w:sz w:val="16"/>
          <w:szCs w:val="16"/>
        </w:rPr>
        <w:t xml:space="preserve"> </w:t>
      </w:r>
      <w:proofErr w:type="gramStart"/>
      <w:r w:rsidRPr="002E69A0">
        <w:rPr>
          <w:rFonts w:ascii="Verdana" w:hAnsi="Verdana" w:cs="Times New Roman"/>
          <w:sz w:val="16"/>
          <w:szCs w:val="16"/>
        </w:rPr>
        <w:t>Ratified by the UK in 1976.</w:t>
      </w:r>
      <w:proofErr w:type="gramEnd"/>
    </w:p>
  </w:footnote>
  <w:footnote w:id="4">
    <w:p w:rsidR="00EA60EF" w:rsidRPr="002E69A0" w:rsidRDefault="00EA60EF" w:rsidP="00EA60EF">
      <w:pPr>
        <w:pStyle w:val="NoSpacing"/>
        <w:rPr>
          <w:rFonts w:ascii="Verdana" w:hAnsi="Verdana" w:cs="Times New Roman"/>
          <w:sz w:val="16"/>
          <w:szCs w:val="16"/>
        </w:rPr>
      </w:pPr>
      <w:r w:rsidRPr="002E69A0">
        <w:rPr>
          <w:rStyle w:val="FootnoteReference"/>
          <w:rFonts w:ascii="Verdana" w:hAnsi="Verdana" w:cs="Times New Roman"/>
          <w:sz w:val="16"/>
          <w:szCs w:val="16"/>
        </w:rPr>
        <w:footnoteRef/>
      </w:r>
      <w:r w:rsidRPr="002E69A0">
        <w:rPr>
          <w:rFonts w:ascii="Verdana" w:hAnsi="Verdana" w:cs="Times New Roman"/>
          <w:sz w:val="16"/>
          <w:szCs w:val="16"/>
        </w:rPr>
        <w:t xml:space="preserve"> </w:t>
      </w:r>
      <w:proofErr w:type="gramStart"/>
      <w:r w:rsidRPr="002E69A0">
        <w:rPr>
          <w:rFonts w:ascii="Verdana" w:hAnsi="Verdana" w:cs="Times New Roman"/>
          <w:sz w:val="16"/>
          <w:szCs w:val="16"/>
        </w:rPr>
        <w:t>Ratified by the UK in 1976.</w:t>
      </w:r>
      <w:proofErr w:type="gramEnd"/>
    </w:p>
  </w:footnote>
  <w:footnote w:id="5">
    <w:p w:rsidR="00EA60EF" w:rsidRPr="002E69A0" w:rsidRDefault="00EA60EF" w:rsidP="00EA60EF">
      <w:pPr>
        <w:pStyle w:val="NoSpacing"/>
        <w:rPr>
          <w:rFonts w:ascii="Verdana" w:hAnsi="Verdana" w:cs="Times New Roman"/>
          <w:sz w:val="16"/>
          <w:szCs w:val="16"/>
        </w:rPr>
      </w:pPr>
      <w:r w:rsidRPr="002E69A0">
        <w:rPr>
          <w:rStyle w:val="FootnoteReference"/>
          <w:rFonts w:ascii="Verdana" w:hAnsi="Verdana" w:cs="Times New Roman"/>
          <w:sz w:val="16"/>
          <w:szCs w:val="16"/>
        </w:rPr>
        <w:footnoteRef/>
      </w:r>
      <w:r w:rsidRPr="002E69A0">
        <w:rPr>
          <w:rFonts w:ascii="Verdana" w:hAnsi="Verdana" w:cs="Times New Roman"/>
          <w:sz w:val="16"/>
          <w:szCs w:val="16"/>
        </w:rPr>
        <w:t xml:space="preserve"> </w:t>
      </w:r>
      <w:proofErr w:type="gramStart"/>
      <w:r w:rsidRPr="002E69A0">
        <w:rPr>
          <w:rFonts w:ascii="Verdana" w:hAnsi="Verdana" w:cs="Times New Roman"/>
          <w:sz w:val="16"/>
          <w:szCs w:val="16"/>
        </w:rPr>
        <w:t>Ratified by the UK in 1981.</w:t>
      </w:r>
      <w:proofErr w:type="gramEnd"/>
    </w:p>
  </w:footnote>
  <w:footnote w:id="6">
    <w:p w:rsidR="00EA60EF" w:rsidRPr="002E69A0" w:rsidRDefault="00EA60EF" w:rsidP="00EA60EF">
      <w:pPr>
        <w:pStyle w:val="NoSpacing"/>
        <w:rPr>
          <w:rFonts w:ascii="Verdana" w:hAnsi="Verdana" w:cs="Times New Roman"/>
          <w:sz w:val="16"/>
          <w:szCs w:val="16"/>
        </w:rPr>
      </w:pPr>
      <w:r w:rsidRPr="002E69A0">
        <w:rPr>
          <w:rStyle w:val="FootnoteReference"/>
          <w:rFonts w:ascii="Verdana" w:hAnsi="Verdana" w:cs="Times New Roman"/>
          <w:sz w:val="16"/>
          <w:szCs w:val="16"/>
        </w:rPr>
        <w:footnoteRef/>
      </w:r>
      <w:r w:rsidRPr="002E69A0">
        <w:rPr>
          <w:rFonts w:ascii="Verdana" w:hAnsi="Verdana" w:cs="Times New Roman"/>
          <w:sz w:val="16"/>
          <w:szCs w:val="16"/>
        </w:rPr>
        <w:t xml:space="preserve"> </w:t>
      </w:r>
      <w:proofErr w:type="gramStart"/>
      <w:r w:rsidRPr="002E69A0">
        <w:rPr>
          <w:rFonts w:ascii="Verdana" w:hAnsi="Verdana" w:cs="Times New Roman"/>
          <w:sz w:val="16"/>
          <w:szCs w:val="16"/>
        </w:rPr>
        <w:t>Ratified by the UK in 1988.</w:t>
      </w:r>
      <w:proofErr w:type="gramEnd"/>
    </w:p>
  </w:footnote>
  <w:footnote w:id="7">
    <w:p w:rsidR="00EA60EF" w:rsidRPr="002E69A0" w:rsidRDefault="00EA60EF" w:rsidP="00EA60EF">
      <w:pPr>
        <w:pStyle w:val="NoSpacing"/>
        <w:rPr>
          <w:rFonts w:ascii="Verdana" w:hAnsi="Verdana" w:cs="Times New Roman"/>
          <w:sz w:val="16"/>
          <w:szCs w:val="16"/>
        </w:rPr>
      </w:pPr>
      <w:r w:rsidRPr="002E69A0">
        <w:rPr>
          <w:rStyle w:val="FootnoteReference"/>
          <w:rFonts w:ascii="Verdana" w:hAnsi="Verdana" w:cs="Times New Roman"/>
          <w:sz w:val="16"/>
          <w:szCs w:val="16"/>
        </w:rPr>
        <w:footnoteRef/>
      </w:r>
      <w:r w:rsidRPr="002E69A0">
        <w:rPr>
          <w:rFonts w:ascii="Verdana" w:hAnsi="Verdana" w:cs="Times New Roman"/>
          <w:sz w:val="16"/>
          <w:szCs w:val="16"/>
        </w:rPr>
        <w:t xml:space="preserve"> </w:t>
      </w:r>
      <w:proofErr w:type="gramStart"/>
      <w:r w:rsidRPr="002E69A0">
        <w:rPr>
          <w:rFonts w:ascii="Verdana" w:hAnsi="Verdana" w:cs="Times New Roman"/>
          <w:sz w:val="16"/>
          <w:szCs w:val="16"/>
        </w:rPr>
        <w:t>Ratified by the UK in 1991.</w:t>
      </w:r>
      <w:proofErr w:type="gramEnd"/>
    </w:p>
  </w:footnote>
  <w:footnote w:id="8">
    <w:p w:rsidR="00EA60EF" w:rsidRPr="002E69A0" w:rsidRDefault="00EA60EF" w:rsidP="00EA60EF">
      <w:pPr>
        <w:pStyle w:val="NoSpacing"/>
        <w:rPr>
          <w:rFonts w:ascii="Verdana" w:hAnsi="Verdana" w:cs="Times New Roman"/>
          <w:sz w:val="16"/>
          <w:szCs w:val="16"/>
        </w:rPr>
      </w:pPr>
      <w:r w:rsidRPr="002E69A0">
        <w:rPr>
          <w:rStyle w:val="FootnoteReference"/>
          <w:rFonts w:ascii="Verdana" w:hAnsi="Verdana" w:cs="Times New Roman"/>
          <w:sz w:val="16"/>
          <w:szCs w:val="16"/>
        </w:rPr>
        <w:footnoteRef/>
      </w:r>
      <w:r w:rsidRPr="002E69A0">
        <w:rPr>
          <w:rFonts w:ascii="Verdana" w:hAnsi="Verdana" w:cs="Times New Roman"/>
          <w:sz w:val="16"/>
          <w:szCs w:val="16"/>
        </w:rPr>
        <w:t xml:space="preserve"> </w:t>
      </w:r>
      <w:proofErr w:type="gramStart"/>
      <w:r w:rsidRPr="002E69A0">
        <w:rPr>
          <w:rFonts w:ascii="Verdana" w:hAnsi="Verdana" w:cs="Times New Roman"/>
          <w:sz w:val="16"/>
          <w:szCs w:val="16"/>
        </w:rPr>
        <w:t>Ratified by the UK in 2009.</w:t>
      </w:r>
      <w:proofErr w:type="gramEnd"/>
    </w:p>
  </w:footnote>
  <w:footnote w:id="9">
    <w:p w:rsidR="00EA60EF" w:rsidRPr="002E69A0" w:rsidRDefault="00EA60EF" w:rsidP="00EA60EF">
      <w:pPr>
        <w:pStyle w:val="NoSpacing"/>
        <w:rPr>
          <w:rFonts w:ascii="Verdana" w:hAnsi="Verdana" w:cs="Times New Roman"/>
          <w:sz w:val="16"/>
          <w:szCs w:val="16"/>
        </w:rPr>
      </w:pPr>
      <w:r w:rsidRPr="002E69A0">
        <w:rPr>
          <w:rStyle w:val="FootnoteReference"/>
          <w:rFonts w:ascii="Verdana" w:hAnsi="Verdana" w:cs="Times New Roman"/>
          <w:sz w:val="16"/>
          <w:szCs w:val="16"/>
        </w:rPr>
        <w:footnoteRef/>
      </w:r>
      <w:r w:rsidRPr="002E69A0">
        <w:rPr>
          <w:rFonts w:ascii="Verdana" w:hAnsi="Verdana" w:cs="Times New Roman"/>
          <w:sz w:val="16"/>
          <w:szCs w:val="16"/>
        </w:rPr>
        <w:t xml:space="preserve"> </w:t>
      </w:r>
      <w:proofErr w:type="gramStart"/>
      <w:r w:rsidRPr="002E69A0">
        <w:rPr>
          <w:rFonts w:ascii="Verdana" w:hAnsi="Verdana" w:cs="Times New Roman"/>
          <w:sz w:val="16"/>
          <w:szCs w:val="16"/>
        </w:rPr>
        <w:t>Ratified by the UK in 1951.</w:t>
      </w:r>
      <w:proofErr w:type="gramEnd"/>
      <w:r w:rsidRPr="002E69A0">
        <w:rPr>
          <w:rFonts w:ascii="Verdana" w:hAnsi="Verdana" w:cs="Times New Roman"/>
          <w:sz w:val="16"/>
          <w:szCs w:val="16"/>
        </w:rPr>
        <w:t xml:space="preserve"> </w:t>
      </w:r>
    </w:p>
  </w:footnote>
  <w:footnote w:id="10">
    <w:p w:rsidR="00EA60EF" w:rsidRPr="00A64C02" w:rsidRDefault="00EA60EF" w:rsidP="00EA60EF">
      <w:pPr>
        <w:pStyle w:val="NoSpacing"/>
        <w:rPr>
          <w:rFonts w:ascii="Verdana" w:hAnsi="Verdana"/>
          <w:sz w:val="16"/>
          <w:szCs w:val="16"/>
        </w:rPr>
      </w:pPr>
      <w:r w:rsidRPr="00A64C02">
        <w:rPr>
          <w:rStyle w:val="FootnoteReference"/>
          <w:rFonts w:ascii="Verdana" w:hAnsi="Verdana"/>
          <w:sz w:val="16"/>
          <w:szCs w:val="16"/>
        </w:rPr>
        <w:footnoteRef/>
      </w:r>
      <w:r w:rsidRPr="00A64C02">
        <w:rPr>
          <w:rFonts w:ascii="Verdana" w:hAnsi="Verdana"/>
          <w:sz w:val="16"/>
          <w:szCs w:val="16"/>
        </w:rPr>
        <w:t xml:space="preserve"> </w:t>
      </w:r>
      <w:r w:rsidRPr="00A64C02">
        <w:rPr>
          <w:rFonts w:ascii="Verdana" w:hAnsi="Verdana" w:cs="Times New Roman"/>
          <w:sz w:val="16"/>
          <w:szCs w:val="16"/>
        </w:rPr>
        <w:t>In addition, the Northern Ireland Act 1998, section 26 (1) provides that ‘if the Secretary of State considers that any action proposed to be taken by a Minister or Northern Ireland department would be incompatible with any international obligations... he may by order direct that the proposed action shall not be taken’. Moreover the Northern Ireland Act 1998, section 24(1) states that ‘a Minister or Northern Ireland department has no power to make, confirm or approve any subordinate legislation, or to do any act, so far as the legislation or act – (a) is incompatible with any of the Convention rights’.</w:t>
      </w:r>
    </w:p>
  </w:footnote>
  <w:footnote w:id="11">
    <w:p w:rsidR="00623E52" w:rsidRDefault="00623394" w:rsidP="00623394">
      <w:pPr>
        <w:pStyle w:val="FootnoteText"/>
        <w:rPr>
          <w:rFonts w:ascii="Verdana" w:hAnsi="Verdana"/>
          <w:sz w:val="16"/>
          <w:szCs w:val="16"/>
          <w:lang w:val="en-GB"/>
        </w:rPr>
      </w:pPr>
      <w:r w:rsidRPr="002E69A0">
        <w:rPr>
          <w:rStyle w:val="FootnoteReference"/>
          <w:rFonts w:ascii="Verdana" w:hAnsi="Verdana"/>
          <w:sz w:val="16"/>
          <w:szCs w:val="16"/>
        </w:rPr>
        <w:footnoteRef/>
      </w:r>
      <w:r w:rsidRPr="002E69A0">
        <w:rPr>
          <w:rFonts w:ascii="Verdana" w:hAnsi="Verdana"/>
          <w:sz w:val="16"/>
          <w:szCs w:val="16"/>
        </w:rPr>
        <w:t xml:space="preserve"> </w:t>
      </w:r>
      <w:r w:rsidRPr="002E69A0">
        <w:rPr>
          <w:rFonts w:ascii="Verdana" w:hAnsi="Verdana"/>
          <w:sz w:val="16"/>
          <w:szCs w:val="16"/>
        </w:rPr>
        <w:t>CESCR General Comment No. 14: The Right to the Highest Atta</w:t>
      </w:r>
      <w:r w:rsidR="00623E52">
        <w:rPr>
          <w:rFonts w:ascii="Verdana" w:hAnsi="Verdana"/>
          <w:sz w:val="16"/>
          <w:szCs w:val="16"/>
        </w:rPr>
        <w:t xml:space="preserve">inable Standard of Health </w:t>
      </w:r>
    </w:p>
    <w:p w:rsidR="00623E52" w:rsidRDefault="00623E52" w:rsidP="00623E52">
      <w:pPr>
        <w:pStyle w:val="FootnoteText"/>
        <w:rPr>
          <w:rFonts w:ascii="Verdana" w:hAnsi="Verdana"/>
          <w:sz w:val="16"/>
          <w:szCs w:val="16"/>
          <w:lang w:val="en-GB"/>
        </w:rPr>
      </w:pPr>
      <w:r>
        <w:rPr>
          <w:rFonts w:ascii="Verdana" w:hAnsi="Verdana"/>
          <w:sz w:val="16"/>
          <w:szCs w:val="16"/>
        </w:rPr>
        <w:t>(Art.</w:t>
      </w:r>
      <w:r w:rsidR="00623394" w:rsidRPr="002E69A0">
        <w:rPr>
          <w:rFonts w:ascii="Verdana" w:hAnsi="Verdana"/>
          <w:sz w:val="16"/>
          <w:szCs w:val="16"/>
        </w:rPr>
        <w:t>12)</w:t>
      </w:r>
      <w:r>
        <w:rPr>
          <w:rFonts w:ascii="Verdana" w:hAnsi="Verdana"/>
          <w:sz w:val="16"/>
          <w:szCs w:val="16"/>
          <w:lang w:val="en-GB"/>
        </w:rPr>
        <w:t xml:space="preserve"> </w:t>
      </w:r>
      <w:r w:rsidR="00623394" w:rsidRPr="002E69A0">
        <w:rPr>
          <w:rFonts w:ascii="Verdana" w:hAnsi="Verdana"/>
          <w:sz w:val="16"/>
          <w:szCs w:val="16"/>
        </w:rPr>
        <w:t>Adopted at the Twenty-second Session of the Co</w:t>
      </w:r>
      <w:r>
        <w:rPr>
          <w:rFonts w:ascii="Verdana" w:hAnsi="Verdana"/>
          <w:sz w:val="16"/>
          <w:szCs w:val="16"/>
        </w:rPr>
        <w:t>mmittee on Economic, Social and</w:t>
      </w:r>
    </w:p>
    <w:p w:rsidR="00623394" w:rsidRPr="002E69A0" w:rsidRDefault="00623394" w:rsidP="00623E52">
      <w:pPr>
        <w:pStyle w:val="FootnoteText"/>
        <w:rPr>
          <w:rFonts w:ascii="Verdana" w:hAnsi="Verdana"/>
          <w:sz w:val="16"/>
          <w:szCs w:val="16"/>
        </w:rPr>
      </w:pPr>
      <w:r w:rsidRPr="002E69A0">
        <w:rPr>
          <w:rFonts w:ascii="Verdana" w:hAnsi="Verdana"/>
          <w:sz w:val="16"/>
          <w:szCs w:val="16"/>
        </w:rPr>
        <w:t>Cultural Rights, on 11 August 2000 (Contained in Document E/C.12/2000/4)</w:t>
      </w:r>
    </w:p>
  </w:footnote>
  <w:footnote w:id="12">
    <w:p w:rsidR="003E13D6" w:rsidRPr="002E69A0" w:rsidRDefault="003E13D6" w:rsidP="00CA40B4">
      <w:pPr>
        <w:pStyle w:val="NoSpacing"/>
        <w:rPr>
          <w:rFonts w:ascii="Verdana" w:hAnsi="Verdana" w:cs="Times New Roman"/>
          <w:sz w:val="16"/>
          <w:szCs w:val="16"/>
        </w:rPr>
      </w:pPr>
      <w:r w:rsidRPr="002E69A0">
        <w:rPr>
          <w:rStyle w:val="FootnoteReference"/>
          <w:rFonts w:ascii="Verdana" w:hAnsi="Verdana" w:cs="Times New Roman"/>
          <w:sz w:val="16"/>
          <w:szCs w:val="16"/>
        </w:rPr>
        <w:footnoteRef/>
      </w:r>
      <w:r w:rsidRPr="002E69A0">
        <w:rPr>
          <w:rFonts w:ascii="Verdana" w:hAnsi="Verdana" w:cs="Times New Roman"/>
          <w:sz w:val="16"/>
          <w:szCs w:val="16"/>
        </w:rPr>
        <w:t xml:space="preserve"> </w:t>
      </w:r>
      <w:proofErr w:type="spellStart"/>
      <w:r w:rsidRPr="002E69A0">
        <w:rPr>
          <w:rFonts w:ascii="Verdana" w:hAnsi="Verdana" w:cs="Times New Roman"/>
          <w:sz w:val="16"/>
          <w:szCs w:val="16"/>
        </w:rPr>
        <w:t>Kudla</w:t>
      </w:r>
      <w:proofErr w:type="spellEnd"/>
      <w:r w:rsidRPr="002E69A0">
        <w:rPr>
          <w:rFonts w:ascii="Verdana" w:hAnsi="Verdana" w:cs="Times New Roman"/>
          <w:sz w:val="16"/>
          <w:szCs w:val="16"/>
        </w:rPr>
        <w:t xml:space="preserve"> v Poland (App no. 30210/96), 26 October 2000 para </w:t>
      </w:r>
      <w:r w:rsidR="00F75A23" w:rsidRPr="002E69A0">
        <w:rPr>
          <w:rFonts w:ascii="Verdana" w:hAnsi="Verdana" w:cs="Times New Roman"/>
          <w:sz w:val="16"/>
          <w:szCs w:val="16"/>
        </w:rPr>
        <w:t>94</w:t>
      </w:r>
    </w:p>
  </w:footnote>
  <w:footnote w:id="13">
    <w:p w:rsidR="003E13D6" w:rsidRPr="002E69A0" w:rsidRDefault="003E13D6" w:rsidP="00CA40B4">
      <w:pPr>
        <w:pStyle w:val="NoSpacing"/>
        <w:rPr>
          <w:rFonts w:ascii="Verdana" w:hAnsi="Verdana" w:cs="Times New Roman"/>
          <w:sz w:val="16"/>
          <w:szCs w:val="16"/>
        </w:rPr>
      </w:pPr>
      <w:r w:rsidRPr="002E69A0">
        <w:rPr>
          <w:rStyle w:val="FootnoteReference"/>
          <w:rFonts w:ascii="Verdana" w:hAnsi="Verdana" w:cs="Times New Roman"/>
          <w:sz w:val="16"/>
          <w:szCs w:val="16"/>
        </w:rPr>
        <w:footnoteRef/>
      </w:r>
      <w:r w:rsidRPr="002E69A0">
        <w:rPr>
          <w:rFonts w:ascii="Verdana" w:hAnsi="Verdana" w:cs="Times New Roman"/>
          <w:sz w:val="16"/>
          <w:szCs w:val="16"/>
        </w:rPr>
        <w:t xml:space="preserve"> Keenan v United Kingdom (App no. 27229/95), 3 April 2001 para 111</w:t>
      </w:r>
    </w:p>
  </w:footnote>
  <w:footnote w:id="14">
    <w:p w:rsidR="00AB274D" w:rsidRPr="002E69A0" w:rsidRDefault="00543C93" w:rsidP="00CA40B4">
      <w:pPr>
        <w:pStyle w:val="NoSpacing"/>
        <w:rPr>
          <w:rFonts w:ascii="Verdana" w:hAnsi="Verdana" w:cs="Times New Roman"/>
          <w:sz w:val="16"/>
          <w:szCs w:val="16"/>
        </w:rPr>
      </w:pPr>
      <w:r w:rsidRPr="002E69A0">
        <w:rPr>
          <w:rStyle w:val="FootnoteReference"/>
          <w:rFonts w:ascii="Verdana" w:hAnsi="Verdana" w:cs="Times New Roman"/>
          <w:sz w:val="16"/>
          <w:szCs w:val="16"/>
        </w:rPr>
        <w:footnoteRef/>
      </w:r>
      <w:r w:rsidRPr="002E69A0">
        <w:rPr>
          <w:rFonts w:ascii="Verdana" w:hAnsi="Verdana" w:cs="Times New Roman"/>
          <w:sz w:val="16"/>
          <w:szCs w:val="16"/>
        </w:rPr>
        <w:t xml:space="preserve"> Human Rights Committee, ‘General comment No. 21: Article 10 (Human t</w:t>
      </w:r>
      <w:r w:rsidR="00AB274D" w:rsidRPr="002E69A0">
        <w:rPr>
          <w:rFonts w:ascii="Verdana" w:hAnsi="Verdana" w:cs="Times New Roman"/>
          <w:sz w:val="16"/>
          <w:szCs w:val="16"/>
        </w:rPr>
        <w:t>reatment of persons deprived of</w:t>
      </w:r>
    </w:p>
    <w:p w:rsidR="00543C93" w:rsidRPr="002E69A0" w:rsidRDefault="00543C93" w:rsidP="00CA40B4">
      <w:pPr>
        <w:pStyle w:val="NoSpacing"/>
        <w:rPr>
          <w:rFonts w:ascii="Verdana" w:hAnsi="Verdana" w:cs="Times New Roman"/>
          <w:sz w:val="16"/>
          <w:szCs w:val="16"/>
        </w:rPr>
      </w:pPr>
      <w:r w:rsidRPr="002E69A0">
        <w:rPr>
          <w:rFonts w:ascii="Verdana" w:hAnsi="Verdana" w:cs="Times New Roman"/>
          <w:sz w:val="16"/>
          <w:szCs w:val="16"/>
        </w:rPr>
        <w:t>their liberty)’, Forty-fourth session, 1992 para 3</w:t>
      </w:r>
    </w:p>
  </w:footnote>
  <w:footnote w:id="15">
    <w:p w:rsidR="00AB274D" w:rsidRPr="002E69A0" w:rsidRDefault="00AB274D" w:rsidP="00CA40B4">
      <w:pPr>
        <w:pStyle w:val="NoSpacing"/>
        <w:rPr>
          <w:rFonts w:ascii="Verdana" w:hAnsi="Verdana" w:cs="Times New Roman"/>
          <w:sz w:val="16"/>
          <w:szCs w:val="16"/>
        </w:rPr>
      </w:pPr>
      <w:r w:rsidRPr="002E69A0">
        <w:rPr>
          <w:rStyle w:val="FootnoteReference"/>
          <w:rFonts w:ascii="Verdana" w:hAnsi="Verdana" w:cs="Times New Roman"/>
          <w:sz w:val="16"/>
          <w:szCs w:val="16"/>
        </w:rPr>
        <w:footnoteRef/>
      </w:r>
      <w:r w:rsidRPr="002E69A0">
        <w:rPr>
          <w:rFonts w:ascii="Verdana" w:hAnsi="Verdana" w:cs="Times New Roman"/>
          <w:sz w:val="16"/>
          <w:szCs w:val="16"/>
        </w:rPr>
        <w:t xml:space="preserve"> UN Human Rights Committee ‘Concluding observations on the seventh periodic report of the United </w:t>
      </w:r>
    </w:p>
    <w:p w:rsidR="00AB274D" w:rsidRPr="002E69A0" w:rsidRDefault="00AB274D" w:rsidP="00CA40B4">
      <w:pPr>
        <w:pStyle w:val="NoSpacing"/>
        <w:rPr>
          <w:rFonts w:ascii="Verdana" w:hAnsi="Verdana" w:cs="Times New Roman"/>
          <w:sz w:val="16"/>
          <w:szCs w:val="16"/>
        </w:rPr>
      </w:pPr>
      <w:r w:rsidRPr="002E69A0">
        <w:rPr>
          <w:rFonts w:ascii="Verdana" w:hAnsi="Verdana" w:cs="Times New Roman"/>
          <w:sz w:val="16"/>
          <w:szCs w:val="16"/>
        </w:rPr>
        <w:t xml:space="preserve">Kingdom of Great Britain and Northern Ireland’ Adopted by the Committee at its 114th session (29 June–24 </w:t>
      </w:r>
    </w:p>
    <w:p w:rsidR="00AB274D" w:rsidRPr="002E69A0" w:rsidRDefault="00120078" w:rsidP="00CA40B4">
      <w:pPr>
        <w:pStyle w:val="NoSpacing"/>
        <w:rPr>
          <w:rFonts w:ascii="Verdana" w:hAnsi="Verdana" w:cs="Times New Roman"/>
          <w:sz w:val="16"/>
          <w:szCs w:val="16"/>
        </w:rPr>
      </w:pPr>
      <w:proofErr w:type="gramStart"/>
      <w:r w:rsidRPr="002E69A0">
        <w:rPr>
          <w:rFonts w:ascii="Verdana" w:hAnsi="Verdana" w:cs="Times New Roman"/>
          <w:sz w:val="16"/>
          <w:szCs w:val="16"/>
        </w:rPr>
        <w:t>July 2015), UN doc.</w:t>
      </w:r>
      <w:r w:rsidR="00AB274D" w:rsidRPr="002E69A0">
        <w:rPr>
          <w:rFonts w:ascii="Verdana" w:hAnsi="Verdana" w:cs="Times New Roman"/>
          <w:sz w:val="16"/>
          <w:szCs w:val="16"/>
        </w:rPr>
        <w:t xml:space="preserve"> CCPR</w:t>
      </w:r>
      <w:r w:rsidRPr="002E69A0">
        <w:rPr>
          <w:rFonts w:ascii="Verdana" w:hAnsi="Verdana" w:cs="Times New Roman"/>
          <w:sz w:val="16"/>
          <w:szCs w:val="16"/>
        </w:rPr>
        <w:t>/</w:t>
      </w:r>
      <w:r w:rsidR="00AB274D" w:rsidRPr="002E69A0">
        <w:rPr>
          <w:rFonts w:ascii="Verdana" w:hAnsi="Verdana" w:cs="Times New Roman"/>
          <w:sz w:val="16"/>
          <w:szCs w:val="16"/>
        </w:rPr>
        <w:t>C</w:t>
      </w:r>
      <w:r w:rsidRPr="002E69A0">
        <w:rPr>
          <w:rFonts w:ascii="Verdana" w:hAnsi="Verdana" w:cs="Times New Roman"/>
          <w:sz w:val="16"/>
          <w:szCs w:val="16"/>
        </w:rPr>
        <w:t>/</w:t>
      </w:r>
      <w:r w:rsidR="00AB274D" w:rsidRPr="002E69A0">
        <w:rPr>
          <w:rFonts w:ascii="Verdana" w:hAnsi="Verdana" w:cs="Times New Roman"/>
          <w:sz w:val="16"/>
          <w:szCs w:val="16"/>
        </w:rPr>
        <w:t>GBR</w:t>
      </w:r>
      <w:r w:rsidRPr="002E69A0">
        <w:rPr>
          <w:rFonts w:ascii="Verdana" w:hAnsi="Verdana" w:cs="Times New Roman"/>
          <w:sz w:val="16"/>
          <w:szCs w:val="16"/>
        </w:rPr>
        <w:t>/</w:t>
      </w:r>
      <w:r w:rsidR="00AB274D" w:rsidRPr="002E69A0">
        <w:rPr>
          <w:rFonts w:ascii="Verdana" w:hAnsi="Verdana" w:cs="Times New Roman"/>
          <w:sz w:val="16"/>
          <w:szCs w:val="16"/>
        </w:rPr>
        <w:t>CO</w:t>
      </w:r>
      <w:r w:rsidRPr="002E69A0">
        <w:rPr>
          <w:rFonts w:ascii="Verdana" w:hAnsi="Verdana" w:cs="Times New Roman"/>
          <w:sz w:val="16"/>
          <w:szCs w:val="16"/>
        </w:rPr>
        <w:t>/</w:t>
      </w:r>
      <w:r w:rsidR="00AB274D" w:rsidRPr="002E69A0">
        <w:rPr>
          <w:rFonts w:ascii="Verdana" w:hAnsi="Verdana" w:cs="Times New Roman"/>
          <w:sz w:val="16"/>
          <w:szCs w:val="16"/>
        </w:rPr>
        <w:t>7</w:t>
      </w:r>
      <w:r w:rsidRPr="002E69A0">
        <w:rPr>
          <w:rFonts w:ascii="Verdana" w:hAnsi="Verdana" w:cs="Times New Roman"/>
          <w:sz w:val="16"/>
          <w:szCs w:val="16"/>
        </w:rPr>
        <w:t>/</w:t>
      </w:r>
      <w:r w:rsidR="00AB274D" w:rsidRPr="002E69A0">
        <w:rPr>
          <w:rFonts w:ascii="Verdana" w:hAnsi="Verdana" w:cs="Times New Roman"/>
          <w:sz w:val="16"/>
          <w:szCs w:val="16"/>
        </w:rPr>
        <w:t>21192.</w:t>
      </w:r>
      <w:proofErr w:type="gramEnd"/>
    </w:p>
  </w:footnote>
  <w:footnote w:id="16">
    <w:p w:rsidR="00E1762D" w:rsidRPr="002E69A0" w:rsidRDefault="00E1762D" w:rsidP="00CA40B4">
      <w:pPr>
        <w:pStyle w:val="NoSpacing"/>
        <w:rPr>
          <w:rFonts w:ascii="Verdana" w:hAnsi="Verdana" w:cs="Times New Roman"/>
          <w:sz w:val="16"/>
          <w:szCs w:val="16"/>
        </w:rPr>
      </w:pPr>
      <w:r w:rsidRPr="002E69A0">
        <w:rPr>
          <w:rStyle w:val="FootnoteReference"/>
          <w:rFonts w:ascii="Verdana" w:hAnsi="Verdana" w:cs="Times New Roman"/>
          <w:sz w:val="16"/>
          <w:szCs w:val="16"/>
        </w:rPr>
        <w:footnoteRef/>
      </w:r>
      <w:r w:rsidRPr="002E69A0">
        <w:rPr>
          <w:rFonts w:ascii="Verdana" w:hAnsi="Verdana" w:cs="Times New Roman"/>
          <w:sz w:val="16"/>
          <w:szCs w:val="16"/>
        </w:rPr>
        <w:t xml:space="preserve"> Committee against Torture, ‘Concluding observations on the fifth period</w:t>
      </w:r>
      <w:r w:rsidR="00BD1F50" w:rsidRPr="002E69A0">
        <w:rPr>
          <w:rFonts w:ascii="Verdana" w:hAnsi="Verdana" w:cs="Times New Roman"/>
          <w:sz w:val="16"/>
          <w:szCs w:val="16"/>
        </w:rPr>
        <w:t xml:space="preserve">ic report of the United Kingdom </w:t>
      </w:r>
      <w:r w:rsidRPr="002E69A0">
        <w:rPr>
          <w:rFonts w:ascii="Verdana" w:hAnsi="Verdana" w:cs="Times New Roman"/>
          <w:sz w:val="16"/>
          <w:szCs w:val="16"/>
        </w:rPr>
        <w:t xml:space="preserve">of </w:t>
      </w:r>
      <w:r w:rsidR="00BD1F50" w:rsidRPr="002E69A0">
        <w:rPr>
          <w:rFonts w:ascii="Verdana" w:hAnsi="Verdana" w:cs="Times New Roman"/>
          <w:sz w:val="16"/>
          <w:szCs w:val="16"/>
        </w:rPr>
        <w:t xml:space="preserve"> </w:t>
      </w:r>
      <w:r w:rsidRPr="002E69A0">
        <w:rPr>
          <w:rFonts w:ascii="Verdana" w:hAnsi="Verdana" w:cs="Times New Roman"/>
          <w:sz w:val="16"/>
          <w:szCs w:val="16"/>
        </w:rPr>
        <w:t xml:space="preserve">Great Britain and Northern Ireland, adopted by the Committee at its fiftieth session (6-31 May 2013)’, UN doc. CAT/C/GBR/CO/5, 24 June 2013 para 6 &amp; 31 </w:t>
      </w:r>
    </w:p>
  </w:footnote>
  <w:footnote w:id="17">
    <w:p w:rsidR="00E1762D" w:rsidRPr="002E69A0" w:rsidRDefault="00E1762D" w:rsidP="00CA40B4">
      <w:pPr>
        <w:pStyle w:val="NoSpacing"/>
        <w:rPr>
          <w:rFonts w:ascii="Verdana" w:hAnsi="Verdana" w:cs="Times New Roman"/>
          <w:sz w:val="16"/>
          <w:szCs w:val="16"/>
        </w:rPr>
      </w:pPr>
      <w:r w:rsidRPr="002E69A0">
        <w:rPr>
          <w:rStyle w:val="FootnoteReference"/>
          <w:rFonts w:ascii="Verdana" w:hAnsi="Verdana" w:cs="Times New Roman"/>
          <w:sz w:val="16"/>
          <w:szCs w:val="16"/>
        </w:rPr>
        <w:footnoteRef/>
      </w:r>
      <w:r w:rsidRPr="002E69A0">
        <w:rPr>
          <w:rFonts w:ascii="Verdana" w:hAnsi="Verdana" w:cs="Times New Roman"/>
          <w:sz w:val="16"/>
          <w:szCs w:val="16"/>
        </w:rPr>
        <w:t xml:space="preserve"> Ibid para 32</w:t>
      </w:r>
    </w:p>
  </w:footnote>
  <w:footnote w:id="18">
    <w:p w:rsidR="00AB274D" w:rsidRPr="002E69A0" w:rsidRDefault="00F503E0" w:rsidP="00CA40B4">
      <w:pPr>
        <w:pStyle w:val="NoSpacing"/>
        <w:rPr>
          <w:rFonts w:ascii="Verdana" w:hAnsi="Verdana" w:cs="Times New Roman"/>
          <w:sz w:val="16"/>
          <w:szCs w:val="16"/>
        </w:rPr>
      </w:pPr>
      <w:r w:rsidRPr="002E69A0">
        <w:rPr>
          <w:rStyle w:val="FootnoteReference"/>
          <w:rFonts w:ascii="Verdana" w:hAnsi="Verdana" w:cs="Times New Roman"/>
          <w:sz w:val="16"/>
          <w:szCs w:val="16"/>
        </w:rPr>
        <w:footnoteRef/>
      </w:r>
      <w:r w:rsidRPr="002E69A0">
        <w:rPr>
          <w:rFonts w:ascii="Verdana" w:hAnsi="Verdana" w:cs="Times New Roman"/>
          <w:sz w:val="16"/>
          <w:szCs w:val="16"/>
        </w:rPr>
        <w:t xml:space="preserve"> </w:t>
      </w:r>
      <w:r w:rsidR="00AB274D" w:rsidRPr="002E69A0">
        <w:rPr>
          <w:rFonts w:ascii="Verdana" w:hAnsi="Verdana" w:cs="Times New Roman"/>
          <w:sz w:val="16"/>
          <w:szCs w:val="16"/>
        </w:rPr>
        <w:t xml:space="preserve">See , OHCHR, Developing National Action Plans against Racial Discrimination: A Practical Guide (New </w:t>
      </w:r>
    </w:p>
    <w:p w:rsidR="00F503E0" w:rsidRPr="002E69A0" w:rsidRDefault="00AB274D" w:rsidP="00CA40B4">
      <w:pPr>
        <w:pStyle w:val="NoSpacing"/>
        <w:rPr>
          <w:rFonts w:ascii="Verdana" w:hAnsi="Verdana" w:cs="Times New Roman"/>
          <w:sz w:val="16"/>
          <w:szCs w:val="16"/>
        </w:rPr>
      </w:pPr>
      <w:r w:rsidRPr="002E69A0">
        <w:rPr>
          <w:rFonts w:ascii="Verdana" w:hAnsi="Verdana" w:cs="Times New Roman"/>
          <w:sz w:val="16"/>
          <w:szCs w:val="16"/>
        </w:rPr>
        <w:t>York &amp; Geneva: 2014).</w:t>
      </w:r>
      <w:r w:rsidR="00F503E0" w:rsidRPr="002E69A0">
        <w:rPr>
          <w:rFonts w:ascii="Verdana" w:hAnsi="Verdana" w:cs="Times New Roman"/>
          <w:sz w:val="16"/>
          <w:szCs w:val="16"/>
        </w:rPr>
        <w:t xml:space="preserve"> p. 95 </w:t>
      </w:r>
    </w:p>
  </w:footnote>
  <w:footnote w:id="19">
    <w:p w:rsidR="00AB274D" w:rsidRPr="002E69A0" w:rsidRDefault="00D60183" w:rsidP="00CA40B4">
      <w:pPr>
        <w:pStyle w:val="NoSpacing"/>
        <w:rPr>
          <w:rFonts w:ascii="Verdana" w:hAnsi="Verdana" w:cs="Times New Roman"/>
          <w:sz w:val="16"/>
          <w:szCs w:val="16"/>
        </w:rPr>
      </w:pPr>
      <w:r w:rsidRPr="002E69A0">
        <w:rPr>
          <w:rStyle w:val="FootnoteReference"/>
          <w:rFonts w:ascii="Verdana" w:hAnsi="Verdana" w:cs="Times New Roman"/>
          <w:sz w:val="16"/>
          <w:szCs w:val="16"/>
        </w:rPr>
        <w:footnoteRef/>
      </w:r>
      <w:r w:rsidRPr="002E69A0">
        <w:rPr>
          <w:rFonts w:ascii="Verdana" w:hAnsi="Verdana" w:cs="Times New Roman"/>
          <w:sz w:val="16"/>
          <w:szCs w:val="16"/>
        </w:rPr>
        <w:t xml:space="preserve"> </w:t>
      </w:r>
      <w:r w:rsidR="00AB274D" w:rsidRPr="002E69A0">
        <w:rPr>
          <w:rFonts w:ascii="Verdana" w:hAnsi="Verdana" w:cs="Times New Roman"/>
          <w:sz w:val="16"/>
          <w:szCs w:val="16"/>
        </w:rPr>
        <w:t xml:space="preserve">Prison Review Team’ Review of the Northern Ireland Prison Service Conditions, management and </w:t>
      </w:r>
    </w:p>
    <w:p w:rsidR="00D60183" w:rsidRPr="002E69A0" w:rsidRDefault="00AB274D" w:rsidP="00CA40B4">
      <w:pPr>
        <w:pStyle w:val="NoSpacing"/>
        <w:rPr>
          <w:rFonts w:ascii="Verdana" w:hAnsi="Verdana" w:cs="Times New Roman"/>
          <w:sz w:val="16"/>
          <w:szCs w:val="16"/>
        </w:rPr>
      </w:pPr>
      <w:r w:rsidRPr="002E69A0">
        <w:rPr>
          <w:rFonts w:ascii="Verdana" w:hAnsi="Verdana" w:cs="Times New Roman"/>
          <w:sz w:val="16"/>
          <w:szCs w:val="16"/>
        </w:rPr>
        <w:t xml:space="preserve">oversight of all prisons’ Recommendation 3 October 2011 </w:t>
      </w:r>
      <w:r w:rsidR="00D60183" w:rsidRPr="002E69A0">
        <w:rPr>
          <w:rFonts w:ascii="Verdana" w:hAnsi="Verdana" w:cs="Times New Roman"/>
          <w:sz w:val="16"/>
          <w:szCs w:val="16"/>
        </w:rPr>
        <w:t>Recommendation 3</w:t>
      </w:r>
    </w:p>
  </w:footnote>
  <w:footnote w:id="20">
    <w:p w:rsidR="00617ABE" w:rsidRPr="002E69A0" w:rsidRDefault="00617ABE" w:rsidP="00CA40B4">
      <w:pPr>
        <w:pStyle w:val="NoSpacing"/>
        <w:rPr>
          <w:rFonts w:ascii="Verdana" w:hAnsi="Verdana" w:cs="Times New Roman"/>
          <w:sz w:val="16"/>
          <w:szCs w:val="16"/>
        </w:rPr>
      </w:pPr>
      <w:r w:rsidRPr="002E69A0">
        <w:rPr>
          <w:rStyle w:val="FootnoteReference"/>
          <w:rFonts w:ascii="Verdana" w:hAnsi="Verdana" w:cs="Times New Roman"/>
          <w:sz w:val="16"/>
          <w:szCs w:val="16"/>
        </w:rPr>
        <w:footnoteRef/>
      </w:r>
      <w:r w:rsidRPr="002E69A0">
        <w:rPr>
          <w:rFonts w:ascii="Verdana" w:hAnsi="Verdana" w:cs="Times New Roman"/>
          <w:sz w:val="16"/>
          <w:szCs w:val="16"/>
        </w:rPr>
        <w:t xml:space="preserve"> Prison Review Oversight Group : Justice Committee Summary Report May 2015 </w:t>
      </w:r>
    </w:p>
  </w:footnote>
  <w:footnote w:id="21">
    <w:p w:rsidR="00AE5335" w:rsidRPr="002E69A0" w:rsidRDefault="00D60183" w:rsidP="00CA40B4">
      <w:pPr>
        <w:pStyle w:val="NoSpacing"/>
        <w:rPr>
          <w:rFonts w:ascii="Verdana" w:hAnsi="Verdana" w:cs="Times New Roman"/>
          <w:sz w:val="16"/>
          <w:szCs w:val="16"/>
        </w:rPr>
      </w:pPr>
      <w:r w:rsidRPr="002E69A0">
        <w:rPr>
          <w:rStyle w:val="FootnoteReference"/>
          <w:rFonts w:ascii="Verdana" w:hAnsi="Verdana" w:cs="Times New Roman"/>
          <w:sz w:val="16"/>
          <w:szCs w:val="16"/>
        </w:rPr>
        <w:footnoteRef/>
      </w:r>
      <w:r w:rsidRPr="002E69A0">
        <w:rPr>
          <w:rFonts w:ascii="Verdana" w:hAnsi="Verdana" w:cs="Times New Roman"/>
          <w:sz w:val="16"/>
          <w:szCs w:val="16"/>
        </w:rPr>
        <w:t xml:space="preserve"> See for discussion United Nations Office of Drugs and Crime ‘Handbook of basic principles and </w:t>
      </w:r>
    </w:p>
    <w:p w:rsidR="00D60183" w:rsidRPr="002E69A0" w:rsidRDefault="00D60183" w:rsidP="00CA40B4">
      <w:pPr>
        <w:pStyle w:val="NoSpacing"/>
        <w:rPr>
          <w:rFonts w:ascii="Verdana" w:hAnsi="Verdana" w:cs="Times New Roman"/>
          <w:sz w:val="16"/>
          <w:szCs w:val="16"/>
        </w:rPr>
      </w:pPr>
      <w:r w:rsidRPr="002E69A0">
        <w:rPr>
          <w:rFonts w:ascii="Verdana" w:hAnsi="Verdana" w:cs="Times New Roman"/>
          <w:sz w:val="16"/>
          <w:szCs w:val="16"/>
        </w:rPr>
        <w:t xml:space="preserve">promising practices on Alternatives to Imprisonment’ </w:t>
      </w:r>
    </w:p>
  </w:footnote>
  <w:footnote w:id="22">
    <w:p w:rsidR="00AE5335" w:rsidRPr="002E69A0" w:rsidRDefault="00BC6001" w:rsidP="00CA40B4">
      <w:pPr>
        <w:pStyle w:val="NoSpacing"/>
        <w:rPr>
          <w:rFonts w:ascii="Verdana" w:hAnsi="Verdana" w:cs="Times New Roman"/>
          <w:sz w:val="16"/>
          <w:szCs w:val="16"/>
        </w:rPr>
      </w:pPr>
      <w:r w:rsidRPr="002E69A0">
        <w:rPr>
          <w:rStyle w:val="FootnoteReference"/>
          <w:rFonts w:ascii="Verdana" w:hAnsi="Verdana" w:cs="Times New Roman"/>
          <w:sz w:val="16"/>
          <w:szCs w:val="16"/>
        </w:rPr>
        <w:footnoteRef/>
      </w:r>
      <w:r w:rsidRPr="002E69A0">
        <w:rPr>
          <w:rFonts w:ascii="Verdana" w:hAnsi="Verdana" w:cs="Times New Roman"/>
          <w:sz w:val="16"/>
          <w:szCs w:val="16"/>
        </w:rPr>
        <w:t xml:space="preserve"> Committee against Torture</w:t>
      </w:r>
      <w:r w:rsidR="00AE5335" w:rsidRPr="002E69A0">
        <w:rPr>
          <w:rFonts w:ascii="Verdana" w:hAnsi="Verdana" w:cs="Times New Roman"/>
          <w:sz w:val="16"/>
          <w:szCs w:val="16"/>
        </w:rPr>
        <w:t xml:space="preserve"> </w:t>
      </w:r>
      <w:r w:rsidRPr="002E69A0">
        <w:rPr>
          <w:rFonts w:ascii="Verdana" w:hAnsi="Verdana" w:cs="Times New Roman"/>
          <w:sz w:val="16"/>
          <w:szCs w:val="16"/>
        </w:rPr>
        <w:t xml:space="preserve">List of issues prior to submission of the sixth periodic report of the United </w:t>
      </w:r>
    </w:p>
    <w:p w:rsidR="00BC6001" w:rsidRPr="002E69A0" w:rsidRDefault="00BC6001" w:rsidP="00CA40B4">
      <w:pPr>
        <w:pStyle w:val="NoSpacing"/>
        <w:rPr>
          <w:rFonts w:ascii="Verdana" w:hAnsi="Verdana" w:cs="Times New Roman"/>
          <w:sz w:val="16"/>
          <w:szCs w:val="16"/>
        </w:rPr>
      </w:pPr>
      <w:r w:rsidRPr="002E69A0">
        <w:rPr>
          <w:rFonts w:ascii="Verdana" w:hAnsi="Verdana" w:cs="Times New Roman"/>
          <w:sz w:val="16"/>
          <w:szCs w:val="16"/>
        </w:rPr>
        <w:t xml:space="preserve">Kingdom of Great Britain and Northern Ireland May 2016 para 22 </w:t>
      </w:r>
    </w:p>
  </w:footnote>
  <w:footnote w:id="23">
    <w:p w:rsidR="00AE5335" w:rsidRPr="002E69A0" w:rsidRDefault="00CC43D5" w:rsidP="00CA40B4">
      <w:pPr>
        <w:pStyle w:val="NoSpacing"/>
        <w:rPr>
          <w:rFonts w:ascii="Verdana" w:hAnsi="Verdana" w:cs="Times New Roman"/>
          <w:sz w:val="16"/>
          <w:szCs w:val="16"/>
        </w:rPr>
      </w:pPr>
      <w:r w:rsidRPr="002E69A0">
        <w:rPr>
          <w:rStyle w:val="news-date"/>
          <w:rFonts w:ascii="Verdana" w:eastAsia="Verdana" w:hAnsi="Verdana" w:cs="Times New Roman"/>
          <w:sz w:val="16"/>
          <w:szCs w:val="16"/>
          <w:vertAlign w:val="superscript"/>
        </w:rPr>
        <w:footnoteRef/>
      </w:r>
      <w:r w:rsidRPr="002E69A0">
        <w:rPr>
          <w:rFonts w:ascii="Verdana" w:hAnsi="Verdana" w:cs="Times New Roman"/>
          <w:sz w:val="16"/>
          <w:szCs w:val="16"/>
        </w:rPr>
        <w:t xml:space="preserve"> National Preventative Mechanism ‘An announced inspection of Woodlands Juvenile Justice Centre’ May </w:t>
      </w:r>
    </w:p>
    <w:p w:rsidR="00CC43D5" w:rsidRPr="002E69A0" w:rsidRDefault="00CC43D5" w:rsidP="00CA40B4">
      <w:pPr>
        <w:pStyle w:val="NoSpacing"/>
        <w:rPr>
          <w:rFonts w:ascii="Verdana" w:hAnsi="Verdana" w:cs="Times New Roman"/>
          <w:sz w:val="16"/>
          <w:szCs w:val="16"/>
        </w:rPr>
      </w:pPr>
      <w:proofErr w:type="gramStart"/>
      <w:r w:rsidRPr="002E69A0">
        <w:rPr>
          <w:rFonts w:ascii="Verdana" w:hAnsi="Verdana" w:cs="Times New Roman"/>
          <w:sz w:val="16"/>
          <w:szCs w:val="16"/>
        </w:rPr>
        <w:t>2015 .</w:t>
      </w:r>
      <w:proofErr w:type="gramEnd"/>
      <w:r w:rsidRPr="002E69A0">
        <w:rPr>
          <w:rFonts w:ascii="Verdana" w:hAnsi="Verdana" w:cs="Times New Roman"/>
          <w:sz w:val="16"/>
          <w:szCs w:val="16"/>
        </w:rPr>
        <w:t xml:space="preserve"> 20 statutory bodies make up the UK National Preventive Mechanism</w:t>
      </w:r>
    </w:p>
  </w:footnote>
  <w:footnote w:id="24">
    <w:p w:rsidR="00CC43D5" w:rsidRPr="002E69A0" w:rsidRDefault="00CC43D5" w:rsidP="00CA40B4">
      <w:pPr>
        <w:pStyle w:val="NoSpacing"/>
        <w:rPr>
          <w:rFonts w:ascii="Verdana" w:hAnsi="Verdana" w:cs="Times New Roman"/>
          <w:sz w:val="16"/>
          <w:szCs w:val="16"/>
        </w:rPr>
      </w:pPr>
      <w:r w:rsidRPr="002E69A0">
        <w:rPr>
          <w:rStyle w:val="news-date"/>
          <w:rFonts w:ascii="Verdana" w:eastAsia="Verdana" w:hAnsi="Verdana" w:cs="Times New Roman"/>
          <w:sz w:val="16"/>
          <w:szCs w:val="16"/>
          <w:vertAlign w:val="superscript"/>
        </w:rPr>
        <w:footnoteRef/>
      </w:r>
      <w:r w:rsidRPr="002E69A0">
        <w:rPr>
          <w:rFonts w:ascii="Verdana" w:hAnsi="Verdana" w:cs="Times New Roman"/>
          <w:sz w:val="16"/>
          <w:szCs w:val="16"/>
        </w:rPr>
        <w:t xml:space="preserve"> Ibid., para 2.5</w:t>
      </w:r>
    </w:p>
  </w:footnote>
  <w:footnote w:id="25">
    <w:p w:rsidR="00CC43D5" w:rsidRPr="002E69A0" w:rsidRDefault="00CC43D5" w:rsidP="00CA40B4">
      <w:pPr>
        <w:pStyle w:val="NoSpacing"/>
        <w:rPr>
          <w:rFonts w:ascii="Verdana" w:hAnsi="Verdana" w:cs="Times New Roman"/>
          <w:sz w:val="16"/>
          <w:szCs w:val="16"/>
        </w:rPr>
      </w:pPr>
      <w:r w:rsidRPr="002E69A0">
        <w:rPr>
          <w:rStyle w:val="news-date"/>
          <w:rFonts w:ascii="Verdana" w:eastAsia="Verdana" w:hAnsi="Verdana" w:cs="Times New Roman"/>
          <w:sz w:val="16"/>
          <w:szCs w:val="16"/>
          <w:vertAlign w:val="superscript"/>
        </w:rPr>
        <w:footnoteRef/>
      </w:r>
      <w:r w:rsidRPr="002E69A0">
        <w:rPr>
          <w:rFonts w:ascii="Verdana" w:hAnsi="Verdana" w:cs="Times New Roman"/>
          <w:sz w:val="16"/>
          <w:szCs w:val="16"/>
        </w:rPr>
        <w:t xml:space="preserve"> AQW 50671/11-16</w:t>
      </w:r>
    </w:p>
  </w:footnote>
  <w:footnote w:id="26">
    <w:p w:rsidR="00AE5335" w:rsidRPr="002E69A0" w:rsidRDefault="00CC43D5" w:rsidP="00CA40B4">
      <w:pPr>
        <w:pStyle w:val="NoSpacing"/>
        <w:rPr>
          <w:rFonts w:ascii="Verdana" w:hAnsi="Verdana" w:cs="Times New Roman"/>
          <w:sz w:val="16"/>
          <w:szCs w:val="16"/>
        </w:rPr>
      </w:pPr>
      <w:r w:rsidRPr="002E69A0">
        <w:rPr>
          <w:rStyle w:val="news-date"/>
          <w:rFonts w:ascii="Verdana" w:eastAsia="Verdana" w:hAnsi="Verdana" w:cs="Times New Roman"/>
          <w:sz w:val="16"/>
          <w:szCs w:val="16"/>
          <w:vertAlign w:val="superscript"/>
        </w:rPr>
        <w:footnoteRef/>
      </w:r>
      <w:r w:rsidRPr="002E69A0">
        <w:rPr>
          <w:rFonts w:ascii="Verdana" w:hAnsi="Verdana" w:cs="Times New Roman"/>
          <w:sz w:val="16"/>
          <w:szCs w:val="16"/>
          <w:vertAlign w:val="superscript"/>
        </w:rPr>
        <w:t xml:space="preserve"> </w:t>
      </w:r>
      <w:r w:rsidRPr="002E69A0">
        <w:rPr>
          <w:rFonts w:ascii="Verdana" w:hAnsi="Verdana" w:cs="Times New Roman"/>
          <w:sz w:val="16"/>
          <w:szCs w:val="16"/>
        </w:rPr>
        <w:t xml:space="preserve">National Preventative Mechanism ‘An announced inspection of Woodlands Juvenile Justice Centre’ May </w:t>
      </w:r>
    </w:p>
    <w:p w:rsidR="00CC43D5" w:rsidRPr="002E69A0" w:rsidRDefault="00CC43D5" w:rsidP="00CA40B4">
      <w:pPr>
        <w:pStyle w:val="NoSpacing"/>
        <w:rPr>
          <w:rFonts w:ascii="Verdana" w:hAnsi="Verdana" w:cs="Times New Roman"/>
          <w:sz w:val="16"/>
          <w:szCs w:val="16"/>
        </w:rPr>
      </w:pPr>
      <w:proofErr w:type="gramStart"/>
      <w:r w:rsidRPr="002E69A0">
        <w:rPr>
          <w:rFonts w:ascii="Verdana" w:hAnsi="Verdana" w:cs="Times New Roman"/>
          <w:sz w:val="16"/>
          <w:szCs w:val="16"/>
        </w:rPr>
        <w:t>2015 .</w:t>
      </w:r>
      <w:proofErr w:type="gramEnd"/>
      <w:r w:rsidRPr="002E69A0">
        <w:rPr>
          <w:rFonts w:ascii="Verdana" w:hAnsi="Verdana" w:cs="Times New Roman"/>
          <w:sz w:val="16"/>
          <w:szCs w:val="16"/>
        </w:rPr>
        <w:t xml:space="preserve"> 20 statutory bodies make up the UK National Preventive Mechanism Ibid., para 2.18 </w:t>
      </w:r>
    </w:p>
  </w:footnote>
  <w:footnote w:id="27">
    <w:p w:rsidR="00156632" w:rsidRPr="002E69A0" w:rsidRDefault="00156632" w:rsidP="00CA40B4">
      <w:pPr>
        <w:pStyle w:val="NoSpacing"/>
        <w:rPr>
          <w:rFonts w:ascii="Verdana" w:hAnsi="Verdana" w:cs="Times New Roman"/>
          <w:sz w:val="16"/>
          <w:szCs w:val="16"/>
        </w:rPr>
      </w:pPr>
      <w:r w:rsidRPr="002E69A0">
        <w:rPr>
          <w:rStyle w:val="FootnoteReference"/>
          <w:rFonts w:ascii="Verdana" w:hAnsi="Verdana" w:cs="Times New Roman"/>
          <w:sz w:val="16"/>
          <w:szCs w:val="16"/>
        </w:rPr>
        <w:footnoteRef/>
      </w:r>
      <w:r w:rsidRPr="002E69A0">
        <w:rPr>
          <w:rFonts w:ascii="Verdana" w:hAnsi="Verdana" w:cs="Times New Roman"/>
          <w:sz w:val="16"/>
          <w:szCs w:val="16"/>
        </w:rPr>
        <w:t xml:space="preserve"> CRC/C/GBR/CO/5 3 June 2016</w:t>
      </w:r>
      <w:r w:rsidR="00CA40B4" w:rsidRPr="002E69A0">
        <w:rPr>
          <w:rFonts w:ascii="Verdana" w:hAnsi="Verdana" w:cs="Times New Roman"/>
          <w:sz w:val="16"/>
          <w:szCs w:val="16"/>
        </w:rPr>
        <w:t xml:space="preserve">; UN General Assembly resolution 40/33, ‘UN Standard Minimum Rules for the Administration of Juvenile Justice (‘the Beijing Rules’), UN doc. </w:t>
      </w:r>
      <w:proofErr w:type="gramStart"/>
      <w:r w:rsidR="00CA40B4" w:rsidRPr="002E69A0">
        <w:rPr>
          <w:rFonts w:ascii="Verdana" w:hAnsi="Verdana" w:cs="Times New Roman"/>
          <w:sz w:val="16"/>
          <w:szCs w:val="16"/>
        </w:rPr>
        <w:t xml:space="preserve">A/RES/40/33, 29 November 1985, </w:t>
      </w:r>
      <w:r w:rsidR="00574E4E" w:rsidRPr="002E69A0">
        <w:rPr>
          <w:rFonts w:ascii="Verdana" w:hAnsi="Verdana" w:cs="Times New Roman"/>
          <w:sz w:val="16"/>
          <w:szCs w:val="16"/>
        </w:rPr>
        <w:t>rule 5.1; UN General Assembly resolution 45/113, ‘United Nations Rules for the Protection of Juveniles Deprived of their Liberty (‘the Havana Rules’)’, UN doc.</w:t>
      </w:r>
      <w:proofErr w:type="gramEnd"/>
      <w:r w:rsidR="00574E4E" w:rsidRPr="002E69A0">
        <w:rPr>
          <w:rFonts w:ascii="Verdana" w:hAnsi="Verdana" w:cs="Times New Roman"/>
          <w:sz w:val="16"/>
          <w:szCs w:val="16"/>
        </w:rPr>
        <w:t xml:space="preserve"> A/RES/45/113, 14 December 1990, para 1</w:t>
      </w:r>
    </w:p>
  </w:footnote>
  <w:footnote w:id="28">
    <w:p w:rsidR="00623394" w:rsidRPr="002E69A0" w:rsidRDefault="00623394" w:rsidP="00623394">
      <w:pPr>
        <w:pStyle w:val="FootnoteText"/>
        <w:rPr>
          <w:rFonts w:ascii="Verdana" w:hAnsi="Verdana"/>
          <w:sz w:val="16"/>
          <w:szCs w:val="16"/>
        </w:rPr>
      </w:pPr>
      <w:r w:rsidRPr="002E69A0">
        <w:rPr>
          <w:rStyle w:val="FootnoteReference"/>
          <w:rFonts w:ascii="Verdana" w:hAnsi="Verdana"/>
          <w:sz w:val="16"/>
          <w:szCs w:val="16"/>
        </w:rPr>
        <w:footnoteRef/>
      </w:r>
      <w:r w:rsidRPr="002E69A0">
        <w:rPr>
          <w:rFonts w:ascii="Verdana" w:hAnsi="Verdana"/>
          <w:sz w:val="16"/>
          <w:szCs w:val="16"/>
        </w:rPr>
        <w:t xml:space="preserve"> </w:t>
      </w:r>
      <w:r w:rsidRPr="002E69A0">
        <w:rPr>
          <w:rFonts w:ascii="Verdana" w:hAnsi="Verdana"/>
          <w:sz w:val="16"/>
          <w:szCs w:val="16"/>
        </w:rPr>
        <w:t xml:space="preserve">NIPS ‘Analysis of NIPS prison Population from 01/07/2014 to 30/09/2015’ October 2015 </w:t>
      </w:r>
    </w:p>
  </w:footnote>
  <w:footnote w:id="29">
    <w:p w:rsidR="00623394" w:rsidRPr="002E69A0" w:rsidRDefault="00623394" w:rsidP="00623394">
      <w:pPr>
        <w:autoSpaceDE w:val="0"/>
        <w:autoSpaceDN w:val="0"/>
        <w:adjustRightInd w:val="0"/>
        <w:spacing w:after="0" w:line="240" w:lineRule="auto"/>
        <w:rPr>
          <w:rFonts w:ascii="Verdana" w:hAnsi="Verdana" w:cs="Calibri"/>
          <w:color w:val="000000"/>
          <w:sz w:val="16"/>
          <w:szCs w:val="16"/>
        </w:rPr>
      </w:pPr>
      <w:r w:rsidRPr="002E69A0">
        <w:rPr>
          <w:rStyle w:val="FootnoteReference"/>
          <w:rFonts w:ascii="Verdana" w:hAnsi="Verdana"/>
          <w:sz w:val="16"/>
          <w:szCs w:val="16"/>
        </w:rPr>
        <w:footnoteRef/>
      </w:r>
      <w:r w:rsidRPr="002E69A0">
        <w:rPr>
          <w:rFonts w:ascii="Verdana" w:hAnsi="Verdana"/>
          <w:sz w:val="16"/>
          <w:szCs w:val="16"/>
        </w:rPr>
        <w:t xml:space="preserve"> </w:t>
      </w:r>
      <w:r w:rsidRPr="002E69A0">
        <w:rPr>
          <w:rFonts w:ascii="Verdana" w:hAnsi="Verdana" w:cs="Calibri"/>
          <w:color w:val="000000"/>
          <w:sz w:val="16"/>
          <w:szCs w:val="16"/>
        </w:rPr>
        <w:t xml:space="preserve">The prison population in England and Wales as of 30 June 2014 was 85,509 of which 12,197 were on remand representing just over 14% See Ministry of Justice Offender Management Statistics Bulletin, England and Wales Quarterly – January to March 2014 </w:t>
      </w:r>
    </w:p>
  </w:footnote>
  <w:footnote w:id="30">
    <w:p w:rsidR="002E69A0" w:rsidRDefault="00623394" w:rsidP="00623394">
      <w:pPr>
        <w:pStyle w:val="FootnoteText"/>
        <w:rPr>
          <w:rFonts w:ascii="Verdana" w:hAnsi="Verdana" w:cs="Calibri"/>
          <w:color w:val="000000"/>
          <w:sz w:val="16"/>
          <w:szCs w:val="16"/>
          <w:lang w:val="en-GB"/>
        </w:rPr>
      </w:pPr>
      <w:r w:rsidRPr="002E69A0">
        <w:rPr>
          <w:rStyle w:val="FootnoteReference"/>
          <w:rFonts w:ascii="Verdana" w:hAnsi="Verdana"/>
          <w:sz w:val="16"/>
          <w:szCs w:val="16"/>
        </w:rPr>
        <w:footnoteRef/>
      </w:r>
      <w:r w:rsidRPr="002E69A0">
        <w:rPr>
          <w:rFonts w:ascii="Verdana" w:hAnsi="Verdana"/>
          <w:sz w:val="16"/>
          <w:szCs w:val="16"/>
        </w:rPr>
        <w:t xml:space="preserve"> </w:t>
      </w:r>
      <w:r w:rsidRPr="002E69A0">
        <w:rPr>
          <w:rFonts w:ascii="Verdana" w:hAnsi="Verdana" w:cs="Calibri"/>
          <w:color w:val="000000"/>
          <w:sz w:val="16"/>
          <w:szCs w:val="16"/>
        </w:rPr>
        <w:t xml:space="preserve">The European Commission for Efficiency of Justice ‘Evaluation of Judicial systems’ 5th Report </w:t>
      </w:r>
      <w:r w:rsidR="002E69A0">
        <w:rPr>
          <w:rFonts w:ascii="Verdana" w:hAnsi="Verdana" w:cs="Calibri"/>
          <w:color w:val="000000"/>
          <w:sz w:val="16"/>
          <w:szCs w:val="16"/>
        </w:rPr>
        <w:t>–</w:t>
      </w:r>
      <w:r w:rsidRPr="002E69A0">
        <w:rPr>
          <w:rFonts w:ascii="Verdana" w:hAnsi="Verdana" w:cs="Calibri"/>
          <w:color w:val="000000"/>
          <w:sz w:val="16"/>
          <w:szCs w:val="16"/>
        </w:rPr>
        <w:t xml:space="preserve"> </w:t>
      </w:r>
    </w:p>
    <w:p w:rsidR="002E69A0" w:rsidRDefault="00623394" w:rsidP="00623394">
      <w:pPr>
        <w:pStyle w:val="FootnoteText"/>
        <w:rPr>
          <w:rFonts w:ascii="Verdana" w:hAnsi="Verdana" w:cs="Calibri"/>
          <w:color w:val="000000"/>
          <w:sz w:val="16"/>
          <w:szCs w:val="16"/>
          <w:lang w:val="en-GB"/>
        </w:rPr>
      </w:pPr>
      <w:r w:rsidRPr="002E69A0">
        <w:rPr>
          <w:rFonts w:ascii="Verdana" w:hAnsi="Verdana" w:cs="Calibri"/>
          <w:color w:val="000000"/>
          <w:sz w:val="16"/>
          <w:szCs w:val="16"/>
        </w:rPr>
        <w:t xml:space="preserve">Edition 2014 (2012 data) The Clearance rate is calculated by diving the number of cases closed </w:t>
      </w:r>
    </w:p>
    <w:p w:rsidR="002E69A0" w:rsidRDefault="00623394" w:rsidP="00623394">
      <w:pPr>
        <w:pStyle w:val="FootnoteText"/>
        <w:rPr>
          <w:rFonts w:ascii="Verdana" w:hAnsi="Verdana" w:cs="Calibri"/>
          <w:color w:val="000000"/>
          <w:sz w:val="16"/>
          <w:szCs w:val="16"/>
          <w:lang w:val="en-GB"/>
        </w:rPr>
      </w:pPr>
      <w:r w:rsidRPr="002E69A0">
        <w:rPr>
          <w:rFonts w:ascii="Verdana" w:hAnsi="Verdana" w:cs="Calibri"/>
          <w:color w:val="000000"/>
          <w:sz w:val="16"/>
          <w:szCs w:val="16"/>
        </w:rPr>
        <w:t xml:space="preserve">by the number of cases received. Thirty three states were included in the study. The average </w:t>
      </w:r>
    </w:p>
    <w:p w:rsidR="00623394" w:rsidRPr="002E69A0" w:rsidRDefault="00623394" w:rsidP="00623394">
      <w:pPr>
        <w:pStyle w:val="FootnoteText"/>
        <w:rPr>
          <w:rFonts w:ascii="Verdana" w:hAnsi="Verdana"/>
          <w:sz w:val="16"/>
          <w:szCs w:val="16"/>
        </w:rPr>
      </w:pPr>
      <w:r w:rsidRPr="002E69A0">
        <w:rPr>
          <w:rFonts w:ascii="Verdana" w:hAnsi="Verdana" w:cs="Calibri"/>
          <w:color w:val="000000"/>
          <w:sz w:val="16"/>
          <w:szCs w:val="16"/>
        </w:rPr>
        <w:t>time from committal to hearing for April to June 2015 was 90 days.</w:t>
      </w:r>
    </w:p>
  </w:footnote>
  <w:footnote w:id="31">
    <w:p w:rsidR="002E69A0" w:rsidRDefault="00623394" w:rsidP="00623394">
      <w:pPr>
        <w:pStyle w:val="FootnoteText"/>
        <w:rPr>
          <w:rFonts w:ascii="Verdana" w:hAnsi="Verdana"/>
          <w:sz w:val="16"/>
          <w:szCs w:val="16"/>
          <w:lang w:val="en-GB"/>
        </w:rPr>
      </w:pPr>
      <w:r w:rsidRPr="002E69A0">
        <w:rPr>
          <w:rStyle w:val="FootnoteReference"/>
          <w:rFonts w:ascii="Verdana" w:hAnsi="Verdana"/>
          <w:sz w:val="16"/>
          <w:szCs w:val="16"/>
        </w:rPr>
        <w:footnoteRef/>
      </w:r>
      <w:r w:rsidRPr="002E69A0">
        <w:rPr>
          <w:rFonts w:ascii="Verdana" w:hAnsi="Verdana"/>
          <w:sz w:val="16"/>
          <w:szCs w:val="16"/>
        </w:rPr>
        <w:t xml:space="preserve"> </w:t>
      </w:r>
      <w:r w:rsidRPr="002E69A0">
        <w:rPr>
          <w:rFonts w:ascii="Verdana" w:hAnsi="Verdana"/>
          <w:sz w:val="16"/>
          <w:szCs w:val="16"/>
        </w:rPr>
        <w:t xml:space="preserve">UN Human Rights Committee ‘Concluding observations on the seventh periodic report of the </w:t>
      </w:r>
    </w:p>
    <w:p w:rsidR="002E69A0" w:rsidRDefault="00623394" w:rsidP="00623394">
      <w:pPr>
        <w:pStyle w:val="FootnoteText"/>
        <w:rPr>
          <w:rFonts w:ascii="Verdana" w:hAnsi="Verdana"/>
          <w:sz w:val="16"/>
          <w:szCs w:val="16"/>
          <w:lang w:val="en-GB"/>
        </w:rPr>
      </w:pPr>
      <w:r w:rsidRPr="002E69A0">
        <w:rPr>
          <w:rFonts w:ascii="Verdana" w:hAnsi="Verdana"/>
          <w:sz w:val="16"/>
          <w:szCs w:val="16"/>
        </w:rPr>
        <w:t xml:space="preserve">United Kingdom of Great Britain and Northern Ireland’ Adopted by the Committee at its 114th </w:t>
      </w:r>
    </w:p>
    <w:p w:rsidR="00623394" w:rsidRPr="002E69A0" w:rsidRDefault="00623394" w:rsidP="00623394">
      <w:pPr>
        <w:pStyle w:val="FootnoteText"/>
        <w:rPr>
          <w:rFonts w:ascii="Verdana" w:hAnsi="Verdana"/>
          <w:sz w:val="16"/>
          <w:szCs w:val="16"/>
        </w:rPr>
      </w:pPr>
      <w:r w:rsidRPr="002E69A0">
        <w:rPr>
          <w:rFonts w:ascii="Verdana" w:hAnsi="Verdana"/>
          <w:sz w:val="16"/>
          <w:szCs w:val="16"/>
        </w:rPr>
        <w:t xml:space="preserve">session (29 June–24 July 2015). CCPR_C_GBR_CO_7_21192. para 22 </w:t>
      </w:r>
    </w:p>
  </w:footnote>
  <w:footnote w:id="32">
    <w:p w:rsidR="00623394" w:rsidRPr="002E69A0" w:rsidRDefault="00623394" w:rsidP="00623394">
      <w:pPr>
        <w:pStyle w:val="FootnoteText"/>
        <w:rPr>
          <w:rFonts w:ascii="Verdana" w:hAnsi="Verdana"/>
          <w:sz w:val="16"/>
          <w:szCs w:val="16"/>
        </w:rPr>
      </w:pPr>
      <w:r w:rsidRPr="002E69A0">
        <w:rPr>
          <w:rStyle w:val="FootnoteReference"/>
          <w:rFonts w:ascii="Verdana" w:hAnsi="Verdana"/>
          <w:sz w:val="16"/>
          <w:szCs w:val="16"/>
        </w:rPr>
        <w:footnoteRef/>
      </w:r>
      <w:r w:rsidRPr="002E69A0">
        <w:rPr>
          <w:rFonts w:ascii="Verdana" w:hAnsi="Verdana"/>
          <w:sz w:val="16"/>
          <w:szCs w:val="16"/>
        </w:rPr>
        <w:t xml:space="preserve"> </w:t>
      </w:r>
      <w:r w:rsidRPr="002E69A0">
        <w:rPr>
          <w:rFonts w:ascii="Verdana" w:hAnsi="Verdana"/>
          <w:sz w:val="16"/>
          <w:szCs w:val="16"/>
        </w:rPr>
        <w:t>NI Assembly Research ‘</w:t>
      </w:r>
      <w:r w:rsidRPr="002E69A0">
        <w:rPr>
          <w:rFonts w:ascii="Verdana" w:hAnsi="Verdana" w:cs="Calibri"/>
          <w:color w:val="000000"/>
          <w:sz w:val="16"/>
          <w:szCs w:val="16"/>
        </w:rPr>
        <w:t xml:space="preserve">Statutory Time Limits’ 125-12 (31 March 2012)  </w:t>
      </w:r>
    </w:p>
  </w:footnote>
  <w:footnote w:id="33">
    <w:p w:rsidR="00623394" w:rsidRPr="002E69A0" w:rsidRDefault="00623394" w:rsidP="00623394">
      <w:pPr>
        <w:pStyle w:val="FootnoteText"/>
        <w:rPr>
          <w:rFonts w:ascii="Verdana" w:hAnsi="Verdana"/>
          <w:sz w:val="16"/>
          <w:szCs w:val="16"/>
        </w:rPr>
      </w:pPr>
      <w:r w:rsidRPr="002E69A0">
        <w:rPr>
          <w:rStyle w:val="FootnoteReference"/>
          <w:rFonts w:ascii="Verdana" w:hAnsi="Verdana"/>
          <w:sz w:val="16"/>
          <w:szCs w:val="16"/>
        </w:rPr>
        <w:footnoteRef/>
      </w:r>
      <w:r w:rsidRPr="002E69A0">
        <w:rPr>
          <w:rFonts w:ascii="Verdana" w:hAnsi="Verdana"/>
          <w:sz w:val="16"/>
          <w:szCs w:val="16"/>
        </w:rPr>
        <w:t xml:space="preserve"> </w:t>
      </w:r>
      <w:r w:rsidRPr="002E69A0">
        <w:rPr>
          <w:rFonts w:ascii="Verdana" w:hAnsi="Verdana"/>
          <w:sz w:val="16"/>
          <w:szCs w:val="16"/>
        </w:rPr>
        <w:t>Official Report (Hansard) Session: 2013/2014 Date: 25 June 2014</w:t>
      </w:r>
    </w:p>
  </w:footnote>
  <w:footnote w:id="34">
    <w:p w:rsidR="00AB274D" w:rsidRPr="002E69A0" w:rsidRDefault="00F12490" w:rsidP="00CA40B4">
      <w:pPr>
        <w:pStyle w:val="NoSpacing"/>
        <w:rPr>
          <w:rFonts w:ascii="Verdana" w:hAnsi="Verdana" w:cs="Times New Roman"/>
          <w:sz w:val="16"/>
          <w:szCs w:val="16"/>
        </w:rPr>
      </w:pPr>
      <w:r w:rsidRPr="002E69A0">
        <w:rPr>
          <w:rStyle w:val="FootnoteReference"/>
          <w:rFonts w:ascii="Verdana" w:hAnsi="Verdana" w:cs="Times New Roman"/>
          <w:sz w:val="16"/>
          <w:szCs w:val="16"/>
        </w:rPr>
        <w:footnoteRef/>
      </w:r>
      <w:r w:rsidRPr="002E69A0">
        <w:rPr>
          <w:rFonts w:ascii="Verdana" w:hAnsi="Verdana" w:cs="Times New Roman"/>
          <w:sz w:val="16"/>
          <w:szCs w:val="16"/>
        </w:rPr>
        <w:t xml:space="preserve"> UN General Assembly resolution 43/173, ‘Body of Principles for the Protection of All Persons under Any </w:t>
      </w:r>
    </w:p>
    <w:p w:rsidR="00F12490" w:rsidRPr="002E69A0" w:rsidRDefault="00F12490" w:rsidP="00CA40B4">
      <w:pPr>
        <w:pStyle w:val="NoSpacing"/>
        <w:rPr>
          <w:rFonts w:ascii="Verdana" w:hAnsi="Verdana" w:cs="Times New Roman"/>
          <w:sz w:val="16"/>
          <w:szCs w:val="16"/>
        </w:rPr>
      </w:pPr>
      <w:proofErr w:type="gramStart"/>
      <w:r w:rsidRPr="002E69A0">
        <w:rPr>
          <w:rFonts w:ascii="Verdana" w:hAnsi="Verdana" w:cs="Times New Roman"/>
          <w:sz w:val="16"/>
          <w:szCs w:val="16"/>
        </w:rPr>
        <w:t>Form of Detention or Imprisonment’, UN doc.</w:t>
      </w:r>
      <w:proofErr w:type="gramEnd"/>
      <w:r w:rsidRPr="002E69A0">
        <w:rPr>
          <w:rFonts w:ascii="Verdana" w:hAnsi="Verdana" w:cs="Times New Roman"/>
          <w:sz w:val="16"/>
          <w:szCs w:val="16"/>
        </w:rPr>
        <w:t xml:space="preserve"> A/RES/43/173, 9 December 1988</w:t>
      </w:r>
      <w:r w:rsidR="00CA40B4" w:rsidRPr="002E69A0">
        <w:rPr>
          <w:rFonts w:ascii="Verdana" w:hAnsi="Verdana" w:cs="Times New Roman"/>
          <w:sz w:val="16"/>
          <w:szCs w:val="16"/>
        </w:rPr>
        <w:t>, principle 24; UN General Assembly resolution 70/175, ‘United Nations Standard Minimum Rules for the Treatment of Prisoners (‘the Nelson Mandela Rules’), UN doc. A/RES/70/175, 8 January 2016, rule 24.1</w:t>
      </w:r>
    </w:p>
  </w:footnote>
  <w:footnote w:id="35">
    <w:p w:rsidR="00372FEF" w:rsidRPr="002E69A0" w:rsidRDefault="00372FEF" w:rsidP="00372FEF">
      <w:pPr>
        <w:pStyle w:val="NoSpacing"/>
        <w:rPr>
          <w:rFonts w:ascii="Verdana" w:hAnsi="Verdana"/>
          <w:sz w:val="16"/>
          <w:szCs w:val="16"/>
        </w:rPr>
      </w:pPr>
      <w:r w:rsidRPr="002E69A0">
        <w:rPr>
          <w:rStyle w:val="FootnoteReference"/>
          <w:rFonts w:ascii="Verdana" w:hAnsi="Verdana"/>
          <w:sz w:val="16"/>
          <w:szCs w:val="16"/>
        </w:rPr>
        <w:footnoteRef/>
      </w:r>
      <w:r w:rsidRPr="002E69A0">
        <w:rPr>
          <w:rFonts w:ascii="Verdana" w:hAnsi="Verdana"/>
          <w:sz w:val="16"/>
          <w:szCs w:val="16"/>
        </w:rPr>
        <w:t xml:space="preserve"> </w:t>
      </w:r>
      <w:r w:rsidRPr="002E69A0">
        <w:rPr>
          <w:rFonts w:ascii="Verdana" w:hAnsi="Verdana" w:cs="Times New Roman"/>
          <w:sz w:val="16"/>
          <w:szCs w:val="16"/>
        </w:rPr>
        <w:t xml:space="preserve">UN General Assembly resolution 65/229, ‘United Nations Rules for the Treatment of Women Prisoners and Non-custodial Measures for Women Offenders (‘the Bangkok Rules’)’, UN Doc. A/RES/65/229, 16 March 2011, pp 10-11; See </w:t>
      </w:r>
      <w:proofErr w:type="spellStart"/>
      <w:r w:rsidRPr="002E69A0">
        <w:rPr>
          <w:rFonts w:ascii="Verdana" w:hAnsi="Verdana" w:cs="Times New Roman"/>
          <w:sz w:val="16"/>
          <w:szCs w:val="16"/>
        </w:rPr>
        <w:t>CoE</w:t>
      </w:r>
      <w:proofErr w:type="spellEnd"/>
      <w:r w:rsidRPr="002E69A0">
        <w:rPr>
          <w:rFonts w:ascii="Verdana" w:hAnsi="Verdana" w:cs="Times New Roman"/>
          <w:sz w:val="16"/>
          <w:szCs w:val="16"/>
        </w:rPr>
        <w:t xml:space="preserve"> Committee of Ministers recommendation R(2006)2, ‘Recommendation of the Committee of Ministers to member states on the European Prison Rules’, June 2006, rule 34.1</w:t>
      </w:r>
    </w:p>
  </w:footnote>
  <w:footnote w:id="36">
    <w:p w:rsidR="00AB274D" w:rsidRPr="002E69A0" w:rsidRDefault="00E0133B" w:rsidP="00CA40B4">
      <w:pPr>
        <w:pStyle w:val="NoSpacing"/>
        <w:rPr>
          <w:rFonts w:ascii="Verdana" w:hAnsi="Verdana" w:cs="Times New Roman"/>
          <w:sz w:val="16"/>
          <w:szCs w:val="16"/>
        </w:rPr>
      </w:pPr>
      <w:r w:rsidRPr="002E69A0">
        <w:rPr>
          <w:rStyle w:val="FootnoteReference"/>
          <w:rFonts w:ascii="Verdana" w:hAnsi="Verdana" w:cs="Times New Roman"/>
          <w:sz w:val="16"/>
          <w:szCs w:val="16"/>
        </w:rPr>
        <w:footnoteRef/>
      </w:r>
      <w:r w:rsidRPr="002E69A0">
        <w:rPr>
          <w:rFonts w:ascii="Verdana" w:hAnsi="Verdana" w:cs="Times New Roman"/>
          <w:sz w:val="16"/>
          <w:szCs w:val="16"/>
        </w:rPr>
        <w:t xml:space="preserve"> Prisoner Ombudsman ‘Investigation Report into the Circumstances Surrounding the Death of Joseph </w:t>
      </w:r>
    </w:p>
    <w:p w:rsidR="00E0133B" w:rsidRPr="002E69A0" w:rsidRDefault="00E0133B" w:rsidP="00CA40B4">
      <w:pPr>
        <w:pStyle w:val="NoSpacing"/>
        <w:rPr>
          <w:rFonts w:ascii="Verdana" w:hAnsi="Verdana" w:cs="Times New Roman"/>
          <w:sz w:val="16"/>
          <w:szCs w:val="16"/>
        </w:rPr>
      </w:pPr>
      <w:r w:rsidRPr="002E69A0">
        <w:rPr>
          <w:rFonts w:ascii="Verdana" w:hAnsi="Verdana" w:cs="Times New Roman"/>
          <w:sz w:val="16"/>
          <w:szCs w:val="16"/>
        </w:rPr>
        <w:t>Rainey’ 16</w:t>
      </w:r>
      <w:r w:rsidRPr="002E69A0">
        <w:rPr>
          <w:rFonts w:ascii="Verdana" w:hAnsi="Verdana" w:cs="Times New Roman"/>
          <w:sz w:val="16"/>
          <w:szCs w:val="16"/>
          <w:vertAlign w:val="superscript"/>
        </w:rPr>
        <w:t>th</w:t>
      </w:r>
      <w:r w:rsidRPr="002E69A0">
        <w:rPr>
          <w:rFonts w:ascii="Verdana" w:hAnsi="Verdana" w:cs="Times New Roman"/>
          <w:sz w:val="16"/>
          <w:szCs w:val="16"/>
        </w:rPr>
        <w:t xml:space="preserve"> December 2015</w:t>
      </w:r>
      <w:r w:rsidR="00372FEF" w:rsidRPr="002E69A0">
        <w:rPr>
          <w:rFonts w:ascii="Verdana" w:hAnsi="Verdana" w:cs="Times New Roman"/>
          <w:sz w:val="16"/>
          <w:szCs w:val="16"/>
        </w:rPr>
        <w:t>,</w:t>
      </w:r>
      <w:r w:rsidRPr="002E69A0">
        <w:rPr>
          <w:rFonts w:ascii="Verdana" w:hAnsi="Verdana" w:cs="Times New Roman"/>
          <w:sz w:val="16"/>
          <w:szCs w:val="16"/>
        </w:rPr>
        <w:t xml:space="preserve"> see p 9   </w:t>
      </w:r>
    </w:p>
  </w:footnote>
  <w:footnote w:id="37">
    <w:p w:rsidR="00AE5335" w:rsidRPr="002E69A0" w:rsidRDefault="00AB274D" w:rsidP="00CA40B4">
      <w:pPr>
        <w:pStyle w:val="NoSpacing"/>
        <w:rPr>
          <w:rFonts w:ascii="Verdana" w:hAnsi="Verdana" w:cs="Times New Roman"/>
          <w:sz w:val="16"/>
          <w:szCs w:val="16"/>
        </w:rPr>
      </w:pPr>
      <w:r w:rsidRPr="002E69A0">
        <w:rPr>
          <w:rStyle w:val="FootnoteReference"/>
          <w:rFonts w:ascii="Verdana" w:hAnsi="Verdana" w:cs="Times New Roman"/>
          <w:sz w:val="16"/>
          <w:szCs w:val="16"/>
        </w:rPr>
        <w:footnoteRef/>
      </w:r>
      <w:r w:rsidRPr="002E69A0">
        <w:rPr>
          <w:rFonts w:ascii="Verdana" w:hAnsi="Verdana" w:cs="Times New Roman"/>
          <w:sz w:val="16"/>
          <w:szCs w:val="16"/>
        </w:rPr>
        <w:t xml:space="preserve"> </w:t>
      </w:r>
      <w:r w:rsidR="00AE5335" w:rsidRPr="002E69A0">
        <w:rPr>
          <w:rFonts w:ascii="Verdana" w:hAnsi="Verdana" w:cs="Times New Roman"/>
          <w:sz w:val="16"/>
          <w:szCs w:val="16"/>
        </w:rPr>
        <w:t xml:space="preserve">Prisoner Ombudsman for Northern Ireland ‘Annual Report 2014-15’ 2015  </w:t>
      </w:r>
    </w:p>
    <w:p w:rsidR="00AB274D" w:rsidRPr="002E69A0" w:rsidRDefault="00045C4C" w:rsidP="00CA40B4">
      <w:pPr>
        <w:pStyle w:val="NoSpacing"/>
        <w:rPr>
          <w:rFonts w:ascii="Verdana" w:hAnsi="Verdana" w:cs="Times New Roman"/>
          <w:sz w:val="16"/>
          <w:szCs w:val="16"/>
        </w:rPr>
      </w:pPr>
      <w:hyperlink r:id="rId2" w:history="1">
        <w:r w:rsidR="00AE5335" w:rsidRPr="002E69A0">
          <w:rPr>
            <w:rStyle w:val="Hyperlink"/>
            <w:rFonts w:ascii="Verdana" w:hAnsi="Verdana" w:cs="Times New Roman"/>
            <w:sz w:val="16"/>
            <w:szCs w:val="16"/>
          </w:rPr>
          <w:t>http://www.niprisonerombudsman.gov.uk/publications/Annual_Report_2014-15.pdf</w:t>
        </w:r>
      </w:hyperlink>
      <w:r w:rsidR="00AE5335" w:rsidRPr="002E69A0">
        <w:rPr>
          <w:rFonts w:ascii="Verdana" w:hAnsi="Verdana" w:cs="Times New Roman"/>
          <w:sz w:val="16"/>
          <w:szCs w:val="16"/>
        </w:rPr>
        <w:t xml:space="preserve"> </w:t>
      </w:r>
    </w:p>
  </w:footnote>
  <w:footnote w:id="38">
    <w:p w:rsidR="00FD7706" w:rsidRPr="002E69A0" w:rsidRDefault="00FD7706" w:rsidP="00120078">
      <w:pPr>
        <w:pStyle w:val="NoSpacing"/>
        <w:rPr>
          <w:rFonts w:ascii="Verdana" w:hAnsi="Verdana"/>
          <w:sz w:val="16"/>
          <w:szCs w:val="16"/>
        </w:rPr>
      </w:pPr>
      <w:r w:rsidRPr="002E69A0">
        <w:rPr>
          <w:rStyle w:val="FootnoteReference"/>
          <w:rFonts w:ascii="Verdana" w:hAnsi="Verdana"/>
          <w:sz w:val="16"/>
          <w:szCs w:val="16"/>
        </w:rPr>
        <w:footnoteRef/>
      </w:r>
      <w:r w:rsidRPr="002E69A0">
        <w:rPr>
          <w:rFonts w:ascii="Verdana" w:hAnsi="Verdana"/>
          <w:sz w:val="16"/>
          <w:szCs w:val="16"/>
        </w:rPr>
        <w:t xml:space="preserve"> </w:t>
      </w:r>
      <w:proofErr w:type="spellStart"/>
      <w:r w:rsidRPr="002E69A0">
        <w:rPr>
          <w:rFonts w:ascii="Verdana" w:hAnsi="Verdana" w:cs="Times New Roman"/>
          <w:sz w:val="16"/>
          <w:szCs w:val="16"/>
        </w:rPr>
        <w:t>CoE</w:t>
      </w:r>
      <w:proofErr w:type="spellEnd"/>
      <w:r w:rsidRPr="002E69A0">
        <w:rPr>
          <w:rFonts w:ascii="Verdana" w:hAnsi="Verdana" w:cs="Times New Roman"/>
          <w:sz w:val="16"/>
          <w:szCs w:val="16"/>
        </w:rPr>
        <w:t xml:space="preserve"> Committee of Ministers recommendation R(98)7, ‘Recommendation of the Committee of Ministers to Member States Concerning the Ethical and Organisational Aspects of Health Care in Prison’, 8 April 1998, para 12</w:t>
      </w:r>
    </w:p>
  </w:footnote>
  <w:footnote w:id="39">
    <w:p w:rsidR="00BF681D" w:rsidRPr="00776CEB" w:rsidRDefault="00BF681D">
      <w:pPr>
        <w:pStyle w:val="FootnoteText"/>
        <w:rPr>
          <w:rFonts w:ascii="Verdana" w:hAnsi="Verdana"/>
          <w:sz w:val="16"/>
          <w:szCs w:val="16"/>
          <w:lang w:val="en-GB"/>
        </w:rPr>
      </w:pPr>
      <w:r w:rsidRPr="00776CEB">
        <w:rPr>
          <w:rStyle w:val="FootnoteReference"/>
          <w:rFonts w:ascii="Verdana" w:hAnsi="Verdana"/>
          <w:sz w:val="16"/>
          <w:szCs w:val="16"/>
        </w:rPr>
        <w:footnoteRef/>
      </w:r>
      <w:r w:rsidRPr="00776CEB">
        <w:rPr>
          <w:rFonts w:ascii="Verdana" w:hAnsi="Verdana"/>
          <w:sz w:val="16"/>
          <w:szCs w:val="16"/>
        </w:rPr>
        <w:t xml:space="preserve"> </w:t>
      </w:r>
      <w:r w:rsidRPr="00776CEB">
        <w:rPr>
          <w:rFonts w:ascii="Verdana" w:hAnsi="Verdana"/>
          <w:sz w:val="16"/>
          <w:szCs w:val="16"/>
          <w:lang w:val="en-GB"/>
        </w:rPr>
        <w:t xml:space="preserve">Shelley v UK </w:t>
      </w:r>
      <w:r w:rsidRPr="00776CEB">
        <w:rPr>
          <w:rFonts w:ascii="Verdana" w:hAnsi="Verdana"/>
          <w:sz w:val="16"/>
          <w:szCs w:val="16"/>
        </w:rPr>
        <w:t>Application no. 23800/06</w:t>
      </w:r>
      <w:r w:rsidR="00FD0667" w:rsidRPr="00776CEB">
        <w:rPr>
          <w:rFonts w:ascii="Verdana" w:hAnsi="Verdana"/>
          <w:sz w:val="16"/>
          <w:szCs w:val="16"/>
          <w:lang w:val="en-GB"/>
        </w:rPr>
        <w:t xml:space="preserve"> 2008 </w:t>
      </w:r>
    </w:p>
  </w:footnote>
  <w:footnote w:id="40">
    <w:p w:rsidR="00FD0667" w:rsidRPr="00776CEB" w:rsidRDefault="00FD0667">
      <w:pPr>
        <w:pStyle w:val="FootnoteText"/>
        <w:rPr>
          <w:rFonts w:ascii="Verdana" w:hAnsi="Verdana"/>
          <w:sz w:val="16"/>
          <w:szCs w:val="16"/>
          <w:lang w:val="en-GB"/>
        </w:rPr>
      </w:pPr>
      <w:r w:rsidRPr="00776CEB">
        <w:rPr>
          <w:rStyle w:val="FootnoteReference"/>
          <w:rFonts w:ascii="Verdana" w:hAnsi="Verdana"/>
          <w:sz w:val="16"/>
          <w:szCs w:val="16"/>
        </w:rPr>
        <w:footnoteRef/>
      </w:r>
      <w:r w:rsidRPr="00776CEB">
        <w:rPr>
          <w:rFonts w:ascii="Verdana" w:hAnsi="Verdana"/>
          <w:sz w:val="16"/>
          <w:szCs w:val="16"/>
        </w:rPr>
        <w:t xml:space="preserve"> </w:t>
      </w:r>
      <w:r w:rsidRPr="00776CEB">
        <w:rPr>
          <w:rFonts w:ascii="Verdana" w:hAnsi="Verdana"/>
          <w:sz w:val="16"/>
          <w:szCs w:val="16"/>
          <w:lang w:val="en-GB"/>
        </w:rPr>
        <w:t>See Nada v Switzerland Application no. 10593/08 2012 para 151</w:t>
      </w:r>
    </w:p>
  </w:footnote>
  <w:footnote w:id="41">
    <w:p w:rsidR="00776CEB" w:rsidRPr="00776CEB" w:rsidRDefault="00FD0667" w:rsidP="00776CEB">
      <w:pPr>
        <w:pStyle w:val="NoSpacing"/>
        <w:rPr>
          <w:rFonts w:ascii="Verdana" w:hAnsi="Verdana"/>
          <w:sz w:val="16"/>
          <w:szCs w:val="16"/>
        </w:rPr>
      </w:pPr>
      <w:r w:rsidRPr="00776CEB">
        <w:rPr>
          <w:rStyle w:val="FootnoteReference"/>
          <w:rFonts w:ascii="Verdana" w:hAnsi="Verdana"/>
          <w:sz w:val="16"/>
          <w:szCs w:val="16"/>
        </w:rPr>
        <w:footnoteRef/>
      </w:r>
      <w:r w:rsidRPr="00776CEB">
        <w:rPr>
          <w:rFonts w:ascii="Verdana" w:hAnsi="Verdana"/>
          <w:sz w:val="16"/>
          <w:szCs w:val="16"/>
        </w:rPr>
        <w:t xml:space="preserve"> Shelley v UK Application no. 23800/06 2008 </w:t>
      </w:r>
      <w:r w:rsidR="00776CEB" w:rsidRPr="00776CEB">
        <w:rPr>
          <w:rFonts w:ascii="Verdana" w:hAnsi="Verdana"/>
          <w:sz w:val="16"/>
          <w:szCs w:val="16"/>
        </w:rPr>
        <w:t xml:space="preserve">See further </w:t>
      </w:r>
      <w:r w:rsidR="00776CEB" w:rsidRPr="00776CEB">
        <w:rPr>
          <w:rFonts w:ascii="Verdana" w:hAnsi="Verdana"/>
          <w:sz w:val="16"/>
          <w:szCs w:val="16"/>
        </w:rPr>
        <w:t xml:space="preserve">The Committee for the Prevention of Torture has </w:t>
      </w:r>
    </w:p>
    <w:p w:rsidR="00776CEB" w:rsidRPr="00776CEB" w:rsidRDefault="00776CEB" w:rsidP="00776CEB">
      <w:pPr>
        <w:pStyle w:val="NoSpacing"/>
        <w:rPr>
          <w:rFonts w:ascii="Verdana" w:hAnsi="Verdana"/>
          <w:sz w:val="16"/>
          <w:szCs w:val="16"/>
        </w:rPr>
      </w:pPr>
      <w:r w:rsidRPr="00776CEB">
        <w:rPr>
          <w:rFonts w:ascii="Verdana" w:hAnsi="Verdana"/>
          <w:sz w:val="16"/>
          <w:szCs w:val="16"/>
        </w:rPr>
        <w:t xml:space="preserve">set out in its general standards the following approach to medical services in prison (Chapter III Health Care </w:t>
      </w:r>
    </w:p>
    <w:p w:rsidR="00776CEB" w:rsidRPr="00776CEB" w:rsidRDefault="00776CEB" w:rsidP="00776CEB">
      <w:pPr>
        <w:pStyle w:val="NoSpacing"/>
        <w:rPr>
          <w:rFonts w:ascii="Verdana" w:hAnsi="Verdana"/>
          <w:sz w:val="16"/>
          <w:szCs w:val="16"/>
        </w:rPr>
      </w:pPr>
      <w:r w:rsidRPr="00776CEB">
        <w:rPr>
          <w:rFonts w:ascii="Verdana" w:hAnsi="Verdana"/>
          <w:sz w:val="16"/>
          <w:szCs w:val="16"/>
        </w:rPr>
        <w:t>Services in Prison):</w:t>
      </w:r>
      <w:r w:rsidRPr="00776CEB">
        <w:rPr>
          <w:rFonts w:ascii="Verdana" w:hAnsi="Verdana"/>
          <w:sz w:val="16"/>
          <w:szCs w:val="16"/>
        </w:rPr>
        <w:t xml:space="preserve">52. The task of prison health care services should not be limited to treating sick patients. </w:t>
      </w:r>
    </w:p>
    <w:p w:rsidR="00FD0667" w:rsidRPr="00FD0667" w:rsidRDefault="00776CEB" w:rsidP="00776CEB">
      <w:pPr>
        <w:pStyle w:val="NoSpacing"/>
      </w:pPr>
      <w:r w:rsidRPr="00776CEB">
        <w:rPr>
          <w:rFonts w:ascii="Verdana" w:hAnsi="Verdana"/>
          <w:sz w:val="16"/>
          <w:szCs w:val="16"/>
        </w:rPr>
        <w:t xml:space="preserve">They should also be entrusted with responsibility for </w:t>
      </w:r>
      <w:r w:rsidRPr="00776CEB">
        <w:rPr>
          <w:rFonts w:ascii="Verdana" w:hAnsi="Verdana"/>
          <w:sz w:val="16"/>
          <w:szCs w:val="16"/>
        </w:rPr>
        <w:t>social and preventive medicine.</w:t>
      </w:r>
    </w:p>
  </w:footnote>
  <w:footnote w:id="42">
    <w:p w:rsidR="00AE5335" w:rsidRPr="002E69A0" w:rsidRDefault="001C054D" w:rsidP="00CA40B4">
      <w:pPr>
        <w:pStyle w:val="NoSpacing"/>
        <w:rPr>
          <w:rFonts w:ascii="Verdana" w:hAnsi="Verdana" w:cs="Times New Roman"/>
          <w:sz w:val="16"/>
          <w:szCs w:val="16"/>
        </w:rPr>
      </w:pPr>
      <w:r w:rsidRPr="002E69A0">
        <w:rPr>
          <w:rStyle w:val="FootnoteReference"/>
          <w:rFonts w:ascii="Verdana" w:hAnsi="Verdana" w:cs="Times New Roman"/>
          <w:sz w:val="16"/>
          <w:szCs w:val="16"/>
        </w:rPr>
        <w:footnoteRef/>
      </w:r>
      <w:r w:rsidRPr="002E69A0">
        <w:rPr>
          <w:rFonts w:ascii="Verdana" w:hAnsi="Verdana" w:cs="Times New Roman"/>
          <w:sz w:val="16"/>
          <w:szCs w:val="16"/>
        </w:rPr>
        <w:t xml:space="preserve"> National Preventative Mechanism ‘ Report on announced inspection of Ash House, </w:t>
      </w:r>
      <w:proofErr w:type="spellStart"/>
      <w:r w:rsidRPr="002E69A0">
        <w:rPr>
          <w:rFonts w:ascii="Verdana" w:hAnsi="Verdana" w:cs="Times New Roman"/>
          <w:sz w:val="16"/>
          <w:szCs w:val="16"/>
        </w:rPr>
        <w:t>Hydebank</w:t>
      </w:r>
      <w:proofErr w:type="spellEnd"/>
      <w:r w:rsidRPr="002E69A0">
        <w:rPr>
          <w:rFonts w:ascii="Verdana" w:hAnsi="Verdana" w:cs="Times New Roman"/>
          <w:sz w:val="16"/>
          <w:szCs w:val="16"/>
        </w:rPr>
        <w:t xml:space="preserve"> Wood </w:t>
      </w:r>
    </w:p>
    <w:p w:rsidR="00AE5335" w:rsidRPr="002E69A0" w:rsidRDefault="001C054D" w:rsidP="00CA40B4">
      <w:pPr>
        <w:pStyle w:val="NoSpacing"/>
        <w:rPr>
          <w:rFonts w:ascii="Verdana" w:hAnsi="Verdana" w:cs="Times New Roman"/>
          <w:sz w:val="16"/>
          <w:szCs w:val="16"/>
        </w:rPr>
      </w:pPr>
      <w:proofErr w:type="gramStart"/>
      <w:r w:rsidRPr="002E69A0">
        <w:rPr>
          <w:rFonts w:ascii="Verdana" w:hAnsi="Verdana" w:cs="Times New Roman"/>
          <w:sz w:val="16"/>
          <w:szCs w:val="16"/>
        </w:rPr>
        <w:t>Women’s Prison 18 – 22 February’ October 2013.</w:t>
      </w:r>
      <w:proofErr w:type="gramEnd"/>
      <w:r w:rsidRPr="002E69A0">
        <w:rPr>
          <w:rFonts w:ascii="Verdana" w:hAnsi="Verdana" w:cs="Times New Roman"/>
          <w:sz w:val="16"/>
          <w:szCs w:val="16"/>
        </w:rPr>
        <w:t xml:space="preserve">  20 statutory bodies make up the UK National Preventive </w:t>
      </w:r>
    </w:p>
    <w:p w:rsidR="00AE5335" w:rsidRPr="002E69A0" w:rsidRDefault="001C054D" w:rsidP="00CA40B4">
      <w:pPr>
        <w:pStyle w:val="NoSpacing"/>
        <w:rPr>
          <w:rFonts w:ascii="Verdana" w:hAnsi="Verdana" w:cs="Times New Roman"/>
          <w:sz w:val="16"/>
          <w:szCs w:val="16"/>
        </w:rPr>
      </w:pPr>
      <w:r w:rsidRPr="002E69A0">
        <w:rPr>
          <w:rFonts w:ascii="Verdana" w:hAnsi="Verdana" w:cs="Times New Roman"/>
          <w:sz w:val="16"/>
          <w:szCs w:val="16"/>
        </w:rPr>
        <w:t xml:space="preserve">Mechanism of specific reference to Northern Ireland the Criminal Justice Inspector NI, the Independent </w:t>
      </w:r>
    </w:p>
    <w:p w:rsidR="00AE5335" w:rsidRPr="002E69A0" w:rsidRDefault="001C054D" w:rsidP="00CA40B4">
      <w:pPr>
        <w:pStyle w:val="NoSpacing"/>
        <w:rPr>
          <w:rFonts w:ascii="Verdana" w:hAnsi="Verdana" w:cs="Times New Roman"/>
          <w:sz w:val="16"/>
          <w:szCs w:val="16"/>
        </w:rPr>
      </w:pPr>
      <w:r w:rsidRPr="002E69A0">
        <w:rPr>
          <w:rFonts w:ascii="Verdana" w:hAnsi="Verdana" w:cs="Times New Roman"/>
          <w:sz w:val="16"/>
          <w:szCs w:val="16"/>
        </w:rPr>
        <w:t xml:space="preserve">Monitoring Board (NI), the Regulation and Quality Improvement Authority and the Northern Ireland </w:t>
      </w:r>
    </w:p>
    <w:p w:rsidR="001C054D" w:rsidRPr="002E69A0" w:rsidRDefault="001C054D" w:rsidP="00CA40B4">
      <w:pPr>
        <w:pStyle w:val="NoSpacing"/>
        <w:rPr>
          <w:rFonts w:ascii="Verdana" w:hAnsi="Verdana" w:cs="Times New Roman"/>
          <w:sz w:val="16"/>
          <w:szCs w:val="16"/>
        </w:rPr>
      </w:pPr>
      <w:r w:rsidRPr="002E69A0">
        <w:rPr>
          <w:rFonts w:ascii="Verdana" w:hAnsi="Verdana" w:cs="Times New Roman"/>
          <w:sz w:val="16"/>
          <w:szCs w:val="16"/>
        </w:rPr>
        <w:t>Policing Board Independent Custody Visiting Scheme are included in the list of bodies.</w:t>
      </w:r>
    </w:p>
  </w:footnote>
  <w:footnote w:id="43">
    <w:p w:rsidR="001C054D" w:rsidRPr="002E69A0" w:rsidRDefault="001C054D" w:rsidP="00CA40B4">
      <w:pPr>
        <w:pStyle w:val="NoSpacing"/>
        <w:rPr>
          <w:rFonts w:ascii="Verdana" w:hAnsi="Verdana" w:cs="Times New Roman"/>
          <w:color w:val="000000"/>
          <w:sz w:val="16"/>
          <w:szCs w:val="16"/>
        </w:rPr>
      </w:pPr>
      <w:r w:rsidRPr="002E69A0">
        <w:rPr>
          <w:rStyle w:val="FootnoteReference"/>
          <w:rFonts w:ascii="Verdana" w:hAnsi="Verdana" w:cs="Times New Roman"/>
          <w:sz w:val="16"/>
          <w:szCs w:val="16"/>
        </w:rPr>
        <w:footnoteRef/>
      </w:r>
      <w:r w:rsidRPr="002E69A0">
        <w:rPr>
          <w:rFonts w:ascii="Verdana" w:hAnsi="Verdana" w:cs="Times New Roman"/>
          <w:sz w:val="16"/>
          <w:szCs w:val="16"/>
        </w:rPr>
        <w:t xml:space="preserve"> </w:t>
      </w:r>
      <w:r w:rsidRPr="002E69A0">
        <w:rPr>
          <w:rFonts w:ascii="Verdana" w:hAnsi="Verdana" w:cs="Times New Roman"/>
          <w:color w:val="000000"/>
          <w:sz w:val="16"/>
          <w:szCs w:val="16"/>
        </w:rPr>
        <w:t xml:space="preserve">AQO 5401/11-15 Ms Michaela Boyle (SF - West Tyrone) 16/01/2014 </w:t>
      </w:r>
    </w:p>
    <w:p w:rsidR="001C054D" w:rsidRPr="002E69A0" w:rsidRDefault="001C054D" w:rsidP="00CA40B4">
      <w:pPr>
        <w:pStyle w:val="NoSpacing"/>
        <w:rPr>
          <w:rFonts w:ascii="Verdana" w:hAnsi="Verdana" w:cs="Times New Roman"/>
          <w:sz w:val="16"/>
          <w:szCs w:val="16"/>
        </w:rPr>
      </w:pPr>
      <w:r w:rsidRPr="002E69A0">
        <w:rPr>
          <w:rFonts w:ascii="Verdana" w:hAnsi="Verdana" w:cs="Times New Roman"/>
          <w:color w:val="000000"/>
          <w:sz w:val="16"/>
          <w:szCs w:val="16"/>
        </w:rPr>
        <w:t xml:space="preserve">AQO 6690/11-15 Ms Bronwyn </w:t>
      </w:r>
      <w:proofErr w:type="spellStart"/>
      <w:r w:rsidRPr="002E69A0">
        <w:rPr>
          <w:rFonts w:ascii="Verdana" w:hAnsi="Verdana" w:cs="Times New Roman"/>
          <w:color w:val="000000"/>
          <w:sz w:val="16"/>
          <w:szCs w:val="16"/>
        </w:rPr>
        <w:t>McGahan</w:t>
      </w:r>
      <w:proofErr w:type="spellEnd"/>
      <w:r w:rsidRPr="002E69A0">
        <w:rPr>
          <w:rFonts w:ascii="Verdana" w:hAnsi="Verdana" w:cs="Times New Roman"/>
          <w:color w:val="000000"/>
          <w:sz w:val="16"/>
          <w:szCs w:val="16"/>
        </w:rPr>
        <w:t xml:space="preserve"> (SF - Fermanagh and South Tyrone) 18/09/2014  </w:t>
      </w:r>
      <w:r w:rsidR="004905E2" w:rsidRPr="002E69A0">
        <w:rPr>
          <w:rFonts w:ascii="Verdana" w:hAnsi="Verdana" w:cs="Times New Roman"/>
          <w:color w:val="000000"/>
          <w:sz w:val="16"/>
          <w:szCs w:val="16"/>
        </w:rPr>
        <w:t xml:space="preserve"> </w:t>
      </w:r>
      <w:proofErr w:type="gramStart"/>
      <w:r w:rsidR="004905E2" w:rsidRPr="002E69A0">
        <w:rPr>
          <w:rFonts w:ascii="Verdana" w:hAnsi="Verdana" w:cs="Times New Roman"/>
          <w:color w:val="000000"/>
          <w:sz w:val="16"/>
          <w:szCs w:val="16"/>
        </w:rPr>
        <w:t>In</w:t>
      </w:r>
      <w:proofErr w:type="gramEnd"/>
      <w:r w:rsidR="004905E2" w:rsidRPr="002E69A0">
        <w:rPr>
          <w:rFonts w:ascii="Verdana" w:hAnsi="Verdana" w:cs="Times New Roman"/>
          <w:color w:val="000000"/>
          <w:sz w:val="16"/>
          <w:szCs w:val="16"/>
        </w:rPr>
        <w:t xml:space="preserve"> 2014 the then Minister updated the NI Assembly following approval of the Strategic Outline Case by the DFP. NI Prison Service officials were in the process of appointing an Integrated Design Team, to progress the project through the business case, exemplar design and procurement processes that would lead to the construction and handover of the new facility.</w:t>
      </w:r>
    </w:p>
  </w:footnote>
  <w:footnote w:id="44">
    <w:p w:rsidR="001C054D" w:rsidRPr="002E69A0" w:rsidRDefault="001C054D" w:rsidP="00CA40B4">
      <w:pPr>
        <w:pStyle w:val="NoSpacing"/>
        <w:rPr>
          <w:rFonts w:ascii="Verdana" w:hAnsi="Verdana" w:cs="Times New Roman"/>
          <w:sz w:val="16"/>
          <w:szCs w:val="16"/>
        </w:rPr>
      </w:pPr>
      <w:r w:rsidRPr="002E69A0">
        <w:rPr>
          <w:rStyle w:val="FootnoteReference"/>
          <w:rFonts w:ascii="Verdana" w:hAnsi="Verdana" w:cs="Times New Roman"/>
          <w:sz w:val="16"/>
          <w:szCs w:val="16"/>
        </w:rPr>
        <w:footnoteRef/>
      </w:r>
      <w:r w:rsidRPr="002E69A0">
        <w:rPr>
          <w:rFonts w:ascii="Verdana" w:hAnsi="Verdana" w:cs="Times New Roman"/>
          <w:sz w:val="16"/>
          <w:szCs w:val="16"/>
        </w:rPr>
        <w:t xml:space="preserve"> AQO 7610/11-15</w:t>
      </w:r>
    </w:p>
  </w:footnote>
  <w:footnote w:id="45">
    <w:p w:rsidR="00E6148B" w:rsidRPr="002E69A0" w:rsidRDefault="00E6148B" w:rsidP="00E6148B">
      <w:pPr>
        <w:pStyle w:val="NoSpacing"/>
        <w:rPr>
          <w:rFonts w:ascii="Verdana" w:hAnsi="Verdana" w:cs="Times New Roman"/>
          <w:sz w:val="16"/>
          <w:szCs w:val="16"/>
        </w:rPr>
      </w:pPr>
      <w:r w:rsidRPr="002E69A0">
        <w:rPr>
          <w:rStyle w:val="FootnoteReference"/>
          <w:rFonts w:ascii="Verdana" w:hAnsi="Verdana" w:cs="Times New Roman"/>
          <w:sz w:val="16"/>
          <w:szCs w:val="16"/>
        </w:rPr>
        <w:footnoteRef/>
      </w:r>
      <w:r w:rsidRPr="002E69A0">
        <w:rPr>
          <w:rFonts w:ascii="Verdana" w:hAnsi="Verdana" w:cs="Times New Roman"/>
          <w:sz w:val="16"/>
          <w:szCs w:val="16"/>
        </w:rPr>
        <w:t xml:space="preserve"> </w:t>
      </w:r>
      <w:proofErr w:type="gramStart"/>
      <w:r w:rsidRPr="002E69A0">
        <w:rPr>
          <w:rFonts w:ascii="Verdana" w:hAnsi="Verdana" w:cs="Times New Roman"/>
          <w:sz w:val="16"/>
          <w:szCs w:val="16"/>
        </w:rPr>
        <w:t>UN General Assembly resolution 70/175, ‘United Nations Standard Minimum Rules for the Treatment of Prisoners (‘the Nelson Mandela Rules’)’, UN doc.</w:t>
      </w:r>
      <w:proofErr w:type="gramEnd"/>
      <w:r w:rsidRPr="002E69A0">
        <w:rPr>
          <w:rFonts w:ascii="Verdana" w:hAnsi="Verdana" w:cs="Times New Roman"/>
          <w:sz w:val="16"/>
          <w:szCs w:val="16"/>
        </w:rPr>
        <w:t xml:space="preserve"> A/RES/70/175, 8 January 2016, rule 5.2</w:t>
      </w:r>
    </w:p>
  </w:footnote>
  <w:footnote w:id="46">
    <w:p w:rsidR="00AE5335" w:rsidRPr="002E69A0" w:rsidRDefault="00BC7A23" w:rsidP="00CA40B4">
      <w:pPr>
        <w:pStyle w:val="NoSpacing"/>
        <w:rPr>
          <w:rFonts w:ascii="Verdana" w:hAnsi="Verdana" w:cs="Times New Roman"/>
          <w:sz w:val="16"/>
          <w:szCs w:val="16"/>
        </w:rPr>
      </w:pPr>
      <w:r w:rsidRPr="002E69A0">
        <w:rPr>
          <w:rStyle w:val="FootnoteReference"/>
          <w:rFonts w:ascii="Verdana" w:hAnsi="Verdana" w:cs="Times New Roman"/>
          <w:sz w:val="16"/>
          <w:szCs w:val="16"/>
        </w:rPr>
        <w:footnoteRef/>
      </w:r>
      <w:r w:rsidRPr="002E69A0">
        <w:rPr>
          <w:rFonts w:ascii="Verdana" w:hAnsi="Verdana" w:cs="Times New Roman"/>
          <w:sz w:val="16"/>
          <w:szCs w:val="16"/>
        </w:rPr>
        <w:t xml:space="preserve"> Implementation should follow within the 5 year lifespan of the Strategy subject to business case, necessary </w:t>
      </w:r>
    </w:p>
    <w:p w:rsidR="00BC7A23" w:rsidRPr="002E69A0" w:rsidRDefault="00BC7A23" w:rsidP="00CA40B4">
      <w:pPr>
        <w:pStyle w:val="NoSpacing"/>
        <w:rPr>
          <w:rFonts w:ascii="Verdana" w:hAnsi="Verdana" w:cs="Times New Roman"/>
          <w:sz w:val="16"/>
          <w:szCs w:val="16"/>
        </w:rPr>
      </w:pPr>
      <w:proofErr w:type="gramStart"/>
      <w:r w:rsidRPr="002E69A0">
        <w:rPr>
          <w:rFonts w:ascii="Verdana" w:hAnsi="Verdana" w:cs="Times New Roman"/>
          <w:sz w:val="16"/>
          <w:szCs w:val="16"/>
        </w:rPr>
        <w:t>approvals</w:t>
      </w:r>
      <w:proofErr w:type="gramEnd"/>
      <w:r w:rsidRPr="002E69A0">
        <w:rPr>
          <w:rFonts w:ascii="Verdana" w:hAnsi="Verdana" w:cs="Times New Roman"/>
          <w:sz w:val="16"/>
          <w:szCs w:val="16"/>
        </w:rPr>
        <w:t xml:space="preserve"> and securing additional funding.</w:t>
      </w:r>
    </w:p>
  </w:footnote>
  <w:footnote w:id="47">
    <w:p w:rsidR="00522444" w:rsidRPr="002E69A0" w:rsidRDefault="008749E4" w:rsidP="00CA40B4">
      <w:pPr>
        <w:pStyle w:val="NoSpacing"/>
        <w:rPr>
          <w:rFonts w:ascii="Verdana" w:hAnsi="Verdana" w:cs="Times New Roman"/>
          <w:sz w:val="16"/>
          <w:szCs w:val="16"/>
        </w:rPr>
      </w:pPr>
      <w:r w:rsidRPr="002E69A0">
        <w:rPr>
          <w:rStyle w:val="FootnoteReference"/>
          <w:rFonts w:ascii="Verdana" w:hAnsi="Verdana" w:cs="Times New Roman"/>
          <w:sz w:val="16"/>
          <w:szCs w:val="16"/>
        </w:rPr>
        <w:footnoteRef/>
      </w:r>
      <w:r w:rsidRPr="002E69A0">
        <w:rPr>
          <w:rFonts w:ascii="Verdana" w:hAnsi="Verdana" w:cs="Times New Roman"/>
          <w:sz w:val="16"/>
          <w:szCs w:val="16"/>
        </w:rPr>
        <w:t xml:space="preserve"> Inspection report into conditions at </w:t>
      </w:r>
      <w:proofErr w:type="spellStart"/>
      <w:r w:rsidRPr="002E69A0">
        <w:rPr>
          <w:rFonts w:ascii="Verdana" w:hAnsi="Verdana" w:cs="Times New Roman"/>
          <w:sz w:val="16"/>
          <w:szCs w:val="16"/>
        </w:rPr>
        <w:t>Maghaberry</w:t>
      </w:r>
      <w:proofErr w:type="spellEnd"/>
      <w:r w:rsidRPr="002E69A0">
        <w:rPr>
          <w:rFonts w:ascii="Verdana" w:hAnsi="Verdana" w:cs="Times New Roman"/>
          <w:sz w:val="16"/>
          <w:szCs w:val="16"/>
        </w:rPr>
        <w:t xml:space="preserve"> 2016) Regulation and Quality Improvement Authority, </w:t>
      </w:r>
    </w:p>
    <w:p w:rsidR="00522444" w:rsidRPr="002E69A0" w:rsidRDefault="008749E4" w:rsidP="00CA40B4">
      <w:pPr>
        <w:pStyle w:val="NoSpacing"/>
        <w:rPr>
          <w:rFonts w:ascii="Verdana" w:hAnsi="Verdana" w:cs="Times New Roman"/>
          <w:sz w:val="16"/>
          <w:szCs w:val="16"/>
        </w:rPr>
      </w:pPr>
      <w:r w:rsidRPr="002E69A0">
        <w:rPr>
          <w:rFonts w:ascii="Verdana" w:hAnsi="Verdana" w:cs="Times New Roman"/>
          <w:sz w:val="16"/>
          <w:szCs w:val="16"/>
        </w:rPr>
        <w:t xml:space="preserve">‘Overview of initial findings of a report on an announced inspection of </w:t>
      </w:r>
      <w:proofErr w:type="spellStart"/>
      <w:r w:rsidRPr="002E69A0">
        <w:rPr>
          <w:rFonts w:ascii="Verdana" w:hAnsi="Verdana" w:cs="Times New Roman"/>
          <w:sz w:val="16"/>
          <w:szCs w:val="16"/>
        </w:rPr>
        <w:t>Maghaberry</w:t>
      </w:r>
      <w:proofErr w:type="spellEnd"/>
      <w:r w:rsidRPr="002E69A0">
        <w:rPr>
          <w:rFonts w:ascii="Verdana" w:hAnsi="Verdana" w:cs="Times New Roman"/>
          <w:sz w:val="16"/>
          <w:szCs w:val="16"/>
        </w:rPr>
        <w:t xml:space="preserve"> Prison, 4-15 January </w:t>
      </w:r>
    </w:p>
    <w:p w:rsidR="00522444" w:rsidRPr="002E69A0" w:rsidRDefault="008749E4" w:rsidP="00CA40B4">
      <w:pPr>
        <w:pStyle w:val="NoSpacing"/>
        <w:rPr>
          <w:rFonts w:ascii="Verdana" w:hAnsi="Verdana" w:cs="Times New Roman"/>
          <w:sz w:val="16"/>
          <w:szCs w:val="16"/>
        </w:rPr>
      </w:pPr>
      <w:r w:rsidRPr="002E69A0">
        <w:rPr>
          <w:rFonts w:ascii="Verdana" w:hAnsi="Verdana" w:cs="Times New Roman"/>
          <w:sz w:val="16"/>
          <w:szCs w:val="16"/>
        </w:rPr>
        <w:t>2016</w:t>
      </w:r>
      <w:r w:rsidR="00522444" w:rsidRPr="002E69A0">
        <w:rPr>
          <w:rFonts w:ascii="Verdana" w:hAnsi="Verdana" w:cs="Times New Roman"/>
          <w:sz w:val="16"/>
          <w:szCs w:val="16"/>
        </w:rPr>
        <w:t>’, February 2016, available at:</w:t>
      </w:r>
    </w:p>
    <w:p w:rsidR="008749E4" w:rsidRPr="002E69A0" w:rsidRDefault="00045C4C" w:rsidP="00CA40B4">
      <w:pPr>
        <w:pStyle w:val="NoSpacing"/>
        <w:rPr>
          <w:rFonts w:ascii="Verdana" w:hAnsi="Verdana" w:cs="Times New Roman"/>
          <w:sz w:val="16"/>
          <w:szCs w:val="16"/>
        </w:rPr>
      </w:pPr>
      <w:hyperlink r:id="rId3" w:history="1">
        <w:r w:rsidR="00522444" w:rsidRPr="002E69A0">
          <w:rPr>
            <w:rStyle w:val="Hyperlink"/>
            <w:rFonts w:ascii="Verdana" w:hAnsi="Verdana" w:cs="Times New Roman"/>
            <w:sz w:val="16"/>
            <w:szCs w:val="16"/>
          </w:rPr>
          <w:t>http://www.rqia.org.uk/cms_resources/Maghaberry%20Prison%20report%20%28web%29%2017.02.16.pdf</w:t>
        </w:r>
      </w:hyperlink>
      <w:r w:rsidR="00522444" w:rsidRPr="002E69A0">
        <w:rPr>
          <w:rFonts w:ascii="Verdana" w:hAnsi="Verdana" w:cs="Times New Roman"/>
          <w:sz w:val="16"/>
          <w:szCs w:val="16"/>
        </w:rPr>
        <w:t xml:space="preserve"> </w:t>
      </w:r>
    </w:p>
  </w:footnote>
  <w:footnote w:id="48">
    <w:p w:rsidR="008360EB" w:rsidRPr="002E69A0" w:rsidRDefault="008360EB" w:rsidP="008360EB">
      <w:pPr>
        <w:pStyle w:val="NoSpacing"/>
        <w:rPr>
          <w:rFonts w:ascii="Verdana" w:hAnsi="Verdana" w:cs="Times New Roman"/>
          <w:sz w:val="16"/>
          <w:szCs w:val="16"/>
        </w:rPr>
      </w:pPr>
      <w:r w:rsidRPr="002E69A0">
        <w:rPr>
          <w:rStyle w:val="FootnoteReference"/>
          <w:rFonts w:ascii="Verdana" w:hAnsi="Verdana" w:cs="Times New Roman"/>
          <w:sz w:val="16"/>
          <w:szCs w:val="16"/>
        </w:rPr>
        <w:footnoteRef/>
      </w:r>
      <w:r w:rsidRPr="002E69A0">
        <w:rPr>
          <w:rFonts w:ascii="Verdana" w:hAnsi="Verdana" w:cs="Times New Roman"/>
          <w:sz w:val="16"/>
          <w:szCs w:val="16"/>
        </w:rPr>
        <w:t xml:space="preserve"> CESCR Committee, ‘General comment No. 3: The nature of States parties’ obligations (art. 2, para. 1, of the Covenant)’, Fifth session, 1990, paras 9-10</w:t>
      </w:r>
      <w:r w:rsidR="00120078" w:rsidRPr="002E69A0">
        <w:rPr>
          <w:rFonts w:ascii="Verdana" w:hAnsi="Verdana" w:cs="Times New Roman"/>
          <w:sz w:val="16"/>
          <w:szCs w:val="16"/>
        </w:rPr>
        <w:t>; The CESCR Chair noted in a 2012 letter that whilst adjustments may be required in time of financial crisis, policies must nevertheless be temporary, necessary and proportionate, non-discriminatory, and must “identify the minimum core content of rights or social protection floor”, see</w:t>
      </w:r>
      <w:r w:rsidR="00120078" w:rsidRPr="002E69A0">
        <w:rPr>
          <w:rFonts w:ascii="Verdana" w:hAnsi="Verdana"/>
          <w:sz w:val="16"/>
          <w:szCs w:val="16"/>
        </w:rPr>
        <w:t xml:space="preserve"> </w:t>
      </w:r>
      <w:r w:rsidR="00120078" w:rsidRPr="002E69A0">
        <w:rPr>
          <w:rFonts w:ascii="Verdana" w:hAnsi="Verdana" w:cs="Times New Roman"/>
          <w:sz w:val="16"/>
          <w:szCs w:val="16"/>
        </w:rPr>
        <w:t>Letter dated 16 May 2012 addressed by the Chairperson of the Committee on Economic, Social and Cultural Rights to States parties to the International Covenant on Economic, Social and Cultural Rights.</w:t>
      </w:r>
    </w:p>
  </w:footnote>
  <w:footnote w:id="49">
    <w:p w:rsidR="00AE5335" w:rsidRPr="002E69A0" w:rsidRDefault="007256F2" w:rsidP="00CA40B4">
      <w:pPr>
        <w:pStyle w:val="NoSpacing"/>
        <w:rPr>
          <w:rFonts w:ascii="Verdana" w:hAnsi="Verdana" w:cs="Times New Roman"/>
          <w:sz w:val="16"/>
          <w:szCs w:val="16"/>
        </w:rPr>
      </w:pPr>
      <w:r w:rsidRPr="002E69A0">
        <w:rPr>
          <w:rStyle w:val="FootnoteReference"/>
          <w:rFonts w:ascii="Verdana" w:hAnsi="Verdana" w:cs="Times New Roman"/>
          <w:sz w:val="16"/>
          <w:szCs w:val="16"/>
        </w:rPr>
        <w:footnoteRef/>
      </w:r>
      <w:r w:rsidRPr="002E69A0">
        <w:rPr>
          <w:rFonts w:ascii="Verdana" w:hAnsi="Verdana" w:cs="Times New Roman"/>
          <w:sz w:val="16"/>
          <w:szCs w:val="16"/>
        </w:rPr>
        <w:t xml:space="preserve"> </w:t>
      </w:r>
      <w:r w:rsidR="00AE5335" w:rsidRPr="002E69A0">
        <w:rPr>
          <w:rFonts w:ascii="Verdana" w:hAnsi="Verdana" w:cs="Times New Roman"/>
          <w:sz w:val="16"/>
          <w:szCs w:val="16"/>
        </w:rPr>
        <w:t>Human Rights Committee, ‘General comment No. 21: Article 10 (Human treatment of persons deprived of</w:t>
      </w:r>
    </w:p>
    <w:p w:rsidR="007256F2" w:rsidRPr="002E69A0" w:rsidRDefault="00AE5335" w:rsidP="00CA40B4">
      <w:pPr>
        <w:pStyle w:val="NoSpacing"/>
        <w:rPr>
          <w:rFonts w:ascii="Verdana" w:hAnsi="Verdana" w:cs="Times New Roman"/>
          <w:sz w:val="16"/>
          <w:szCs w:val="16"/>
        </w:rPr>
      </w:pPr>
      <w:r w:rsidRPr="002E69A0">
        <w:rPr>
          <w:rFonts w:ascii="Verdana" w:hAnsi="Verdana" w:cs="Times New Roman"/>
          <w:sz w:val="16"/>
          <w:szCs w:val="16"/>
        </w:rPr>
        <w:t>their liberty)’, Forty-fourth session, 1992, pa</w:t>
      </w:r>
      <w:r w:rsidR="008360EB" w:rsidRPr="002E69A0">
        <w:rPr>
          <w:rFonts w:ascii="Verdana" w:hAnsi="Verdana" w:cs="Times New Roman"/>
          <w:sz w:val="16"/>
          <w:szCs w:val="16"/>
        </w:rPr>
        <w:t>ra 4; See also, CESCR Committee, ‘General comment No. 3: The nature of States parties’ obligations (art. 2, para. 1, of the Covenant)’, Fifth session, 1990, paras 9-10</w:t>
      </w:r>
    </w:p>
  </w:footnote>
  <w:footnote w:id="50">
    <w:p w:rsidR="008749E4" w:rsidRPr="00CA40B4" w:rsidRDefault="008749E4" w:rsidP="00CA40B4">
      <w:pPr>
        <w:pStyle w:val="NoSpacing"/>
        <w:rPr>
          <w:rFonts w:ascii="Times New Roman" w:hAnsi="Times New Roman" w:cs="Times New Roman"/>
          <w:sz w:val="18"/>
          <w:szCs w:val="18"/>
        </w:rPr>
      </w:pPr>
      <w:r w:rsidRPr="002E69A0">
        <w:rPr>
          <w:rStyle w:val="FootnoteReference"/>
          <w:rFonts w:ascii="Verdana" w:hAnsi="Verdana" w:cs="Times New Roman"/>
          <w:sz w:val="16"/>
          <w:szCs w:val="16"/>
        </w:rPr>
        <w:footnoteRef/>
      </w:r>
      <w:r w:rsidRPr="002E69A0">
        <w:rPr>
          <w:rFonts w:ascii="Verdana" w:hAnsi="Verdana" w:cs="Times New Roman"/>
          <w:sz w:val="16"/>
          <w:szCs w:val="16"/>
        </w:rPr>
        <w:t xml:space="preserve"> </w:t>
      </w:r>
      <w:proofErr w:type="spellStart"/>
      <w:r w:rsidRPr="002E69A0">
        <w:rPr>
          <w:rFonts w:ascii="Verdana" w:hAnsi="Verdana" w:cs="Times New Roman"/>
          <w:sz w:val="16"/>
          <w:szCs w:val="16"/>
        </w:rPr>
        <w:t>Dybeku</w:t>
      </w:r>
      <w:proofErr w:type="spellEnd"/>
      <w:r w:rsidRPr="002E69A0">
        <w:rPr>
          <w:rFonts w:ascii="Verdana" w:hAnsi="Verdana" w:cs="Times New Roman"/>
          <w:sz w:val="16"/>
          <w:szCs w:val="16"/>
        </w:rPr>
        <w:t xml:space="preserve"> v Albania (App. No. 41153/06), 18 December 2007 para 50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55D" w:rsidRDefault="00A1455D">
    <w:pPr>
      <w:pStyle w:val="Header"/>
    </w:pPr>
    <w:r>
      <w:tab/>
    </w:r>
    <w:r>
      <w:tab/>
      <w:t>HRC165.6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A7459"/>
    <w:multiLevelType w:val="hybridMultilevel"/>
    <w:tmpl w:val="88C6A5E4"/>
    <w:lvl w:ilvl="0" w:tplc="EE5E3A8E">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nsid w:val="07033D9A"/>
    <w:multiLevelType w:val="hybridMultilevel"/>
    <w:tmpl w:val="16FACFC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nsid w:val="162B17DE"/>
    <w:multiLevelType w:val="hybridMultilevel"/>
    <w:tmpl w:val="A490C90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nsid w:val="17375420"/>
    <w:multiLevelType w:val="hybridMultilevel"/>
    <w:tmpl w:val="5F0CDA12"/>
    <w:lvl w:ilvl="0" w:tplc="82A0AF1A">
      <w:start w:val="1"/>
      <w:numFmt w:val="decimal"/>
      <w:lvlText w:val="%1."/>
      <w:lvlJc w:val="left"/>
      <w:pPr>
        <w:ind w:left="360" w:hanging="360"/>
      </w:pPr>
      <w:rPr>
        <w:rFonts w:eastAsia="Calibri" w:cs="Calibri" w:hint="default"/>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B1C450F"/>
    <w:multiLevelType w:val="hybridMultilevel"/>
    <w:tmpl w:val="910CDB98"/>
    <w:lvl w:ilvl="0" w:tplc="0809000F">
      <w:start w:val="1"/>
      <w:numFmt w:val="decimal"/>
      <w:lvlText w:val="%1."/>
      <w:lvlJc w:val="left"/>
      <w:pPr>
        <w:ind w:left="1211"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
    <w:nsid w:val="22BE0BF8"/>
    <w:multiLevelType w:val="hybridMultilevel"/>
    <w:tmpl w:val="99164C3E"/>
    <w:lvl w:ilvl="0" w:tplc="EE5E3A8E">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nsid w:val="322605FE"/>
    <w:multiLevelType w:val="hybridMultilevel"/>
    <w:tmpl w:val="C804DF36"/>
    <w:lvl w:ilvl="0" w:tplc="6596A2DC">
      <w:start w:val="1"/>
      <w:numFmt w:val="decimal"/>
      <w:lvlText w:val="%1."/>
      <w:lvlJc w:val="left"/>
      <w:pPr>
        <w:ind w:left="360" w:hanging="360"/>
      </w:pPr>
      <w:rPr>
        <w:rFonts w:ascii="Verdana" w:eastAsia="Times New Roman" w:hAnsi="Verdana" w:cs="Tahoma"/>
        <w:b w:val="0"/>
        <w:i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351E70D7"/>
    <w:multiLevelType w:val="hybridMultilevel"/>
    <w:tmpl w:val="80CA65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B5865DE"/>
    <w:multiLevelType w:val="hybridMultilevel"/>
    <w:tmpl w:val="6016A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F027A62"/>
    <w:multiLevelType w:val="hybridMultilevel"/>
    <w:tmpl w:val="8A7659F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nsid w:val="4B856F81"/>
    <w:multiLevelType w:val="hybridMultilevel"/>
    <w:tmpl w:val="F6583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38433B5"/>
    <w:multiLevelType w:val="hybridMultilevel"/>
    <w:tmpl w:val="E8CC822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nsid w:val="6814032F"/>
    <w:multiLevelType w:val="hybridMultilevel"/>
    <w:tmpl w:val="910CDB98"/>
    <w:lvl w:ilvl="0" w:tplc="0809000F">
      <w:start w:val="1"/>
      <w:numFmt w:val="decimal"/>
      <w:lvlText w:val="%1."/>
      <w:lvlJc w:val="left"/>
      <w:pPr>
        <w:ind w:left="1211"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nsid w:val="7CDE1980"/>
    <w:multiLevelType w:val="hybridMultilevel"/>
    <w:tmpl w:val="F5C4E65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nsid w:val="7E345ED0"/>
    <w:multiLevelType w:val="hybridMultilevel"/>
    <w:tmpl w:val="3F96DA6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12"/>
  </w:num>
  <w:num w:numId="2">
    <w:abstractNumId w:val="4"/>
  </w:num>
  <w:num w:numId="3">
    <w:abstractNumId w:val="6"/>
  </w:num>
  <w:num w:numId="4">
    <w:abstractNumId w:val="11"/>
  </w:num>
  <w:num w:numId="5">
    <w:abstractNumId w:val="7"/>
  </w:num>
  <w:num w:numId="6">
    <w:abstractNumId w:val="13"/>
  </w:num>
  <w:num w:numId="7">
    <w:abstractNumId w:val="0"/>
  </w:num>
  <w:num w:numId="8">
    <w:abstractNumId w:val="5"/>
  </w:num>
  <w:num w:numId="9">
    <w:abstractNumId w:val="3"/>
  </w:num>
  <w:num w:numId="10">
    <w:abstractNumId w:val="8"/>
  </w:num>
  <w:num w:numId="11">
    <w:abstractNumId w:val="10"/>
  </w:num>
  <w:num w:numId="12">
    <w:abstractNumId w:val="14"/>
  </w:num>
  <w:num w:numId="13">
    <w:abstractNumId w:val="2"/>
  </w:num>
  <w:num w:numId="14">
    <w:abstractNumId w:val="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821"/>
    <w:rsid w:val="00017785"/>
    <w:rsid w:val="00031725"/>
    <w:rsid w:val="00045C4C"/>
    <w:rsid w:val="0006359F"/>
    <w:rsid w:val="00075D98"/>
    <w:rsid w:val="00080029"/>
    <w:rsid w:val="00082025"/>
    <w:rsid w:val="00084B26"/>
    <w:rsid w:val="000A1EBE"/>
    <w:rsid w:val="000A54D1"/>
    <w:rsid w:val="000C73D8"/>
    <w:rsid w:val="000E1908"/>
    <w:rsid w:val="000F04C6"/>
    <w:rsid w:val="0010006A"/>
    <w:rsid w:val="00100620"/>
    <w:rsid w:val="00103998"/>
    <w:rsid w:val="001110AA"/>
    <w:rsid w:val="0011611C"/>
    <w:rsid w:val="00120078"/>
    <w:rsid w:val="00136EB2"/>
    <w:rsid w:val="00145B6A"/>
    <w:rsid w:val="0015630E"/>
    <w:rsid w:val="00156632"/>
    <w:rsid w:val="001632B6"/>
    <w:rsid w:val="00164513"/>
    <w:rsid w:val="00166B22"/>
    <w:rsid w:val="00177048"/>
    <w:rsid w:val="001821F5"/>
    <w:rsid w:val="00185462"/>
    <w:rsid w:val="001962F4"/>
    <w:rsid w:val="00196A48"/>
    <w:rsid w:val="001A10F2"/>
    <w:rsid w:val="001B0363"/>
    <w:rsid w:val="001B1359"/>
    <w:rsid w:val="001C054D"/>
    <w:rsid w:val="001D651C"/>
    <w:rsid w:val="001F0F8D"/>
    <w:rsid w:val="0020715C"/>
    <w:rsid w:val="00207974"/>
    <w:rsid w:val="00246EDB"/>
    <w:rsid w:val="00247191"/>
    <w:rsid w:val="00247346"/>
    <w:rsid w:val="00263F6D"/>
    <w:rsid w:val="00266692"/>
    <w:rsid w:val="00267E57"/>
    <w:rsid w:val="00270E30"/>
    <w:rsid w:val="002711BF"/>
    <w:rsid w:val="00276DF0"/>
    <w:rsid w:val="00283E96"/>
    <w:rsid w:val="002956C9"/>
    <w:rsid w:val="002A2489"/>
    <w:rsid w:val="002C2349"/>
    <w:rsid w:val="002D0373"/>
    <w:rsid w:val="002D37DA"/>
    <w:rsid w:val="002E08B5"/>
    <w:rsid w:val="002E26E0"/>
    <w:rsid w:val="002E35EC"/>
    <w:rsid w:val="002E5BC0"/>
    <w:rsid w:val="002E69A0"/>
    <w:rsid w:val="002F0AB0"/>
    <w:rsid w:val="002F33B0"/>
    <w:rsid w:val="002F7FEA"/>
    <w:rsid w:val="00305BC9"/>
    <w:rsid w:val="0031115F"/>
    <w:rsid w:val="00322AE9"/>
    <w:rsid w:val="00325B44"/>
    <w:rsid w:val="00331635"/>
    <w:rsid w:val="00350280"/>
    <w:rsid w:val="00354BA0"/>
    <w:rsid w:val="00356C8F"/>
    <w:rsid w:val="00366F85"/>
    <w:rsid w:val="00372FEF"/>
    <w:rsid w:val="00376B70"/>
    <w:rsid w:val="00377FA3"/>
    <w:rsid w:val="00386EA0"/>
    <w:rsid w:val="003B0555"/>
    <w:rsid w:val="003B4C93"/>
    <w:rsid w:val="003B58A2"/>
    <w:rsid w:val="003B6734"/>
    <w:rsid w:val="003C50D8"/>
    <w:rsid w:val="003C7FCC"/>
    <w:rsid w:val="003D5DF3"/>
    <w:rsid w:val="003E06C4"/>
    <w:rsid w:val="003E13D6"/>
    <w:rsid w:val="003E2156"/>
    <w:rsid w:val="003F0252"/>
    <w:rsid w:val="003F1021"/>
    <w:rsid w:val="003F6B67"/>
    <w:rsid w:val="00401525"/>
    <w:rsid w:val="00412CD1"/>
    <w:rsid w:val="0041750A"/>
    <w:rsid w:val="004219B0"/>
    <w:rsid w:val="00445869"/>
    <w:rsid w:val="0045226A"/>
    <w:rsid w:val="004565DA"/>
    <w:rsid w:val="00456B69"/>
    <w:rsid w:val="0046309E"/>
    <w:rsid w:val="00463D3F"/>
    <w:rsid w:val="004737B1"/>
    <w:rsid w:val="00481A40"/>
    <w:rsid w:val="00483057"/>
    <w:rsid w:val="00487D60"/>
    <w:rsid w:val="004905E2"/>
    <w:rsid w:val="00497B4E"/>
    <w:rsid w:val="004B3FA1"/>
    <w:rsid w:val="004C1945"/>
    <w:rsid w:val="004C47E1"/>
    <w:rsid w:val="004D1817"/>
    <w:rsid w:val="004E37E9"/>
    <w:rsid w:val="004E56B4"/>
    <w:rsid w:val="004E644C"/>
    <w:rsid w:val="004E6DF6"/>
    <w:rsid w:val="00522444"/>
    <w:rsid w:val="005269B1"/>
    <w:rsid w:val="00543C93"/>
    <w:rsid w:val="00544241"/>
    <w:rsid w:val="005556B2"/>
    <w:rsid w:val="00561AD0"/>
    <w:rsid w:val="00562515"/>
    <w:rsid w:val="00574E4E"/>
    <w:rsid w:val="00583530"/>
    <w:rsid w:val="00584187"/>
    <w:rsid w:val="005A6BFC"/>
    <w:rsid w:val="005A6DE5"/>
    <w:rsid w:val="005C4E5B"/>
    <w:rsid w:val="005C7950"/>
    <w:rsid w:val="005D0617"/>
    <w:rsid w:val="005F73D0"/>
    <w:rsid w:val="00604339"/>
    <w:rsid w:val="00617ABE"/>
    <w:rsid w:val="00620A95"/>
    <w:rsid w:val="00622553"/>
    <w:rsid w:val="00622C46"/>
    <w:rsid w:val="00623394"/>
    <w:rsid w:val="00623E52"/>
    <w:rsid w:val="00640AE8"/>
    <w:rsid w:val="00644102"/>
    <w:rsid w:val="006448BF"/>
    <w:rsid w:val="0064639A"/>
    <w:rsid w:val="006567D0"/>
    <w:rsid w:val="00661FE4"/>
    <w:rsid w:val="006A0324"/>
    <w:rsid w:val="006A6DE2"/>
    <w:rsid w:val="006B571E"/>
    <w:rsid w:val="006B6171"/>
    <w:rsid w:val="006C25A9"/>
    <w:rsid w:val="006E32AB"/>
    <w:rsid w:val="006F09A3"/>
    <w:rsid w:val="007039B7"/>
    <w:rsid w:val="00705320"/>
    <w:rsid w:val="007056BF"/>
    <w:rsid w:val="0070721D"/>
    <w:rsid w:val="0070766D"/>
    <w:rsid w:val="00715F23"/>
    <w:rsid w:val="00716B17"/>
    <w:rsid w:val="007256F2"/>
    <w:rsid w:val="0073127F"/>
    <w:rsid w:val="00762117"/>
    <w:rsid w:val="00770D77"/>
    <w:rsid w:val="0077424A"/>
    <w:rsid w:val="00776CEB"/>
    <w:rsid w:val="00782272"/>
    <w:rsid w:val="007843EB"/>
    <w:rsid w:val="00787B92"/>
    <w:rsid w:val="00791EE3"/>
    <w:rsid w:val="007B17B0"/>
    <w:rsid w:val="007B5603"/>
    <w:rsid w:val="007D4708"/>
    <w:rsid w:val="007E43DD"/>
    <w:rsid w:val="007F150D"/>
    <w:rsid w:val="007F783E"/>
    <w:rsid w:val="00804383"/>
    <w:rsid w:val="0080458D"/>
    <w:rsid w:val="0081277E"/>
    <w:rsid w:val="008171CA"/>
    <w:rsid w:val="008207B7"/>
    <w:rsid w:val="00826261"/>
    <w:rsid w:val="008360EB"/>
    <w:rsid w:val="0085795C"/>
    <w:rsid w:val="00865500"/>
    <w:rsid w:val="00865F63"/>
    <w:rsid w:val="00867CE3"/>
    <w:rsid w:val="008749E4"/>
    <w:rsid w:val="00882081"/>
    <w:rsid w:val="00892695"/>
    <w:rsid w:val="008A6118"/>
    <w:rsid w:val="008C2A82"/>
    <w:rsid w:val="008C3A3F"/>
    <w:rsid w:val="008D1B28"/>
    <w:rsid w:val="008F3149"/>
    <w:rsid w:val="009014E6"/>
    <w:rsid w:val="009148FA"/>
    <w:rsid w:val="009153BA"/>
    <w:rsid w:val="00947432"/>
    <w:rsid w:val="00951085"/>
    <w:rsid w:val="00951A19"/>
    <w:rsid w:val="00956F06"/>
    <w:rsid w:val="009614BD"/>
    <w:rsid w:val="00965278"/>
    <w:rsid w:val="009813DA"/>
    <w:rsid w:val="00984A80"/>
    <w:rsid w:val="00986078"/>
    <w:rsid w:val="009A4382"/>
    <w:rsid w:val="009D2029"/>
    <w:rsid w:val="009E4120"/>
    <w:rsid w:val="009E4492"/>
    <w:rsid w:val="009F15DF"/>
    <w:rsid w:val="00A01A2E"/>
    <w:rsid w:val="00A06801"/>
    <w:rsid w:val="00A1455D"/>
    <w:rsid w:val="00A1578E"/>
    <w:rsid w:val="00A24F69"/>
    <w:rsid w:val="00A45312"/>
    <w:rsid w:val="00A47D5E"/>
    <w:rsid w:val="00A60158"/>
    <w:rsid w:val="00A61698"/>
    <w:rsid w:val="00A703C0"/>
    <w:rsid w:val="00A717ED"/>
    <w:rsid w:val="00AA18B4"/>
    <w:rsid w:val="00AB034D"/>
    <w:rsid w:val="00AB274D"/>
    <w:rsid w:val="00AC31DF"/>
    <w:rsid w:val="00AD0A43"/>
    <w:rsid w:val="00AE2C14"/>
    <w:rsid w:val="00AE3F70"/>
    <w:rsid w:val="00AE5335"/>
    <w:rsid w:val="00AE5823"/>
    <w:rsid w:val="00B13438"/>
    <w:rsid w:val="00B156EB"/>
    <w:rsid w:val="00B17FFD"/>
    <w:rsid w:val="00B2347C"/>
    <w:rsid w:val="00B447B5"/>
    <w:rsid w:val="00B5399D"/>
    <w:rsid w:val="00B5665A"/>
    <w:rsid w:val="00B635AC"/>
    <w:rsid w:val="00B8654C"/>
    <w:rsid w:val="00BA086A"/>
    <w:rsid w:val="00BA3BD6"/>
    <w:rsid w:val="00BA5BA1"/>
    <w:rsid w:val="00BA69C9"/>
    <w:rsid w:val="00BB45B0"/>
    <w:rsid w:val="00BC1599"/>
    <w:rsid w:val="00BC6001"/>
    <w:rsid w:val="00BC7A23"/>
    <w:rsid w:val="00BD0240"/>
    <w:rsid w:val="00BD1F50"/>
    <w:rsid w:val="00BD1FE6"/>
    <w:rsid w:val="00BD6AB3"/>
    <w:rsid w:val="00BF1616"/>
    <w:rsid w:val="00BF681D"/>
    <w:rsid w:val="00C076A3"/>
    <w:rsid w:val="00C10880"/>
    <w:rsid w:val="00C12344"/>
    <w:rsid w:val="00C22040"/>
    <w:rsid w:val="00C273E8"/>
    <w:rsid w:val="00C30C2B"/>
    <w:rsid w:val="00C341A6"/>
    <w:rsid w:val="00C4471C"/>
    <w:rsid w:val="00C55ECE"/>
    <w:rsid w:val="00C6424A"/>
    <w:rsid w:val="00C733EF"/>
    <w:rsid w:val="00C91C9F"/>
    <w:rsid w:val="00CA1A45"/>
    <w:rsid w:val="00CA3271"/>
    <w:rsid w:val="00CA40B4"/>
    <w:rsid w:val="00CB226A"/>
    <w:rsid w:val="00CB6F30"/>
    <w:rsid w:val="00CC0029"/>
    <w:rsid w:val="00CC3DAA"/>
    <w:rsid w:val="00CC43D5"/>
    <w:rsid w:val="00CC4FB6"/>
    <w:rsid w:val="00CD3625"/>
    <w:rsid w:val="00CF4A9A"/>
    <w:rsid w:val="00D0256E"/>
    <w:rsid w:val="00D039AD"/>
    <w:rsid w:val="00D0620B"/>
    <w:rsid w:val="00D077BA"/>
    <w:rsid w:val="00D10FF3"/>
    <w:rsid w:val="00D14E8F"/>
    <w:rsid w:val="00D167D9"/>
    <w:rsid w:val="00D542C2"/>
    <w:rsid w:val="00D56960"/>
    <w:rsid w:val="00D60183"/>
    <w:rsid w:val="00D626EB"/>
    <w:rsid w:val="00D87713"/>
    <w:rsid w:val="00D96DDA"/>
    <w:rsid w:val="00DB4DF0"/>
    <w:rsid w:val="00DB6C24"/>
    <w:rsid w:val="00DC07EB"/>
    <w:rsid w:val="00DC2DC2"/>
    <w:rsid w:val="00DE17CD"/>
    <w:rsid w:val="00DE5C89"/>
    <w:rsid w:val="00DF5738"/>
    <w:rsid w:val="00E0133B"/>
    <w:rsid w:val="00E156DB"/>
    <w:rsid w:val="00E1762D"/>
    <w:rsid w:val="00E40212"/>
    <w:rsid w:val="00E43F68"/>
    <w:rsid w:val="00E46FC8"/>
    <w:rsid w:val="00E51549"/>
    <w:rsid w:val="00E5304C"/>
    <w:rsid w:val="00E57325"/>
    <w:rsid w:val="00E6148B"/>
    <w:rsid w:val="00E77DA5"/>
    <w:rsid w:val="00E837BD"/>
    <w:rsid w:val="00E91DEB"/>
    <w:rsid w:val="00E929D0"/>
    <w:rsid w:val="00EA08AA"/>
    <w:rsid w:val="00EA250A"/>
    <w:rsid w:val="00EA60EF"/>
    <w:rsid w:val="00EA6821"/>
    <w:rsid w:val="00EA778D"/>
    <w:rsid w:val="00EB6955"/>
    <w:rsid w:val="00EC4FB8"/>
    <w:rsid w:val="00EE0732"/>
    <w:rsid w:val="00F12490"/>
    <w:rsid w:val="00F14C35"/>
    <w:rsid w:val="00F43424"/>
    <w:rsid w:val="00F503E0"/>
    <w:rsid w:val="00F5214F"/>
    <w:rsid w:val="00F54255"/>
    <w:rsid w:val="00F61866"/>
    <w:rsid w:val="00F65F8B"/>
    <w:rsid w:val="00F75052"/>
    <w:rsid w:val="00F75A23"/>
    <w:rsid w:val="00F92D7E"/>
    <w:rsid w:val="00F96653"/>
    <w:rsid w:val="00FB68CE"/>
    <w:rsid w:val="00FB765E"/>
    <w:rsid w:val="00FD0667"/>
    <w:rsid w:val="00FD38DA"/>
    <w:rsid w:val="00FD7706"/>
    <w:rsid w:val="00FE3E77"/>
    <w:rsid w:val="00FE7CFD"/>
    <w:rsid w:val="00FF7D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ar"/>
    <w:rsid w:val="00EA6821"/>
    <w:pPr>
      <w:suppressAutoHyphens/>
      <w:spacing w:after="120" w:line="240" w:lineRule="atLeast"/>
      <w:ind w:left="1134" w:right="1134"/>
      <w:jc w:val="both"/>
    </w:pPr>
    <w:rPr>
      <w:rFonts w:ascii="Times New Roman" w:eastAsia="Times New Roman" w:hAnsi="Times New Roman" w:cs="Times New Roman"/>
      <w:sz w:val="20"/>
      <w:szCs w:val="20"/>
      <w:lang w:val="x-none"/>
    </w:rPr>
  </w:style>
  <w:style w:type="paragraph" w:customStyle="1" w:styleId="H23G">
    <w:name w:val="_ H_2/3_G"/>
    <w:basedOn w:val="Normal"/>
    <w:next w:val="Normal"/>
    <w:rsid w:val="00EA6821"/>
    <w:pPr>
      <w:keepNext/>
      <w:keepLines/>
      <w:tabs>
        <w:tab w:val="right" w:pos="851"/>
      </w:tabs>
      <w:suppressAutoHyphens/>
      <w:spacing w:before="240" w:after="120" w:line="240" w:lineRule="exact"/>
      <w:ind w:left="1134" w:right="1134" w:hanging="1134"/>
    </w:pPr>
    <w:rPr>
      <w:rFonts w:ascii="Times New Roman" w:eastAsia="Times New Roman" w:hAnsi="Times New Roman" w:cs="Times New Roman"/>
      <w:b/>
      <w:sz w:val="20"/>
      <w:szCs w:val="20"/>
    </w:rPr>
  </w:style>
  <w:style w:type="character" w:customStyle="1" w:styleId="SingleTxtGCar">
    <w:name w:val="_ Single Txt_G Car"/>
    <w:link w:val="SingleTxtG"/>
    <w:rsid w:val="00EA6821"/>
    <w:rPr>
      <w:rFonts w:ascii="Times New Roman" w:eastAsia="Times New Roman" w:hAnsi="Times New Roman" w:cs="Times New Roman"/>
      <w:sz w:val="20"/>
      <w:szCs w:val="20"/>
      <w:lang w:val="x-none"/>
    </w:rPr>
  </w:style>
  <w:style w:type="character" w:styleId="FootnoteReference">
    <w:name w:val="footnote reference"/>
    <w:aliases w:val="4_G Char Char,Footnote Reference1 Char Char,Footnotes refss Char Char,ftref Char Char,BVI fnr Char Char,BVI fnr Car Car Char Char,BVI fnr Car Char Char,BVI fnr Car Car Car Car Char Char1,BVI fnr Char Car Car Car Char Char,Black,Nota"/>
    <w:link w:val="4GChar"/>
    <w:uiPriority w:val="99"/>
    <w:qFormat/>
    <w:rsid w:val="00EA6821"/>
    <w:rPr>
      <w:rFonts w:ascii="Times New Roman" w:hAnsi="Times New Roman"/>
      <w:sz w:val="18"/>
      <w:vertAlign w:val="superscript"/>
    </w:rPr>
  </w:style>
  <w:style w:type="paragraph" w:styleId="FootnoteText">
    <w:name w:val="footnote text"/>
    <w:aliases w:val="5_G,Footnote Text Char1,Footnote Text Char Char,Footnote Text1,Footnote Text Char1 Char Char,Footnote Text Char Char Char Char,Footnote Text Char1 Char Char1 Char Char,Footnote Text Char Char Char Char1 Char Char"/>
    <w:basedOn w:val="Normal"/>
    <w:link w:val="FootnoteTextChar2"/>
    <w:uiPriority w:val="99"/>
    <w:rsid w:val="00EA6821"/>
    <w:pPr>
      <w:tabs>
        <w:tab w:val="right" w:pos="1021"/>
      </w:tabs>
      <w:suppressAutoHyphens/>
      <w:spacing w:after="0" w:line="220" w:lineRule="exact"/>
      <w:ind w:left="1134" w:right="1134" w:hanging="1134"/>
    </w:pPr>
    <w:rPr>
      <w:rFonts w:ascii="Times New Roman" w:eastAsia="Times New Roman" w:hAnsi="Times New Roman" w:cs="Times New Roman"/>
      <w:sz w:val="18"/>
      <w:szCs w:val="20"/>
      <w:lang w:val="x-none"/>
    </w:rPr>
  </w:style>
  <w:style w:type="character" w:customStyle="1" w:styleId="FootnoteTextChar">
    <w:name w:val="Footnote Text Char"/>
    <w:basedOn w:val="DefaultParagraphFont"/>
    <w:uiPriority w:val="99"/>
    <w:rsid w:val="00EA6821"/>
    <w:rPr>
      <w:sz w:val="20"/>
      <w:szCs w:val="20"/>
    </w:rPr>
  </w:style>
  <w:style w:type="character" w:customStyle="1" w:styleId="FootnoteTextChar2">
    <w:name w:val="Footnote Text Char2"/>
    <w:aliases w:val="5_G Char,Footnote Text Char1 Char,Footnote Text Char Char Char,Footnote Text1 Char,Footnote Text Char1 Char Char Char,Footnote Text Char Char Char Char Char,Footnote Text Char1 Char Char1 Char Char Char"/>
    <w:link w:val="FootnoteText"/>
    <w:uiPriority w:val="99"/>
    <w:rsid w:val="00EA6821"/>
    <w:rPr>
      <w:rFonts w:ascii="Times New Roman" w:eastAsia="Times New Roman" w:hAnsi="Times New Roman" w:cs="Times New Roman"/>
      <w:sz w:val="18"/>
      <w:szCs w:val="20"/>
      <w:lang w:val="x-none"/>
    </w:rPr>
  </w:style>
  <w:style w:type="paragraph" w:customStyle="1" w:styleId="4GChar">
    <w:name w:val="4_G Char"/>
    <w:aliases w:val="Footnote Reference1 Char,Footnotes refss Char,ftref Char,BVI fnr Char,BVI fnr Car Car Char,BVI fnr Car Char,BVI fnr Car Car Car Car Char,BVI fnr Char Car Car Car Char"/>
    <w:basedOn w:val="Normal"/>
    <w:link w:val="FootnoteReference"/>
    <w:uiPriority w:val="99"/>
    <w:rsid w:val="00EA6821"/>
    <w:pPr>
      <w:spacing w:after="160" w:line="240" w:lineRule="exact"/>
      <w:jc w:val="both"/>
    </w:pPr>
    <w:rPr>
      <w:rFonts w:ascii="Times New Roman" w:hAnsi="Times New Roman"/>
      <w:sz w:val="18"/>
      <w:vertAlign w:val="superscript"/>
    </w:rPr>
  </w:style>
  <w:style w:type="paragraph" w:customStyle="1" w:styleId="Default">
    <w:name w:val="Default"/>
    <w:rsid w:val="00AE3F70"/>
    <w:pPr>
      <w:autoSpaceDE w:val="0"/>
      <w:autoSpaceDN w:val="0"/>
      <w:adjustRightInd w:val="0"/>
      <w:spacing w:after="0" w:line="240" w:lineRule="auto"/>
    </w:pPr>
    <w:rPr>
      <w:rFonts w:ascii="Verdana" w:hAnsi="Verdana" w:cs="Verdana"/>
      <w:color w:val="000000"/>
      <w:sz w:val="24"/>
      <w:szCs w:val="24"/>
    </w:rPr>
  </w:style>
  <w:style w:type="character" w:styleId="Hyperlink">
    <w:name w:val="Hyperlink"/>
    <w:uiPriority w:val="99"/>
    <w:unhideWhenUsed/>
    <w:rsid w:val="00986078"/>
    <w:rPr>
      <w:color w:val="0000FF"/>
      <w:u w:val="single"/>
    </w:rPr>
  </w:style>
  <w:style w:type="character" w:customStyle="1" w:styleId="s6b621b36">
    <w:name w:val="s6b621b36"/>
    <w:rsid w:val="00986078"/>
  </w:style>
  <w:style w:type="paragraph" w:styleId="BalloonText">
    <w:name w:val="Balloon Text"/>
    <w:basedOn w:val="Normal"/>
    <w:link w:val="BalloonTextChar"/>
    <w:uiPriority w:val="99"/>
    <w:semiHidden/>
    <w:unhideWhenUsed/>
    <w:rsid w:val="002F7F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7FEA"/>
    <w:rPr>
      <w:rFonts w:ascii="Tahoma" w:hAnsi="Tahoma" w:cs="Tahoma"/>
      <w:sz w:val="16"/>
      <w:szCs w:val="16"/>
    </w:rPr>
  </w:style>
  <w:style w:type="character" w:styleId="FollowedHyperlink">
    <w:name w:val="FollowedHyperlink"/>
    <w:basedOn w:val="DefaultParagraphFont"/>
    <w:uiPriority w:val="99"/>
    <w:semiHidden/>
    <w:unhideWhenUsed/>
    <w:rsid w:val="008171CA"/>
    <w:rPr>
      <w:color w:val="800080" w:themeColor="followedHyperlink"/>
      <w:u w:val="single"/>
    </w:rPr>
  </w:style>
  <w:style w:type="paragraph" w:styleId="Header">
    <w:name w:val="header"/>
    <w:basedOn w:val="Normal"/>
    <w:link w:val="HeaderChar"/>
    <w:uiPriority w:val="99"/>
    <w:unhideWhenUsed/>
    <w:rsid w:val="001962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62F4"/>
  </w:style>
  <w:style w:type="paragraph" w:styleId="Footer">
    <w:name w:val="footer"/>
    <w:basedOn w:val="Normal"/>
    <w:link w:val="FooterChar"/>
    <w:uiPriority w:val="99"/>
    <w:unhideWhenUsed/>
    <w:rsid w:val="001962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62F4"/>
  </w:style>
  <w:style w:type="paragraph" w:styleId="ListParagraph">
    <w:name w:val="List Paragraph"/>
    <w:basedOn w:val="Normal"/>
    <w:uiPriority w:val="34"/>
    <w:qFormat/>
    <w:rsid w:val="008A6118"/>
    <w:pPr>
      <w:ind w:left="720"/>
      <w:contextualSpacing/>
    </w:pPr>
  </w:style>
  <w:style w:type="table" w:styleId="TableGrid">
    <w:name w:val="Table Grid"/>
    <w:basedOn w:val="TableNormal"/>
    <w:uiPriority w:val="59"/>
    <w:rsid w:val="00C642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356C8F"/>
    <w:pPr>
      <w:spacing w:line="260" w:lineRule="atLeast"/>
    </w:pPr>
    <w:rPr>
      <w:rFonts w:ascii="Calibri" w:eastAsia="Times New Roman" w:hAnsi="Calibri" w:cs="Times New Roman"/>
      <w:lang w:eastAsia="en-GB"/>
    </w:rPr>
  </w:style>
  <w:style w:type="character" w:customStyle="1" w:styleId="normalchar1">
    <w:name w:val="normal__char1"/>
    <w:basedOn w:val="DefaultParagraphFont"/>
    <w:rsid w:val="0070721D"/>
    <w:rPr>
      <w:rFonts w:ascii="Calibri" w:hAnsi="Calibri" w:hint="default"/>
      <w:sz w:val="22"/>
      <w:szCs w:val="22"/>
    </w:rPr>
  </w:style>
  <w:style w:type="character" w:customStyle="1" w:styleId="footnote0020referencechar1">
    <w:name w:val="footnote_0020reference__char1"/>
    <w:basedOn w:val="DefaultParagraphFont"/>
    <w:rsid w:val="0070721D"/>
    <w:rPr>
      <w:rFonts w:ascii="Times New Roman" w:hAnsi="Times New Roman" w:cs="Times New Roman" w:hint="default"/>
      <w:sz w:val="20"/>
      <w:szCs w:val="20"/>
      <w:vertAlign w:val="superscript"/>
    </w:rPr>
  </w:style>
  <w:style w:type="paragraph" w:styleId="NoSpacing">
    <w:name w:val="No Spacing"/>
    <w:uiPriority w:val="1"/>
    <w:qFormat/>
    <w:rsid w:val="00C733EF"/>
    <w:pPr>
      <w:spacing w:after="0" w:line="240" w:lineRule="auto"/>
    </w:pPr>
  </w:style>
  <w:style w:type="paragraph" w:styleId="EndnoteText">
    <w:name w:val="endnote text"/>
    <w:basedOn w:val="Normal"/>
    <w:link w:val="EndnoteTextChar"/>
    <w:uiPriority w:val="99"/>
    <w:semiHidden/>
    <w:unhideWhenUsed/>
    <w:rsid w:val="00EC4FB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C4FB8"/>
    <w:rPr>
      <w:sz w:val="20"/>
      <w:szCs w:val="20"/>
    </w:rPr>
  </w:style>
  <w:style w:type="character" w:styleId="EndnoteReference">
    <w:name w:val="endnote reference"/>
    <w:basedOn w:val="DefaultParagraphFont"/>
    <w:uiPriority w:val="99"/>
    <w:semiHidden/>
    <w:unhideWhenUsed/>
    <w:rsid w:val="00EC4FB8"/>
    <w:rPr>
      <w:vertAlign w:val="superscript"/>
    </w:rPr>
  </w:style>
  <w:style w:type="paragraph" w:customStyle="1" w:styleId="Body">
    <w:name w:val="Body"/>
    <w:rsid w:val="00CC43D5"/>
    <w:pPr>
      <w:pBdr>
        <w:top w:val="nil"/>
        <w:left w:val="nil"/>
        <w:bottom w:val="nil"/>
        <w:right w:val="nil"/>
        <w:between w:val="nil"/>
        <w:bar w:val="nil"/>
      </w:pBdr>
    </w:pPr>
    <w:rPr>
      <w:rFonts w:ascii="Calibri" w:eastAsia="Calibri" w:hAnsi="Calibri" w:cs="Calibri"/>
      <w:color w:val="000000"/>
      <w:u w:color="000000"/>
      <w:bdr w:val="nil"/>
      <w:lang w:val="fr-CH" w:eastAsia="fr-CH"/>
    </w:rPr>
  </w:style>
  <w:style w:type="character" w:customStyle="1" w:styleId="news-date">
    <w:name w:val="news-date"/>
    <w:rsid w:val="00CC43D5"/>
    <w:rPr>
      <w:lang w:val="en-US"/>
    </w:rPr>
  </w:style>
  <w:style w:type="character" w:styleId="CommentReference">
    <w:name w:val="annotation reference"/>
    <w:basedOn w:val="DefaultParagraphFont"/>
    <w:uiPriority w:val="99"/>
    <w:semiHidden/>
    <w:unhideWhenUsed/>
    <w:rsid w:val="00F75A23"/>
    <w:rPr>
      <w:sz w:val="16"/>
      <w:szCs w:val="16"/>
    </w:rPr>
  </w:style>
  <w:style w:type="paragraph" w:styleId="CommentText">
    <w:name w:val="annotation text"/>
    <w:basedOn w:val="Normal"/>
    <w:link w:val="CommentTextChar"/>
    <w:uiPriority w:val="99"/>
    <w:semiHidden/>
    <w:unhideWhenUsed/>
    <w:rsid w:val="00F75A23"/>
    <w:pPr>
      <w:spacing w:line="240" w:lineRule="auto"/>
    </w:pPr>
    <w:rPr>
      <w:sz w:val="20"/>
      <w:szCs w:val="20"/>
    </w:rPr>
  </w:style>
  <w:style w:type="character" w:customStyle="1" w:styleId="CommentTextChar">
    <w:name w:val="Comment Text Char"/>
    <w:basedOn w:val="DefaultParagraphFont"/>
    <w:link w:val="CommentText"/>
    <w:uiPriority w:val="99"/>
    <w:semiHidden/>
    <w:rsid w:val="00F75A23"/>
    <w:rPr>
      <w:sz w:val="20"/>
      <w:szCs w:val="20"/>
    </w:rPr>
  </w:style>
  <w:style w:type="paragraph" w:styleId="CommentSubject">
    <w:name w:val="annotation subject"/>
    <w:basedOn w:val="CommentText"/>
    <w:next w:val="CommentText"/>
    <w:link w:val="CommentSubjectChar"/>
    <w:uiPriority w:val="99"/>
    <w:semiHidden/>
    <w:unhideWhenUsed/>
    <w:rsid w:val="00F75A23"/>
    <w:rPr>
      <w:b/>
      <w:bCs/>
    </w:rPr>
  </w:style>
  <w:style w:type="character" w:customStyle="1" w:styleId="CommentSubjectChar">
    <w:name w:val="Comment Subject Char"/>
    <w:basedOn w:val="CommentTextChar"/>
    <w:link w:val="CommentSubject"/>
    <w:uiPriority w:val="99"/>
    <w:semiHidden/>
    <w:rsid w:val="00F75A2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ar"/>
    <w:rsid w:val="00EA6821"/>
    <w:pPr>
      <w:suppressAutoHyphens/>
      <w:spacing w:after="120" w:line="240" w:lineRule="atLeast"/>
      <w:ind w:left="1134" w:right="1134"/>
      <w:jc w:val="both"/>
    </w:pPr>
    <w:rPr>
      <w:rFonts w:ascii="Times New Roman" w:eastAsia="Times New Roman" w:hAnsi="Times New Roman" w:cs="Times New Roman"/>
      <w:sz w:val="20"/>
      <w:szCs w:val="20"/>
      <w:lang w:val="x-none"/>
    </w:rPr>
  </w:style>
  <w:style w:type="paragraph" w:customStyle="1" w:styleId="H23G">
    <w:name w:val="_ H_2/3_G"/>
    <w:basedOn w:val="Normal"/>
    <w:next w:val="Normal"/>
    <w:rsid w:val="00EA6821"/>
    <w:pPr>
      <w:keepNext/>
      <w:keepLines/>
      <w:tabs>
        <w:tab w:val="right" w:pos="851"/>
      </w:tabs>
      <w:suppressAutoHyphens/>
      <w:spacing w:before="240" w:after="120" w:line="240" w:lineRule="exact"/>
      <w:ind w:left="1134" w:right="1134" w:hanging="1134"/>
    </w:pPr>
    <w:rPr>
      <w:rFonts w:ascii="Times New Roman" w:eastAsia="Times New Roman" w:hAnsi="Times New Roman" w:cs="Times New Roman"/>
      <w:b/>
      <w:sz w:val="20"/>
      <w:szCs w:val="20"/>
    </w:rPr>
  </w:style>
  <w:style w:type="character" w:customStyle="1" w:styleId="SingleTxtGCar">
    <w:name w:val="_ Single Txt_G Car"/>
    <w:link w:val="SingleTxtG"/>
    <w:rsid w:val="00EA6821"/>
    <w:rPr>
      <w:rFonts w:ascii="Times New Roman" w:eastAsia="Times New Roman" w:hAnsi="Times New Roman" w:cs="Times New Roman"/>
      <w:sz w:val="20"/>
      <w:szCs w:val="20"/>
      <w:lang w:val="x-none"/>
    </w:rPr>
  </w:style>
  <w:style w:type="character" w:styleId="FootnoteReference">
    <w:name w:val="footnote reference"/>
    <w:aliases w:val="4_G Char Char,Footnote Reference1 Char Char,Footnotes refss Char Char,ftref Char Char,BVI fnr Char Char,BVI fnr Car Car Char Char,BVI fnr Car Char Char,BVI fnr Car Car Car Car Char Char1,BVI fnr Char Car Car Car Char Char,Black,Nota"/>
    <w:link w:val="4GChar"/>
    <w:uiPriority w:val="99"/>
    <w:qFormat/>
    <w:rsid w:val="00EA6821"/>
    <w:rPr>
      <w:rFonts w:ascii="Times New Roman" w:hAnsi="Times New Roman"/>
      <w:sz w:val="18"/>
      <w:vertAlign w:val="superscript"/>
    </w:rPr>
  </w:style>
  <w:style w:type="paragraph" w:styleId="FootnoteText">
    <w:name w:val="footnote text"/>
    <w:aliases w:val="5_G,Footnote Text Char1,Footnote Text Char Char,Footnote Text1,Footnote Text Char1 Char Char,Footnote Text Char Char Char Char,Footnote Text Char1 Char Char1 Char Char,Footnote Text Char Char Char Char1 Char Char"/>
    <w:basedOn w:val="Normal"/>
    <w:link w:val="FootnoteTextChar2"/>
    <w:uiPriority w:val="99"/>
    <w:rsid w:val="00EA6821"/>
    <w:pPr>
      <w:tabs>
        <w:tab w:val="right" w:pos="1021"/>
      </w:tabs>
      <w:suppressAutoHyphens/>
      <w:spacing w:after="0" w:line="220" w:lineRule="exact"/>
      <w:ind w:left="1134" w:right="1134" w:hanging="1134"/>
    </w:pPr>
    <w:rPr>
      <w:rFonts w:ascii="Times New Roman" w:eastAsia="Times New Roman" w:hAnsi="Times New Roman" w:cs="Times New Roman"/>
      <w:sz w:val="18"/>
      <w:szCs w:val="20"/>
      <w:lang w:val="x-none"/>
    </w:rPr>
  </w:style>
  <w:style w:type="character" w:customStyle="1" w:styleId="FootnoteTextChar">
    <w:name w:val="Footnote Text Char"/>
    <w:basedOn w:val="DefaultParagraphFont"/>
    <w:uiPriority w:val="99"/>
    <w:rsid w:val="00EA6821"/>
    <w:rPr>
      <w:sz w:val="20"/>
      <w:szCs w:val="20"/>
    </w:rPr>
  </w:style>
  <w:style w:type="character" w:customStyle="1" w:styleId="FootnoteTextChar2">
    <w:name w:val="Footnote Text Char2"/>
    <w:aliases w:val="5_G Char,Footnote Text Char1 Char,Footnote Text Char Char Char,Footnote Text1 Char,Footnote Text Char1 Char Char Char,Footnote Text Char Char Char Char Char,Footnote Text Char1 Char Char1 Char Char Char"/>
    <w:link w:val="FootnoteText"/>
    <w:uiPriority w:val="99"/>
    <w:rsid w:val="00EA6821"/>
    <w:rPr>
      <w:rFonts w:ascii="Times New Roman" w:eastAsia="Times New Roman" w:hAnsi="Times New Roman" w:cs="Times New Roman"/>
      <w:sz w:val="18"/>
      <w:szCs w:val="20"/>
      <w:lang w:val="x-none"/>
    </w:rPr>
  </w:style>
  <w:style w:type="paragraph" w:customStyle="1" w:styleId="4GChar">
    <w:name w:val="4_G Char"/>
    <w:aliases w:val="Footnote Reference1 Char,Footnotes refss Char,ftref Char,BVI fnr Char,BVI fnr Car Car Char,BVI fnr Car Char,BVI fnr Car Car Car Car Char,BVI fnr Char Car Car Car Char"/>
    <w:basedOn w:val="Normal"/>
    <w:link w:val="FootnoteReference"/>
    <w:uiPriority w:val="99"/>
    <w:rsid w:val="00EA6821"/>
    <w:pPr>
      <w:spacing w:after="160" w:line="240" w:lineRule="exact"/>
      <w:jc w:val="both"/>
    </w:pPr>
    <w:rPr>
      <w:rFonts w:ascii="Times New Roman" w:hAnsi="Times New Roman"/>
      <w:sz w:val="18"/>
      <w:vertAlign w:val="superscript"/>
    </w:rPr>
  </w:style>
  <w:style w:type="paragraph" w:customStyle="1" w:styleId="Default">
    <w:name w:val="Default"/>
    <w:rsid w:val="00AE3F70"/>
    <w:pPr>
      <w:autoSpaceDE w:val="0"/>
      <w:autoSpaceDN w:val="0"/>
      <w:adjustRightInd w:val="0"/>
      <w:spacing w:after="0" w:line="240" w:lineRule="auto"/>
    </w:pPr>
    <w:rPr>
      <w:rFonts w:ascii="Verdana" w:hAnsi="Verdana" w:cs="Verdana"/>
      <w:color w:val="000000"/>
      <w:sz w:val="24"/>
      <w:szCs w:val="24"/>
    </w:rPr>
  </w:style>
  <w:style w:type="character" w:styleId="Hyperlink">
    <w:name w:val="Hyperlink"/>
    <w:uiPriority w:val="99"/>
    <w:unhideWhenUsed/>
    <w:rsid w:val="00986078"/>
    <w:rPr>
      <w:color w:val="0000FF"/>
      <w:u w:val="single"/>
    </w:rPr>
  </w:style>
  <w:style w:type="character" w:customStyle="1" w:styleId="s6b621b36">
    <w:name w:val="s6b621b36"/>
    <w:rsid w:val="00986078"/>
  </w:style>
  <w:style w:type="paragraph" w:styleId="BalloonText">
    <w:name w:val="Balloon Text"/>
    <w:basedOn w:val="Normal"/>
    <w:link w:val="BalloonTextChar"/>
    <w:uiPriority w:val="99"/>
    <w:semiHidden/>
    <w:unhideWhenUsed/>
    <w:rsid w:val="002F7F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7FEA"/>
    <w:rPr>
      <w:rFonts w:ascii="Tahoma" w:hAnsi="Tahoma" w:cs="Tahoma"/>
      <w:sz w:val="16"/>
      <w:szCs w:val="16"/>
    </w:rPr>
  </w:style>
  <w:style w:type="character" w:styleId="FollowedHyperlink">
    <w:name w:val="FollowedHyperlink"/>
    <w:basedOn w:val="DefaultParagraphFont"/>
    <w:uiPriority w:val="99"/>
    <w:semiHidden/>
    <w:unhideWhenUsed/>
    <w:rsid w:val="008171CA"/>
    <w:rPr>
      <w:color w:val="800080" w:themeColor="followedHyperlink"/>
      <w:u w:val="single"/>
    </w:rPr>
  </w:style>
  <w:style w:type="paragraph" w:styleId="Header">
    <w:name w:val="header"/>
    <w:basedOn w:val="Normal"/>
    <w:link w:val="HeaderChar"/>
    <w:uiPriority w:val="99"/>
    <w:unhideWhenUsed/>
    <w:rsid w:val="001962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62F4"/>
  </w:style>
  <w:style w:type="paragraph" w:styleId="Footer">
    <w:name w:val="footer"/>
    <w:basedOn w:val="Normal"/>
    <w:link w:val="FooterChar"/>
    <w:uiPriority w:val="99"/>
    <w:unhideWhenUsed/>
    <w:rsid w:val="001962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62F4"/>
  </w:style>
  <w:style w:type="paragraph" w:styleId="ListParagraph">
    <w:name w:val="List Paragraph"/>
    <w:basedOn w:val="Normal"/>
    <w:uiPriority w:val="34"/>
    <w:qFormat/>
    <w:rsid w:val="008A6118"/>
    <w:pPr>
      <w:ind w:left="720"/>
      <w:contextualSpacing/>
    </w:pPr>
  </w:style>
  <w:style w:type="table" w:styleId="TableGrid">
    <w:name w:val="Table Grid"/>
    <w:basedOn w:val="TableNormal"/>
    <w:uiPriority w:val="59"/>
    <w:rsid w:val="00C642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356C8F"/>
    <w:pPr>
      <w:spacing w:line="260" w:lineRule="atLeast"/>
    </w:pPr>
    <w:rPr>
      <w:rFonts w:ascii="Calibri" w:eastAsia="Times New Roman" w:hAnsi="Calibri" w:cs="Times New Roman"/>
      <w:lang w:eastAsia="en-GB"/>
    </w:rPr>
  </w:style>
  <w:style w:type="character" w:customStyle="1" w:styleId="normalchar1">
    <w:name w:val="normal__char1"/>
    <w:basedOn w:val="DefaultParagraphFont"/>
    <w:rsid w:val="0070721D"/>
    <w:rPr>
      <w:rFonts w:ascii="Calibri" w:hAnsi="Calibri" w:hint="default"/>
      <w:sz w:val="22"/>
      <w:szCs w:val="22"/>
    </w:rPr>
  </w:style>
  <w:style w:type="character" w:customStyle="1" w:styleId="footnote0020referencechar1">
    <w:name w:val="footnote_0020reference__char1"/>
    <w:basedOn w:val="DefaultParagraphFont"/>
    <w:rsid w:val="0070721D"/>
    <w:rPr>
      <w:rFonts w:ascii="Times New Roman" w:hAnsi="Times New Roman" w:cs="Times New Roman" w:hint="default"/>
      <w:sz w:val="20"/>
      <w:szCs w:val="20"/>
      <w:vertAlign w:val="superscript"/>
    </w:rPr>
  </w:style>
  <w:style w:type="paragraph" w:styleId="NoSpacing">
    <w:name w:val="No Spacing"/>
    <w:uiPriority w:val="1"/>
    <w:qFormat/>
    <w:rsid w:val="00C733EF"/>
    <w:pPr>
      <w:spacing w:after="0" w:line="240" w:lineRule="auto"/>
    </w:pPr>
  </w:style>
  <w:style w:type="paragraph" w:styleId="EndnoteText">
    <w:name w:val="endnote text"/>
    <w:basedOn w:val="Normal"/>
    <w:link w:val="EndnoteTextChar"/>
    <w:uiPriority w:val="99"/>
    <w:semiHidden/>
    <w:unhideWhenUsed/>
    <w:rsid w:val="00EC4FB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C4FB8"/>
    <w:rPr>
      <w:sz w:val="20"/>
      <w:szCs w:val="20"/>
    </w:rPr>
  </w:style>
  <w:style w:type="character" w:styleId="EndnoteReference">
    <w:name w:val="endnote reference"/>
    <w:basedOn w:val="DefaultParagraphFont"/>
    <w:uiPriority w:val="99"/>
    <w:semiHidden/>
    <w:unhideWhenUsed/>
    <w:rsid w:val="00EC4FB8"/>
    <w:rPr>
      <w:vertAlign w:val="superscript"/>
    </w:rPr>
  </w:style>
  <w:style w:type="paragraph" w:customStyle="1" w:styleId="Body">
    <w:name w:val="Body"/>
    <w:rsid w:val="00CC43D5"/>
    <w:pPr>
      <w:pBdr>
        <w:top w:val="nil"/>
        <w:left w:val="nil"/>
        <w:bottom w:val="nil"/>
        <w:right w:val="nil"/>
        <w:between w:val="nil"/>
        <w:bar w:val="nil"/>
      </w:pBdr>
    </w:pPr>
    <w:rPr>
      <w:rFonts w:ascii="Calibri" w:eastAsia="Calibri" w:hAnsi="Calibri" w:cs="Calibri"/>
      <w:color w:val="000000"/>
      <w:u w:color="000000"/>
      <w:bdr w:val="nil"/>
      <w:lang w:val="fr-CH" w:eastAsia="fr-CH"/>
    </w:rPr>
  </w:style>
  <w:style w:type="character" w:customStyle="1" w:styleId="news-date">
    <w:name w:val="news-date"/>
    <w:rsid w:val="00CC43D5"/>
    <w:rPr>
      <w:lang w:val="en-US"/>
    </w:rPr>
  </w:style>
  <w:style w:type="character" w:styleId="CommentReference">
    <w:name w:val="annotation reference"/>
    <w:basedOn w:val="DefaultParagraphFont"/>
    <w:uiPriority w:val="99"/>
    <w:semiHidden/>
    <w:unhideWhenUsed/>
    <w:rsid w:val="00F75A23"/>
    <w:rPr>
      <w:sz w:val="16"/>
      <w:szCs w:val="16"/>
    </w:rPr>
  </w:style>
  <w:style w:type="paragraph" w:styleId="CommentText">
    <w:name w:val="annotation text"/>
    <w:basedOn w:val="Normal"/>
    <w:link w:val="CommentTextChar"/>
    <w:uiPriority w:val="99"/>
    <w:semiHidden/>
    <w:unhideWhenUsed/>
    <w:rsid w:val="00F75A23"/>
    <w:pPr>
      <w:spacing w:line="240" w:lineRule="auto"/>
    </w:pPr>
    <w:rPr>
      <w:sz w:val="20"/>
      <w:szCs w:val="20"/>
    </w:rPr>
  </w:style>
  <w:style w:type="character" w:customStyle="1" w:styleId="CommentTextChar">
    <w:name w:val="Comment Text Char"/>
    <w:basedOn w:val="DefaultParagraphFont"/>
    <w:link w:val="CommentText"/>
    <w:uiPriority w:val="99"/>
    <w:semiHidden/>
    <w:rsid w:val="00F75A23"/>
    <w:rPr>
      <w:sz w:val="20"/>
      <w:szCs w:val="20"/>
    </w:rPr>
  </w:style>
  <w:style w:type="paragraph" w:styleId="CommentSubject">
    <w:name w:val="annotation subject"/>
    <w:basedOn w:val="CommentText"/>
    <w:next w:val="CommentText"/>
    <w:link w:val="CommentSubjectChar"/>
    <w:uiPriority w:val="99"/>
    <w:semiHidden/>
    <w:unhideWhenUsed/>
    <w:rsid w:val="00F75A23"/>
    <w:rPr>
      <w:b/>
      <w:bCs/>
    </w:rPr>
  </w:style>
  <w:style w:type="character" w:customStyle="1" w:styleId="CommentSubjectChar">
    <w:name w:val="Comment Subject Char"/>
    <w:basedOn w:val="CommentTextChar"/>
    <w:link w:val="CommentSubject"/>
    <w:uiPriority w:val="99"/>
    <w:semiHidden/>
    <w:rsid w:val="00F75A2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44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_rels/footnotes.xml.rels><?xml version="1.0" encoding="UTF-8" standalone="yes"?>
<Relationships xmlns="http://schemas.openxmlformats.org/package/2006/relationships"><Relationship Id="rId3" Type="http://schemas.openxmlformats.org/officeDocument/2006/relationships/hyperlink" Target="http://www.rqia.org.uk/cms_resources/Maghaberry%20Prison%20report%20%28web%29%2017.02.16.pdf" TargetMode="External"/><Relationship Id="rId2" Type="http://schemas.openxmlformats.org/officeDocument/2006/relationships/hyperlink" Target="http://www.niprisonerombudsman.gov.uk/publications/Annual_Report_2014-15.pdf" TargetMode="External"/><Relationship Id="rId1" Type="http://schemas.openxmlformats.org/officeDocument/2006/relationships/hyperlink" Target="https://www.justice-ni.gov.uk/sites/default/files/consultations/doj/improving-healthwithinjustice-system-consultation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0217E-D0DF-4B8D-9F24-E7591B7F7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4713</Words>
  <Characters>26868</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 Caughey</dc:creator>
  <cp:lastModifiedBy>Colin Caughey</cp:lastModifiedBy>
  <cp:revision>5</cp:revision>
  <cp:lastPrinted>2016-07-06T14:16:00Z</cp:lastPrinted>
  <dcterms:created xsi:type="dcterms:W3CDTF">2016-07-06T15:36:00Z</dcterms:created>
  <dcterms:modified xsi:type="dcterms:W3CDTF">2016-07-06T15:49:00Z</dcterms:modified>
</cp:coreProperties>
</file>