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9A841" w14:textId="77777777" w:rsidR="007129A3" w:rsidRDefault="007129A3" w:rsidP="003B7D0E">
      <w:pPr>
        <w:pStyle w:val="BasicParagraph"/>
        <w:suppressAutoHyphens/>
        <w:jc w:val="center"/>
        <w:rPr>
          <w:rFonts w:ascii="Verdana" w:hAnsi="Verdana" w:cs="Arial"/>
          <w:b/>
          <w:bCs/>
          <w:color w:val="734791"/>
          <w:sz w:val="36"/>
          <w:szCs w:val="36"/>
        </w:rPr>
      </w:pPr>
    </w:p>
    <w:p w14:paraId="3CA63818" w14:textId="667877D2" w:rsidR="00F31387" w:rsidRDefault="00EA695B" w:rsidP="003B7D0E">
      <w:pPr>
        <w:pStyle w:val="BasicParagraph"/>
        <w:suppressAutoHyphens/>
        <w:jc w:val="center"/>
        <w:rPr>
          <w:rFonts w:ascii="Verdana" w:hAnsi="Verdana" w:cs="Arial"/>
          <w:b/>
          <w:bCs/>
          <w:color w:val="734791"/>
          <w:sz w:val="36"/>
          <w:szCs w:val="36"/>
        </w:rPr>
      </w:pPr>
      <w:r>
        <w:rPr>
          <w:rFonts w:ascii="Verdana" w:hAnsi="Verdana" w:cs="Arial"/>
          <w:b/>
          <w:bCs/>
          <w:color w:val="734791"/>
          <w:sz w:val="36"/>
          <w:szCs w:val="36"/>
        </w:rPr>
        <w:t xml:space="preserve"> </w:t>
      </w:r>
      <w:r w:rsidR="008A40C4">
        <w:rPr>
          <w:rFonts w:ascii="Verdana" w:hAnsi="Verdana" w:cs="Arial"/>
          <w:b/>
          <w:bCs/>
          <w:color w:val="734791"/>
          <w:sz w:val="36"/>
          <w:szCs w:val="36"/>
        </w:rPr>
        <w:t xml:space="preserve"> </w:t>
      </w:r>
      <w:r w:rsidR="00F31387" w:rsidRPr="00EA12CE">
        <w:rPr>
          <w:rFonts w:ascii="Verdana" w:hAnsi="Verdana" w:cs="Arial"/>
          <w:b/>
          <w:bCs/>
          <w:noProof/>
          <w:color w:val="734791"/>
          <w:sz w:val="36"/>
          <w:szCs w:val="36"/>
          <w:lang w:eastAsia="en-GB"/>
        </w:rPr>
        <w:drawing>
          <wp:inline distT="0" distB="0" distL="0" distR="0" wp14:anchorId="378B473B" wp14:editId="75387FF1">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4FC2CDEE" w14:textId="77777777" w:rsidR="003B7D0E" w:rsidRPr="00EA12CE" w:rsidRDefault="003B7D0E" w:rsidP="003B7D0E">
      <w:pPr>
        <w:pStyle w:val="BasicParagraph"/>
        <w:suppressAutoHyphens/>
        <w:jc w:val="center"/>
        <w:rPr>
          <w:rFonts w:ascii="Verdana" w:hAnsi="Verdana" w:cs="Arial"/>
          <w:b/>
          <w:bCs/>
          <w:color w:val="734791"/>
          <w:sz w:val="36"/>
          <w:szCs w:val="36"/>
        </w:rPr>
      </w:pPr>
    </w:p>
    <w:p w14:paraId="5EA7C6CD" w14:textId="77777777" w:rsidR="00C80F95" w:rsidRPr="00081F0C" w:rsidRDefault="003F04BA" w:rsidP="003B7D0E">
      <w:pPr>
        <w:pStyle w:val="BasicParagraph"/>
        <w:suppressAutoHyphens/>
        <w:jc w:val="center"/>
        <w:rPr>
          <w:rFonts w:ascii="Verdana" w:hAnsi="Verdana" w:cs="Arial"/>
          <w:b/>
          <w:bCs/>
          <w:color w:val="77328A"/>
          <w:sz w:val="40"/>
          <w:szCs w:val="40"/>
        </w:rPr>
      </w:pPr>
      <w:r w:rsidRPr="00081F0C">
        <w:rPr>
          <w:rFonts w:ascii="Verdana" w:hAnsi="Verdana" w:cs="Arial"/>
          <w:b/>
          <w:bCs/>
          <w:color w:val="77328A"/>
          <w:sz w:val="40"/>
          <w:szCs w:val="40"/>
        </w:rPr>
        <w:t xml:space="preserve">Briefing Paper: </w:t>
      </w:r>
    </w:p>
    <w:p w14:paraId="1362C73C" w14:textId="3E7DE9CB" w:rsidR="0096459E" w:rsidRPr="003B7D0E" w:rsidRDefault="00263DF8" w:rsidP="003B7D0E">
      <w:pPr>
        <w:pStyle w:val="BasicParagraph"/>
        <w:suppressAutoHyphens/>
        <w:jc w:val="center"/>
        <w:rPr>
          <w:rFonts w:ascii="Verdana" w:hAnsi="Verdana" w:cs="Arial"/>
          <w:b/>
          <w:color w:val="77328A"/>
          <w:sz w:val="36"/>
          <w:szCs w:val="36"/>
        </w:rPr>
      </w:pPr>
      <w:r w:rsidRPr="00081F0C">
        <w:rPr>
          <w:rFonts w:ascii="Verdana" w:hAnsi="Verdana" w:cs="Arial"/>
          <w:b/>
          <w:bCs/>
          <w:color w:val="77328A"/>
          <w:sz w:val="40"/>
          <w:szCs w:val="40"/>
        </w:rPr>
        <w:t>Racial and Ethnic</w:t>
      </w:r>
      <w:r w:rsidR="00F27FC3" w:rsidRPr="00081F0C">
        <w:rPr>
          <w:rFonts w:ascii="Verdana" w:hAnsi="Verdana" w:cs="Arial"/>
          <w:b/>
          <w:bCs/>
          <w:color w:val="77328A"/>
          <w:sz w:val="40"/>
          <w:szCs w:val="40"/>
        </w:rPr>
        <w:t xml:space="preserve"> Minority Rights and Online </w:t>
      </w:r>
      <w:r w:rsidR="00DE0D69" w:rsidRPr="00081F0C">
        <w:rPr>
          <w:rFonts w:ascii="Verdana" w:hAnsi="Verdana" w:cs="Arial"/>
          <w:b/>
          <w:bCs/>
          <w:color w:val="77328A"/>
          <w:sz w:val="40"/>
          <w:szCs w:val="40"/>
        </w:rPr>
        <w:t>Mis</w:t>
      </w:r>
      <w:r w:rsidR="00D81CE3" w:rsidRPr="00081F0C">
        <w:rPr>
          <w:rFonts w:ascii="Verdana" w:hAnsi="Verdana" w:cs="Arial"/>
          <w:b/>
          <w:bCs/>
          <w:color w:val="77328A"/>
          <w:sz w:val="40"/>
          <w:szCs w:val="40"/>
        </w:rPr>
        <w:t>information and</w:t>
      </w:r>
      <w:r w:rsidR="007970C4" w:rsidRPr="00081F0C">
        <w:rPr>
          <w:rFonts w:ascii="Verdana" w:hAnsi="Verdana" w:cs="Arial"/>
          <w:b/>
          <w:bCs/>
          <w:color w:val="77328A"/>
          <w:sz w:val="40"/>
          <w:szCs w:val="40"/>
        </w:rPr>
        <w:t xml:space="preserve"> </w:t>
      </w:r>
      <w:r w:rsidR="00F27FC3" w:rsidRPr="00081F0C">
        <w:rPr>
          <w:rFonts w:ascii="Verdana" w:hAnsi="Verdana" w:cs="Arial"/>
          <w:b/>
          <w:bCs/>
          <w:color w:val="77328A"/>
          <w:sz w:val="40"/>
          <w:szCs w:val="40"/>
        </w:rPr>
        <w:t>Disinformation</w:t>
      </w:r>
    </w:p>
    <w:p w14:paraId="4F8201AB" w14:textId="77777777" w:rsidR="00F31387" w:rsidRDefault="00F31387" w:rsidP="003B7D0E">
      <w:pPr>
        <w:pStyle w:val="Default"/>
        <w:spacing w:line="288" w:lineRule="auto"/>
        <w:jc w:val="center"/>
        <w:rPr>
          <w:rFonts w:cs="Arial"/>
          <w:color w:val="232120"/>
          <w:sz w:val="36"/>
          <w:szCs w:val="36"/>
        </w:rPr>
      </w:pPr>
    </w:p>
    <w:p w14:paraId="5EC184B2" w14:textId="77777777" w:rsidR="00213CC9" w:rsidRDefault="00213CC9" w:rsidP="003B7D0E">
      <w:pPr>
        <w:pStyle w:val="Default"/>
        <w:spacing w:line="288" w:lineRule="auto"/>
        <w:jc w:val="center"/>
        <w:rPr>
          <w:rFonts w:cs="Arial"/>
          <w:color w:val="232120"/>
          <w:sz w:val="36"/>
          <w:szCs w:val="36"/>
        </w:rPr>
      </w:pPr>
    </w:p>
    <w:p w14:paraId="18768502" w14:textId="77777777" w:rsidR="00213CC9" w:rsidRPr="00331C61" w:rsidRDefault="00213CC9" w:rsidP="003B7D0E">
      <w:pPr>
        <w:pStyle w:val="Default"/>
        <w:spacing w:line="288" w:lineRule="auto"/>
        <w:jc w:val="center"/>
        <w:rPr>
          <w:rFonts w:cs="Arial"/>
          <w:color w:val="232120"/>
          <w:sz w:val="36"/>
          <w:szCs w:val="36"/>
        </w:rPr>
      </w:pPr>
    </w:p>
    <w:p w14:paraId="4986D1CA" w14:textId="1EFAD7D9" w:rsidR="008159E8" w:rsidRPr="00331C61" w:rsidRDefault="0040451E" w:rsidP="003B7D0E">
      <w:pPr>
        <w:jc w:val="center"/>
        <w:rPr>
          <w:rFonts w:cs="Arial"/>
          <w:b/>
          <w:color w:val="232120"/>
          <w:sz w:val="30"/>
          <w:szCs w:val="30"/>
        </w:rPr>
      </w:pPr>
      <w:r>
        <w:rPr>
          <w:rFonts w:cs="Arial"/>
          <w:b/>
          <w:color w:val="232120"/>
          <w:sz w:val="30"/>
          <w:szCs w:val="30"/>
        </w:rPr>
        <w:t>April 2025</w:t>
      </w:r>
    </w:p>
    <w:p w14:paraId="542B15F6" w14:textId="77777777" w:rsidR="00046705" w:rsidRPr="00331C61" w:rsidRDefault="00046705" w:rsidP="003B7D0E">
      <w:pPr>
        <w:jc w:val="center"/>
        <w:rPr>
          <w:rFonts w:cs="Arial"/>
          <w:b/>
          <w:color w:val="232120"/>
          <w:szCs w:val="28"/>
        </w:rPr>
      </w:pPr>
    </w:p>
    <w:p w14:paraId="13F66792" w14:textId="77777777" w:rsidR="00046705" w:rsidRPr="00331C61" w:rsidRDefault="00046705" w:rsidP="003B7D0E">
      <w:pPr>
        <w:jc w:val="center"/>
        <w:rPr>
          <w:rFonts w:cs="Arial"/>
          <w:b/>
          <w:color w:val="232120"/>
          <w:szCs w:val="28"/>
        </w:rPr>
      </w:pPr>
    </w:p>
    <w:p w14:paraId="6EF00069" w14:textId="77777777" w:rsidR="00EA12CE" w:rsidRPr="00331C61" w:rsidRDefault="00EA12CE" w:rsidP="003B7D0E">
      <w:pPr>
        <w:pStyle w:val="Default"/>
        <w:spacing w:line="288" w:lineRule="auto"/>
        <w:jc w:val="center"/>
        <w:rPr>
          <w:rFonts w:cs="Arial"/>
          <w:b/>
          <w:color w:val="232120"/>
          <w:sz w:val="28"/>
          <w:szCs w:val="28"/>
          <w:lang w:val="en-GB"/>
        </w:rPr>
      </w:pPr>
    </w:p>
    <w:p w14:paraId="084CBB14" w14:textId="77777777" w:rsidR="003B7D0E" w:rsidRPr="00331C61" w:rsidRDefault="003B7D0E" w:rsidP="003B7D0E">
      <w:pPr>
        <w:pStyle w:val="Default"/>
        <w:spacing w:line="480" w:lineRule="auto"/>
        <w:jc w:val="center"/>
        <w:rPr>
          <w:rFonts w:cs="Arial"/>
          <w:b/>
          <w:color w:val="232120"/>
          <w:sz w:val="36"/>
          <w:szCs w:val="36"/>
        </w:rPr>
      </w:pPr>
    </w:p>
    <w:p w14:paraId="71E1DB5A" w14:textId="77777777" w:rsidR="0096459E" w:rsidRPr="00331C61" w:rsidRDefault="0096459E" w:rsidP="0032532C">
      <w:pPr>
        <w:pStyle w:val="Default"/>
        <w:spacing w:line="480" w:lineRule="auto"/>
        <w:rPr>
          <w:rFonts w:cs="Arial"/>
          <w:b/>
          <w:color w:val="232120"/>
          <w:sz w:val="36"/>
          <w:szCs w:val="36"/>
        </w:rPr>
      </w:pPr>
    </w:p>
    <w:p w14:paraId="00A8F1AE" w14:textId="77777777" w:rsidR="003B7D0E" w:rsidRPr="00331C61" w:rsidRDefault="003B7D0E" w:rsidP="003B7D0E">
      <w:pPr>
        <w:pStyle w:val="Default"/>
        <w:spacing w:line="480" w:lineRule="auto"/>
        <w:jc w:val="center"/>
        <w:rPr>
          <w:rFonts w:cs="Arial"/>
          <w:b/>
          <w:color w:val="232120"/>
          <w:sz w:val="36"/>
          <w:szCs w:val="36"/>
        </w:rPr>
      </w:pPr>
    </w:p>
    <w:sdt>
      <w:sdtPr>
        <w:rPr>
          <w:rFonts w:ascii="Verdana" w:eastAsiaTheme="minorEastAsia" w:hAnsi="Verdana" w:cstheme="minorBidi"/>
          <w:color w:val="auto"/>
          <w:sz w:val="28"/>
          <w:szCs w:val="24"/>
          <w:lang w:val="en-GB"/>
        </w:rPr>
        <w:id w:val="-1376074754"/>
        <w:docPartObj>
          <w:docPartGallery w:val="Table of Contents"/>
          <w:docPartUnique/>
        </w:docPartObj>
      </w:sdtPr>
      <w:sdtEndPr>
        <w:rPr>
          <w:b/>
          <w:bCs/>
          <w:noProof/>
        </w:rPr>
      </w:sdtEndPr>
      <w:sdtContent>
        <w:p w14:paraId="3BE4B791" w14:textId="0F05FB5E" w:rsidR="00B507A2" w:rsidRPr="005C487A" w:rsidRDefault="005C487A">
          <w:pPr>
            <w:pStyle w:val="TOCHeading"/>
            <w:rPr>
              <w:rFonts w:ascii="Verdana" w:hAnsi="Verdana"/>
              <w:b/>
              <w:bCs/>
              <w:color w:val="77328A"/>
            </w:rPr>
          </w:pPr>
          <w:r w:rsidRPr="005C487A">
            <w:rPr>
              <w:rFonts w:ascii="Verdana" w:hAnsi="Verdana"/>
              <w:b/>
              <w:bCs/>
              <w:color w:val="77328A"/>
            </w:rPr>
            <w:t>Table of</w:t>
          </w:r>
          <w:r w:rsidRPr="005C487A">
            <w:rPr>
              <w:color w:val="77328A"/>
            </w:rPr>
            <w:t xml:space="preserve"> </w:t>
          </w:r>
          <w:r w:rsidR="00B507A2" w:rsidRPr="005C487A">
            <w:rPr>
              <w:rFonts w:ascii="Verdana" w:hAnsi="Verdana"/>
              <w:b/>
              <w:bCs/>
              <w:color w:val="77328A"/>
            </w:rPr>
            <w:t>Contents</w:t>
          </w:r>
        </w:p>
        <w:p w14:paraId="0E5014DD" w14:textId="3ABDF29E" w:rsidR="005C487A" w:rsidRDefault="00B507A2">
          <w:pPr>
            <w:pStyle w:val="TOC2"/>
            <w:rPr>
              <w:rFonts w:asciiTheme="minorHAnsi" w:hAnsiTheme="minorHAnsi"/>
              <w:b w:val="0"/>
              <w:bCs w:val="0"/>
              <w:kern w:val="2"/>
              <w:sz w:val="24"/>
              <w:lang w:eastAsia="en-GB"/>
              <w14:ligatures w14:val="standardContextual"/>
            </w:rPr>
          </w:pPr>
          <w:r>
            <w:fldChar w:fldCharType="begin"/>
          </w:r>
          <w:r>
            <w:instrText xml:space="preserve"> TOC \o "1-3" \h \z \u </w:instrText>
          </w:r>
          <w:r>
            <w:fldChar w:fldCharType="separate"/>
          </w:r>
          <w:hyperlink w:anchor="_Toc198115660" w:history="1">
            <w:r w:rsidR="005C487A" w:rsidRPr="003C0B46">
              <w:rPr>
                <w:rStyle w:val="Hyperlink"/>
              </w:rPr>
              <w:t>1.0</w:t>
            </w:r>
            <w:r w:rsidR="005C487A">
              <w:rPr>
                <w:rFonts w:asciiTheme="minorHAnsi" w:hAnsiTheme="minorHAnsi"/>
                <w:b w:val="0"/>
                <w:bCs w:val="0"/>
                <w:kern w:val="2"/>
                <w:sz w:val="24"/>
                <w:lang w:eastAsia="en-GB"/>
                <w14:ligatures w14:val="standardContextual"/>
              </w:rPr>
              <w:tab/>
            </w:r>
            <w:r w:rsidR="005C487A" w:rsidRPr="003C0B46">
              <w:rPr>
                <w:rStyle w:val="Hyperlink"/>
              </w:rPr>
              <w:t>Introduction</w:t>
            </w:r>
            <w:r w:rsidR="005C487A">
              <w:rPr>
                <w:webHidden/>
              </w:rPr>
              <w:tab/>
            </w:r>
            <w:r w:rsidR="005C487A">
              <w:rPr>
                <w:webHidden/>
              </w:rPr>
              <w:fldChar w:fldCharType="begin"/>
            </w:r>
            <w:r w:rsidR="005C487A">
              <w:rPr>
                <w:webHidden/>
              </w:rPr>
              <w:instrText xml:space="preserve"> PAGEREF _Toc198115660 \h </w:instrText>
            </w:r>
            <w:r w:rsidR="005C487A">
              <w:rPr>
                <w:webHidden/>
              </w:rPr>
            </w:r>
            <w:r w:rsidR="005C487A">
              <w:rPr>
                <w:webHidden/>
              </w:rPr>
              <w:fldChar w:fldCharType="separate"/>
            </w:r>
            <w:r w:rsidR="00943C9E">
              <w:rPr>
                <w:webHidden/>
              </w:rPr>
              <w:t>3</w:t>
            </w:r>
            <w:r w:rsidR="005C487A">
              <w:rPr>
                <w:webHidden/>
              </w:rPr>
              <w:fldChar w:fldCharType="end"/>
            </w:r>
          </w:hyperlink>
        </w:p>
        <w:p w14:paraId="313D19CF" w14:textId="48380376" w:rsidR="005C487A" w:rsidRDefault="005C487A">
          <w:pPr>
            <w:pStyle w:val="TOC2"/>
            <w:rPr>
              <w:rFonts w:asciiTheme="minorHAnsi" w:hAnsiTheme="minorHAnsi"/>
              <w:b w:val="0"/>
              <w:bCs w:val="0"/>
              <w:kern w:val="2"/>
              <w:sz w:val="24"/>
              <w:lang w:eastAsia="en-GB"/>
              <w14:ligatures w14:val="standardContextual"/>
            </w:rPr>
          </w:pPr>
          <w:hyperlink w:anchor="_Toc198115661" w:history="1">
            <w:r w:rsidRPr="003C0B46">
              <w:rPr>
                <w:rStyle w:val="Hyperlink"/>
              </w:rPr>
              <w:t>2.0</w:t>
            </w:r>
            <w:r>
              <w:rPr>
                <w:rFonts w:asciiTheme="minorHAnsi" w:hAnsiTheme="minorHAnsi"/>
                <w:b w:val="0"/>
                <w:bCs w:val="0"/>
                <w:kern w:val="2"/>
                <w:sz w:val="24"/>
                <w:lang w:eastAsia="en-GB"/>
                <w14:ligatures w14:val="standardContextual"/>
              </w:rPr>
              <w:tab/>
            </w:r>
            <w:r w:rsidRPr="003C0B46">
              <w:rPr>
                <w:rStyle w:val="Hyperlink"/>
              </w:rPr>
              <w:t xml:space="preserve"> International Human Rights Framework</w:t>
            </w:r>
            <w:r>
              <w:rPr>
                <w:webHidden/>
              </w:rPr>
              <w:tab/>
            </w:r>
            <w:r>
              <w:rPr>
                <w:webHidden/>
              </w:rPr>
              <w:fldChar w:fldCharType="begin"/>
            </w:r>
            <w:r>
              <w:rPr>
                <w:webHidden/>
              </w:rPr>
              <w:instrText xml:space="preserve"> PAGEREF _Toc198115661 \h </w:instrText>
            </w:r>
            <w:r>
              <w:rPr>
                <w:webHidden/>
              </w:rPr>
            </w:r>
            <w:r>
              <w:rPr>
                <w:webHidden/>
              </w:rPr>
              <w:fldChar w:fldCharType="separate"/>
            </w:r>
            <w:r w:rsidR="00943C9E">
              <w:rPr>
                <w:webHidden/>
              </w:rPr>
              <w:t>4</w:t>
            </w:r>
            <w:r>
              <w:rPr>
                <w:webHidden/>
              </w:rPr>
              <w:fldChar w:fldCharType="end"/>
            </w:r>
          </w:hyperlink>
        </w:p>
        <w:p w14:paraId="1013E488" w14:textId="4969EB5F" w:rsidR="005C487A" w:rsidRDefault="005C487A">
          <w:pPr>
            <w:pStyle w:val="TOC3"/>
            <w:tabs>
              <w:tab w:val="right" w:leader="dot" w:pos="9848"/>
            </w:tabs>
            <w:rPr>
              <w:rFonts w:asciiTheme="minorHAnsi" w:hAnsiTheme="minorHAnsi"/>
              <w:noProof/>
              <w:kern w:val="2"/>
              <w:sz w:val="24"/>
              <w:lang w:eastAsia="en-GB"/>
              <w14:ligatures w14:val="standardContextual"/>
            </w:rPr>
          </w:pPr>
          <w:hyperlink w:anchor="_Toc198115662" w:history="1">
            <w:r w:rsidRPr="003C0B46">
              <w:rPr>
                <w:rStyle w:val="Hyperlink"/>
                <w:noProof/>
              </w:rPr>
              <w:t>UN International Covenant on Civil and Political Rights</w:t>
            </w:r>
            <w:r>
              <w:rPr>
                <w:noProof/>
                <w:webHidden/>
              </w:rPr>
              <w:tab/>
            </w:r>
            <w:r>
              <w:rPr>
                <w:noProof/>
                <w:webHidden/>
              </w:rPr>
              <w:fldChar w:fldCharType="begin"/>
            </w:r>
            <w:r>
              <w:rPr>
                <w:noProof/>
                <w:webHidden/>
              </w:rPr>
              <w:instrText xml:space="preserve"> PAGEREF _Toc198115662 \h </w:instrText>
            </w:r>
            <w:r>
              <w:rPr>
                <w:noProof/>
                <w:webHidden/>
              </w:rPr>
            </w:r>
            <w:r>
              <w:rPr>
                <w:noProof/>
                <w:webHidden/>
              </w:rPr>
              <w:fldChar w:fldCharType="separate"/>
            </w:r>
            <w:r w:rsidR="00943C9E">
              <w:rPr>
                <w:noProof/>
                <w:webHidden/>
              </w:rPr>
              <w:t>5</w:t>
            </w:r>
            <w:r>
              <w:rPr>
                <w:noProof/>
                <w:webHidden/>
              </w:rPr>
              <w:fldChar w:fldCharType="end"/>
            </w:r>
          </w:hyperlink>
        </w:p>
        <w:p w14:paraId="6632F013" w14:textId="278FB055" w:rsidR="005C487A" w:rsidRDefault="005C487A">
          <w:pPr>
            <w:pStyle w:val="TOC3"/>
            <w:tabs>
              <w:tab w:val="right" w:leader="dot" w:pos="9848"/>
            </w:tabs>
            <w:rPr>
              <w:rFonts w:asciiTheme="minorHAnsi" w:hAnsiTheme="minorHAnsi"/>
              <w:noProof/>
              <w:kern w:val="2"/>
              <w:sz w:val="24"/>
              <w:lang w:eastAsia="en-GB"/>
              <w14:ligatures w14:val="standardContextual"/>
            </w:rPr>
          </w:pPr>
          <w:hyperlink w:anchor="_Toc198115663" w:history="1">
            <w:r w:rsidRPr="003C0B46">
              <w:rPr>
                <w:rStyle w:val="Hyperlink"/>
                <w:noProof/>
              </w:rPr>
              <w:t>UN International Covenant on Economic, Social and Cultural Rights</w:t>
            </w:r>
            <w:r>
              <w:rPr>
                <w:noProof/>
                <w:webHidden/>
              </w:rPr>
              <w:tab/>
            </w:r>
            <w:r>
              <w:rPr>
                <w:noProof/>
                <w:webHidden/>
              </w:rPr>
              <w:fldChar w:fldCharType="begin"/>
            </w:r>
            <w:r>
              <w:rPr>
                <w:noProof/>
                <w:webHidden/>
              </w:rPr>
              <w:instrText xml:space="preserve"> PAGEREF _Toc198115663 \h </w:instrText>
            </w:r>
            <w:r>
              <w:rPr>
                <w:noProof/>
                <w:webHidden/>
              </w:rPr>
            </w:r>
            <w:r>
              <w:rPr>
                <w:noProof/>
                <w:webHidden/>
              </w:rPr>
              <w:fldChar w:fldCharType="separate"/>
            </w:r>
            <w:r w:rsidR="00943C9E">
              <w:rPr>
                <w:noProof/>
                <w:webHidden/>
              </w:rPr>
              <w:t>7</w:t>
            </w:r>
            <w:r>
              <w:rPr>
                <w:noProof/>
                <w:webHidden/>
              </w:rPr>
              <w:fldChar w:fldCharType="end"/>
            </w:r>
          </w:hyperlink>
        </w:p>
        <w:p w14:paraId="4B30EB5C" w14:textId="2FEFC6C4" w:rsidR="005C487A" w:rsidRDefault="005C487A">
          <w:pPr>
            <w:pStyle w:val="TOC3"/>
            <w:tabs>
              <w:tab w:val="right" w:leader="dot" w:pos="9848"/>
            </w:tabs>
            <w:rPr>
              <w:rFonts w:asciiTheme="minorHAnsi" w:hAnsiTheme="minorHAnsi"/>
              <w:noProof/>
              <w:kern w:val="2"/>
              <w:sz w:val="24"/>
              <w:lang w:eastAsia="en-GB"/>
              <w14:ligatures w14:val="standardContextual"/>
            </w:rPr>
          </w:pPr>
          <w:hyperlink w:anchor="_Toc198115664" w:history="1">
            <w:r w:rsidRPr="003C0B46">
              <w:rPr>
                <w:rStyle w:val="Hyperlink"/>
                <w:noProof/>
              </w:rPr>
              <w:t>UN Convention on the Elimination of Racial Discrimination</w:t>
            </w:r>
            <w:r>
              <w:rPr>
                <w:noProof/>
                <w:webHidden/>
              </w:rPr>
              <w:tab/>
            </w:r>
            <w:r>
              <w:rPr>
                <w:noProof/>
                <w:webHidden/>
              </w:rPr>
              <w:fldChar w:fldCharType="begin"/>
            </w:r>
            <w:r>
              <w:rPr>
                <w:noProof/>
                <w:webHidden/>
              </w:rPr>
              <w:instrText xml:space="preserve"> PAGEREF _Toc198115664 \h </w:instrText>
            </w:r>
            <w:r>
              <w:rPr>
                <w:noProof/>
                <w:webHidden/>
              </w:rPr>
            </w:r>
            <w:r>
              <w:rPr>
                <w:noProof/>
                <w:webHidden/>
              </w:rPr>
              <w:fldChar w:fldCharType="separate"/>
            </w:r>
            <w:r w:rsidR="00943C9E">
              <w:rPr>
                <w:noProof/>
                <w:webHidden/>
              </w:rPr>
              <w:t>8</w:t>
            </w:r>
            <w:r>
              <w:rPr>
                <w:noProof/>
                <w:webHidden/>
              </w:rPr>
              <w:fldChar w:fldCharType="end"/>
            </w:r>
          </w:hyperlink>
        </w:p>
        <w:p w14:paraId="2EC1F5D3" w14:textId="1CC50B47" w:rsidR="005C487A" w:rsidRDefault="005C487A">
          <w:pPr>
            <w:pStyle w:val="TOC3"/>
            <w:tabs>
              <w:tab w:val="right" w:leader="dot" w:pos="9848"/>
            </w:tabs>
            <w:rPr>
              <w:rFonts w:asciiTheme="minorHAnsi" w:hAnsiTheme="minorHAnsi"/>
              <w:noProof/>
              <w:kern w:val="2"/>
              <w:sz w:val="24"/>
              <w:lang w:eastAsia="en-GB"/>
              <w14:ligatures w14:val="standardContextual"/>
            </w:rPr>
          </w:pPr>
          <w:hyperlink w:anchor="_Toc198115665" w:history="1">
            <w:r w:rsidRPr="003C0B46">
              <w:rPr>
                <w:rStyle w:val="Hyperlink"/>
                <w:noProof/>
              </w:rPr>
              <w:t>UN Convention on the Elimination of Discrimination Against Women</w:t>
            </w:r>
            <w:r>
              <w:rPr>
                <w:noProof/>
                <w:webHidden/>
              </w:rPr>
              <w:tab/>
            </w:r>
            <w:r>
              <w:rPr>
                <w:noProof/>
                <w:webHidden/>
              </w:rPr>
              <w:fldChar w:fldCharType="begin"/>
            </w:r>
            <w:r>
              <w:rPr>
                <w:noProof/>
                <w:webHidden/>
              </w:rPr>
              <w:instrText xml:space="preserve"> PAGEREF _Toc198115665 \h </w:instrText>
            </w:r>
            <w:r>
              <w:rPr>
                <w:noProof/>
                <w:webHidden/>
              </w:rPr>
            </w:r>
            <w:r>
              <w:rPr>
                <w:noProof/>
                <w:webHidden/>
              </w:rPr>
              <w:fldChar w:fldCharType="separate"/>
            </w:r>
            <w:r w:rsidR="00943C9E">
              <w:rPr>
                <w:noProof/>
                <w:webHidden/>
              </w:rPr>
              <w:t>10</w:t>
            </w:r>
            <w:r>
              <w:rPr>
                <w:noProof/>
                <w:webHidden/>
              </w:rPr>
              <w:fldChar w:fldCharType="end"/>
            </w:r>
          </w:hyperlink>
        </w:p>
        <w:p w14:paraId="62006B7A" w14:textId="32723726" w:rsidR="005C487A" w:rsidRDefault="005C487A">
          <w:pPr>
            <w:pStyle w:val="TOC3"/>
            <w:tabs>
              <w:tab w:val="right" w:leader="dot" w:pos="9848"/>
            </w:tabs>
            <w:rPr>
              <w:rFonts w:asciiTheme="minorHAnsi" w:hAnsiTheme="minorHAnsi"/>
              <w:noProof/>
              <w:kern w:val="2"/>
              <w:sz w:val="24"/>
              <w:lang w:eastAsia="en-GB"/>
              <w14:ligatures w14:val="standardContextual"/>
            </w:rPr>
          </w:pPr>
          <w:hyperlink w:anchor="_Toc198115666" w:history="1">
            <w:r w:rsidRPr="003C0B46">
              <w:rPr>
                <w:rStyle w:val="Hyperlink"/>
                <w:noProof/>
              </w:rPr>
              <w:t>UN Convention on the Rights of the Child</w:t>
            </w:r>
            <w:r>
              <w:rPr>
                <w:noProof/>
                <w:webHidden/>
              </w:rPr>
              <w:tab/>
            </w:r>
            <w:r>
              <w:rPr>
                <w:noProof/>
                <w:webHidden/>
              </w:rPr>
              <w:fldChar w:fldCharType="begin"/>
            </w:r>
            <w:r>
              <w:rPr>
                <w:noProof/>
                <w:webHidden/>
              </w:rPr>
              <w:instrText xml:space="preserve"> PAGEREF _Toc198115666 \h </w:instrText>
            </w:r>
            <w:r>
              <w:rPr>
                <w:noProof/>
                <w:webHidden/>
              </w:rPr>
            </w:r>
            <w:r>
              <w:rPr>
                <w:noProof/>
                <w:webHidden/>
              </w:rPr>
              <w:fldChar w:fldCharType="separate"/>
            </w:r>
            <w:r w:rsidR="00943C9E">
              <w:rPr>
                <w:noProof/>
                <w:webHidden/>
              </w:rPr>
              <w:t>11</w:t>
            </w:r>
            <w:r>
              <w:rPr>
                <w:noProof/>
                <w:webHidden/>
              </w:rPr>
              <w:fldChar w:fldCharType="end"/>
            </w:r>
          </w:hyperlink>
        </w:p>
        <w:p w14:paraId="452820A1" w14:textId="25AD1D91" w:rsidR="005C487A" w:rsidRDefault="005C487A">
          <w:pPr>
            <w:pStyle w:val="TOC3"/>
            <w:tabs>
              <w:tab w:val="right" w:leader="dot" w:pos="9848"/>
            </w:tabs>
            <w:rPr>
              <w:rFonts w:asciiTheme="minorHAnsi" w:hAnsiTheme="minorHAnsi"/>
              <w:noProof/>
              <w:kern w:val="2"/>
              <w:sz w:val="24"/>
              <w:lang w:eastAsia="en-GB"/>
              <w14:ligatures w14:val="standardContextual"/>
            </w:rPr>
          </w:pPr>
          <w:hyperlink w:anchor="_Toc198115667" w:history="1">
            <w:r w:rsidRPr="003C0B46">
              <w:rPr>
                <w:rStyle w:val="Hyperlink"/>
                <w:noProof/>
              </w:rPr>
              <w:t>UN Special Procedures</w:t>
            </w:r>
            <w:r>
              <w:rPr>
                <w:noProof/>
                <w:webHidden/>
              </w:rPr>
              <w:tab/>
            </w:r>
            <w:r>
              <w:rPr>
                <w:noProof/>
                <w:webHidden/>
              </w:rPr>
              <w:fldChar w:fldCharType="begin"/>
            </w:r>
            <w:r>
              <w:rPr>
                <w:noProof/>
                <w:webHidden/>
              </w:rPr>
              <w:instrText xml:space="preserve"> PAGEREF _Toc198115667 \h </w:instrText>
            </w:r>
            <w:r>
              <w:rPr>
                <w:noProof/>
                <w:webHidden/>
              </w:rPr>
            </w:r>
            <w:r>
              <w:rPr>
                <w:noProof/>
                <w:webHidden/>
              </w:rPr>
              <w:fldChar w:fldCharType="separate"/>
            </w:r>
            <w:r w:rsidR="00943C9E">
              <w:rPr>
                <w:noProof/>
                <w:webHidden/>
              </w:rPr>
              <w:t>12</w:t>
            </w:r>
            <w:r>
              <w:rPr>
                <w:noProof/>
                <w:webHidden/>
              </w:rPr>
              <w:fldChar w:fldCharType="end"/>
            </w:r>
          </w:hyperlink>
        </w:p>
        <w:p w14:paraId="2F789D40" w14:textId="1E22AC75" w:rsidR="005C487A" w:rsidRDefault="005C487A">
          <w:pPr>
            <w:pStyle w:val="TOC3"/>
            <w:tabs>
              <w:tab w:val="right" w:leader="dot" w:pos="9848"/>
            </w:tabs>
            <w:rPr>
              <w:rFonts w:asciiTheme="minorHAnsi" w:hAnsiTheme="minorHAnsi"/>
              <w:noProof/>
              <w:kern w:val="2"/>
              <w:sz w:val="24"/>
              <w:lang w:eastAsia="en-GB"/>
              <w14:ligatures w14:val="standardContextual"/>
            </w:rPr>
          </w:pPr>
          <w:hyperlink w:anchor="_Toc198115668" w:history="1">
            <w:r w:rsidRPr="003C0B46">
              <w:rPr>
                <w:rStyle w:val="Hyperlink"/>
                <w:noProof/>
              </w:rPr>
              <w:t>UN Guiding Principles on Business and Human Rights</w:t>
            </w:r>
            <w:r>
              <w:rPr>
                <w:noProof/>
                <w:webHidden/>
              </w:rPr>
              <w:tab/>
            </w:r>
            <w:r>
              <w:rPr>
                <w:noProof/>
                <w:webHidden/>
              </w:rPr>
              <w:fldChar w:fldCharType="begin"/>
            </w:r>
            <w:r>
              <w:rPr>
                <w:noProof/>
                <w:webHidden/>
              </w:rPr>
              <w:instrText xml:space="preserve"> PAGEREF _Toc198115668 \h </w:instrText>
            </w:r>
            <w:r>
              <w:rPr>
                <w:noProof/>
                <w:webHidden/>
              </w:rPr>
            </w:r>
            <w:r>
              <w:rPr>
                <w:noProof/>
                <w:webHidden/>
              </w:rPr>
              <w:fldChar w:fldCharType="separate"/>
            </w:r>
            <w:r w:rsidR="00943C9E">
              <w:rPr>
                <w:noProof/>
                <w:webHidden/>
              </w:rPr>
              <w:t>13</w:t>
            </w:r>
            <w:r>
              <w:rPr>
                <w:noProof/>
                <w:webHidden/>
              </w:rPr>
              <w:fldChar w:fldCharType="end"/>
            </w:r>
          </w:hyperlink>
        </w:p>
        <w:p w14:paraId="41357525" w14:textId="090ADF83" w:rsidR="005C487A" w:rsidRDefault="005C487A">
          <w:pPr>
            <w:pStyle w:val="TOC3"/>
            <w:tabs>
              <w:tab w:val="right" w:leader="dot" w:pos="9848"/>
            </w:tabs>
            <w:rPr>
              <w:rFonts w:asciiTheme="minorHAnsi" w:hAnsiTheme="minorHAnsi"/>
              <w:noProof/>
              <w:kern w:val="2"/>
              <w:sz w:val="24"/>
              <w:lang w:eastAsia="en-GB"/>
              <w14:ligatures w14:val="standardContextual"/>
            </w:rPr>
          </w:pPr>
          <w:hyperlink w:anchor="_Toc198115669" w:history="1">
            <w:r w:rsidRPr="003C0B46">
              <w:rPr>
                <w:rStyle w:val="Hyperlink"/>
                <w:noProof/>
              </w:rPr>
              <w:t>European Convention of Human Rights</w:t>
            </w:r>
            <w:r>
              <w:rPr>
                <w:noProof/>
                <w:webHidden/>
              </w:rPr>
              <w:tab/>
            </w:r>
            <w:r>
              <w:rPr>
                <w:noProof/>
                <w:webHidden/>
              </w:rPr>
              <w:fldChar w:fldCharType="begin"/>
            </w:r>
            <w:r>
              <w:rPr>
                <w:noProof/>
                <w:webHidden/>
              </w:rPr>
              <w:instrText xml:space="preserve"> PAGEREF _Toc198115669 \h </w:instrText>
            </w:r>
            <w:r>
              <w:rPr>
                <w:noProof/>
                <w:webHidden/>
              </w:rPr>
            </w:r>
            <w:r>
              <w:rPr>
                <w:noProof/>
                <w:webHidden/>
              </w:rPr>
              <w:fldChar w:fldCharType="separate"/>
            </w:r>
            <w:r w:rsidR="00943C9E">
              <w:rPr>
                <w:noProof/>
                <w:webHidden/>
              </w:rPr>
              <w:t>14</w:t>
            </w:r>
            <w:r>
              <w:rPr>
                <w:noProof/>
                <w:webHidden/>
              </w:rPr>
              <w:fldChar w:fldCharType="end"/>
            </w:r>
          </w:hyperlink>
        </w:p>
        <w:p w14:paraId="3ADBDE90" w14:textId="45DCFBB9" w:rsidR="005C487A" w:rsidRDefault="005C487A">
          <w:pPr>
            <w:pStyle w:val="TOC3"/>
            <w:tabs>
              <w:tab w:val="right" w:leader="dot" w:pos="9848"/>
            </w:tabs>
            <w:rPr>
              <w:rFonts w:asciiTheme="minorHAnsi" w:hAnsiTheme="minorHAnsi"/>
              <w:noProof/>
              <w:kern w:val="2"/>
              <w:sz w:val="24"/>
              <w:lang w:eastAsia="en-GB"/>
              <w14:ligatures w14:val="standardContextual"/>
            </w:rPr>
          </w:pPr>
          <w:hyperlink w:anchor="_Toc198115670" w:history="1">
            <w:r w:rsidRPr="003C0B46">
              <w:rPr>
                <w:rStyle w:val="Hyperlink"/>
                <w:noProof/>
              </w:rPr>
              <w:t>Council of Europe Convention on Preventing and Combating Violence Against Women and Domestic Violence</w:t>
            </w:r>
            <w:r>
              <w:rPr>
                <w:noProof/>
                <w:webHidden/>
              </w:rPr>
              <w:tab/>
            </w:r>
            <w:r>
              <w:rPr>
                <w:noProof/>
                <w:webHidden/>
              </w:rPr>
              <w:fldChar w:fldCharType="begin"/>
            </w:r>
            <w:r>
              <w:rPr>
                <w:noProof/>
                <w:webHidden/>
              </w:rPr>
              <w:instrText xml:space="preserve"> PAGEREF _Toc198115670 \h </w:instrText>
            </w:r>
            <w:r>
              <w:rPr>
                <w:noProof/>
                <w:webHidden/>
              </w:rPr>
            </w:r>
            <w:r>
              <w:rPr>
                <w:noProof/>
                <w:webHidden/>
              </w:rPr>
              <w:fldChar w:fldCharType="separate"/>
            </w:r>
            <w:r w:rsidR="00943C9E">
              <w:rPr>
                <w:noProof/>
                <w:webHidden/>
              </w:rPr>
              <w:t>18</w:t>
            </w:r>
            <w:r>
              <w:rPr>
                <w:noProof/>
                <w:webHidden/>
              </w:rPr>
              <w:fldChar w:fldCharType="end"/>
            </w:r>
          </w:hyperlink>
        </w:p>
        <w:p w14:paraId="1FF61727" w14:textId="4517905B" w:rsidR="005C487A" w:rsidRDefault="005C487A">
          <w:pPr>
            <w:pStyle w:val="TOC3"/>
            <w:tabs>
              <w:tab w:val="right" w:leader="dot" w:pos="9848"/>
            </w:tabs>
            <w:rPr>
              <w:rFonts w:asciiTheme="minorHAnsi" w:hAnsiTheme="minorHAnsi"/>
              <w:noProof/>
              <w:kern w:val="2"/>
              <w:sz w:val="24"/>
              <w:lang w:eastAsia="en-GB"/>
              <w14:ligatures w14:val="standardContextual"/>
            </w:rPr>
          </w:pPr>
          <w:hyperlink w:anchor="_Toc198115671" w:history="1">
            <w:r w:rsidRPr="003C0B46">
              <w:rPr>
                <w:rStyle w:val="Hyperlink"/>
                <w:noProof/>
              </w:rPr>
              <w:t>Council of Europe Convention on Cybercrime</w:t>
            </w:r>
            <w:r>
              <w:rPr>
                <w:noProof/>
                <w:webHidden/>
              </w:rPr>
              <w:tab/>
            </w:r>
            <w:r>
              <w:rPr>
                <w:noProof/>
                <w:webHidden/>
              </w:rPr>
              <w:fldChar w:fldCharType="begin"/>
            </w:r>
            <w:r>
              <w:rPr>
                <w:noProof/>
                <w:webHidden/>
              </w:rPr>
              <w:instrText xml:space="preserve"> PAGEREF _Toc198115671 \h </w:instrText>
            </w:r>
            <w:r>
              <w:rPr>
                <w:noProof/>
                <w:webHidden/>
              </w:rPr>
            </w:r>
            <w:r>
              <w:rPr>
                <w:noProof/>
                <w:webHidden/>
              </w:rPr>
              <w:fldChar w:fldCharType="separate"/>
            </w:r>
            <w:r w:rsidR="00943C9E">
              <w:rPr>
                <w:noProof/>
                <w:webHidden/>
              </w:rPr>
              <w:t>19</w:t>
            </w:r>
            <w:r>
              <w:rPr>
                <w:noProof/>
                <w:webHidden/>
              </w:rPr>
              <w:fldChar w:fldCharType="end"/>
            </w:r>
          </w:hyperlink>
        </w:p>
        <w:p w14:paraId="3EE2E8AB" w14:textId="76570D1D" w:rsidR="005C487A" w:rsidRDefault="005C487A">
          <w:pPr>
            <w:pStyle w:val="TOC3"/>
            <w:tabs>
              <w:tab w:val="right" w:leader="dot" w:pos="9848"/>
            </w:tabs>
            <w:rPr>
              <w:rFonts w:asciiTheme="minorHAnsi" w:hAnsiTheme="minorHAnsi"/>
              <w:noProof/>
              <w:kern w:val="2"/>
              <w:sz w:val="24"/>
              <w:lang w:eastAsia="en-GB"/>
              <w14:ligatures w14:val="standardContextual"/>
            </w:rPr>
          </w:pPr>
          <w:hyperlink w:anchor="_Toc198115672" w:history="1">
            <w:r w:rsidRPr="003C0B46">
              <w:rPr>
                <w:rStyle w:val="Hyperlink"/>
                <w:noProof/>
              </w:rPr>
              <w:t>Council of Europe European Commission against Racism and Intolerance</w:t>
            </w:r>
            <w:r>
              <w:rPr>
                <w:noProof/>
                <w:webHidden/>
              </w:rPr>
              <w:tab/>
            </w:r>
            <w:r>
              <w:rPr>
                <w:noProof/>
                <w:webHidden/>
              </w:rPr>
              <w:fldChar w:fldCharType="begin"/>
            </w:r>
            <w:r>
              <w:rPr>
                <w:noProof/>
                <w:webHidden/>
              </w:rPr>
              <w:instrText xml:space="preserve"> PAGEREF _Toc198115672 \h </w:instrText>
            </w:r>
            <w:r>
              <w:rPr>
                <w:noProof/>
                <w:webHidden/>
              </w:rPr>
            </w:r>
            <w:r>
              <w:rPr>
                <w:noProof/>
                <w:webHidden/>
              </w:rPr>
              <w:fldChar w:fldCharType="separate"/>
            </w:r>
            <w:r w:rsidR="00943C9E">
              <w:rPr>
                <w:noProof/>
                <w:webHidden/>
              </w:rPr>
              <w:t>19</w:t>
            </w:r>
            <w:r>
              <w:rPr>
                <w:noProof/>
                <w:webHidden/>
              </w:rPr>
              <w:fldChar w:fldCharType="end"/>
            </w:r>
          </w:hyperlink>
        </w:p>
        <w:p w14:paraId="2204B620" w14:textId="62D4CFB9" w:rsidR="005C487A" w:rsidRDefault="005C487A">
          <w:pPr>
            <w:pStyle w:val="TOC3"/>
            <w:tabs>
              <w:tab w:val="right" w:leader="dot" w:pos="9848"/>
            </w:tabs>
            <w:rPr>
              <w:rFonts w:asciiTheme="minorHAnsi" w:hAnsiTheme="minorHAnsi"/>
              <w:noProof/>
              <w:kern w:val="2"/>
              <w:sz w:val="24"/>
              <w:lang w:eastAsia="en-GB"/>
              <w14:ligatures w14:val="standardContextual"/>
            </w:rPr>
          </w:pPr>
          <w:hyperlink w:anchor="_Toc198115673" w:history="1">
            <w:r w:rsidRPr="003C0B46">
              <w:rPr>
                <w:rStyle w:val="Hyperlink"/>
                <w:noProof/>
              </w:rPr>
              <w:t>Council of Europe Commissioner for Human Rights</w:t>
            </w:r>
            <w:r>
              <w:rPr>
                <w:noProof/>
                <w:webHidden/>
              </w:rPr>
              <w:tab/>
            </w:r>
            <w:r>
              <w:rPr>
                <w:noProof/>
                <w:webHidden/>
              </w:rPr>
              <w:fldChar w:fldCharType="begin"/>
            </w:r>
            <w:r>
              <w:rPr>
                <w:noProof/>
                <w:webHidden/>
              </w:rPr>
              <w:instrText xml:space="preserve"> PAGEREF _Toc198115673 \h </w:instrText>
            </w:r>
            <w:r>
              <w:rPr>
                <w:noProof/>
                <w:webHidden/>
              </w:rPr>
            </w:r>
            <w:r>
              <w:rPr>
                <w:noProof/>
                <w:webHidden/>
              </w:rPr>
              <w:fldChar w:fldCharType="separate"/>
            </w:r>
            <w:r w:rsidR="00943C9E">
              <w:rPr>
                <w:noProof/>
                <w:webHidden/>
              </w:rPr>
              <w:t>20</w:t>
            </w:r>
            <w:r>
              <w:rPr>
                <w:noProof/>
                <w:webHidden/>
              </w:rPr>
              <w:fldChar w:fldCharType="end"/>
            </w:r>
          </w:hyperlink>
        </w:p>
        <w:p w14:paraId="29CBA079" w14:textId="26DD9CA5" w:rsidR="005C487A" w:rsidRDefault="005C487A">
          <w:pPr>
            <w:pStyle w:val="TOC1"/>
            <w:tabs>
              <w:tab w:val="left" w:pos="1200"/>
            </w:tabs>
            <w:rPr>
              <w:rFonts w:asciiTheme="minorHAnsi" w:hAnsiTheme="minorHAnsi" w:cstheme="minorBidi"/>
              <w:b w:val="0"/>
              <w:bCs w:val="0"/>
              <w:kern w:val="2"/>
              <w:sz w:val="24"/>
              <w:szCs w:val="24"/>
              <w:lang w:val="en-GB" w:eastAsia="en-GB"/>
              <w14:ligatures w14:val="standardContextual"/>
            </w:rPr>
          </w:pPr>
          <w:hyperlink w:anchor="_Toc198115674" w:history="1">
            <w:r w:rsidRPr="003C0B46">
              <w:rPr>
                <w:rStyle w:val="Hyperlink"/>
              </w:rPr>
              <w:t>3.0</w:t>
            </w:r>
            <w:r>
              <w:rPr>
                <w:rFonts w:asciiTheme="minorHAnsi" w:hAnsiTheme="minorHAnsi" w:cstheme="minorBidi"/>
                <w:b w:val="0"/>
                <w:bCs w:val="0"/>
                <w:kern w:val="2"/>
                <w:sz w:val="24"/>
                <w:szCs w:val="24"/>
                <w:lang w:val="en-GB" w:eastAsia="en-GB"/>
                <w14:ligatures w14:val="standardContextual"/>
              </w:rPr>
              <w:tab/>
            </w:r>
            <w:r w:rsidRPr="003C0B46">
              <w:rPr>
                <w:rStyle w:val="Hyperlink"/>
              </w:rPr>
              <w:t xml:space="preserve"> Northern Ireland Context</w:t>
            </w:r>
            <w:r>
              <w:rPr>
                <w:webHidden/>
              </w:rPr>
              <w:tab/>
            </w:r>
            <w:r>
              <w:rPr>
                <w:webHidden/>
              </w:rPr>
              <w:fldChar w:fldCharType="begin"/>
            </w:r>
            <w:r>
              <w:rPr>
                <w:webHidden/>
              </w:rPr>
              <w:instrText xml:space="preserve"> PAGEREF _Toc198115674 \h </w:instrText>
            </w:r>
            <w:r>
              <w:rPr>
                <w:webHidden/>
              </w:rPr>
            </w:r>
            <w:r>
              <w:rPr>
                <w:webHidden/>
              </w:rPr>
              <w:fldChar w:fldCharType="separate"/>
            </w:r>
            <w:r w:rsidR="00943C9E">
              <w:rPr>
                <w:webHidden/>
              </w:rPr>
              <w:t>20</w:t>
            </w:r>
            <w:r>
              <w:rPr>
                <w:webHidden/>
              </w:rPr>
              <w:fldChar w:fldCharType="end"/>
            </w:r>
          </w:hyperlink>
        </w:p>
        <w:p w14:paraId="03D81A4D" w14:textId="0B3CC1F8" w:rsidR="005C487A" w:rsidRDefault="005C487A">
          <w:pPr>
            <w:pStyle w:val="TOC3"/>
            <w:tabs>
              <w:tab w:val="right" w:leader="dot" w:pos="9848"/>
            </w:tabs>
            <w:rPr>
              <w:rFonts w:asciiTheme="minorHAnsi" w:hAnsiTheme="minorHAnsi"/>
              <w:noProof/>
              <w:kern w:val="2"/>
              <w:sz w:val="24"/>
              <w:lang w:eastAsia="en-GB"/>
              <w14:ligatures w14:val="standardContextual"/>
            </w:rPr>
          </w:pPr>
          <w:hyperlink w:anchor="_Toc198115675" w:history="1">
            <w:r w:rsidRPr="003C0B46">
              <w:rPr>
                <w:rStyle w:val="Hyperlink"/>
                <w:noProof/>
              </w:rPr>
              <w:t>Racial and Ethnic Minority Rights</w:t>
            </w:r>
            <w:r>
              <w:rPr>
                <w:noProof/>
                <w:webHidden/>
              </w:rPr>
              <w:tab/>
            </w:r>
            <w:r>
              <w:rPr>
                <w:noProof/>
                <w:webHidden/>
              </w:rPr>
              <w:fldChar w:fldCharType="begin"/>
            </w:r>
            <w:r>
              <w:rPr>
                <w:noProof/>
                <w:webHidden/>
              </w:rPr>
              <w:instrText xml:space="preserve"> PAGEREF _Toc198115675 \h </w:instrText>
            </w:r>
            <w:r>
              <w:rPr>
                <w:noProof/>
                <w:webHidden/>
              </w:rPr>
            </w:r>
            <w:r>
              <w:rPr>
                <w:noProof/>
                <w:webHidden/>
              </w:rPr>
              <w:fldChar w:fldCharType="separate"/>
            </w:r>
            <w:r w:rsidR="00943C9E">
              <w:rPr>
                <w:noProof/>
                <w:webHidden/>
              </w:rPr>
              <w:t>20</w:t>
            </w:r>
            <w:r>
              <w:rPr>
                <w:noProof/>
                <w:webHidden/>
              </w:rPr>
              <w:fldChar w:fldCharType="end"/>
            </w:r>
          </w:hyperlink>
        </w:p>
        <w:p w14:paraId="1475B55F" w14:textId="0D9237FC" w:rsidR="005C487A" w:rsidRDefault="005C487A">
          <w:pPr>
            <w:pStyle w:val="TOC3"/>
            <w:tabs>
              <w:tab w:val="right" w:leader="dot" w:pos="9848"/>
            </w:tabs>
            <w:rPr>
              <w:rFonts w:asciiTheme="minorHAnsi" w:hAnsiTheme="minorHAnsi"/>
              <w:noProof/>
              <w:kern w:val="2"/>
              <w:sz w:val="24"/>
              <w:lang w:eastAsia="en-GB"/>
              <w14:ligatures w14:val="standardContextual"/>
            </w:rPr>
          </w:pPr>
          <w:hyperlink w:anchor="_Toc198115676" w:history="1">
            <w:r w:rsidRPr="003C0B46">
              <w:rPr>
                <w:rStyle w:val="Hyperlink"/>
                <w:noProof/>
              </w:rPr>
              <w:t>Online Misinformation and Disinformation</w:t>
            </w:r>
            <w:r>
              <w:rPr>
                <w:noProof/>
                <w:webHidden/>
              </w:rPr>
              <w:tab/>
            </w:r>
            <w:r>
              <w:rPr>
                <w:noProof/>
                <w:webHidden/>
              </w:rPr>
              <w:fldChar w:fldCharType="begin"/>
            </w:r>
            <w:r>
              <w:rPr>
                <w:noProof/>
                <w:webHidden/>
              </w:rPr>
              <w:instrText xml:space="preserve"> PAGEREF _Toc198115676 \h </w:instrText>
            </w:r>
            <w:r>
              <w:rPr>
                <w:noProof/>
                <w:webHidden/>
              </w:rPr>
            </w:r>
            <w:r>
              <w:rPr>
                <w:noProof/>
                <w:webHidden/>
              </w:rPr>
              <w:fldChar w:fldCharType="separate"/>
            </w:r>
            <w:r w:rsidR="00943C9E">
              <w:rPr>
                <w:noProof/>
                <w:webHidden/>
              </w:rPr>
              <w:t>21</w:t>
            </w:r>
            <w:r>
              <w:rPr>
                <w:noProof/>
                <w:webHidden/>
              </w:rPr>
              <w:fldChar w:fldCharType="end"/>
            </w:r>
          </w:hyperlink>
        </w:p>
        <w:p w14:paraId="02BBB63D" w14:textId="1D6C823E" w:rsidR="005C487A" w:rsidRDefault="005C487A">
          <w:pPr>
            <w:pStyle w:val="TOC2"/>
            <w:rPr>
              <w:rFonts w:asciiTheme="minorHAnsi" w:hAnsiTheme="minorHAnsi"/>
              <w:b w:val="0"/>
              <w:bCs w:val="0"/>
              <w:kern w:val="2"/>
              <w:sz w:val="24"/>
              <w:lang w:eastAsia="en-GB"/>
              <w14:ligatures w14:val="standardContextual"/>
            </w:rPr>
          </w:pPr>
          <w:hyperlink w:anchor="_Toc198115677" w:history="1">
            <w:r w:rsidRPr="003C0B46">
              <w:rPr>
                <w:rStyle w:val="Hyperlink"/>
              </w:rPr>
              <w:t>4.0</w:t>
            </w:r>
            <w:r>
              <w:rPr>
                <w:rFonts w:asciiTheme="minorHAnsi" w:hAnsiTheme="minorHAnsi"/>
                <w:b w:val="0"/>
                <w:bCs w:val="0"/>
                <w:kern w:val="2"/>
                <w:sz w:val="24"/>
                <w:lang w:eastAsia="en-GB"/>
                <w14:ligatures w14:val="standardContextual"/>
              </w:rPr>
              <w:tab/>
            </w:r>
            <w:r w:rsidRPr="003C0B46">
              <w:rPr>
                <w:rStyle w:val="Hyperlink"/>
              </w:rPr>
              <w:t>Recommendations</w:t>
            </w:r>
            <w:r>
              <w:rPr>
                <w:webHidden/>
              </w:rPr>
              <w:tab/>
            </w:r>
            <w:r>
              <w:rPr>
                <w:webHidden/>
              </w:rPr>
              <w:fldChar w:fldCharType="begin"/>
            </w:r>
            <w:r>
              <w:rPr>
                <w:webHidden/>
              </w:rPr>
              <w:instrText xml:space="preserve"> PAGEREF _Toc198115677 \h </w:instrText>
            </w:r>
            <w:r>
              <w:rPr>
                <w:webHidden/>
              </w:rPr>
            </w:r>
            <w:r>
              <w:rPr>
                <w:webHidden/>
              </w:rPr>
              <w:fldChar w:fldCharType="separate"/>
            </w:r>
            <w:r w:rsidR="00943C9E">
              <w:rPr>
                <w:webHidden/>
              </w:rPr>
              <w:t>25</w:t>
            </w:r>
            <w:r>
              <w:rPr>
                <w:webHidden/>
              </w:rPr>
              <w:fldChar w:fldCharType="end"/>
            </w:r>
          </w:hyperlink>
        </w:p>
        <w:p w14:paraId="506312BC" w14:textId="764AE287" w:rsidR="00B507A2" w:rsidRDefault="00B507A2">
          <w:r>
            <w:rPr>
              <w:b/>
              <w:bCs/>
              <w:noProof/>
            </w:rPr>
            <w:fldChar w:fldCharType="end"/>
          </w:r>
        </w:p>
      </w:sdtContent>
    </w:sdt>
    <w:p w14:paraId="5219201F" w14:textId="77777777" w:rsidR="002A6C14" w:rsidRDefault="002A6C14">
      <w:pPr>
        <w:spacing w:line="240" w:lineRule="auto"/>
        <w:rPr>
          <w:rFonts w:eastAsiaTheme="majorEastAsia" w:cstheme="majorBidi"/>
          <w:b/>
          <w:color w:val="77328A"/>
          <w:sz w:val="30"/>
          <w:szCs w:val="26"/>
        </w:rPr>
      </w:pPr>
      <w:r>
        <w:br w:type="page"/>
      </w:r>
    </w:p>
    <w:p w14:paraId="520C5DFA" w14:textId="38C3FEF7" w:rsidR="003F04BA" w:rsidRPr="007972F2" w:rsidRDefault="007972F2" w:rsidP="007972F2">
      <w:pPr>
        <w:pStyle w:val="Heading2"/>
      </w:pPr>
      <w:bookmarkStart w:id="0" w:name="_Toc198115660"/>
      <w:r>
        <w:lastRenderedPageBreak/>
        <w:t>1.0</w:t>
      </w:r>
      <w:r>
        <w:tab/>
      </w:r>
      <w:r w:rsidR="00ED40E9">
        <w:t>Intr</w:t>
      </w:r>
      <w:r w:rsidR="00C77C04">
        <w:t>o</w:t>
      </w:r>
      <w:r w:rsidR="00ED40E9">
        <w:t>duction</w:t>
      </w:r>
      <w:bookmarkEnd w:id="0"/>
    </w:p>
    <w:p w14:paraId="0590C43C" w14:textId="6E6D34B5" w:rsidR="00D34E03" w:rsidRDefault="00D34E03" w:rsidP="00D34E03">
      <w:pPr>
        <w:pStyle w:val="BasicParagraph"/>
        <w:numPr>
          <w:ilvl w:val="1"/>
          <w:numId w:val="15"/>
        </w:numPr>
        <w:suppressAutoHyphens/>
        <w:rPr>
          <w:rFonts w:ascii="Verdana" w:hAnsi="Verdana" w:cs="Arial"/>
          <w:bCs/>
          <w:color w:val="auto"/>
        </w:rPr>
      </w:pPr>
      <w:r w:rsidRPr="00537F31">
        <w:rPr>
          <w:rFonts w:ascii="Verdana" w:hAnsi="Verdana" w:cs="Arial"/>
          <w:bCs/>
          <w:color w:val="auto"/>
        </w:rPr>
        <w:t>The Northern Ireland Human Rights Commission (NIHRC) is a statutory body established</w:t>
      </w:r>
      <w:r w:rsidR="00180682">
        <w:rPr>
          <w:rFonts w:ascii="Verdana" w:hAnsi="Verdana" w:cs="Arial"/>
          <w:bCs/>
          <w:color w:val="auto"/>
        </w:rPr>
        <w:t xml:space="preserve"> in 1999, in pursuance of the Belfast/Good Friday </w:t>
      </w:r>
      <w:r w:rsidR="000D77CD">
        <w:rPr>
          <w:rFonts w:ascii="Verdana" w:hAnsi="Verdana" w:cs="Arial"/>
          <w:bCs/>
          <w:color w:val="auto"/>
        </w:rPr>
        <w:t>Agreement</w:t>
      </w:r>
      <w:r w:rsidR="00180682">
        <w:rPr>
          <w:rFonts w:ascii="Verdana" w:hAnsi="Verdana" w:cs="Arial"/>
          <w:bCs/>
          <w:color w:val="auto"/>
        </w:rPr>
        <w:t xml:space="preserve"> of 1998. Its purpose and statutory obligations are to </w:t>
      </w:r>
      <w:r w:rsidR="00180682" w:rsidRPr="00537F31">
        <w:rPr>
          <w:rFonts w:ascii="Verdana" w:hAnsi="Verdana" w:cs="Arial"/>
          <w:bCs/>
          <w:color w:val="auto"/>
        </w:rPr>
        <w:t>promote</w:t>
      </w:r>
      <w:r w:rsidRPr="00537F31">
        <w:rPr>
          <w:rFonts w:ascii="Verdana" w:hAnsi="Verdana" w:cs="Arial"/>
          <w:bCs/>
          <w:color w:val="auto"/>
        </w:rPr>
        <w:t xml:space="preserve"> and protect human rights</w:t>
      </w:r>
      <w:r w:rsidR="00180682">
        <w:rPr>
          <w:rFonts w:ascii="Verdana" w:hAnsi="Verdana" w:cs="Arial"/>
          <w:bCs/>
          <w:color w:val="auto"/>
        </w:rPr>
        <w:t xml:space="preserve"> for all people in Northern Ireland</w:t>
      </w:r>
      <w:r w:rsidR="00F53B91">
        <w:rPr>
          <w:rFonts w:ascii="Verdana" w:hAnsi="Verdana" w:cs="Arial"/>
          <w:bCs/>
          <w:color w:val="auto"/>
        </w:rPr>
        <w:t xml:space="preserve"> (NI)</w:t>
      </w:r>
      <w:r w:rsidRPr="00537F31">
        <w:rPr>
          <w:rFonts w:ascii="Verdana" w:hAnsi="Verdana" w:cs="Arial"/>
          <w:bCs/>
          <w:color w:val="auto"/>
        </w:rPr>
        <w:t xml:space="preserve">. In accordance with the </w:t>
      </w:r>
      <w:r w:rsidR="00F53B91">
        <w:rPr>
          <w:rFonts w:ascii="Verdana" w:hAnsi="Verdana" w:cs="Arial"/>
          <w:bCs/>
          <w:color w:val="auto"/>
        </w:rPr>
        <w:t>NI</w:t>
      </w:r>
      <w:r w:rsidRPr="00537F31">
        <w:rPr>
          <w:rFonts w:ascii="Verdana" w:hAnsi="Verdana" w:cs="Arial"/>
          <w:bCs/>
          <w:color w:val="auto"/>
        </w:rPr>
        <w:t xml:space="preserve"> Act 1998, the Commission </w:t>
      </w:r>
      <w:r w:rsidR="00180682">
        <w:rPr>
          <w:rFonts w:ascii="Verdana" w:hAnsi="Verdana" w:cs="Arial"/>
          <w:bCs/>
          <w:color w:val="auto"/>
        </w:rPr>
        <w:t>is obliged to keep under review</w:t>
      </w:r>
      <w:r w:rsidR="00180682" w:rsidRPr="00537F31">
        <w:rPr>
          <w:rFonts w:ascii="Verdana" w:hAnsi="Verdana" w:cs="Arial"/>
          <w:bCs/>
          <w:color w:val="auto"/>
        </w:rPr>
        <w:t xml:space="preserve"> </w:t>
      </w:r>
      <w:r w:rsidRPr="00537F31">
        <w:rPr>
          <w:rFonts w:ascii="Verdana" w:hAnsi="Verdana" w:cs="Arial"/>
          <w:bCs/>
          <w:color w:val="auto"/>
        </w:rPr>
        <w:t xml:space="preserve">the adequacy and effectiveness of law and practice relating to the protection of human rights in NI. </w:t>
      </w:r>
    </w:p>
    <w:p w14:paraId="1DC4DAEF" w14:textId="77777777" w:rsidR="00D34E03" w:rsidRDefault="00D34E03" w:rsidP="00D34E03">
      <w:pPr>
        <w:pStyle w:val="BasicParagraph"/>
        <w:suppressAutoHyphens/>
        <w:ind w:left="720"/>
        <w:rPr>
          <w:rFonts w:ascii="Verdana" w:hAnsi="Verdana" w:cs="Arial"/>
          <w:bCs/>
          <w:color w:val="auto"/>
        </w:rPr>
      </w:pPr>
    </w:p>
    <w:p w14:paraId="43BB5AA2" w14:textId="3DBBA366" w:rsidR="00D34E03" w:rsidRDefault="00D34E03" w:rsidP="00D34E03">
      <w:pPr>
        <w:pStyle w:val="BasicParagraph"/>
        <w:numPr>
          <w:ilvl w:val="1"/>
          <w:numId w:val="15"/>
        </w:numPr>
        <w:suppressAutoHyphens/>
        <w:rPr>
          <w:rFonts w:ascii="Verdana" w:hAnsi="Verdana" w:cs="Arial"/>
          <w:bCs/>
          <w:color w:val="auto"/>
        </w:rPr>
      </w:pPr>
      <w:r w:rsidRPr="00537F31">
        <w:rPr>
          <w:rFonts w:ascii="Verdana" w:hAnsi="Verdana" w:cs="Arial"/>
          <w:bCs/>
          <w:color w:val="auto"/>
        </w:rPr>
        <w:t xml:space="preserve">The NIHRC is also </w:t>
      </w:r>
      <w:r w:rsidR="00180682">
        <w:rPr>
          <w:rFonts w:ascii="Verdana" w:hAnsi="Verdana" w:cs="Arial"/>
          <w:bCs/>
          <w:color w:val="auto"/>
        </w:rPr>
        <w:t>obliged</w:t>
      </w:r>
      <w:r w:rsidRPr="00537F31">
        <w:rPr>
          <w:rFonts w:ascii="Verdana" w:hAnsi="Verdana" w:cs="Arial"/>
          <w:bCs/>
          <w:color w:val="auto"/>
        </w:rPr>
        <w:t>, under section 78</w:t>
      </w:r>
      <w:proofErr w:type="gramStart"/>
      <w:r w:rsidRPr="00537F31">
        <w:rPr>
          <w:rFonts w:ascii="Verdana" w:hAnsi="Verdana" w:cs="Arial"/>
          <w:bCs/>
          <w:color w:val="auto"/>
        </w:rPr>
        <w:t>A(</w:t>
      </w:r>
      <w:proofErr w:type="gramEnd"/>
      <w:r w:rsidRPr="00537F31">
        <w:rPr>
          <w:rFonts w:ascii="Verdana" w:hAnsi="Verdana" w:cs="Arial"/>
          <w:bCs/>
          <w:color w:val="auto"/>
        </w:rPr>
        <w:t xml:space="preserve">1) of the </w:t>
      </w:r>
      <w:r w:rsidR="00F53B91">
        <w:rPr>
          <w:rFonts w:ascii="Verdana" w:hAnsi="Verdana" w:cs="Arial"/>
          <w:bCs/>
          <w:color w:val="auto"/>
        </w:rPr>
        <w:t>NI</w:t>
      </w:r>
      <w:r w:rsidRPr="00537F31">
        <w:rPr>
          <w:rFonts w:ascii="Verdana" w:hAnsi="Verdana" w:cs="Arial"/>
          <w:bCs/>
          <w:color w:val="auto"/>
        </w:rPr>
        <w:t xml:space="preserve"> Act 1998, to monitor the implementation of Article 2 of the Windsor Framework, to ensure there is no diminution of rights protected in the “Rights, Safeguards and Equality of Opportunity” chapter of the Belfast (Good Friday) Agreement 1998 </w:t>
      </w:r>
      <w:proofErr w:type="gramStart"/>
      <w:r w:rsidRPr="00537F31">
        <w:rPr>
          <w:rFonts w:ascii="Verdana" w:hAnsi="Verdana" w:cs="Arial"/>
          <w:bCs/>
          <w:color w:val="auto"/>
        </w:rPr>
        <w:t>as a result of</w:t>
      </w:r>
      <w:proofErr w:type="gramEnd"/>
      <w:r w:rsidRPr="00537F31">
        <w:rPr>
          <w:rFonts w:ascii="Verdana" w:hAnsi="Verdana" w:cs="Arial"/>
          <w:bCs/>
          <w:color w:val="auto"/>
        </w:rPr>
        <w:t xml:space="preserve"> the UK’s withdrawal from the EU.</w:t>
      </w:r>
    </w:p>
    <w:p w14:paraId="7FB207CA" w14:textId="77777777" w:rsidR="00237F4E" w:rsidRDefault="00237F4E" w:rsidP="00237F4E">
      <w:pPr>
        <w:pStyle w:val="ListParagraph"/>
        <w:rPr>
          <w:rFonts w:cs="Arial"/>
          <w:bCs/>
        </w:rPr>
      </w:pPr>
    </w:p>
    <w:p w14:paraId="55942559" w14:textId="6BAF350D" w:rsidR="00D34E03" w:rsidRPr="003C6068" w:rsidRDefault="00853E92" w:rsidP="00D34E03">
      <w:pPr>
        <w:pStyle w:val="BasicParagraph"/>
        <w:numPr>
          <w:ilvl w:val="1"/>
          <w:numId w:val="15"/>
        </w:numPr>
        <w:suppressAutoHyphens/>
        <w:rPr>
          <w:rFonts w:ascii="Verdana" w:hAnsi="Verdana" w:cs="Arial"/>
          <w:bCs/>
          <w:color w:val="auto"/>
        </w:rPr>
      </w:pPr>
      <w:r>
        <w:rPr>
          <w:rFonts w:ascii="Verdana" w:hAnsi="Verdana" w:cs="Arial"/>
          <w:bCs/>
          <w:color w:val="auto"/>
        </w:rPr>
        <w:t>M</w:t>
      </w:r>
      <w:r w:rsidRPr="003C6068">
        <w:rPr>
          <w:rFonts w:ascii="Verdana" w:hAnsi="Verdana" w:cs="Arial"/>
          <w:bCs/>
          <w:color w:val="auto"/>
        </w:rPr>
        <w:t>isinformation</w:t>
      </w:r>
      <w:r w:rsidR="00C07551">
        <w:rPr>
          <w:rFonts w:ascii="Verdana" w:hAnsi="Verdana" w:cs="Arial"/>
          <w:bCs/>
          <w:color w:val="auto"/>
        </w:rPr>
        <w:t xml:space="preserve">, for the purposes of this </w:t>
      </w:r>
      <w:r w:rsidR="001470B6">
        <w:rPr>
          <w:rFonts w:ascii="Verdana" w:hAnsi="Verdana" w:cs="Arial"/>
          <w:bCs/>
          <w:color w:val="auto"/>
        </w:rPr>
        <w:t>briefing paper,</w:t>
      </w:r>
      <w:r w:rsidRPr="003C6068">
        <w:rPr>
          <w:rFonts w:ascii="Verdana" w:hAnsi="Verdana" w:cs="Arial"/>
          <w:bCs/>
          <w:color w:val="auto"/>
        </w:rPr>
        <w:t xml:space="preserve"> </w:t>
      </w:r>
      <w:r w:rsidR="00180682">
        <w:rPr>
          <w:rFonts w:ascii="Verdana" w:hAnsi="Verdana" w:cs="Arial"/>
          <w:bCs/>
          <w:color w:val="auto"/>
        </w:rPr>
        <w:t xml:space="preserve">is </w:t>
      </w:r>
      <w:r>
        <w:rPr>
          <w:rFonts w:ascii="Verdana" w:hAnsi="Verdana" w:cs="Arial"/>
          <w:bCs/>
          <w:color w:val="auto"/>
        </w:rPr>
        <w:t xml:space="preserve">the dissemination of false information unknowingly. </w:t>
      </w:r>
      <w:r w:rsidR="00237F4E" w:rsidRPr="003C6068">
        <w:rPr>
          <w:rFonts w:ascii="Verdana" w:hAnsi="Verdana" w:cs="Arial"/>
          <w:bCs/>
          <w:color w:val="auto"/>
        </w:rPr>
        <w:t>Disinformation</w:t>
      </w:r>
      <w:r w:rsidR="00180682">
        <w:rPr>
          <w:rFonts w:ascii="Verdana" w:hAnsi="Verdana" w:cs="Arial"/>
          <w:bCs/>
          <w:color w:val="auto"/>
        </w:rPr>
        <w:t>, for the purposes of this paper,</w:t>
      </w:r>
      <w:r w:rsidR="001470B6">
        <w:rPr>
          <w:rFonts w:ascii="Verdana" w:hAnsi="Verdana" w:cs="Arial"/>
          <w:bCs/>
          <w:color w:val="auto"/>
        </w:rPr>
        <w:t xml:space="preserve"> </w:t>
      </w:r>
      <w:r w:rsidR="00237F4E" w:rsidRPr="003C6068">
        <w:rPr>
          <w:rFonts w:ascii="Verdana" w:hAnsi="Verdana" w:cs="Arial"/>
          <w:bCs/>
          <w:color w:val="auto"/>
        </w:rPr>
        <w:t xml:space="preserve">is </w:t>
      </w:r>
      <w:r w:rsidR="00180682">
        <w:rPr>
          <w:rFonts w:ascii="Verdana" w:hAnsi="Verdana" w:cs="Arial"/>
          <w:bCs/>
          <w:color w:val="auto"/>
        </w:rPr>
        <w:t xml:space="preserve">the dissemination of </w:t>
      </w:r>
      <w:r w:rsidR="00F431F6" w:rsidRPr="003C6068">
        <w:rPr>
          <w:rFonts w:ascii="Verdana" w:hAnsi="Verdana" w:cs="Arial"/>
          <w:bCs/>
          <w:color w:val="auto"/>
        </w:rPr>
        <w:t>false information</w:t>
      </w:r>
      <w:r w:rsidR="00E53263">
        <w:rPr>
          <w:rFonts w:ascii="Verdana" w:hAnsi="Verdana" w:cs="Arial"/>
          <w:bCs/>
          <w:color w:val="auto"/>
        </w:rPr>
        <w:t xml:space="preserve"> intentionally to cause serious social harm</w:t>
      </w:r>
      <w:r w:rsidR="00E65C3C" w:rsidRPr="003C6068">
        <w:rPr>
          <w:rFonts w:ascii="Verdana" w:hAnsi="Verdana" w:cs="Arial"/>
          <w:bCs/>
          <w:color w:val="auto"/>
        </w:rPr>
        <w:t>.</w:t>
      </w:r>
      <w:r w:rsidR="003F1532">
        <w:rPr>
          <w:rStyle w:val="FootnoteReference"/>
          <w:rFonts w:ascii="Verdana" w:hAnsi="Verdana" w:cs="Arial"/>
          <w:bCs/>
          <w:color w:val="auto"/>
        </w:rPr>
        <w:footnoteReference w:id="2"/>
      </w:r>
      <w:r w:rsidR="00E65C3C" w:rsidRPr="003C6068">
        <w:rPr>
          <w:rFonts w:ascii="Verdana" w:hAnsi="Verdana" w:cs="Arial"/>
          <w:bCs/>
          <w:color w:val="auto"/>
        </w:rPr>
        <w:t xml:space="preserve"> </w:t>
      </w:r>
      <w:r w:rsidR="001522D6" w:rsidRPr="003C6068">
        <w:rPr>
          <w:rFonts w:ascii="Verdana" w:hAnsi="Verdana" w:cs="Arial"/>
          <w:bCs/>
          <w:color w:val="auto"/>
        </w:rPr>
        <w:t xml:space="preserve">While there is a multitude of other types of </w:t>
      </w:r>
      <w:r w:rsidR="00AE1D29" w:rsidRPr="003C6068">
        <w:rPr>
          <w:rFonts w:ascii="Verdana" w:hAnsi="Verdana" w:cs="Arial"/>
          <w:bCs/>
          <w:color w:val="auto"/>
        </w:rPr>
        <w:t xml:space="preserve">false and/or exaggerated </w:t>
      </w:r>
      <w:r w:rsidR="009046C7" w:rsidRPr="003C6068">
        <w:rPr>
          <w:rFonts w:ascii="Verdana" w:hAnsi="Verdana" w:cs="Arial"/>
          <w:bCs/>
          <w:color w:val="auto"/>
        </w:rPr>
        <w:t>narratives, mis</w:t>
      </w:r>
      <w:r w:rsidR="001A6EB2">
        <w:rPr>
          <w:rFonts w:ascii="Verdana" w:hAnsi="Verdana" w:cs="Arial"/>
          <w:bCs/>
          <w:color w:val="auto"/>
        </w:rPr>
        <w:t xml:space="preserve">information and </w:t>
      </w:r>
      <w:r w:rsidR="00AD3733">
        <w:rPr>
          <w:rFonts w:ascii="Verdana" w:hAnsi="Verdana" w:cs="Arial"/>
          <w:bCs/>
          <w:color w:val="auto"/>
        </w:rPr>
        <w:t>d</w:t>
      </w:r>
      <w:r w:rsidR="00EA0E79">
        <w:rPr>
          <w:rFonts w:ascii="Verdana" w:hAnsi="Verdana" w:cs="Arial"/>
          <w:bCs/>
          <w:color w:val="auto"/>
        </w:rPr>
        <w:t>is</w:t>
      </w:r>
      <w:r w:rsidR="009046C7" w:rsidRPr="003C6068">
        <w:rPr>
          <w:rFonts w:ascii="Verdana" w:hAnsi="Verdana" w:cs="Arial"/>
          <w:bCs/>
          <w:color w:val="auto"/>
        </w:rPr>
        <w:t>information will</w:t>
      </w:r>
      <w:r w:rsidR="00CC359D" w:rsidRPr="003C6068">
        <w:rPr>
          <w:rFonts w:ascii="Verdana" w:hAnsi="Verdana" w:cs="Arial"/>
          <w:bCs/>
          <w:color w:val="auto"/>
        </w:rPr>
        <w:t xml:space="preserve"> be the main points of focus.</w:t>
      </w:r>
    </w:p>
    <w:p w14:paraId="70645EC2" w14:textId="77777777" w:rsidR="00D34E03" w:rsidRDefault="00D34E03" w:rsidP="00D34E03">
      <w:pPr>
        <w:pStyle w:val="BasicParagraph"/>
        <w:suppressAutoHyphens/>
        <w:ind w:left="720"/>
        <w:rPr>
          <w:rFonts w:ascii="Verdana" w:hAnsi="Verdana" w:cs="Arial"/>
          <w:bCs/>
          <w:color w:val="auto"/>
        </w:rPr>
      </w:pPr>
    </w:p>
    <w:p w14:paraId="27AD3360" w14:textId="6ECBAE55" w:rsidR="00C3779B" w:rsidRDefault="00AD6730" w:rsidP="00D76601">
      <w:pPr>
        <w:pStyle w:val="BasicParagraph"/>
        <w:numPr>
          <w:ilvl w:val="1"/>
          <w:numId w:val="15"/>
        </w:numPr>
        <w:suppressAutoHyphens/>
        <w:rPr>
          <w:rFonts w:ascii="Verdana" w:hAnsi="Verdana" w:cs="Arial"/>
          <w:bCs/>
          <w:color w:val="auto"/>
        </w:rPr>
      </w:pPr>
      <w:r w:rsidRPr="00B10C4E">
        <w:rPr>
          <w:rFonts w:ascii="Verdana" w:hAnsi="Verdana" w:cs="Arial"/>
          <w:bCs/>
          <w:color w:val="auto"/>
        </w:rPr>
        <w:t xml:space="preserve">While </w:t>
      </w:r>
      <w:r w:rsidR="000A736D">
        <w:rPr>
          <w:rFonts w:ascii="Verdana" w:hAnsi="Verdana" w:cs="Arial"/>
          <w:bCs/>
          <w:color w:val="auto"/>
        </w:rPr>
        <w:t xml:space="preserve">misinformation and </w:t>
      </w:r>
      <w:r w:rsidRPr="00B10C4E">
        <w:rPr>
          <w:rFonts w:ascii="Verdana" w:hAnsi="Verdana" w:cs="Arial"/>
          <w:bCs/>
          <w:color w:val="auto"/>
        </w:rPr>
        <w:t xml:space="preserve">disinformation </w:t>
      </w:r>
      <w:r w:rsidR="00180682">
        <w:rPr>
          <w:rFonts w:ascii="Verdana" w:hAnsi="Verdana" w:cs="Arial"/>
          <w:bCs/>
          <w:color w:val="auto"/>
        </w:rPr>
        <w:t xml:space="preserve">are not new </w:t>
      </w:r>
      <w:r w:rsidR="005C4BF5" w:rsidRPr="00B10C4E">
        <w:rPr>
          <w:rFonts w:ascii="Verdana" w:hAnsi="Verdana" w:cs="Arial"/>
          <w:bCs/>
          <w:color w:val="auto"/>
        </w:rPr>
        <w:t xml:space="preserve">the evolution of the </w:t>
      </w:r>
      <w:r w:rsidR="00180682">
        <w:rPr>
          <w:rFonts w:ascii="Verdana" w:hAnsi="Verdana" w:cs="Arial"/>
          <w:bCs/>
          <w:color w:val="auto"/>
        </w:rPr>
        <w:t xml:space="preserve">internet and the development of the </w:t>
      </w:r>
      <w:r w:rsidR="005C4BF5" w:rsidRPr="00B10C4E">
        <w:rPr>
          <w:rFonts w:ascii="Verdana" w:hAnsi="Verdana" w:cs="Arial"/>
          <w:bCs/>
          <w:color w:val="auto"/>
        </w:rPr>
        <w:t xml:space="preserve">tech industry has </w:t>
      </w:r>
      <w:r w:rsidR="00180682">
        <w:rPr>
          <w:rFonts w:ascii="Verdana" w:hAnsi="Verdana" w:cs="Arial"/>
          <w:bCs/>
          <w:color w:val="auto"/>
        </w:rPr>
        <w:t xml:space="preserve">made it easier to disseminate and to increase their </w:t>
      </w:r>
      <w:r w:rsidR="000D77CD">
        <w:rPr>
          <w:rFonts w:ascii="Verdana" w:hAnsi="Verdana" w:cs="Arial"/>
          <w:bCs/>
          <w:color w:val="auto"/>
        </w:rPr>
        <w:t>influence</w:t>
      </w:r>
      <w:r w:rsidR="00180682">
        <w:rPr>
          <w:rFonts w:ascii="Verdana" w:hAnsi="Verdana" w:cs="Arial"/>
          <w:bCs/>
          <w:color w:val="auto"/>
        </w:rPr>
        <w:t>.</w:t>
      </w:r>
      <w:r w:rsidR="000F515D" w:rsidRPr="00B10C4E">
        <w:rPr>
          <w:rFonts w:ascii="Verdana" w:hAnsi="Verdana" w:cs="Arial"/>
          <w:bCs/>
          <w:color w:val="auto"/>
        </w:rPr>
        <w:t xml:space="preserve"> </w:t>
      </w:r>
      <w:r w:rsidR="00CE5B72">
        <w:rPr>
          <w:rFonts w:ascii="Verdana" w:hAnsi="Verdana" w:cs="Arial"/>
          <w:bCs/>
          <w:color w:val="auto"/>
        </w:rPr>
        <w:t>It has been advanced that m</w:t>
      </w:r>
      <w:r w:rsidR="00180682">
        <w:rPr>
          <w:rFonts w:ascii="Verdana" w:hAnsi="Verdana" w:cs="Arial"/>
          <w:bCs/>
          <w:color w:val="auto"/>
        </w:rPr>
        <w:t xml:space="preserve">isinformation and </w:t>
      </w:r>
      <w:r w:rsidR="00180682">
        <w:rPr>
          <w:rFonts w:ascii="Verdana" w:hAnsi="Verdana" w:cs="Arial"/>
          <w:bCs/>
          <w:color w:val="auto"/>
        </w:rPr>
        <w:lastRenderedPageBreak/>
        <w:t>d</w:t>
      </w:r>
      <w:r w:rsidR="00CF7AD9">
        <w:rPr>
          <w:rFonts w:ascii="Verdana" w:hAnsi="Verdana" w:cs="Arial"/>
          <w:bCs/>
          <w:color w:val="auto"/>
        </w:rPr>
        <w:t xml:space="preserve">isinformation </w:t>
      </w:r>
      <w:r w:rsidR="0066535E">
        <w:rPr>
          <w:rFonts w:ascii="Verdana" w:hAnsi="Verdana" w:cs="Arial"/>
          <w:bCs/>
          <w:color w:val="auto"/>
        </w:rPr>
        <w:t>have</w:t>
      </w:r>
      <w:r w:rsidR="00D01918">
        <w:rPr>
          <w:rFonts w:ascii="Verdana" w:hAnsi="Verdana" w:cs="Arial"/>
          <w:bCs/>
          <w:color w:val="auto"/>
        </w:rPr>
        <w:t xml:space="preserve"> been “produced and disseminated faster and easier through social media because of the low barriers that prevent doing so”</w:t>
      </w:r>
      <w:r w:rsidR="0047626F">
        <w:rPr>
          <w:rFonts w:ascii="Verdana" w:hAnsi="Verdana" w:cs="Arial"/>
          <w:bCs/>
          <w:color w:val="auto"/>
        </w:rPr>
        <w:t>.</w:t>
      </w:r>
      <w:r w:rsidR="00C42EB8">
        <w:rPr>
          <w:rStyle w:val="FootnoteReference"/>
          <w:rFonts w:ascii="Verdana" w:hAnsi="Verdana" w:cs="Arial"/>
          <w:bCs/>
          <w:color w:val="auto"/>
        </w:rPr>
        <w:footnoteReference w:id="3"/>
      </w:r>
      <w:r w:rsidR="00CF7AD9">
        <w:rPr>
          <w:rFonts w:ascii="Verdana" w:hAnsi="Verdana" w:cs="Arial"/>
          <w:bCs/>
          <w:color w:val="auto"/>
        </w:rPr>
        <w:t xml:space="preserve"> </w:t>
      </w:r>
      <w:r w:rsidR="00CE5B72">
        <w:rPr>
          <w:rFonts w:ascii="Verdana" w:hAnsi="Verdana" w:cs="Arial"/>
          <w:bCs/>
          <w:color w:val="auto"/>
        </w:rPr>
        <w:t>It has been suggested that t</w:t>
      </w:r>
      <w:r w:rsidR="00117FC5">
        <w:rPr>
          <w:rFonts w:ascii="Verdana" w:hAnsi="Verdana" w:cs="Arial"/>
          <w:bCs/>
          <w:color w:val="auto"/>
        </w:rPr>
        <w:t xml:space="preserve">he spread of misinformation online </w:t>
      </w:r>
      <w:r w:rsidR="00776506">
        <w:rPr>
          <w:rFonts w:ascii="Verdana" w:hAnsi="Verdana" w:cs="Arial"/>
          <w:bCs/>
          <w:color w:val="auto"/>
        </w:rPr>
        <w:t>ha</w:t>
      </w:r>
      <w:r w:rsidR="006D47B1">
        <w:rPr>
          <w:rFonts w:ascii="Verdana" w:hAnsi="Verdana" w:cs="Arial"/>
          <w:bCs/>
          <w:color w:val="auto"/>
        </w:rPr>
        <w:t>s</w:t>
      </w:r>
      <w:r w:rsidR="00776506">
        <w:rPr>
          <w:rFonts w:ascii="Verdana" w:hAnsi="Verdana" w:cs="Arial"/>
          <w:bCs/>
          <w:color w:val="auto"/>
        </w:rPr>
        <w:t xml:space="preserve"> had </w:t>
      </w:r>
      <w:r w:rsidR="00BC5EBF">
        <w:rPr>
          <w:rFonts w:ascii="Verdana" w:hAnsi="Verdana" w:cs="Arial"/>
          <w:bCs/>
          <w:color w:val="auto"/>
        </w:rPr>
        <w:t>severe offline consequences</w:t>
      </w:r>
      <w:r w:rsidR="00414FD0">
        <w:rPr>
          <w:rFonts w:ascii="Verdana" w:hAnsi="Verdana" w:cs="Arial"/>
          <w:bCs/>
          <w:color w:val="auto"/>
        </w:rPr>
        <w:t xml:space="preserve"> and </w:t>
      </w:r>
      <w:r w:rsidR="00B9321F">
        <w:rPr>
          <w:rFonts w:ascii="Verdana" w:hAnsi="Verdana" w:cs="Arial"/>
          <w:bCs/>
          <w:color w:val="auto"/>
        </w:rPr>
        <w:t xml:space="preserve">has been described as </w:t>
      </w:r>
      <w:r w:rsidR="00CE5B72">
        <w:rPr>
          <w:rFonts w:ascii="Verdana" w:hAnsi="Verdana" w:cs="Arial"/>
          <w:bCs/>
          <w:color w:val="auto"/>
        </w:rPr>
        <w:t>“</w:t>
      </w:r>
      <w:r w:rsidR="00B9321F">
        <w:rPr>
          <w:rFonts w:ascii="Verdana" w:hAnsi="Verdana" w:cs="Arial"/>
          <w:bCs/>
          <w:color w:val="auto"/>
        </w:rPr>
        <w:t>a crisis demanding urgent action”</w:t>
      </w:r>
      <w:r w:rsidR="0047626F">
        <w:rPr>
          <w:rFonts w:ascii="Verdana" w:hAnsi="Verdana" w:cs="Arial"/>
          <w:bCs/>
          <w:color w:val="auto"/>
        </w:rPr>
        <w:t>.</w:t>
      </w:r>
      <w:r w:rsidR="00DA6914">
        <w:rPr>
          <w:rStyle w:val="FootnoteReference"/>
          <w:rFonts w:ascii="Verdana" w:hAnsi="Verdana" w:cs="Arial"/>
          <w:bCs/>
          <w:color w:val="auto"/>
        </w:rPr>
        <w:footnoteReference w:id="4"/>
      </w:r>
      <w:r w:rsidR="0085173A">
        <w:rPr>
          <w:rFonts w:ascii="Verdana" w:hAnsi="Verdana" w:cs="Arial"/>
          <w:bCs/>
          <w:color w:val="auto"/>
        </w:rPr>
        <w:t xml:space="preserve"> </w:t>
      </w:r>
      <w:r w:rsidR="0066535E">
        <w:rPr>
          <w:rFonts w:ascii="Verdana" w:hAnsi="Verdana" w:cs="Arial"/>
          <w:bCs/>
          <w:color w:val="auto"/>
        </w:rPr>
        <w:t xml:space="preserve"> </w:t>
      </w:r>
      <w:r w:rsidR="000F515D" w:rsidRPr="00B10C4E">
        <w:rPr>
          <w:rFonts w:ascii="Verdana" w:hAnsi="Verdana" w:cs="Arial"/>
          <w:bCs/>
          <w:color w:val="auto"/>
        </w:rPr>
        <w:t xml:space="preserve">Racial and ethnic minorities have </w:t>
      </w:r>
      <w:r w:rsidR="006F3B6B">
        <w:rPr>
          <w:rFonts w:ascii="Verdana" w:hAnsi="Verdana" w:cs="Arial"/>
          <w:bCs/>
          <w:color w:val="auto"/>
        </w:rPr>
        <w:t>experienced</w:t>
      </w:r>
      <w:r w:rsidR="000F515D" w:rsidRPr="00B10C4E">
        <w:rPr>
          <w:rFonts w:ascii="Verdana" w:hAnsi="Verdana" w:cs="Arial"/>
          <w:bCs/>
          <w:color w:val="auto"/>
        </w:rPr>
        <w:t xml:space="preserve"> </w:t>
      </w:r>
      <w:r w:rsidR="00AC0AA1">
        <w:rPr>
          <w:rFonts w:ascii="Verdana" w:hAnsi="Verdana" w:cs="Arial"/>
          <w:bCs/>
          <w:color w:val="auto"/>
        </w:rPr>
        <w:t>the</w:t>
      </w:r>
      <w:r w:rsidR="008A2AB0">
        <w:rPr>
          <w:rFonts w:ascii="Verdana" w:hAnsi="Verdana" w:cs="Arial"/>
          <w:bCs/>
          <w:color w:val="auto"/>
        </w:rPr>
        <w:t xml:space="preserve"> effects</w:t>
      </w:r>
      <w:r w:rsidR="00AC0AA1">
        <w:rPr>
          <w:rFonts w:ascii="Verdana" w:hAnsi="Verdana" w:cs="Arial"/>
          <w:bCs/>
          <w:color w:val="auto"/>
        </w:rPr>
        <w:t xml:space="preserve"> of these influences</w:t>
      </w:r>
      <w:r w:rsidR="00181BA1">
        <w:rPr>
          <w:rFonts w:ascii="Verdana" w:hAnsi="Verdana" w:cs="Arial"/>
          <w:bCs/>
          <w:color w:val="auto"/>
        </w:rPr>
        <w:t>,</w:t>
      </w:r>
      <w:r w:rsidR="0029358F">
        <w:rPr>
          <w:rFonts w:ascii="Verdana" w:hAnsi="Verdana" w:cs="Arial"/>
          <w:bCs/>
          <w:color w:val="auto"/>
        </w:rPr>
        <w:t xml:space="preserve"> </w:t>
      </w:r>
      <w:r w:rsidR="00B10C4E" w:rsidRPr="00B10C4E">
        <w:rPr>
          <w:rFonts w:ascii="Verdana" w:hAnsi="Verdana" w:cs="Arial"/>
          <w:bCs/>
          <w:color w:val="auto"/>
        </w:rPr>
        <w:t xml:space="preserve">specifically </w:t>
      </w:r>
      <w:r w:rsidR="00CF7AD9">
        <w:rPr>
          <w:rFonts w:ascii="Verdana" w:hAnsi="Verdana" w:cs="Arial"/>
          <w:bCs/>
          <w:color w:val="auto"/>
        </w:rPr>
        <w:t xml:space="preserve">stemming </w:t>
      </w:r>
      <w:r w:rsidR="00B10C4E" w:rsidRPr="00B10C4E">
        <w:rPr>
          <w:rFonts w:ascii="Verdana" w:hAnsi="Verdana" w:cs="Arial"/>
          <w:bCs/>
          <w:color w:val="auto"/>
        </w:rPr>
        <w:t xml:space="preserve">from </w:t>
      </w:r>
      <w:r w:rsidR="00CE5B72">
        <w:rPr>
          <w:rFonts w:ascii="Verdana" w:hAnsi="Verdana" w:cs="Arial"/>
          <w:bCs/>
          <w:color w:val="auto"/>
        </w:rPr>
        <w:t>“</w:t>
      </w:r>
      <w:r w:rsidR="00B10C4E" w:rsidRPr="00B10C4E">
        <w:rPr>
          <w:rFonts w:ascii="Verdana" w:hAnsi="Verdana" w:cs="Arial"/>
          <w:bCs/>
          <w:color w:val="auto"/>
        </w:rPr>
        <w:t>ident</w:t>
      </w:r>
      <w:r w:rsidR="00B10C4E">
        <w:rPr>
          <w:rFonts w:ascii="Verdana" w:hAnsi="Verdana" w:cs="Arial"/>
          <w:bCs/>
          <w:color w:val="auto"/>
        </w:rPr>
        <w:t>ity-based and ideological disinformation</w:t>
      </w:r>
      <w:r w:rsidR="00CE5B72">
        <w:rPr>
          <w:rFonts w:ascii="Verdana" w:hAnsi="Verdana" w:cs="Arial"/>
          <w:bCs/>
          <w:color w:val="auto"/>
        </w:rPr>
        <w:t>”</w:t>
      </w:r>
      <w:r w:rsidR="002B5573">
        <w:rPr>
          <w:rFonts w:ascii="Verdana" w:hAnsi="Verdana" w:cs="Arial"/>
          <w:bCs/>
          <w:color w:val="auto"/>
        </w:rPr>
        <w:t>.</w:t>
      </w:r>
      <w:r w:rsidR="0029358F">
        <w:rPr>
          <w:rStyle w:val="FootnoteReference"/>
          <w:rFonts w:ascii="Verdana" w:hAnsi="Verdana" w:cs="Arial"/>
          <w:bCs/>
          <w:color w:val="auto"/>
        </w:rPr>
        <w:footnoteReference w:id="5"/>
      </w:r>
      <w:r w:rsidR="002B5573">
        <w:rPr>
          <w:rFonts w:ascii="Verdana" w:hAnsi="Verdana" w:cs="Arial"/>
          <w:bCs/>
          <w:color w:val="auto"/>
        </w:rPr>
        <w:t xml:space="preserve"> </w:t>
      </w:r>
    </w:p>
    <w:p w14:paraId="0F5FEEC3" w14:textId="77777777" w:rsidR="00C3779B" w:rsidRDefault="00C3779B" w:rsidP="00C3779B">
      <w:pPr>
        <w:pStyle w:val="BasicParagraph"/>
        <w:suppressAutoHyphens/>
        <w:ind w:left="720"/>
        <w:rPr>
          <w:rFonts w:ascii="Verdana" w:hAnsi="Verdana" w:cs="Arial"/>
          <w:bCs/>
          <w:color w:val="auto"/>
        </w:rPr>
      </w:pPr>
    </w:p>
    <w:p w14:paraId="730D99CD" w14:textId="3368B88E" w:rsidR="00892288" w:rsidRPr="00D34E03" w:rsidRDefault="00CE5B72">
      <w:pPr>
        <w:pStyle w:val="BasicParagraph"/>
        <w:numPr>
          <w:ilvl w:val="1"/>
          <w:numId w:val="15"/>
        </w:numPr>
        <w:rPr>
          <w:rFonts w:ascii="Verdana" w:hAnsi="Verdana" w:cs="Arial"/>
          <w:color w:val="000000" w:themeColor="text1"/>
        </w:rPr>
      </w:pPr>
      <w:r>
        <w:rPr>
          <w:rFonts w:ascii="Verdana" w:hAnsi="Verdana" w:cs="Arial"/>
          <w:color w:val="auto"/>
        </w:rPr>
        <w:t>The research collected to date is unlikely to give a full picture of the</w:t>
      </w:r>
      <w:r w:rsidR="00826D20" w:rsidRPr="6736F212">
        <w:rPr>
          <w:rFonts w:ascii="Verdana" w:hAnsi="Verdana" w:cs="Arial"/>
          <w:color w:val="auto"/>
        </w:rPr>
        <w:t xml:space="preserve"> extent of</w:t>
      </w:r>
      <w:r w:rsidR="00FB664E" w:rsidRPr="6736F212">
        <w:rPr>
          <w:rFonts w:ascii="Verdana" w:hAnsi="Verdana" w:cs="Arial"/>
          <w:color w:val="auto"/>
        </w:rPr>
        <w:t xml:space="preserve"> </w:t>
      </w:r>
      <w:r w:rsidR="009F5D0C" w:rsidRPr="6736F212">
        <w:rPr>
          <w:rFonts w:ascii="Verdana" w:hAnsi="Verdana" w:cs="Arial"/>
          <w:color w:val="auto"/>
        </w:rPr>
        <w:t>online</w:t>
      </w:r>
      <w:r w:rsidR="00D63A74" w:rsidRPr="6736F212">
        <w:rPr>
          <w:rFonts w:ascii="Verdana" w:hAnsi="Verdana" w:cs="Arial"/>
          <w:color w:val="auto"/>
        </w:rPr>
        <w:t xml:space="preserve"> misinformation and</w:t>
      </w:r>
      <w:r w:rsidR="009F5D0C" w:rsidRPr="6736F212">
        <w:rPr>
          <w:rFonts w:ascii="Verdana" w:hAnsi="Verdana" w:cs="Arial"/>
          <w:color w:val="auto"/>
        </w:rPr>
        <w:t xml:space="preserve"> </w:t>
      </w:r>
      <w:r w:rsidR="00FB664E" w:rsidRPr="6736F212">
        <w:rPr>
          <w:rFonts w:ascii="Verdana" w:hAnsi="Verdana" w:cs="Arial"/>
          <w:color w:val="auto"/>
        </w:rPr>
        <w:t>disinformation</w:t>
      </w:r>
      <w:r>
        <w:rPr>
          <w:rFonts w:ascii="Verdana" w:hAnsi="Verdana" w:cs="Arial"/>
          <w:color w:val="auto"/>
        </w:rPr>
        <w:t xml:space="preserve"> or its </w:t>
      </w:r>
      <w:r w:rsidR="006360AC" w:rsidRPr="6736F212">
        <w:rPr>
          <w:rFonts w:ascii="Verdana" w:hAnsi="Verdana" w:cs="Arial"/>
          <w:color w:val="auto"/>
        </w:rPr>
        <w:t>effects on racial</w:t>
      </w:r>
      <w:r w:rsidR="00A61998" w:rsidRPr="6736F212">
        <w:rPr>
          <w:rFonts w:ascii="Verdana" w:hAnsi="Verdana" w:cs="Arial"/>
          <w:color w:val="auto"/>
        </w:rPr>
        <w:t xml:space="preserve"> and </w:t>
      </w:r>
      <w:r w:rsidR="006360AC" w:rsidRPr="6736F212">
        <w:rPr>
          <w:rFonts w:ascii="Verdana" w:hAnsi="Verdana" w:cs="Arial"/>
          <w:color w:val="auto"/>
        </w:rPr>
        <w:t>ethnic minorities</w:t>
      </w:r>
      <w:r w:rsidR="00706D58" w:rsidRPr="6736F212">
        <w:rPr>
          <w:rFonts w:ascii="Verdana" w:hAnsi="Verdana" w:cs="Arial"/>
          <w:color w:val="auto"/>
        </w:rPr>
        <w:t xml:space="preserve"> </w:t>
      </w:r>
      <w:r w:rsidR="00EF05EA" w:rsidRPr="6736F212">
        <w:rPr>
          <w:rFonts w:ascii="Verdana" w:hAnsi="Verdana" w:cs="Arial"/>
          <w:color w:val="auto"/>
        </w:rPr>
        <w:t xml:space="preserve">in </w:t>
      </w:r>
      <w:r w:rsidR="00F53B91">
        <w:rPr>
          <w:rFonts w:ascii="Verdana" w:hAnsi="Verdana" w:cs="Arial"/>
          <w:color w:val="auto"/>
        </w:rPr>
        <w:t>NI</w:t>
      </w:r>
      <w:r>
        <w:rPr>
          <w:rFonts w:ascii="Verdana" w:hAnsi="Verdana" w:cs="Arial"/>
          <w:color w:val="auto"/>
        </w:rPr>
        <w:t xml:space="preserve">. This is because of the paucity of targeted research. That also means that </w:t>
      </w:r>
      <w:r w:rsidR="00706D58" w:rsidRPr="6736F212">
        <w:rPr>
          <w:rFonts w:ascii="Verdana" w:hAnsi="Verdana" w:cs="Arial"/>
          <w:color w:val="auto"/>
        </w:rPr>
        <w:t xml:space="preserve">policy </w:t>
      </w:r>
      <w:r>
        <w:rPr>
          <w:rFonts w:ascii="Verdana" w:hAnsi="Verdana" w:cs="Arial"/>
          <w:color w:val="auto"/>
        </w:rPr>
        <w:t>has been developed in the absence of clear, targeted and comprehensive research. Without that, it will be almost impossible to combat either.</w:t>
      </w:r>
      <w:r w:rsidR="009F5D0C" w:rsidRPr="6736F212">
        <w:rPr>
          <w:rFonts w:ascii="Verdana" w:hAnsi="Verdana" w:cs="Arial"/>
          <w:color w:val="auto"/>
        </w:rPr>
        <w:t xml:space="preserve"> </w:t>
      </w:r>
      <w:r w:rsidR="00384593" w:rsidRPr="6736F212">
        <w:rPr>
          <w:rFonts w:ascii="Verdana" w:hAnsi="Verdana" w:cs="Arial"/>
          <w:color w:val="auto"/>
        </w:rPr>
        <w:t xml:space="preserve">This briefing paper </w:t>
      </w:r>
      <w:r w:rsidR="00D60E78" w:rsidRPr="6736F212">
        <w:rPr>
          <w:rFonts w:ascii="Verdana" w:hAnsi="Verdana" w:cs="Arial"/>
          <w:color w:val="auto"/>
        </w:rPr>
        <w:t>identifies</w:t>
      </w:r>
      <w:r w:rsidR="00384593" w:rsidRPr="6736F212">
        <w:rPr>
          <w:rFonts w:ascii="Verdana" w:hAnsi="Verdana" w:cs="Arial"/>
          <w:color w:val="auto"/>
        </w:rPr>
        <w:t xml:space="preserve"> the </w:t>
      </w:r>
      <w:r w:rsidR="00EA003B" w:rsidRPr="6736F212">
        <w:rPr>
          <w:rFonts w:ascii="Verdana" w:hAnsi="Verdana" w:cs="Arial"/>
          <w:color w:val="auto"/>
        </w:rPr>
        <w:t>relevant</w:t>
      </w:r>
      <w:r w:rsidR="00384593" w:rsidRPr="6736F212">
        <w:rPr>
          <w:rFonts w:ascii="Verdana" w:hAnsi="Verdana" w:cs="Arial"/>
          <w:color w:val="auto"/>
        </w:rPr>
        <w:t xml:space="preserve"> international human rights </w:t>
      </w:r>
      <w:r>
        <w:rPr>
          <w:rFonts w:ascii="Verdana" w:hAnsi="Verdana" w:cs="Arial"/>
          <w:color w:val="auto"/>
        </w:rPr>
        <w:t xml:space="preserve">standards with which States must secure compliance </w:t>
      </w:r>
      <w:r w:rsidR="00EA003B" w:rsidRPr="6736F212">
        <w:rPr>
          <w:rFonts w:ascii="Verdana" w:hAnsi="Verdana" w:cs="Arial"/>
          <w:color w:val="auto"/>
        </w:rPr>
        <w:t xml:space="preserve">and </w:t>
      </w:r>
      <w:r w:rsidR="00487AC6" w:rsidRPr="6736F212">
        <w:rPr>
          <w:rFonts w:ascii="Verdana" w:hAnsi="Verdana" w:cs="Arial"/>
          <w:color w:val="auto"/>
        </w:rPr>
        <w:t>provides</w:t>
      </w:r>
      <w:r w:rsidR="00160E4D" w:rsidRPr="6736F212">
        <w:rPr>
          <w:rFonts w:ascii="Verdana" w:hAnsi="Verdana" w:cs="Arial"/>
          <w:color w:val="auto"/>
        </w:rPr>
        <w:t xml:space="preserve"> recommendations to the </w:t>
      </w:r>
      <w:r w:rsidR="008E5274" w:rsidRPr="6736F212">
        <w:rPr>
          <w:rFonts w:ascii="Verdana" w:hAnsi="Verdana" w:cs="Arial"/>
          <w:color w:val="auto"/>
        </w:rPr>
        <w:t xml:space="preserve">NI Executive and </w:t>
      </w:r>
      <w:r w:rsidR="00160E4D" w:rsidRPr="6736F212">
        <w:rPr>
          <w:rFonts w:ascii="Verdana" w:hAnsi="Verdana" w:cs="Arial"/>
          <w:color w:val="auto"/>
        </w:rPr>
        <w:t xml:space="preserve">NI </w:t>
      </w:r>
      <w:r w:rsidR="008E5274" w:rsidRPr="6736F212">
        <w:rPr>
          <w:rFonts w:ascii="Verdana" w:hAnsi="Verdana" w:cs="Arial"/>
          <w:color w:val="auto"/>
        </w:rPr>
        <w:t xml:space="preserve">Assembly to </w:t>
      </w:r>
      <w:r w:rsidR="1C0298DB" w:rsidRPr="6736F212">
        <w:rPr>
          <w:rFonts w:ascii="Verdana" w:hAnsi="Verdana" w:cs="Arial"/>
          <w:color w:val="auto"/>
        </w:rPr>
        <w:t>inform the response of public authorities to</w:t>
      </w:r>
      <w:r w:rsidR="005712F3" w:rsidRPr="6736F212">
        <w:rPr>
          <w:rFonts w:ascii="Verdana" w:hAnsi="Verdana" w:cs="Arial"/>
          <w:color w:val="auto"/>
        </w:rPr>
        <w:t xml:space="preserve"> online </w:t>
      </w:r>
      <w:r>
        <w:rPr>
          <w:rFonts w:ascii="Verdana" w:hAnsi="Verdana" w:cs="Arial"/>
          <w:color w:val="auto"/>
        </w:rPr>
        <w:t xml:space="preserve">misinformation and </w:t>
      </w:r>
      <w:r w:rsidR="005712F3" w:rsidRPr="6736F212">
        <w:rPr>
          <w:rFonts w:ascii="Verdana" w:hAnsi="Verdana" w:cs="Arial"/>
          <w:color w:val="auto"/>
        </w:rPr>
        <w:t>disinformation</w:t>
      </w:r>
      <w:r w:rsidR="003766D2" w:rsidRPr="6736F212">
        <w:rPr>
          <w:rFonts w:ascii="Verdana" w:hAnsi="Verdana" w:cs="Arial"/>
          <w:color w:val="auto"/>
        </w:rPr>
        <w:t xml:space="preserve"> </w:t>
      </w:r>
      <w:r w:rsidR="00F76749" w:rsidRPr="6736F212">
        <w:rPr>
          <w:rFonts w:ascii="Verdana" w:hAnsi="Verdana" w:cs="Arial"/>
          <w:color w:val="auto"/>
        </w:rPr>
        <w:t xml:space="preserve">and </w:t>
      </w:r>
      <w:r w:rsidR="003F0909" w:rsidRPr="6736F212">
        <w:rPr>
          <w:rFonts w:ascii="Verdana" w:hAnsi="Verdana" w:cs="Arial"/>
          <w:color w:val="auto"/>
        </w:rPr>
        <w:t>its</w:t>
      </w:r>
      <w:r w:rsidR="00F76749" w:rsidRPr="6736F212">
        <w:rPr>
          <w:rFonts w:ascii="Verdana" w:hAnsi="Verdana" w:cs="Arial"/>
          <w:color w:val="auto"/>
        </w:rPr>
        <w:t xml:space="preserve"> </w:t>
      </w:r>
      <w:proofErr w:type="gramStart"/>
      <w:r w:rsidR="000D77CD">
        <w:rPr>
          <w:rFonts w:ascii="Verdana" w:hAnsi="Verdana" w:cs="Arial"/>
          <w:color w:val="auto"/>
        </w:rPr>
        <w:t>particular</w:t>
      </w:r>
      <w:r>
        <w:rPr>
          <w:rFonts w:ascii="Verdana" w:hAnsi="Verdana" w:cs="Arial"/>
          <w:color w:val="auto"/>
        </w:rPr>
        <w:t xml:space="preserve"> </w:t>
      </w:r>
      <w:r w:rsidR="00F76749" w:rsidRPr="6736F212">
        <w:rPr>
          <w:rFonts w:ascii="Verdana" w:hAnsi="Verdana" w:cs="Arial"/>
          <w:color w:val="auto"/>
        </w:rPr>
        <w:t>effect</w:t>
      </w:r>
      <w:proofErr w:type="gramEnd"/>
      <w:r w:rsidR="00F76749" w:rsidRPr="6736F212">
        <w:rPr>
          <w:rFonts w:ascii="Verdana" w:hAnsi="Verdana" w:cs="Arial"/>
          <w:color w:val="auto"/>
        </w:rPr>
        <w:t xml:space="preserve"> </w:t>
      </w:r>
      <w:r w:rsidR="006F4250" w:rsidRPr="6736F212">
        <w:rPr>
          <w:rFonts w:ascii="Verdana" w:hAnsi="Verdana" w:cs="Arial"/>
          <w:color w:val="auto"/>
        </w:rPr>
        <w:t>on racial</w:t>
      </w:r>
      <w:r w:rsidR="00F26B92" w:rsidRPr="6736F212">
        <w:rPr>
          <w:rFonts w:ascii="Verdana" w:hAnsi="Verdana" w:cs="Arial"/>
          <w:color w:val="auto"/>
        </w:rPr>
        <w:t xml:space="preserve"> and ethnic minorities</w:t>
      </w:r>
      <w:r w:rsidR="003F0909" w:rsidRPr="6736F212">
        <w:rPr>
          <w:rFonts w:ascii="Verdana" w:hAnsi="Verdana" w:cs="Arial"/>
          <w:color w:val="auto"/>
        </w:rPr>
        <w:t xml:space="preserve"> in NI</w:t>
      </w:r>
      <w:r>
        <w:rPr>
          <w:rFonts w:ascii="Verdana" w:hAnsi="Verdana" w:cs="Arial"/>
          <w:color w:val="auto"/>
        </w:rPr>
        <w:t>, who are more likely to be marginalised, isolated and disproportionately affected</w:t>
      </w:r>
    </w:p>
    <w:p w14:paraId="19EF56B5" w14:textId="77777777" w:rsidR="003F04BA" w:rsidRDefault="003F04BA" w:rsidP="003F04BA">
      <w:pPr>
        <w:pStyle w:val="BasicParagraph"/>
        <w:suppressAutoHyphens/>
        <w:rPr>
          <w:rFonts w:ascii="Verdana" w:hAnsi="Verdana" w:cs="Arial"/>
          <w:bCs/>
          <w:color w:val="auto"/>
        </w:rPr>
      </w:pPr>
    </w:p>
    <w:p w14:paraId="2A8D61CB" w14:textId="4A796410" w:rsidR="00676968" w:rsidRPr="007972F2" w:rsidRDefault="007972F2" w:rsidP="007972F2">
      <w:pPr>
        <w:pStyle w:val="Heading2"/>
      </w:pPr>
      <w:bookmarkStart w:id="1" w:name="_Toc198115661"/>
      <w:r>
        <w:t>2.0</w:t>
      </w:r>
      <w:r>
        <w:tab/>
      </w:r>
      <w:r w:rsidRPr="007972F2">
        <w:t xml:space="preserve"> </w:t>
      </w:r>
      <w:r w:rsidR="005838CF" w:rsidRPr="007972F2">
        <w:t>International Human Rights Framework</w:t>
      </w:r>
      <w:bookmarkEnd w:id="1"/>
    </w:p>
    <w:p w14:paraId="47B60772" w14:textId="77777777" w:rsidR="00943828" w:rsidRPr="00943828" w:rsidRDefault="00943828" w:rsidP="00943828"/>
    <w:p w14:paraId="6C9C53E8" w14:textId="033828D3" w:rsidR="00B41E70" w:rsidRPr="00D544C1" w:rsidRDefault="00353D02" w:rsidP="00D544C1">
      <w:pPr>
        <w:pStyle w:val="Heading3"/>
      </w:pPr>
      <w:bookmarkStart w:id="2" w:name="_Toc198115662"/>
      <w:r>
        <w:lastRenderedPageBreak/>
        <w:t>UN</w:t>
      </w:r>
      <w:r w:rsidR="006E20A2">
        <w:t xml:space="preserve"> </w:t>
      </w:r>
      <w:r w:rsidR="00F36E5A" w:rsidRPr="00F2766E">
        <w:t>International Covenant on Civil and Political Rights</w:t>
      </w:r>
      <w:bookmarkEnd w:id="2"/>
    </w:p>
    <w:p w14:paraId="3E7431E4" w14:textId="5EA5D12B" w:rsidR="0054443F" w:rsidRDefault="001424F9" w:rsidP="00EA5051">
      <w:pPr>
        <w:pStyle w:val="ListParagraph"/>
        <w:numPr>
          <w:ilvl w:val="1"/>
          <w:numId w:val="21"/>
        </w:numPr>
        <w:ind w:hanging="720"/>
      </w:pPr>
      <w:r>
        <w:t>Article 2(1)</w:t>
      </w:r>
      <w:r w:rsidR="00A81E32">
        <w:t xml:space="preserve"> </w:t>
      </w:r>
      <w:r>
        <w:t xml:space="preserve">of the </w:t>
      </w:r>
      <w:r w:rsidR="0093589E">
        <w:t>UN International Covenant on Civil and Political Rights (</w:t>
      </w:r>
      <w:r w:rsidR="004F7DB9">
        <w:t xml:space="preserve">UN </w:t>
      </w:r>
      <w:r>
        <w:t>ICCPR</w:t>
      </w:r>
      <w:r w:rsidR="0093589E">
        <w:t>)</w:t>
      </w:r>
      <w:r>
        <w:t xml:space="preserve"> states that </w:t>
      </w:r>
      <w:r w:rsidR="004D6F02">
        <w:t xml:space="preserve">State Parties must uphold </w:t>
      </w:r>
      <w:r w:rsidR="00010EDF">
        <w:t xml:space="preserve">the rights granted within the </w:t>
      </w:r>
      <w:r w:rsidR="004F7DB9">
        <w:t xml:space="preserve">UN </w:t>
      </w:r>
      <w:r w:rsidR="00B53263">
        <w:t xml:space="preserve">ICCPR </w:t>
      </w:r>
      <w:r w:rsidR="00010EDF">
        <w:t xml:space="preserve">to everyone in its territory and </w:t>
      </w:r>
      <w:r w:rsidR="00B75CD9">
        <w:t xml:space="preserve">jurisdiction </w:t>
      </w:r>
      <w:r w:rsidR="00F6564F">
        <w:t xml:space="preserve">without distinctions based on race, colour, sex, language, or any other opinion. Article 26 </w:t>
      </w:r>
      <w:r w:rsidR="00AC13F1">
        <w:t xml:space="preserve">of </w:t>
      </w:r>
      <w:r w:rsidR="00BB54F7">
        <w:t xml:space="preserve">UN </w:t>
      </w:r>
      <w:r w:rsidR="00AC13F1">
        <w:t>ICCPR</w:t>
      </w:r>
      <w:r w:rsidR="00F6564F">
        <w:t xml:space="preserve"> </w:t>
      </w:r>
      <w:r w:rsidR="00683981">
        <w:t xml:space="preserve">affirms that </w:t>
      </w:r>
      <w:r w:rsidR="00B765F2">
        <w:t>all people “are equal before the law and are entitled without any discrimination to the equal protection of the law</w:t>
      </w:r>
      <w:r w:rsidR="00E97D09">
        <w:t>”</w:t>
      </w:r>
      <w:r w:rsidR="00B765F2">
        <w:t>.</w:t>
      </w:r>
      <w:r w:rsidR="00B85FF3">
        <w:t xml:space="preserve"> </w:t>
      </w:r>
      <w:r w:rsidR="00425502">
        <w:t>A</w:t>
      </w:r>
      <w:r w:rsidR="0054443F">
        <w:t xml:space="preserve">rticle 2(1) and Article 26 </w:t>
      </w:r>
      <w:r w:rsidR="00BB54F7">
        <w:t xml:space="preserve">of the UN ICCPR </w:t>
      </w:r>
      <w:r w:rsidR="00D073F5">
        <w:t>provide individuals the right to non-discrimination</w:t>
      </w:r>
      <w:r w:rsidR="00501245">
        <w:t xml:space="preserve">, which </w:t>
      </w:r>
      <w:r w:rsidR="002B2DAC">
        <w:t>mis</w:t>
      </w:r>
      <w:r w:rsidR="001A6EB2">
        <w:t xml:space="preserve">information and </w:t>
      </w:r>
      <w:r w:rsidR="00501245">
        <w:t xml:space="preserve">disinformation can </w:t>
      </w:r>
      <w:r w:rsidR="00E032CA">
        <w:t>violate if it is targeted to a particular societal group like racial</w:t>
      </w:r>
      <w:r w:rsidR="00415B90">
        <w:t xml:space="preserve"> and </w:t>
      </w:r>
      <w:r w:rsidR="00E032CA">
        <w:t>ethnic minorit</w:t>
      </w:r>
      <w:r w:rsidR="007058CF">
        <w:t>ies</w:t>
      </w:r>
      <w:r w:rsidR="00EA0005">
        <w:t>.</w:t>
      </w:r>
      <w:r w:rsidR="00D26ACB">
        <w:rPr>
          <w:rStyle w:val="FootnoteReference"/>
        </w:rPr>
        <w:footnoteReference w:id="6"/>
      </w:r>
      <w:r w:rsidR="00D073F5">
        <w:t xml:space="preserve"> </w:t>
      </w:r>
      <w:r w:rsidR="00335331">
        <w:t xml:space="preserve">The UN </w:t>
      </w:r>
      <w:r w:rsidR="00EA5736">
        <w:t>H</w:t>
      </w:r>
      <w:r w:rsidR="00583DAA">
        <w:t>uman Rights</w:t>
      </w:r>
      <w:r w:rsidR="00335331">
        <w:t xml:space="preserve"> </w:t>
      </w:r>
      <w:r w:rsidR="005E47BC">
        <w:t>Committee has observed that “</w:t>
      </w:r>
      <w:r w:rsidR="0047626F">
        <w:t>A</w:t>
      </w:r>
      <w:r w:rsidR="005E47BC">
        <w:t>rticle 26</w:t>
      </w:r>
      <w:r w:rsidR="0047626F">
        <w:t xml:space="preserve"> [of the UN ICCPR]</w:t>
      </w:r>
      <w:r w:rsidR="005E47BC">
        <w:t xml:space="preserve"> does not duplicate</w:t>
      </w:r>
      <w:r w:rsidR="00772DD6">
        <w:t xml:space="preserve"> the guarantee already </w:t>
      </w:r>
      <w:r w:rsidR="00652509">
        <w:t xml:space="preserve">provided for in </w:t>
      </w:r>
      <w:r w:rsidR="0047626F">
        <w:t>A</w:t>
      </w:r>
      <w:r w:rsidR="00652509">
        <w:t>rticle 2 but provides in itself an autonomous right.”</w:t>
      </w:r>
      <w:r w:rsidR="00652509">
        <w:rPr>
          <w:rStyle w:val="FootnoteReference"/>
        </w:rPr>
        <w:footnoteReference w:id="7"/>
      </w:r>
    </w:p>
    <w:p w14:paraId="210FD4D8" w14:textId="77777777" w:rsidR="00F6564F" w:rsidRDefault="00F6564F" w:rsidP="00F6564F">
      <w:pPr>
        <w:pStyle w:val="ListParagraph"/>
      </w:pPr>
    </w:p>
    <w:p w14:paraId="183C2369" w14:textId="51344369" w:rsidR="002F5934" w:rsidRPr="002C7F7C" w:rsidRDefault="005B33A6" w:rsidP="002C7F7C">
      <w:pPr>
        <w:pStyle w:val="ListParagraph"/>
        <w:numPr>
          <w:ilvl w:val="1"/>
          <w:numId w:val="21"/>
        </w:numPr>
        <w:ind w:hanging="720"/>
      </w:pPr>
      <w:r>
        <w:t>Article 19 of the</w:t>
      </w:r>
      <w:r w:rsidR="00EA0005">
        <w:t xml:space="preserve"> </w:t>
      </w:r>
      <w:r w:rsidR="0089216A">
        <w:t xml:space="preserve">UN </w:t>
      </w:r>
      <w:r w:rsidR="00EA0005">
        <w:t xml:space="preserve">ICCPR </w:t>
      </w:r>
      <w:r w:rsidR="00DB4E17">
        <w:t xml:space="preserve">states that </w:t>
      </w:r>
      <w:r w:rsidR="00884361">
        <w:t xml:space="preserve">everyone has the right to </w:t>
      </w:r>
      <w:r w:rsidR="00BD0140">
        <w:t>freedom of opinion and expression.</w:t>
      </w:r>
      <w:r w:rsidR="00CE3838">
        <w:rPr>
          <w:vertAlign w:val="superscript"/>
        </w:rPr>
        <w:t xml:space="preserve"> </w:t>
      </w:r>
      <w:r w:rsidR="00BD0140">
        <w:t xml:space="preserve">However, </w:t>
      </w:r>
      <w:r w:rsidR="00CE3F1E">
        <w:t>freedom</w:t>
      </w:r>
      <w:r w:rsidR="00752043">
        <w:t xml:space="preserve"> of expression</w:t>
      </w:r>
      <w:r w:rsidR="006D276D">
        <w:t xml:space="preserve"> </w:t>
      </w:r>
      <w:r w:rsidR="00871B3C">
        <w:t xml:space="preserve">is limited by </w:t>
      </w:r>
      <w:r w:rsidR="00AD7679">
        <w:t>Article 19</w:t>
      </w:r>
      <w:r w:rsidR="000B11B2">
        <w:t>(3)</w:t>
      </w:r>
      <w:r w:rsidR="0089216A">
        <w:t xml:space="preserve"> of the UN ICCPR</w:t>
      </w:r>
      <w:r w:rsidR="00752043">
        <w:t xml:space="preserve">, which </w:t>
      </w:r>
      <w:r w:rsidR="00871B3C">
        <w:t>requires</w:t>
      </w:r>
      <w:r w:rsidR="0048576E">
        <w:t xml:space="preserve"> respect </w:t>
      </w:r>
      <w:r w:rsidR="009C3A54">
        <w:t>for</w:t>
      </w:r>
      <w:r w:rsidR="0048576E">
        <w:t xml:space="preserve"> the rights or reputations of other</w:t>
      </w:r>
      <w:r w:rsidR="000F0ADE">
        <w:t>s</w:t>
      </w:r>
      <w:r w:rsidR="00B661F0">
        <w:t>.</w:t>
      </w:r>
      <w:r w:rsidR="000F0ADE">
        <w:rPr>
          <w:rStyle w:val="FootnoteReference"/>
        </w:rPr>
        <w:footnoteReference w:id="8"/>
      </w:r>
      <w:r w:rsidR="002C7F7C">
        <w:t xml:space="preserve"> </w:t>
      </w:r>
      <w:r w:rsidR="001C3E5A" w:rsidRPr="002C7F7C">
        <w:t xml:space="preserve">In addition, </w:t>
      </w:r>
      <w:r w:rsidR="00923613" w:rsidRPr="002C7F7C">
        <w:t>Article 20</w:t>
      </w:r>
      <w:r w:rsidR="004A28FB" w:rsidRPr="002C7F7C">
        <w:t xml:space="preserve">(2) </w:t>
      </w:r>
      <w:r w:rsidR="0089216A">
        <w:t xml:space="preserve">of the UN ICCPR </w:t>
      </w:r>
      <w:r w:rsidR="00DE608A" w:rsidRPr="002C7F7C">
        <w:t xml:space="preserve">dictates that the advocacy of </w:t>
      </w:r>
      <w:r w:rsidR="00FB15C2" w:rsidRPr="002C7F7C">
        <w:t xml:space="preserve">racial hatred that promotes the incitement of discrimination, hostility, or violence </w:t>
      </w:r>
      <w:r w:rsidR="003B175F" w:rsidRPr="002C7F7C">
        <w:t>is</w:t>
      </w:r>
      <w:r w:rsidR="006E55E1" w:rsidRPr="002C7F7C">
        <w:t xml:space="preserve"> prohibited by law.</w:t>
      </w:r>
      <w:r w:rsidR="00056199" w:rsidRPr="002C7F7C">
        <w:t xml:space="preserve"> </w:t>
      </w:r>
      <w:r w:rsidR="000A2250">
        <w:t>The UN Human Rights Committee</w:t>
      </w:r>
      <w:r w:rsidR="00A04E73">
        <w:t xml:space="preserve"> has observed that t</w:t>
      </w:r>
      <w:r w:rsidR="00D029BC">
        <w:t>he relationship between A</w:t>
      </w:r>
      <w:r w:rsidR="002E5D9F">
        <w:t xml:space="preserve">rticles 19 and 20 </w:t>
      </w:r>
      <w:r w:rsidR="0047626F">
        <w:t xml:space="preserve">of the UN ICCPR </w:t>
      </w:r>
      <w:r w:rsidR="001567F7">
        <w:t>makes them</w:t>
      </w:r>
      <w:r w:rsidR="00D029BC">
        <w:t xml:space="preserve"> “compatible with and </w:t>
      </w:r>
      <w:r w:rsidR="001567F7">
        <w:t>complement each other</w:t>
      </w:r>
      <w:r w:rsidR="004F50A5">
        <w:t>”</w:t>
      </w:r>
      <w:r w:rsidR="005F5923">
        <w:t>.</w:t>
      </w:r>
      <w:r w:rsidR="004F50A5">
        <w:rPr>
          <w:rStyle w:val="FootnoteReference"/>
        </w:rPr>
        <w:footnoteReference w:id="9"/>
      </w:r>
      <w:r w:rsidR="00A04E73">
        <w:t xml:space="preserve"> </w:t>
      </w:r>
      <w:r w:rsidR="00626678">
        <w:t>To put it plainly</w:t>
      </w:r>
      <w:r w:rsidR="00E648BB">
        <w:t>, mis</w:t>
      </w:r>
      <w:r w:rsidR="001A6EB2">
        <w:t xml:space="preserve">information and </w:t>
      </w:r>
      <w:r w:rsidR="00E648BB">
        <w:t xml:space="preserve">disinformation that </w:t>
      </w:r>
      <w:r w:rsidR="0025436C">
        <w:t xml:space="preserve">meets the criteria of </w:t>
      </w:r>
      <w:r w:rsidR="00A55D6D">
        <w:t>incit</w:t>
      </w:r>
      <w:r w:rsidR="0025436C">
        <w:t>ing</w:t>
      </w:r>
      <w:r w:rsidR="00A55D6D">
        <w:t xml:space="preserve"> hatred </w:t>
      </w:r>
      <w:r w:rsidR="004242CF">
        <w:t xml:space="preserve">is </w:t>
      </w:r>
      <w:r w:rsidR="00626678">
        <w:t xml:space="preserve">not protected </w:t>
      </w:r>
      <w:r w:rsidR="40522D5B">
        <w:t>by</w:t>
      </w:r>
      <w:r w:rsidR="004242CF">
        <w:t xml:space="preserve"> the</w:t>
      </w:r>
      <w:r w:rsidR="00A25811">
        <w:t xml:space="preserve"> right to</w:t>
      </w:r>
      <w:r w:rsidR="004242CF">
        <w:t xml:space="preserve"> </w:t>
      </w:r>
      <w:r w:rsidR="004242CF">
        <w:lastRenderedPageBreak/>
        <w:t xml:space="preserve">freedom of expression </w:t>
      </w:r>
      <w:r w:rsidR="0025436C">
        <w:t>in Article 19</w:t>
      </w:r>
      <w:r w:rsidR="00A25811">
        <w:t xml:space="preserve"> and is a violation of Article 20(2)</w:t>
      </w:r>
      <w:r w:rsidR="00FF2DCD">
        <w:t xml:space="preserve"> of the UN ICCPR</w:t>
      </w:r>
      <w:r w:rsidR="00A25811">
        <w:t>.</w:t>
      </w:r>
    </w:p>
    <w:p w14:paraId="1F3733E5" w14:textId="77777777" w:rsidR="00450E70" w:rsidRPr="00450E70" w:rsidRDefault="00450E70" w:rsidP="00450E70">
      <w:pPr>
        <w:pStyle w:val="ListParagraph"/>
      </w:pPr>
    </w:p>
    <w:p w14:paraId="2EAA48E8" w14:textId="6BD73BB9" w:rsidR="00163D49" w:rsidRDefault="006F3571" w:rsidP="00E9187A">
      <w:pPr>
        <w:pStyle w:val="ListParagraph"/>
        <w:numPr>
          <w:ilvl w:val="1"/>
          <w:numId w:val="21"/>
        </w:numPr>
        <w:ind w:hanging="720"/>
      </w:pPr>
      <w:r>
        <w:t xml:space="preserve">To assess </w:t>
      </w:r>
      <w:r w:rsidR="00FC6CCF">
        <w:t xml:space="preserve">if a form of expression is </w:t>
      </w:r>
      <w:r w:rsidR="001E4D53">
        <w:t>considered</w:t>
      </w:r>
      <w:r w:rsidR="00793315">
        <w:t xml:space="preserve"> </w:t>
      </w:r>
      <w:r w:rsidR="00681E6C">
        <w:t>“</w:t>
      </w:r>
      <w:r w:rsidR="003C6D05">
        <w:t>incitement to hatred</w:t>
      </w:r>
      <w:r w:rsidR="00681E6C">
        <w:t>”</w:t>
      </w:r>
      <w:r w:rsidR="00793315">
        <w:t xml:space="preserve"> </w:t>
      </w:r>
      <w:r w:rsidR="00160D24">
        <w:t>a six-part threshold test</w:t>
      </w:r>
      <w:r w:rsidR="00FA546B">
        <w:t xml:space="preserve"> </w:t>
      </w:r>
      <w:r w:rsidR="00E67809">
        <w:t xml:space="preserve">was </w:t>
      </w:r>
      <w:r w:rsidR="003F5554">
        <w:t>laid out in the</w:t>
      </w:r>
      <w:r w:rsidR="005A7DE3">
        <w:t xml:space="preserve"> Rabat Plan of Action</w:t>
      </w:r>
      <w:r w:rsidR="007E1E40">
        <w:t>,</w:t>
      </w:r>
      <w:r w:rsidR="00D35FD4">
        <w:t xml:space="preserve"> which was formed after a series of workshops </w:t>
      </w:r>
      <w:r w:rsidR="0001640C">
        <w:t xml:space="preserve">held by the </w:t>
      </w:r>
      <w:r w:rsidR="00766E1C">
        <w:t xml:space="preserve">UN </w:t>
      </w:r>
      <w:r w:rsidR="00900332">
        <w:t xml:space="preserve">High Commissioner for Human Rights </w:t>
      </w:r>
      <w:r w:rsidR="0001640C">
        <w:t>regarding</w:t>
      </w:r>
      <w:r w:rsidR="00D01E5C">
        <w:t xml:space="preserve"> </w:t>
      </w:r>
      <w:r w:rsidR="0001640C">
        <w:t>Article 20(2)</w:t>
      </w:r>
      <w:r w:rsidR="00766E1C">
        <w:t xml:space="preserve"> of </w:t>
      </w:r>
      <w:r w:rsidR="00FF2DCD">
        <w:t xml:space="preserve">the UN </w:t>
      </w:r>
      <w:r w:rsidR="00766E1C">
        <w:t>ICCPR</w:t>
      </w:r>
      <w:r w:rsidR="00B661F0">
        <w:t>.</w:t>
      </w:r>
      <w:r w:rsidR="007800A5">
        <w:rPr>
          <w:rStyle w:val="FootnoteReference"/>
        </w:rPr>
        <w:footnoteReference w:id="10"/>
      </w:r>
      <w:r w:rsidR="006F7096">
        <w:t xml:space="preserve"> The</w:t>
      </w:r>
      <w:r w:rsidR="00B8017E">
        <w:t xml:space="preserve"> six </w:t>
      </w:r>
      <w:r w:rsidR="00D10586">
        <w:t xml:space="preserve">elements </w:t>
      </w:r>
      <w:r w:rsidR="009D0472">
        <w:t>chosen as thresholds to consider if a form of expression should be considered a criminal offense</w:t>
      </w:r>
      <w:r w:rsidR="00B8017E">
        <w:t xml:space="preserve"> were context, speaker, intent, content and form, extent of the speech act, and likelihood </w:t>
      </w:r>
      <w:r w:rsidR="00D10586">
        <w:t>including imminence</w:t>
      </w:r>
      <w:r w:rsidR="00602F34">
        <w:t>.</w:t>
      </w:r>
      <w:r w:rsidR="00D77565">
        <w:rPr>
          <w:rStyle w:val="FootnoteReference"/>
        </w:rPr>
        <w:footnoteReference w:id="11"/>
      </w:r>
      <w:r w:rsidR="005E4AAD">
        <w:t xml:space="preserve"> </w:t>
      </w:r>
      <w:r w:rsidR="00C66010">
        <w:t xml:space="preserve">The </w:t>
      </w:r>
      <w:r w:rsidR="00FF2DCD">
        <w:t xml:space="preserve">UN </w:t>
      </w:r>
      <w:r w:rsidR="00C66010">
        <w:t xml:space="preserve">Special Rapporteur on the </w:t>
      </w:r>
      <w:r w:rsidR="00D92977">
        <w:t>promotion and protection of the right to</w:t>
      </w:r>
      <w:r w:rsidR="00766520">
        <w:t xml:space="preserve"> </w:t>
      </w:r>
      <w:r w:rsidR="00C66010">
        <w:t xml:space="preserve">freedom of </w:t>
      </w:r>
      <w:r w:rsidR="00766520">
        <w:t>opinion</w:t>
      </w:r>
      <w:r w:rsidR="00C66010">
        <w:t xml:space="preserve"> and expression</w:t>
      </w:r>
      <w:r w:rsidR="00527A9E">
        <w:t>, Irene Khan,</w:t>
      </w:r>
      <w:r w:rsidR="00766520">
        <w:t xml:space="preserve"> has referred to the </w:t>
      </w:r>
      <w:r w:rsidR="007F34E1">
        <w:t>six-part threshold test</w:t>
      </w:r>
      <w:r w:rsidR="00766520">
        <w:t xml:space="preserve"> as </w:t>
      </w:r>
      <w:r w:rsidR="00A367C3">
        <w:t>“</w:t>
      </w:r>
      <w:r w:rsidR="00766520">
        <w:t xml:space="preserve">a relevant framework for </w:t>
      </w:r>
      <w:r w:rsidR="00D81E1E">
        <w:t>a</w:t>
      </w:r>
      <w:r w:rsidR="00A367C3">
        <w:t>ddressing disinformation</w:t>
      </w:r>
      <w:r w:rsidR="009F7F74">
        <w:t>”</w:t>
      </w:r>
      <w:r w:rsidR="00B661F0">
        <w:t>.</w:t>
      </w:r>
      <w:r w:rsidR="00A41CA1">
        <w:rPr>
          <w:rStyle w:val="FootnoteReference"/>
        </w:rPr>
        <w:footnoteReference w:id="12"/>
      </w:r>
    </w:p>
    <w:p w14:paraId="55BBAC45" w14:textId="77777777" w:rsidR="00163D49" w:rsidRPr="00163D49" w:rsidRDefault="00163D49" w:rsidP="00163D49">
      <w:pPr>
        <w:pStyle w:val="ListParagraph"/>
      </w:pPr>
    </w:p>
    <w:p w14:paraId="7975B386" w14:textId="51659D1A" w:rsidR="0081019B" w:rsidRDefault="00B00BD1" w:rsidP="0047698A">
      <w:pPr>
        <w:pStyle w:val="ListParagraph"/>
        <w:numPr>
          <w:ilvl w:val="1"/>
          <w:numId w:val="21"/>
        </w:numPr>
        <w:ind w:hanging="720"/>
      </w:pPr>
      <w:r>
        <w:t>Under the</w:t>
      </w:r>
      <w:r w:rsidR="002E447C">
        <w:t xml:space="preserve"> recommendations for jurisprudence</w:t>
      </w:r>
      <w:r w:rsidR="00B202F5">
        <w:t xml:space="preserve"> section of </w:t>
      </w:r>
      <w:r w:rsidR="0056362C">
        <w:t>the Rabat Plan of Action</w:t>
      </w:r>
      <w:r w:rsidR="00B202F5">
        <w:t>, the</w:t>
      </w:r>
      <w:r w:rsidR="002E447C">
        <w:t xml:space="preserve"> </w:t>
      </w:r>
      <w:r w:rsidR="00D5091A">
        <w:t xml:space="preserve">UN </w:t>
      </w:r>
      <w:r w:rsidR="00BA05C8">
        <w:t xml:space="preserve">High Commissioner for Human Rights </w:t>
      </w:r>
      <w:r w:rsidR="00B202F5">
        <w:t>states that</w:t>
      </w:r>
      <w:r w:rsidR="00186B84">
        <w:t>:</w:t>
      </w:r>
      <w:r w:rsidR="00337218">
        <w:t xml:space="preserve"> </w:t>
      </w:r>
    </w:p>
    <w:p w14:paraId="7A2971F1" w14:textId="77777777" w:rsidR="00DF15AA" w:rsidRPr="00DF15AA" w:rsidRDefault="00DF15AA" w:rsidP="00DF15AA">
      <w:pPr>
        <w:pStyle w:val="ListParagraph"/>
      </w:pPr>
    </w:p>
    <w:p w14:paraId="48BD9268" w14:textId="6543EC07" w:rsidR="0081019B" w:rsidRDefault="00DF15AA" w:rsidP="00D544C1">
      <w:pPr>
        <w:pStyle w:val="Quote"/>
      </w:pPr>
      <w:r>
        <w:t>national and regional courts should be regularly updated about international standards and international, regional and comparative jurisprudence relating to incitement to hatred because when confronted with such cases, courts need to undertake a thorough analysis based on a well thought through threshold test.</w:t>
      </w:r>
      <w:r>
        <w:rPr>
          <w:rStyle w:val="FootnoteReference"/>
        </w:rPr>
        <w:footnoteReference w:id="13"/>
      </w:r>
    </w:p>
    <w:p w14:paraId="718440B1" w14:textId="77777777" w:rsidR="00BE268C" w:rsidRPr="008610E7" w:rsidRDefault="00BE268C" w:rsidP="008610E7"/>
    <w:p w14:paraId="1E186EC8" w14:textId="688265A3" w:rsidR="00BE268C" w:rsidRPr="00BE268C" w:rsidRDefault="00E64DA5" w:rsidP="00D544C1">
      <w:pPr>
        <w:pStyle w:val="Heading3"/>
      </w:pPr>
      <w:bookmarkStart w:id="3" w:name="_Toc198115663"/>
      <w:r>
        <w:lastRenderedPageBreak/>
        <w:t>UN</w:t>
      </w:r>
      <w:r w:rsidR="00706E44">
        <w:t xml:space="preserve"> International Covenant on Economic, Social and Cultural Rights</w:t>
      </w:r>
      <w:bookmarkEnd w:id="3"/>
    </w:p>
    <w:p w14:paraId="4A7232DB" w14:textId="45C6BCD6" w:rsidR="004F7E59" w:rsidRDefault="00E86AB0" w:rsidP="00425A76">
      <w:pPr>
        <w:pStyle w:val="ListParagraph"/>
        <w:numPr>
          <w:ilvl w:val="1"/>
          <w:numId w:val="21"/>
        </w:numPr>
        <w:ind w:hanging="720"/>
      </w:pPr>
      <w:r>
        <w:t xml:space="preserve">Article 2(2) of </w:t>
      </w:r>
      <w:r w:rsidR="00C62938">
        <w:t>the UN International Covenant on Economic, Social and Cultural Rights (</w:t>
      </w:r>
      <w:r w:rsidR="009C59D7">
        <w:t xml:space="preserve">UN </w:t>
      </w:r>
      <w:r w:rsidR="008542BF">
        <w:t>ICESCR</w:t>
      </w:r>
      <w:r w:rsidR="00C62938">
        <w:t>)</w:t>
      </w:r>
      <w:r w:rsidR="008542BF">
        <w:t xml:space="preserve"> </w:t>
      </w:r>
      <w:r w:rsidR="00BB258E">
        <w:t>requires</w:t>
      </w:r>
      <w:r w:rsidR="008542BF">
        <w:t xml:space="preserve"> that all States Parties must guarantee that all rights mentioned in </w:t>
      </w:r>
      <w:r w:rsidR="009C59D7">
        <w:t xml:space="preserve">UN </w:t>
      </w:r>
      <w:r w:rsidR="008542BF">
        <w:t>ICESCR are exercised without</w:t>
      </w:r>
      <w:r w:rsidR="00B7174B">
        <w:t xml:space="preserve"> </w:t>
      </w:r>
      <w:r w:rsidR="008542BF">
        <w:t xml:space="preserve">discrimination </w:t>
      </w:r>
      <w:r w:rsidR="00C67694">
        <w:t xml:space="preserve">based on race, colour, sex, </w:t>
      </w:r>
      <w:r w:rsidR="000135E4">
        <w:t xml:space="preserve">language, or any other status. Article 3 </w:t>
      </w:r>
      <w:r w:rsidR="009C59D7">
        <w:t xml:space="preserve">of the UN ICESCR </w:t>
      </w:r>
      <w:r w:rsidR="000135E4">
        <w:t xml:space="preserve">maintains the equal right of men and women to all rights </w:t>
      </w:r>
      <w:r w:rsidR="00786991">
        <w:t xml:space="preserve">set out </w:t>
      </w:r>
      <w:r w:rsidR="009C59D7">
        <w:t>with</w:t>
      </w:r>
      <w:r w:rsidR="000135E4">
        <w:t xml:space="preserve">in. </w:t>
      </w:r>
      <w:r w:rsidR="00BB1915">
        <w:t>Both</w:t>
      </w:r>
      <w:r w:rsidR="000C4311">
        <w:t xml:space="preserve"> </w:t>
      </w:r>
      <w:r w:rsidR="009C59D7">
        <w:t xml:space="preserve">provisions </w:t>
      </w:r>
      <w:r w:rsidR="005E43BA">
        <w:t>undertake that</w:t>
      </w:r>
      <w:r w:rsidR="003D75FD">
        <w:t xml:space="preserve"> people</w:t>
      </w:r>
      <w:r w:rsidR="00BB1915">
        <w:t xml:space="preserve"> have </w:t>
      </w:r>
      <w:r w:rsidR="00142E8F">
        <w:t>the right to equality and non-discrimination</w:t>
      </w:r>
      <w:r w:rsidR="004716D0">
        <w:t>.</w:t>
      </w:r>
      <w:r w:rsidR="00BB68EE">
        <w:rPr>
          <w:rStyle w:val="FootnoteReference"/>
        </w:rPr>
        <w:footnoteReference w:id="14"/>
      </w:r>
      <w:r w:rsidR="006D6A76">
        <w:t xml:space="preserve"> </w:t>
      </w:r>
      <w:r w:rsidR="00720A2D">
        <w:t>In this context</w:t>
      </w:r>
      <w:r w:rsidR="00E106C2">
        <w:t xml:space="preserve">, these rights are violated when </w:t>
      </w:r>
      <w:r w:rsidR="00070E83">
        <w:t>the content of the mis</w:t>
      </w:r>
      <w:r w:rsidR="001A6EB2">
        <w:t xml:space="preserve">information and </w:t>
      </w:r>
      <w:r w:rsidR="00070E83">
        <w:t xml:space="preserve">disinformation is discriminatory </w:t>
      </w:r>
      <w:r w:rsidR="006C50AD">
        <w:t>to racial</w:t>
      </w:r>
      <w:r w:rsidR="00B90517">
        <w:t xml:space="preserve"> and </w:t>
      </w:r>
      <w:r w:rsidR="00816C4E">
        <w:t xml:space="preserve">ethnic minorities. </w:t>
      </w:r>
    </w:p>
    <w:p w14:paraId="0B813F16" w14:textId="77777777" w:rsidR="003E5602" w:rsidRDefault="003E5602" w:rsidP="003E5602">
      <w:pPr>
        <w:pStyle w:val="ListParagraph"/>
      </w:pPr>
    </w:p>
    <w:p w14:paraId="1DB34415" w14:textId="619A22D7" w:rsidR="00186B84" w:rsidRDefault="007D52AD">
      <w:pPr>
        <w:pStyle w:val="ListParagraph"/>
        <w:numPr>
          <w:ilvl w:val="1"/>
          <w:numId w:val="21"/>
        </w:numPr>
        <w:ind w:hanging="720"/>
        <w:rPr>
          <w:szCs w:val="28"/>
        </w:rPr>
      </w:pPr>
      <w:r>
        <w:t xml:space="preserve">The enjoyment </w:t>
      </w:r>
      <w:r w:rsidR="005D29A3">
        <w:t xml:space="preserve">of a broad range of </w:t>
      </w:r>
      <w:r>
        <w:t xml:space="preserve">fundamental </w:t>
      </w:r>
      <w:r w:rsidR="005D29A3">
        <w:t>economic, social and cultural rights</w:t>
      </w:r>
      <w:r w:rsidR="001403DA">
        <w:t xml:space="preserve"> for racial and ethnic minorities</w:t>
      </w:r>
      <w:r w:rsidR="005D29A3">
        <w:t xml:space="preserve"> </w:t>
      </w:r>
      <w:r w:rsidR="00AF5B54">
        <w:t xml:space="preserve">can be affected by </w:t>
      </w:r>
      <w:r w:rsidR="001403DA">
        <w:t>misinformation and disinformation</w:t>
      </w:r>
      <w:r w:rsidR="000E59F2">
        <w:t>. For example,</w:t>
      </w:r>
      <w:r w:rsidR="005D29A3">
        <w:t xml:space="preserve"> </w:t>
      </w:r>
      <w:r w:rsidR="00903B90">
        <w:t xml:space="preserve">Article 12 of </w:t>
      </w:r>
      <w:r w:rsidR="00720A2D">
        <w:t xml:space="preserve">UN </w:t>
      </w:r>
      <w:r w:rsidR="009978B1">
        <w:t>ICESCR</w:t>
      </w:r>
      <w:r w:rsidR="00603B09">
        <w:t xml:space="preserve"> </w:t>
      </w:r>
      <w:r w:rsidR="00AB4B46">
        <w:t>states that all States Parties acknowledge</w:t>
      </w:r>
      <w:r w:rsidR="0070080E">
        <w:t xml:space="preserve"> the right </w:t>
      </w:r>
      <w:r w:rsidR="00AB4B46">
        <w:t>of everyone to</w:t>
      </w:r>
      <w:r w:rsidR="00F33488">
        <w:t xml:space="preserve"> enjoy the highest standard </w:t>
      </w:r>
      <w:r w:rsidR="00455875">
        <w:t xml:space="preserve">possible </w:t>
      </w:r>
      <w:r w:rsidR="00F33488">
        <w:t xml:space="preserve">of physical and mental health. </w:t>
      </w:r>
      <w:r w:rsidR="005B4242">
        <w:t>A</w:t>
      </w:r>
      <w:r w:rsidR="004C516E">
        <w:t xml:space="preserve"> broad range of </w:t>
      </w:r>
      <w:r w:rsidR="005B4242">
        <w:t xml:space="preserve">economic and social </w:t>
      </w:r>
      <w:r w:rsidR="004C516E">
        <w:t xml:space="preserve">rights </w:t>
      </w:r>
      <w:r w:rsidR="005B4242">
        <w:t xml:space="preserve">can </w:t>
      </w:r>
      <w:r w:rsidR="00854434">
        <w:t xml:space="preserve">affect a person’s mental and physical well-being, including </w:t>
      </w:r>
      <w:r w:rsidR="007725AF">
        <w:t xml:space="preserve">the right to </w:t>
      </w:r>
      <w:r w:rsidR="00854434">
        <w:t>health</w:t>
      </w:r>
      <w:r w:rsidR="007725AF">
        <w:t xml:space="preserve">. </w:t>
      </w:r>
      <w:r w:rsidR="00572F5A">
        <w:t>In the UK, r</w:t>
      </w:r>
      <w:r w:rsidR="00D97DFB">
        <w:t xml:space="preserve">esearch has shown that </w:t>
      </w:r>
      <w:r w:rsidR="00091DE4">
        <w:t>exposure to racial discrimination in different domains has negative long-term effects on the mental health of ethnic minorities</w:t>
      </w:r>
      <w:r w:rsidR="00200A68">
        <w:t>.</w:t>
      </w:r>
      <w:r w:rsidR="008C2CA3">
        <w:rPr>
          <w:rStyle w:val="FootnoteReference"/>
        </w:rPr>
        <w:footnoteReference w:id="15"/>
      </w:r>
      <w:r w:rsidR="00572F5A">
        <w:t xml:space="preserve"> </w:t>
      </w:r>
      <w:r w:rsidR="00317BDF">
        <w:t xml:space="preserve">Where </w:t>
      </w:r>
      <w:r w:rsidR="00366853">
        <w:t>o</w:t>
      </w:r>
      <w:r w:rsidR="00572612">
        <w:t>nline mis</w:t>
      </w:r>
      <w:r w:rsidR="001A6EB2">
        <w:t xml:space="preserve">information and </w:t>
      </w:r>
      <w:r w:rsidR="00572612">
        <w:t xml:space="preserve">disinformation </w:t>
      </w:r>
      <w:r w:rsidR="00C36336">
        <w:t xml:space="preserve">is </w:t>
      </w:r>
      <w:r w:rsidR="58D3C4CB">
        <w:t>intended</w:t>
      </w:r>
      <w:r w:rsidR="002B0218">
        <w:t xml:space="preserve"> to incite hatred and division</w:t>
      </w:r>
      <w:r w:rsidR="006341B9">
        <w:t xml:space="preserve"> </w:t>
      </w:r>
      <w:r w:rsidR="009D70DD">
        <w:t xml:space="preserve">against ethnic minorities </w:t>
      </w:r>
      <w:r w:rsidR="00660D24">
        <w:t xml:space="preserve">is a </w:t>
      </w:r>
      <w:r w:rsidR="005B1ABB">
        <w:t>domain</w:t>
      </w:r>
      <w:r w:rsidR="00660D24">
        <w:t xml:space="preserve"> of discrimination, </w:t>
      </w:r>
      <w:r w:rsidR="00864FD0">
        <w:t xml:space="preserve">this </w:t>
      </w:r>
      <w:r w:rsidR="00317BDF">
        <w:t xml:space="preserve">may </w:t>
      </w:r>
      <w:r w:rsidR="00864FD0">
        <w:t xml:space="preserve">constitute </w:t>
      </w:r>
      <w:r w:rsidR="00366853">
        <w:t>a violation of Article 12</w:t>
      </w:r>
      <w:r w:rsidR="00704B03">
        <w:t xml:space="preserve"> of the UN ICESCR</w:t>
      </w:r>
      <w:r w:rsidR="00366853">
        <w:t>.</w:t>
      </w:r>
      <w:r w:rsidR="009D58A1">
        <w:t xml:space="preserve"> </w:t>
      </w:r>
    </w:p>
    <w:p w14:paraId="5F3600DA" w14:textId="77777777" w:rsidR="00366853" w:rsidRPr="00366853" w:rsidRDefault="00366853" w:rsidP="00366853">
      <w:pPr>
        <w:pStyle w:val="ListParagraph"/>
      </w:pPr>
    </w:p>
    <w:p w14:paraId="327A9189" w14:textId="1BFBB444" w:rsidR="00366853" w:rsidRPr="00366853" w:rsidRDefault="008502C8" w:rsidP="00D544C1">
      <w:pPr>
        <w:pStyle w:val="Heading3"/>
      </w:pPr>
      <w:bookmarkStart w:id="4" w:name="_Toc198115664"/>
      <w:r>
        <w:lastRenderedPageBreak/>
        <w:t>UN</w:t>
      </w:r>
      <w:r w:rsidR="00366853" w:rsidRPr="00435525">
        <w:t xml:space="preserve"> Convention on the Elimination of Racial Discrimination</w:t>
      </w:r>
      <w:bookmarkEnd w:id="4"/>
    </w:p>
    <w:p w14:paraId="20C939D4" w14:textId="62B172C2" w:rsidR="00302970" w:rsidRDefault="000A70C8" w:rsidP="005B5A51">
      <w:pPr>
        <w:pStyle w:val="ListParagraph"/>
        <w:numPr>
          <w:ilvl w:val="1"/>
          <w:numId w:val="21"/>
        </w:numPr>
        <w:ind w:hanging="720"/>
      </w:pPr>
      <w:r>
        <w:t xml:space="preserve">Article </w:t>
      </w:r>
      <w:r w:rsidR="00010B70">
        <w:t xml:space="preserve">4 of the UN </w:t>
      </w:r>
      <w:r w:rsidR="002F6EBB">
        <w:t>Convention on the Elimination of Racial Discrimination (</w:t>
      </w:r>
      <w:r w:rsidR="00010B70">
        <w:t>UN CERD</w:t>
      </w:r>
      <w:r w:rsidR="002F6EBB">
        <w:t>)</w:t>
      </w:r>
      <w:r w:rsidR="00427AA3">
        <w:t xml:space="preserve"> </w:t>
      </w:r>
      <w:r w:rsidR="008C31A9">
        <w:t>condemns</w:t>
      </w:r>
      <w:r w:rsidR="00372FB2">
        <w:t xml:space="preserve"> all propaganda and organi</w:t>
      </w:r>
      <w:r w:rsidR="00AC244F">
        <w:t>s</w:t>
      </w:r>
      <w:r w:rsidR="00372FB2">
        <w:t xml:space="preserve">ations that </w:t>
      </w:r>
      <w:r w:rsidR="00987541">
        <w:t xml:space="preserve">uphold ideas of </w:t>
      </w:r>
      <w:r w:rsidR="003728E6">
        <w:t xml:space="preserve">one group’s </w:t>
      </w:r>
      <w:r w:rsidR="00987541">
        <w:t>racial or ethnic superiority</w:t>
      </w:r>
      <w:r w:rsidR="003728E6">
        <w:t xml:space="preserve"> or justify racial hatred </w:t>
      </w:r>
      <w:r w:rsidR="00637478">
        <w:t>and discrimination</w:t>
      </w:r>
      <w:r w:rsidR="00621FEB">
        <w:t xml:space="preserve"> and </w:t>
      </w:r>
      <w:r w:rsidR="00121366">
        <w:t>requires</w:t>
      </w:r>
      <w:r w:rsidR="00094708">
        <w:t xml:space="preserve"> </w:t>
      </w:r>
      <w:r w:rsidR="00FF7B9F">
        <w:t xml:space="preserve">States Parties </w:t>
      </w:r>
      <w:r w:rsidR="00121366">
        <w:t xml:space="preserve">to </w:t>
      </w:r>
      <w:r w:rsidR="00FF7B9F">
        <w:t>“adopt immediate and positive measures designed to eradicate all incitement to, or acts of, such discrimination</w:t>
      </w:r>
      <w:r w:rsidR="00AC244F">
        <w:t>”</w:t>
      </w:r>
      <w:r w:rsidR="009F6E50">
        <w:t>.</w:t>
      </w:r>
      <w:r w:rsidR="00D11484">
        <w:t xml:space="preserve"> </w:t>
      </w:r>
      <w:r w:rsidR="0094695C" w:rsidRPr="005B5A51">
        <w:t>A</w:t>
      </w:r>
      <w:r w:rsidR="00804318" w:rsidRPr="005B5A51">
        <w:t xml:space="preserve">rticle </w:t>
      </w:r>
      <w:r w:rsidR="00AC0A68" w:rsidRPr="005B5A51">
        <w:t xml:space="preserve">5 </w:t>
      </w:r>
      <w:r w:rsidR="00704B03">
        <w:t xml:space="preserve">of the UN CERD </w:t>
      </w:r>
      <w:r w:rsidR="00AC0A68" w:rsidRPr="005B5A51">
        <w:t xml:space="preserve">dictates that </w:t>
      </w:r>
      <w:r w:rsidR="00704B03">
        <w:t>S</w:t>
      </w:r>
      <w:r w:rsidR="009E2958" w:rsidRPr="005B5A51">
        <w:t>tates</w:t>
      </w:r>
      <w:r w:rsidR="00144F87" w:rsidRPr="005B5A51">
        <w:t xml:space="preserve"> </w:t>
      </w:r>
      <w:r w:rsidR="00367DC1" w:rsidRPr="005B5A51">
        <w:t xml:space="preserve">must </w:t>
      </w:r>
      <w:r w:rsidR="00634D59" w:rsidRPr="005B5A51">
        <w:t>endeavour</w:t>
      </w:r>
      <w:r w:rsidR="008F5ED7" w:rsidRPr="005B5A51">
        <w:t xml:space="preserve"> </w:t>
      </w:r>
      <w:r w:rsidR="00B2079B" w:rsidRPr="005B5A51">
        <w:t>“</w:t>
      </w:r>
      <w:r w:rsidR="001D51A0" w:rsidRPr="005B5A51">
        <w:t xml:space="preserve">to prohibit and to eliminate racial </w:t>
      </w:r>
      <w:r w:rsidR="00B2079B" w:rsidRPr="005B5A51">
        <w:t xml:space="preserve">discrimination </w:t>
      </w:r>
      <w:r w:rsidR="00B1165A" w:rsidRPr="005B5A51">
        <w:t>in all its forms and to guarantee the right of everyone, without distinction as to race, colour, or national or ethnic origin</w:t>
      </w:r>
      <w:r w:rsidR="000E3114" w:rsidRPr="005B5A51">
        <w:t>, to equality before the law</w:t>
      </w:r>
      <w:r w:rsidR="00266D03">
        <w:t>”</w:t>
      </w:r>
      <w:r w:rsidR="000E3114" w:rsidRPr="005B5A51">
        <w:t>.</w:t>
      </w:r>
    </w:p>
    <w:p w14:paraId="7C321F7F" w14:textId="77777777" w:rsidR="00273208" w:rsidRDefault="00273208" w:rsidP="00273208">
      <w:pPr>
        <w:pStyle w:val="ListParagraph"/>
      </w:pPr>
    </w:p>
    <w:p w14:paraId="06E410D5" w14:textId="77777777" w:rsidR="00471228" w:rsidRDefault="00DC0A1F" w:rsidP="00471228">
      <w:pPr>
        <w:pStyle w:val="ListParagraph"/>
        <w:numPr>
          <w:ilvl w:val="1"/>
          <w:numId w:val="21"/>
        </w:numPr>
        <w:ind w:hanging="720"/>
      </w:pPr>
      <w:r w:rsidRPr="005B5A51">
        <w:t xml:space="preserve">In the context of </w:t>
      </w:r>
      <w:r w:rsidR="007C5D11" w:rsidRPr="005B5A51">
        <w:t>mis</w:t>
      </w:r>
      <w:r w:rsidR="001A6EB2">
        <w:t xml:space="preserve">information and </w:t>
      </w:r>
      <w:r w:rsidR="000E1DC3">
        <w:t xml:space="preserve">disinformation regarding </w:t>
      </w:r>
      <w:r w:rsidR="00E27D55" w:rsidRPr="005B5A51">
        <w:t>racial</w:t>
      </w:r>
      <w:r w:rsidR="00266D03">
        <w:t xml:space="preserve"> </w:t>
      </w:r>
      <w:r w:rsidR="00E04373">
        <w:t>and</w:t>
      </w:r>
      <w:r w:rsidR="00E04373" w:rsidRPr="005B5A51">
        <w:t xml:space="preserve"> ethnic</w:t>
      </w:r>
      <w:r w:rsidR="00E27D55" w:rsidRPr="005B5A51">
        <w:t xml:space="preserve"> minorities</w:t>
      </w:r>
      <w:r w:rsidRPr="005B5A51">
        <w:t xml:space="preserve">, </w:t>
      </w:r>
      <w:r w:rsidR="00715B9D">
        <w:t>A</w:t>
      </w:r>
      <w:r w:rsidRPr="005B5A51">
        <w:t>rticle</w:t>
      </w:r>
      <w:r w:rsidR="005B5A51">
        <w:t xml:space="preserve">s 4 and </w:t>
      </w:r>
      <w:r w:rsidRPr="005B5A51">
        <w:t>5</w:t>
      </w:r>
      <w:r w:rsidR="00715B9D">
        <w:t xml:space="preserve"> of the UN CERD</w:t>
      </w:r>
      <w:r w:rsidRPr="005B5A51">
        <w:t xml:space="preserve"> require </w:t>
      </w:r>
      <w:r w:rsidR="009E2958" w:rsidRPr="005B5A51">
        <w:t>States</w:t>
      </w:r>
      <w:r w:rsidR="00E27D55" w:rsidRPr="005B5A51">
        <w:t xml:space="preserve"> </w:t>
      </w:r>
      <w:r w:rsidR="009E2958" w:rsidRPr="005B5A51">
        <w:t xml:space="preserve">to take </w:t>
      </w:r>
      <w:r w:rsidR="00E06C6C">
        <w:t xml:space="preserve">effective </w:t>
      </w:r>
      <w:r w:rsidR="009E2958" w:rsidRPr="005B5A51">
        <w:t>action</w:t>
      </w:r>
      <w:r w:rsidR="00E06C6C">
        <w:t xml:space="preserve"> to prevent the spread </w:t>
      </w:r>
      <w:r w:rsidR="006C7A1B">
        <w:t xml:space="preserve">of </w:t>
      </w:r>
      <w:r w:rsidR="00254837">
        <w:t xml:space="preserve">discriminatory </w:t>
      </w:r>
      <w:r w:rsidR="006C7A1B">
        <w:t>mis</w:t>
      </w:r>
      <w:r w:rsidR="001A6EB2">
        <w:t xml:space="preserve">information and </w:t>
      </w:r>
      <w:r w:rsidR="006C7A1B">
        <w:t xml:space="preserve">disinformation </w:t>
      </w:r>
      <w:r w:rsidR="00254837">
        <w:t xml:space="preserve">inciting hate </w:t>
      </w:r>
      <w:r w:rsidR="00253826">
        <w:t xml:space="preserve">against racial and ethnic </w:t>
      </w:r>
      <w:r w:rsidR="00E04373">
        <w:t>minorities</w:t>
      </w:r>
      <w:r w:rsidR="00254837">
        <w:t xml:space="preserve"> </w:t>
      </w:r>
      <w:r w:rsidR="00A166BE">
        <w:t>to</w:t>
      </w:r>
      <w:r w:rsidR="00BD61A1">
        <w:t xml:space="preserve"> promote equality for those under their jurisdiction. </w:t>
      </w:r>
    </w:p>
    <w:p w14:paraId="76665DD8" w14:textId="77777777" w:rsidR="00471228" w:rsidRPr="00471228" w:rsidRDefault="00471228" w:rsidP="00471228">
      <w:pPr>
        <w:pStyle w:val="ListParagraph"/>
      </w:pPr>
    </w:p>
    <w:p w14:paraId="21D2002D" w14:textId="2577FAFA" w:rsidR="00806ECD" w:rsidRDefault="00BD50B0" w:rsidP="00471228">
      <w:pPr>
        <w:pStyle w:val="ListParagraph"/>
        <w:numPr>
          <w:ilvl w:val="1"/>
          <w:numId w:val="21"/>
        </w:numPr>
        <w:ind w:hanging="720"/>
      </w:pPr>
      <w:r w:rsidRPr="00471228">
        <w:t>T</w:t>
      </w:r>
      <w:r w:rsidR="0081417A" w:rsidRPr="00471228">
        <w:t xml:space="preserve">he </w:t>
      </w:r>
      <w:r w:rsidR="00806ECD" w:rsidRPr="00471228">
        <w:t>UN</w:t>
      </w:r>
      <w:r w:rsidR="0081417A" w:rsidRPr="00471228">
        <w:t xml:space="preserve"> </w:t>
      </w:r>
      <w:r w:rsidR="00F54DD5" w:rsidRPr="00471228">
        <w:t>Committee on the Elimination of Racial Discrimination</w:t>
      </w:r>
      <w:r w:rsidR="009744D2" w:rsidRPr="00471228">
        <w:t xml:space="preserve">’s </w:t>
      </w:r>
      <w:r w:rsidR="006A325D" w:rsidRPr="00471228">
        <w:t>(</w:t>
      </w:r>
      <w:r w:rsidR="003A580B" w:rsidRPr="00471228">
        <w:t xml:space="preserve">UN </w:t>
      </w:r>
      <w:r w:rsidR="006A325D" w:rsidRPr="00471228">
        <w:t>CERD</w:t>
      </w:r>
      <w:r w:rsidR="003A580B" w:rsidRPr="00471228">
        <w:t xml:space="preserve"> Committee</w:t>
      </w:r>
      <w:r w:rsidR="006A325D" w:rsidRPr="00471228">
        <w:t xml:space="preserve">) </w:t>
      </w:r>
      <w:r w:rsidR="003A580B" w:rsidRPr="00471228">
        <w:t>ha</w:t>
      </w:r>
      <w:r w:rsidR="005530A8" w:rsidRPr="00471228">
        <w:t>s</w:t>
      </w:r>
      <w:r w:rsidR="003A580B" w:rsidRPr="00471228">
        <w:t xml:space="preserve"> observed</w:t>
      </w:r>
      <w:r w:rsidR="00712D10" w:rsidRPr="00471228">
        <w:t xml:space="preserve"> that</w:t>
      </w:r>
      <w:r w:rsidR="00675EE0" w:rsidRPr="00471228">
        <w:t xml:space="preserve"> </w:t>
      </w:r>
      <w:r w:rsidR="00715B9D" w:rsidRPr="00471228">
        <w:t>A</w:t>
      </w:r>
      <w:r w:rsidR="00675EE0" w:rsidRPr="00471228">
        <w:t>rticle 4(a) of UN CERD</w:t>
      </w:r>
      <w:r w:rsidR="00471228" w:rsidRPr="00471228">
        <w:t xml:space="preserve"> </w:t>
      </w:r>
      <w:r w:rsidR="00712D10" w:rsidRPr="00471228">
        <w:t>requires States parties to penali</w:t>
      </w:r>
      <w:r w:rsidR="00092420" w:rsidRPr="00471228">
        <w:t>s</w:t>
      </w:r>
      <w:r w:rsidR="00712D10" w:rsidRPr="00471228">
        <w:t>e four categories of misconduct:</w:t>
      </w:r>
      <w:r w:rsidR="003F50C8">
        <w:rPr>
          <w:rStyle w:val="FootnoteReference"/>
        </w:rPr>
        <w:footnoteReference w:id="16"/>
      </w:r>
      <w:r w:rsidR="00712D10" w:rsidRPr="00471228">
        <w:t xml:space="preserve"> </w:t>
      </w:r>
    </w:p>
    <w:p w14:paraId="4839D21E" w14:textId="77777777" w:rsidR="00471228" w:rsidRPr="00471228" w:rsidRDefault="00471228" w:rsidP="00471228"/>
    <w:p w14:paraId="4D1F728E" w14:textId="77777777" w:rsidR="00806ECD" w:rsidRDefault="00712D10" w:rsidP="00806ECD">
      <w:pPr>
        <w:pStyle w:val="ListParagraph"/>
        <w:ind w:left="1843" w:right="862" w:hanging="425"/>
      </w:pPr>
      <w:r>
        <w:t>(</w:t>
      </w:r>
      <w:proofErr w:type="spellStart"/>
      <w:r>
        <w:t>i</w:t>
      </w:r>
      <w:proofErr w:type="spellEnd"/>
      <w:r>
        <w:t xml:space="preserve">) dissemination of ideas based </w:t>
      </w:r>
      <w:r w:rsidR="006B3AF9">
        <w:t xml:space="preserve">upon racial superiority or </w:t>
      </w:r>
      <w:proofErr w:type="gramStart"/>
      <w:r w:rsidR="006B3AF9">
        <w:t>hatred;</w:t>
      </w:r>
      <w:proofErr w:type="gramEnd"/>
      <w:r w:rsidR="006B3AF9">
        <w:t xml:space="preserve"> </w:t>
      </w:r>
    </w:p>
    <w:p w14:paraId="597FF0EF" w14:textId="77777777" w:rsidR="00806ECD" w:rsidRDefault="006B3AF9" w:rsidP="00806ECD">
      <w:pPr>
        <w:pStyle w:val="ListParagraph"/>
        <w:ind w:left="1843" w:right="862" w:hanging="425"/>
      </w:pPr>
      <w:r>
        <w:t xml:space="preserve">(ii) incitement to racial </w:t>
      </w:r>
      <w:proofErr w:type="gramStart"/>
      <w:r>
        <w:t>hatred;</w:t>
      </w:r>
      <w:proofErr w:type="gramEnd"/>
      <w:r>
        <w:t xml:space="preserve"> </w:t>
      </w:r>
    </w:p>
    <w:p w14:paraId="7CD69D35" w14:textId="77777777" w:rsidR="00806ECD" w:rsidRDefault="006B3AF9" w:rsidP="00806ECD">
      <w:pPr>
        <w:pStyle w:val="ListParagraph"/>
        <w:ind w:left="1843" w:right="862" w:hanging="425"/>
      </w:pPr>
      <w:r>
        <w:t xml:space="preserve">(iii) acts of violence against any race or groups of persons of another colour or ethnic origin; and </w:t>
      </w:r>
    </w:p>
    <w:p w14:paraId="1A1B6E5B" w14:textId="5B0C2AE6" w:rsidR="00712D10" w:rsidRDefault="006B3AF9" w:rsidP="008A4063">
      <w:pPr>
        <w:pStyle w:val="ListParagraph"/>
        <w:ind w:left="1843" w:right="862" w:hanging="425"/>
      </w:pPr>
      <w:r>
        <w:lastRenderedPageBreak/>
        <w:t>(iv) incitement to such acts</w:t>
      </w:r>
      <w:r w:rsidR="00F527D9">
        <w:t>.</w:t>
      </w:r>
      <w:r w:rsidR="00F527D9">
        <w:rPr>
          <w:rStyle w:val="FootnoteReference"/>
        </w:rPr>
        <w:footnoteReference w:id="17"/>
      </w:r>
    </w:p>
    <w:p w14:paraId="26590E3E" w14:textId="77777777" w:rsidR="007F3F46" w:rsidRDefault="007F3F46" w:rsidP="007F3F46">
      <w:pPr>
        <w:pStyle w:val="ListParagraph"/>
      </w:pPr>
    </w:p>
    <w:p w14:paraId="6D345AC1" w14:textId="0EDC042E" w:rsidR="00FC1B0B" w:rsidRPr="00FC1B0B" w:rsidRDefault="00491849" w:rsidP="00FC1B0B">
      <w:pPr>
        <w:pStyle w:val="ListParagraph"/>
        <w:numPr>
          <w:ilvl w:val="1"/>
          <w:numId w:val="21"/>
        </w:numPr>
        <w:ind w:hanging="720"/>
      </w:pPr>
      <w:r>
        <w:t xml:space="preserve">While </w:t>
      </w:r>
      <w:r w:rsidR="007F3F46">
        <w:t xml:space="preserve">the </w:t>
      </w:r>
      <w:r w:rsidR="00785909">
        <w:t xml:space="preserve">UN </w:t>
      </w:r>
      <w:r w:rsidR="007F3F46">
        <w:t>CERD</w:t>
      </w:r>
      <w:r w:rsidR="00785909">
        <w:t xml:space="preserve"> Committee do not </w:t>
      </w:r>
      <w:r w:rsidR="00CD0900">
        <w:t>explicitly reference online disinformation</w:t>
      </w:r>
      <w:r w:rsidR="007F3F46">
        <w:t xml:space="preserve">, the </w:t>
      </w:r>
      <w:r w:rsidR="00042C5D">
        <w:t>misconduct</w:t>
      </w:r>
      <w:r w:rsidR="00CB5FAD">
        <w:t xml:space="preserve"> </w:t>
      </w:r>
      <w:r w:rsidR="00E815E7">
        <w:t>categories</w:t>
      </w:r>
      <w:r w:rsidR="00D85528">
        <w:t xml:space="preserve"> </w:t>
      </w:r>
      <w:r w:rsidR="0011023D">
        <w:t xml:space="preserve">of incitement to racial hatred </w:t>
      </w:r>
      <w:r w:rsidR="00A9233C">
        <w:t xml:space="preserve">and incitement to acts of violence against any race or groups of persons of another colour or ethnic origin </w:t>
      </w:r>
      <w:r w:rsidR="00230D00">
        <w:t>complement</w:t>
      </w:r>
      <w:r w:rsidR="009B794F">
        <w:t>s</w:t>
      </w:r>
      <w:r w:rsidR="00E40C6C">
        <w:t xml:space="preserve"> the Rabat Plan of Action</w:t>
      </w:r>
      <w:r w:rsidR="002C69E0">
        <w:t>.</w:t>
      </w:r>
      <w:r w:rsidR="00360873">
        <w:rPr>
          <w:rStyle w:val="FootnoteReference"/>
        </w:rPr>
        <w:footnoteReference w:id="18"/>
      </w:r>
      <w:r w:rsidR="002714B3">
        <w:t xml:space="preserve"> </w:t>
      </w:r>
      <w:r w:rsidR="0077620E">
        <w:t xml:space="preserve">These </w:t>
      </w:r>
      <w:r w:rsidR="00350805">
        <w:t xml:space="preserve">misconduct </w:t>
      </w:r>
      <w:r w:rsidR="006D5ABC">
        <w:t>categori</w:t>
      </w:r>
      <w:r w:rsidR="00C2686E">
        <w:t>e</w:t>
      </w:r>
      <w:r w:rsidR="006D5ABC">
        <w:t xml:space="preserve">s </w:t>
      </w:r>
      <w:r w:rsidR="005D6A92">
        <w:t>clarif</w:t>
      </w:r>
      <w:r w:rsidR="00654F4E">
        <w:t>y</w:t>
      </w:r>
      <w:r w:rsidR="005D6A92">
        <w:t xml:space="preserve"> </w:t>
      </w:r>
      <w:r w:rsidR="00C603A8">
        <w:t xml:space="preserve">that incitement </w:t>
      </w:r>
      <w:r w:rsidR="00A830A1">
        <w:t xml:space="preserve">to hatred </w:t>
      </w:r>
      <w:r w:rsidR="0099698A">
        <w:t xml:space="preserve">and/or </w:t>
      </w:r>
      <w:r w:rsidR="00A830A1">
        <w:t xml:space="preserve">violence </w:t>
      </w:r>
      <w:r w:rsidR="0099698A">
        <w:t>based on racial ha</w:t>
      </w:r>
      <w:r w:rsidR="00305619">
        <w:t>tred</w:t>
      </w:r>
      <w:r w:rsidR="003F79E5">
        <w:t xml:space="preserve"> </w:t>
      </w:r>
      <w:r w:rsidR="00222315">
        <w:t>should be penalised</w:t>
      </w:r>
      <w:r w:rsidR="00BA2E30">
        <w:t>,</w:t>
      </w:r>
      <w:r w:rsidR="0046790C">
        <w:t xml:space="preserve"> </w:t>
      </w:r>
      <w:r w:rsidR="009D0B16">
        <w:t xml:space="preserve">while </w:t>
      </w:r>
      <w:r w:rsidR="00A97B1C">
        <w:t xml:space="preserve">the Rabat Plan of Action lists the elements that must be reviewed for a form of </w:t>
      </w:r>
      <w:r w:rsidR="0061502E">
        <w:t xml:space="preserve">discriminatory </w:t>
      </w:r>
      <w:r w:rsidR="00A97B1C">
        <w:t>expression to be criminali</w:t>
      </w:r>
      <w:r w:rsidR="00AE2179">
        <w:t>s</w:t>
      </w:r>
      <w:r w:rsidR="00A97B1C">
        <w:t>ed</w:t>
      </w:r>
      <w:r w:rsidR="002568AC">
        <w:t>.</w:t>
      </w:r>
      <w:r w:rsidR="00000E00">
        <w:t xml:space="preserve"> </w:t>
      </w:r>
    </w:p>
    <w:p w14:paraId="0C8A82BF" w14:textId="77777777" w:rsidR="00FC1B0B" w:rsidRDefault="00FC1B0B" w:rsidP="00FC1B0B">
      <w:pPr>
        <w:pStyle w:val="ListParagraph"/>
      </w:pPr>
    </w:p>
    <w:p w14:paraId="1C04B552" w14:textId="08C83B59" w:rsidR="00C83EAE" w:rsidRDefault="00FC1B0B" w:rsidP="00C83EAE">
      <w:pPr>
        <w:pStyle w:val="ListParagraph"/>
        <w:numPr>
          <w:ilvl w:val="1"/>
          <w:numId w:val="21"/>
        </w:numPr>
        <w:ind w:hanging="720"/>
      </w:pPr>
      <w:r>
        <w:t>In August 2024, the UN CERD Committee recommended to the NI Executive to “combat the proliferation of racist hate speech on the internet and social media, in close cooperation with internet service providers, social media platforms, and the communities most affected by racist hate speech.</w:t>
      </w:r>
      <w:r w:rsidR="000F167D">
        <w:t>”</w:t>
      </w:r>
      <w:r>
        <w:rPr>
          <w:rStyle w:val="FootnoteReference"/>
        </w:rPr>
        <w:footnoteReference w:id="19"/>
      </w:r>
    </w:p>
    <w:p w14:paraId="5EF726D6" w14:textId="77777777" w:rsidR="00680A84" w:rsidRPr="00680A84" w:rsidRDefault="00680A84" w:rsidP="00680A84">
      <w:pPr>
        <w:pStyle w:val="ListParagraph"/>
      </w:pPr>
    </w:p>
    <w:p w14:paraId="10458E11" w14:textId="59F7FAA3" w:rsidR="00FC1B0B" w:rsidRDefault="00184447" w:rsidP="00EB48DD">
      <w:pPr>
        <w:pStyle w:val="ListParagraph"/>
        <w:numPr>
          <w:ilvl w:val="1"/>
          <w:numId w:val="21"/>
        </w:numPr>
        <w:ind w:hanging="720"/>
      </w:pPr>
      <w:r>
        <w:t>The UN CERD Committee also recommended that the NI Executive “[adopts] a comp</w:t>
      </w:r>
      <w:r w:rsidR="00834804">
        <w:t>rehensive legal framework to combat racist hate crimes, take effective measures to ensure its implementation and provide continuous training to law enforcement officials</w:t>
      </w:r>
      <w:r w:rsidR="00EB48DD">
        <w:t>, judges, and prosecutors on addressing and investigating hate crimes</w:t>
      </w:r>
      <w:r w:rsidR="00A166BE">
        <w:t>”</w:t>
      </w:r>
      <w:r w:rsidR="006E777E">
        <w:t>.</w:t>
      </w:r>
      <w:r w:rsidR="00AA34A1">
        <w:rPr>
          <w:rStyle w:val="FootnoteReference"/>
        </w:rPr>
        <w:footnoteReference w:id="20"/>
      </w:r>
    </w:p>
    <w:p w14:paraId="596BE6C0" w14:textId="77777777" w:rsidR="00EB48DD" w:rsidRPr="00EB48DD" w:rsidRDefault="00EB48DD" w:rsidP="00EB48DD"/>
    <w:p w14:paraId="7BA2251E" w14:textId="7E5DDC4C" w:rsidR="00C83EAE" w:rsidRPr="00C83EAE" w:rsidRDefault="00630F05" w:rsidP="00D544C1">
      <w:pPr>
        <w:pStyle w:val="Heading3"/>
      </w:pPr>
      <w:bookmarkStart w:id="5" w:name="_Toc198115665"/>
      <w:r>
        <w:lastRenderedPageBreak/>
        <w:t>UN</w:t>
      </w:r>
      <w:r w:rsidR="00C83EAE">
        <w:t xml:space="preserve"> Convention on the Elimination of Discrimination Against Women</w:t>
      </w:r>
      <w:bookmarkEnd w:id="5"/>
    </w:p>
    <w:p w14:paraId="41409477" w14:textId="5386D6CE" w:rsidR="008C7972" w:rsidRDefault="00DE151C" w:rsidP="005B5A51">
      <w:pPr>
        <w:pStyle w:val="ListParagraph"/>
        <w:numPr>
          <w:ilvl w:val="1"/>
          <w:numId w:val="21"/>
        </w:numPr>
        <w:ind w:hanging="720"/>
      </w:pPr>
      <w:r>
        <w:t xml:space="preserve">Article 2 of the </w:t>
      </w:r>
      <w:r w:rsidR="001730C0">
        <w:t xml:space="preserve">UN </w:t>
      </w:r>
      <w:r w:rsidR="00630F05">
        <w:t>Convention on the Elimination of Discrimination against Women (</w:t>
      </w:r>
      <w:r w:rsidR="001730C0">
        <w:t xml:space="preserve">UN </w:t>
      </w:r>
      <w:r>
        <w:t>CEDAW</w:t>
      </w:r>
      <w:r w:rsidR="00630F05">
        <w:t>)</w:t>
      </w:r>
      <w:r>
        <w:t xml:space="preserve"> </w:t>
      </w:r>
      <w:r w:rsidR="004C2FD5">
        <w:t>states that</w:t>
      </w:r>
      <w:r w:rsidR="00316E8E">
        <w:t xml:space="preserve"> </w:t>
      </w:r>
      <w:r w:rsidR="004C2FD5">
        <w:t>“</w:t>
      </w:r>
      <w:r w:rsidR="00316E8E">
        <w:t xml:space="preserve">State </w:t>
      </w:r>
      <w:r w:rsidR="004C2FD5">
        <w:t>Parties condemn discrimination against women in all its forms, agree to pursue by all appropriate means and</w:t>
      </w:r>
      <w:r w:rsidR="00D61601">
        <w:t xml:space="preserve"> without delay a policy of eliminating discrimination against women</w:t>
      </w:r>
      <w:r w:rsidR="00495C1E">
        <w:t>”.</w:t>
      </w:r>
    </w:p>
    <w:p w14:paraId="579A718C" w14:textId="77777777" w:rsidR="008C7972" w:rsidRDefault="008C7972" w:rsidP="008C7972">
      <w:pPr>
        <w:pStyle w:val="ListParagraph"/>
      </w:pPr>
    </w:p>
    <w:p w14:paraId="303A3738" w14:textId="4EA7F833" w:rsidR="00DA6446" w:rsidRDefault="00904F33" w:rsidP="005B5A51">
      <w:pPr>
        <w:pStyle w:val="ListParagraph"/>
        <w:numPr>
          <w:ilvl w:val="1"/>
          <w:numId w:val="21"/>
        </w:numPr>
        <w:ind w:hanging="720"/>
      </w:pPr>
      <w:r>
        <w:t xml:space="preserve">While race or ethnicity </w:t>
      </w:r>
      <w:r w:rsidR="00A166BE">
        <w:t xml:space="preserve">are </w:t>
      </w:r>
      <w:r>
        <w:t xml:space="preserve">not explicitly mentioned in Article 2, </w:t>
      </w:r>
      <w:r w:rsidR="00133FE2">
        <w:t>the UN Committee on the Elimination of Discrimination against Women (UN CEDAW Committee)</w:t>
      </w:r>
      <w:r w:rsidR="00F004B4">
        <w:t xml:space="preserve"> </w:t>
      </w:r>
      <w:r w:rsidR="0018030F">
        <w:t>states that</w:t>
      </w:r>
      <w:r w:rsidR="006E43A3">
        <w:t xml:space="preserve"> intersectionality </w:t>
      </w:r>
      <w:r w:rsidR="0018030F">
        <w:t>is essential to understanding</w:t>
      </w:r>
      <w:r w:rsidR="0081328F">
        <w:t xml:space="preserve"> the scope of Article 2</w:t>
      </w:r>
      <w:r w:rsidR="008022CC">
        <w:t>,</w:t>
      </w:r>
      <w:r w:rsidR="008022CC" w:rsidRPr="008022CC">
        <w:t xml:space="preserve"> </w:t>
      </w:r>
      <w:r w:rsidR="008022CC">
        <w:t>recognising that</w:t>
      </w:r>
      <w:r w:rsidR="00DA6446">
        <w:t>:</w:t>
      </w:r>
    </w:p>
    <w:p w14:paraId="41AC355A" w14:textId="77777777" w:rsidR="00DA6446" w:rsidRDefault="00DA6446" w:rsidP="00DA6446">
      <w:pPr>
        <w:pStyle w:val="ListParagraph"/>
      </w:pPr>
    </w:p>
    <w:p w14:paraId="4622D4D9" w14:textId="2B4A177A" w:rsidR="000B57A1" w:rsidRDefault="008022CC" w:rsidP="00D544C1">
      <w:pPr>
        <w:pStyle w:val="Quote"/>
      </w:pPr>
      <w:r>
        <w:t xml:space="preserve">the discrimination of women based on sex and gender is inextricably linked with other factors that affect women, such as race [or] ethnicity… discrimination </w:t>
      </w:r>
      <w:proofErr w:type="gramStart"/>
      <w:r>
        <w:t>on the basis of</w:t>
      </w:r>
      <w:proofErr w:type="gramEnd"/>
      <w:r>
        <w:t xml:space="preserve"> sex or gender may affect women belonging to such groups to a different degree or in different ways to men”.</w:t>
      </w:r>
      <w:r>
        <w:rPr>
          <w:rStyle w:val="FootnoteReference"/>
        </w:rPr>
        <w:footnoteReference w:id="21"/>
      </w:r>
    </w:p>
    <w:p w14:paraId="32FFC09D" w14:textId="77777777" w:rsidR="00921684" w:rsidRPr="00921684" w:rsidRDefault="00921684" w:rsidP="00921684">
      <w:pPr>
        <w:pStyle w:val="ListParagraph"/>
        <w:ind w:left="993"/>
      </w:pPr>
    </w:p>
    <w:p w14:paraId="1671169A" w14:textId="058742A5" w:rsidR="0040263C" w:rsidRDefault="00DF1402" w:rsidP="005B5A51">
      <w:pPr>
        <w:pStyle w:val="ListParagraph"/>
        <w:numPr>
          <w:ilvl w:val="1"/>
          <w:numId w:val="21"/>
        </w:numPr>
        <w:ind w:hanging="720"/>
      </w:pPr>
      <w:r>
        <w:t>The UN CEDAW Committee observes that</w:t>
      </w:r>
      <w:r w:rsidR="00035DCC">
        <w:t xml:space="preserve"> States Parties </w:t>
      </w:r>
      <w:r>
        <w:t>should</w:t>
      </w:r>
      <w:r w:rsidR="00035DCC">
        <w:t xml:space="preserve"> </w:t>
      </w:r>
      <w:r w:rsidR="00F7641E">
        <w:t xml:space="preserve">acknowledge the intersectionality of discrimination and </w:t>
      </w:r>
      <w:r w:rsidR="00322274">
        <w:t xml:space="preserve">its compounded </w:t>
      </w:r>
      <w:r w:rsidR="00F7641E">
        <w:t>negative impacts upon women</w:t>
      </w:r>
      <w:r w:rsidR="00F311A7">
        <w:t>.</w:t>
      </w:r>
      <w:r w:rsidR="008E32D2">
        <w:rPr>
          <w:rStyle w:val="FootnoteReference"/>
        </w:rPr>
        <w:footnoteReference w:id="22"/>
      </w:r>
      <w:r w:rsidR="00EE7316">
        <w:t xml:space="preserve"> However, it is important to note that intersectionality </w:t>
      </w:r>
      <w:r w:rsidR="00CD56A6">
        <w:t xml:space="preserve">looks at not just race and gender but all </w:t>
      </w:r>
      <w:r w:rsidR="00040F39">
        <w:t>interconnecting</w:t>
      </w:r>
      <w:r w:rsidR="00CD56A6">
        <w:t xml:space="preserve"> social and political categori</w:t>
      </w:r>
      <w:r w:rsidR="006733B6">
        <w:t>s</w:t>
      </w:r>
      <w:r w:rsidR="00CD56A6">
        <w:t>ations</w:t>
      </w:r>
      <w:r w:rsidR="00B86D24">
        <w:t xml:space="preserve"> and how they overlap to create </w:t>
      </w:r>
      <w:r w:rsidR="005D5138">
        <w:t xml:space="preserve">interdependent </w:t>
      </w:r>
      <w:r w:rsidR="008635AC">
        <w:t>forms of discrimination.</w:t>
      </w:r>
      <w:r w:rsidR="008635AC">
        <w:rPr>
          <w:rStyle w:val="FootnoteReference"/>
        </w:rPr>
        <w:footnoteReference w:id="23"/>
      </w:r>
    </w:p>
    <w:p w14:paraId="0B7CC7F9" w14:textId="77777777" w:rsidR="0040263C" w:rsidRPr="0040263C" w:rsidRDefault="0040263C" w:rsidP="0040263C">
      <w:pPr>
        <w:pStyle w:val="ListParagraph"/>
      </w:pPr>
    </w:p>
    <w:p w14:paraId="7A45C5CB" w14:textId="736A50EB" w:rsidR="008E331F" w:rsidRDefault="006733B6" w:rsidP="005B5A51">
      <w:pPr>
        <w:pStyle w:val="ListParagraph"/>
        <w:numPr>
          <w:ilvl w:val="1"/>
          <w:numId w:val="21"/>
        </w:numPr>
        <w:ind w:hanging="720"/>
      </w:pPr>
      <w:r>
        <w:t>T</w:t>
      </w:r>
      <w:r w:rsidR="003B208D">
        <w:t>his is</w:t>
      </w:r>
      <w:r w:rsidR="00784FC3">
        <w:t xml:space="preserve"> relevant </w:t>
      </w:r>
      <w:r w:rsidR="00367BCB">
        <w:t xml:space="preserve">because </w:t>
      </w:r>
      <w:r w:rsidR="00266202">
        <w:t xml:space="preserve">online </w:t>
      </w:r>
      <w:r w:rsidR="00015E49">
        <w:t>mis</w:t>
      </w:r>
      <w:r w:rsidR="00C665C3">
        <w:t xml:space="preserve">information and </w:t>
      </w:r>
      <w:r w:rsidR="00763B4B">
        <w:t xml:space="preserve">disinformation </w:t>
      </w:r>
      <w:r w:rsidR="00764256">
        <w:t xml:space="preserve">can </w:t>
      </w:r>
      <w:r w:rsidR="00A166BE">
        <w:t>use</w:t>
      </w:r>
      <w:r w:rsidR="00764256">
        <w:t xml:space="preserve"> </w:t>
      </w:r>
      <w:r w:rsidR="00C61E20">
        <w:t>multiple</w:t>
      </w:r>
      <w:r w:rsidR="00A158D9">
        <w:t xml:space="preserve"> </w:t>
      </w:r>
      <w:r w:rsidR="00CA4233">
        <w:t xml:space="preserve">discriminatory </w:t>
      </w:r>
      <w:r w:rsidR="00A158D9">
        <w:t>narratives</w:t>
      </w:r>
      <w:r w:rsidR="00E527B6">
        <w:t xml:space="preserve"> </w:t>
      </w:r>
      <w:r w:rsidR="007C616F">
        <w:t>in addition to a raci</w:t>
      </w:r>
      <w:r w:rsidR="00C64B7C">
        <w:t>st</w:t>
      </w:r>
      <w:r w:rsidR="00317EBB">
        <w:t xml:space="preserve"> and </w:t>
      </w:r>
      <w:r w:rsidR="00C64B7C">
        <w:t>anti-ethnic rhetoric</w:t>
      </w:r>
      <w:r w:rsidR="007A2367">
        <w:t>.</w:t>
      </w:r>
      <w:r w:rsidR="00DD6A8F">
        <w:t xml:space="preserve"> </w:t>
      </w:r>
      <w:r w:rsidR="007A2367">
        <w:t>A</w:t>
      </w:r>
      <w:r w:rsidR="00C97DB5">
        <w:t xml:space="preserve">n intersectional </w:t>
      </w:r>
      <w:r w:rsidR="00F80B59">
        <w:t xml:space="preserve">approach is necessary to </w:t>
      </w:r>
      <w:r w:rsidR="00AD28AC">
        <w:t xml:space="preserve">fully comprehend </w:t>
      </w:r>
      <w:r w:rsidR="007169C0">
        <w:t>how</w:t>
      </w:r>
      <w:r w:rsidR="004D288A">
        <w:t xml:space="preserve"> “a person may </w:t>
      </w:r>
      <w:r w:rsidR="007169C0">
        <w:t>have to contend with multiple sources of oppression… and the unique impact from this multifaceted oppression</w:t>
      </w:r>
      <w:r w:rsidR="007A2367">
        <w:t>”</w:t>
      </w:r>
      <w:r w:rsidR="007169C0">
        <w:t>.</w:t>
      </w:r>
      <w:r w:rsidR="008C50F0">
        <w:rPr>
          <w:rStyle w:val="FootnoteReference"/>
        </w:rPr>
        <w:footnoteReference w:id="24"/>
      </w:r>
      <w:r w:rsidR="00BF5BD7">
        <w:t xml:space="preserve"> </w:t>
      </w:r>
      <w:r w:rsidR="000004FF">
        <w:t xml:space="preserve">For example, </w:t>
      </w:r>
      <w:r w:rsidR="00D8290A">
        <w:t xml:space="preserve">women of colour are more likely to </w:t>
      </w:r>
      <w:r w:rsidR="008D13AC">
        <w:t xml:space="preserve">be </w:t>
      </w:r>
      <w:r w:rsidR="00A33D92">
        <w:t>subjects of online disinformation</w:t>
      </w:r>
      <w:r w:rsidR="00D86BAD">
        <w:t xml:space="preserve"> and experience online gender-based violence</w:t>
      </w:r>
      <w:r w:rsidR="0095316B">
        <w:t>.</w:t>
      </w:r>
      <w:r w:rsidR="008C50F0">
        <w:rPr>
          <w:rStyle w:val="FootnoteReference"/>
        </w:rPr>
        <w:footnoteReference w:id="25"/>
      </w:r>
      <w:r w:rsidR="00763B4B">
        <w:t xml:space="preserve"> </w:t>
      </w:r>
    </w:p>
    <w:p w14:paraId="3A33BD50" w14:textId="77777777" w:rsidR="0021563D" w:rsidRDefault="0021563D" w:rsidP="005F2888">
      <w:pPr>
        <w:pStyle w:val="ListParagraph"/>
      </w:pPr>
    </w:p>
    <w:p w14:paraId="740E28CF" w14:textId="2395823E" w:rsidR="0021563D" w:rsidRPr="0021563D" w:rsidRDefault="009B145B" w:rsidP="007972F2">
      <w:pPr>
        <w:pStyle w:val="Heading3"/>
      </w:pPr>
      <w:bookmarkStart w:id="6" w:name="_Toc198115666"/>
      <w:r w:rsidRPr="007972F2">
        <w:t>UN</w:t>
      </w:r>
      <w:r w:rsidR="0033406C" w:rsidRPr="007972F2">
        <w:rPr>
          <w:rStyle w:val="Heading3Char"/>
          <w:b/>
        </w:rPr>
        <w:t xml:space="preserve"> Convention on the Rights of the Child</w:t>
      </w:r>
      <w:bookmarkEnd w:id="6"/>
    </w:p>
    <w:p w14:paraId="5EF496EC" w14:textId="68FC6936" w:rsidR="005F2888" w:rsidRDefault="00B70414" w:rsidP="005B5A51">
      <w:pPr>
        <w:pStyle w:val="ListParagraph"/>
        <w:numPr>
          <w:ilvl w:val="1"/>
          <w:numId w:val="21"/>
        </w:numPr>
        <w:ind w:hanging="720"/>
      </w:pPr>
      <w:r>
        <w:t xml:space="preserve">Article </w:t>
      </w:r>
      <w:r w:rsidR="008C02E6">
        <w:t xml:space="preserve">13 of the UN </w:t>
      </w:r>
      <w:r w:rsidR="00ED0676">
        <w:t>Convention on the Rights of the Child (</w:t>
      </w:r>
      <w:r w:rsidR="008C02E6">
        <w:t>UN CRC</w:t>
      </w:r>
      <w:r w:rsidR="00ED0676">
        <w:t>)</w:t>
      </w:r>
      <w:r w:rsidR="008C02E6">
        <w:t xml:space="preserve"> guarantees the child </w:t>
      </w:r>
      <w:r w:rsidR="007F3E23">
        <w:t xml:space="preserve">the right to freedom of expression and to seek information of all kinds </w:t>
      </w:r>
      <w:r w:rsidR="00C92D98">
        <w:t xml:space="preserve">“regardless of frontiers” </w:t>
      </w:r>
      <w:r w:rsidR="007F3E23">
        <w:t>bar some restrictions</w:t>
      </w:r>
      <w:r w:rsidR="007D5BDB">
        <w:t>.</w:t>
      </w:r>
      <w:r w:rsidR="007F3E23">
        <w:t xml:space="preserve"> These restrictions </w:t>
      </w:r>
      <w:r w:rsidR="00D030CC">
        <w:t>include</w:t>
      </w:r>
      <w:r w:rsidR="00E15779">
        <w:t xml:space="preserve"> the respect of the rights/reputations of others and for national security.</w:t>
      </w:r>
    </w:p>
    <w:p w14:paraId="5702B0CD" w14:textId="77777777" w:rsidR="00D51D2B" w:rsidRDefault="00D51D2B" w:rsidP="00D51D2B">
      <w:pPr>
        <w:pStyle w:val="ListParagraph"/>
      </w:pPr>
    </w:p>
    <w:p w14:paraId="27C32701" w14:textId="6AF5AB30" w:rsidR="007463EF" w:rsidRDefault="006532CA" w:rsidP="005B5A51">
      <w:pPr>
        <w:pStyle w:val="ListParagraph"/>
        <w:numPr>
          <w:ilvl w:val="1"/>
          <w:numId w:val="21"/>
        </w:numPr>
        <w:ind w:hanging="720"/>
      </w:pPr>
      <w:r>
        <w:t xml:space="preserve">The </w:t>
      </w:r>
      <w:r w:rsidR="00CB52A4">
        <w:t>UN Committee on the Rights of the Child (UN CRC Committee)</w:t>
      </w:r>
      <w:r w:rsidR="006A1158">
        <w:t xml:space="preserve"> </w:t>
      </w:r>
      <w:r w:rsidR="00471209">
        <w:t>has</w:t>
      </w:r>
      <w:r w:rsidR="00F273A8">
        <w:t xml:space="preserve"> expand</w:t>
      </w:r>
      <w:r w:rsidR="00471209">
        <w:t>ed</w:t>
      </w:r>
      <w:r w:rsidR="00F273A8">
        <w:t xml:space="preserve"> on Article 13 </w:t>
      </w:r>
      <w:r w:rsidR="007A2367">
        <w:t xml:space="preserve">of the UN CRC </w:t>
      </w:r>
      <w:r w:rsidR="00F273A8">
        <w:t xml:space="preserve">by stating: </w:t>
      </w:r>
    </w:p>
    <w:p w14:paraId="10B5DFC3" w14:textId="77777777" w:rsidR="006F5B3A" w:rsidRPr="006F5B3A" w:rsidRDefault="006F5B3A" w:rsidP="006F5B3A">
      <w:pPr>
        <w:pStyle w:val="ListParagraph"/>
      </w:pPr>
    </w:p>
    <w:p w14:paraId="6799C20A" w14:textId="2C0719D3" w:rsidR="006F5B3A" w:rsidRDefault="00AE5BC7" w:rsidP="00D544C1">
      <w:pPr>
        <w:pStyle w:val="Quote"/>
      </w:pPr>
      <w:r>
        <w:t>t</w:t>
      </w:r>
      <w:r w:rsidR="006F5B3A">
        <w:t xml:space="preserve">he digital environment can include gender-stereotyped, discriminatory, racist, violent… information, as well as false narratives, misinformation and disinformation… States parties should protect children from harmful and untrustworthy content and ensure that relevant businesses and other providers of digital content develop and implement guidelines to enable children to safely </w:t>
      </w:r>
      <w:r w:rsidR="006F5B3A">
        <w:lastRenderedPageBreak/>
        <w:t>access diverse content, recogni</w:t>
      </w:r>
      <w:r w:rsidR="00262BA6">
        <w:t>s</w:t>
      </w:r>
      <w:r w:rsidR="006F5B3A">
        <w:t>ing children’s rights to information and freedom of expression, while protecting them from such harmful material in accordance with their rights and evolving capacities.</w:t>
      </w:r>
      <w:r w:rsidR="006F5B3A">
        <w:rPr>
          <w:rStyle w:val="FootnoteReference"/>
        </w:rPr>
        <w:footnoteReference w:id="26"/>
      </w:r>
    </w:p>
    <w:p w14:paraId="00534862" w14:textId="77777777" w:rsidR="006F5B3A" w:rsidRPr="006F5B3A" w:rsidRDefault="006F5B3A" w:rsidP="006F5B3A">
      <w:pPr>
        <w:pStyle w:val="ListParagraph"/>
      </w:pPr>
    </w:p>
    <w:p w14:paraId="49273619" w14:textId="7B73BF76" w:rsidR="006F5B3A" w:rsidRDefault="008A2E57" w:rsidP="005B5A51">
      <w:pPr>
        <w:pStyle w:val="ListParagraph"/>
        <w:numPr>
          <w:ilvl w:val="1"/>
          <w:numId w:val="21"/>
        </w:numPr>
        <w:ind w:hanging="720"/>
      </w:pPr>
      <w:r>
        <w:t xml:space="preserve">Article 27 of the </w:t>
      </w:r>
      <w:r w:rsidR="005C07FB">
        <w:t xml:space="preserve">UN CRC </w:t>
      </w:r>
      <w:r w:rsidR="008D63C4">
        <w:t xml:space="preserve">acknowledges the right of all children to a living adequate for the child’s </w:t>
      </w:r>
      <w:r w:rsidR="003F5562">
        <w:t xml:space="preserve">physical, mental, spiritual, moral, and social development, while </w:t>
      </w:r>
      <w:r w:rsidR="00ED0CCC">
        <w:t>A</w:t>
      </w:r>
      <w:r w:rsidR="00EC5534">
        <w:t>rticle 30</w:t>
      </w:r>
      <w:r w:rsidR="00ED0CCC">
        <w:t xml:space="preserve"> of the UN CRC</w:t>
      </w:r>
      <w:r w:rsidR="00EC5534">
        <w:t xml:space="preserve"> </w:t>
      </w:r>
      <w:r w:rsidR="00CA5600">
        <w:t xml:space="preserve">dictates that all children belonging to a minority </w:t>
      </w:r>
      <w:r w:rsidR="001C4FA3">
        <w:t>will not be denied the right to enjoy their own culture or use their own language</w:t>
      </w:r>
      <w:r w:rsidR="000C4E80">
        <w:t>.</w:t>
      </w:r>
      <w:r w:rsidR="001C4FA3">
        <w:t xml:space="preserve"> </w:t>
      </w:r>
    </w:p>
    <w:p w14:paraId="2BD67A56" w14:textId="0A30D2E8" w:rsidR="003F5D5B" w:rsidRDefault="003F5D5B" w:rsidP="00A5165B">
      <w:pPr>
        <w:pStyle w:val="ListParagraph"/>
      </w:pPr>
    </w:p>
    <w:p w14:paraId="6B79AB95" w14:textId="0FFB0F58" w:rsidR="00A5165B" w:rsidRDefault="00A5165B" w:rsidP="005B5A51">
      <w:pPr>
        <w:pStyle w:val="ListParagraph"/>
        <w:numPr>
          <w:ilvl w:val="1"/>
          <w:numId w:val="21"/>
        </w:numPr>
        <w:ind w:hanging="720"/>
      </w:pPr>
      <w:r>
        <w:t xml:space="preserve">In </w:t>
      </w:r>
      <w:r w:rsidR="00ED0CCC">
        <w:t>its</w:t>
      </w:r>
      <w:r>
        <w:t xml:space="preserve"> </w:t>
      </w:r>
      <w:r w:rsidR="00A532F0">
        <w:t>2023</w:t>
      </w:r>
      <w:r w:rsidR="001C6F71">
        <w:t xml:space="preserve"> </w:t>
      </w:r>
      <w:r>
        <w:t xml:space="preserve">concluding </w:t>
      </w:r>
      <w:r w:rsidR="00032087">
        <w:t>observations</w:t>
      </w:r>
      <w:r>
        <w:t xml:space="preserve"> </w:t>
      </w:r>
      <w:r w:rsidR="00032087">
        <w:t xml:space="preserve">of the UK and </w:t>
      </w:r>
      <w:r w:rsidR="00F96CC8">
        <w:t>NI</w:t>
      </w:r>
      <w:r w:rsidR="001C6C82">
        <w:t>, the</w:t>
      </w:r>
      <w:r>
        <w:t xml:space="preserve"> UN CRC Committee </w:t>
      </w:r>
      <w:r w:rsidR="00500000">
        <w:t xml:space="preserve">recommended that </w:t>
      </w:r>
      <w:r w:rsidR="00F57783">
        <w:t>NI</w:t>
      </w:r>
      <w:r w:rsidR="00612E7A">
        <w:t xml:space="preserve"> </w:t>
      </w:r>
      <w:r w:rsidR="00D30147">
        <w:t xml:space="preserve">must </w:t>
      </w:r>
      <w:r w:rsidR="00612E7A">
        <w:t>“strengthen measures to protect children from int</w:t>
      </w:r>
      <w:r w:rsidR="008453CE">
        <w:t>imidation</w:t>
      </w:r>
      <w:r w:rsidR="00D5297E">
        <w:t xml:space="preserve">, </w:t>
      </w:r>
      <w:r w:rsidR="00612E7A">
        <w:t xml:space="preserve">racist attacks and other forms of violence </w:t>
      </w:r>
      <w:r w:rsidR="00C94720">
        <w:t>committed by non-State actors, including so-called paramilitary organi</w:t>
      </w:r>
      <w:r w:rsidR="00F57783">
        <w:t>s</w:t>
      </w:r>
      <w:r w:rsidR="00C94720">
        <w:t>ations… and from recruitment by such actors into violent activities</w:t>
      </w:r>
      <w:r w:rsidR="00F57783">
        <w:t>”</w:t>
      </w:r>
      <w:r w:rsidR="00C94720">
        <w:t>.</w:t>
      </w:r>
      <w:r w:rsidR="008453CE">
        <w:rPr>
          <w:rStyle w:val="FootnoteReference"/>
        </w:rPr>
        <w:footnoteReference w:id="27"/>
      </w:r>
      <w:r w:rsidR="003112F0">
        <w:t xml:space="preserve"> </w:t>
      </w:r>
      <w:r w:rsidR="00626678">
        <w:t>This is a critically important obligation, which must be addressed as a matter of priority.</w:t>
      </w:r>
    </w:p>
    <w:p w14:paraId="79440A8F" w14:textId="77777777" w:rsidR="000766AA" w:rsidRDefault="000766AA" w:rsidP="000766AA"/>
    <w:p w14:paraId="04BC1181" w14:textId="409E775C" w:rsidR="007463EF" w:rsidRPr="00943BDC" w:rsidRDefault="000766AA" w:rsidP="007972F2">
      <w:pPr>
        <w:pStyle w:val="Heading3"/>
      </w:pPr>
      <w:bookmarkStart w:id="7" w:name="_Toc198115667"/>
      <w:r>
        <w:t>UN Special Procedures</w:t>
      </w:r>
      <w:bookmarkEnd w:id="7"/>
    </w:p>
    <w:p w14:paraId="08ABEFB0" w14:textId="62BAA86A" w:rsidR="004C553E" w:rsidRDefault="003465C7" w:rsidP="005B5A51">
      <w:pPr>
        <w:pStyle w:val="ListParagraph"/>
        <w:numPr>
          <w:ilvl w:val="1"/>
          <w:numId w:val="21"/>
        </w:numPr>
        <w:ind w:hanging="720"/>
      </w:pPr>
      <w:r>
        <w:t xml:space="preserve">The UN Special Rapporteur </w:t>
      </w:r>
      <w:r w:rsidR="001D6C5E">
        <w:t>on the promotion and protection of the right to freedom of opinion and expression Irene Khan</w:t>
      </w:r>
      <w:r w:rsidR="00C74133">
        <w:t xml:space="preserve">, </w:t>
      </w:r>
      <w:r w:rsidR="00923274">
        <w:t>in a report to the UN General Assembly</w:t>
      </w:r>
      <w:r w:rsidR="00C74133">
        <w:t>,</w:t>
      </w:r>
      <w:r w:rsidR="00531AAE">
        <w:t xml:space="preserve"> </w:t>
      </w:r>
      <w:r w:rsidR="004B6F0B">
        <w:t xml:space="preserve">deduced that States </w:t>
      </w:r>
      <w:r w:rsidR="00AA57B7">
        <w:t xml:space="preserve">and companies </w:t>
      </w:r>
      <w:r w:rsidR="004B6F0B">
        <w:t xml:space="preserve">have had </w:t>
      </w:r>
      <w:r w:rsidR="00923274">
        <w:t xml:space="preserve">insufficient responses to </w:t>
      </w:r>
      <w:r w:rsidR="00C74133">
        <w:t>the threat of disinformation on human rights.</w:t>
      </w:r>
      <w:r w:rsidR="001B41ED">
        <w:rPr>
          <w:rStyle w:val="FootnoteReference"/>
        </w:rPr>
        <w:footnoteReference w:id="28"/>
      </w:r>
    </w:p>
    <w:p w14:paraId="1717BA70" w14:textId="77777777" w:rsidR="002D1F8A" w:rsidRDefault="002D1F8A" w:rsidP="002D1F8A">
      <w:pPr>
        <w:pStyle w:val="ListParagraph"/>
      </w:pPr>
    </w:p>
    <w:p w14:paraId="7FD2DD8C" w14:textId="011318CB" w:rsidR="00BB0B1C" w:rsidRDefault="00363847" w:rsidP="00D76601">
      <w:pPr>
        <w:pStyle w:val="ListParagraph"/>
        <w:numPr>
          <w:ilvl w:val="1"/>
          <w:numId w:val="21"/>
        </w:numPr>
        <w:ind w:hanging="720"/>
      </w:pPr>
      <w:r w:rsidRPr="000726EC">
        <w:lastRenderedPageBreak/>
        <w:t xml:space="preserve">The </w:t>
      </w:r>
      <w:r w:rsidR="00907C09">
        <w:t xml:space="preserve">UN </w:t>
      </w:r>
      <w:r w:rsidRPr="000726EC">
        <w:t>Special Rapporteur</w:t>
      </w:r>
      <w:r w:rsidR="00855055" w:rsidRPr="000726EC">
        <w:t xml:space="preserve"> stated </w:t>
      </w:r>
      <w:r w:rsidR="00B92438" w:rsidRPr="000726EC">
        <w:t>that, “the causal relationship between the speech and the harm, and the severity and immediacy of the harm, are key considerations</w:t>
      </w:r>
      <w:r w:rsidR="00E75964" w:rsidRPr="000726EC">
        <w:t>”</w:t>
      </w:r>
      <w:r w:rsidR="00B92438" w:rsidRPr="000726EC">
        <w:t xml:space="preserve"> </w:t>
      </w:r>
      <w:r w:rsidR="00E75964" w:rsidRPr="000726EC">
        <w:t>when analysing if</w:t>
      </w:r>
      <w:r w:rsidR="00B92438" w:rsidRPr="000726EC">
        <w:t xml:space="preserve"> </w:t>
      </w:r>
      <w:r w:rsidR="003074A0" w:rsidRPr="000726EC">
        <w:t>restrictions are necessary.</w:t>
      </w:r>
      <w:r w:rsidR="00614BD7">
        <w:rPr>
          <w:rStyle w:val="FootnoteReference"/>
        </w:rPr>
        <w:footnoteReference w:id="29"/>
      </w:r>
      <w:r w:rsidR="00C220D1" w:rsidRPr="000726EC">
        <w:t xml:space="preserve"> </w:t>
      </w:r>
      <w:r w:rsidR="00563BE3">
        <w:t>The</w:t>
      </w:r>
      <w:r w:rsidR="00CA3E56" w:rsidRPr="000726EC">
        <w:t xml:space="preserve"> restriction</w:t>
      </w:r>
      <w:r w:rsidR="00563BE3">
        <w:t>s</w:t>
      </w:r>
      <w:r w:rsidR="00CA3E56" w:rsidRPr="000726EC">
        <w:t xml:space="preserve"> must </w:t>
      </w:r>
      <w:r w:rsidR="004B2B62" w:rsidRPr="000726EC">
        <w:t xml:space="preserve">“be appropriate </w:t>
      </w:r>
      <w:r w:rsidR="00141347" w:rsidRPr="000726EC">
        <w:t>and proportionate to achieve the legitimate aim</w:t>
      </w:r>
      <w:r w:rsidR="00DC1BE3">
        <w:t>”</w:t>
      </w:r>
      <w:r w:rsidR="009F0A52" w:rsidRPr="000726EC">
        <w:t>.</w:t>
      </w:r>
      <w:r w:rsidR="00826D26">
        <w:rPr>
          <w:rStyle w:val="FootnoteReference"/>
        </w:rPr>
        <w:footnoteReference w:id="30"/>
      </w:r>
      <w:r w:rsidR="00CE6BC2" w:rsidRPr="000726EC">
        <w:t xml:space="preserve"> </w:t>
      </w:r>
      <w:r w:rsidR="0095392D">
        <w:t xml:space="preserve">In addition, </w:t>
      </w:r>
      <w:r w:rsidR="00C05CF2">
        <w:t xml:space="preserve">the </w:t>
      </w:r>
      <w:r w:rsidR="00907C09">
        <w:t xml:space="preserve">UN </w:t>
      </w:r>
      <w:r w:rsidR="00C05CF2">
        <w:t xml:space="preserve">Special Rapporteur encouraged companies to </w:t>
      </w:r>
      <w:r w:rsidR="00692842">
        <w:t>analyse</w:t>
      </w:r>
      <w:r w:rsidR="00BC7096">
        <w:t xml:space="preserve"> and correct the knowledge gaps regarding mis</w:t>
      </w:r>
      <w:r w:rsidR="00C665C3">
        <w:t xml:space="preserve">information and </w:t>
      </w:r>
      <w:r w:rsidR="00BC7096">
        <w:t xml:space="preserve">disinformation </w:t>
      </w:r>
      <w:r w:rsidR="00114703">
        <w:t xml:space="preserve">about minorities </w:t>
      </w:r>
      <w:r w:rsidR="00692842">
        <w:t>to inform appropriate restrictions.</w:t>
      </w:r>
      <w:r w:rsidR="004704FF">
        <w:rPr>
          <w:rStyle w:val="FootnoteReference"/>
        </w:rPr>
        <w:footnoteReference w:id="31"/>
      </w:r>
    </w:p>
    <w:p w14:paraId="74758065" w14:textId="77777777" w:rsidR="000726EC" w:rsidRPr="000726EC" w:rsidRDefault="000726EC" w:rsidP="000726EC"/>
    <w:p w14:paraId="6F5A8CA7" w14:textId="3D565227" w:rsidR="00BB0B1C" w:rsidRDefault="000726EC" w:rsidP="005B5A51">
      <w:pPr>
        <w:pStyle w:val="ListParagraph"/>
        <w:numPr>
          <w:ilvl w:val="1"/>
          <w:numId w:val="21"/>
        </w:numPr>
        <w:ind w:hanging="720"/>
      </w:pPr>
      <w:r>
        <w:t xml:space="preserve">Regarding </w:t>
      </w:r>
      <w:r w:rsidR="006A3D67">
        <w:t xml:space="preserve">State </w:t>
      </w:r>
      <w:r w:rsidR="00363847">
        <w:t xml:space="preserve">responsibility, the </w:t>
      </w:r>
      <w:r w:rsidR="00907C09">
        <w:t xml:space="preserve">UN </w:t>
      </w:r>
      <w:r w:rsidR="00363847">
        <w:t xml:space="preserve">Special Rapporteur </w:t>
      </w:r>
      <w:r w:rsidR="00110649">
        <w:t>emphasi</w:t>
      </w:r>
      <w:r w:rsidR="00F57783">
        <w:t>s</w:t>
      </w:r>
      <w:r w:rsidR="00110649">
        <w:t xml:space="preserve">ed that the State </w:t>
      </w:r>
      <w:r w:rsidR="0068479D">
        <w:t xml:space="preserve">bears the burden </w:t>
      </w:r>
      <w:r w:rsidR="00626678">
        <w:t xml:space="preserve">under law </w:t>
      </w:r>
      <w:r w:rsidR="0068479D">
        <w:t xml:space="preserve">of ensuring companies </w:t>
      </w:r>
      <w:r w:rsidR="005A52F8">
        <w:t xml:space="preserve">respect human </w:t>
      </w:r>
      <w:r w:rsidR="000D77CD">
        <w:t>rights. The</w:t>
      </w:r>
      <w:r w:rsidR="004E4EB6">
        <w:t xml:space="preserve"> State must </w:t>
      </w:r>
      <w:r w:rsidR="00612D24">
        <w:t xml:space="preserve">regulate social media in a way that focuses more on </w:t>
      </w:r>
      <w:r w:rsidR="00D45DBA">
        <w:t xml:space="preserve">“enforcing </w:t>
      </w:r>
      <w:r w:rsidR="00612D24">
        <w:t xml:space="preserve">transparency, due process </w:t>
      </w:r>
      <w:r w:rsidR="00FF509C">
        <w:t>rights for users and due diligence on human rights by companies</w:t>
      </w:r>
      <w:r w:rsidR="0005025F">
        <w:t>”</w:t>
      </w:r>
      <w:r w:rsidR="007410FC">
        <w:t>.</w:t>
      </w:r>
      <w:r w:rsidR="00C334B5">
        <w:rPr>
          <w:rStyle w:val="FootnoteReference"/>
        </w:rPr>
        <w:footnoteReference w:id="32"/>
      </w:r>
    </w:p>
    <w:p w14:paraId="4299624C" w14:textId="77777777" w:rsidR="00C334B5" w:rsidRPr="00C334B5" w:rsidRDefault="00C334B5" w:rsidP="00C334B5">
      <w:pPr>
        <w:pStyle w:val="ListParagraph"/>
      </w:pPr>
    </w:p>
    <w:p w14:paraId="13125D7E" w14:textId="7ED9EAE1" w:rsidR="00C334B5" w:rsidRDefault="00DC1BE3" w:rsidP="005B5A51">
      <w:pPr>
        <w:pStyle w:val="ListParagraph"/>
        <w:numPr>
          <w:ilvl w:val="1"/>
          <w:numId w:val="21"/>
        </w:numPr>
        <w:ind w:hanging="720"/>
      </w:pPr>
      <w:r>
        <w:t>T</w:t>
      </w:r>
      <w:r w:rsidR="00287A28">
        <w:t xml:space="preserve">he </w:t>
      </w:r>
      <w:r w:rsidR="00907C09">
        <w:t xml:space="preserve">UN </w:t>
      </w:r>
      <w:r w:rsidR="00287A28">
        <w:t>Special Rapporteur reaffirm</w:t>
      </w:r>
      <w:r w:rsidR="005679F9">
        <w:t>s</w:t>
      </w:r>
      <w:r w:rsidR="00287A28">
        <w:t xml:space="preserve"> that </w:t>
      </w:r>
      <w:r w:rsidR="007246CB">
        <w:t>efforts to properly address mis</w:t>
      </w:r>
      <w:r w:rsidR="00C665C3">
        <w:t xml:space="preserve">information and </w:t>
      </w:r>
      <w:r w:rsidR="007246CB">
        <w:t xml:space="preserve">disinformation have a </w:t>
      </w:r>
      <w:r w:rsidR="00626678">
        <w:t xml:space="preserve">recognised and sound </w:t>
      </w:r>
      <w:r w:rsidR="007246CB">
        <w:t>basis in international human rights law.</w:t>
      </w:r>
      <w:r w:rsidR="00623C6D">
        <w:rPr>
          <w:rStyle w:val="FootnoteReference"/>
        </w:rPr>
        <w:footnoteReference w:id="33"/>
      </w:r>
    </w:p>
    <w:p w14:paraId="4B75DD4A" w14:textId="77777777" w:rsidR="00E65186" w:rsidRPr="00E65186" w:rsidRDefault="00E65186" w:rsidP="00E65186">
      <w:pPr>
        <w:pStyle w:val="ListParagraph"/>
      </w:pPr>
    </w:p>
    <w:p w14:paraId="697BBFB1" w14:textId="7AA4D8E2" w:rsidR="00E65186" w:rsidRPr="00E65186" w:rsidRDefault="00E65186" w:rsidP="007972F2">
      <w:pPr>
        <w:pStyle w:val="Heading3"/>
      </w:pPr>
      <w:bookmarkStart w:id="8" w:name="_Toc198115668"/>
      <w:r>
        <w:t>UN Guiding Principle</w:t>
      </w:r>
      <w:r w:rsidR="008D65CB">
        <w:t>s</w:t>
      </w:r>
      <w:r>
        <w:t xml:space="preserve"> on Business and Human Rights</w:t>
      </w:r>
      <w:bookmarkEnd w:id="8"/>
      <w:r>
        <w:t xml:space="preserve"> </w:t>
      </w:r>
    </w:p>
    <w:p w14:paraId="4E9FCDEC" w14:textId="12F96971" w:rsidR="00E65186" w:rsidRDefault="00BC3E1B" w:rsidP="005B5A51">
      <w:pPr>
        <w:pStyle w:val="ListParagraph"/>
        <w:numPr>
          <w:ilvl w:val="1"/>
          <w:numId w:val="21"/>
        </w:numPr>
        <w:ind w:hanging="720"/>
      </w:pPr>
      <w:r>
        <w:t xml:space="preserve">Principle 13(b) of the </w:t>
      </w:r>
      <w:r w:rsidR="00A941A7">
        <w:t xml:space="preserve">UN </w:t>
      </w:r>
      <w:r>
        <w:t>Guiding Principles on Business and Human Rights states that businesses must prevent and/or mitigate harsh human rights impacts linked to the operations, products, and services they offer.</w:t>
      </w:r>
      <w:r w:rsidR="00D91FFE">
        <w:rPr>
          <w:rStyle w:val="FootnoteReference"/>
        </w:rPr>
        <w:footnoteReference w:id="34"/>
      </w:r>
      <w:r>
        <w:t xml:space="preserve"> </w:t>
      </w:r>
      <w:r w:rsidR="00D96444">
        <w:t xml:space="preserve">Principle 14 of the </w:t>
      </w:r>
      <w:r w:rsidR="00000386">
        <w:t xml:space="preserve">Guiding Principles </w:t>
      </w:r>
      <w:r w:rsidR="000947A9">
        <w:t xml:space="preserve">states that “regardless of their size, sector, </w:t>
      </w:r>
      <w:r w:rsidR="000947A9">
        <w:lastRenderedPageBreak/>
        <w:t>operational context, ownership and structure</w:t>
      </w:r>
      <w:r w:rsidR="00DF0A4C">
        <w:t>,</w:t>
      </w:r>
      <w:r w:rsidR="004C74A1">
        <w:t>”</w:t>
      </w:r>
      <w:r w:rsidR="00B0162B">
        <w:t xml:space="preserve"> business entities have a responsibility to respect human rights.</w:t>
      </w:r>
      <w:r w:rsidR="00DF0A4C">
        <w:rPr>
          <w:rStyle w:val="FootnoteReference"/>
        </w:rPr>
        <w:footnoteReference w:id="35"/>
      </w:r>
    </w:p>
    <w:p w14:paraId="3A208766" w14:textId="4C048312" w:rsidR="00F327B1" w:rsidRDefault="00F327B1" w:rsidP="00F327B1">
      <w:pPr>
        <w:pStyle w:val="ListParagraph"/>
      </w:pPr>
    </w:p>
    <w:p w14:paraId="1E550378" w14:textId="2CBAA484" w:rsidR="0020411F" w:rsidRPr="004704FF" w:rsidRDefault="004243A4" w:rsidP="004704FF">
      <w:pPr>
        <w:pStyle w:val="ListParagraph"/>
        <w:numPr>
          <w:ilvl w:val="1"/>
          <w:numId w:val="21"/>
        </w:numPr>
        <w:ind w:hanging="720"/>
      </w:pPr>
      <w:r>
        <w:t>Additionally</w:t>
      </w:r>
      <w:r w:rsidR="00B773FF">
        <w:t xml:space="preserve">, Amnesty International </w:t>
      </w:r>
      <w:r>
        <w:t xml:space="preserve">has </w:t>
      </w:r>
      <w:r w:rsidR="00B773FF">
        <w:t xml:space="preserve">outlined </w:t>
      </w:r>
      <w:r w:rsidR="0020411F">
        <w:t>that</w:t>
      </w:r>
      <w:r w:rsidR="0003444E">
        <w:t xml:space="preserve"> </w:t>
      </w:r>
      <w:r w:rsidR="009E6481">
        <w:t xml:space="preserve">Principle 14 of the Guiding Principles on Business and Human Rights </w:t>
      </w:r>
      <w:r w:rsidR="00626678">
        <w:t xml:space="preserve">should </w:t>
      </w:r>
      <w:r w:rsidR="00CE165A">
        <w:t>urge social media companies to consider the human rights risks inherent in their operations</w:t>
      </w:r>
      <w:r w:rsidR="00E03A63">
        <w:t xml:space="preserve"> in the context of disinformation</w:t>
      </w:r>
      <w:r w:rsidR="00265FAF">
        <w:t>.</w:t>
      </w:r>
      <w:r w:rsidR="00916B31">
        <w:rPr>
          <w:rStyle w:val="FootnoteReference"/>
        </w:rPr>
        <w:footnoteReference w:id="36"/>
      </w:r>
      <w:r w:rsidR="00265FAF">
        <w:t xml:space="preserve"> </w:t>
      </w:r>
      <w:r w:rsidR="005A7915">
        <w:t>Amnesty International has called on social media companies to take “concrete action to respond to the dissemination of false or misleading information”.</w:t>
      </w:r>
      <w:r w:rsidR="005A7915">
        <w:rPr>
          <w:rStyle w:val="FootnoteReference"/>
        </w:rPr>
        <w:footnoteReference w:id="37"/>
      </w:r>
    </w:p>
    <w:p w14:paraId="4E504889" w14:textId="77777777" w:rsidR="00234969" w:rsidRPr="00234969" w:rsidRDefault="00234969" w:rsidP="00234969">
      <w:pPr>
        <w:pStyle w:val="ListParagraph"/>
      </w:pPr>
    </w:p>
    <w:p w14:paraId="3EDEF89B" w14:textId="649FE6E7" w:rsidR="00234969" w:rsidRPr="00234969" w:rsidRDefault="00234969" w:rsidP="007972F2">
      <w:pPr>
        <w:pStyle w:val="Heading3"/>
      </w:pPr>
      <w:bookmarkStart w:id="9" w:name="_Toc198115669"/>
      <w:r>
        <w:t>European Convention of Human Rights</w:t>
      </w:r>
      <w:bookmarkEnd w:id="9"/>
    </w:p>
    <w:p w14:paraId="30F75F06" w14:textId="542ED52C" w:rsidR="00DF40D2" w:rsidRDefault="007B7437" w:rsidP="000737D6">
      <w:pPr>
        <w:pStyle w:val="ListParagraph"/>
        <w:numPr>
          <w:ilvl w:val="1"/>
          <w:numId w:val="21"/>
        </w:numPr>
        <w:ind w:hanging="720"/>
      </w:pPr>
      <w:r w:rsidRPr="004462F2">
        <w:t xml:space="preserve">Article 8 </w:t>
      </w:r>
      <w:r w:rsidR="00137A4B" w:rsidRPr="004462F2">
        <w:t>of the European Convention of Human Rights (ECHR)</w:t>
      </w:r>
      <w:r w:rsidR="00626678">
        <w:t xml:space="preserve">, </w:t>
      </w:r>
      <w:r w:rsidR="000D77CD">
        <w:t>enforceable</w:t>
      </w:r>
      <w:r w:rsidR="00626678">
        <w:t xml:space="preserve"> directly in domestic law by the Human Rights Act 1998,</w:t>
      </w:r>
      <w:r w:rsidR="00137A4B" w:rsidRPr="004462F2">
        <w:t xml:space="preserve"> </w:t>
      </w:r>
      <w:r w:rsidR="007D52AD">
        <w:t>requires</w:t>
      </w:r>
      <w:r w:rsidR="007D52AD" w:rsidRPr="004462F2">
        <w:t xml:space="preserve"> </w:t>
      </w:r>
      <w:r w:rsidR="004E7010" w:rsidRPr="004462F2">
        <w:t>that everyone has the</w:t>
      </w:r>
      <w:r w:rsidRPr="004462F2">
        <w:t xml:space="preserve"> right to respect for </w:t>
      </w:r>
      <w:r w:rsidR="005D4D76" w:rsidRPr="004462F2">
        <w:t>their</w:t>
      </w:r>
      <w:r w:rsidR="00157E53" w:rsidRPr="004462F2">
        <w:t xml:space="preserve"> </w:t>
      </w:r>
      <w:r w:rsidR="006B2EFB" w:rsidRPr="004462F2">
        <w:t>pr</w:t>
      </w:r>
      <w:r w:rsidRPr="004462F2">
        <w:t>ivate and family lif</w:t>
      </w:r>
      <w:r w:rsidR="004E7010" w:rsidRPr="004462F2">
        <w:t>e</w:t>
      </w:r>
      <w:r w:rsidR="007D52AD">
        <w:t>, their home and correspondence</w:t>
      </w:r>
      <w:r w:rsidR="006B2EFB" w:rsidRPr="004462F2">
        <w:t>.</w:t>
      </w:r>
      <w:r w:rsidRPr="004462F2">
        <w:t xml:space="preserve"> </w:t>
      </w:r>
      <w:r w:rsidR="00E408FF">
        <w:t xml:space="preserve">This </w:t>
      </w:r>
      <w:r w:rsidR="7C142BE0">
        <w:t>provides protection for</w:t>
      </w:r>
      <w:r w:rsidR="00E408FF">
        <w:t xml:space="preserve"> an individual’s physical and psychological integrity.</w:t>
      </w:r>
      <w:r w:rsidR="00E408FF">
        <w:rPr>
          <w:rStyle w:val="FootnoteReference"/>
        </w:rPr>
        <w:footnoteReference w:id="38"/>
      </w:r>
      <w:r w:rsidR="00E408FF">
        <w:t xml:space="preserve"> </w:t>
      </w:r>
      <w:r w:rsidR="23533BC0">
        <w:t xml:space="preserve">Article 8 </w:t>
      </w:r>
      <w:r w:rsidR="00BC3180">
        <w:t xml:space="preserve">of the ECHR </w:t>
      </w:r>
      <w:r w:rsidR="23533BC0">
        <w:t xml:space="preserve">may also provide protection of individuals </w:t>
      </w:r>
      <w:r w:rsidR="00E408FF">
        <w:t xml:space="preserve">discussing, sharing or hosting misinformation and disinformation </w:t>
      </w:r>
      <w:r w:rsidR="047667EF">
        <w:t>in certain confidential contexts</w:t>
      </w:r>
      <w:r w:rsidR="00E408FF">
        <w:t>. The European Court of Human Rights (ECtHR) has recognised that there is “a zone of interaction of a person with others, even in a public context, which may fall within the scope of ‘private life’”.</w:t>
      </w:r>
      <w:r w:rsidR="00E408FF">
        <w:rPr>
          <w:rStyle w:val="FootnoteReference"/>
        </w:rPr>
        <w:footnoteReference w:id="39"/>
      </w:r>
      <w:r w:rsidR="00E408FF">
        <w:t xml:space="preserve"> For example, letters of a private or professional nature,</w:t>
      </w:r>
      <w:r w:rsidR="00E408FF">
        <w:rPr>
          <w:rStyle w:val="FootnoteReference"/>
        </w:rPr>
        <w:footnoteReference w:id="40"/>
      </w:r>
      <w:r w:rsidR="00E408FF">
        <w:t xml:space="preserve"> telephone conversations,</w:t>
      </w:r>
      <w:r w:rsidR="00E408FF">
        <w:rPr>
          <w:rStyle w:val="FootnoteReference"/>
        </w:rPr>
        <w:footnoteReference w:id="41"/>
      </w:r>
      <w:r w:rsidR="00E408FF">
        <w:t xml:space="preserve"> and data on a smartphone, laptop, email, </w:t>
      </w:r>
      <w:r w:rsidR="00E408FF">
        <w:lastRenderedPageBreak/>
        <w:t>pagers, computer server and hard-drive.</w:t>
      </w:r>
      <w:r w:rsidR="00E408FF">
        <w:rPr>
          <w:rStyle w:val="FootnoteReference"/>
        </w:rPr>
        <w:footnoteReference w:id="42"/>
      </w:r>
      <w:r w:rsidR="00E408FF">
        <w:t xml:space="preserve"> I</w:t>
      </w:r>
      <w:r w:rsidR="5E55FD70">
        <w:t xml:space="preserve">t is therefore necessary to </w:t>
      </w:r>
      <w:r w:rsidR="00E408FF">
        <w:t xml:space="preserve">consider whether the medium for sharing the misinformation and disinformation can be categorised as private or not, and subject to </w:t>
      </w:r>
      <w:r w:rsidR="00750B5E">
        <w:t xml:space="preserve">protection under </w:t>
      </w:r>
      <w:r w:rsidR="00E408FF">
        <w:t>Article 8 of the ECHR. It can also require consideration of how to strike the right balance when there are competing rights involved.</w:t>
      </w:r>
    </w:p>
    <w:p w14:paraId="155AE052" w14:textId="77777777" w:rsidR="009D28FE" w:rsidRDefault="009D28FE" w:rsidP="007606F7">
      <w:pPr>
        <w:pStyle w:val="ListParagraph"/>
      </w:pPr>
    </w:p>
    <w:p w14:paraId="28031479" w14:textId="443CA45F" w:rsidR="004E694E" w:rsidRDefault="009A406F" w:rsidP="00D76601">
      <w:pPr>
        <w:pStyle w:val="ListParagraph"/>
        <w:numPr>
          <w:ilvl w:val="1"/>
          <w:numId w:val="21"/>
        </w:numPr>
        <w:ind w:hanging="720"/>
      </w:pPr>
      <w:r w:rsidRPr="004462F2">
        <w:t xml:space="preserve">Article 8(2) </w:t>
      </w:r>
      <w:r>
        <w:t>of the ECHR provides guidance on how to ensure the correct balance is struck in applying protections under this right. This provides</w:t>
      </w:r>
      <w:r w:rsidRPr="004462F2">
        <w:t xml:space="preserve"> </w:t>
      </w:r>
      <w:r w:rsidR="00F26C2F" w:rsidRPr="004462F2">
        <w:t xml:space="preserve">that there should be no interference by public authorities unless </w:t>
      </w:r>
      <w:r w:rsidR="005D2DB4" w:rsidRPr="004462F2">
        <w:t>it is within the law and “necessary to a democratic society in the interests of</w:t>
      </w:r>
      <w:r w:rsidR="0005301C" w:rsidRPr="004462F2">
        <w:t xml:space="preserve"> the prevention of disorder and </w:t>
      </w:r>
      <w:r w:rsidR="00777CA0" w:rsidRPr="004462F2">
        <w:t>c</w:t>
      </w:r>
      <w:r w:rsidR="0005301C" w:rsidRPr="004462F2">
        <w:t>rime… or for the protection of the rights and freedoms of others</w:t>
      </w:r>
      <w:r w:rsidR="00403977" w:rsidRPr="004462F2">
        <w:t>”</w:t>
      </w:r>
      <w:r w:rsidR="00626678">
        <w:t xml:space="preserve">. </w:t>
      </w:r>
      <w:r w:rsidR="007D52AD">
        <w:t xml:space="preserve">Any interference must also be proportionate to its lawful purpose. </w:t>
      </w:r>
      <w:r w:rsidR="00626678">
        <w:t xml:space="preserve">In assessing the extent of Article 8 </w:t>
      </w:r>
      <w:r w:rsidR="006443DD">
        <w:t xml:space="preserve">of the ECHR </w:t>
      </w:r>
      <w:r w:rsidR="00626678">
        <w:t xml:space="preserve">protection, relevant unincorporated treaties such as many of those above, are used to interpret Article 8 </w:t>
      </w:r>
      <w:r w:rsidR="006443DD">
        <w:t xml:space="preserve">of the ECHR </w:t>
      </w:r>
      <w:proofErr w:type="gramStart"/>
      <w:r w:rsidR="00626678">
        <w:t>so as to</w:t>
      </w:r>
      <w:proofErr w:type="gramEnd"/>
      <w:r w:rsidR="00626678">
        <w:t xml:space="preserve"> make them relevant directly to the protections that are enforceable directly. </w:t>
      </w:r>
    </w:p>
    <w:p w14:paraId="6446F600" w14:textId="77777777" w:rsidR="00E56E90" w:rsidRPr="004462F2" w:rsidRDefault="00E56E90" w:rsidP="00E56E90">
      <w:pPr>
        <w:pStyle w:val="ListParagraph"/>
      </w:pPr>
    </w:p>
    <w:p w14:paraId="2AD1A095" w14:textId="6F528CE8" w:rsidR="00280C8F" w:rsidRDefault="009A406F" w:rsidP="009A406F">
      <w:pPr>
        <w:pStyle w:val="ListParagraph"/>
        <w:numPr>
          <w:ilvl w:val="1"/>
          <w:numId w:val="21"/>
        </w:numPr>
        <w:ind w:hanging="720"/>
      </w:pPr>
      <w:r>
        <w:t xml:space="preserve">In the context of misinformation and disinformation that particularly affects racial and ethnic minorities, </w:t>
      </w:r>
      <w:r w:rsidR="00F34798">
        <w:t>t</w:t>
      </w:r>
      <w:r w:rsidR="00D81C4B">
        <w:t>he</w:t>
      </w:r>
      <w:r w:rsidR="005E7D1E" w:rsidRPr="005E7D1E">
        <w:t xml:space="preserve"> </w:t>
      </w:r>
      <w:r w:rsidR="005E7D1E">
        <w:t xml:space="preserve">ECtHR </w:t>
      </w:r>
      <w:r w:rsidR="00F34798">
        <w:t xml:space="preserve">has </w:t>
      </w:r>
      <w:r w:rsidR="007D52AD">
        <w:t xml:space="preserve">stated, </w:t>
      </w:r>
      <w:r w:rsidR="00CD1EAE">
        <w:t xml:space="preserve">in the case of </w:t>
      </w:r>
      <w:r w:rsidR="00CD1EAE" w:rsidRPr="009A406F">
        <w:rPr>
          <w:i/>
          <w:iCs/>
        </w:rPr>
        <w:t>Aksu v Turkey</w:t>
      </w:r>
      <w:r w:rsidR="00CD1EAE">
        <w:t xml:space="preserve"> </w:t>
      </w:r>
      <w:r w:rsidR="003C7BE6">
        <w:t>(2012)</w:t>
      </w:r>
      <w:r w:rsidR="007D52AD">
        <w:t>,</w:t>
      </w:r>
      <w:r w:rsidR="003C7BE6">
        <w:t xml:space="preserve"> </w:t>
      </w:r>
      <w:r w:rsidR="00CD1EAE">
        <w:t xml:space="preserve">that </w:t>
      </w:r>
      <w:r w:rsidR="004E49BA">
        <w:t xml:space="preserve">“any negative stereotyping </w:t>
      </w:r>
      <w:r w:rsidR="00254F1B">
        <w:t>of a group, when it reaches a certain level, is capable of impacting on the group’s sense of identity and</w:t>
      </w:r>
      <w:r w:rsidR="00F546C3">
        <w:t xml:space="preserve">… </w:t>
      </w:r>
      <w:r w:rsidR="00254F1B">
        <w:t>self-worth</w:t>
      </w:r>
      <w:r w:rsidR="00953524">
        <w:t>… it can be seen as affecting the private life of members of the group</w:t>
      </w:r>
      <w:r w:rsidR="005E7D1E">
        <w:t xml:space="preserve">” </w:t>
      </w:r>
      <w:r w:rsidR="004462F2">
        <w:t xml:space="preserve">and applicable to </w:t>
      </w:r>
      <w:r w:rsidR="00AC7497">
        <w:t>A</w:t>
      </w:r>
      <w:r w:rsidR="004462F2">
        <w:t>rticle 8</w:t>
      </w:r>
      <w:r w:rsidR="00AC7497">
        <w:t xml:space="preserve"> of the ECHR</w:t>
      </w:r>
      <w:r w:rsidR="004462F2">
        <w:t>.</w:t>
      </w:r>
      <w:r w:rsidR="001B020E">
        <w:rPr>
          <w:rStyle w:val="FootnoteReference"/>
        </w:rPr>
        <w:footnoteReference w:id="43"/>
      </w:r>
      <w:r w:rsidR="00CD1EAE">
        <w:t xml:space="preserve"> </w:t>
      </w:r>
      <w:r w:rsidR="005E7D1E">
        <w:t xml:space="preserve">The ECtHR has also clarified in the case of </w:t>
      </w:r>
      <w:r w:rsidR="00E408FF" w:rsidRPr="009A406F">
        <w:rPr>
          <w:i/>
          <w:iCs/>
        </w:rPr>
        <w:t xml:space="preserve">S and </w:t>
      </w:r>
      <w:proofErr w:type="spellStart"/>
      <w:r w:rsidR="005E7D1E" w:rsidRPr="009A406F">
        <w:rPr>
          <w:i/>
          <w:iCs/>
        </w:rPr>
        <w:t>Marper</w:t>
      </w:r>
      <w:proofErr w:type="spellEnd"/>
      <w:r w:rsidR="005E7D1E" w:rsidRPr="009A406F">
        <w:rPr>
          <w:i/>
          <w:iCs/>
        </w:rPr>
        <w:t xml:space="preserve"> v </w:t>
      </w:r>
      <w:r w:rsidR="00AC7497" w:rsidRPr="009A406F">
        <w:rPr>
          <w:i/>
          <w:iCs/>
        </w:rPr>
        <w:t xml:space="preserve">UK </w:t>
      </w:r>
      <w:r w:rsidR="00AC7497">
        <w:t>(2008)</w:t>
      </w:r>
      <w:r w:rsidR="005E7D1E">
        <w:t xml:space="preserve"> that </w:t>
      </w:r>
      <w:r w:rsidR="005E7D1E">
        <w:lastRenderedPageBreak/>
        <w:t xml:space="preserve">ethnic identity is an element of a person’s private life and therefore protected under </w:t>
      </w:r>
      <w:r w:rsidR="0096759C">
        <w:t>A</w:t>
      </w:r>
      <w:r w:rsidR="005E7D1E">
        <w:t>rticle 8</w:t>
      </w:r>
      <w:r w:rsidR="0096759C">
        <w:t xml:space="preserve"> of the ECHR</w:t>
      </w:r>
      <w:r w:rsidR="004462F2">
        <w:t>.</w:t>
      </w:r>
      <w:r w:rsidR="001B020E">
        <w:rPr>
          <w:rStyle w:val="FootnoteReference"/>
        </w:rPr>
        <w:footnoteReference w:id="44"/>
      </w:r>
      <w:r w:rsidR="00A72C33">
        <w:t xml:space="preserve"> </w:t>
      </w:r>
    </w:p>
    <w:p w14:paraId="470A2E33" w14:textId="77777777" w:rsidR="00280C8F" w:rsidRDefault="00280C8F" w:rsidP="00280C8F">
      <w:pPr>
        <w:pStyle w:val="ListParagraph"/>
      </w:pPr>
    </w:p>
    <w:p w14:paraId="4AEE4623" w14:textId="39680386" w:rsidR="00325D5B" w:rsidRDefault="009A406F" w:rsidP="00325D5B">
      <w:pPr>
        <w:pStyle w:val="ListParagraph"/>
        <w:numPr>
          <w:ilvl w:val="1"/>
          <w:numId w:val="21"/>
        </w:numPr>
        <w:ind w:hanging="720"/>
      </w:pPr>
      <w:r>
        <w:t>Furthermore, the ECtHR has established a link between Articles 8 and 14 (freedom from discrimination) of the ECHR. The ECtHR has found violations of these provisions where “the authorities have failed to offer adequate protection in respect of the… [individual’s] dignity (and more broadly, their private life), and to effectively investigate the real nature of the… abuse directed against them”.</w:t>
      </w:r>
      <w:r>
        <w:rPr>
          <w:rStyle w:val="FootnoteReference"/>
        </w:rPr>
        <w:footnoteReference w:id="45"/>
      </w:r>
      <w:r>
        <w:t xml:space="preserve"> </w:t>
      </w:r>
      <w:r w:rsidR="00325D5B">
        <w:t>In</w:t>
      </w:r>
      <w:r w:rsidR="00280C8F">
        <w:t xml:space="preserve"> </w:t>
      </w:r>
      <w:proofErr w:type="spellStart"/>
      <w:r w:rsidR="00325D5B" w:rsidRPr="0015376B">
        <w:rPr>
          <w:i/>
          <w:iCs/>
        </w:rPr>
        <w:t>Budinova</w:t>
      </w:r>
      <w:proofErr w:type="spellEnd"/>
      <w:r w:rsidR="00325D5B" w:rsidRPr="0015376B">
        <w:rPr>
          <w:i/>
          <w:iCs/>
        </w:rPr>
        <w:t xml:space="preserve"> and </w:t>
      </w:r>
      <w:proofErr w:type="spellStart"/>
      <w:r w:rsidR="00325D5B" w:rsidRPr="0015376B">
        <w:rPr>
          <w:i/>
          <w:iCs/>
        </w:rPr>
        <w:t>Chaprazov</w:t>
      </w:r>
      <w:proofErr w:type="spellEnd"/>
      <w:r w:rsidR="00325D5B" w:rsidRPr="0015376B">
        <w:rPr>
          <w:i/>
          <w:iCs/>
        </w:rPr>
        <w:t xml:space="preserve"> v Bulgaria</w:t>
      </w:r>
      <w:r w:rsidR="00325D5B">
        <w:t xml:space="preserve"> (2021) the ECtHR stated in its assessment that:</w:t>
      </w:r>
    </w:p>
    <w:p w14:paraId="320581E9" w14:textId="77777777" w:rsidR="00325D5B" w:rsidRDefault="00325D5B" w:rsidP="00325D5B">
      <w:pPr>
        <w:pStyle w:val="ListParagraph"/>
      </w:pPr>
    </w:p>
    <w:p w14:paraId="18558F47" w14:textId="24F405EB" w:rsidR="00325D5B" w:rsidRDefault="00325D5B" w:rsidP="00325D5B">
      <w:pPr>
        <w:pStyle w:val="Quote"/>
      </w:pPr>
      <w:r>
        <w:t xml:space="preserve">since the statements in respect of which the applicants sought redress were (as is obvious from the very terms used in them) prima facie discriminatory in intent as regards Roma, in the present case that analysis must also be coloured by the duties stemming from Article 14 of the </w:t>
      </w:r>
      <w:r w:rsidR="00B103B0">
        <w:t>[ECHR]</w:t>
      </w:r>
      <w:r>
        <w:t xml:space="preserve"> – in particular the duty to combat racial discrimination, which includes discrimination on account of someone’s ethnic origin.</w:t>
      </w:r>
      <w:r>
        <w:rPr>
          <w:rStyle w:val="FootnoteReference"/>
        </w:rPr>
        <w:footnoteReference w:id="46"/>
      </w:r>
    </w:p>
    <w:p w14:paraId="76474CB5" w14:textId="77777777" w:rsidR="00325D5B" w:rsidRDefault="00325D5B" w:rsidP="00325D5B">
      <w:pPr>
        <w:pStyle w:val="ListParagraph"/>
      </w:pPr>
    </w:p>
    <w:p w14:paraId="54066BF0" w14:textId="77777777" w:rsidR="009A406F" w:rsidRDefault="009A406F" w:rsidP="009A406F">
      <w:pPr>
        <w:pStyle w:val="ListParagraph"/>
        <w:numPr>
          <w:ilvl w:val="1"/>
          <w:numId w:val="21"/>
        </w:numPr>
        <w:ind w:hanging="720"/>
      </w:pPr>
      <w:r>
        <w:t>Where misinformation or disinformation may incite violence, the ECtHR has gone a step further linking Articles 3 (freedom from torture), 8 and 14 of the ECHR, stating that:</w:t>
      </w:r>
    </w:p>
    <w:p w14:paraId="1567C71B" w14:textId="77777777" w:rsidR="009A406F" w:rsidRDefault="009A406F" w:rsidP="009A406F">
      <w:pPr>
        <w:pStyle w:val="ListParagraph"/>
      </w:pPr>
    </w:p>
    <w:p w14:paraId="4AE0AF9B" w14:textId="494E2662" w:rsidR="004E694E" w:rsidRDefault="009A406F" w:rsidP="009A406F">
      <w:pPr>
        <w:pStyle w:val="Quote"/>
      </w:pPr>
      <w:r>
        <w:t xml:space="preserve">the authorities’ duty to prevent hate-motivated violence on the part of private individuals, as well as to investigate the existence of a possible link between a discriminatory motive and the act of violence (whether physical or verbal) can fall under the positive obligations </w:t>
      </w:r>
      <w:r>
        <w:lastRenderedPageBreak/>
        <w:t>enshrined in Articles 3 and 8 of the [ECHR], but may also be seen to form part of the authorities’ positive responsibilities under Article 14 of the [ECHR] to secure the fundamental values protected by Articles 3 and 8 [of the ECHR] without discrimination.</w:t>
      </w:r>
      <w:r>
        <w:rPr>
          <w:rStyle w:val="FootnoteReference"/>
        </w:rPr>
        <w:footnoteReference w:id="47"/>
      </w:r>
    </w:p>
    <w:p w14:paraId="198EE265" w14:textId="77777777" w:rsidR="00240C5F" w:rsidRDefault="00240C5F" w:rsidP="000737D6"/>
    <w:p w14:paraId="629CB85F" w14:textId="5B7E62F5" w:rsidR="002F4AC0" w:rsidRDefault="00EF658F" w:rsidP="00086F01">
      <w:pPr>
        <w:pStyle w:val="ListParagraph"/>
        <w:numPr>
          <w:ilvl w:val="1"/>
          <w:numId w:val="21"/>
        </w:numPr>
        <w:ind w:hanging="720"/>
      </w:pPr>
      <w:r>
        <w:t xml:space="preserve">Article 10 </w:t>
      </w:r>
      <w:r w:rsidR="00F51070">
        <w:t xml:space="preserve">of the ECHR protects the right of freedom of expression for everyone. </w:t>
      </w:r>
      <w:r w:rsidR="00561864">
        <w:t xml:space="preserve">Article </w:t>
      </w:r>
      <w:r w:rsidR="00327D14">
        <w:t>10</w:t>
      </w:r>
      <w:r w:rsidR="007F5F83">
        <w:t>(2)</w:t>
      </w:r>
      <w:r w:rsidR="002F4AC0">
        <w:t xml:space="preserve"> states that</w:t>
      </w:r>
      <w:r w:rsidR="00713436">
        <w:t>:</w:t>
      </w:r>
      <w:r w:rsidR="002F4AC0">
        <w:t xml:space="preserve"> </w:t>
      </w:r>
    </w:p>
    <w:p w14:paraId="315A0475" w14:textId="77777777" w:rsidR="002F4AC0" w:rsidRPr="002F4AC0" w:rsidRDefault="002F4AC0" w:rsidP="002F4AC0">
      <w:pPr>
        <w:pStyle w:val="ListParagraph"/>
      </w:pPr>
    </w:p>
    <w:p w14:paraId="5881D912" w14:textId="203F0A8B" w:rsidR="00086F01" w:rsidRPr="00D544C1" w:rsidRDefault="00F112FF" w:rsidP="00D544C1">
      <w:pPr>
        <w:pStyle w:val="Quote"/>
      </w:pPr>
      <w:r w:rsidRPr="00D544C1">
        <w:t>t</w:t>
      </w:r>
      <w:r w:rsidR="00F34631" w:rsidRPr="00D544C1">
        <w:t>he exercise of these freedoms, since it carries with it duties and responsibilities, may be subject to such formalities</w:t>
      </w:r>
      <w:r w:rsidR="00954826" w:rsidRPr="00D544C1">
        <w:t>, conditions, restrictions or penalties as are prescribed by law and are necessary in a democratic society, in the interests of national security, territorial identit</w:t>
      </w:r>
      <w:r w:rsidR="00265B87" w:rsidRPr="00D544C1">
        <w:t>y or public safety</w:t>
      </w:r>
      <w:r w:rsidR="0019134C" w:rsidRPr="00D544C1">
        <w:t xml:space="preserve">, for the </w:t>
      </w:r>
      <w:r w:rsidR="00B533D9" w:rsidRPr="00D544C1">
        <w:t>prevention</w:t>
      </w:r>
      <w:r w:rsidR="0019134C" w:rsidRPr="00D544C1">
        <w:t xml:space="preserve"> of disorder or crime, for the protection of health or </w:t>
      </w:r>
      <w:r w:rsidR="00B533D9" w:rsidRPr="00D544C1">
        <w:t>morals</w:t>
      </w:r>
      <w:r w:rsidR="003C6630" w:rsidRPr="00D544C1">
        <w:t xml:space="preserve">, for the protection of the reputation or rights of others, for preventing the disclosure of information received </w:t>
      </w:r>
      <w:r w:rsidR="005000C0" w:rsidRPr="00D544C1">
        <w:t>in</w:t>
      </w:r>
      <w:r w:rsidR="003C6630" w:rsidRPr="00D544C1">
        <w:t xml:space="preserve"> </w:t>
      </w:r>
      <w:r w:rsidR="005000C0" w:rsidRPr="00D544C1">
        <w:t>confidence,</w:t>
      </w:r>
      <w:r w:rsidR="003C6630" w:rsidRPr="00D544C1">
        <w:t xml:space="preserve"> or for maintaining the </w:t>
      </w:r>
      <w:r w:rsidR="005000C0" w:rsidRPr="00D544C1">
        <w:t>authority</w:t>
      </w:r>
      <w:r w:rsidR="003C6630" w:rsidRPr="00D544C1">
        <w:t xml:space="preserve"> and impartiality of the judiciary</w:t>
      </w:r>
      <w:r w:rsidR="00713436" w:rsidRPr="00D544C1">
        <w:t>.</w:t>
      </w:r>
    </w:p>
    <w:p w14:paraId="38590D5E" w14:textId="77777777" w:rsidR="00C3616D" w:rsidRPr="00C3616D" w:rsidRDefault="00C3616D" w:rsidP="00C3616D"/>
    <w:p w14:paraId="088B2A73" w14:textId="711D38BB" w:rsidR="001A2149" w:rsidRDefault="00623E80" w:rsidP="001A2149">
      <w:pPr>
        <w:pStyle w:val="ListParagraph"/>
        <w:numPr>
          <w:ilvl w:val="1"/>
          <w:numId w:val="21"/>
        </w:numPr>
        <w:ind w:hanging="720"/>
      </w:pPr>
      <w:r>
        <w:t xml:space="preserve">The ECtHR noted the boundaries of Article 10(2) and the link with Article 14 of the ECHR </w:t>
      </w:r>
      <w:r w:rsidR="00444777">
        <w:t xml:space="preserve">in the case of </w:t>
      </w:r>
      <w:proofErr w:type="spellStart"/>
      <w:r w:rsidR="00B77EFA" w:rsidRPr="00AE3CD3">
        <w:rPr>
          <w:i/>
          <w:iCs/>
        </w:rPr>
        <w:t>Fé</w:t>
      </w:r>
      <w:r w:rsidR="00E0520B" w:rsidRPr="00AE3CD3">
        <w:rPr>
          <w:i/>
          <w:iCs/>
        </w:rPr>
        <w:t>ret</w:t>
      </w:r>
      <w:proofErr w:type="spellEnd"/>
      <w:r w:rsidR="00E0520B" w:rsidRPr="00AE3CD3">
        <w:rPr>
          <w:i/>
          <w:iCs/>
        </w:rPr>
        <w:t xml:space="preserve"> v Belgium</w:t>
      </w:r>
      <w:r w:rsidR="0096759C">
        <w:t xml:space="preserve"> (2009)</w:t>
      </w:r>
      <w:r w:rsidR="00980D24">
        <w:t xml:space="preserve">, </w:t>
      </w:r>
      <w:r w:rsidR="007D52AD">
        <w:t>finding that</w:t>
      </w:r>
      <w:r w:rsidR="00980D24">
        <w:t>:</w:t>
      </w:r>
      <w:r w:rsidR="00D671D6">
        <w:t xml:space="preserve"> </w:t>
      </w:r>
      <w:r w:rsidR="008456B0">
        <w:t xml:space="preserve"> </w:t>
      </w:r>
    </w:p>
    <w:p w14:paraId="318B9C6C" w14:textId="77777777" w:rsidR="001A2149" w:rsidRPr="001A2149" w:rsidRDefault="001A2149" w:rsidP="001A2149">
      <w:pPr>
        <w:pStyle w:val="ListParagraph"/>
      </w:pPr>
    </w:p>
    <w:p w14:paraId="4A9AD935" w14:textId="6C8E14B9" w:rsidR="001A2149" w:rsidRPr="001A2149" w:rsidRDefault="007525BF" w:rsidP="00D544C1">
      <w:pPr>
        <w:pStyle w:val="Quote"/>
      </w:pPr>
      <w:r>
        <w:t>i</w:t>
      </w:r>
      <w:r w:rsidR="001A2149">
        <w:t>nsults</w:t>
      </w:r>
      <w:r w:rsidR="009A032E">
        <w:t>, ridicule, or defamation aimed at specific population groups or incitation to discrimination, as in this case, sufficed for the authorities to give priority to fighting hate speech when confronted by the irresponsible use of freedom of expression which undermined people’s dignity, even their safety</w:t>
      </w:r>
      <w:r w:rsidR="001A14C8">
        <w:t>.</w:t>
      </w:r>
      <w:r w:rsidR="00166E40">
        <w:rPr>
          <w:rStyle w:val="FootnoteReference"/>
        </w:rPr>
        <w:footnoteReference w:id="48"/>
      </w:r>
    </w:p>
    <w:p w14:paraId="5323C16D" w14:textId="77777777" w:rsidR="002C0D54" w:rsidRPr="002C0D54" w:rsidRDefault="002C0D54" w:rsidP="002C0D54">
      <w:pPr>
        <w:pStyle w:val="ListParagraph"/>
      </w:pPr>
    </w:p>
    <w:p w14:paraId="5C6333FA" w14:textId="5D2613C7" w:rsidR="00493C45" w:rsidRPr="00327075" w:rsidRDefault="008C69AA" w:rsidP="00D76601">
      <w:pPr>
        <w:pStyle w:val="ListParagraph"/>
        <w:numPr>
          <w:ilvl w:val="1"/>
          <w:numId w:val="21"/>
        </w:numPr>
        <w:ind w:hanging="720"/>
      </w:pPr>
      <w:r w:rsidRPr="00327075">
        <w:t xml:space="preserve">The </w:t>
      </w:r>
      <w:r w:rsidR="0037121F" w:rsidRPr="00327075">
        <w:t>ECtHR</w:t>
      </w:r>
      <w:r w:rsidRPr="00327075">
        <w:t xml:space="preserve"> </w:t>
      </w:r>
      <w:r w:rsidR="005428E1" w:rsidRPr="00327075">
        <w:t xml:space="preserve">went on to </w:t>
      </w:r>
      <w:r w:rsidR="00081419" w:rsidRPr="00327075">
        <w:t>identify</w:t>
      </w:r>
      <w:r w:rsidR="005428E1" w:rsidRPr="00327075">
        <w:t xml:space="preserve"> that </w:t>
      </w:r>
      <w:r w:rsidR="00181F0B" w:rsidRPr="00327075">
        <w:t>given the context of the case, there was a pressing social need to protect the public and rights of others</w:t>
      </w:r>
      <w:r w:rsidR="00123035" w:rsidRPr="00327075">
        <w:t xml:space="preserve"> that warranted an interference with the right to freedom of expression</w:t>
      </w:r>
      <w:r w:rsidR="00FA6D66" w:rsidRPr="00327075">
        <w:t>.</w:t>
      </w:r>
      <w:r w:rsidR="001A2149">
        <w:rPr>
          <w:rStyle w:val="FootnoteReference"/>
        </w:rPr>
        <w:footnoteReference w:id="49"/>
      </w:r>
      <w:r w:rsidR="006F438E" w:rsidRPr="00327075">
        <w:t xml:space="preserve"> </w:t>
      </w:r>
      <w:r w:rsidR="000B66AE" w:rsidRPr="00327075">
        <w:t xml:space="preserve">This </w:t>
      </w:r>
      <w:r w:rsidR="00BA66C3" w:rsidRPr="00327075">
        <w:t xml:space="preserve">serves as relevant case law for addressing </w:t>
      </w:r>
      <w:r w:rsidR="005B03CE" w:rsidRPr="00327075">
        <w:t>online mis</w:t>
      </w:r>
      <w:r w:rsidR="00C665C3" w:rsidRPr="00327075">
        <w:t xml:space="preserve">information and </w:t>
      </w:r>
      <w:r w:rsidR="005B03CE" w:rsidRPr="00327075">
        <w:t>disinformation</w:t>
      </w:r>
      <w:r w:rsidR="00836096" w:rsidRPr="00327075">
        <w:t xml:space="preserve"> concerning racial</w:t>
      </w:r>
      <w:r w:rsidR="00CB466C" w:rsidRPr="00327075">
        <w:t xml:space="preserve"> and/or </w:t>
      </w:r>
      <w:r w:rsidR="00836096" w:rsidRPr="00327075">
        <w:t xml:space="preserve">ethnic minorities since it establishes </w:t>
      </w:r>
      <w:r w:rsidR="002E1280" w:rsidRPr="00327075">
        <w:t xml:space="preserve">that </w:t>
      </w:r>
      <w:r w:rsidR="00025441" w:rsidRPr="00327075">
        <w:t>statements meant to incite racial</w:t>
      </w:r>
      <w:r w:rsidR="00CB466C" w:rsidRPr="00327075">
        <w:t xml:space="preserve"> and</w:t>
      </w:r>
      <w:r w:rsidR="00502B49" w:rsidRPr="00327075">
        <w:t xml:space="preserve"> </w:t>
      </w:r>
      <w:r w:rsidR="00025441" w:rsidRPr="00327075">
        <w:t xml:space="preserve">ethnic hatred and/or violence </w:t>
      </w:r>
      <w:r w:rsidR="00EE3DAB" w:rsidRPr="00327075">
        <w:t xml:space="preserve">are valid interferences </w:t>
      </w:r>
      <w:r w:rsidR="0037121F" w:rsidRPr="00327075">
        <w:t>to the right of freedom of expression.</w:t>
      </w:r>
      <w:r w:rsidR="00327075">
        <w:t xml:space="preserve"> </w:t>
      </w:r>
      <w:r w:rsidR="00E93666" w:rsidRPr="00327075">
        <w:t xml:space="preserve">However, it is still important to note that </w:t>
      </w:r>
      <w:r w:rsidR="007B5469" w:rsidRPr="00327075">
        <w:t xml:space="preserve">the justification to </w:t>
      </w:r>
      <w:r w:rsidR="00327AEC" w:rsidRPr="00327075">
        <w:t xml:space="preserve">interferences to freedom of speech </w:t>
      </w:r>
      <w:r w:rsidR="007B5469" w:rsidRPr="00327075">
        <w:t xml:space="preserve">must be </w:t>
      </w:r>
      <w:r w:rsidR="002C5CBA" w:rsidRPr="00327075">
        <w:t>“</w:t>
      </w:r>
      <w:r w:rsidR="007B5469" w:rsidRPr="00327075">
        <w:t>relevant and sufficient</w:t>
      </w:r>
      <w:r w:rsidR="00BE1EEE" w:rsidRPr="00327075">
        <w:t>”,</w:t>
      </w:r>
      <w:r w:rsidR="006F7B48" w:rsidRPr="00327075">
        <w:t xml:space="preserve"> </w:t>
      </w:r>
      <w:r w:rsidR="00FE560C" w:rsidRPr="00327075">
        <w:t xml:space="preserve">after a full analysis of the wording, </w:t>
      </w:r>
      <w:r w:rsidR="00C028DC" w:rsidRPr="00327075">
        <w:t>form, and tenor of the speech</w:t>
      </w:r>
      <w:r w:rsidR="00BE1EEE" w:rsidRPr="00327075">
        <w:t xml:space="preserve"> and/or </w:t>
      </w:r>
      <w:r w:rsidR="00C028DC" w:rsidRPr="00327075">
        <w:t>expression.</w:t>
      </w:r>
      <w:r w:rsidR="00B26309">
        <w:rPr>
          <w:rStyle w:val="FootnoteReference"/>
        </w:rPr>
        <w:footnoteReference w:id="50"/>
      </w:r>
    </w:p>
    <w:p w14:paraId="34478011" w14:textId="09B2D53F" w:rsidR="00330B71" w:rsidRPr="00330B71" w:rsidRDefault="00330B71" w:rsidP="00325D5B"/>
    <w:p w14:paraId="25093ACF" w14:textId="7843F367" w:rsidR="00330B71" w:rsidRPr="004B279B" w:rsidRDefault="00330B71" w:rsidP="00D544C1">
      <w:pPr>
        <w:pStyle w:val="Heading3"/>
      </w:pPr>
      <w:bookmarkStart w:id="10" w:name="_Toc198115670"/>
      <w:r w:rsidRPr="004B279B">
        <w:t>Co</w:t>
      </w:r>
      <w:r>
        <w:t>uncil of Europe</w:t>
      </w:r>
      <w:r w:rsidRPr="004B279B">
        <w:t xml:space="preserve"> Convention</w:t>
      </w:r>
      <w:r>
        <w:t xml:space="preserve"> on Preventing and Combating Violence Against Women and Domestic Violence</w:t>
      </w:r>
      <w:bookmarkEnd w:id="10"/>
    </w:p>
    <w:p w14:paraId="342764B2" w14:textId="3E24A6EC" w:rsidR="00740115" w:rsidRDefault="00330B71" w:rsidP="00344188">
      <w:pPr>
        <w:pStyle w:val="ListParagraph"/>
        <w:numPr>
          <w:ilvl w:val="1"/>
          <w:numId w:val="21"/>
        </w:numPr>
        <w:ind w:hanging="720"/>
      </w:pPr>
      <w:r>
        <w:t>Article 17 of the Council of Europe (</w:t>
      </w:r>
      <w:proofErr w:type="spellStart"/>
      <w:r>
        <w:t>CoE</w:t>
      </w:r>
      <w:proofErr w:type="spellEnd"/>
      <w:r>
        <w:t xml:space="preserve">) Convention on Preventing and Combating Violence Against Women and Domestic Violence (the Istanbul Convention) dictates that all </w:t>
      </w:r>
      <w:r w:rsidR="00606B89">
        <w:t>M</w:t>
      </w:r>
      <w:r>
        <w:t xml:space="preserve">ember </w:t>
      </w:r>
      <w:r w:rsidR="00606B89">
        <w:t>S</w:t>
      </w:r>
      <w:r>
        <w:t xml:space="preserve">tates should engage with the media and the information </w:t>
      </w:r>
      <w:r w:rsidR="00473842">
        <w:t>and</w:t>
      </w:r>
      <w:r>
        <w:t xml:space="preserve"> technology sector to implement policies, guidelines, and self-regulatory standards “to prevent violence against women and to enhance respect for their dignity</w:t>
      </w:r>
      <w:r w:rsidR="00973E80">
        <w:t>”</w:t>
      </w:r>
      <w:r>
        <w:t>.</w:t>
      </w:r>
      <w:r w:rsidR="003A580D">
        <w:t xml:space="preserve"> </w:t>
      </w:r>
    </w:p>
    <w:p w14:paraId="75BD6B19" w14:textId="77777777" w:rsidR="00740115" w:rsidRDefault="00740115" w:rsidP="00740115">
      <w:pPr>
        <w:pStyle w:val="ListParagraph"/>
      </w:pPr>
    </w:p>
    <w:p w14:paraId="15BDFAB4" w14:textId="61A11C2F" w:rsidR="00330B71" w:rsidRDefault="00245DA3" w:rsidP="00344188">
      <w:pPr>
        <w:pStyle w:val="ListParagraph"/>
        <w:numPr>
          <w:ilvl w:val="1"/>
          <w:numId w:val="21"/>
        </w:numPr>
        <w:ind w:hanging="720"/>
      </w:pPr>
      <w:r>
        <w:t xml:space="preserve">Since </w:t>
      </w:r>
      <w:r w:rsidR="00B21EF7">
        <w:t>racial and ethnic minority women</w:t>
      </w:r>
      <w:r>
        <w:t xml:space="preserve"> are more like</w:t>
      </w:r>
      <w:r w:rsidR="00A61939">
        <w:t xml:space="preserve">ly to be </w:t>
      </w:r>
      <w:r w:rsidR="00D26811">
        <w:t>the subjects of online disinformation</w:t>
      </w:r>
      <w:r w:rsidR="006324FD">
        <w:t>,</w:t>
      </w:r>
      <w:r w:rsidR="00173E7B">
        <w:rPr>
          <w:rStyle w:val="FootnoteReference"/>
        </w:rPr>
        <w:footnoteReference w:id="51"/>
      </w:r>
      <w:r w:rsidR="00D26811">
        <w:t xml:space="preserve"> Article 17</w:t>
      </w:r>
      <w:r w:rsidR="006E7464">
        <w:t xml:space="preserve"> </w:t>
      </w:r>
      <w:r w:rsidR="00473842">
        <w:t xml:space="preserve">of the Istanbul </w:t>
      </w:r>
      <w:r w:rsidR="00473842">
        <w:lastRenderedPageBreak/>
        <w:t xml:space="preserve">Convention </w:t>
      </w:r>
      <w:r w:rsidR="00C670CB">
        <w:t>is a relevant and important part of the human rights framework protecting women of racial</w:t>
      </w:r>
      <w:r w:rsidR="00C92BBF">
        <w:t xml:space="preserve"> </w:t>
      </w:r>
      <w:r w:rsidR="00623C6D">
        <w:t>and ethnic</w:t>
      </w:r>
      <w:r w:rsidR="00C670CB">
        <w:t xml:space="preserve"> minorities </w:t>
      </w:r>
      <w:r w:rsidR="00505B9D">
        <w:t xml:space="preserve">from the </w:t>
      </w:r>
      <w:r w:rsidR="00953675">
        <w:t>potentially violent effects of online mis</w:t>
      </w:r>
      <w:r w:rsidR="001658AE">
        <w:t xml:space="preserve">information and </w:t>
      </w:r>
      <w:r w:rsidR="00953675">
        <w:t>disinformation</w:t>
      </w:r>
      <w:r w:rsidR="00146B57">
        <w:t>.</w:t>
      </w:r>
    </w:p>
    <w:p w14:paraId="4E6DA0B1" w14:textId="77777777" w:rsidR="00740115" w:rsidRPr="00740115" w:rsidRDefault="00740115" w:rsidP="00740115">
      <w:pPr>
        <w:pStyle w:val="ListParagraph"/>
      </w:pPr>
    </w:p>
    <w:p w14:paraId="0811DF6B" w14:textId="1FEBEC40" w:rsidR="00740115" w:rsidRPr="00A1144B" w:rsidRDefault="00740115" w:rsidP="007972F2">
      <w:pPr>
        <w:pStyle w:val="Heading3"/>
      </w:pPr>
      <w:bookmarkStart w:id="11" w:name="_Toc198115671"/>
      <w:r w:rsidRPr="00740115">
        <w:t>Council of Europe Convention on Cybercrime</w:t>
      </w:r>
      <w:bookmarkEnd w:id="11"/>
      <w:r w:rsidRPr="00740115">
        <w:t xml:space="preserve">  </w:t>
      </w:r>
    </w:p>
    <w:p w14:paraId="5D24235D" w14:textId="30CB6465" w:rsidR="00740115" w:rsidRPr="00EA2255" w:rsidRDefault="007A7FFA" w:rsidP="00740115">
      <w:pPr>
        <w:pStyle w:val="ListParagraph"/>
        <w:numPr>
          <w:ilvl w:val="1"/>
          <w:numId w:val="21"/>
        </w:numPr>
        <w:ind w:hanging="720"/>
      </w:pPr>
      <w:r>
        <w:t xml:space="preserve">The Preamble of the </w:t>
      </w:r>
      <w:proofErr w:type="spellStart"/>
      <w:r>
        <w:t>CoE</w:t>
      </w:r>
      <w:proofErr w:type="spellEnd"/>
      <w:r>
        <w:t xml:space="preserve"> Convention on Cybercrime </w:t>
      </w:r>
      <w:r w:rsidR="00EC4B55">
        <w:t xml:space="preserve">states that </w:t>
      </w:r>
      <w:r w:rsidR="00A67760">
        <w:t>M</w:t>
      </w:r>
      <w:r w:rsidR="00EC4B55">
        <w:t xml:space="preserve">ember </w:t>
      </w:r>
      <w:r w:rsidR="00A67760">
        <w:t>S</w:t>
      </w:r>
      <w:r w:rsidR="00EC4B55">
        <w:t xml:space="preserve">tates must be “mindful of the need to ensure a proper balance between the interest of law enforcement and respect for </w:t>
      </w:r>
      <w:r w:rsidR="0066706F">
        <w:t>fundamental</w:t>
      </w:r>
      <w:r w:rsidR="00EC4B55">
        <w:t xml:space="preserve"> human rights</w:t>
      </w:r>
      <w:r w:rsidR="000E06F0">
        <w:t>”</w:t>
      </w:r>
      <w:r w:rsidR="00B64447">
        <w:t>.</w:t>
      </w:r>
      <w:r w:rsidR="00B64447">
        <w:rPr>
          <w:rStyle w:val="FootnoteReference"/>
        </w:rPr>
        <w:footnoteReference w:id="52"/>
      </w:r>
    </w:p>
    <w:p w14:paraId="699B678D" w14:textId="77777777" w:rsidR="00740115" w:rsidRPr="00740115" w:rsidRDefault="00740115" w:rsidP="00740115">
      <w:pPr>
        <w:pStyle w:val="ListParagraph"/>
      </w:pPr>
    </w:p>
    <w:p w14:paraId="0B30C8FE" w14:textId="78F0E9F4" w:rsidR="00740115" w:rsidRPr="00344188" w:rsidRDefault="00574BB4" w:rsidP="00344188">
      <w:pPr>
        <w:pStyle w:val="ListParagraph"/>
        <w:numPr>
          <w:ilvl w:val="1"/>
          <w:numId w:val="21"/>
        </w:numPr>
        <w:ind w:hanging="720"/>
      </w:pPr>
      <w:r>
        <w:t>Article 15</w:t>
      </w:r>
      <w:r w:rsidR="008707CF">
        <w:t>(2)</w:t>
      </w:r>
      <w:r w:rsidR="004B786F">
        <w:t xml:space="preserve"> </w:t>
      </w:r>
      <w:r w:rsidR="00A67760">
        <w:t xml:space="preserve">of the Convention on Cybercrime </w:t>
      </w:r>
      <w:r w:rsidR="002C354F">
        <w:t xml:space="preserve">provides for the </w:t>
      </w:r>
      <w:r w:rsidR="000305B3">
        <w:t>“adequate protection of human rights and liberties</w:t>
      </w:r>
      <w:r w:rsidR="000668E4">
        <w:t>” under a multitude of international human rights instruments in “the establishment, implementation, and application of the powers and pro</w:t>
      </w:r>
      <w:r w:rsidR="000507B2">
        <w:t xml:space="preserve">cedures” of the Convention. </w:t>
      </w:r>
      <w:r w:rsidR="00450987">
        <w:t xml:space="preserve"> </w:t>
      </w:r>
    </w:p>
    <w:p w14:paraId="2CCA43E2" w14:textId="77777777" w:rsidR="00002239" w:rsidRPr="00002239" w:rsidRDefault="00002239" w:rsidP="00002239">
      <w:pPr>
        <w:pStyle w:val="ListParagraph"/>
      </w:pPr>
    </w:p>
    <w:p w14:paraId="2AF09A7D" w14:textId="67A17C1D" w:rsidR="00143864" w:rsidRPr="007972F2" w:rsidRDefault="007972F2" w:rsidP="007972F2">
      <w:pPr>
        <w:pStyle w:val="Heading3"/>
      </w:pPr>
      <w:bookmarkStart w:id="12" w:name="_Toc198115672"/>
      <w:r>
        <w:t xml:space="preserve">Council of Europe </w:t>
      </w:r>
      <w:r w:rsidR="00002239">
        <w:t>European Commission against Racism and Intolerance</w:t>
      </w:r>
      <w:bookmarkEnd w:id="12"/>
    </w:p>
    <w:p w14:paraId="6B0E9ED7" w14:textId="360D88ED" w:rsidR="00143864" w:rsidRPr="004B786F" w:rsidRDefault="00BE25B5" w:rsidP="004B786F">
      <w:pPr>
        <w:pStyle w:val="ListParagraph"/>
        <w:numPr>
          <w:ilvl w:val="1"/>
          <w:numId w:val="21"/>
        </w:numPr>
        <w:ind w:hanging="720"/>
      </w:pPr>
      <w:r>
        <w:t xml:space="preserve">The European Commission against Racism and Intolerance (ECRI) </w:t>
      </w:r>
      <w:r w:rsidR="00D10D01">
        <w:t>has discussed</w:t>
      </w:r>
      <w:r w:rsidR="00860729">
        <w:t xml:space="preserve"> combatting racist</w:t>
      </w:r>
      <w:r w:rsidR="00132E8E">
        <w:t>,</w:t>
      </w:r>
      <w:r w:rsidR="00860729">
        <w:t xml:space="preserve"> xenophobic, and antisemitic material on the Internet</w:t>
      </w:r>
      <w:r w:rsidR="008E708F">
        <w:t>.</w:t>
      </w:r>
      <w:r w:rsidR="00F32F3E" w:rsidRPr="00F32F3E">
        <w:t xml:space="preserve"> </w:t>
      </w:r>
      <w:r w:rsidR="00F32F3E">
        <w:t xml:space="preserve">The </w:t>
      </w:r>
      <w:r w:rsidR="00D10D01">
        <w:t>ECRI</w:t>
      </w:r>
      <w:r w:rsidR="00F32F3E">
        <w:t xml:space="preserve"> recommends that </w:t>
      </w:r>
      <w:r w:rsidR="00D10D01">
        <w:t>M</w:t>
      </w:r>
      <w:r w:rsidR="00451C8D">
        <w:t xml:space="preserve">ember </w:t>
      </w:r>
      <w:r w:rsidR="00D10D01">
        <w:t>S</w:t>
      </w:r>
      <w:r w:rsidR="00451C8D">
        <w:t>tates</w:t>
      </w:r>
      <w:r w:rsidR="00F32F3E">
        <w:t xml:space="preserve"> ensure “that relevant national legislation applies also to racist, xenophobic and antisemitic offences committed via the Internet,” in addition to undertaking “efforts for the training of law enforcement authorities in relation to the problem of dissemination of racist, xenophobic and antisemitic material via the Internet</w:t>
      </w:r>
      <w:r w:rsidR="00451C8D">
        <w:t>”</w:t>
      </w:r>
      <w:r w:rsidR="00F32F3E">
        <w:t>.</w:t>
      </w:r>
      <w:r w:rsidR="00F32F3E">
        <w:rPr>
          <w:rStyle w:val="FootnoteReference"/>
        </w:rPr>
        <w:footnoteReference w:id="53"/>
      </w:r>
    </w:p>
    <w:p w14:paraId="049A2222" w14:textId="77777777" w:rsidR="00775F09" w:rsidRPr="00385625" w:rsidRDefault="00775F09" w:rsidP="00385625"/>
    <w:p w14:paraId="3F438169" w14:textId="7B0A215C" w:rsidR="001D1E86" w:rsidRPr="00740115" w:rsidRDefault="00D035E6" w:rsidP="008529DC">
      <w:pPr>
        <w:pStyle w:val="ListParagraph"/>
        <w:numPr>
          <w:ilvl w:val="1"/>
          <w:numId w:val="21"/>
        </w:numPr>
        <w:ind w:hanging="720"/>
      </w:pPr>
      <w:r>
        <w:t xml:space="preserve">A follow-up report </w:t>
      </w:r>
      <w:r w:rsidR="00651D3B">
        <w:t xml:space="preserve">15 years after the issuance of </w:t>
      </w:r>
      <w:r w:rsidR="001C521A">
        <w:t xml:space="preserve">ECRI’s </w:t>
      </w:r>
      <w:r w:rsidR="00004DAE">
        <w:t>original recommendations</w:t>
      </w:r>
      <w:r w:rsidR="00DE6EE7">
        <w:t xml:space="preserve"> </w:t>
      </w:r>
      <w:r w:rsidR="00CB293A">
        <w:t>discussed</w:t>
      </w:r>
      <w:r w:rsidR="00FF07F1">
        <w:t xml:space="preserve"> the </w:t>
      </w:r>
      <w:r w:rsidR="00CB293A">
        <w:t>general trends of cyberhate</w:t>
      </w:r>
      <w:r w:rsidR="00456851">
        <w:t>, stating that victims were often a specific cultural</w:t>
      </w:r>
      <w:r w:rsidR="00C76091">
        <w:t xml:space="preserve"> group </w:t>
      </w:r>
      <w:r w:rsidR="00DD0E94">
        <w:t xml:space="preserve">in a country, like </w:t>
      </w:r>
      <w:r w:rsidR="00D87BC5">
        <w:t>the Islamic community in</w:t>
      </w:r>
      <w:r w:rsidR="00DD0E94">
        <w:t xml:space="preserve"> the UK</w:t>
      </w:r>
      <w:r w:rsidR="00510664">
        <w:t>.</w:t>
      </w:r>
      <w:r w:rsidR="00F47A67">
        <w:rPr>
          <w:rStyle w:val="FootnoteReference"/>
        </w:rPr>
        <w:footnoteReference w:id="54"/>
      </w:r>
    </w:p>
    <w:p w14:paraId="55737D3E" w14:textId="77777777" w:rsidR="00246BB9" w:rsidRPr="004B279B" w:rsidRDefault="00246BB9" w:rsidP="004B279B"/>
    <w:p w14:paraId="5AD43980" w14:textId="5A9CF35D" w:rsidR="00246BB9" w:rsidRPr="00246BB9" w:rsidRDefault="00246BB9" w:rsidP="007972F2">
      <w:pPr>
        <w:pStyle w:val="Heading3"/>
      </w:pPr>
      <w:bookmarkStart w:id="13" w:name="_Toc198115673"/>
      <w:r>
        <w:t>Council of Europe Commissioner for Human Rights</w:t>
      </w:r>
      <w:bookmarkEnd w:id="13"/>
    </w:p>
    <w:p w14:paraId="526602EF" w14:textId="68676324" w:rsidR="004C6DE0" w:rsidRDefault="00FC4FA6" w:rsidP="004F2B0A">
      <w:pPr>
        <w:pStyle w:val="ListParagraph"/>
        <w:numPr>
          <w:ilvl w:val="1"/>
          <w:numId w:val="21"/>
        </w:numPr>
        <w:ind w:hanging="720"/>
      </w:pPr>
      <w:r>
        <w:t xml:space="preserve">The </w:t>
      </w:r>
      <w:proofErr w:type="spellStart"/>
      <w:r w:rsidR="007F18F9">
        <w:t>CoE</w:t>
      </w:r>
      <w:proofErr w:type="spellEnd"/>
      <w:r w:rsidR="004B105D">
        <w:t xml:space="preserve"> Commissioner for Human Rights</w:t>
      </w:r>
      <w:r w:rsidR="00004DAE">
        <w:t>,</w:t>
      </w:r>
      <w:r w:rsidR="004B105D">
        <w:t xml:space="preserve"> Michael O’Flaherty</w:t>
      </w:r>
      <w:r w:rsidR="00004DAE">
        <w:t>,</w:t>
      </w:r>
      <w:r w:rsidR="004B105D">
        <w:t xml:space="preserve"> </w:t>
      </w:r>
      <w:r w:rsidR="00BB62F1">
        <w:t xml:space="preserve">has </w:t>
      </w:r>
      <w:r w:rsidR="00FB2068">
        <w:t xml:space="preserve">made a statement </w:t>
      </w:r>
      <w:r w:rsidR="00D65FA4">
        <w:t>regarding mis</w:t>
      </w:r>
      <w:r w:rsidR="001658AE">
        <w:t xml:space="preserve">information and </w:t>
      </w:r>
      <w:r w:rsidR="00D65FA4">
        <w:t xml:space="preserve">disinformation </w:t>
      </w:r>
      <w:r w:rsidR="00CE6670">
        <w:t>where he emphasi</w:t>
      </w:r>
      <w:r w:rsidR="00004DAE">
        <w:t>s</w:t>
      </w:r>
      <w:r w:rsidR="00CE6670">
        <w:t xml:space="preserve">ed </w:t>
      </w:r>
      <w:r w:rsidR="00043E14">
        <w:t>that “</w:t>
      </w:r>
      <w:r w:rsidR="00004DAE">
        <w:t>S</w:t>
      </w:r>
      <w:r w:rsidR="00D65FA4">
        <w:t>tate measures must remain grounded in international human rights norms to prevent overreach that could stifle legitimate expression</w:t>
      </w:r>
      <w:r w:rsidR="00B43508">
        <w:t>… transparency and accountability are the antidotes to both disinformation and overreach</w:t>
      </w:r>
      <w:r w:rsidR="00D629DE">
        <w:t>”</w:t>
      </w:r>
      <w:r w:rsidR="00B43508">
        <w:t>.</w:t>
      </w:r>
      <w:r w:rsidR="00B43508">
        <w:rPr>
          <w:rStyle w:val="FootnoteReference"/>
        </w:rPr>
        <w:footnoteReference w:id="55"/>
      </w:r>
    </w:p>
    <w:p w14:paraId="419681EF" w14:textId="77777777" w:rsidR="007972F2" w:rsidRPr="00EB6942" w:rsidRDefault="007972F2" w:rsidP="007972F2">
      <w:pPr>
        <w:pStyle w:val="ListParagraph"/>
      </w:pPr>
    </w:p>
    <w:p w14:paraId="75708454" w14:textId="7C61E193" w:rsidR="004F0C78" w:rsidRDefault="007972F2" w:rsidP="004F0C78">
      <w:pPr>
        <w:pStyle w:val="Heading1"/>
      </w:pPr>
      <w:bookmarkStart w:id="14" w:name="_Toc198115674"/>
      <w:r>
        <w:t>3.0</w:t>
      </w:r>
      <w:r>
        <w:tab/>
      </w:r>
      <w:r w:rsidR="004F0C78">
        <w:t xml:space="preserve"> </w:t>
      </w:r>
      <w:r w:rsidR="00AB5261">
        <w:t>Northern Ireland Context</w:t>
      </w:r>
      <w:bookmarkEnd w:id="14"/>
    </w:p>
    <w:p w14:paraId="4A4B4BBD" w14:textId="15E4612C" w:rsidR="006345C9" w:rsidRPr="004F0C78" w:rsidRDefault="004646DE" w:rsidP="004F0C78">
      <w:pPr>
        <w:pStyle w:val="Heading3"/>
      </w:pPr>
      <w:bookmarkStart w:id="15" w:name="_Toc198115675"/>
      <w:r w:rsidRPr="004F0C78">
        <w:t>Racial and Ethnic</w:t>
      </w:r>
      <w:r w:rsidR="006345C9" w:rsidRPr="004F0C78">
        <w:t xml:space="preserve"> Minority Rights</w:t>
      </w:r>
      <w:bookmarkEnd w:id="15"/>
    </w:p>
    <w:p w14:paraId="5212EED5" w14:textId="5685C2F0" w:rsidR="00AB6F0F" w:rsidRPr="00DF6B8B" w:rsidRDefault="00D777C0" w:rsidP="00DF6B8B">
      <w:pPr>
        <w:pStyle w:val="ListParagraph"/>
        <w:numPr>
          <w:ilvl w:val="0"/>
          <w:numId w:val="31"/>
        </w:numPr>
        <w:ind w:left="720" w:hanging="720"/>
      </w:pPr>
      <w:r w:rsidRPr="00DF6B8B">
        <w:t>The Race Relations Order (</w:t>
      </w:r>
      <w:r w:rsidR="00FC58CF">
        <w:t>NI</w:t>
      </w:r>
      <w:r w:rsidRPr="00DF6B8B">
        <w:t xml:space="preserve">) </w:t>
      </w:r>
      <w:r w:rsidR="00E633C0">
        <w:t xml:space="preserve">1997 </w:t>
      </w:r>
      <w:r w:rsidRPr="00DF6B8B">
        <w:t xml:space="preserve">was passed by </w:t>
      </w:r>
      <w:r w:rsidR="00E633C0">
        <w:t>the UK</w:t>
      </w:r>
      <w:r w:rsidR="00E633C0" w:rsidRPr="00DF6B8B">
        <w:t xml:space="preserve"> </w:t>
      </w:r>
      <w:r w:rsidRPr="00DF6B8B">
        <w:t>Parliament</w:t>
      </w:r>
      <w:r w:rsidR="00E633C0">
        <w:t xml:space="preserve">. </w:t>
      </w:r>
      <w:r w:rsidR="00106216">
        <w:t>The law across the UK was consistent until Great Britian legislated separately, causing a divergence in rights. T</w:t>
      </w:r>
      <w:r w:rsidR="00980131">
        <w:t>he Race Relations Order (</w:t>
      </w:r>
      <w:r w:rsidR="00FC58CF">
        <w:t>NI</w:t>
      </w:r>
      <w:r w:rsidR="00980131">
        <w:t xml:space="preserve">) 1997 </w:t>
      </w:r>
      <w:r w:rsidR="00413713">
        <w:t xml:space="preserve">offers </w:t>
      </w:r>
      <w:r w:rsidR="00846A40">
        <w:t xml:space="preserve">“less protection against discrimination </w:t>
      </w:r>
      <w:r w:rsidR="00335DC6">
        <w:t>and harassment on grounds of colour and nationality… direct discrimination, vict</w:t>
      </w:r>
      <w:r w:rsidR="00F863AB">
        <w:t>imisation and harassment on grounds of race”</w:t>
      </w:r>
      <w:r w:rsidR="00053B12" w:rsidRPr="6736F212">
        <w:t>.</w:t>
      </w:r>
      <w:r w:rsidR="00F863AB">
        <w:rPr>
          <w:rStyle w:val="FootnoteReference"/>
        </w:rPr>
        <w:footnoteReference w:id="56"/>
      </w:r>
      <w:r w:rsidR="00980131">
        <w:t xml:space="preserve"> </w:t>
      </w:r>
      <w:r w:rsidR="00CB658E">
        <w:t xml:space="preserve">This </w:t>
      </w:r>
      <w:r w:rsidR="00106216">
        <w:t>has been exacerbated in</w:t>
      </w:r>
      <w:r w:rsidR="00CF784E">
        <w:t xml:space="preserve"> NI</w:t>
      </w:r>
      <w:r w:rsidR="3E00A026">
        <w:t xml:space="preserve"> due to</w:t>
      </w:r>
      <w:r w:rsidR="00CB469B">
        <w:t xml:space="preserve"> </w:t>
      </w:r>
      <w:r w:rsidR="00106216">
        <w:t xml:space="preserve">a </w:t>
      </w:r>
      <w:r w:rsidR="00426DA9">
        <w:t>piecemeal approach to equality law</w:t>
      </w:r>
      <w:r w:rsidR="00F36C6C">
        <w:t>.</w:t>
      </w:r>
      <w:r w:rsidR="00F36C6C">
        <w:rPr>
          <w:rStyle w:val="FootnoteReference"/>
        </w:rPr>
        <w:footnoteReference w:id="57"/>
      </w:r>
      <w:r w:rsidR="00426DA9">
        <w:t xml:space="preserve"> </w:t>
      </w:r>
      <w:r w:rsidR="00106216">
        <w:t xml:space="preserve">By way of example, </w:t>
      </w:r>
      <w:r w:rsidR="00572265">
        <w:t>i</w:t>
      </w:r>
      <w:r w:rsidR="00FF260E" w:rsidRPr="6736F212">
        <w:t xml:space="preserve">n Great Britain, there </w:t>
      </w:r>
      <w:r w:rsidR="00106216">
        <w:t xml:space="preserve">is a single equality act (the Equality Act </w:t>
      </w:r>
      <w:r w:rsidR="00106216">
        <w:lastRenderedPageBreak/>
        <w:t xml:space="preserve">2010), which has </w:t>
      </w:r>
      <w:r w:rsidR="004D7546" w:rsidRPr="00DF6B8B">
        <w:t>consolidate</w:t>
      </w:r>
      <w:r w:rsidR="00106216">
        <w:t>d, clarified and enhanced</w:t>
      </w:r>
      <w:r w:rsidR="004D7546" w:rsidRPr="00DF6B8B">
        <w:t xml:space="preserve"> equality </w:t>
      </w:r>
      <w:r w:rsidR="000F5E2B" w:rsidRPr="00DF6B8B">
        <w:t xml:space="preserve">protections in </w:t>
      </w:r>
      <w:r w:rsidR="00106216">
        <w:t>G</w:t>
      </w:r>
      <w:r w:rsidR="00572265">
        <w:t xml:space="preserve">reat </w:t>
      </w:r>
      <w:r w:rsidR="00106216">
        <w:t>B</w:t>
      </w:r>
      <w:r w:rsidR="00572265">
        <w:t>ritain</w:t>
      </w:r>
      <w:r w:rsidR="0032532C">
        <w:t>.</w:t>
      </w:r>
      <w:r w:rsidR="00106216">
        <w:t xml:space="preserve"> NI has not benefitted from such </w:t>
      </w:r>
      <w:r w:rsidR="000D77CD">
        <w:t>consolidation and enhancement</w:t>
      </w:r>
      <w:r w:rsidR="00106216">
        <w:t>.</w:t>
      </w:r>
      <w:r w:rsidR="000F5E2B">
        <w:rPr>
          <w:rStyle w:val="FootnoteReference"/>
        </w:rPr>
        <w:footnoteReference w:id="58"/>
      </w:r>
      <w:r w:rsidR="000D0021">
        <w:t xml:space="preserve"> </w:t>
      </w:r>
    </w:p>
    <w:p w14:paraId="4FD68121" w14:textId="77777777" w:rsidR="009E4ECA" w:rsidRPr="009E4ECA" w:rsidRDefault="009E4ECA" w:rsidP="009E4ECA">
      <w:pPr>
        <w:pStyle w:val="ListParagraph"/>
      </w:pPr>
    </w:p>
    <w:p w14:paraId="47ACEB95" w14:textId="05C346D9" w:rsidR="009E4ECA" w:rsidRDefault="000D77CD" w:rsidP="00AB6F0F">
      <w:pPr>
        <w:pStyle w:val="ListParagraph"/>
        <w:numPr>
          <w:ilvl w:val="0"/>
          <w:numId w:val="31"/>
        </w:numPr>
        <w:ind w:left="720" w:hanging="720"/>
      </w:pPr>
      <w:r>
        <w:t>T</w:t>
      </w:r>
      <w:r w:rsidRPr="6736F212">
        <w:t>h</w:t>
      </w:r>
      <w:r>
        <w:t>e</w:t>
      </w:r>
      <w:r w:rsidR="00477B5E">
        <w:t xml:space="preserve"> </w:t>
      </w:r>
      <w:r w:rsidR="00FC58CF">
        <w:t>NI</w:t>
      </w:r>
      <w:r w:rsidR="00477B5E">
        <w:t xml:space="preserve"> Affairs Committee reported in 2022 that “</w:t>
      </w:r>
      <w:r w:rsidR="00FC58CF">
        <w:t>NI</w:t>
      </w:r>
      <w:r w:rsidR="00477B5E">
        <w:t xml:space="preserve"> has struggled to make policy and deliver services to minority ethnic and migrant communities</w:t>
      </w:r>
      <w:r w:rsidR="00932CFC">
        <w:t>,</w:t>
      </w:r>
      <w:r w:rsidR="00477B5E">
        <w:t xml:space="preserve">” </w:t>
      </w:r>
      <w:r w:rsidR="00932CFC">
        <w:t xml:space="preserve">which </w:t>
      </w:r>
      <w:r w:rsidR="00106216">
        <w:t xml:space="preserve">they attributed </w:t>
      </w:r>
      <w:r w:rsidR="00CB10EC">
        <w:t xml:space="preserve">partially to </w:t>
      </w:r>
      <w:r w:rsidR="001A574B">
        <w:t xml:space="preserve">a </w:t>
      </w:r>
      <w:r w:rsidR="00A05868">
        <w:t>visible</w:t>
      </w:r>
      <w:r w:rsidR="001A574B">
        <w:t xml:space="preserve"> lack of </w:t>
      </w:r>
      <w:r w:rsidR="00CE0924">
        <w:t>racial</w:t>
      </w:r>
      <w:r w:rsidR="00B90517">
        <w:t xml:space="preserve"> and </w:t>
      </w:r>
      <w:r w:rsidR="00CE0924">
        <w:t xml:space="preserve">ethnic </w:t>
      </w:r>
      <w:r w:rsidR="00A05868">
        <w:t xml:space="preserve">minority </w:t>
      </w:r>
      <w:r w:rsidR="001A574B">
        <w:t xml:space="preserve">representation </w:t>
      </w:r>
      <w:r w:rsidR="00A05868">
        <w:t>in public life</w:t>
      </w:r>
      <w:r w:rsidR="00AC53C1">
        <w:t>.</w:t>
      </w:r>
      <w:r w:rsidR="00C65CB2">
        <w:rPr>
          <w:rStyle w:val="FootnoteReference"/>
        </w:rPr>
        <w:footnoteReference w:id="59"/>
      </w:r>
      <w:r w:rsidR="00AC53C1">
        <w:t xml:space="preserve"> </w:t>
      </w:r>
      <w:r w:rsidR="00086997">
        <w:t xml:space="preserve">The </w:t>
      </w:r>
      <w:r w:rsidR="00FC58CF">
        <w:t>NI</w:t>
      </w:r>
      <w:r w:rsidR="00086997">
        <w:t xml:space="preserve"> Affairs Committee also noted that </w:t>
      </w:r>
      <w:r w:rsidR="00A21888">
        <w:t>the NI Executive ha</w:t>
      </w:r>
      <w:r w:rsidR="00106216">
        <w:t>d</w:t>
      </w:r>
      <w:r w:rsidR="00A21888">
        <w:t xml:space="preserve"> not </w:t>
      </w:r>
      <w:r w:rsidR="000C38B1">
        <w:t xml:space="preserve">realised </w:t>
      </w:r>
      <w:r w:rsidR="00E420E5">
        <w:t xml:space="preserve">a number of actions </w:t>
      </w:r>
      <w:r w:rsidR="00BD00D1">
        <w:t xml:space="preserve">from </w:t>
      </w:r>
      <w:r w:rsidR="00106216">
        <w:t xml:space="preserve">its </w:t>
      </w:r>
      <w:r w:rsidR="00BD00D1">
        <w:t>two racial equality strategies</w:t>
      </w:r>
      <w:r w:rsidR="00AC175A">
        <w:t>,</w:t>
      </w:r>
      <w:r w:rsidR="00A17AB4">
        <w:rPr>
          <w:rStyle w:val="FootnoteReference"/>
        </w:rPr>
        <w:footnoteReference w:id="60"/>
      </w:r>
      <w:r w:rsidR="008D29A6">
        <w:t xml:space="preserve"> such as </w:t>
      </w:r>
      <w:r w:rsidR="003979CC">
        <w:t>implemen</w:t>
      </w:r>
      <w:r w:rsidR="008D29A6">
        <w:t>tation of</w:t>
      </w:r>
      <w:r w:rsidR="003979CC">
        <w:t xml:space="preserve"> </w:t>
      </w:r>
      <w:r w:rsidR="00D747BC">
        <w:t>ethnic monitoring</w:t>
      </w:r>
      <w:r w:rsidR="006E3FCA">
        <w:t xml:space="preserve"> </w:t>
      </w:r>
      <w:r w:rsidR="008D29A6">
        <w:t xml:space="preserve">or </w:t>
      </w:r>
      <w:r w:rsidR="006E3FCA">
        <w:t>updat</w:t>
      </w:r>
      <w:r w:rsidR="003979CC">
        <w:t>ing</w:t>
      </w:r>
      <w:r w:rsidR="006E3FCA">
        <w:t xml:space="preserve"> anti-discrimination and hate crime legislation.</w:t>
      </w:r>
      <w:r w:rsidR="0093487B">
        <w:rPr>
          <w:rStyle w:val="FootnoteReference"/>
        </w:rPr>
        <w:footnoteReference w:id="61"/>
      </w:r>
    </w:p>
    <w:p w14:paraId="65E8B8B7" w14:textId="77777777" w:rsidR="00572265" w:rsidRPr="00572265" w:rsidRDefault="00572265" w:rsidP="00572265">
      <w:pPr>
        <w:pStyle w:val="ListParagraph"/>
      </w:pPr>
    </w:p>
    <w:p w14:paraId="6DA82036" w14:textId="6FFAF052" w:rsidR="00572265" w:rsidRPr="00AB6F0F" w:rsidRDefault="00572265" w:rsidP="00AB6F0F">
      <w:pPr>
        <w:pStyle w:val="ListParagraph"/>
        <w:numPr>
          <w:ilvl w:val="0"/>
          <w:numId w:val="31"/>
        </w:numPr>
        <w:ind w:left="720" w:hanging="720"/>
      </w:pPr>
      <w:r>
        <w:t>State support for racial</w:t>
      </w:r>
      <w:r w:rsidR="004646DE">
        <w:t xml:space="preserve"> and ethnic</w:t>
      </w:r>
      <w:r>
        <w:t xml:space="preserve"> minority communities, such as language classes and </w:t>
      </w:r>
      <w:r w:rsidRPr="2DE6BD8C">
        <w:t xml:space="preserve">interpretation </w:t>
      </w:r>
      <w:r>
        <w:t xml:space="preserve">services, have also often been </w:t>
      </w:r>
      <w:r w:rsidRPr="2DE6BD8C">
        <w:t xml:space="preserve">found to be </w:t>
      </w:r>
      <w:r>
        <w:t>inadequate.</w:t>
      </w:r>
      <w:r>
        <w:rPr>
          <w:rStyle w:val="FootnoteReference"/>
        </w:rPr>
        <w:footnoteReference w:id="62"/>
      </w:r>
      <w:r w:rsidRPr="2DE6BD8C">
        <w:t xml:space="preserve"> </w:t>
      </w:r>
      <w:r w:rsidR="0081112B">
        <w:t xml:space="preserve">Such support can be crucial to empower </w:t>
      </w:r>
      <w:r w:rsidR="00D453B1">
        <w:t xml:space="preserve">and assist </w:t>
      </w:r>
      <w:r w:rsidR="004646DE">
        <w:t xml:space="preserve">racial and ethnic </w:t>
      </w:r>
      <w:r w:rsidR="00D453B1">
        <w:t>minority communities to report and challenge misinformation and disinformation.</w:t>
      </w:r>
    </w:p>
    <w:p w14:paraId="4BCEE12C" w14:textId="77777777" w:rsidR="004F6A9B" w:rsidRDefault="004F6A9B" w:rsidP="004F6A9B">
      <w:pPr>
        <w:pStyle w:val="ListParagraph"/>
      </w:pPr>
    </w:p>
    <w:p w14:paraId="3209A186" w14:textId="7A9096E2" w:rsidR="006345C9" w:rsidRPr="007972F2" w:rsidRDefault="006345C9" w:rsidP="007972F2">
      <w:pPr>
        <w:pStyle w:val="Heading3"/>
      </w:pPr>
      <w:bookmarkStart w:id="16" w:name="_Toc198115676"/>
      <w:r>
        <w:t>Online Mis</w:t>
      </w:r>
      <w:r w:rsidR="001658AE">
        <w:t xml:space="preserve">information and </w:t>
      </w:r>
      <w:r>
        <w:t>Disinformation</w:t>
      </w:r>
      <w:bookmarkEnd w:id="16"/>
    </w:p>
    <w:p w14:paraId="76C94D1A" w14:textId="299659B0" w:rsidR="00760376" w:rsidRDefault="008D29A6" w:rsidP="00760376">
      <w:pPr>
        <w:pStyle w:val="ListParagraph"/>
        <w:numPr>
          <w:ilvl w:val="0"/>
          <w:numId w:val="31"/>
        </w:numPr>
        <w:ind w:left="720" w:hanging="720"/>
      </w:pPr>
      <w:r>
        <w:t>It has been suggested, r</w:t>
      </w:r>
      <w:r w:rsidR="00AF5882">
        <w:t>egarding</w:t>
      </w:r>
      <w:r w:rsidR="006345C9">
        <w:t xml:space="preserve"> mi</w:t>
      </w:r>
      <w:r w:rsidR="001658AE">
        <w:t xml:space="preserve">sinformation and </w:t>
      </w:r>
      <w:r w:rsidR="006345C9">
        <w:t xml:space="preserve">disinformation, </w:t>
      </w:r>
      <w:r>
        <w:t xml:space="preserve">that </w:t>
      </w:r>
      <w:r w:rsidR="006345C9">
        <w:t>t</w:t>
      </w:r>
      <w:r w:rsidR="00D554FB">
        <w:t xml:space="preserve">he rise of the </w:t>
      </w:r>
      <w:r w:rsidR="00477F79">
        <w:t xml:space="preserve">internet </w:t>
      </w:r>
      <w:r w:rsidR="006F7F10">
        <w:t xml:space="preserve">with </w:t>
      </w:r>
      <w:r w:rsidR="00524955">
        <w:t xml:space="preserve">user-generated content </w:t>
      </w:r>
      <w:r>
        <w:t xml:space="preserve">has </w:t>
      </w:r>
      <w:r w:rsidR="00B769B7">
        <w:t xml:space="preserve">undermined public confidence in </w:t>
      </w:r>
      <w:r w:rsidR="00410890">
        <w:t xml:space="preserve">a post-conflict </w:t>
      </w:r>
      <w:r w:rsidR="004A7F43">
        <w:t>NI</w:t>
      </w:r>
      <w:r w:rsidR="009819CD">
        <w:t>.</w:t>
      </w:r>
      <w:r w:rsidR="009819CD">
        <w:rPr>
          <w:rStyle w:val="FootnoteReference"/>
        </w:rPr>
        <w:footnoteReference w:id="63"/>
      </w:r>
      <w:r w:rsidR="008D4726">
        <w:t xml:space="preserve"> </w:t>
      </w:r>
      <w:r>
        <w:t>For example, it was found that t</w:t>
      </w:r>
      <w:r w:rsidR="00E5347F">
        <w:t xml:space="preserve">he 2000s and 2010s saw </w:t>
      </w:r>
      <w:r>
        <w:t xml:space="preserve">inflammation of sectarian tension by misinformation and </w:t>
      </w:r>
      <w:r w:rsidR="00DD0AB3">
        <w:lastRenderedPageBreak/>
        <w:t xml:space="preserve">disinformation </w:t>
      </w:r>
      <w:r w:rsidR="00395331">
        <w:t xml:space="preserve">on </w:t>
      </w:r>
      <w:r w:rsidR="00F610DE">
        <w:t xml:space="preserve">platforms like </w:t>
      </w:r>
      <w:r w:rsidR="006C7EDD">
        <w:t>Facebook and Twitter (now X).</w:t>
      </w:r>
      <w:r w:rsidR="006C7EDD">
        <w:rPr>
          <w:rStyle w:val="FootnoteReference"/>
        </w:rPr>
        <w:footnoteReference w:id="64"/>
      </w:r>
      <w:r w:rsidR="00DD0AB3">
        <w:t xml:space="preserve"> </w:t>
      </w:r>
    </w:p>
    <w:p w14:paraId="4A063448" w14:textId="77777777" w:rsidR="001C175F" w:rsidRPr="001C175F" w:rsidRDefault="001C175F" w:rsidP="001C175F">
      <w:pPr>
        <w:pStyle w:val="ListParagraph"/>
      </w:pPr>
    </w:p>
    <w:p w14:paraId="48894529" w14:textId="700B59A3" w:rsidR="0034207E" w:rsidRDefault="00514A53" w:rsidP="00D76601">
      <w:pPr>
        <w:pStyle w:val="ListParagraph"/>
        <w:numPr>
          <w:ilvl w:val="0"/>
          <w:numId w:val="31"/>
        </w:numPr>
        <w:ind w:left="720" w:hanging="720"/>
      </w:pPr>
      <w:r w:rsidRPr="00DA247C">
        <w:t xml:space="preserve">In early August 2024, </w:t>
      </w:r>
      <w:r w:rsidR="008D29A6">
        <w:t xml:space="preserve">so-called </w:t>
      </w:r>
      <w:r w:rsidR="00AC53BD" w:rsidRPr="00DA247C">
        <w:t xml:space="preserve">anti-immigration </w:t>
      </w:r>
      <w:r w:rsidR="006758F6" w:rsidRPr="00DA247C">
        <w:t>protests took place in Belfast</w:t>
      </w:r>
      <w:r w:rsidR="00A55CEC" w:rsidRPr="00DA247C">
        <w:t xml:space="preserve"> </w:t>
      </w:r>
      <w:r w:rsidR="00AC53BD" w:rsidRPr="00DA247C">
        <w:t xml:space="preserve">after </w:t>
      </w:r>
      <w:r w:rsidR="00F233F5" w:rsidRPr="00DA247C">
        <w:t xml:space="preserve">misinformation </w:t>
      </w:r>
      <w:r w:rsidR="008D29A6">
        <w:t xml:space="preserve">and disinformation </w:t>
      </w:r>
      <w:r w:rsidR="00462EAA" w:rsidRPr="00DA247C">
        <w:t xml:space="preserve">was </w:t>
      </w:r>
      <w:r w:rsidR="008D29A6">
        <w:t>disseminated</w:t>
      </w:r>
      <w:r w:rsidR="008D29A6" w:rsidRPr="00DA247C">
        <w:t xml:space="preserve"> </w:t>
      </w:r>
      <w:r w:rsidR="00462EAA" w:rsidRPr="00DA247C">
        <w:t xml:space="preserve">about the identity of a murder suspect </w:t>
      </w:r>
      <w:r w:rsidR="00BB3FE0" w:rsidRPr="00DA247C">
        <w:t xml:space="preserve">in Southport, England. </w:t>
      </w:r>
      <w:r w:rsidR="008D29A6">
        <w:t xml:space="preserve">This inflamed already heightened tension when it was </w:t>
      </w:r>
      <w:r w:rsidR="000D77CD">
        <w:t>claimed</w:t>
      </w:r>
      <w:r w:rsidR="008D29A6">
        <w:t xml:space="preserve"> that the suspect was an</w:t>
      </w:r>
      <w:r w:rsidR="00133F38">
        <w:t xml:space="preserve"> individual seeking asylum</w:t>
      </w:r>
      <w:r w:rsidR="00343765" w:rsidRPr="00DA247C">
        <w:t xml:space="preserve"> who had </w:t>
      </w:r>
      <w:r w:rsidR="00542443" w:rsidRPr="00DA247C">
        <w:t xml:space="preserve">entered the UK </w:t>
      </w:r>
      <w:r w:rsidR="00DA247C" w:rsidRPr="00DA247C">
        <w:t>o</w:t>
      </w:r>
      <w:r w:rsidR="00542443" w:rsidRPr="00DA247C">
        <w:t>n a boat</w:t>
      </w:r>
      <w:r w:rsidR="00133F38">
        <w:t>.</w:t>
      </w:r>
      <w:r w:rsidR="00F01BA7">
        <w:rPr>
          <w:rStyle w:val="FootnoteReference"/>
        </w:rPr>
        <w:footnoteReference w:id="65"/>
      </w:r>
      <w:r w:rsidR="00B34002" w:rsidRPr="00DA247C">
        <w:t xml:space="preserve"> </w:t>
      </w:r>
      <w:r w:rsidR="00133F38">
        <w:t>T</w:t>
      </w:r>
      <w:r w:rsidR="00B34002" w:rsidRPr="00DA247C">
        <w:t xml:space="preserve">his was not true, but nonetheless it was </w:t>
      </w:r>
      <w:r w:rsidR="008D29A6">
        <w:t>repeated</w:t>
      </w:r>
      <w:r w:rsidR="008D29A6" w:rsidRPr="00DA247C">
        <w:t xml:space="preserve"> </w:t>
      </w:r>
      <w:r w:rsidR="00B34002" w:rsidRPr="00DA247C">
        <w:t xml:space="preserve">on </w:t>
      </w:r>
      <w:r w:rsidR="008D29A6">
        <w:t xml:space="preserve">platforms with some groups appearing to deliberately </w:t>
      </w:r>
      <w:r w:rsidR="008365AA">
        <w:t>provoke</w:t>
      </w:r>
      <w:r w:rsidR="008D29A6">
        <w:t xml:space="preserve"> tension.</w:t>
      </w:r>
      <w:r w:rsidR="00842A74">
        <w:rPr>
          <w:rStyle w:val="FootnoteReference"/>
        </w:rPr>
        <w:footnoteReference w:id="66"/>
      </w:r>
      <w:r w:rsidR="00EC1A91">
        <w:t xml:space="preserve"> </w:t>
      </w:r>
      <w:r w:rsidR="62FB04C9">
        <w:t>Tensions were</w:t>
      </w:r>
      <w:r w:rsidR="008D29A6">
        <w:t xml:space="preserve"> exacerbated  </w:t>
      </w:r>
      <w:r w:rsidR="03780160">
        <w:t xml:space="preserve">by </w:t>
      </w:r>
      <w:r w:rsidR="008D29A6">
        <w:t xml:space="preserve">local </w:t>
      </w:r>
      <w:r w:rsidR="001A04E7">
        <w:t xml:space="preserve">commentators </w:t>
      </w:r>
      <w:r w:rsidR="00AC00EF">
        <w:t xml:space="preserve">claiming </w:t>
      </w:r>
      <w:r w:rsidR="008D29A6">
        <w:t>there w</w:t>
      </w:r>
      <w:r w:rsidR="1D65802A">
        <w:t xml:space="preserve">ere attempts </w:t>
      </w:r>
      <w:r w:rsidR="63C0F76F">
        <w:t>to</w:t>
      </w:r>
      <w:r w:rsidR="008D29A6">
        <w:t xml:space="preserve"> cover-up the truth.</w:t>
      </w:r>
      <w:r w:rsidR="0099735F">
        <w:rPr>
          <w:rStyle w:val="FootnoteReference"/>
        </w:rPr>
        <w:footnoteReference w:id="67"/>
      </w:r>
      <w:r w:rsidR="008D29A6">
        <w:t xml:space="preserve"> Such claims undermined (and appear to have been intended to undermine) the legitimacy of the agencies tasked to protect public safety. The combination of an escalation in tension, the inflammation of racial divide and the undermining of the security services makes an already </w:t>
      </w:r>
      <w:r w:rsidR="000D77CD">
        <w:t>tricky situation</w:t>
      </w:r>
      <w:r w:rsidR="008D29A6">
        <w:t xml:space="preserve"> more difficult to counteract. </w:t>
      </w:r>
    </w:p>
    <w:p w14:paraId="3C6CA864" w14:textId="77777777" w:rsidR="00DA247C" w:rsidRPr="00DA247C" w:rsidRDefault="00DA247C" w:rsidP="00DA247C"/>
    <w:p w14:paraId="38758545" w14:textId="0193BE31" w:rsidR="006C0947" w:rsidRDefault="00BC4F63">
      <w:pPr>
        <w:pStyle w:val="ListParagraph"/>
        <w:numPr>
          <w:ilvl w:val="0"/>
          <w:numId w:val="31"/>
        </w:numPr>
        <w:ind w:left="720" w:hanging="720"/>
        <w:rPr>
          <w:szCs w:val="28"/>
        </w:rPr>
      </w:pPr>
      <w:r>
        <w:t xml:space="preserve">The UK </w:t>
      </w:r>
      <w:r w:rsidR="00E5772A">
        <w:t xml:space="preserve">is in the process of implementing </w:t>
      </w:r>
      <w:r w:rsidR="00356BDA">
        <w:t xml:space="preserve">the Online </w:t>
      </w:r>
      <w:r w:rsidR="00F47BB0">
        <w:t>Safety Act</w:t>
      </w:r>
      <w:r w:rsidR="00EC7368">
        <w:t xml:space="preserve"> </w:t>
      </w:r>
      <w:r w:rsidR="00E547D7">
        <w:t>2023</w:t>
      </w:r>
      <w:r w:rsidR="00F47BB0">
        <w:t>, wh</w:t>
      </w:r>
      <w:r w:rsidR="00FE07D5">
        <w:t xml:space="preserve">ich extends </w:t>
      </w:r>
      <w:r w:rsidR="00E61C2B">
        <w:t xml:space="preserve">to </w:t>
      </w:r>
      <w:r w:rsidR="00FC58CF">
        <w:t>NI</w:t>
      </w:r>
      <w:r w:rsidR="00E03C08">
        <w:t>. The 2023 Act</w:t>
      </w:r>
      <w:r w:rsidR="00EA6505">
        <w:t xml:space="preserve"> is meant to create a regulatory framework for the internet </w:t>
      </w:r>
      <w:r w:rsidR="006D109D">
        <w:t>in the UK</w:t>
      </w:r>
      <w:r w:rsidR="00201263">
        <w:t>.</w:t>
      </w:r>
      <w:r w:rsidR="006D109D">
        <w:rPr>
          <w:rStyle w:val="FootnoteReference"/>
        </w:rPr>
        <w:footnoteReference w:id="68"/>
      </w:r>
      <w:r w:rsidR="00201263">
        <w:t xml:space="preserve"> </w:t>
      </w:r>
      <w:r w:rsidR="003D0C4E">
        <w:t>The</w:t>
      </w:r>
      <w:r w:rsidR="00EC7368">
        <w:t xml:space="preserve"> </w:t>
      </w:r>
      <w:r w:rsidR="00E547D7">
        <w:t>202</w:t>
      </w:r>
      <w:r w:rsidR="003C52CC">
        <w:t>3 Act</w:t>
      </w:r>
      <w:r w:rsidR="0031471F">
        <w:t xml:space="preserve"> </w:t>
      </w:r>
      <w:r w:rsidR="00EC7368">
        <w:t xml:space="preserve">has </w:t>
      </w:r>
      <w:r w:rsidR="00221186">
        <w:t>created new criminal offen</w:t>
      </w:r>
      <w:r w:rsidR="00E03C08">
        <w:t>c</w:t>
      </w:r>
      <w:r w:rsidR="00221186">
        <w:t>es</w:t>
      </w:r>
      <w:r w:rsidR="00B85E89">
        <w:t xml:space="preserve">, </w:t>
      </w:r>
      <w:r w:rsidR="004C2EE2">
        <w:t>including</w:t>
      </w:r>
      <w:r w:rsidR="00D30057">
        <w:t xml:space="preserve"> a summary offen</w:t>
      </w:r>
      <w:r w:rsidR="00E03C08">
        <w:t>c</w:t>
      </w:r>
      <w:r w:rsidR="00D30057">
        <w:t>e</w:t>
      </w:r>
      <w:r w:rsidR="00B31E63">
        <w:t xml:space="preserve"> of</w:t>
      </w:r>
      <w:r w:rsidR="000F03A5">
        <w:t xml:space="preserve"> </w:t>
      </w:r>
      <w:r w:rsidR="004C2EE2">
        <w:t>“</w:t>
      </w:r>
      <w:r w:rsidR="00A445F8">
        <w:t>sending false communications</w:t>
      </w:r>
      <w:r w:rsidR="004C2EE2">
        <w:t>”</w:t>
      </w:r>
      <w:r w:rsidR="00A03072">
        <w:rPr>
          <w:rStyle w:val="FootnoteReference"/>
        </w:rPr>
        <w:footnoteReference w:id="69"/>
      </w:r>
      <w:r w:rsidR="00B351F5">
        <w:t xml:space="preserve"> and </w:t>
      </w:r>
      <w:r w:rsidR="004C2EE2">
        <w:t>“</w:t>
      </w:r>
      <w:r w:rsidR="00B351F5">
        <w:t>sending threatening communications</w:t>
      </w:r>
      <w:r w:rsidR="004C2EE2">
        <w:t>”</w:t>
      </w:r>
      <w:r w:rsidR="00EC1A91">
        <w:t>.</w:t>
      </w:r>
      <w:r w:rsidR="000B6605">
        <w:rPr>
          <w:rStyle w:val="FootnoteReference"/>
        </w:rPr>
        <w:footnoteReference w:id="70"/>
      </w:r>
      <w:r w:rsidR="003D0C4E">
        <w:t xml:space="preserve"> </w:t>
      </w:r>
      <w:r w:rsidR="003C52CC">
        <w:t>The 2023 Act</w:t>
      </w:r>
      <w:r w:rsidR="003D0C4E">
        <w:t xml:space="preserve"> </w:t>
      </w:r>
      <w:r w:rsidR="00D92CAC">
        <w:t xml:space="preserve">requires </w:t>
      </w:r>
      <w:r w:rsidR="669C85F3">
        <w:t xml:space="preserve">the </w:t>
      </w:r>
      <w:r w:rsidR="00952440">
        <w:t>O</w:t>
      </w:r>
      <w:r w:rsidR="00C71880">
        <w:t>ffice of Communications</w:t>
      </w:r>
      <w:r w:rsidR="00952440">
        <w:t xml:space="preserve"> to </w:t>
      </w:r>
      <w:r w:rsidR="46008B3D">
        <w:t>establish</w:t>
      </w:r>
      <w:r w:rsidR="00952440">
        <w:t xml:space="preserve"> an advisory board specifically for </w:t>
      </w:r>
      <w:r w:rsidR="75C2A41C">
        <w:t>advising the</w:t>
      </w:r>
      <w:r w:rsidR="00D175A2">
        <w:t xml:space="preserve"> </w:t>
      </w:r>
      <w:r w:rsidR="00C71880">
        <w:t>Office of Communications</w:t>
      </w:r>
      <w:r w:rsidR="00D175A2">
        <w:t xml:space="preserve"> and the UK </w:t>
      </w:r>
      <w:r w:rsidR="00E03C08">
        <w:t>G</w:t>
      </w:r>
      <w:r w:rsidR="00D175A2">
        <w:t xml:space="preserve">overnment </w:t>
      </w:r>
      <w:r w:rsidR="16C4F7B1">
        <w:lastRenderedPageBreak/>
        <w:t xml:space="preserve">on how to address </w:t>
      </w:r>
      <w:r w:rsidR="00D175A2">
        <w:t>online</w:t>
      </w:r>
      <w:r w:rsidR="008941AE">
        <w:t xml:space="preserve"> </w:t>
      </w:r>
      <w:r w:rsidR="00D175A2">
        <w:t>mis</w:t>
      </w:r>
      <w:r w:rsidR="001658AE">
        <w:t xml:space="preserve">information and </w:t>
      </w:r>
      <w:r w:rsidR="00D175A2">
        <w:t>disinformation.</w:t>
      </w:r>
      <w:r w:rsidR="00CA4375">
        <w:rPr>
          <w:rStyle w:val="FootnoteReference"/>
        </w:rPr>
        <w:footnoteReference w:id="71"/>
      </w:r>
      <w:r w:rsidR="00D175A2">
        <w:t xml:space="preserve"> </w:t>
      </w:r>
      <w:r w:rsidR="00BA2DD6">
        <w:t xml:space="preserve">However, the </w:t>
      </w:r>
      <w:r w:rsidR="003C52CC">
        <w:t xml:space="preserve">2023 Act </w:t>
      </w:r>
      <w:r w:rsidR="00BA2DD6">
        <w:t>does not directly address online mis</w:t>
      </w:r>
      <w:r w:rsidR="001658AE">
        <w:t xml:space="preserve">information and </w:t>
      </w:r>
      <w:r w:rsidR="00BA2DD6">
        <w:t>disinformation</w:t>
      </w:r>
      <w:r w:rsidR="00DB4394">
        <w:t>.</w:t>
      </w:r>
      <w:r w:rsidR="00DB4394">
        <w:rPr>
          <w:rStyle w:val="FootnoteReference"/>
        </w:rPr>
        <w:footnoteReference w:id="72"/>
      </w:r>
    </w:p>
    <w:p w14:paraId="7C0BA602" w14:textId="77777777" w:rsidR="0093016D" w:rsidRDefault="0093016D" w:rsidP="003F04BA"/>
    <w:p w14:paraId="60BBD030" w14:textId="505FF558" w:rsidR="00771684" w:rsidRPr="00771684" w:rsidRDefault="00771684" w:rsidP="00AC7952">
      <w:pPr>
        <w:pStyle w:val="ListParagraph"/>
        <w:numPr>
          <w:ilvl w:val="0"/>
          <w:numId w:val="31"/>
        </w:numPr>
        <w:ind w:left="720" w:hanging="720"/>
      </w:pPr>
      <w:r>
        <w:t xml:space="preserve">Since the </w:t>
      </w:r>
      <w:r w:rsidR="00D92CAC">
        <w:t xml:space="preserve">so-called </w:t>
      </w:r>
      <w:r>
        <w:t xml:space="preserve">protests </w:t>
      </w:r>
      <w:r w:rsidR="00D92CAC">
        <w:t xml:space="preserve">in </w:t>
      </w:r>
      <w:r>
        <w:t xml:space="preserve">August 2024, </w:t>
      </w:r>
      <w:r w:rsidR="00D92CAC">
        <w:t xml:space="preserve">much of which manifested as racist and </w:t>
      </w:r>
      <w:r w:rsidR="000D77CD">
        <w:t>Islamophobic</w:t>
      </w:r>
      <w:r w:rsidR="00D92CAC">
        <w:t xml:space="preserve"> violence, </w:t>
      </w:r>
      <w:r>
        <w:t xml:space="preserve">an inquiry has been opened by the </w:t>
      </w:r>
      <w:r w:rsidR="004F5105">
        <w:t xml:space="preserve">House of Commons </w:t>
      </w:r>
      <w:r w:rsidR="002264F8">
        <w:t xml:space="preserve">Committee of </w:t>
      </w:r>
      <w:r>
        <w:t xml:space="preserve">Science, Innovation and Technology. The purpose of the inquiry is to examine the effectiveness of current and proposed regulations (like the </w:t>
      </w:r>
      <w:r w:rsidR="004F5105">
        <w:t>2023 Act</w:t>
      </w:r>
      <w:r>
        <w:t>) and evaluate what future measures are needed.</w:t>
      </w:r>
      <w:r>
        <w:rPr>
          <w:rStyle w:val="FootnoteReference"/>
        </w:rPr>
        <w:footnoteReference w:id="73"/>
      </w:r>
    </w:p>
    <w:p w14:paraId="626C7B83" w14:textId="78462277" w:rsidR="001E5F99" w:rsidRDefault="001E5F99" w:rsidP="00EA5051">
      <w:pPr>
        <w:pStyle w:val="ListParagraph"/>
      </w:pPr>
    </w:p>
    <w:p w14:paraId="2AABB566" w14:textId="28AE58A5" w:rsidR="003F04BA" w:rsidRDefault="000C6763" w:rsidP="00AF3A5E">
      <w:pPr>
        <w:pStyle w:val="ListParagraph"/>
        <w:numPr>
          <w:ilvl w:val="0"/>
          <w:numId w:val="31"/>
        </w:numPr>
        <w:ind w:left="709" w:hanging="709"/>
      </w:pPr>
      <w:r>
        <w:t xml:space="preserve">In the aftermath of the </w:t>
      </w:r>
      <w:r w:rsidR="00D92CAC">
        <w:t>racist violence</w:t>
      </w:r>
      <w:r>
        <w:t xml:space="preserve">, </w:t>
      </w:r>
      <w:r w:rsidR="00DA70EA">
        <w:t>the P</w:t>
      </w:r>
      <w:r w:rsidR="004F5105">
        <w:t xml:space="preserve">olice </w:t>
      </w:r>
      <w:r w:rsidR="00DA70EA">
        <w:t>S</w:t>
      </w:r>
      <w:r w:rsidR="004F5105">
        <w:t xml:space="preserve">ervice of </w:t>
      </w:r>
      <w:r w:rsidR="00DA70EA">
        <w:t xml:space="preserve">NI </w:t>
      </w:r>
      <w:r w:rsidR="00783175">
        <w:t>released an updated Hate Crime Control Strategy</w:t>
      </w:r>
      <w:r w:rsidR="004F5105">
        <w:t>.</w:t>
      </w:r>
      <w:r w:rsidR="00BC1D42">
        <w:t xml:space="preserve"> </w:t>
      </w:r>
      <w:r w:rsidR="004F5105">
        <w:t>It does not mention</w:t>
      </w:r>
      <w:r w:rsidR="00BC1D42">
        <w:t xml:space="preserve"> online mis</w:t>
      </w:r>
      <w:r w:rsidR="001658AE">
        <w:t xml:space="preserve">information and </w:t>
      </w:r>
      <w:r w:rsidR="00BC1D42">
        <w:t>disinformation</w:t>
      </w:r>
      <w:r w:rsidR="003317C5">
        <w:t xml:space="preserve">, </w:t>
      </w:r>
      <w:r w:rsidR="004F5105">
        <w:t xml:space="preserve">but </w:t>
      </w:r>
      <w:r w:rsidR="003317C5">
        <w:t xml:space="preserve">the </w:t>
      </w:r>
      <w:r w:rsidR="00DF3D57">
        <w:t>strategy does include a goal</w:t>
      </w:r>
      <w:r w:rsidR="005F711B">
        <w:t xml:space="preserve"> to “exploit opportunities to more effectively work with partner agencies, key stakeholders, and </w:t>
      </w:r>
      <w:r w:rsidR="001F39F6">
        <w:t>Non-Governmental</w:t>
      </w:r>
      <w:r w:rsidR="00330EFC">
        <w:t xml:space="preserve"> </w:t>
      </w:r>
      <w:r w:rsidR="005F711B">
        <w:t>O</w:t>
      </w:r>
      <w:r w:rsidR="00330EFC">
        <w:t>rganisation</w:t>
      </w:r>
      <w:r w:rsidR="005F711B">
        <w:t>s</w:t>
      </w:r>
      <w:r w:rsidR="007C20F2">
        <w:t xml:space="preserve"> to raise awareness of hate abuse issues and trends</w:t>
      </w:r>
      <w:r w:rsidR="00255352">
        <w:t>”</w:t>
      </w:r>
      <w:r w:rsidR="00277CB3">
        <w:t>.</w:t>
      </w:r>
      <w:r w:rsidR="004E119D">
        <w:rPr>
          <w:rStyle w:val="FootnoteReference"/>
        </w:rPr>
        <w:footnoteReference w:id="74"/>
      </w:r>
      <w:r w:rsidR="004E119D">
        <w:t xml:space="preserve"> In addition, the strategy </w:t>
      </w:r>
      <w:r w:rsidR="006B7413">
        <w:t>stated that there must be</w:t>
      </w:r>
      <w:r w:rsidR="00255352">
        <w:t xml:space="preserve"> “regular engagement with relevant P</w:t>
      </w:r>
      <w:r w:rsidR="00330EFC">
        <w:t xml:space="preserve">olice </w:t>
      </w:r>
      <w:r w:rsidR="00255352">
        <w:t>S</w:t>
      </w:r>
      <w:r w:rsidR="00330EFC">
        <w:t xml:space="preserve">ervice of </w:t>
      </w:r>
      <w:r w:rsidR="00255352">
        <w:t>NI Minority Support Associations</w:t>
      </w:r>
      <w:r w:rsidR="00330EFC">
        <w:t>”</w:t>
      </w:r>
      <w:r w:rsidR="008630F8">
        <w:t>.</w:t>
      </w:r>
      <w:r w:rsidR="005F711B">
        <w:rPr>
          <w:rStyle w:val="FootnoteReference"/>
        </w:rPr>
        <w:footnoteReference w:id="75"/>
      </w:r>
      <w:r w:rsidR="00903832">
        <w:t xml:space="preserve"> </w:t>
      </w:r>
      <w:r w:rsidR="00D92CAC">
        <w:t>The P</w:t>
      </w:r>
      <w:r w:rsidR="00510A04">
        <w:t xml:space="preserve">olice </w:t>
      </w:r>
      <w:r w:rsidR="00D92CAC">
        <w:t>S</w:t>
      </w:r>
      <w:r w:rsidR="00510A04">
        <w:t xml:space="preserve">ervice of </w:t>
      </w:r>
      <w:r w:rsidR="00D92CAC">
        <w:t>NI’s initiative was welcomed.</w:t>
      </w:r>
    </w:p>
    <w:p w14:paraId="20930224" w14:textId="77777777" w:rsidR="009C6B8E" w:rsidRPr="009C6B8E" w:rsidRDefault="009C6B8E" w:rsidP="00EA5051">
      <w:pPr>
        <w:pStyle w:val="ListParagraph"/>
      </w:pPr>
    </w:p>
    <w:p w14:paraId="05E6DE5D" w14:textId="2A8B2571" w:rsidR="009C6B8E" w:rsidRPr="009E62C3" w:rsidRDefault="00C71880" w:rsidP="00AF3A5E">
      <w:pPr>
        <w:pStyle w:val="ListParagraph"/>
        <w:numPr>
          <w:ilvl w:val="0"/>
          <w:numId w:val="31"/>
        </w:numPr>
        <w:ind w:left="709" w:hanging="709"/>
      </w:pPr>
      <w:r>
        <w:t>Office of Communication</w:t>
      </w:r>
      <w:r w:rsidR="003869A4">
        <w:t>s</w:t>
      </w:r>
      <w:r w:rsidR="004778E0">
        <w:t>’</w:t>
      </w:r>
      <w:r w:rsidR="003869A4">
        <w:t xml:space="preserve"> </w:t>
      </w:r>
      <w:r w:rsidR="003523E7">
        <w:t>NI</w:t>
      </w:r>
      <w:r w:rsidR="003869A4">
        <w:t xml:space="preserve"> Advisory Committee</w:t>
      </w:r>
      <w:r w:rsidR="002A6796">
        <w:t>’s</w:t>
      </w:r>
      <w:r w:rsidR="004735FA">
        <w:t xml:space="preserve"> first meeting </w:t>
      </w:r>
      <w:r w:rsidR="00E52778">
        <w:t xml:space="preserve">addressed </w:t>
      </w:r>
      <w:r w:rsidR="00413174">
        <w:t>“the part which misinformation and disinformation played</w:t>
      </w:r>
      <w:r w:rsidR="006D1514">
        <w:t>… and noted planned follow-up activity with industry and government</w:t>
      </w:r>
      <w:r w:rsidR="00BD72CC">
        <w:t>”</w:t>
      </w:r>
      <w:r w:rsidR="00413174">
        <w:t>.</w:t>
      </w:r>
      <w:r w:rsidR="00413174">
        <w:rPr>
          <w:rStyle w:val="FootnoteReference"/>
        </w:rPr>
        <w:footnoteReference w:id="76"/>
      </w:r>
      <w:r w:rsidR="004735FA">
        <w:t xml:space="preserve"> </w:t>
      </w:r>
      <w:r w:rsidR="006C1C3A">
        <w:t xml:space="preserve">The </w:t>
      </w:r>
      <w:r w:rsidR="008630F8">
        <w:t xml:space="preserve">Advisory </w:t>
      </w:r>
      <w:r w:rsidR="006C1C3A">
        <w:t>Committee late</w:t>
      </w:r>
      <w:r w:rsidR="003233F0">
        <w:t xml:space="preserve">r </w:t>
      </w:r>
      <w:r w:rsidR="003233F0">
        <w:lastRenderedPageBreak/>
        <w:t xml:space="preserve">discussed the </w:t>
      </w:r>
      <w:r w:rsidR="005A0012">
        <w:t xml:space="preserve">importance of gathering more </w:t>
      </w:r>
      <w:r w:rsidR="00FC58CF">
        <w:t>NI</w:t>
      </w:r>
      <w:r w:rsidR="005A0012">
        <w:t>-specific data</w:t>
      </w:r>
      <w:r w:rsidR="0005702E">
        <w:t>.</w:t>
      </w:r>
      <w:r w:rsidR="00F150BC">
        <w:rPr>
          <w:rStyle w:val="FootnoteReference"/>
        </w:rPr>
        <w:footnoteReference w:id="77"/>
      </w:r>
      <w:r w:rsidR="005A0012">
        <w:t xml:space="preserve"> </w:t>
      </w:r>
      <w:r w:rsidR="004778E0">
        <w:t>Office of Communications’</w:t>
      </w:r>
      <w:r w:rsidR="00620358">
        <w:t xml:space="preserve"> </w:t>
      </w:r>
      <w:r w:rsidR="0005702E">
        <w:t>NI</w:t>
      </w:r>
      <w:r w:rsidR="00620358">
        <w:t xml:space="preserve"> Online Safety and Media Literacy </w:t>
      </w:r>
      <w:r w:rsidR="00F14CE7">
        <w:t>lead</w:t>
      </w:r>
      <w:r w:rsidR="00620358">
        <w:t xml:space="preserve">, </w:t>
      </w:r>
      <w:proofErr w:type="spellStart"/>
      <w:r w:rsidR="00620358">
        <w:t>Bimpe</w:t>
      </w:r>
      <w:proofErr w:type="spellEnd"/>
      <w:r w:rsidR="00620358">
        <w:t xml:space="preserve"> Archer, </w:t>
      </w:r>
      <w:r w:rsidR="006047B0">
        <w:t xml:space="preserve">announced </w:t>
      </w:r>
      <w:r w:rsidR="00D96673">
        <w:t>th</w:t>
      </w:r>
      <w:r w:rsidR="00336E60">
        <w:t xml:space="preserve">at </w:t>
      </w:r>
      <w:r w:rsidR="004778E0">
        <w:t>the Office of Communications</w:t>
      </w:r>
      <w:r w:rsidR="00D96673">
        <w:t xml:space="preserve"> would be pursuing research </w:t>
      </w:r>
      <w:r w:rsidR="00D92CAC">
        <w:t xml:space="preserve">to </w:t>
      </w:r>
      <w:r w:rsidR="00D96673">
        <w:t xml:space="preserve">examine media literacy services in </w:t>
      </w:r>
      <w:r w:rsidR="005510EF">
        <w:t>NI, the goal of which</w:t>
      </w:r>
      <w:r w:rsidR="007D7523">
        <w:t xml:space="preserve"> is to “help people spot and avoid mis and disinformation through understanding how stories become news</w:t>
      </w:r>
      <w:r w:rsidR="00466046">
        <w:t>”</w:t>
      </w:r>
      <w:r w:rsidR="007D7523">
        <w:t>.</w:t>
      </w:r>
      <w:r w:rsidR="006B0EB5">
        <w:rPr>
          <w:rStyle w:val="FootnoteReference"/>
        </w:rPr>
        <w:footnoteReference w:id="78"/>
      </w:r>
    </w:p>
    <w:p w14:paraId="21CEE424" w14:textId="77777777" w:rsidR="00BB1230" w:rsidRPr="00970102" w:rsidRDefault="00BB1230" w:rsidP="00970102"/>
    <w:p w14:paraId="34F7CF0D" w14:textId="56EF7C28" w:rsidR="00BB1230" w:rsidRDefault="00D92CAC" w:rsidP="005C1B46">
      <w:pPr>
        <w:pStyle w:val="ListParagraph"/>
        <w:numPr>
          <w:ilvl w:val="0"/>
          <w:numId w:val="31"/>
        </w:numPr>
        <w:ind w:left="709" w:hanging="709"/>
      </w:pPr>
      <w:proofErr w:type="gramStart"/>
      <w:r>
        <w:t>A number of</w:t>
      </w:r>
      <w:proofErr w:type="gramEnd"/>
      <w:r>
        <w:t xml:space="preserve"> </w:t>
      </w:r>
      <w:r w:rsidR="006C648F">
        <w:t xml:space="preserve">civil society organisations </w:t>
      </w:r>
      <w:r>
        <w:t xml:space="preserve">have been working </w:t>
      </w:r>
      <w:r w:rsidR="29EDAA8A">
        <w:t xml:space="preserve">on </w:t>
      </w:r>
      <w:r>
        <w:t xml:space="preserve">this </w:t>
      </w:r>
      <w:r w:rsidR="000D77CD">
        <w:t>issue</w:t>
      </w:r>
      <w:r>
        <w:t>.</w:t>
      </w:r>
      <w:r w:rsidR="009E1844">
        <w:rPr>
          <w:rStyle w:val="FootnoteReference"/>
        </w:rPr>
        <w:footnoteReference w:id="79"/>
      </w:r>
      <w:r w:rsidR="00DC67A0">
        <w:t xml:space="preserve"> </w:t>
      </w:r>
      <w:r>
        <w:t xml:space="preserve">For example, </w:t>
      </w:r>
      <w:r w:rsidR="0044019A">
        <w:t xml:space="preserve">in August 2024, </w:t>
      </w:r>
      <w:r w:rsidR="00561F4D">
        <w:t xml:space="preserve">the Managing Director of </w:t>
      </w:r>
      <w:proofErr w:type="spellStart"/>
      <w:r w:rsidR="00561F4D">
        <w:t>FactCheckNI</w:t>
      </w:r>
      <w:proofErr w:type="spellEnd"/>
      <w:r w:rsidR="00561F4D">
        <w:t xml:space="preserve"> wrote an article detailing how</w:t>
      </w:r>
      <w:r w:rsidR="009E7E51">
        <w:t xml:space="preserve"> mi</w:t>
      </w:r>
      <w:r w:rsidR="00D72E29">
        <w:t xml:space="preserve">sinformation and </w:t>
      </w:r>
      <w:r w:rsidR="009E7E51">
        <w:t xml:space="preserve">disinformation </w:t>
      </w:r>
      <w:r w:rsidR="00174F51">
        <w:t>spiral</w:t>
      </w:r>
      <w:r>
        <w:t>s</w:t>
      </w:r>
      <w:r w:rsidR="00174F51">
        <w:t xml:space="preserve"> into violent disorder </w:t>
      </w:r>
      <w:r w:rsidR="003477C0">
        <w:t xml:space="preserve">and </w:t>
      </w:r>
      <w:r>
        <w:t xml:space="preserve">stressed the </w:t>
      </w:r>
      <w:r w:rsidR="000D77CD">
        <w:t>importance</w:t>
      </w:r>
      <w:r>
        <w:t xml:space="preserve"> of </w:t>
      </w:r>
      <w:r w:rsidR="003477C0">
        <w:t xml:space="preserve">accurate </w:t>
      </w:r>
      <w:r w:rsidR="003477C0" w:rsidRPr="00D92CAC">
        <w:t>information</w:t>
      </w:r>
      <w:r w:rsidR="003477C0">
        <w:t xml:space="preserve"> </w:t>
      </w:r>
      <w:r>
        <w:t>if the harm is to be mitigated.</w:t>
      </w:r>
      <w:r w:rsidR="00AF5882">
        <w:rPr>
          <w:rStyle w:val="FootnoteReference"/>
        </w:rPr>
        <w:footnoteReference w:id="80"/>
      </w:r>
    </w:p>
    <w:p w14:paraId="40C840E3" w14:textId="77777777" w:rsidR="00963D6D" w:rsidRPr="00963D6D" w:rsidRDefault="00963D6D" w:rsidP="00963D6D">
      <w:pPr>
        <w:pStyle w:val="ListParagraph"/>
      </w:pPr>
    </w:p>
    <w:p w14:paraId="5AEFE8F1" w14:textId="2C331405" w:rsidR="00963D6D" w:rsidRDefault="00D92CAC" w:rsidP="005C1B46">
      <w:pPr>
        <w:pStyle w:val="ListParagraph"/>
        <w:numPr>
          <w:ilvl w:val="0"/>
          <w:numId w:val="31"/>
        </w:numPr>
        <w:ind w:left="709" w:hanging="709"/>
      </w:pPr>
      <w:r>
        <w:t xml:space="preserve">There are </w:t>
      </w:r>
      <w:proofErr w:type="gramStart"/>
      <w:r>
        <w:t xml:space="preserve">a </w:t>
      </w:r>
      <w:r w:rsidR="000D77CD">
        <w:t>n</w:t>
      </w:r>
      <w:r>
        <w:t>umber of</w:t>
      </w:r>
      <w:proofErr w:type="gramEnd"/>
      <w:r>
        <w:t xml:space="preserve"> factors that influence the potency and spread of online misinformation and disinformation that require a true multi-agency approach. No one actor can moderate the internet, the creation of content, or access to that </w:t>
      </w:r>
      <w:r w:rsidR="4DD76B11">
        <w:t>content,</w:t>
      </w:r>
      <w:r>
        <w:t xml:space="preserve"> but every agency is affected </w:t>
      </w:r>
      <w:r w:rsidR="00EB5306">
        <w:t>and potentially vulnerable. Each agency, statutory service provider, tech company, educator, community leader has a role to play</w:t>
      </w:r>
      <w:r w:rsidR="00BE29A2">
        <w:t>,</w:t>
      </w:r>
      <w:r w:rsidR="00EB5306">
        <w:t xml:space="preserve"> but there </w:t>
      </w:r>
      <w:r w:rsidR="2258D3AC">
        <w:t>is a need for</w:t>
      </w:r>
      <w:r w:rsidR="00EB5306">
        <w:t xml:space="preserve"> a central </w:t>
      </w:r>
      <w:r w:rsidR="4CC9779B">
        <w:t>co-ordinating body</w:t>
      </w:r>
      <w:r w:rsidR="00EB5306">
        <w:t xml:space="preserve"> who takes primary control and oversight of the strategy.</w:t>
      </w:r>
      <w:r w:rsidR="00963D6D">
        <w:rPr>
          <w:rStyle w:val="FootnoteReference"/>
        </w:rPr>
        <w:footnoteReference w:id="81"/>
      </w:r>
      <w:r w:rsidR="00963D6D">
        <w:t xml:space="preserve"> </w:t>
      </w:r>
      <w:r w:rsidR="00EB5306">
        <w:t xml:space="preserve">While </w:t>
      </w:r>
      <w:r w:rsidR="00BE29A2">
        <w:t>NI</w:t>
      </w:r>
      <w:r w:rsidR="00EB5306">
        <w:t xml:space="preserve"> alone cannot deal with this global issue, </w:t>
      </w:r>
      <w:r w:rsidR="00BE29A2">
        <w:t>NI</w:t>
      </w:r>
      <w:r w:rsidR="00EB5306">
        <w:t xml:space="preserve"> must seek to protect its own online jurisdiction as the </w:t>
      </w:r>
      <w:r w:rsidR="000D77CD">
        <w:t>guardian</w:t>
      </w:r>
      <w:r w:rsidR="00EB5306">
        <w:t xml:space="preserve"> of relevant local knowledge. It has an equally important part to play on the world stage and must cooperate with other actors if any progress is </w:t>
      </w:r>
      <w:r w:rsidR="00A166BE">
        <w:t xml:space="preserve">to be </w:t>
      </w:r>
      <w:r w:rsidR="000D77CD">
        <w:t>attempted.</w:t>
      </w:r>
      <w:r w:rsidR="00EB5306">
        <w:t xml:space="preserve"> </w:t>
      </w:r>
      <w:r w:rsidR="000D77CD">
        <w:t>The</w:t>
      </w:r>
      <w:r w:rsidR="00EB5306">
        <w:t xml:space="preserve"> harm </w:t>
      </w:r>
      <w:r w:rsidR="00EB5306">
        <w:lastRenderedPageBreak/>
        <w:t xml:space="preserve">that </w:t>
      </w:r>
      <w:r w:rsidR="000D77CD">
        <w:t>is likely to follow</w:t>
      </w:r>
      <w:r w:rsidR="00EB5306">
        <w:t xml:space="preserve"> especially in respect of the </w:t>
      </w:r>
      <w:r w:rsidR="000D77CD">
        <w:t>violation</w:t>
      </w:r>
      <w:r w:rsidR="00EB5306">
        <w:t xml:space="preserve"> </w:t>
      </w:r>
      <w:proofErr w:type="gramStart"/>
      <w:r w:rsidR="00EB5306">
        <w:t>of  human</w:t>
      </w:r>
      <w:proofErr w:type="gramEnd"/>
      <w:r w:rsidR="00EB5306">
        <w:t xml:space="preserve"> rights must be </w:t>
      </w:r>
      <w:r w:rsidR="00A166BE">
        <w:t>limited</w:t>
      </w:r>
      <w:r w:rsidR="00EB5306">
        <w:t xml:space="preserve">. To be </w:t>
      </w:r>
      <w:r w:rsidR="00A166BE">
        <w:t>limited</w:t>
      </w:r>
      <w:r w:rsidR="00EB5306">
        <w:t xml:space="preserve"> it </w:t>
      </w:r>
      <w:r w:rsidR="000D77CD">
        <w:t>must first</w:t>
      </w:r>
      <w:r w:rsidR="00EB5306">
        <w:t xml:space="preserve"> be understood. Resources and effort must go into addressing the issue from a local as well as a global perspective. With that in mind, the NIHRC makes the following recommendations. </w:t>
      </w:r>
    </w:p>
    <w:p w14:paraId="14B6EDF4" w14:textId="2670CA5B" w:rsidR="004672AC" w:rsidRPr="00331C61" w:rsidRDefault="004672AC" w:rsidP="00331C61">
      <w:pPr>
        <w:pStyle w:val="BasicParagraph"/>
        <w:suppressAutoHyphens/>
        <w:spacing w:line="240" w:lineRule="auto"/>
        <w:rPr>
          <w:rFonts w:ascii="Verdana" w:hAnsi="Verdana" w:cs="Arial"/>
          <w:color w:val="232120"/>
          <w:sz w:val="20"/>
          <w:szCs w:val="20"/>
        </w:rPr>
      </w:pPr>
    </w:p>
    <w:p w14:paraId="4E860F40" w14:textId="1AD5C0BF" w:rsidR="00FC1B48" w:rsidRDefault="007972F2" w:rsidP="002D5AC9">
      <w:pPr>
        <w:pStyle w:val="Heading2"/>
      </w:pPr>
      <w:bookmarkStart w:id="17" w:name="_Toc198115677"/>
      <w:r>
        <w:t>4.0</w:t>
      </w:r>
      <w:r>
        <w:tab/>
      </w:r>
      <w:r w:rsidR="006646E9">
        <w:t>Recommendations</w:t>
      </w:r>
      <w:bookmarkEnd w:id="17"/>
    </w:p>
    <w:p w14:paraId="185AB7A4" w14:textId="16EFE679" w:rsidR="00FC1B48" w:rsidRPr="002D5AC9" w:rsidRDefault="002D5AC9" w:rsidP="00FC1B48">
      <w:r w:rsidRPr="002D5AC9">
        <w:t>4.1</w:t>
      </w:r>
      <w:r w:rsidRPr="002D5AC9">
        <w:tab/>
      </w:r>
      <w:r w:rsidR="009418F1" w:rsidRPr="002D5AC9">
        <w:t>The NIHRC recommends that:</w:t>
      </w:r>
    </w:p>
    <w:p w14:paraId="20981956" w14:textId="77777777" w:rsidR="006E3B5C" w:rsidRDefault="006E3B5C" w:rsidP="006E3B5C"/>
    <w:p w14:paraId="5B6F0F30" w14:textId="5DE89083" w:rsidR="006761B3" w:rsidRPr="006666A6" w:rsidRDefault="00023BC0" w:rsidP="002D5AC9">
      <w:pPr>
        <w:pStyle w:val="Quote"/>
        <w:numPr>
          <w:ilvl w:val="0"/>
          <w:numId w:val="46"/>
        </w:numPr>
      </w:pPr>
      <w:r w:rsidRPr="6736F212">
        <w:t>The NI Executive</w:t>
      </w:r>
      <w:r w:rsidR="00372A70" w:rsidRPr="6736F212">
        <w:t xml:space="preserve"> </w:t>
      </w:r>
      <w:r w:rsidR="004F71D1" w:rsidRPr="6736F212">
        <w:t xml:space="preserve">and NI Assembly </w:t>
      </w:r>
      <w:r w:rsidR="00B80500" w:rsidRPr="6736F212">
        <w:t xml:space="preserve">should </w:t>
      </w:r>
      <w:r w:rsidR="008547F7" w:rsidRPr="6736F212">
        <w:t>take a human</w:t>
      </w:r>
      <w:r w:rsidR="00BD3A23" w:rsidRPr="6736F212">
        <w:t>-rights-based</w:t>
      </w:r>
      <w:r w:rsidR="008547F7" w:rsidRPr="6736F212">
        <w:t xml:space="preserve"> approach</w:t>
      </w:r>
      <w:r w:rsidR="00372A70" w:rsidRPr="6736F212">
        <w:t xml:space="preserve"> </w:t>
      </w:r>
      <w:r w:rsidR="00EB5306">
        <w:t>to</w:t>
      </w:r>
      <w:r w:rsidR="004F71D1" w:rsidRPr="6736F212">
        <w:t xml:space="preserve"> policy </w:t>
      </w:r>
      <w:r w:rsidR="00EB5306">
        <w:t>and</w:t>
      </w:r>
      <w:r w:rsidR="00EB5306" w:rsidRPr="6736F212">
        <w:t xml:space="preserve"> </w:t>
      </w:r>
      <w:r w:rsidR="004F71D1" w:rsidRPr="6736F212">
        <w:t xml:space="preserve">legislation that </w:t>
      </w:r>
      <w:r w:rsidR="00EB5306">
        <w:t xml:space="preserve">considers and is able to </w:t>
      </w:r>
      <w:r w:rsidR="004F71D1" w:rsidRPr="6736F212">
        <w:t xml:space="preserve">address </w:t>
      </w:r>
      <w:r w:rsidR="000A5BE4" w:rsidRPr="6736F212">
        <w:t>online mis</w:t>
      </w:r>
      <w:r w:rsidR="00D72E29" w:rsidRPr="6736F212">
        <w:t xml:space="preserve">information and </w:t>
      </w:r>
      <w:r w:rsidR="57262720" w:rsidRPr="6736F212">
        <w:t>disinformation,</w:t>
      </w:r>
      <w:r w:rsidR="000A5BE4" w:rsidRPr="6736F212">
        <w:t xml:space="preserve"> </w:t>
      </w:r>
      <w:r w:rsidR="006B408A" w:rsidRPr="6736F212">
        <w:t xml:space="preserve">and the </w:t>
      </w:r>
      <w:r w:rsidR="000A5BE4" w:rsidRPr="6736F212">
        <w:t>harm</w:t>
      </w:r>
      <w:r w:rsidR="006B408A" w:rsidRPr="6736F212">
        <w:t xml:space="preserve"> caused to</w:t>
      </w:r>
      <w:r w:rsidR="000A5BE4" w:rsidRPr="6736F212">
        <w:t xml:space="preserve"> racial</w:t>
      </w:r>
      <w:r w:rsidR="008A40B2" w:rsidRPr="6736F212">
        <w:t xml:space="preserve"> and </w:t>
      </w:r>
      <w:r w:rsidR="000A5BE4" w:rsidRPr="6736F212">
        <w:t>ethnic minorities</w:t>
      </w:r>
      <w:r w:rsidR="00FC5AD8" w:rsidRPr="6736F212">
        <w:t xml:space="preserve">. </w:t>
      </w:r>
      <w:r w:rsidR="00EB5306">
        <w:t>In doing so, t</w:t>
      </w:r>
      <w:r w:rsidR="00FC5AD8" w:rsidRPr="6736F212">
        <w:t>he</w:t>
      </w:r>
      <w:r w:rsidR="006666A6" w:rsidRPr="6736F212">
        <w:t xml:space="preserve"> NI Executive and NI Assembly</w:t>
      </w:r>
      <w:r w:rsidR="00FC5AD8" w:rsidRPr="6736F212">
        <w:t xml:space="preserve"> must c</w:t>
      </w:r>
      <w:r w:rsidR="008547F7" w:rsidRPr="6736F212">
        <w:t>onsider the full range of human rights standards</w:t>
      </w:r>
      <w:r w:rsidR="00EB5306">
        <w:t>.</w:t>
      </w:r>
      <w:r w:rsidR="00D824B7" w:rsidRPr="6736F212">
        <w:t xml:space="preserve"> </w:t>
      </w:r>
    </w:p>
    <w:p w14:paraId="2B7F6487" w14:textId="77777777" w:rsidR="00D62130" w:rsidRPr="00D62130" w:rsidRDefault="00D62130" w:rsidP="002D5AC9">
      <w:pPr>
        <w:pStyle w:val="Quote"/>
      </w:pPr>
    </w:p>
    <w:p w14:paraId="3FB35E3C" w14:textId="78C9CEFB" w:rsidR="008A59EF" w:rsidRDefault="005E2B74" w:rsidP="002D5AC9">
      <w:pPr>
        <w:pStyle w:val="Quote"/>
        <w:numPr>
          <w:ilvl w:val="0"/>
          <w:numId w:val="46"/>
        </w:numPr>
      </w:pPr>
      <w:r>
        <w:t>The NI Executive</w:t>
      </w:r>
      <w:r w:rsidR="00EE6CEB">
        <w:t xml:space="preserve"> should</w:t>
      </w:r>
      <w:r>
        <w:t xml:space="preserve"> </w:t>
      </w:r>
      <w:r w:rsidR="00EB5306">
        <w:t>coordinate the establishment and ongoing actions of a multi-agency strategy</w:t>
      </w:r>
      <w:r w:rsidR="006E6E97">
        <w:t>.</w:t>
      </w:r>
      <w:r w:rsidR="00EB5306">
        <w:t xml:space="preserve"> </w:t>
      </w:r>
      <w:r w:rsidR="00A90AC9">
        <w:t>T</w:t>
      </w:r>
      <w:r w:rsidR="008A59EF" w:rsidRPr="004D4A8C">
        <w:t xml:space="preserve">his should </w:t>
      </w:r>
      <w:r w:rsidR="00EB5306">
        <w:t xml:space="preserve">include the meaningful consultation of </w:t>
      </w:r>
      <w:r w:rsidR="007A04E5">
        <w:t>relevant stakeholders</w:t>
      </w:r>
      <w:r w:rsidR="00EB5306">
        <w:t>.</w:t>
      </w:r>
      <w:r w:rsidR="00DD7A6C">
        <w:t xml:space="preserve"> </w:t>
      </w:r>
    </w:p>
    <w:p w14:paraId="0993D6AA" w14:textId="77777777" w:rsidR="002C67A0" w:rsidRPr="004D4A8C" w:rsidRDefault="002C67A0" w:rsidP="002D5AC9">
      <w:pPr>
        <w:pStyle w:val="Quote"/>
      </w:pPr>
    </w:p>
    <w:p w14:paraId="24FB3517" w14:textId="4D4BF28E" w:rsidR="00EB5306" w:rsidRDefault="00803D82" w:rsidP="002D5AC9">
      <w:pPr>
        <w:pStyle w:val="Quote"/>
        <w:numPr>
          <w:ilvl w:val="0"/>
          <w:numId w:val="46"/>
        </w:numPr>
      </w:pPr>
      <w:r>
        <w:t>The</w:t>
      </w:r>
      <w:r w:rsidR="00CD762A">
        <w:t xml:space="preserve"> NI Executive and NI Assembly</w:t>
      </w:r>
      <w:r w:rsidR="0075441D">
        <w:t xml:space="preserve"> should</w:t>
      </w:r>
      <w:r w:rsidR="00CD762A">
        <w:t xml:space="preserve"> </w:t>
      </w:r>
      <w:r w:rsidR="002E2531">
        <w:t>engage with civil society</w:t>
      </w:r>
      <w:r w:rsidR="0075441D">
        <w:t xml:space="preserve"> organi</w:t>
      </w:r>
      <w:r w:rsidR="00E25A20">
        <w:t>s</w:t>
      </w:r>
      <w:r w:rsidR="0075441D">
        <w:t>ations</w:t>
      </w:r>
      <w:r w:rsidR="0084594A">
        <w:t xml:space="preserve"> in NI</w:t>
      </w:r>
      <w:r w:rsidR="00E5314E">
        <w:t xml:space="preserve"> to better understand and tackle online misinformation and disinformation</w:t>
      </w:r>
      <w:r w:rsidR="0081323B">
        <w:t xml:space="preserve"> and its</w:t>
      </w:r>
      <w:r w:rsidR="00E5314E">
        <w:t xml:space="preserve"> harm</w:t>
      </w:r>
      <w:r w:rsidR="00AE1083">
        <w:t xml:space="preserve"> on</w:t>
      </w:r>
      <w:r w:rsidR="00E5314E">
        <w:t xml:space="preserve"> racial and ethnic minorities.</w:t>
      </w:r>
      <w:r w:rsidR="0075441D">
        <w:t xml:space="preserve"> </w:t>
      </w:r>
    </w:p>
    <w:p w14:paraId="54308763" w14:textId="77777777" w:rsidR="00EB5306" w:rsidRDefault="00EB5306" w:rsidP="002D5AC9">
      <w:pPr>
        <w:pStyle w:val="Quote"/>
      </w:pPr>
    </w:p>
    <w:p w14:paraId="6E748768" w14:textId="5E99FC72" w:rsidR="003B7D0E" w:rsidRDefault="00EB5306" w:rsidP="002D5AC9">
      <w:pPr>
        <w:pStyle w:val="Quote"/>
        <w:numPr>
          <w:ilvl w:val="0"/>
          <w:numId w:val="46"/>
        </w:numPr>
      </w:pPr>
      <w:r>
        <w:t>T</w:t>
      </w:r>
      <w:r w:rsidR="00E5314E">
        <w:t>he NI Executive should</w:t>
      </w:r>
      <w:r w:rsidR="00964F28">
        <w:t xml:space="preserve"> </w:t>
      </w:r>
      <w:r w:rsidR="00E934C3">
        <w:t>invest in</w:t>
      </w:r>
      <w:r w:rsidR="009B4B81">
        <w:t xml:space="preserve"> initiatives that </w:t>
      </w:r>
      <w:r w:rsidR="00803D82">
        <w:t xml:space="preserve">promote </w:t>
      </w:r>
      <w:r w:rsidR="00F01D67">
        <w:t xml:space="preserve">media literacy and </w:t>
      </w:r>
      <w:r w:rsidR="00803D82">
        <w:t xml:space="preserve">encourage </w:t>
      </w:r>
      <w:r w:rsidR="002A4730">
        <w:t>fact-checking online sources</w:t>
      </w:r>
      <w:r w:rsidR="00DF4353">
        <w:t xml:space="preserve"> </w:t>
      </w:r>
      <w:r w:rsidR="008245E9">
        <w:t>to</w:t>
      </w:r>
      <w:r w:rsidR="00DF4353">
        <w:t xml:space="preserve"> build a higher resilience to mis</w:t>
      </w:r>
      <w:r w:rsidR="00D72E29">
        <w:t xml:space="preserve">information and </w:t>
      </w:r>
      <w:r w:rsidR="00DF4353">
        <w:t>disinformation</w:t>
      </w:r>
      <w:r w:rsidR="00682ABA">
        <w:t xml:space="preserve">. </w:t>
      </w:r>
    </w:p>
    <w:p w14:paraId="18904FE7" w14:textId="77777777" w:rsidR="00861845" w:rsidRDefault="00861845" w:rsidP="002D5AC9">
      <w:pPr>
        <w:pStyle w:val="Quote"/>
      </w:pPr>
    </w:p>
    <w:p w14:paraId="754FFC55" w14:textId="43E95E89" w:rsidR="00861845" w:rsidRDefault="00861845" w:rsidP="002D5AC9">
      <w:pPr>
        <w:pStyle w:val="Quote"/>
        <w:numPr>
          <w:ilvl w:val="0"/>
          <w:numId w:val="46"/>
        </w:numPr>
      </w:pPr>
      <w:r>
        <w:lastRenderedPageBreak/>
        <w:t xml:space="preserve">The NI Executive should ensure that its strategy is </w:t>
      </w:r>
      <w:r w:rsidR="000D77CD">
        <w:t>coordinated</w:t>
      </w:r>
      <w:r w:rsidR="7DFF76D3">
        <w:t xml:space="preserve"> with initiatives</w:t>
      </w:r>
      <w:r w:rsidR="000D77CD">
        <w:t xml:space="preserve"> across</w:t>
      </w:r>
      <w:r>
        <w:t xml:space="preserve"> the UK and Ireland and be cognisant of the global risk and opportunities.</w:t>
      </w:r>
    </w:p>
    <w:p w14:paraId="65844E46" w14:textId="77777777" w:rsidR="005F3D36" w:rsidRDefault="005F3D36" w:rsidP="001336EA">
      <w:pPr>
        <w:pStyle w:val="BasicParagraph"/>
        <w:suppressAutoHyphens/>
        <w:rPr>
          <w:rFonts w:ascii="Verdana" w:hAnsi="Verdana" w:cs="Arial"/>
          <w:color w:val="232120"/>
        </w:rPr>
      </w:pPr>
    </w:p>
    <w:p w14:paraId="60EAC8CA" w14:textId="51B65303" w:rsidR="00B133C5" w:rsidRDefault="00B133C5">
      <w:pPr>
        <w:spacing w:line="240" w:lineRule="auto"/>
        <w:rPr>
          <w:rFonts w:cs="Arial"/>
          <w:color w:val="232120"/>
        </w:rPr>
      </w:pPr>
      <w:r>
        <w:rPr>
          <w:rFonts w:cs="Arial"/>
          <w:color w:val="232120"/>
        </w:rPr>
        <w:br w:type="page"/>
      </w:r>
    </w:p>
    <w:p w14:paraId="5A9B750D" w14:textId="77777777" w:rsidR="001336EA" w:rsidRDefault="001336EA" w:rsidP="001336EA">
      <w:pPr>
        <w:pStyle w:val="BasicParagraph"/>
        <w:suppressAutoHyphens/>
        <w:rPr>
          <w:rFonts w:ascii="Verdana" w:hAnsi="Verdana" w:cs="Arial"/>
          <w:color w:val="232120"/>
        </w:rPr>
      </w:pPr>
    </w:p>
    <w:p w14:paraId="397F3B16" w14:textId="77777777" w:rsidR="001336EA" w:rsidRDefault="001336EA" w:rsidP="001336EA">
      <w:pPr>
        <w:pStyle w:val="BasicParagraph"/>
        <w:suppressAutoHyphens/>
        <w:rPr>
          <w:rFonts w:ascii="Verdana" w:hAnsi="Verdana" w:cs="Arial"/>
          <w:color w:val="232120"/>
        </w:rPr>
      </w:pPr>
    </w:p>
    <w:p w14:paraId="6A5C0AD2" w14:textId="77777777" w:rsidR="001336EA" w:rsidRDefault="001336EA" w:rsidP="001336EA">
      <w:pPr>
        <w:pStyle w:val="BasicParagraph"/>
        <w:suppressAutoHyphens/>
        <w:rPr>
          <w:rFonts w:ascii="Verdana" w:hAnsi="Verdana" w:cs="Arial"/>
          <w:color w:val="232120"/>
        </w:rPr>
      </w:pPr>
    </w:p>
    <w:p w14:paraId="7DEE5A43" w14:textId="77777777" w:rsidR="001336EA" w:rsidRDefault="001336EA" w:rsidP="001336EA">
      <w:pPr>
        <w:pStyle w:val="BasicParagraph"/>
        <w:suppressAutoHyphens/>
        <w:rPr>
          <w:rFonts w:ascii="Verdana" w:hAnsi="Verdana" w:cs="Arial"/>
          <w:color w:val="232120"/>
        </w:rPr>
      </w:pPr>
    </w:p>
    <w:p w14:paraId="5E33BF6A" w14:textId="77777777" w:rsidR="001336EA" w:rsidRDefault="001336EA" w:rsidP="001336EA">
      <w:pPr>
        <w:pStyle w:val="BasicParagraph"/>
        <w:suppressAutoHyphens/>
        <w:rPr>
          <w:rFonts w:ascii="Verdana" w:hAnsi="Verdana" w:cs="Arial"/>
          <w:color w:val="232120"/>
        </w:rPr>
      </w:pPr>
    </w:p>
    <w:p w14:paraId="2B14F0EE" w14:textId="77777777" w:rsidR="001336EA" w:rsidRDefault="001336EA" w:rsidP="00B46074">
      <w:pPr>
        <w:pStyle w:val="BasicParagraph"/>
        <w:suppressAutoHyphens/>
        <w:rPr>
          <w:rFonts w:ascii="Verdana" w:hAnsi="Verdana" w:cs="Arial"/>
          <w:b/>
          <w:bCs/>
          <w:color w:val="77328A"/>
          <w:sz w:val="36"/>
          <w:szCs w:val="36"/>
        </w:rPr>
      </w:pPr>
    </w:p>
    <w:p w14:paraId="209B95A5" w14:textId="77777777" w:rsidR="003F04BA" w:rsidRDefault="003F04BA" w:rsidP="00331C61">
      <w:pPr>
        <w:pStyle w:val="BasicParagraph"/>
        <w:suppressAutoHyphens/>
        <w:jc w:val="center"/>
        <w:rPr>
          <w:rFonts w:ascii="Verdana" w:hAnsi="Verdana" w:cs="Arial"/>
          <w:b/>
          <w:bCs/>
          <w:color w:val="77328A"/>
          <w:sz w:val="36"/>
          <w:szCs w:val="36"/>
        </w:rPr>
      </w:pPr>
    </w:p>
    <w:p w14:paraId="03F8E4C0" w14:textId="77777777" w:rsidR="007972F2" w:rsidRDefault="007972F2" w:rsidP="00331C61">
      <w:pPr>
        <w:pStyle w:val="BasicParagraph"/>
        <w:suppressAutoHyphens/>
        <w:jc w:val="center"/>
        <w:rPr>
          <w:rFonts w:ascii="Verdana" w:hAnsi="Verdana" w:cs="Arial"/>
          <w:b/>
          <w:bCs/>
          <w:color w:val="77328A"/>
          <w:sz w:val="36"/>
          <w:szCs w:val="36"/>
        </w:rPr>
      </w:pPr>
    </w:p>
    <w:p w14:paraId="1B4EA215" w14:textId="77777777" w:rsidR="007972F2" w:rsidRDefault="007972F2" w:rsidP="00331C61">
      <w:pPr>
        <w:pStyle w:val="BasicParagraph"/>
        <w:suppressAutoHyphens/>
        <w:jc w:val="center"/>
        <w:rPr>
          <w:rFonts w:ascii="Verdana" w:hAnsi="Verdana" w:cs="Arial"/>
          <w:b/>
          <w:bCs/>
          <w:color w:val="77328A"/>
          <w:sz w:val="36"/>
          <w:szCs w:val="36"/>
        </w:rPr>
      </w:pPr>
    </w:p>
    <w:p w14:paraId="3752E12C" w14:textId="77777777" w:rsidR="00DF46E9" w:rsidRDefault="00DF46E9" w:rsidP="002965B6">
      <w:pPr>
        <w:pStyle w:val="BasicParagraph"/>
        <w:suppressAutoHyphens/>
        <w:rPr>
          <w:rFonts w:ascii="Verdana" w:hAnsi="Verdana" w:cs="Arial"/>
          <w:b/>
          <w:bCs/>
          <w:color w:val="77328A"/>
          <w:sz w:val="36"/>
          <w:szCs w:val="36"/>
        </w:rPr>
      </w:pPr>
    </w:p>
    <w:p w14:paraId="7835002F" w14:textId="77777777" w:rsidR="003F04BA" w:rsidRDefault="003F04BA" w:rsidP="00554374">
      <w:pPr>
        <w:pStyle w:val="BasicParagraph"/>
        <w:suppressAutoHyphens/>
        <w:rPr>
          <w:rFonts w:ascii="Verdana" w:hAnsi="Verdana" w:cs="Arial"/>
          <w:b/>
          <w:bCs/>
          <w:color w:val="77328A"/>
          <w:sz w:val="36"/>
          <w:szCs w:val="36"/>
        </w:rPr>
      </w:pPr>
    </w:p>
    <w:p w14:paraId="239E6669" w14:textId="002DE597" w:rsidR="00705833" w:rsidRPr="00331C61" w:rsidRDefault="008256BE" w:rsidP="00331C61">
      <w:pPr>
        <w:pStyle w:val="BasicParagraph"/>
        <w:suppressAutoHyphens/>
        <w:jc w:val="center"/>
        <w:rPr>
          <w:rFonts w:ascii="Verdana" w:hAnsi="Verdana" w:cs="Arial"/>
          <w:b/>
          <w:bCs/>
          <w:color w:val="77328A"/>
          <w:sz w:val="36"/>
          <w:szCs w:val="36"/>
        </w:rPr>
      </w:pPr>
      <w:r>
        <w:rPr>
          <w:rFonts w:ascii="Verdana" w:hAnsi="Verdana" w:cs="Arial"/>
          <w:b/>
          <w:bCs/>
          <w:color w:val="77328A"/>
          <w:sz w:val="36"/>
          <w:szCs w:val="36"/>
        </w:rPr>
        <w:t>Contact us</w:t>
      </w:r>
    </w:p>
    <w:p w14:paraId="0ECBA0EA" w14:textId="77777777" w:rsidR="00331C61" w:rsidRDefault="00331C61" w:rsidP="00331C61">
      <w:pPr>
        <w:pStyle w:val="BasicParagraph"/>
        <w:suppressAutoHyphens/>
        <w:jc w:val="center"/>
        <w:rPr>
          <w:rFonts w:ascii="Verdana" w:hAnsi="Verdana" w:cs="Arial"/>
          <w:b/>
          <w:color w:val="77328A"/>
          <w:sz w:val="36"/>
          <w:szCs w:val="36"/>
        </w:rPr>
      </w:pPr>
    </w:p>
    <w:p w14:paraId="168EA834" w14:textId="144D3332" w:rsidR="00B615AF" w:rsidRDefault="007623E6" w:rsidP="00331C61">
      <w:pPr>
        <w:pStyle w:val="BasicParagraph"/>
        <w:suppressAutoHyphens/>
        <w:jc w:val="center"/>
        <w:rPr>
          <w:rFonts w:ascii="Verdana" w:hAnsi="Verdana" w:cs="Arial"/>
          <w:b/>
          <w:color w:val="77328A"/>
          <w:sz w:val="36"/>
          <w:szCs w:val="36"/>
        </w:rPr>
      </w:pPr>
      <w:hyperlink r:id="rId12" w:history="1">
        <w:r>
          <w:rPr>
            <w:rStyle w:val="Hyperlink"/>
            <w:rFonts w:ascii="Verdana" w:hAnsi="Verdana" w:cs="Arial"/>
            <w:b/>
            <w:sz w:val="36"/>
            <w:szCs w:val="36"/>
          </w:rPr>
          <w:t>Colin.Caughey@NIHRC</w:t>
        </w:r>
        <w:r w:rsidR="00251E02">
          <w:rPr>
            <w:rStyle w:val="Hyperlink"/>
            <w:rFonts w:ascii="Verdana" w:hAnsi="Verdana" w:cs="Arial"/>
            <w:b/>
            <w:sz w:val="36"/>
            <w:szCs w:val="36"/>
          </w:rPr>
          <w:t>.org</w:t>
        </w:r>
      </w:hyperlink>
    </w:p>
    <w:p w14:paraId="18258D08" w14:textId="56A852F2" w:rsidR="00DF46E9" w:rsidRPr="00B615AF" w:rsidRDefault="00DF46E9" w:rsidP="00DF46E9">
      <w:pPr>
        <w:rPr>
          <w:rFonts w:cs="Arial"/>
          <w:bCs/>
          <w:color w:val="232120"/>
          <w:sz w:val="30"/>
          <w:szCs w:val="30"/>
        </w:rPr>
      </w:pPr>
    </w:p>
    <w:p w14:paraId="29BF7736" w14:textId="77777777" w:rsidR="00331C61" w:rsidRPr="00331C61" w:rsidRDefault="00331C61" w:rsidP="003B7D0E">
      <w:pPr>
        <w:jc w:val="center"/>
        <w:rPr>
          <w:rFonts w:cs="Arial"/>
          <w:b/>
          <w:color w:val="232120"/>
          <w:sz w:val="30"/>
          <w:szCs w:val="30"/>
        </w:rPr>
      </w:pPr>
    </w:p>
    <w:p w14:paraId="314D154E" w14:textId="77777777" w:rsidR="00331C61" w:rsidRPr="00331C61" w:rsidRDefault="00331C61" w:rsidP="00331C61">
      <w:pPr>
        <w:jc w:val="center"/>
        <w:rPr>
          <w:rFonts w:cs="Arial"/>
          <w:color w:val="232120"/>
          <w:szCs w:val="28"/>
        </w:rPr>
      </w:pPr>
      <w:hyperlink r:id="rId13" w:history="1">
        <w:r w:rsidRPr="00331C61">
          <w:rPr>
            <w:rStyle w:val="Hyperlink"/>
            <w:rFonts w:cs="Arial"/>
            <w:color w:val="232120"/>
            <w:szCs w:val="28"/>
            <w:u w:val="none"/>
            <w:lang w:val="en-US"/>
          </w:rPr>
          <w:t>www.nihrc.org</w:t>
        </w:r>
      </w:hyperlink>
      <w:r w:rsidRPr="00331C61">
        <w:rPr>
          <w:rFonts w:cs="Arial"/>
          <w:color w:val="232120"/>
          <w:szCs w:val="28"/>
          <w:lang w:val="en-US"/>
        </w:rPr>
        <w:t xml:space="preserve">  |  </w:t>
      </w:r>
      <w:hyperlink r:id="rId14" w:history="1">
        <w:r w:rsidRPr="00331C61">
          <w:rPr>
            <w:rStyle w:val="Hyperlink"/>
            <w:rFonts w:cs="Arial"/>
            <w:color w:val="232120"/>
            <w:szCs w:val="28"/>
            <w:u w:val="none"/>
            <w:lang w:val="en-US"/>
          </w:rPr>
          <w:t>info@nihrc.org</w:t>
        </w:r>
      </w:hyperlink>
      <w:r w:rsidRPr="00331C61">
        <w:rPr>
          <w:rFonts w:cs="Arial"/>
          <w:color w:val="232120"/>
          <w:szCs w:val="28"/>
          <w:lang w:val="en-US"/>
        </w:rPr>
        <w:t xml:space="preserve">  |  +44 (0)28 9024 3987</w:t>
      </w:r>
    </w:p>
    <w:p w14:paraId="75371E22" w14:textId="77777777" w:rsidR="00F56C78" w:rsidRPr="00331C61" w:rsidRDefault="00D16532" w:rsidP="00331C61">
      <w:pPr>
        <w:jc w:val="center"/>
        <w:rPr>
          <w:rFonts w:cs="Arial"/>
          <w:color w:val="232120"/>
          <w:szCs w:val="28"/>
        </w:rPr>
      </w:pPr>
      <w:r>
        <w:rPr>
          <w:rFonts w:cs="Arial"/>
          <w:color w:val="232120"/>
          <w:szCs w:val="28"/>
          <w:lang w:val="en-US"/>
        </w:rPr>
        <w:t>4</w:t>
      </w:r>
      <w:r w:rsidRPr="00D16532">
        <w:rPr>
          <w:rFonts w:cs="Arial"/>
          <w:color w:val="232120"/>
          <w:szCs w:val="28"/>
          <w:vertAlign w:val="superscript"/>
          <w:lang w:val="en-US"/>
        </w:rPr>
        <w:t>th</w:t>
      </w:r>
      <w:r>
        <w:rPr>
          <w:rFonts w:cs="Arial"/>
          <w:color w:val="232120"/>
          <w:szCs w:val="28"/>
          <w:lang w:val="en-US"/>
        </w:rPr>
        <w:t xml:space="preserve"> Floor, Alfred House, 19-21 Alfred Street, Belfast, BT2 8ED</w:t>
      </w:r>
    </w:p>
    <w:p w14:paraId="5E8C0585" w14:textId="77777777" w:rsidR="00F56C78" w:rsidRPr="00331C61" w:rsidRDefault="00F56C78" w:rsidP="003B7D0E">
      <w:pPr>
        <w:jc w:val="center"/>
        <w:rPr>
          <w:rFonts w:cs="Arial"/>
          <w:b/>
          <w:color w:val="232120"/>
          <w:szCs w:val="28"/>
        </w:rPr>
      </w:pPr>
    </w:p>
    <w:p w14:paraId="3CBCB33B" w14:textId="77777777" w:rsidR="00F56C78" w:rsidRPr="00331C61" w:rsidRDefault="00F56C78" w:rsidP="003B7D0E">
      <w:pPr>
        <w:jc w:val="center"/>
        <w:rPr>
          <w:rFonts w:cs="Arial"/>
          <w:color w:val="232120"/>
          <w:sz w:val="20"/>
          <w:szCs w:val="20"/>
        </w:rPr>
      </w:pPr>
    </w:p>
    <w:p w14:paraId="2E34B833" w14:textId="77777777" w:rsidR="00705833" w:rsidRPr="00331C61" w:rsidRDefault="00F56C78" w:rsidP="003B7D0E">
      <w:pPr>
        <w:pStyle w:val="BasicParagraph"/>
        <w:suppressAutoHyphens/>
        <w:spacing w:line="240" w:lineRule="auto"/>
        <w:jc w:val="center"/>
        <w:rPr>
          <w:rFonts w:ascii="Verdana" w:hAnsi="Verdana" w:cs="Arial"/>
          <w:color w:val="232120"/>
          <w:szCs w:val="28"/>
        </w:rPr>
      </w:pPr>
      <w:r w:rsidRPr="00331C61">
        <w:rPr>
          <w:rFonts w:ascii="Verdana" w:hAnsi="Verdana" w:cs="Arial"/>
          <w:noProof/>
          <w:color w:val="232120"/>
          <w:szCs w:val="28"/>
          <w:lang w:eastAsia="en-GB"/>
        </w:rPr>
        <w:drawing>
          <wp:inline distT="0" distB="0" distL="0" distR="0" wp14:anchorId="139134C5" wp14:editId="44A2128D">
            <wp:extent cx="1515406" cy="274540"/>
            <wp:effectExtent l="0" t="0" r="889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sectPr w:rsidR="00705833" w:rsidRPr="00331C61" w:rsidSect="003B7D0E">
      <w:footerReference w:type="default" r:id="rId16"/>
      <w:footerReference w:type="first" r:id="rId17"/>
      <w:pgSz w:w="11900" w:h="16820"/>
      <w:pgMar w:top="1021" w:right="1021" w:bottom="1021" w:left="1021"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A560A" w14:textId="77777777" w:rsidR="0076105E" w:rsidRDefault="0076105E" w:rsidP="00962B2B">
      <w:r>
        <w:separator/>
      </w:r>
    </w:p>
  </w:endnote>
  <w:endnote w:type="continuationSeparator" w:id="0">
    <w:p w14:paraId="4912EB99" w14:textId="77777777" w:rsidR="0076105E" w:rsidRDefault="0076105E" w:rsidP="00962B2B">
      <w:r>
        <w:continuationSeparator/>
      </w:r>
    </w:p>
  </w:endnote>
  <w:endnote w:type="continuationNotice" w:id="1">
    <w:p w14:paraId="734A8B8A" w14:textId="77777777" w:rsidR="0076105E" w:rsidRDefault="00761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8CCD" w14:textId="77777777" w:rsidR="00D2770F" w:rsidRPr="007972F2" w:rsidRDefault="00D2770F" w:rsidP="00656ECD">
    <w:pPr>
      <w:pStyle w:val="Footer"/>
      <w:jc w:val="right"/>
      <w:rPr>
        <w:rStyle w:val="PageNumber"/>
        <w:rFonts w:cs="Arial"/>
        <w:bCs/>
        <w:szCs w:val="28"/>
      </w:rPr>
    </w:pPr>
  </w:p>
  <w:p w14:paraId="26286EFD" w14:textId="77777777" w:rsidR="00D2770F" w:rsidRPr="007569C1" w:rsidRDefault="00D2770F" w:rsidP="00656ECD">
    <w:pPr>
      <w:pStyle w:val="Footer"/>
      <w:jc w:val="right"/>
      <w:rPr>
        <w:rFonts w:ascii="Arial" w:hAnsi="Arial" w:cs="Arial"/>
        <w:b/>
        <w:color w:val="77328A"/>
        <w:sz w:val="16"/>
        <w:szCs w:val="16"/>
      </w:rPr>
    </w:pPr>
    <w:r w:rsidRPr="007972F2">
      <w:rPr>
        <w:rStyle w:val="PageNumber"/>
        <w:rFonts w:cs="Arial"/>
        <w:bCs/>
        <w:color w:val="77328A"/>
        <w:szCs w:val="28"/>
      </w:rPr>
      <w:fldChar w:fldCharType="begin"/>
    </w:r>
    <w:r w:rsidRPr="007972F2">
      <w:rPr>
        <w:rStyle w:val="PageNumber"/>
        <w:rFonts w:cs="Arial"/>
        <w:bCs/>
        <w:color w:val="77328A"/>
        <w:szCs w:val="28"/>
      </w:rPr>
      <w:instrText xml:space="preserve"> PAGE </w:instrText>
    </w:r>
    <w:r w:rsidRPr="007972F2">
      <w:rPr>
        <w:rStyle w:val="PageNumber"/>
        <w:rFonts w:cs="Arial"/>
        <w:bCs/>
        <w:color w:val="77328A"/>
        <w:szCs w:val="28"/>
      </w:rPr>
      <w:fldChar w:fldCharType="separate"/>
    </w:r>
    <w:r w:rsidR="00801600" w:rsidRPr="007972F2">
      <w:rPr>
        <w:rStyle w:val="PageNumber"/>
        <w:rFonts w:cs="Arial"/>
        <w:bCs/>
        <w:noProof/>
        <w:color w:val="77328A"/>
        <w:szCs w:val="28"/>
      </w:rPr>
      <w:t>2</w:t>
    </w:r>
    <w:r w:rsidRPr="007972F2">
      <w:rPr>
        <w:rStyle w:val="PageNumber"/>
        <w:rFonts w:cs="Arial"/>
        <w:bCs/>
        <w:color w:val="77328A"/>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F2B3" w14:textId="77777777" w:rsidR="00D2770F" w:rsidRDefault="00D2770F" w:rsidP="00046705">
    <w:pPr>
      <w:pStyle w:val="Footer"/>
      <w:jc w:val="right"/>
      <w:rPr>
        <w:rStyle w:val="PageNumber"/>
        <w:rFonts w:ascii="Arial" w:hAnsi="Arial" w:cs="Arial"/>
        <w:b/>
        <w:sz w:val="16"/>
        <w:szCs w:val="16"/>
      </w:rPr>
    </w:pPr>
  </w:p>
  <w:p w14:paraId="74C4B522" w14:textId="77777777" w:rsidR="00D2770F" w:rsidRPr="00D12EF8" w:rsidRDefault="00D2770F" w:rsidP="00046705">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3E9E6" w14:textId="77777777" w:rsidR="0076105E" w:rsidRDefault="0076105E" w:rsidP="00B96D34">
      <w:r>
        <w:continuationSeparator/>
      </w:r>
    </w:p>
    <w:p w14:paraId="3CE0EDA1" w14:textId="77777777" w:rsidR="0076105E" w:rsidRPr="00B96D34" w:rsidRDefault="0076105E" w:rsidP="00B96D34">
      <w:pPr>
        <w:pStyle w:val="Footer"/>
      </w:pPr>
    </w:p>
  </w:footnote>
  <w:footnote w:type="continuationSeparator" w:id="0">
    <w:p w14:paraId="208B2DF8" w14:textId="77777777" w:rsidR="0076105E" w:rsidRDefault="0076105E" w:rsidP="00962B2B">
      <w:r>
        <w:continuationSeparator/>
      </w:r>
    </w:p>
  </w:footnote>
  <w:footnote w:type="continuationNotice" w:id="1">
    <w:p w14:paraId="46BDABFB" w14:textId="77777777" w:rsidR="0076105E" w:rsidRDefault="0076105E"/>
  </w:footnote>
  <w:footnote w:id="2">
    <w:p w14:paraId="513E7024" w14:textId="0963A19D" w:rsidR="003F1532" w:rsidRDefault="003F1532" w:rsidP="00CA49FF">
      <w:pPr>
        <w:pStyle w:val="NIHRCFootnotes"/>
      </w:pPr>
      <w:r>
        <w:rPr>
          <w:rStyle w:val="FootnoteReference"/>
        </w:rPr>
        <w:footnoteRef/>
      </w:r>
      <w:r>
        <w:t xml:space="preserve"> </w:t>
      </w:r>
      <w:r w:rsidR="008C4477">
        <w:t xml:space="preserve">It is important to note that there is currently no universally accepted </w:t>
      </w:r>
      <w:r w:rsidR="00B45249">
        <w:t xml:space="preserve">definition of </w:t>
      </w:r>
      <w:r w:rsidR="00AB67A3">
        <w:t xml:space="preserve">misinformation or </w:t>
      </w:r>
      <w:r w:rsidR="00B45249">
        <w:t>disinformation. The</w:t>
      </w:r>
      <w:r>
        <w:t xml:space="preserve"> definitions of </w:t>
      </w:r>
      <w:r w:rsidR="00D72E29">
        <w:t xml:space="preserve">misinformation and </w:t>
      </w:r>
      <w:r>
        <w:t xml:space="preserve">disinformation </w:t>
      </w:r>
      <w:r w:rsidR="00BA7CE8">
        <w:t xml:space="preserve">used for this paper are the definitions used by the </w:t>
      </w:r>
      <w:r w:rsidR="004D3474">
        <w:t>UN Special Rapporteur on the promotion of the right to freedom of opinion and expression</w:t>
      </w:r>
      <w:r w:rsidR="002811E1">
        <w:t>,</w:t>
      </w:r>
      <w:r w:rsidR="00BA7CE8">
        <w:t xml:space="preserve"> </w:t>
      </w:r>
      <w:r w:rsidR="007C50AC">
        <w:t>Irene Khan</w:t>
      </w:r>
      <w:r w:rsidR="004D3474">
        <w:t>.</w:t>
      </w:r>
      <w:r w:rsidR="002811E1">
        <w:t xml:space="preserve"> See A/HRC/47/25 ‘UN Special Rapporteur on the Promotion and Protection of the Right to Freedom of Opinion and Expression, Irene Khan, Report on Disinformation and Freedom of Opinion and Expression’, 13 April 2021.</w:t>
      </w:r>
      <w:r w:rsidR="004D3474">
        <w:t xml:space="preserve"> </w:t>
      </w:r>
    </w:p>
  </w:footnote>
  <w:footnote w:id="3">
    <w:p w14:paraId="0E22B4C1" w14:textId="240A0C74" w:rsidR="00C42EB8" w:rsidRDefault="00C42EB8" w:rsidP="00CA49FF">
      <w:pPr>
        <w:pStyle w:val="NIHRCFootnotes"/>
      </w:pPr>
      <w:r>
        <w:rPr>
          <w:rStyle w:val="FootnoteReference"/>
        </w:rPr>
        <w:footnoteRef/>
      </w:r>
      <w:r>
        <w:t xml:space="preserve"> </w:t>
      </w:r>
      <w:r w:rsidR="00F9520A">
        <w:t xml:space="preserve">Esma </w:t>
      </w:r>
      <w:r w:rsidR="002B6CD5">
        <w:t>Aïmeur, et al</w:t>
      </w:r>
      <w:r w:rsidR="00FD41CE">
        <w:t xml:space="preserve">, ‘Fake </w:t>
      </w:r>
      <w:r w:rsidR="00AB67A3">
        <w:t>N</w:t>
      </w:r>
      <w:r w:rsidR="00FD41CE">
        <w:t xml:space="preserve">ews, </w:t>
      </w:r>
      <w:r w:rsidR="00AB67A3">
        <w:t>D</w:t>
      </w:r>
      <w:r w:rsidR="00FD41CE">
        <w:t xml:space="preserve">isinformation, and </w:t>
      </w:r>
      <w:r w:rsidR="00AB67A3">
        <w:t>M</w:t>
      </w:r>
      <w:r w:rsidR="00FD41CE">
        <w:t xml:space="preserve">isinformation in </w:t>
      </w:r>
      <w:r w:rsidR="00AB67A3">
        <w:t>S</w:t>
      </w:r>
      <w:r w:rsidR="00FD41CE">
        <w:t xml:space="preserve">ocial </w:t>
      </w:r>
      <w:r w:rsidR="00AB67A3">
        <w:t>Med</w:t>
      </w:r>
      <w:r w:rsidR="00FD41CE">
        <w:t xml:space="preserve">ia: </w:t>
      </w:r>
      <w:r w:rsidR="00AB67A3">
        <w:t>A</w:t>
      </w:r>
      <w:r w:rsidR="00FD41CE">
        <w:t xml:space="preserve"> </w:t>
      </w:r>
      <w:r w:rsidR="00AB67A3">
        <w:t>R</w:t>
      </w:r>
      <w:r w:rsidR="00FD41CE">
        <w:t>eview’</w:t>
      </w:r>
      <w:r w:rsidR="00055393">
        <w:t xml:space="preserve"> (SNAM, 2023).</w:t>
      </w:r>
    </w:p>
  </w:footnote>
  <w:footnote w:id="4">
    <w:p w14:paraId="1C86B75C" w14:textId="630A0C46" w:rsidR="00DA6914" w:rsidRDefault="00DA6914" w:rsidP="00CA49FF">
      <w:pPr>
        <w:pStyle w:val="NIHRCFootnotes"/>
      </w:pPr>
      <w:r>
        <w:rPr>
          <w:rStyle w:val="FootnoteReference"/>
        </w:rPr>
        <w:footnoteRef/>
      </w:r>
      <w:r>
        <w:t xml:space="preserve"> </w:t>
      </w:r>
      <w:r w:rsidR="001F59B6">
        <w:t xml:space="preserve">Pica </w:t>
      </w:r>
      <w:r w:rsidR="00BA1821">
        <w:t xml:space="preserve">Johansson, et al., ‘How </w:t>
      </w:r>
      <w:r w:rsidR="00F9520A">
        <w:t>C</w:t>
      </w:r>
      <w:r w:rsidR="00BA1821">
        <w:t xml:space="preserve">an </w:t>
      </w:r>
      <w:r w:rsidR="00F9520A">
        <w:t>W</w:t>
      </w:r>
      <w:r w:rsidR="00BA1821">
        <w:t xml:space="preserve">e </w:t>
      </w:r>
      <w:r w:rsidR="00F9520A">
        <w:t>C</w:t>
      </w:r>
      <w:r w:rsidR="00BA1821">
        <w:t xml:space="preserve">ombat </w:t>
      </w:r>
      <w:r w:rsidR="00F9520A">
        <w:t>O</w:t>
      </w:r>
      <w:r w:rsidR="00BA1821">
        <w:t xml:space="preserve">nline </w:t>
      </w:r>
      <w:r w:rsidR="00F9520A">
        <w:t>M</w:t>
      </w:r>
      <w:r w:rsidR="00BA1821">
        <w:t xml:space="preserve">isinformation? A </w:t>
      </w:r>
      <w:r w:rsidR="00F9520A">
        <w:t>S</w:t>
      </w:r>
      <w:r w:rsidR="00BA1821">
        <w:t xml:space="preserve">ystematic </w:t>
      </w:r>
      <w:r w:rsidR="00F9520A">
        <w:t>O</w:t>
      </w:r>
      <w:r w:rsidR="00BA1821">
        <w:t xml:space="preserve">verview of </w:t>
      </w:r>
      <w:r w:rsidR="00F9520A">
        <w:t>C</w:t>
      </w:r>
      <w:r w:rsidR="00BA1821">
        <w:t xml:space="preserve">urrent </w:t>
      </w:r>
      <w:r w:rsidR="00F9520A">
        <w:t>I</w:t>
      </w:r>
      <w:r w:rsidR="00BA1821">
        <w:t xml:space="preserve">nterventions and their </w:t>
      </w:r>
      <w:r w:rsidR="00F9520A">
        <w:t>E</w:t>
      </w:r>
      <w:r w:rsidR="00BA1821">
        <w:t>fficacy</w:t>
      </w:r>
      <w:r w:rsidR="009513F9">
        <w:t xml:space="preserve">’ (TATI, </w:t>
      </w:r>
      <w:r w:rsidR="003E5CB7">
        <w:t>2023).</w:t>
      </w:r>
    </w:p>
  </w:footnote>
  <w:footnote w:id="5">
    <w:p w14:paraId="1D8C02E3" w14:textId="22503EB5" w:rsidR="0029358F" w:rsidRDefault="0029358F" w:rsidP="00CA49FF">
      <w:pPr>
        <w:pStyle w:val="NIHRCFootnotes"/>
      </w:pPr>
      <w:r>
        <w:rPr>
          <w:rStyle w:val="FootnoteReference"/>
        </w:rPr>
        <w:footnoteRef/>
      </w:r>
      <w:r>
        <w:t xml:space="preserve"> </w:t>
      </w:r>
      <w:r w:rsidR="00E85727">
        <w:t xml:space="preserve">A/HRC/47/25 ‘UN Special Rapporteur on the </w:t>
      </w:r>
      <w:r w:rsidR="001F59B6">
        <w:t>Pr</w:t>
      </w:r>
      <w:r w:rsidR="00E85727">
        <w:t xml:space="preserve">omotion and </w:t>
      </w:r>
      <w:r w:rsidR="001F59B6">
        <w:t>P</w:t>
      </w:r>
      <w:r w:rsidR="00E85727">
        <w:t xml:space="preserve">rotection of the </w:t>
      </w:r>
      <w:r w:rsidR="001F59B6">
        <w:t>R</w:t>
      </w:r>
      <w:r w:rsidR="00E85727">
        <w:t xml:space="preserve">ight to </w:t>
      </w:r>
      <w:r w:rsidR="001F59B6">
        <w:t>F</w:t>
      </w:r>
      <w:r w:rsidR="00E85727">
        <w:t xml:space="preserve">reedom of </w:t>
      </w:r>
      <w:r w:rsidR="001F59B6">
        <w:t>O</w:t>
      </w:r>
      <w:r w:rsidR="00E85727">
        <w:t xml:space="preserve">pinion and </w:t>
      </w:r>
      <w:r w:rsidR="001F59B6">
        <w:t>E</w:t>
      </w:r>
      <w:r w:rsidR="00E85727">
        <w:t xml:space="preserve">xpression, Irene Khan, Report on Disinformation and </w:t>
      </w:r>
      <w:r w:rsidR="001F59B6">
        <w:t>F</w:t>
      </w:r>
      <w:r w:rsidR="00E85727">
        <w:t xml:space="preserve">reedom of </w:t>
      </w:r>
      <w:r w:rsidR="001F59B6">
        <w:t>O</w:t>
      </w:r>
      <w:r w:rsidR="00E85727">
        <w:t xml:space="preserve">pinion and </w:t>
      </w:r>
      <w:r w:rsidR="001F59B6">
        <w:t>Ex</w:t>
      </w:r>
      <w:r w:rsidR="00E85727">
        <w:t>pression’, 13 April 2021.</w:t>
      </w:r>
    </w:p>
  </w:footnote>
  <w:footnote w:id="6">
    <w:p w14:paraId="4891D9F2" w14:textId="1E1D4DF9" w:rsidR="00D26ACB" w:rsidRDefault="00D26ACB" w:rsidP="00CA49FF">
      <w:pPr>
        <w:pStyle w:val="NIHRCFootnotes"/>
      </w:pPr>
      <w:r>
        <w:rPr>
          <w:rStyle w:val="FootnoteReference"/>
        </w:rPr>
        <w:footnoteRef/>
      </w:r>
      <w:r>
        <w:t xml:space="preserve"> </w:t>
      </w:r>
      <w:r w:rsidR="00C02926">
        <w:t xml:space="preserve">Global Partners Digital, </w:t>
      </w:r>
      <w:r w:rsidR="00A300CE">
        <w:t>‘</w:t>
      </w:r>
      <w:r w:rsidR="00A21D0D">
        <w:t>UN Special Rapporteur on Freedom of Opinion and Expression: Report on Disinformation Consultation</w:t>
      </w:r>
      <w:r w:rsidR="000D77CD">
        <w:t>’</w:t>
      </w:r>
      <w:r w:rsidR="00C02926">
        <w:t xml:space="preserve"> (GPD,</w:t>
      </w:r>
      <w:r w:rsidR="00E528BB">
        <w:t xml:space="preserve"> 2021</w:t>
      </w:r>
      <w:r w:rsidR="00C02926">
        <w:t>)</w:t>
      </w:r>
      <w:r w:rsidR="001275EE">
        <w:t>.</w:t>
      </w:r>
    </w:p>
  </w:footnote>
  <w:footnote w:id="7">
    <w:p w14:paraId="6930A484" w14:textId="59BEFB1E" w:rsidR="00652509" w:rsidRDefault="00652509" w:rsidP="00CA49FF">
      <w:pPr>
        <w:pStyle w:val="NIHRCFootnotes"/>
      </w:pPr>
      <w:r>
        <w:rPr>
          <w:rStyle w:val="FootnoteReference"/>
        </w:rPr>
        <w:footnoteRef/>
      </w:r>
      <w:r>
        <w:t xml:space="preserve"> </w:t>
      </w:r>
      <w:r w:rsidR="00C04647">
        <w:t xml:space="preserve">‘UN CRC </w:t>
      </w:r>
      <w:r w:rsidR="00C02926">
        <w:t xml:space="preserve">Committee </w:t>
      </w:r>
      <w:r w:rsidR="00C337BB">
        <w:t xml:space="preserve">General Comment No 18 – Non-discrimination’, </w:t>
      </w:r>
      <w:r w:rsidR="00717C03">
        <w:t xml:space="preserve">10 November </w:t>
      </w:r>
      <w:r w:rsidR="00113601">
        <w:t>1989</w:t>
      </w:r>
      <w:r w:rsidR="00717C03">
        <w:t>.</w:t>
      </w:r>
    </w:p>
  </w:footnote>
  <w:footnote w:id="8">
    <w:p w14:paraId="3C839E7F" w14:textId="194F3794" w:rsidR="000F0ADE" w:rsidRDefault="000F0ADE" w:rsidP="00CA49FF">
      <w:pPr>
        <w:pStyle w:val="NIHRCFootnotes"/>
      </w:pPr>
      <w:r>
        <w:rPr>
          <w:rStyle w:val="FootnoteReference"/>
        </w:rPr>
        <w:footnoteRef/>
      </w:r>
      <w:r>
        <w:t xml:space="preserve"> </w:t>
      </w:r>
      <w:r w:rsidR="005D2BC6">
        <w:t>Article 19</w:t>
      </w:r>
      <w:r w:rsidR="008F0DD4">
        <w:t>(3)</w:t>
      </w:r>
      <w:r w:rsidR="003806A4">
        <w:t>(a)</w:t>
      </w:r>
      <w:r w:rsidR="00F94828">
        <w:t>, UN International Covenant on Civil and Political</w:t>
      </w:r>
      <w:r w:rsidR="007C1BE9">
        <w:t xml:space="preserve"> Rights</w:t>
      </w:r>
      <w:r w:rsidR="00534073">
        <w:t xml:space="preserve"> 1966</w:t>
      </w:r>
      <w:r w:rsidR="006F2DF5">
        <w:t>.</w:t>
      </w:r>
    </w:p>
  </w:footnote>
  <w:footnote w:id="9">
    <w:p w14:paraId="4F5627AF" w14:textId="63D5E1B7" w:rsidR="004F50A5" w:rsidRDefault="004F50A5" w:rsidP="00CA49FF">
      <w:pPr>
        <w:pStyle w:val="NIHRCFootnotes"/>
      </w:pPr>
      <w:r>
        <w:rPr>
          <w:rStyle w:val="FootnoteReference"/>
        </w:rPr>
        <w:footnoteRef/>
      </w:r>
      <w:r>
        <w:t xml:space="preserve"> </w:t>
      </w:r>
      <w:r w:rsidR="00DB7CF7">
        <w:t xml:space="preserve">CCPR/C/GC/34 </w:t>
      </w:r>
      <w:r w:rsidR="007F7DB3">
        <w:t xml:space="preserve">‘UN CRC Committee </w:t>
      </w:r>
      <w:r w:rsidR="009A5DA1">
        <w:t>General Comment No 34</w:t>
      </w:r>
      <w:r w:rsidR="008A7860">
        <w:t xml:space="preserve"> -</w:t>
      </w:r>
      <w:r w:rsidR="0068392B">
        <w:t xml:space="preserve"> </w:t>
      </w:r>
      <w:r w:rsidR="00E42C2B">
        <w:t>A</w:t>
      </w:r>
      <w:r w:rsidR="0068392B">
        <w:t>rticle 19: Freedoms of</w:t>
      </w:r>
      <w:r w:rsidR="00E42C2B">
        <w:t xml:space="preserve"> </w:t>
      </w:r>
      <w:r w:rsidR="00C02926">
        <w:t>O</w:t>
      </w:r>
      <w:r w:rsidR="00E42C2B">
        <w:t xml:space="preserve">pinion and </w:t>
      </w:r>
      <w:r w:rsidR="00C02926">
        <w:t>E</w:t>
      </w:r>
      <w:r w:rsidR="00E42C2B">
        <w:t>xpression</w:t>
      </w:r>
      <w:r w:rsidR="00F379CE">
        <w:t>’</w:t>
      </w:r>
      <w:r w:rsidR="00311F83">
        <w:t xml:space="preserve">, </w:t>
      </w:r>
      <w:r w:rsidR="00324B6E">
        <w:t>29 July 2011.</w:t>
      </w:r>
    </w:p>
  </w:footnote>
  <w:footnote w:id="10">
    <w:p w14:paraId="780E4834" w14:textId="1911DF22" w:rsidR="007800A5" w:rsidRDefault="007800A5" w:rsidP="00CA49FF">
      <w:pPr>
        <w:pStyle w:val="NIHRCFootnotes"/>
      </w:pPr>
      <w:r>
        <w:rPr>
          <w:rStyle w:val="FootnoteReference"/>
        </w:rPr>
        <w:footnoteRef/>
      </w:r>
      <w:r>
        <w:t xml:space="preserve"> </w:t>
      </w:r>
      <w:r w:rsidR="00A515BB">
        <w:t>A/HRC/22/17/Add.4</w:t>
      </w:r>
      <w:r w:rsidR="00C533BD">
        <w:t xml:space="preserve"> ‘Report of the United Nations High Commissioner for Human Rights on the </w:t>
      </w:r>
      <w:r w:rsidR="005563B2">
        <w:t>E</w:t>
      </w:r>
      <w:r w:rsidR="00C533BD">
        <w:t xml:space="preserve">xpert </w:t>
      </w:r>
      <w:r w:rsidR="005563B2">
        <w:t>W</w:t>
      </w:r>
      <w:r w:rsidR="00C533BD">
        <w:t xml:space="preserve">orkshops on the </w:t>
      </w:r>
      <w:r w:rsidR="005563B2">
        <w:t>P</w:t>
      </w:r>
      <w:r w:rsidR="00C533BD">
        <w:t xml:space="preserve">rohibition of </w:t>
      </w:r>
      <w:r w:rsidR="005563B2">
        <w:t>I</w:t>
      </w:r>
      <w:r w:rsidR="00C533BD">
        <w:t xml:space="preserve">ncitement to </w:t>
      </w:r>
      <w:r w:rsidR="005563B2">
        <w:t>N</w:t>
      </w:r>
      <w:r w:rsidR="00C533BD">
        <w:t xml:space="preserve">ational, </w:t>
      </w:r>
      <w:r w:rsidR="005563B2">
        <w:t>R</w:t>
      </w:r>
      <w:r w:rsidR="00C533BD">
        <w:t xml:space="preserve">acial or </w:t>
      </w:r>
      <w:r w:rsidR="005563B2">
        <w:t>R</w:t>
      </w:r>
      <w:r w:rsidR="00C533BD">
        <w:t xml:space="preserve">eligious </w:t>
      </w:r>
      <w:r w:rsidR="005563B2">
        <w:t>H</w:t>
      </w:r>
      <w:r w:rsidR="00C533BD">
        <w:t>atred</w:t>
      </w:r>
      <w:r w:rsidR="008A6D8B">
        <w:t>’, 11 January 2013.</w:t>
      </w:r>
    </w:p>
  </w:footnote>
  <w:footnote w:id="11">
    <w:p w14:paraId="51D6D38F" w14:textId="1517B3E2" w:rsidR="00D77565" w:rsidRDefault="00D77565" w:rsidP="00CA49FF">
      <w:pPr>
        <w:pStyle w:val="NIHRCFootnotes"/>
      </w:pPr>
      <w:r>
        <w:rPr>
          <w:rStyle w:val="FootnoteReference"/>
        </w:rPr>
        <w:footnoteRef/>
      </w:r>
      <w:r>
        <w:t xml:space="preserve"> </w:t>
      </w:r>
      <w:r w:rsidR="005E1C1C">
        <w:t>Ibid.</w:t>
      </w:r>
    </w:p>
  </w:footnote>
  <w:footnote w:id="12">
    <w:p w14:paraId="741C7114" w14:textId="7C27C48A" w:rsidR="00A41CA1" w:rsidRDefault="00A41CA1" w:rsidP="00CA49FF">
      <w:pPr>
        <w:pStyle w:val="NIHRCFootnotes"/>
      </w:pPr>
      <w:r>
        <w:rPr>
          <w:rStyle w:val="FootnoteReference"/>
        </w:rPr>
        <w:footnoteRef/>
      </w:r>
      <w:r>
        <w:t xml:space="preserve"> </w:t>
      </w:r>
      <w:r w:rsidR="004B0238">
        <w:t>A/HRC/47/25 ‘</w:t>
      </w:r>
      <w:r w:rsidR="00C55911">
        <w:t>U</w:t>
      </w:r>
      <w:r w:rsidR="00572ECA">
        <w:t xml:space="preserve">N Special Rapporteur on the </w:t>
      </w:r>
      <w:r w:rsidR="005563B2">
        <w:t>P</w:t>
      </w:r>
      <w:r w:rsidR="00572ECA">
        <w:t xml:space="preserve">romotion and </w:t>
      </w:r>
      <w:r w:rsidR="005563B2">
        <w:t>P</w:t>
      </w:r>
      <w:r w:rsidR="00572ECA">
        <w:t xml:space="preserve">rotection of the </w:t>
      </w:r>
      <w:r w:rsidR="005563B2">
        <w:t>R</w:t>
      </w:r>
      <w:r w:rsidR="00572ECA">
        <w:t xml:space="preserve">ight to </w:t>
      </w:r>
      <w:r w:rsidR="005563B2">
        <w:t>F</w:t>
      </w:r>
      <w:r w:rsidR="00572ECA">
        <w:t xml:space="preserve">reedom of </w:t>
      </w:r>
      <w:r w:rsidR="005563B2">
        <w:t>O</w:t>
      </w:r>
      <w:r w:rsidR="00572ECA">
        <w:t xml:space="preserve">pinion and </w:t>
      </w:r>
      <w:r w:rsidR="005563B2">
        <w:t>E</w:t>
      </w:r>
      <w:r w:rsidR="00572ECA">
        <w:t>xpression</w:t>
      </w:r>
      <w:r w:rsidR="006A3679">
        <w:t xml:space="preserve">, Irene Khan, Report on </w:t>
      </w:r>
      <w:r w:rsidR="00B45BF4">
        <w:t xml:space="preserve">Disinformation and </w:t>
      </w:r>
      <w:r w:rsidR="005563B2">
        <w:t>F</w:t>
      </w:r>
      <w:r w:rsidR="00B45BF4">
        <w:t xml:space="preserve">reedom of </w:t>
      </w:r>
      <w:r w:rsidR="005563B2">
        <w:t>O</w:t>
      </w:r>
      <w:r w:rsidR="00B45BF4">
        <w:t xml:space="preserve">pinion and </w:t>
      </w:r>
      <w:r w:rsidR="005563B2">
        <w:t>E</w:t>
      </w:r>
      <w:r w:rsidR="00B45BF4">
        <w:t>xpression’</w:t>
      </w:r>
      <w:r w:rsidR="00973E07">
        <w:t>,</w:t>
      </w:r>
      <w:r w:rsidR="00B45BF4">
        <w:t xml:space="preserve"> </w:t>
      </w:r>
      <w:r w:rsidR="00131460">
        <w:t>13 April 2021.</w:t>
      </w:r>
    </w:p>
  </w:footnote>
  <w:footnote w:id="13">
    <w:p w14:paraId="207834EC" w14:textId="08440FD8" w:rsidR="00DF15AA" w:rsidRDefault="00DF15AA" w:rsidP="00CA49FF">
      <w:pPr>
        <w:pStyle w:val="NIHRCFootnotes"/>
      </w:pPr>
      <w:r>
        <w:rPr>
          <w:rStyle w:val="FootnoteReference"/>
        </w:rPr>
        <w:footnoteRef/>
      </w:r>
      <w:r>
        <w:t xml:space="preserve"> </w:t>
      </w:r>
      <w:r w:rsidR="00131460">
        <w:t xml:space="preserve">A/HRC/22/17/Add.4 ‘Report of the </w:t>
      </w:r>
      <w:r w:rsidR="005563B2">
        <w:t>UN</w:t>
      </w:r>
      <w:r w:rsidR="00131460">
        <w:t xml:space="preserve"> High Commissioner for Human Rights on the </w:t>
      </w:r>
      <w:r w:rsidR="005563B2">
        <w:t>E</w:t>
      </w:r>
      <w:r w:rsidR="00131460">
        <w:t xml:space="preserve">xpert </w:t>
      </w:r>
      <w:r w:rsidR="005563B2">
        <w:t>W</w:t>
      </w:r>
      <w:r w:rsidR="00131460">
        <w:t xml:space="preserve">orkshops on the </w:t>
      </w:r>
      <w:r w:rsidR="005563B2">
        <w:t>P</w:t>
      </w:r>
      <w:r w:rsidR="00131460">
        <w:t xml:space="preserve">rohibition of </w:t>
      </w:r>
      <w:r w:rsidR="005563B2">
        <w:t>I</w:t>
      </w:r>
      <w:r w:rsidR="00131460">
        <w:t xml:space="preserve">ncitement to </w:t>
      </w:r>
      <w:r w:rsidR="005563B2">
        <w:t>N</w:t>
      </w:r>
      <w:r w:rsidR="00131460">
        <w:t xml:space="preserve">ational, </w:t>
      </w:r>
      <w:r w:rsidR="005563B2">
        <w:t>R</w:t>
      </w:r>
      <w:r w:rsidR="00131460">
        <w:t xml:space="preserve">acial or </w:t>
      </w:r>
      <w:r w:rsidR="005563B2">
        <w:t>R</w:t>
      </w:r>
      <w:r w:rsidR="00131460">
        <w:t xml:space="preserve">eligious </w:t>
      </w:r>
      <w:r w:rsidR="005563B2">
        <w:t>H</w:t>
      </w:r>
      <w:r w:rsidR="00131460">
        <w:t>atred’, 11 January 2013.</w:t>
      </w:r>
    </w:p>
  </w:footnote>
  <w:footnote w:id="14">
    <w:p w14:paraId="5263313E" w14:textId="5EE99688" w:rsidR="00BB68EE" w:rsidRDefault="00BB68EE" w:rsidP="00CA49FF">
      <w:pPr>
        <w:pStyle w:val="NIHRCFootnotes"/>
      </w:pPr>
      <w:r>
        <w:rPr>
          <w:rStyle w:val="FootnoteReference"/>
        </w:rPr>
        <w:footnoteRef/>
      </w:r>
      <w:r>
        <w:t xml:space="preserve"> </w:t>
      </w:r>
      <w:r w:rsidR="00DE7040">
        <w:t>E/C.12/GC/20</w:t>
      </w:r>
      <w:r w:rsidR="00D06098">
        <w:t>,</w:t>
      </w:r>
      <w:r w:rsidR="00DE7040">
        <w:t xml:space="preserve"> ‘UN </w:t>
      </w:r>
      <w:r w:rsidR="002D5599">
        <w:t>CESCR General Comment</w:t>
      </w:r>
      <w:r w:rsidR="00460F87">
        <w:t xml:space="preserve"> No 20: Non-discrimination in </w:t>
      </w:r>
      <w:r w:rsidR="00D06098">
        <w:t>E</w:t>
      </w:r>
      <w:r w:rsidR="00460F87">
        <w:t xml:space="preserve">conomic, </w:t>
      </w:r>
      <w:r w:rsidR="00D06098">
        <w:t>S</w:t>
      </w:r>
      <w:r w:rsidR="000D77CD">
        <w:t>ocial,</w:t>
      </w:r>
      <w:r w:rsidR="00460F87">
        <w:t xml:space="preserve"> and </w:t>
      </w:r>
      <w:r w:rsidR="00D06098">
        <w:t>C</w:t>
      </w:r>
      <w:r w:rsidR="00460F87">
        <w:t xml:space="preserve">ultural </w:t>
      </w:r>
      <w:r w:rsidR="00D06098">
        <w:t>R</w:t>
      </w:r>
      <w:r w:rsidR="00460F87">
        <w:t>ights</w:t>
      </w:r>
      <w:r w:rsidR="00F72A1A">
        <w:t>’, 2 July 2009.</w:t>
      </w:r>
    </w:p>
  </w:footnote>
  <w:footnote w:id="15">
    <w:p w14:paraId="61D3DF88" w14:textId="171D04C2" w:rsidR="008C2CA3" w:rsidRDefault="008C2CA3" w:rsidP="00CA49FF">
      <w:pPr>
        <w:pStyle w:val="NIHRCFootnotes"/>
      </w:pPr>
      <w:r>
        <w:rPr>
          <w:rStyle w:val="FootnoteReference"/>
        </w:rPr>
        <w:footnoteRef/>
      </w:r>
      <w:r>
        <w:t xml:space="preserve"> </w:t>
      </w:r>
      <w:r w:rsidR="008561F5">
        <w:t xml:space="preserve">Stephanie </w:t>
      </w:r>
      <w:r w:rsidR="00893B76">
        <w:t xml:space="preserve">Wallace et al., </w:t>
      </w:r>
      <w:r w:rsidR="00864FAD">
        <w:t xml:space="preserve">‘Cumulative Effects of Racial Discrimination on the Mental Health of Ethnic Minorities in the </w:t>
      </w:r>
      <w:r w:rsidR="00D06098">
        <w:t>UK</w:t>
      </w:r>
      <w:r w:rsidR="003F7E93">
        <w:t>’</w:t>
      </w:r>
      <w:r w:rsidR="00615D9F">
        <w:t xml:space="preserve"> (</w:t>
      </w:r>
      <w:r w:rsidR="00BA2C9A">
        <w:t>A</w:t>
      </w:r>
      <w:r w:rsidR="00293150">
        <w:t>JPH</w:t>
      </w:r>
      <w:r w:rsidR="004646B5">
        <w:t>, 2016).</w:t>
      </w:r>
    </w:p>
  </w:footnote>
  <w:footnote w:id="16">
    <w:p w14:paraId="4D169CFF" w14:textId="533DA8AD" w:rsidR="003F50C8" w:rsidRDefault="003F50C8" w:rsidP="00CA49FF">
      <w:pPr>
        <w:pStyle w:val="NIHRCFootnotes"/>
      </w:pPr>
      <w:r>
        <w:rPr>
          <w:rStyle w:val="FootnoteReference"/>
        </w:rPr>
        <w:footnoteRef/>
      </w:r>
      <w:r>
        <w:t xml:space="preserve"> </w:t>
      </w:r>
      <w:r w:rsidR="0011023D">
        <w:t xml:space="preserve">The UN CERD Committee has clarified that the four categories of misconduct also </w:t>
      </w:r>
      <w:r w:rsidR="00B97C21">
        <w:t xml:space="preserve">are </w:t>
      </w:r>
      <w:r w:rsidR="0011023D">
        <w:t>applicable to ethnicity.</w:t>
      </w:r>
    </w:p>
  </w:footnote>
  <w:footnote w:id="17">
    <w:p w14:paraId="2AA7BF5C" w14:textId="0E548931" w:rsidR="00F527D9" w:rsidRDefault="00F527D9" w:rsidP="00CA49FF">
      <w:pPr>
        <w:pStyle w:val="NIHRCFootnotes"/>
      </w:pPr>
      <w:r>
        <w:rPr>
          <w:rStyle w:val="FootnoteReference"/>
        </w:rPr>
        <w:footnoteRef/>
      </w:r>
      <w:r>
        <w:t xml:space="preserve"> </w:t>
      </w:r>
      <w:r w:rsidR="0011023D">
        <w:t xml:space="preserve">‘UN CERD </w:t>
      </w:r>
      <w:r w:rsidR="00D06098">
        <w:t xml:space="preserve">Committee </w:t>
      </w:r>
      <w:r w:rsidR="0011023D">
        <w:t>General Recommendation No XV</w:t>
      </w:r>
      <w:r w:rsidR="00D06098">
        <w:t xml:space="preserve">: </w:t>
      </w:r>
      <w:r w:rsidR="0011023D">
        <w:t xml:space="preserve">Article 4 of the </w:t>
      </w:r>
      <w:r w:rsidR="00986192">
        <w:t>UN CERD</w:t>
      </w:r>
      <w:r w:rsidR="0011023D">
        <w:t xml:space="preserve">’, 1993. </w:t>
      </w:r>
      <w:r w:rsidR="006F3982">
        <w:t xml:space="preserve"> </w:t>
      </w:r>
    </w:p>
  </w:footnote>
  <w:footnote w:id="18">
    <w:p w14:paraId="2203251D" w14:textId="10C65DF3" w:rsidR="00360873" w:rsidRDefault="00360873" w:rsidP="00CA49FF">
      <w:pPr>
        <w:pStyle w:val="NIHRCFootnotes"/>
      </w:pPr>
      <w:r>
        <w:rPr>
          <w:rStyle w:val="FootnoteReference"/>
        </w:rPr>
        <w:footnoteRef/>
      </w:r>
      <w:r>
        <w:t xml:space="preserve"> A/HRC/22/17/Add.4 ‘Report of the </w:t>
      </w:r>
      <w:r w:rsidR="00986192">
        <w:t>UN</w:t>
      </w:r>
      <w:r>
        <w:t xml:space="preserve"> High Commissioner for Human Rights on the </w:t>
      </w:r>
      <w:r w:rsidR="00986192">
        <w:t>E</w:t>
      </w:r>
      <w:r>
        <w:t xml:space="preserve">xpert </w:t>
      </w:r>
      <w:r w:rsidR="00986192">
        <w:t>W</w:t>
      </w:r>
      <w:r>
        <w:t xml:space="preserve">orkshops on the </w:t>
      </w:r>
      <w:r w:rsidR="00986192">
        <w:t>P</w:t>
      </w:r>
      <w:r>
        <w:t xml:space="preserve">rohibition of </w:t>
      </w:r>
      <w:r w:rsidR="00986192">
        <w:t>I</w:t>
      </w:r>
      <w:r>
        <w:t xml:space="preserve">ncitement to </w:t>
      </w:r>
      <w:r w:rsidR="00986192">
        <w:t>N</w:t>
      </w:r>
      <w:r>
        <w:t xml:space="preserve">ational, </w:t>
      </w:r>
      <w:r w:rsidR="00986192">
        <w:t>R</w:t>
      </w:r>
      <w:r>
        <w:t xml:space="preserve">acial or </w:t>
      </w:r>
      <w:r w:rsidR="00986192">
        <w:t>R</w:t>
      </w:r>
      <w:r>
        <w:t xml:space="preserve">eligious </w:t>
      </w:r>
      <w:r w:rsidR="00986192">
        <w:t>H</w:t>
      </w:r>
      <w:r>
        <w:t>atred’, 11 January 2013.</w:t>
      </w:r>
    </w:p>
  </w:footnote>
  <w:footnote w:id="19">
    <w:p w14:paraId="27736A4A" w14:textId="77777777" w:rsidR="00FC1B0B" w:rsidRDefault="00FC1B0B" w:rsidP="00CA49FF">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paras 20(a)-20(h).</w:t>
      </w:r>
    </w:p>
  </w:footnote>
  <w:footnote w:id="20">
    <w:p w14:paraId="501C329C" w14:textId="7E150BAA" w:rsidR="00AA34A1" w:rsidRDefault="00AA34A1" w:rsidP="00CA49FF">
      <w:pPr>
        <w:pStyle w:val="NIHRCFootnotes"/>
      </w:pPr>
      <w:r>
        <w:rPr>
          <w:rStyle w:val="FootnoteReference"/>
        </w:rPr>
        <w:footnoteRef/>
      </w:r>
      <w:r>
        <w:t xml:space="preserve"> Ibid.</w:t>
      </w:r>
    </w:p>
  </w:footnote>
  <w:footnote w:id="21">
    <w:p w14:paraId="0F1FCC17" w14:textId="7FE0EC95" w:rsidR="008022CC" w:rsidRDefault="008022CC" w:rsidP="00CA49FF">
      <w:pPr>
        <w:pStyle w:val="NIHRCFootnotes"/>
      </w:pPr>
      <w:r>
        <w:rPr>
          <w:rStyle w:val="FootnoteReference"/>
        </w:rPr>
        <w:footnoteRef/>
      </w:r>
      <w:r>
        <w:t xml:space="preserve"> CEDAW/C/GC/28, ‘</w:t>
      </w:r>
      <w:r w:rsidR="000C0A2E">
        <w:t xml:space="preserve">UN CEDAW Committee </w:t>
      </w:r>
      <w:r>
        <w:t>General Recommendation No 28</w:t>
      </w:r>
      <w:r w:rsidR="000C0A2E">
        <w:t>: C</w:t>
      </w:r>
      <w:r>
        <w:t xml:space="preserve">ore </w:t>
      </w:r>
      <w:r w:rsidR="000C0A2E">
        <w:t>O</w:t>
      </w:r>
      <w:r>
        <w:t xml:space="preserve">bligations of States </w:t>
      </w:r>
      <w:r w:rsidR="000C0A2E">
        <w:t>P</w:t>
      </w:r>
      <w:r>
        <w:t xml:space="preserve">arties </w:t>
      </w:r>
      <w:r w:rsidR="000C0A2E">
        <w:t>U</w:t>
      </w:r>
      <w:r>
        <w:t xml:space="preserve">nder </w:t>
      </w:r>
      <w:r w:rsidR="000C0A2E">
        <w:t>A</w:t>
      </w:r>
      <w:r>
        <w:t xml:space="preserve">rticle 2 of the </w:t>
      </w:r>
      <w:r w:rsidR="000C0A2E">
        <w:t>UN CEDAW</w:t>
      </w:r>
      <w:r>
        <w:t>’, 16 December 2010.</w:t>
      </w:r>
    </w:p>
  </w:footnote>
  <w:footnote w:id="22">
    <w:p w14:paraId="5D41FF7F" w14:textId="12983467" w:rsidR="008E32D2" w:rsidRDefault="008E32D2" w:rsidP="00CA49FF">
      <w:pPr>
        <w:pStyle w:val="NIHRCFootnotes"/>
      </w:pPr>
      <w:r>
        <w:rPr>
          <w:rStyle w:val="FootnoteReference"/>
        </w:rPr>
        <w:footnoteRef/>
      </w:r>
      <w:r>
        <w:t xml:space="preserve"> Ibid.</w:t>
      </w:r>
    </w:p>
  </w:footnote>
  <w:footnote w:id="23">
    <w:p w14:paraId="6C6CFC93" w14:textId="6D91F975" w:rsidR="008635AC" w:rsidRDefault="008635AC" w:rsidP="00CA49FF">
      <w:pPr>
        <w:pStyle w:val="NIHRCFootnotes"/>
      </w:pPr>
      <w:r>
        <w:rPr>
          <w:rStyle w:val="FootnoteReference"/>
        </w:rPr>
        <w:footnoteRef/>
      </w:r>
      <w:r>
        <w:t xml:space="preserve"> </w:t>
      </w:r>
      <w:r w:rsidR="000B2A34">
        <w:t xml:space="preserve">Asha </w:t>
      </w:r>
      <w:r>
        <w:t>Allen, ‘An Intersectional Lens on Online Gender Based Violence and the Digital Services Act</w:t>
      </w:r>
      <w:r w:rsidR="00B423A1">
        <w:t>’</w:t>
      </w:r>
      <w:r w:rsidR="00B20C54">
        <w:t xml:space="preserve"> (</w:t>
      </w:r>
      <w:r w:rsidR="003F1B39">
        <w:t xml:space="preserve">VerfBlog, </w:t>
      </w:r>
      <w:r w:rsidR="00E54338">
        <w:t>2022).</w:t>
      </w:r>
    </w:p>
  </w:footnote>
  <w:footnote w:id="24">
    <w:p w14:paraId="0A5EBBFB" w14:textId="3EA6E55A" w:rsidR="008C50F0" w:rsidRDefault="008C50F0" w:rsidP="00CA49FF">
      <w:pPr>
        <w:pStyle w:val="NIHRCFootnotes"/>
      </w:pPr>
      <w:r>
        <w:rPr>
          <w:rStyle w:val="FootnoteReference"/>
        </w:rPr>
        <w:footnoteRef/>
      </w:r>
      <w:r>
        <w:t xml:space="preserve"> </w:t>
      </w:r>
      <w:r w:rsidR="00E15F89">
        <w:t>Dhanaraj</w:t>
      </w:r>
      <w:r w:rsidR="00F55278">
        <w:t xml:space="preserve"> </w:t>
      </w:r>
      <w:r>
        <w:t xml:space="preserve">Thakur and </w:t>
      </w:r>
      <w:r w:rsidR="00F55278">
        <w:t xml:space="preserve">DeVan </w:t>
      </w:r>
      <w:r>
        <w:t>Hankerson</w:t>
      </w:r>
      <w:r w:rsidR="00F55278">
        <w:t xml:space="preserve"> Madrigal</w:t>
      </w:r>
      <w:r>
        <w:t xml:space="preserve">, ‘Facts and </w:t>
      </w:r>
      <w:r w:rsidR="00DC3195">
        <w:t>T</w:t>
      </w:r>
      <w:r>
        <w:t>heir Discontents: A Research Agenda for Online Disinformation, Race, and Gender’ (CDT, 2021).</w:t>
      </w:r>
    </w:p>
  </w:footnote>
  <w:footnote w:id="25">
    <w:p w14:paraId="56F296F3" w14:textId="0CE2EE65" w:rsidR="008C50F0" w:rsidRDefault="008C50F0" w:rsidP="00CA49FF">
      <w:pPr>
        <w:pStyle w:val="NIHRCFootnotes"/>
      </w:pPr>
      <w:r>
        <w:rPr>
          <w:rStyle w:val="FootnoteReference"/>
        </w:rPr>
        <w:footnoteRef/>
      </w:r>
      <w:r>
        <w:t xml:space="preserve"> Ibid.</w:t>
      </w:r>
    </w:p>
  </w:footnote>
  <w:footnote w:id="26">
    <w:p w14:paraId="005C14A9" w14:textId="21A16F81" w:rsidR="006F5B3A" w:rsidRDefault="006F5B3A" w:rsidP="00CA49FF">
      <w:pPr>
        <w:pStyle w:val="NIHRCFootnotes"/>
      </w:pPr>
      <w:r>
        <w:rPr>
          <w:rStyle w:val="FootnoteReference"/>
        </w:rPr>
        <w:footnoteRef/>
      </w:r>
      <w:r>
        <w:t xml:space="preserve"> CRC/C/GC</w:t>
      </w:r>
      <w:r w:rsidR="00AC4915">
        <w:t>/25, ‘</w:t>
      </w:r>
      <w:r w:rsidR="00DC3195">
        <w:t xml:space="preserve">UN CRC Committee </w:t>
      </w:r>
      <w:r w:rsidR="00AC4915">
        <w:t>General Comment No</w:t>
      </w:r>
      <w:r w:rsidR="00013BB1">
        <w:t xml:space="preserve"> 25</w:t>
      </w:r>
      <w:r w:rsidR="00DC3195">
        <w:t>:</w:t>
      </w:r>
      <w:r w:rsidR="00013BB1">
        <w:t xml:space="preserve"> </w:t>
      </w:r>
      <w:r w:rsidR="00DC3195">
        <w:t>C</w:t>
      </w:r>
      <w:r w:rsidR="00013BB1">
        <w:t xml:space="preserve">hildren’s </w:t>
      </w:r>
      <w:r w:rsidR="00DC3195">
        <w:t>R</w:t>
      </w:r>
      <w:r w:rsidR="00013BB1">
        <w:t xml:space="preserve">ights in </w:t>
      </w:r>
      <w:r w:rsidR="00DC3195">
        <w:t>R</w:t>
      </w:r>
      <w:r w:rsidR="00013BB1">
        <w:t xml:space="preserve">elation to the </w:t>
      </w:r>
      <w:r w:rsidR="00DC3195">
        <w:t>D</w:t>
      </w:r>
      <w:r w:rsidR="00013BB1">
        <w:t xml:space="preserve">igital </w:t>
      </w:r>
      <w:r w:rsidR="00DC3195">
        <w:t>E</w:t>
      </w:r>
      <w:r w:rsidR="00013BB1">
        <w:t>nvironment’, 2 March 2021</w:t>
      </w:r>
      <w:r w:rsidR="00287459">
        <w:t>.</w:t>
      </w:r>
    </w:p>
  </w:footnote>
  <w:footnote w:id="27">
    <w:p w14:paraId="0DA4DC3E" w14:textId="0509B3E2" w:rsidR="008453CE" w:rsidRDefault="008453CE" w:rsidP="00CA49FF">
      <w:pPr>
        <w:pStyle w:val="NIHRCFootnotes"/>
      </w:pPr>
      <w:r>
        <w:rPr>
          <w:rStyle w:val="FootnoteReference"/>
        </w:rPr>
        <w:footnoteRef/>
      </w:r>
      <w:r>
        <w:t xml:space="preserve"> </w:t>
      </w:r>
      <w:r w:rsidR="000A21FB">
        <w:t>CRC/C/GBR/CO/6-7</w:t>
      </w:r>
      <w:r w:rsidR="00C30774">
        <w:t>, ‘</w:t>
      </w:r>
      <w:r w:rsidR="00DC3195">
        <w:t xml:space="preserve">UN CRC Committee </w:t>
      </w:r>
      <w:r w:rsidR="00C30774">
        <w:t xml:space="preserve">Concluding </w:t>
      </w:r>
      <w:r w:rsidR="00DC3195">
        <w:t>O</w:t>
      </w:r>
      <w:r w:rsidR="00C30774">
        <w:t xml:space="preserve">bservations on the </w:t>
      </w:r>
      <w:r w:rsidR="00DC3195">
        <w:t>C</w:t>
      </w:r>
      <w:r w:rsidR="00C30774">
        <w:t xml:space="preserve">ombined </w:t>
      </w:r>
      <w:r w:rsidR="00DC3195">
        <w:t xml:space="preserve">Sixth </w:t>
      </w:r>
      <w:r w:rsidR="00C30774">
        <w:t xml:space="preserve">and </w:t>
      </w:r>
      <w:r w:rsidR="00DC3195">
        <w:t>Seventh</w:t>
      </w:r>
      <w:r w:rsidR="00C30774">
        <w:t xml:space="preserve"> </w:t>
      </w:r>
      <w:r w:rsidR="00DC3195">
        <w:t>P</w:t>
      </w:r>
      <w:r w:rsidR="00C30774">
        <w:t xml:space="preserve">eriodic </w:t>
      </w:r>
      <w:r w:rsidR="00DC3195">
        <w:t>R</w:t>
      </w:r>
      <w:r w:rsidR="00C30774">
        <w:t xml:space="preserve">eports of the </w:t>
      </w:r>
      <w:r w:rsidR="00DC3195">
        <w:t>UK</w:t>
      </w:r>
      <w:r w:rsidR="00C30774">
        <w:t xml:space="preserve"> of Great Britain and </w:t>
      </w:r>
      <w:r w:rsidR="00DC3195">
        <w:t>NI</w:t>
      </w:r>
      <w:r w:rsidR="008D7DB2">
        <w:t>’</w:t>
      </w:r>
      <w:r w:rsidR="002A34FB">
        <w:t xml:space="preserve">, </w:t>
      </w:r>
      <w:r w:rsidR="00BF7DAA">
        <w:t>22 June 2023.</w:t>
      </w:r>
    </w:p>
  </w:footnote>
  <w:footnote w:id="28">
    <w:p w14:paraId="2DDBCC37" w14:textId="2DE54919" w:rsidR="001B41ED" w:rsidRDefault="001B41ED" w:rsidP="00CA49FF">
      <w:pPr>
        <w:pStyle w:val="NIHRCFootnotes"/>
      </w:pPr>
      <w:r>
        <w:rPr>
          <w:rStyle w:val="FootnoteReference"/>
        </w:rPr>
        <w:footnoteRef/>
      </w:r>
      <w:r>
        <w:t xml:space="preserve"> A/HRC/47/25, ‘Disinformation and </w:t>
      </w:r>
      <w:r w:rsidR="00DC3195">
        <w:t>F</w:t>
      </w:r>
      <w:r>
        <w:t xml:space="preserve">reedom of </w:t>
      </w:r>
      <w:r w:rsidR="00DC3195">
        <w:t>O</w:t>
      </w:r>
      <w:r>
        <w:t xml:space="preserve">pinion and </w:t>
      </w:r>
      <w:r w:rsidR="00DC3195">
        <w:t>E</w:t>
      </w:r>
      <w:r>
        <w:t xml:space="preserve">xpression: Report of the </w:t>
      </w:r>
      <w:r w:rsidR="00DC3195">
        <w:t xml:space="preserve">UN </w:t>
      </w:r>
      <w:r>
        <w:t xml:space="preserve">Special Rapporteur on the </w:t>
      </w:r>
      <w:r w:rsidR="00DC3195">
        <w:t>P</w:t>
      </w:r>
      <w:r>
        <w:t xml:space="preserve">romotion and </w:t>
      </w:r>
      <w:r w:rsidR="00DC3195">
        <w:t>P</w:t>
      </w:r>
      <w:r>
        <w:t xml:space="preserve">rotection of the </w:t>
      </w:r>
      <w:r w:rsidR="00DC3195">
        <w:t>R</w:t>
      </w:r>
      <w:r>
        <w:t xml:space="preserve">ight to </w:t>
      </w:r>
      <w:r w:rsidR="00DC3195">
        <w:t>F</w:t>
      </w:r>
      <w:r>
        <w:t xml:space="preserve">reedom of </w:t>
      </w:r>
      <w:r w:rsidR="00DC3195">
        <w:t>O</w:t>
      </w:r>
      <w:r>
        <w:t xml:space="preserve">pinion and </w:t>
      </w:r>
      <w:r w:rsidR="00DC3195">
        <w:t>E</w:t>
      </w:r>
      <w:r>
        <w:t>xpression, Irene Khan’ 13 April 2021.</w:t>
      </w:r>
    </w:p>
  </w:footnote>
  <w:footnote w:id="29">
    <w:p w14:paraId="0AE2F8E7" w14:textId="30E49A90" w:rsidR="00614BD7" w:rsidRDefault="00614BD7" w:rsidP="00CA49FF">
      <w:pPr>
        <w:pStyle w:val="NIHRCFootnotes"/>
      </w:pPr>
      <w:r>
        <w:rPr>
          <w:rStyle w:val="FootnoteReference"/>
        </w:rPr>
        <w:footnoteRef/>
      </w:r>
      <w:r>
        <w:t xml:space="preserve"> </w:t>
      </w:r>
      <w:r w:rsidR="001B41ED">
        <w:t>Ibid.</w:t>
      </w:r>
    </w:p>
  </w:footnote>
  <w:footnote w:id="30">
    <w:p w14:paraId="192B73FE" w14:textId="7A9639C2" w:rsidR="00826D26" w:rsidRDefault="00826D26" w:rsidP="00CA49FF">
      <w:pPr>
        <w:pStyle w:val="NIHRCFootnotes"/>
      </w:pPr>
      <w:r>
        <w:rPr>
          <w:rStyle w:val="FootnoteReference"/>
        </w:rPr>
        <w:footnoteRef/>
      </w:r>
      <w:r>
        <w:t xml:space="preserve"> </w:t>
      </w:r>
      <w:r w:rsidR="00747C42">
        <w:t>Ibid.</w:t>
      </w:r>
    </w:p>
  </w:footnote>
  <w:footnote w:id="31">
    <w:p w14:paraId="4A8E4E18" w14:textId="121E1E38" w:rsidR="004704FF" w:rsidRDefault="004704FF" w:rsidP="00CA49FF">
      <w:pPr>
        <w:pStyle w:val="NIHRCFootnotes"/>
      </w:pPr>
      <w:r>
        <w:rPr>
          <w:rStyle w:val="FootnoteReference"/>
        </w:rPr>
        <w:footnoteRef/>
      </w:r>
      <w:r>
        <w:t xml:space="preserve"> </w:t>
      </w:r>
      <w:r w:rsidR="00DC3195">
        <w:t>Ibid.</w:t>
      </w:r>
    </w:p>
  </w:footnote>
  <w:footnote w:id="32">
    <w:p w14:paraId="0BEB1E0B" w14:textId="12C0D3BD" w:rsidR="00C334B5" w:rsidRDefault="00C334B5" w:rsidP="00CA49FF">
      <w:pPr>
        <w:pStyle w:val="NIHRCFootnotes"/>
      </w:pPr>
      <w:r>
        <w:rPr>
          <w:rStyle w:val="FootnoteReference"/>
        </w:rPr>
        <w:footnoteRef/>
      </w:r>
      <w:r>
        <w:t xml:space="preserve"> Ibid.</w:t>
      </w:r>
    </w:p>
  </w:footnote>
  <w:footnote w:id="33">
    <w:p w14:paraId="0C291C11" w14:textId="3B47A8E8" w:rsidR="00623C6D" w:rsidRDefault="00623C6D" w:rsidP="00CA49FF">
      <w:pPr>
        <w:pStyle w:val="NIHRCFootnotes"/>
      </w:pPr>
      <w:r>
        <w:rPr>
          <w:rStyle w:val="FootnoteReference"/>
        </w:rPr>
        <w:footnoteRef/>
      </w:r>
      <w:r>
        <w:t xml:space="preserve"> Ibid.</w:t>
      </w:r>
    </w:p>
  </w:footnote>
  <w:footnote w:id="34">
    <w:p w14:paraId="0CD1121D" w14:textId="6B0EF301" w:rsidR="00D91FFE" w:rsidRDefault="00D91FFE" w:rsidP="00CA49FF">
      <w:pPr>
        <w:pStyle w:val="NIHRCFootnotes"/>
      </w:pPr>
      <w:r>
        <w:rPr>
          <w:rStyle w:val="FootnoteReference"/>
        </w:rPr>
        <w:footnoteRef/>
      </w:r>
      <w:r>
        <w:t xml:space="preserve"> </w:t>
      </w:r>
      <w:r w:rsidR="00556406">
        <w:t xml:space="preserve">UN Office of the High Commissioner </w:t>
      </w:r>
      <w:r w:rsidR="00C14572">
        <w:t>for</w:t>
      </w:r>
      <w:r w:rsidR="00556406">
        <w:t xml:space="preserve"> Human Rights, </w:t>
      </w:r>
      <w:r>
        <w:t>‘UN Guiding Principles on Business and Human Rights’ (UNHR, 2011).</w:t>
      </w:r>
    </w:p>
  </w:footnote>
  <w:footnote w:id="35">
    <w:p w14:paraId="4E862543" w14:textId="63D47376" w:rsidR="00DF0A4C" w:rsidRDefault="00DF0A4C" w:rsidP="00CA49FF">
      <w:pPr>
        <w:pStyle w:val="NIHRCFootnotes"/>
      </w:pPr>
      <w:r>
        <w:rPr>
          <w:rStyle w:val="FootnoteReference"/>
        </w:rPr>
        <w:footnoteRef/>
      </w:r>
      <w:r>
        <w:t xml:space="preserve"> </w:t>
      </w:r>
      <w:r w:rsidR="00D91FFE">
        <w:t>Ibid.</w:t>
      </w:r>
    </w:p>
  </w:footnote>
  <w:footnote w:id="36">
    <w:p w14:paraId="01CA5CED" w14:textId="03DB8DC3" w:rsidR="00916B31" w:rsidRDefault="00916B31" w:rsidP="00CA49FF">
      <w:pPr>
        <w:pStyle w:val="NIHRCFootnotes"/>
      </w:pPr>
      <w:r>
        <w:rPr>
          <w:rStyle w:val="FootnoteReference"/>
        </w:rPr>
        <w:footnoteRef/>
      </w:r>
      <w:r>
        <w:t xml:space="preserve"> </w:t>
      </w:r>
      <w:r w:rsidR="00C14572">
        <w:t xml:space="preserve">Amnesty International, </w:t>
      </w:r>
      <w:r w:rsidR="0080164D">
        <w:t>‘A Human Rights Approach to Tackle Disinformation: Submission to the</w:t>
      </w:r>
      <w:r w:rsidR="00C14572">
        <w:t xml:space="preserve"> UN</w:t>
      </w:r>
      <w:r w:rsidR="0080164D">
        <w:t xml:space="preserve"> Office of the High Commissioner for Human Rights</w:t>
      </w:r>
      <w:r w:rsidR="002D1788">
        <w:t>’, (A</w:t>
      </w:r>
      <w:r w:rsidR="00A97F6D">
        <w:t xml:space="preserve">mnesty </w:t>
      </w:r>
      <w:r w:rsidR="002D1788">
        <w:t>I</w:t>
      </w:r>
      <w:r w:rsidR="00A97F6D">
        <w:t>nternational</w:t>
      </w:r>
      <w:r w:rsidR="002D1788">
        <w:t>, 14 April 2022).</w:t>
      </w:r>
    </w:p>
  </w:footnote>
  <w:footnote w:id="37">
    <w:p w14:paraId="2E031042" w14:textId="77777777" w:rsidR="005A7915" w:rsidRDefault="005A7915" w:rsidP="00CA49FF">
      <w:pPr>
        <w:pStyle w:val="NIHRCFootnotes"/>
      </w:pPr>
      <w:r>
        <w:rPr>
          <w:rStyle w:val="FootnoteReference"/>
        </w:rPr>
        <w:footnoteRef/>
      </w:r>
      <w:r>
        <w:t xml:space="preserve"> Ibid.</w:t>
      </w:r>
    </w:p>
  </w:footnote>
  <w:footnote w:id="38">
    <w:p w14:paraId="4D42ED1F" w14:textId="77777777" w:rsidR="00E408FF" w:rsidRDefault="00E408FF" w:rsidP="00E408FF">
      <w:pPr>
        <w:pStyle w:val="NIHRCFootnotes"/>
      </w:pPr>
      <w:r>
        <w:rPr>
          <w:rStyle w:val="FootnoteReference"/>
        </w:rPr>
        <w:footnoteRef/>
      </w:r>
      <w:r>
        <w:t xml:space="preserve"> </w:t>
      </w:r>
      <w:r w:rsidRPr="00C14572">
        <w:rPr>
          <w:i/>
          <w:iCs/>
        </w:rPr>
        <w:t>Denisov v Ukraine</w:t>
      </w:r>
      <w:r>
        <w:t xml:space="preserve"> (2018) ECHR 1061, at para 95; </w:t>
      </w:r>
      <w:r w:rsidRPr="00C14572">
        <w:rPr>
          <w:i/>
          <w:iCs/>
        </w:rPr>
        <w:t>S and Marper v UK</w:t>
      </w:r>
      <w:r>
        <w:t xml:space="preserve"> (2008) ECHR 178, at para 66.</w:t>
      </w:r>
    </w:p>
  </w:footnote>
  <w:footnote w:id="39">
    <w:p w14:paraId="1B8F8C57" w14:textId="77777777" w:rsidR="00E408FF" w:rsidRDefault="00E408FF" w:rsidP="00E408FF">
      <w:pPr>
        <w:pStyle w:val="NIHRCFootnotes"/>
      </w:pPr>
      <w:r>
        <w:rPr>
          <w:rStyle w:val="FootnoteReference"/>
        </w:rPr>
        <w:footnoteRef/>
      </w:r>
      <w:r>
        <w:t xml:space="preserve"> </w:t>
      </w:r>
      <w:r w:rsidRPr="00786696">
        <w:rPr>
          <w:i/>
          <w:iCs/>
        </w:rPr>
        <w:t>Uzun v Germany</w:t>
      </w:r>
      <w:r>
        <w:t xml:space="preserve"> (2010) ECHR 2263, at para 43.</w:t>
      </w:r>
    </w:p>
  </w:footnote>
  <w:footnote w:id="40">
    <w:p w14:paraId="6D07A36B" w14:textId="77777777" w:rsidR="00E408FF" w:rsidRDefault="00E408FF" w:rsidP="00E408FF">
      <w:pPr>
        <w:pStyle w:val="NIHRCFootnotes"/>
      </w:pPr>
      <w:r>
        <w:rPr>
          <w:rStyle w:val="FootnoteReference"/>
        </w:rPr>
        <w:footnoteRef/>
      </w:r>
      <w:r>
        <w:t xml:space="preserve"> </w:t>
      </w:r>
      <w:r w:rsidRPr="00786696">
        <w:rPr>
          <w:i/>
          <w:iCs/>
        </w:rPr>
        <w:t>Niemietz v Germany</w:t>
      </w:r>
      <w:r>
        <w:t xml:space="preserve"> (1992) ECHR 80, at para 32.</w:t>
      </w:r>
    </w:p>
  </w:footnote>
  <w:footnote w:id="41">
    <w:p w14:paraId="59153A74" w14:textId="77777777" w:rsidR="00E408FF" w:rsidRDefault="00E408FF" w:rsidP="00E408FF">
      <w:pPr>
        <w:pStyle w:val="NIHRCFootnotes"/>
      </w:pPr>
      <w:r>
        <w:rPr>
          <w:rStyle w:val="FootnoteReference"/>
        </w:rPr>
        <w:footnoteRef/>
      </w:r>
      <w:r>
        <w:t xml:space="preserve"> </w:t>
      </w:r>
      <w:r w:rsidRPr="00786696">
        <w:rPr>
          <w:i/>
          <w:iCs/>
        </w:rPr>
        <w:t>Margareta and Roger Andersson v Sweden</w:t>
      </w:r>
      <w:r>
        <w:t xml:space="preserve"> (1992) ECHR 1, at para 72; </w:t>
      </w:r>
      <w:r w:rsidRPr="00786696">
        <w:rPr>
          <w:i/>
          <w:iCs/>
        </w:rPr>
        <w:t>Ludi v Switerland</w:t>
      </w:r>
      <w:r>
        <w:t xml:space="preserve"> (1992) ECHR 50, at paras 38-39; </w:t>
      </w:r>
      <w:r w:rsidRPr="00786696">
        <w:rPr>
          <w:i/>
          <w:iCs/>
        </w:rPr>
        <w:t>Klass and Others v Germany</w:t>
      </w:r>
      <w:r>
        <w:t xml:space="preserve"> (1978) ECHR 4, at paras 21 and 44; </w:t>
      </w:r>
      <w:r w:rsidRPr="00786696">
        <w:rPr>
          <w:i/>
          <w:iCs/>
        </w:rPr>
        <w:t>Amann v Switzerland</w:t>
      </w:r>
      <w:r>
        <w:t xml:space="preserve"> (2000) ECHR 1671, at para 44; </w:t>
      </w:r>
      <w:r w:rsidRPr="00786696">
        <w:rPr>
          <w:i/>
          <w:iCs/>
        </w:rPr>
        <w:t>Petrov v Bulgaria</w:t>
      </w:r>
      <w:r>
        <w:t xml:space="preserve"> (2008) ECHR 428, at 51.</w:t>
      </w:r>
    </w:p>
  </w:footnote>
  <w:footnote w:id="42">
    <w:p w14:paraId="1E705447" w14:textId="77777777" w:rsidR="00E408FF" w:rsidRDefault="00E408FF" w:rsidP="00E408FF">
      <w:pPr>
        <w:pStyle w:val="NIHRCFootnotes"/>
      </w:pPr>
      <w:r>
        <w:rPr>
          <w:rStyle w:val="FootnoteReference"/>
        </w:rPr>
        <w:footnoteRef/>
      </w:r>
      <w:r>
        <w:t xml:space="preserve"> </w:t>
      </w:r>
      <w:r w:rsidRPr="00786696">
        <w:rPr>
          <w:i/>
          <w:iCs/>
        </w:rPr>
        <w:t>Saber v Norway</w:t>
      </w:r>
      <w:r>
        <w:t xml:space="preserve"> (2020) ECHR 912, at para 48; </w:t>
      </w:r>
      <w:r w:rsidRPr="00786696">
        <w:rPr>
          <w:i/>
          <w:iCs/>
        </w:rPr>
        <w:t>MP v Portugal</w:t>
      </w:r>
      <w:r>
        <w:t xml:space="preserve"> (2021) ECHR 732, at para 34; </w:t>
      </w:r>
      <w:r w:rsidRPr="00786696">
        <w:rPr>
          <w:i/>
          <w:iCs/>
        </w:rPr>
        <w:t>Wieser and Bicos Beteiligungen BmbH v Austria</w:t>
      </w:r>
      <w:r>
        <w:t xml:space="preserve"> (2007) ECHR 815, at para 45; </w:t>
      </w:r>
      <w:r w:rsidRPr="00786696">
        <w:rPr>
          <w:i/>
          <w:iCs/>
        </w:rPr>
        <w:t>Petri Sallinen and Others v Finland</w:t>
      </w:r>
      <w:r>
        <w:t xml:space="preserve"> (2005) ECHR 643, at para 71; </w:t>
      </w:r>
      <w:r w:rsidRPr="00786696">
        <w:rPr>
          <w:i/>
          <w:iCs/>
        </w:rPr>
        <w:t>Taylor-Sabori v UK</w:t>
      </w:r>
      <w:r>
        <w:t xml:space="preserve"> (2000) ECHR 691.</w:t>
      </w:r>
    </w:p>
  </w:footnote>
  <w:footnote w:id="43">
    <w:p w14:paraId="09F854E2" w14:textId="1CAA7218" w:rsidR="001B020E" w:rsidRDefault="001B020E" w:rsidP="00CA49FF">
      <w:pPr>
        <w:pStyle w:val="NIHRCFootnotes"/>
      </w:pPr>
      <w:r>
        <w:rPr>
          <w:rStyle w:val="FootnoteReference"/>
        </w:rPr>
        <w:footnoteRef/>
      </w:r>
      <w:r>
        <w:t xml:space="preserve"> </w:t>
      </w:r>
      <w:r w:rsidR="003B3E16" w:rsidRPr="00F413F2">
        <w:rPr>
          <w:i/>
          <w:iCs/>
        </w:rPr>
        <w:t>Aksu v Turkey</w:t>
      </w:r>
      <w:r w:rsidR="003B3E16">
        <w:t xml:space="preserve"> </w:t>
      </w:r>
      <w:r w:rsidR="00F413F2">
        <w:t>(2012) ECHR</w:t>
      </w:r>
      <w:r w:rsidR="00FB5B93">
        <w:t xml:space="preserve"> 150.</w:t>
      </w:r>
    </w:p>
  </w:footnote>
  <w:footnote w:id="44">
    <w:p w14:paraId="095293B3" w14:textId="5A4C4823" w:rsidR="001B020E" w:rsidRDefault="001B020E" w:rsidP="00CA49FF">
      <w:pPr>
        <w:pStyle w:val="NIHRCFootnotes"/>
      </w:pPr>
      <w:r>
        <w:rPr>
          <w:rStyle w:val="FootnoteReference"/>
        </w:rPr>
        <w:footnoteRef/>
      </w:r>
      <w:r>
        <w:t xml:space="preserve"> </w:t>
      </w:r>
      <w:r w:rsidR="00C8654D" w:rsidRPr="00C14572">
        <w:rPr>
          <w:i/>
          <w:iCs/>
        </w:rPr>
        <w:t>S and Marper v UK</w:t>
      </w:r>
      <w:r w:rsidR="00C8654D">
        <w:t xml:space="preserve"> (2008) ECHR 178</w:t>
      </w:r>
      <w:r w:rsidR="00B666C6">
        <w:t>.</w:t>
      </w:r>
    </w:p>
  </w:footnote>
  <w:footnote w:id="45">
    <w:p w14:paraId="665C01C5" w14:textId="77777777" w:rsidR="009A406F" w:rsidRDefault="009A406F" w:rsidP="009A406F">
      <w:pPr>
        <w:pStyle w:val="NIHRCFootnotes"/>
      </w:pPr>
      <w:r>
        <w:rPr>
          <w:rStyle w:val="FootnoteReference"/>
        </w:rPr>
        <w:footnoteRef/>
      </w:r>
      <w:r>
        <w:t xml:space="preserve"> </w:t>
      </w:r>
      <w:r w:rsidRPr="00906987">
        <w:rPr>
          <w:i/>
          <w:iCs/>
        </w:rPr>
        <w:t>Association Accept and Others v Romania</w:t>
      </w:r>
      <w:r>
        <w:t xml:space="preserve"> (2021) ECHR 451, at para 127.</w:t>
      </w:r>
    </w:p>
  </w:footnote>
  <w:footnote w:id="46">
    <w:p w14:paraId="63F65FCD" w14:textId="237283C7" w:rsidR="00325D5B" w:rsidRDefault="00325D5B" w:rsidP="00CA49FF">
      <w:pPr>
        <w:pStyle w:val="NIHRCFootnotes"/>
      </w:pPr>
      <w:r>
        <w:rPr>
          <w:rStyle w:val="FootnoteReference"/>
        </w:rPr>
        <w:footnoteRef/>
      </w:r>
      <w:r>
        <w:t xml:space="preserve"> </w:t>
      </w:r>
      <w:r w:rsidRPr="00A81B0D">
        <w:rPr>
          <w:i/>
          <w:iCs/>
        </w:rPr>
        <w:t>Budinova and Chaprazov v Bulgaria</w:t>
      </w:r>
      <w:r>
        <w:t xml:space="preserve"> (2021) ECHR 248.</w:t>
      </w:r>
    </w:p>
  </w:footnote>
  <w:footnote w:id="47">
    <w:p w14:paraId="562353B1" w14:textId="77777777" w:rsidR="009A406F" w:rsidRDefault="009A406F" w:rsidP="009A406F">
      <w:pPr>
        <w:pStyle w:val="NIHRCFootnotes"/>
      </w:pPr>
      <w:r>
        <w:rPr>
          <w:rStyle w:val="FootnoteReference"/>
        </w:rPr>
        <w:footnoteRef/>
      </w:r>
      <w:r>
        <w:t xml:space="preserve"> </w:t>
      </w:r>
      <w:r w:rsidRPr="00906987">
        <w:rPr>
          <w:i/>
          <w:iCs/>
        </w:rPr>
        <w:t>Oganezova v Armenia</w:t>
      </w:r>
      <w:r>
        <w:t xml:space="preserve"> (2022) ECHR 367, at para 77.</w:t>
      </w:r>
    </w:p>
  </w:footnote>
  <w:footnote w:id="48">
    <w:p w14:paraId="4B4F412D" w14:textId="6E64CDE9" w:rsidR="00166E40" w:rsidRPr="005B0765" w:rsidRDefault="00166E40" w:rsidP="00CA49FF">
      <w:pPr>
        <w:pStyle w:val="NIHRCFootnotes"/>
      </w:pPr>
      <w:r>
        <w:rPr>
          <w:rStyle w:val="FootnoteReference"/>
        </w:rPr>
        <w:footnoteRef/>
      </w:r>
      <w:r>
        <w:t xml:space="preserve"> </w:t>
      </w:r>
      <w:r w:rsidR="005B0765">
        <w:rPr>
          <w:i/>
          <w:iCs/>
        </w:rPr>
        <w:t>Féret v Belgium</w:t>
      </w:r>
      <w:r w:rsidR="005B0765">
        <w:t xml:space="preserve"> (2009) ECHR</w:t>
      </w:r>
      <w:r w:rsidR="00E85C88">
        <w:t xml:space="preserve"> 121.</w:t>
      </w:r>
    </w:p>
  </w:footnote>
  <w:footnote w:id="49">
    <w:p w14:paraId="41A7148B" w14:textId="77777777" w:rsidR="001A2149" w:rsidRDefault="001A2149" w:rsidP="00CA49FF">
      <w:pPr>
        <w:pStyle w:val="NIHRCFootnotes"/>
      </w:pPr>
      <w:r>
        <w:rPr>
          <w:rStyle w:val="FootnoteReference"/>
        </w:rPr>
        <w:footnoteRef/>
      </w:r>
      <w:r>
        <w:t xml:space="preserve"> Ibid.</w:t>
      </w:r>
    </w:p>
  </w:footnote>
  <w:footnote w:id="50">
    <w:p w14:paraId="13125E38" w14:textId="2EE61440" w:rsidR="00B26309" w:rsidRDefault="00B26309" w:rsidP="00CA49FF">
      <w:pPr>
        <w:pStyle w:val="NIHRCFootnotes"/>
      </w:pPr>
      <w:r>
        <w:rPr>
          <w:rStyle w:val="FootnoteReference"/>
        </w:rPr>
        <w:footnoteRef/>
      </w:r>
      <w:r>
        <w:t xml:space="preserve"> </w:t>
      </w:r>
      <w:r w:rsidR="00F721B6" w:rsidRPr="00573BE8">
        <w:rPr>
          <w:i/>
          <w:iCs/>
        </w:rPr>
        <w:t>Terent</w:t>
      </w:r>
      <w:r w:rsidR="003D1AD0" w:rsidRPr="00573BE8">
        <w:rPr>
          <w:i/>
          <w:iCs/>
        </w:rPr>
        <w:t>yev v. Russia</w:t>
      </w:r>
      <w:r w:rsidR="00573BE8">
        <w:t xml:space="preserve"> (2018) ECHR 31.</w:t>
      </w:r>
    </w:p>
  </w:footnote>
  <w:footnote w:id="51">
    <w:p w14:paraId="43D3762E" w14:textId="7AA521CA" w:rsidR="00173E7B" w:rsidRDefault="00173E7B" w:rsidP="00CA49FF">
      <w:pPr>
        <w:pStyle w:val="NIHRCFootnotes"/>
      </w:pPr>
      <w:r>
        <w:rPr>
          <w:rStyle w:val="FootnoteReference"/>
        </w:rPr>
        <w:footnoteRef/>
      </w:r>
      <w:r>
        <w:t xml:space="preserve"> </w:t>
      </w:r>
      <w:r w:rsidR="00F631AD">
        <w:t xml:space="preserve">Dhanaraj </w:t>
      </w:r>
      <w:r>
        <w:t xml:space="preserve">Thakur and </w:t>
      </w:r>
      <w:r w:rsidR="00F631AD">
        <w:t xml:space="preserve">DeVan </w:t>
      </w:r>
      <w:r>
        <w:t>Hankerson</w:t>
      </w:r>
      <w:r w:rsidR="00F631AD">
        <w:t xml:space="preserve"> Madrigal</w:t>
      </w:r>
      <w:r>
        <w:t>, ‘Facts and their Discontents: A Research Agenda for Online Disinformation, Race, and Gender’ (CDT, 2021).</w:t>
      </w:r>
    </w:p>
  </w:footnote>
  <w:footnote w:id="52">
    <w:p w14:paraId="44C924C0" w14:textId="0A47FA98" w:rsidR="00B64447" w:rsidRDefault="00B64447" w:rsidP="00CA49FF">
      <w:pPr>
        <w:pStyle w:val="NIHRCFootnotes"/>
      </w:pPr>
      <w:r>
        <w:rPr>
          <w:rStyle w:val="FootnoteReference"/>
        </w:rPr>
        <w:footnoteRef/>
      </w:r>
      <w:r>
        <w:t xml:space="preserve"> Preamble, </w:t>
      </w:r>
      <w:r w:rsidR="00906987">
        <w:t>CoE</w:t>
      </w:r>
      <w:r>
        <w:t xml:space="preserve"> Convention on Cybercrime</w:t>
      </w:r>
      <w:r w:rsidR="007C44D7">
        <w:t xml:space="preserve"> 2001</w:t>
      </w:r>
    </w:p>
  </w:footnote>
  <w:footnote w:id="53">
    <w:p w14:paraId="743EE329" w14:textId="3CBD80E3" w:rsidR="00F32F3E" w:rsidRDefault="00F32F3E" w:rsidP="00CA49FF">
      <w:pPr>
        <w:pStyle w:val="NIHRCFootnotes"/>
      </w:pPr>
      <w:r>
        <w:rPr>
          <w:rStyle w:val="FootnoteReference"/>
        </w:rPr>
        <w:footnoteRef/>
      </w:r>
      <w:r>
        <w:t xml:space="preserve"> CR(2001)1, ‘ECRI General Policy Recommendation No 6</w:t>
      </w:r>
      <w:r w:rsidR="00762CC8">
        <w:t xml:space="preserve">: </w:t>
      </w:r>
      <w:r>
        <w:t>Combatting the Dissemination of Racist, Xenophobic, and Antisemitic Material via the Internet’ (ECRI, 2000).</w:t>
      </w:r>
    </w:p>
  </w:footnote>
  <w:footnote w:id="54">
    <w:p w14:paraId="4486CA24" w14:textId="0575B4D7" w:rsidR="00F47A67" w:rsidRDefault="00F47A67" w:rsidP="00CA49FF">
      <w:pPr>
        <w:pStyle w:val="NIHRCFootnotes"/>
      </w:pPr>
      <w:r>
        <w:rPr>
          <w:rStyle w:val="FootnoteReference"/>
        </w:rPr>
        <w:footnoteRef/>
      </w:r>
      <w:r>
        <w:t xml:space="preserve"> </w:t>
      </w:r>
      <w:r w:rsidR="007F27F2">
        <w:t xml:space="preserve">Chara </w:t>
      </w:r>
      <w:r w:rsidR="00F15D31">
        <w:t>Bakalis</w:t>
      </w:r>
      <w:r w:rsidR="007F19D4">
        <w:t xml:space="preserve">, ‘Cyberhate: </w:t>
      </w:r>
      <w:r w:rsidR="00762CC8">
        <w:t>A</w:t>
      </w:r>
      <w:r w:rsidR="007F19D4">
        <w:t xml:space="preserve">n </w:t>
      </w:r>
      <w:r w:rsidR="00762CC8">
        <w:t>I</w:t>
      </w:r>
      <w:r w:rsidR="007F19D4">
        <w:t xml:space="preserve">ssue of </w:t>
      </w:r>
      <w:r w:rsidR="00762CC8">
        <w:t>C</w:t>
      </w:r>
      <w:r w:rsidR="007F19D4">
        <w:t xml:space="preserve">ontinued </w:t>
      </w:r>
      <w:r w:rsidR="00762CC8">
        <w:t>C</w:t>
      </w:r>
      <w:r w:rsidR="007F19D4">
        <w:t xml:space="preserve">oncern for the </w:t>
      </w:r>
      <w:r w:rsidR="00762CC8">
        <w:t>CoE’s</w:t>
      </w:r>
      <w:r w:rsidR="007F19D4">
        <w:t xml:space="preserve"> Anti-Racism Commission</w:t>
      </w:r>
      <w:r w:rsidR="005160BC">
        <w:t>’ (CoE, 2015).</w:t>
      </w:r>
    </w:p>
  </w:footnote>
  <w:footnote w:id="55">
    <w:p w14:paraId="766B3AC1" w14:textId="00CB6A41" w:rsidR="00B43508" w:rsidRDefault="00B43508" w:rsidP="00CA49FF">
      <w:pPr>
        <w:pStyle w:val="NIHRCFootnotes"/>
      </w:pPr>
      <w:r>
        <w:rPr>
          <w:rStyle w:val="FootnoteReference"/>
        </w:rPr>
        <w:footnoteRef/>
      </w:r>
      <w:r>
        <w:t xml:space="preserve"> </w:t>
      </w:r>
      <w:r w:rsidR="00C87904">
        <w:t xml:space="preserve"> </w:t>
      </w:r>
      <w:r w:rsidR="00454911">
        <w:t>Council of Europe, ‘</w:t>
      </w:r>
      <w:r w:rsidR="00D16AF8">
        <w:t xml:space="preserve">Press </w:t>
      </w:r>
      <w:r w:rsidR="00762CC8">
        <w:t>R</w:t>
      </w:r>
      <w:r w:rsidR="00D16AF8">
        <w:t>elease</w:t>
      </w:r>
      <w:r w:rsidR="007A4434">
        <w:t>:</w:t>
      </w:r>
      <w:r w:rsidR="00866593">
        <w:t xml:space="preserve"> Member</w:t>
      </w:r>
      <w:r w:rsidR="008B2B79">
        <w:t xml:space="preserve"> </w:t>
      </w:r>
      <w:r w:rsidR="00762CC8">
        <w:t>S</w:t>
      </w:r>
      <w:r w:rsidR="008B2B79">
        <w:t>tates should enforce standards to combat online disinformation while protecting human rights for all’</w:t>
      </w:r>
      <w:r w:rsidR="00E43881">
        <w:t xml:space="preserve">, </w:t>
      </w:r>
      <w:r w:rsidR="00C66DA7">
        <w:t>9 January 2025.</w:t>
      </w:r>
    </w:p>
  </w:footnote>
  <w:footnote w:id="56">
    <w:p w14:paraId="358FD39C" w14:textId="0839BE09" w:rsidR="00F863AB" w:rsidRDefault="00F863AB" w:rsidP="00CA49FF">
      <w:pPr>
        <w:pStyle w:val="NIHRCFootnotes"/>
      </w:pPr>
      <w:r>
        <w:rPr>
          <w:rStyle w:val="FootnoteReference"/>
        </w:rPr>
        <w:footnoteRef/>
      </w:r>
      <w:r>
        <w:t xml:space="preserve"> </w:t>
      </w:r>
      <w:r w:rsidR="00E60917">
        <w:t>Natasha Black and Glenda Doherty</w:t>
      </w:r>
      <w:r w:rsidR="00B63A80">
        <w:t xml:space="preserve">, ‘Comparative </w:t>
      </w:r>
      <w:r w:rsidR="00762CC8">
        <w:t>S</w:t>
      </w:r>
      <w:r w:rsidR="00B63A80">
        <w:t xml:space="preserve">tudy of </w:t>
      </w:r>
      <w:r w:rsidR="00762CC8">
        <w:t>E</w:t>
      </w:r>
      <w:r w:rsidR="00B63A80">
        <w:t xml:space="preserve">quality </w:t>
      </w:r>
      <w:r w:rsidR="00762CC8">
        <w:t>L</w:t>
      </w:r>
      <w:r w:rsidR="00B63A80">
        <w:t xml:space="preserve">egislation in the </w:t>
      </w:r>
      <w:r w:rsidR="00762CC8">
        <w:t>UK</w:t>
      </w:r>
      <w:r w:rsidR="00B63A80">
        <w:t xml:space="preserve"> and Ireland</w:t>
      </w:r>
      <w:r w:rsidR="00F448AB">
        <w:t>’ (NIA, 2024).</w:t>
      </w:r>
      <w:r w:rsidR="00B63A80">
        <w:t xml:space="preserve"> </w:t>
      </w:r>
    </w:p>
  </w:footnote>
  <w:footnote w:id="57">
    <w:p w14:paraId="1742E916" w14:textId="38D8FD51" w:rsidR="00F36C6C" w:rsidRDefault="00F36C6C" w:rsidP="00CA49FF">
      <w:pPr>
        <w:pStyle w:val="NIHRCFootnotes"/>
      </w:pPr>
      <w:r>
        <w:rPr>
          <w:rStyle w:val="FootnoteReference"/>
        </w:rPr>
        <w:footnoteRef/>
      </w:r>
      <w:r>
        <w:t xml:space="preserve"> </w:t>
      </w:r>
      <w:r w:rsidR="00E66F82">
        <w:t xml:space="preserve">The rest of Great Britain has </w:t>
      </w:r>
      <w:r w:rsidR="00CC76A7">
        <w:t xml:space="preserve">the Equality Act 2010, which </w:t>
      </w:r>
      <w:r w:rsidR="00F241DA">
        <w:t>is</w:t>
      </w:r>
      <w:r w:rsidR="00C17F6A">
        <w:t xml:space="preserve"> a streamlined</w:t>
      </w:r>
      <w:r w:rsidR="00F241DA">
        <w:t xml:space="preserve"> single equality legislatio</w:t>
      </w:r>
      <w:r w:rsidR="001B6AE4">
        <w:t>n</w:t>
      </w:r>
      <w:r w:rsidR="00B31797">
        <w:t>. This is one of the many divergences between G</w:t>
      </w:r>
      <w:r w:rsidR="009A3F0B">
        <w:t xml:space="preserve">reat </w:t>
      </w:r>
      <w:r w:rsidR="00B31797">
        <w:t>B</w:t>
      </w:r>
      <w:r w:rsidR="009A3F0B">
        <w:t>ritain</w:t>
      </w:r>
      <w:r w:rsidR="00B31797">
        <w:t xml:space="preserve"> and NI </w:t>
      </w:r>
      <w:r w:rsidR="008D3818">
        <w:t>in terms of equality legislation.</w:t>
      </w:r>
    </w:p>
  </w:footnote>
  <w:footnote w:id="58">
    <w:p w14:paraId="12D3C014" w14:textId="23431D44" w:rsidR="000F5E2B" w:rsidRDefault="000F5E2B" w:rsidP="00CA49FF">
      <w:pPr>
        <w:pStyle w:val="NIHRCFootnotes"/>
      </w:pPr>
      <w:r>
        <w:rPr>
          <w:rStyle w:val="FootnoteReference"/>
        </w:rPr>
        <w:footnoteRef/>
      </w:r>
      <w:r>
        <w:t xml:space="preserve"> </w:t>
      </w:r>
      <w:r w:rsidR="00106216">
        <w:t xml:space="preserve">See </w:t>
      </w:r>
      <w:r w:rsidR="008E15A9">
        <w:t>NI</w:t>
      </w:r>
      <w:r w:rsidR="009A3F0B">
        <w:t xml:space="preserve"> </w:t>
      </w:r>
      <w:r w:rsidR="008E15A9">
        <w:t>H</w:t>
      </w:r>
      <w:r w:rsidR="009A3F0B">
        <w:t>uman Rights Commission</w:t>
      </w:r>
      <w:r w:rsidR="00A94A08">
        <w:t>, ‘Submission to the Committee for the Executive Office Inquiry into Gaps in Equality Legislation’</w:t>
      </w:r>
      <w:r w:rsidR="00E95B7B">
        <w:t xml:space="preserve"> (NIHRC, </w:t>
      </w:r>
      <w:r w:rsidR="006F7F10">
        <w:t>2024)</w:t>
      </w:r>
    </w:p>
  </w:footnote>
  <w:footnote w:id="59">
    <w:p w14:paraId="054124C3" w14:textId="380A2573" w:rsidR="00C65CB2" w:rsidRDefault="00C65CB2" w:rsidP="00CA49FF">
      <w:pPr>
        <w:pStyle w:val="NIHRCFootnotes"/>
      </w:pPr>
      <w:r>
        <w:rPr>
          <w:rStyle w:val="FootnoteReference"/>
        </w:rPr>
        <w:footnoteRef/>
      </w:r>
      <w:r>
        <w:t xml:space="preserve"> </w:t>
      </w:r>
      <w:r w:rsidR="009A3F0B">
        <w:t>NI</w:t>
      </w:r>
      <w:r w:rsidR="009470A2">
        <w:t xml:space="preserve"> Affairs Committee, ‘The </w:t>
      </w:r>
      <w:r w:rsidR="009A3F0B">
        <w:t>E</w:t>
      </w:r>
      <w:r w:rsidR="009470A2">
        <w:t xml:space="preserve">xperiences of </w:t>
      </w:r>
      <w:r w:rsidR="009A3F0B">
        <w:t>M</w:t>
      </w:r>
      <w:r w:rsidR="009470A2">
        <w:t xml:space="preserve">inority </w:t>
      </w:r>
      <w:r w:rsidR="009A3F0B">
        <w:t>E</w:t>
      </w:r>
      <w:r w:rsidR="009470A2">
        <w:t xml:space="preserve">thnic and </w:t>
      </w:r>
      <w:r w:rsidR="009A3F0B">
        <w:t>M</w:t>
      </w:r>
      <w:r w:rsidR="009470A2">
        <w:t xml:space="preserve">igrant </w:t>
      </w:r>
      <w:r w:rsidR="009A3F0B">
        <w:t>P</w:t>
      </w:r>
      <w:r w:rsidR="009470A2">
        <w:t xml:space="preserve">eople in </w:t>
      </w:r>
      <w:r w:rsidR="009A3F0B">
        <w:t>NI</w:t>
      </w:r>
      <w:r w:rsidR="009470A2">
        <w:t>’ (NI</w:t>
      </w:r>
      <w:r w:rsidR="009A3F0B">
        <w:t>AC</w:t>
      </w:r>
      <w:r w:rsidR="009470A2">
        <w:t>, 2022).</w:t>
      </w:r>
    </w:p>
  </w:footnote>
  <w:footnote w:id="60">
    <w:p w14:paraId="788FB2D6" w14:textId="73CE9AE7" w:rsidR="00A17AB4" w:rsidRDefault="00A17AB4" w:rsidP="00CA49FF">
      <w:pPr>
        <w:pStyle w:val="NIHRCFootnotes"/>
      </w:pPr>
      <w:r>
        <w:rPr>
          <w:rStyle w:val="FootnoteReference"/>
        </w:rPr>
        <w:footnoteRef/>
      </w:r>
      <w:r>
        <w:t xml:space="preserve"> </w:t>
      </w:r>
      <w:r w:rsidR="009F339F">
        <w:t>The NI Executive h</w:t>
      </w:r>
      <w:r w:rsidR="009E2D26">
        <w:t xml:space="preserve">as had two published racial </w:t>
      </w:r>
      <w:r w:rsidR="00ED6F15">
        <w:t>equality</w:t>
      </w:r>
      <w:r w:rsidR="009E2D26">
        <w:t xml:space="preserve"> </w:t>
      </w:r>
      <w:r w:rsidR="00ED6F15">
        <w:t>strategies</w:t>
      </w:r>
      <w:r w:rsidR="009E2D26">
        <w:t xml:space="preserve">. There was a </w:t>
      </w:r>
      <w:r w:rsidR="00ED6F15">
        <w:t>five-year</w:t>
      </w:r>
      <w:r w:rsidR="009E2D26">
        <w:t xml:space="preserve"> strategy published in 2005 and a ten</w:t>
      </w:r>
      <w:r w:rsidR="00ED6F15">
        <w:t>-</w:t>
      </w:r>
      <w:r w:rsidR="009E2D26">
        <w:t>year strategy published in 2015.</w:t>
      </w:r>
    </w:p>
  </w:footnote>
  <w:footnote w:id="61">
    <w:p w14:paraId="20B33D2B" w14:textId="30169A15" w:rsidR="0093487B" w:rsidRDefault="0093487B" w:rsidP="00CA49FF">
      <w:pPr>
        <w:pStyle w:val="NIHRCFootnotes"/>
      </w:pPr>
      <w:r>
        <w:rPr>
          <w:rStyle w:val="FootnoteReference"/>
        </w:rPr>
        <w:footnoteRef/>
      </w:r>
      <w:r>
        <w:t xml:space="preserve"> </w:t>
      </w:r>
      <w:r w:rsidR="00761193">
        <w:t>NI Affairs Committee, ‘The Experiences of Minority Ethnic and Migrant People in NI’ (NIAC, 2022).</w:t>
      </w:r>
    </w:p>
  </w:footnote>
  <w:footnote w:id="62">
    <w:p w14:paraId="1396B892" w14:textId="5EF3ACA8" w:rsidR="00572265" w:rsidRDefault="00572265" w:rsidP="00CA49FF">
      <w:pPr>
        <w:pStyle w:val="NIHRCFootnotes"/>
      </w:pPr>
      <w:r>
        <w:rPr>
          <w:rStyle w:val="FootnoteReference"/>
        </w:rPr>
        <w:footnoteRef/>
      </w:r>
      <w:r>
        <w:t xml:space="preserve"> Jack </w:t>
      </w:r>
      <w:r w:rsidRPr="007778D3">
        <w:t>Crangle</w:t>
      </w:r>
      <w:r>
        <w:t xml:space="preserve">, </w:t>
      </w:r>
      <w:r w:rsidR="00761193">
        <w:t>‘</w:t>
      </w:r>
      <w:r w:rsidRPr="007778D3">
        <w:t xml:space="preserve">Left to Fend for Themselves: Immigration, Race Relations, and the State in Twentieth Century </w:t>
      </w:r>
      <w:r w:rsidR="00761193">
        <w:t xml:space="preserve">NI’ </w:t>
      </w:r>
      <w:r w:rsidR="00600369">
        <w:t xml:space="preserve">(2018) 36(1) </w:t>
      </w:r>
      <w:r w:rsidRPr="00761193">
        <w:rPr>
          <w:i/>
          <w:iCs/>
        </w:rPr>
        <w:t>Immigrants and Minorities Journal</w:t>
      </w:r>
      <w:r w:rsidR="00600369">
        <w:t xml:space="preserve"> 20-44</w:t>
      </w:r>
      <w:r>
        <w:t>.</w:t>
      </w:r>
    </w:p>
  </w:footnote>
  <w:footnote w:id="63">
    <w:p w14:paraId="11D5505E" w14:textId="225CCAC2" w:rsidR="009819CD" w:rsidRDefault="009819CD" w:rsidP="00CA49FF">
      <w:pPr>
        <w:pStyle w:val="NIHRCFootnotes"/>
      </w:pPr>
      <w:r>
        <w:rPr>
          <w:rStyle w:val="FootnoteReference"/>
        </w:rPr>
        <w:footnoteRef/>
      </w:r>
      <w:r>
        <w:t xml:space="preserve"> </w:t>
      </w:r>
      <w:r w:rsidR="009470A2">
        <w:t xml:space="preserve">Paul </w:t>
      </w:r>
      <w:r w:rsidR="003B48EC">
        <w:t xml:space="preserve">Reilly, </w:t>
      </w:r>
      <w:r w:rsidR="005E6999">
        <w:t>‘</w:t>
      </w:r>
      <w:r w:rsidR="00356C9C">
        <w:t xml:space="preserve">Digital </w:t>
      </w:r>
      <w:r w:rsidR="005E6999">
        <w:t>M</w:t>
      </w:r>
      <w:r w:rsidR="00356C9C">
        <w:t xml:space="preserve">edia and </w:t>
      </w:r>
      <w:r w:rsidR="005E6999">
        <w:t>D</w:t>
      </w:r>
      <w:r w:rsidR="00356C9C">
        <w:t xml:space="preserve">isinformation in a </w:t>
      </w:r>
      <w:r w:rsidR="005E6999">
        <w:t>D</w:t>
      </w:r>
      <w:r w:rsidR="00356C9C">
        <w:t xml:space="preserve">eeply </w:t>
      </w:r>
      <w:r w:rsidR="005E6999">
        <w:t>D</w:t>
      </w:r>
      <w:r w:rsidR="00356C9C">
        <w:t xml:space="preserve">ivided </w:t>
      </w:r>
      <w:r w:rsidR="005E6999">
        <w:t>S</w:t>
      </w:r>
      <w:r w:rsidR="00356C9C">
        <w:t>ociety: Reflections from ‘</w:t>
      </w:r>
      <w:r w:rsidR="005E6999">
        <w:t>P</w:t>
      </w:r>
      <w:r w:rsidR="00356C9C">
        <w:t xml:space="preserve">ost-conflict’ </w:t>
      </w:r>
      <w:r w:rsidR="005E6999">
        <w:t>NI’</w:t>
      </w:r>
      <w:r w:rsidR="00303BDE">
        <w:t xml:space="preserve"> </w:t>
      </w:r>
      <w:r w:rsidR="00BA7A36">
        <w:t>(</w:t>
      </w:r>
      <w:r w:rsidR="00514936">
        <w:t>University of Sheffield, 2020).</w:t>
      </w:r>
    </w:p>
  </w:footnote>
  <w:footnote w:id="64">
    <w:p w14:paraId="2E121A66" w14:textId="3C16C7B0" w:rsidR="006C7EDD" w:rsidRDefault="006C7EDD" w:rsidP="00CA49FF">
      <w:pPr>
        <w:pStyle w:val="NIHRCFootnotes"/>
      </w:pPr>
      <w:r>
        <w:rPr>
          <w:rStyle w:val="FootnoteReference"/>
        </w:rPr>
        <w:footnoteRef/>
      </w:r>
      <w:r>
        <w:t xml:space="preserve"> </w:t>
      </w:r>
      <w:r w:rsidR="009470A2">
        <w:t>Ibid.</w:t>
      </w:r>
    </w:p>
  </w:footnote>
  <w:footnote w:id="65">
    <w:p w14:paraId="7389684E" w14:textId="0760AEF2" w:rsidR="00F01BA7" w:rsidRDefault="00F01BA7" w:rsidP="00CA49FF">
      <w:pPr>
        <w:pStyle w:val="NIHRCFootnotes"/>
      </w:pPr>
      <w:r>
        <w:rPr>
          <w:rStyle w:val="FootnoteReference"/>
        </w:rPr>
        <w:footnoteRef/>
      </w:r>
      <w:r>
        <w:t xml:space="preserve"> </w:t>
      </w:r>
      <w:r w:rsidR="009F6421">
        <w:t xml:space="preserve">Sam Hall, </w:t>
      </w:r>
      <w:r w:rsidR="00EC670E">
        <w:t>‘Timeline of events related to the Southport stabbings’</w:t>
      </w:r>
      <w:r w:rsidR="005C6E71">
        <w:t>,</w:t>
      </w:r>
      <w:r w:rsidR="00845C82">
        <w:t xml:space="preserve"> </w:t>
      </w:r>
      <w:r w:rsidR="00845C82" w:rsidRPr="005C6E71">
        <w:rPr>
          <w:i/>
          <w:iCs/>
        </w:rPr>
        <w:t>The Independent</w:t>
      </w:r>
      <w:r w:rsidR="005C6E71">
        <w:t>,</w:t>
      </w:r>
      <w:r w:rsidR="00845C82">
        <w:t xml:space="preserve"> 23 January 2025.</w:t>
      </w:r>
    </w:p>
  </w:footnote>
  <w:footnote w:id="66">
    <w:p w14:paraId="3494ADE9" w14:textId="768C6629" w:rsidR="00842A74" w:rsidRDefault="00842A74" w:rsidP="00CA49FF">
      <w:pPr>
        <w:pStyle w:val="NIHRCFootnotes"/>
      </w:pPr>
      <w:r>
        <w:rPr>
          <w:rStyle w:val="FootnoteReference"/>
        </w:rPr>
        <w:footnoteRef/>
      </w:r>
      <w:r>
        <w:t xml:space="preserve"> </w:t>
      </w:r>
      <w:r w:rsidR="000B6636">
        <w:t>Bot</w:t>
      </w:r>
      <w:r w:rsidR="00AF3DDE">
        <w:t xml:space="preserve"> is </w:t>
      </w:r>
      <w:r w:rsidR="005807D5">
        <w:t xml:space="preserve">short for the word ‘robot’ and refers to </w:t>
      </w:r>
      <w:r w:rsidR="00E65DED">
        <w:t>accounts</w:t>
      </w:r>
      <w:r w:rsidR="00C4623B">
        <w:t xml:space="preserve"> </w:t>
      </w:r>
      <w:r w:rsidR="005715BC">
        <w:t>functioning on an online platform</w:t>
      </w:r>
      <w:r w:rsidR="004E1A20">
        <w:t xml:space="preserve"> that are controlled by an automated agent and not a human</w:t>
      </w:r>
      <w:r w:rsidR="00E65DED">
        <w:t>.</w:t>
      </w:r>
    </w:p>
  </w:footnote>
  <w:footnote w:id="67">
    <w:p w14:paraId="2F7C74EF" w14:textId="0939A08E" w:rsidR="0099735F" w:rsidRDefault="0099735F" w:rsidP="00CA49FF">
      <w:pPr>
        <w:pStyle w:val="NIHRCFootnotes"/>
      </w:pPr>
      <w:r>
        <w:rPr>
          <w:rStyle w:val="FootnoteReference"/>
        </w:rPr>
        <w:footnoteRef/>
      </w:r>
      <w:r>
        <w:t xml:space="preserve"> </w:t>
      </w:r>
      <w:r w:rsidR="00500FCE">
        <w:t>Margaret Davis</w:t>
      </w:r>
      <w:r w:rsidR="00D401DA">
        <w:t xml:space="preserve">, ‘Southport misinformation ‘turbo charged’ by foreign bots online’, </w:t>
      </w:r>
      <w:r w:rsidR="00D401DA" w:rsidRPr="00135BA2">
        <w:rPr>
          <w:i/>
          <w:iCs/>
        </w:rPr>
        <w:t>The Irish News</w:t>
      </w:r>
      <w:r w:rsidR="00D401DA">
        <w:t xml:space="preserve">, </w:t>
      </w:r>
      <w:r w:rsidR="00734E4F">
        <w:t>20 November 2024.</w:t>
      </w:r>
    </w:p>
  </w:footnote>
  <w:footnote w:id="68">
    <w:p w14:paraId="0439896A" w14:textId="0338235E" w:rsidR="006D109D" w:rsidRDefault="006D109D" w:rsidP="00CA49FF">
      <w:pPr>
        <w:pStyle w:val="NIHRCFootnotes"/>
      </w:pPr>
      <w:r>
        <w:rPr>
          <w:rStyle w:val="FootnoteReference"/>
        </w:rPr>
        <w:footnoteRef/>
      </w:r>
      <w:r>
        <w:t xml:space="preserve"> </w:t>
      </w:r>
      <w:r w:rsidR="00A03072">
        <w:t>Section 1(1), Online Safety Act 2023.</w:t>
      </w:r>
    </w:p>
  </w:footnote>
  <w:footnote w:id="69">
    <w:p w14:paraId="3B2E6D2E" w14:textId="3FA76A68" w:rsidR="00A03072" w:rsidRDefault="00A03072" w:rsidP="00CA49FF">
      <w:pPr>
        <w:pStyle w:val="NIHRCFootnotes"/>
      </w:pPr>
      <w:r>
        <w:rPr>
          <w:rStyle w:val="FootnoteReference"/>
        </w:rPr>
        <w:footnoteRef/>
      </w:r>
      <w:r>
        <w:t xml:space="preserve"> </w:t>
      </w:r>
      <w:r w:rsidR="00F0295B">
        <w:t>Section 179, Online Safety Ac</w:t>
      </w:r>
      <w:r w:rsidR="00D3312D">
        <w:t>t 2023.</w:t>
      </w:r>
    </w:p>
  </w:footnote>
  <w:footnote w:id="70">
    <w:p w14:paraId="4AAD0226" w14:textId="3A315EA8" w:rsidR="000B6605" w:rsidRDefault="000B6605" w:rsidP="00CA49FF">
      <w:pPr>
        <w:pStyle w:val="NIHRCFootnotes"/>
      </w:pPr>
      <w:r>
        <w:rPr>
          <w:rStyle w:val="FootnoteReference"/>
        </w:rPr>
        <w:footnoteRef/>
      </w:r>
      <w:r>
        <w:t xml:space="preserve"> Section </w:t>
      </w:r>
      <w:r w:rsidR="00B84492">
        <w:t>181, Online Safety Act 2023.</w:t>
      </w:r>
    </w:p>
  </w:footnote>
  <w:footnote w:id="71">
    <w:p w14:paraId="6F8053FE" w14:textId="277A072A" w:rsidR="00CA4375" w:rsidRDefault="00CA4375" w:rsidP="00CA49FF">
      <w:pPr>
        <w:pStyle w:val="NIHRCFootnotes"/>
      </w:pPr>
      <w:r>
        <w:rPr>
          <w:rStyle w:val="FootnoteReference"/>
        </w:rPr>
        <w:footnoteRef/>
      </w:r>
      <w:r>
        <w:t xml:space="preserve"> Section 152, Online Safety Act 2023.</w:t>
      </w:r>
    </w:p>
  </w:footnote>
  <w:footnote w:id="72">
    <w:p w14:paraId="00B9276A" w14:textId="368269BD" w:rsidR="00DB4394" w:rsidRDefault="00DB4394" w:rsidP="00CA49FF">
      <w:pPr>
        <w:pStyle w:val="NIHRCFootnotes"/>
      </w:pPr>
      <w:r>
        <w:rPr>
          <w:rStyle w:val="FootnoteReference"/>
        </w:rPr>
        <w:footnoteRef/>
      </w:r>
      <w:r>
        <w:t xml:space="preserve"> Lorna Woods, et al, ‘</w:t>
      </w:r>
      <w:r w:rsidR="00135BA2">
        <w:t xml:space="preserve">Disinformation and </w:t>
      </w:r>
      <w:r w:rsidR="004F387B">
        <w:t>D</w:t>
      </w:r>
      <w:r w:rsidR="00135BA2">
        <w:t xml:space="preserve">isorder: </w:t>
      </w:r>
      <w:r w:rsidR="004F387B">
        <w:t>T</w:t>
      </w:r>
      <w:r w:rsidR="00135BA2">
        <w:t xml:space="preserve">he </w:t>
      </w:r>
      <w:r w:rsidR="004F387B">
        <w:t>L</w:t>
      </w:r>
      <w:r w:rsidR="00135BA2">
        <w:t xml:space="preserve">imits of the Online Safety Act’, </w:t>
      </w:r>
      <w:r w:rsidR="00135BA2" w:rsidRPr="004F387B">
        <w:rPr>
          <w:i/>
          <w:iCs/>
        </w:rPr>
        <w:t>Online Safety Act Network</w:t>
      </w:r>
      <w:r w:rsidR="00135BA2">
        <w:t>,</w:t>
      </w:r>
      <w:r w:rsidR="00290275">
        <w:t xml:space="preserve"> 10 August 2024.</w:t>
      </w:r>
    </w:p>
  </w:footnote>
  <w:footnote w:id="73">
    <w:p w14:paraId="45DCDAFD" w14:textId="6ED36A24" w:rsidR="00771684" w:rsidRDefault="00771684" w:rsidP="00CA49FF">
      <w:pPr>
        <w:pStyle w:val="NIHRCFootnotes"/>
      </w:pPr>
      <w:r>
        <w:rPr>
          <w:rStyle w:val="FootnoteReference"/>
        </w:rPr>
        <w:footnoteRef/>
      </w:r>
      <w:r>
        <w:t xml:space="preserve"> UK Parliament Hansard, ‘Committee on Science, Innovation, and Technology: Oral Evidence: Social </w:t>
      </w:r>
      <w:r w:rsidR="00493099">
        <w:t>M</w:t>
      </w:r>
      <w:r>
        <w:t xml:space="preserve">edia, </w:t>
      </w:r>
      <w:r w:rsidR="00493099">
        <w:t>M</w:t>
      </w:r>
      <w:r>
        <w:t xml:space="preserve">isinformation and </w:t>
      </w:r>
      <w:r w:rsidR="00493099">
        <w:t>H</w:t>
      </w:r>
      <w:r>
        <w:t xml:space="preserve">armful </w:t>
      </w:r>
      <w:r w:rsidR="00493099">
        <w:t>A</w:t>
      </w:r>
      <w:r>
        <w:t>lgorithms – HC 441’, 25 February 2025.</w:t>
      </w:r>
    </w:p>
  </w:footnote>
  <w:footnote w:id="74">
    <w:p w14:paraId="3705B65E" w14:textId="2D88023E" w:rsidR="004E119D" w:rsidRDefault="004E119D" w:rsidP="00CA49FF">
      <w:pPr>
        <w:pStyle w:val="NIHRCFootnotes"/>
      </w:pPr>
      <w:r>
        <w:rPr>
          <w:rStyle w:val="FootnoteReference"/>
        </w:rPr>
        <w:footnoteRef/>
      </w:r>
      <w:r>
        <w:t xml:space="preserve"> Police Service of </w:t>
      </w:r>
      <w:r w:rsidR="00F53B91">
        <w:t>NI</w:t>
      </w:r>
      <w:r>
        <w:t>, ‘Hate Crime Control Strategy August 2024’ (PSNI, 2024).</w:t>
      </w:r>
    </w:p>
  </w:footnote>
  <w:footnote w:id="75">
    <w:p w14:paraId="2FBBBC2B" w14:textId="75E88DAE" w:rsidR="005F711B" w:rsidRDefault="005F711B" w:rsidP="00CA49FF">
      <w:pPr>
        <w:pStyle w:val="NIHRCFootnotes"/>
      </w:pPr>
      <w:r>
        <w:rPr>
          <w:rStyle w:val="FootnoteReference"/>
        </w:rPr>
        <w:footnoteRef/>
      </w:r>
      <w:r>
        <w:t xml:space="preserve"> </w:t>
      </w:r>
      <w:r w:rsidR="004E119D">
        <w:t>Ibid.</w:t>
      </w:r>
    </w:p>
  </w:footnote>
  <w:footnote w:id="76">
    <w:p w14:paraId="5ED66692" w14:textId="2D2B8CA2" w:rsidR="00413174" w:rsidRDefault="00413174" w:rsidP="00CA49FF">
      <w:pPr>
        <w:pStyle w:val="NIHRCFootnotes"/>
      </w:pPr>
      <w:r>
        <w:rPr>
          <w:rStyle w:val="FootnoteReference"/>
        </w:rPr>
        <w:footnoteRef/>
      </w:r>
      <w:r>
        <w:t xml:space="preserve"> </w:t>
      </w:r>
      <w:r w:rsidR="00016E47">
        <w:t>O</w:t>
      </w:r>
      <w:r w:rsidR="00DA5BCB">
        <w:t>ffice of Communications</w:t>
      </w:r>
      <w:r w:rsidR="00016E47">
        <w:t>, ‘</w:t>
      </w:r>
      <w:r w:rsidR="00493099">
        <w:t>NI</w:t>
      </w:r>
      <w:r w:rsidR="00016E47">
        <w:t xml:space="preserve"> Advisory Committee</w:t>
      </w:r>
      <w:r w:rsidR="005D2C62">
        <w:t xml:space="preserve">: </w:t>
      </w:r>
      <w:r w:rsidR="00143AEE">
        <w:t>The 93</w:t>
      </w:r>
      <w:r w:rsidR="00143AEE" w:rsidRPr="00143AEE">
        <w:rPr>
          <w:vertAlign w:val="superscript"/>
        </w:rPr>
        <w:t>rd</w:t>
      </w:r>
      <w:r w:rsidR="00143AEE">
        <w:t xml:space="preserve"> </w:t>
      </w:r>
      <w:r w:rsidR="00493099">
        <w:t>M</w:t>
      </w:r>
      <w:r w:rsidR="00143AEE">
        <w:t xml:space="preserve">eeting of the Advisory Committee for </w:t>
      </w:r>
      <w:r w:rsidR="00493099">
        <w:t>NI</w:t>
      </w:r>
      <w:r w:rsidR="005F7135">
        <w:t>’</w:t>
      </w:r>
      <w:r w:rsidR="00493099">
        <w:t>,</w:t>
      </w:r>
      <w:r w:rsidR="005F7135">
        <w:t xml:space="preserve"> 10 October 2024.</w:t>
      </w:r>
    </w:p>
  </w:footnote>
  <w:footnote w:id="77">
    <w:p w14:paraId="6E0CB7C3" w14:textId="45EE6EE7" w:rsidR="00F150BC" w:rsidRDefault="00F150BC" w:rsidP="00CA49FF">
      <w:pPr>
        <w:pStyle w:val="NIHRCFootnotes"/>
      </w:pPr>
      <w:r>
        <w:rPr>
          <w:rStyle w:val="FootnoteReference"/>
        </w:rPr>
        <w:footnoteRef/>
      </w:r>
      <w:r>
        <w:t xml:space="preserve"> Ibid.</w:t>
      </w:r>
    </w:p>
  </w:footnote>
  <w:footnote w:id="78">
    <w:p w14:paraId="7BF59F1A" w14:textId="1080EABC" w:rsidR="006B0EB5" w:rsidRDefault="006B0EB5" w:rsidP="00CA49FF">
      <w:pPr>
        <w:pStyle w:val="NIHRCFootnotes"/>
      </w:pPr>
      <w:r>
        <w:rPr>
          <w:rStyle w:val="FootnoteReference"/>
        </w:rPr>
        <w:footnoteRef/>
      </w:r>
      <w:r>
        <w:t xml:space="preserve"> </w:t>
      </w:r>
      <w:r w:rsidR="00E66F73">
        <w:t>Bidstats</w:t>
      </w:r>
      <w:r w:rsidR="00076E3C">
        <w:t xml:space="preserve">, ‘Untold Stories –  </w:t>
      </w:r>
      <w:r w:rsidR="00DA5BCB">
        <w:t>A M</w:t>
      </w:r>
      <w:r w:rsidR="00076E3C">
        <w:t xml:space="preserve">edia </w:t>
      </w:r>
      <w:r w:rsidR="00DA5BCB">
        <w:t>L</w:t>
      </w:r>
      <w:r w:rsidR="00076E3C">
        <w:t xml:space="preserve">iteracy </w:t>
      </w:r>
      <w:r w:rsidR="00DA5BCB">
        <w:t>Re</w:t>
      </w:r>
      <w:r w:rsidR="00076E3C">
        <w:t xml:space="preserve">sponse to </w:t>
      </w:r>
      <w:r w:rsidR="00DA5BCB">
        <w:t>M</w:t>
      </w:r>
      <w:r w:rsidR="00076E3C">
        <w:t xml:space="preserve">is </w:t>
      </w:r>
      <w:r w:rsidR="00DA5BCB">
        <w:t>and</w:t>
      </w:r>
      <w:r w:rsidR="00076E3C">
        <w:t xml:space="preserve"> </w:t>
      </w:r>
      <w:r w:rsidR="00DA5BCB">
        <w:t>D</w:t>
      </w:r>
      <w:r w:rsidR="00076E3C">
        <w:t xml:space="preserve">isinformation: A Tender Notice by </w:t>
      </w:r>
      <w:r w:rsidR="00DA5BCB">
        <w:t>Office of Communications</w:t>
      </w:r>
      <w:r w:rsidR="00B94DB8">
        <w:t xml:space="preserve">’. Available at: </w:t>
      </w:r>
      <w:hyperlink r:id="rId1" w:history="1">
        <w:r w:rsidR="001A3639" w:rsidRPr="001A3639">
          <w:rPr>
            <w:rStyle w:val="Hyperlink"/>
          </w:rPr>
          <w:t xml:space="preserve">Untold Stories - A Media Literacy Response to Mis </w:t>
        </w:r>
        <w:r w:rsidR="00E10542">
          <w:rPr>
            <w:rStyle w:val="Hyperlink"/>
          </w:rPr>
          <w:t>and</w:t>
        </w:r>
        <w:r w:rsidR="001A3639" w:rsidRPr="001A3639">
          <w:rPr>
            <w:rStyle w:val="Hyperlink"/>
          </w:rPr>
          <w:t xml:space="preserve"> Dis Information [Notice]</w:t>
        </w:r>
      </w:hyperlink>
    </w:p>
  </w:footnote>
  <w:footnote w:id="79">
    <w:p w14:paraId="6F9B9447" w14:textId="1DE16433" w:rsidR="009E1844" w:rsidRDefault="009E1844" w:rsidP="00CA49FF">
      <w:pPr>
        <w:pStyle w:val="NIHRCFootnotes"/>
      </w:pPr>
      <w:r>
        <w:rPr>
          <w:rStyle w:val="FootnoteReference"/>
        </w:rPr>
        <w:footnoteRef/>
      </w:r>
      <w:r>
        <w:t xml:space="preserve"> </w:t>
      </w:r>
      <w:r w:rsidR="00EE3066">
        <w:t>Meeting between NI Human Rights Commission and FactCheckNI</w:t>
      </w:r>
      <w:r w:rsidR="00853F5B">
        <w:t>, 4 March 2025</w:t>
      </w:r>
      <w:r w:rsidR="00454098">
        <w:t xml:space="preserve">; </w:t>
      </w:r>
      <w:r w:rsidR="00E10542">
        <w:t>Committee on the Administration of Justice, Rabble Coop and Equality Coalition, ‘Mapping Far Right Activity Online in NI Project Report: Case Studies on the Role of Social Media in Anti-Immigration Protests and Racist Incidents’ (CAJ, 2025)</w:t>
      </w:r>
      <w:r w:rsidR="00CD26A7">
        <w:t>.</w:t>
      </w:r>
    </w:p>
  </w:footnote>
  <w:footnote w:id="80">
    <w:p w14:paraId="47C739A6" w14:textId="69C8A6DD" w:rsidR="00AF5882" w:rsidRDefault="00AF5882" w:rsidP="00CA49FF">
      <w:pPr>
        <w:pStyle w:val="NIHRCFootnotes"/>
      </w:pPr>
      <w:r>
        <w:rPr>
          <w:rStyle w:val="FootnoteReference"/>
        </w:rPr>
        <w:footnoteRef/>
      </w:r>
      <w:r>
        <w:t xml:space="preserve"> Orna Young, ‘Bad information is harming communities in </w:t>
      </w:r>
      <w:r w:rsidR="00B133C5">
        <w:t>NI</w:t>
      </w:r>
      <w:r>
        <w:t>. We all need to tackle it</w:t>
      </w:r>
      <w:r w:rsidR="001259AB">
        <w:t xml:space="preserve">’, </w:t>
      </w:r>
      <w:r w:rsidRPr="00AF5882">
        <w:rPr>
          <w:i/>
          <w:iCs/>
        </w:rPr>
        <w:t>FactCheckNI</w:t>
      </w:r>
      <w:r>
        <w:t>, 23 August 2024.</w:t>
      </w:r>
    </w:p>
  </w:footnote>
  <w:footnote w:id="81">
    <w:p w14:paraId="2E7CF646" w14:textId="7404940F" w:rsidR="00963D6D" w:rsidRDefault="00963D6D" w:rsidP="00CA49FF">
      <w:pPr>
        <w:pStyle w:val="NIHRCFootnotes"/>
      </w:pPr>
      <w:r>
        <w:rPr>
          <w:rStyle w:val="FootnoteReference"/>
        </w:rPr>
        <w:footnoteRef/>
      </w:r>
      <w:r>
        <w:t xml:space="preserve"> </w:t>
      </w:r>
      <w:r w:rsidRPr="006044FA">
        <w:t xml:space="preserve">Meeting </w:t>
      </w:r>
      <w:r>
        <w:t xml:space="preserve">between the NI Human Rights Commission and </w:t>
      </w:r>
      <w:r w:rsidRPr="006044FA">
        <w:t>Stephen White</w:t>
      </w:r>
      <w:r>
        <w:t xml:space="preserve">, </w:t>
      </w:r>
      <w:r w:rsidRPr="006044FA">
        <w:t>4 March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BC4"/>
    <w:multiLevelType w:val="multilevel"/>
    <w:tmpl w:val="D76E1190"/>
    <w:lvl w:ilvl="0">
      <w:start w:val="5"/>
      <w:numFmt w:val="decimal"/>
      <w:lvlText w:val="%1.0"/>
      <w:lvlJc w:val="left"/>
      <w:pPr>
        <w:ind w:left="1429" w:hanging="72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229" w:hanging="1080"/>
      </w:pPr>
      <w:rPr>
        <w:rFonts w:hint="default"/>
      </w:rPr>
    </w:lvl>
    <w:lvl w:ilvl="3">
      <w:start w:val="1"/>
      <w:numFmt w:val="decimal"/>
      <w:lvlText w:val="%1.%2.%3.%4"/>
      <w:lvlJc w:val="left"/>
      <w:pPr>
        <w:ind w:left="4309" w:hanging="1440"/>
      </w:pPr>
      <w:rPr>
        <w:rFonts w:hint="default"/>
      </w:rPr>
    </w:lvl>
    <w:lvl w:ilvl="4">
      <w:start w:val="1"/>
      <w:numFmt w:val="decimal"/>
      <w:lvlText w:val="%1.%2.%3.%4.%5"/>
      <w:lvlJc w:val="left"/>
      <w:pPr>
        <w:ind w:left="5389" w:hanging="1800"/>
      </w:pPr>
      <w:rPr>
        <w:rFonts w:hint="default"/>
      </w:rPr>
    </w:lvl>
    <w:lvl w:ilvl="5">
      <w:start w:val="1"/>
      <w:numFmt w:val="decimal"/>
      <w:lvlText w:val="%1.%2.%3.%4.%5.%6"/>
      <w:lvlJc w:val="left"/>
      <w:pPr>
        <w:ind w:left="6469" w:hanging="2160"/>
      </w:pPr>
      <w:rPr>
        <w:rFonts w:hint="default"/>
      </w:rPr>
    </w:lvl>
    <w:lvl w:ilvl="6">
      <w:start w:val="1"/>
      <w:numFmt w:val="decimal"/>
      <w:lvlText w:val="%1.%2.%3.%4.%5.%6.%7"/>
      <w:lvlJc w:val="left"/>
      <w:pPr>
        <w:ind w:left="7549" w:hanging="2520"/>
      </w:pPr>
      <w:rPr>
        <w:rFonts w:hint="default"/>
      </w:rPr>
    </w:lvl>
    <w:lvl w:ilvl="7">
      <w:start w:val="1"/>
      <w:numFmt w:val="decimal"/>
      <w:lvlText w:val="%1.%2.%3.%4.%5.%6.%7.%8"/>
      <w:lvlJc w:val="left"/>
      <w:pPr>
        <w:ind w:left="8629" w:hanging="2880"/>
      </w:pPr>
      <w:rPr>
        <w:rFonts w:hint="default"/>
      </w:rPr>
    </w:lvl>
    <w:lvl w:ilvl="8">
      <w:start w:val="1"/>
      <w:numFmt w:val="decimal"/>
      <w:lvlText w:val="%1.%2.%3.%4.%5.%6.%7.%8.%9"/>
      <w:lvlJc w:val="left"/>
      <w:pPr>
        <w:ind w:left="9709" w:hanging="3240"/>
      </w:pPr>
      <w:rPr>
        <w:rFonts w:hint="default"/>
      </w:rPr>
    </w:lvl>
  </w:abstractNum>
  <w:abstractNum w:abstractNumId="1" w15:restartNumberingAfterBreak="0">
    <w:nsid w:val="030F1033"/>
    <w:multiLevelType w:val="hybridMultilevel"/>
    <w:tmpl w:val="700E21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6818CB"/>
    <w:multiLevelType w:val="hybridMultilevel"/>
    <w:tmpl w:val="71A07BAA"/>
    <w:lvl w:ilvl="0" w:tplc="874AAB4A">
      <w:start w:val="3"/>
      <w:numFmt w:val="decimal"/>
      <w:lvlText w:val="3.%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6112B"/>
    <w:multiLevelType w:val="multilevel"/>
    <w:tmpl w:val="5750111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76D0302"/>
    <w:multiLevelType w:val="multilevel"/>
    <w:tmpl w:val="147ACDD6"/>
    <w:lvl w:ilvl="0">
      <w:start w:val="2"/>
      <w:numFmt w:val="decimal"/>
      <w:lvlText w:val="%1.0"/>
      <w:lvlJc w:val="left"/>
      <w:pPr>
        <w:ind w:left="527" w:hanging="527"/>
      </w:pPr>
      <w:rPr>
        <w:rFonts w:hint="default"/>
        <w:b/>
        <w:bCs/>
      </w:rPr>
    </w:lvl>
    <w:lvl w:ilvl="1">
      <w:start w:val="1"/>
      <w:numFmt w:val="decimal"/>
      <w:lvlText w:val="%1.%2"/>
      <w:lvlJc w:val="left"/>
      <w:pPr>
        <w:ind w:left="720" w:hanging="57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78C2E75"/>
    <w:multiLevelType w:val="multilevel"/>
    <w:tmpl w:val="775A3E52"/>
    <w:lvl w:ilvl="0">
      <w:start w:val="3"/>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5040"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7200" w:hanging="2520"/>
      </w:pPr>
      <w:rPr>
        <w:rFonts w:hint="default"/>
      </w:rPr>
    </w:lvl>
    <w:lvl w:ilvl="7">
      <w:start w:val="1"/>
      <w:numFmt w:val="decimal"/>
      <w:lvlText w:val="%1.%2.%3.%4.%5.%6.%7.%8"/>
      <w:lvlJc w:val="left"/>
      <w:pPr>
        <w:ind w:left="8280" w:hanging="2880"/>
      </w:pPr>
      <w:rPr>
        <w:rFonts w:hint="default"/>
      </w:rPr>
    </w:lvl>
    <w:lvl w:ilvl="8">
      <w:start w:val="1"/>
      <w:numFmt w:val="decimal"/>
      <w:lvlText w:val="%1.%2.%3.%4.%5.%6.%7.%8.%9"/>
      <w:lvlJc w:val="left"/>
      <w:pPr>
        <w:ind w:left="9360" w:hanging="3240"/>
      </w:pPr>
      <w:rPr>
        <w:rFonts w:hint="default"/>
      </w:rPr>
    </w:lvl>
  </w:abstractNum>
  <w:abstractNum w:abstractNumId="6" w15:restartNumberingAfterBreak="0">
    <w:nsid w:val="0F7B05C9"/>
    <w:multiLevelType w:val="hybridMultilevel"/>
    <w:tmpl w:val="77B019C4"/>
    <w:lvl w:ilvl="0" w:tplc="FFFFFFFF">
      <w:start w:val="1"/>
      <w:numFmt w:val="decimal"/>
      <w:lvlText w:val="3.%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2E10BB"/>
    <w:multiLevelType w:val="hybridMultilevel"/>
    <w:tmpl w:val="06F2B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84A63"/>
    <w:multiLevelType w:val="hybridMultilevel"/>
    <w:tmpl w:val="E988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7018A"/>
    <w:multiLevelType w:val="hybridMultilevel"/>
    <w:tmpl w:val="8A30D634"/>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5A1ED1"/>
    <w:multiLevelType w:val="hybridMultilevel"/>
    <w:tmpl w:val="F4B468E6"/>
    <w:lvl w:ilvl="0" w:tplc="8D14BBF8">
      <w:start w:val="1"/>
      <w:numFmt w:val="decimal"/>
      <w:lvlText w:val="3.%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9525F"/>
    <w:multiLevelType w:val="hybridMultilevel"/>
    <w:tmpl w:val="8CF40FB0"/>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150434"/>
    <w:multiLevelType w:val="multilevel"/>
    <w:tmpl w:val="8A764EDC"/>
    <w:lvl w:ilvl="0">
      <w:start w:val="2"/>
      <w:numFmt w:val="decimal"/>
      <w:lvlText w:val="%1.0"/>
      <w:lvlJc w:val="left"/>
      <w:pPr>
        <w:ind w:left="527" w:hanging="527"/>
      </w:pPr>
      <w:rPr>
        <w:rFonts w:hint="default"/>
      </w:rPr>
    </w:lvl>
    <w:lvl w:ilvl="1">
      <w:start w:val="1"/>
      <w:numFmt w:val="decimal"/>
      <w:lvlText w:val="%1.%2"/>
      <w:lvlJc w:val="left"/>
      <w:pPr>
        <w:ind w:left="720" w:hanging="57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91674CA"/>
    <w:multiLevelType w:val="multilevel"/>
    <w:tmpl w:val="8A764EDC"/>
    <w:lvl w:ilvl="0">
      <w:start w:val="2"/>
      <w:numFmt w:val="decimal"/>
      <w:lvlText w:val="%1.0"/>
      <w:lvlJc w:val="left"/>
      <w:pPr>
        <w:ind w:left="527" w:hanging="527"/>
      </w:pPr>
      <w:rPr>
        <w:rFonts w:hint="default"/>
      </w:rPr>
    </w:lvl>
    <w:lvl w:ilvl="1">
      <w:start w:val="1"/>
      <w:numFmt w:val="decimal"/>
      <w:lvlText w:val="%1.%2"/>
      <w:lvlJc w:val="left"/>
      <w:pPr>
        <w:ind w:left="720" w:hanging="57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A6E776B"/>
    <w:multiLevelType w:val="multilevel"/>
    <w:tmpl w:val="3F1CA5FA"/>
    <w:lvl w:ilvl="0">
      <w:start w:val="4"/>
      <w:numFmt w:val="decimal"/>
      <w:lvlText w:val="%1.0"/>
      <w:lvlJc w:val="left"/>
      <w:pPr>
        <w:ind w:left="1170" w:hanging="72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2970" w:hanging="1080"/>
      </w:pPr>
      <w:rPr>
        <w:rFonts w:hint="default"/>
      </w:rPr>
    </w:lvl>
    <w:lvl w:ilvl="3">
      <w:start w:val="1"/>
      <w:numFmt w:val="decimal"/>
      <w:lvlText w:val="%1.%2.%3.%4"/>
      <w:lvlJc w:val="left"/>
      <w:pPr>
        <w:ind w:left="4050" w:hanging="1440"/>
      </w:pPr>
      <w:rPr>
        <w:rFonts w:hint="default"/>
      </w:rPr>
    </w:lvl>
    <w:lvl w:ilvl="4">
      <w:start w:val="1"/>
      <w:numFmt w:val="decimal"/>
      <w:lvlText w:val="%1.%2.%3.%4.%5"/>
      <w:lvlJc w:val="left"/>
      <w:pPr>
        <w:ind w:left="5130" w:hanging="1800"/>
      </w:pPr>
      <w:rPr>
        <w:rFonts w:hint="default"/>
      </w:rPr>
    </w:lvl>
    <w:lvl w:ilvl="5">
      <w:start w:val="1"/>
      <w:numFmt w:val="decimal"/>
      <w:lvlText w:val="%1.%2.%3.%4.%5.%6"/>
      <w:lvlJc w:val="left"/>
      <w:pPr>
        <w:ind w:left="6210" w:hanging="2160"/>
      </w:pPr>
      <w:rPr>
        <w:rFonts w:hint="default"/>
      </w:rPr>
    </w:lvl>
    <w:lvl w:ilvl="6">
      <w:start w:val="1"/>
      <w:numFmt w:val="decimal"/>
      <w:lvlText w:val="%1.%2.%3.%4.%5.%6.%7"/>
      <w:lvlJc w:val="left"/>
      <w:pPr>
        <w:ind w:left="7290" w:hanging="2520"/>
      </w:pPr>
      <w:rPr>
        <w:rFonts w:hint="default"/>
      </w:rPr>
    </w:lvl>
    <w:lvl w:ilvl="7">
      <w:start w:val="1"/>
      <w:numFmt w:val="decimal"/>
      <w:lvlText w:val="%1.%2.%3.%4.%5.%6.%7.%8"/>
      <w:lvlJc w:val="left"/>
      <w:pPr>
        <w:ind w:left="8370" w:hanging="2880"/>
      </w:pPr>
      <w:rPr>
        <w:rFonts w:hint="default"/>
      </w:rPr>
    </w:lvl>
    <w:lvl w:ilvl="8">
      <w:start w:val="1"/>
      <w:numFmt w:val="decimal"/>
      <w:lvlText w:val="%1.%2.%3.%4.%5.%6.%7.%8.%9"/>
      <w:lvlJc w:val="left"/>
      <w:pPr>
        <w:ind w:left="9450" w:hanging="3240"/>
      </w:pPr>
      <w:rPr>
        <w:rFonts w:hint="default"/>
      </w:rPr>
    </w:lvl>
  </w:abstractNum>
  <w:abstractNum w:abstractNumId="15" w15:restartNumberingAfterBreak="0">
    <w:nsid w:val="2D2C3CD0"/>
    <w:multiLevelType w:val="hybridMultilevel"/>
    <w:tmpl w:val="703896D8"/>
    <w:lvl w:ilvl="0" w:tplc="5B82E27A">
      <w:start w:val="1"/>
      <w:numFmt w:val="decimal"/>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6" w15:restartNumberingAfterBreak="0">
    <w:nsid w:val="2D70504E"/>
    <w:multiLevelType w:val="multilevel"/>
    <w:tmpl w:val="5750111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E87306F"/>
    <w:multiLevelType w:val="multilevel"/>
    <w:tmpl w:val="8A764EDC"/>
    <w:lvl w:ilvl="0">
      <w:start w:val="2"/>
      <w:numFmt w:val="decimal"/>
      <w:lvlText w:val="%1.0"/>
      <w:lvlJc w:val="left"/>
      <w:pPr>
        <w:ind w:left="527" w:hanging="527"/>
      </w:pPr>
      <w:rPr>
        <w:rFonts w:hint="default"/>
      </w:rPr>
    </w:lvl>
    <w:lvl w:ilvl="1">
      <w:start w:val="1"/>
      <w:numFmt w:val="decimal"/>
      <w:lvlText w:val="%1.%2"/>
      <w:lvlJc w:val="left"/>
      <w:pPr>
        <w:ind w:left="720" w:hanging="57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0CA695D"/>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863005"/>
    <w:multiLevelType w:val="hybridMultilevel"/>
    <w:tmpl w:val="F2846B04"/>
    <w:lvl w:ilvl="0" w:tplc="09F8CD72">
      <w:start w:val="4"/>
      <w:numFmt w:val="decimal"/>
      <w:lvlText w:val="4.%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447DFB"/>
    <w:multiLevelType w:val="hybridMultilevel"/>
    <w:tmpl w:val="A3B84D18"/>
    <w:lvl w:ilvl="0" w:tplc="50960044">
      <w:start w:val="1"/>
      <w:numFmt w:val="decimal"/>
      <w:lvlText w:val="%1."/>
      <w:lvlJc w:val="left"/>
      <w:pPr>
        <w:ind w:left="360" w:hanging="360"/>
      </w:pPr>
      <w:rPr>
        <w:rFonts w:hint="default"/>
        <w:color w:val="7347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7246CD"/>
    <w:multiLevelType w:val="hybridMultilevel"/>
    <w:tmpl w:val="D932E95A"/>
    <w:lvl w:ilvl="0" w:tplc="8FECC7B0">
      <w:start w:val="4"/>
      <w:numFmt w:val="decimal"/>
      <w:lvlText w:val="%1.0"/>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3E11A0"/>
    <w:multiLevelType w:val="multilevel"/>
    <w:tmpl w:val="C3483934"/>
    <w:lvl w:ilvl="0">
      <w:start w:val="4"/>
      <w:numFmt w:val="decimal"/>
      <w:lvlText w:val="%1.0"/>
      <w:lvlJc w:val="left"/>
      <w:pPr>
        <w:ind w:left="1429" w:hanging="72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229" w:hanging="1080"/>
      </w:pPr>
      <w:rPr>
        <w:rFonts w:hint="default"/>
      </w:rPr>
    </w:lvl>
    <w:lvl w:ilvl="3">
      <w:start w:val="1"/>
      <w:numFmt w:val="decimal"/>
      <w:lvlText w:val="%1.%2.%3.%4"/>
      <w:lvlJc w:val="left"/>
      <w:pPr>
        <w:ind w:left="4309" w:hanging="1440"/>
      </w:pPr>
      <w:rPr>
        <w:rFonts w:hint="default"/>
      </w:rPr>
    </w:lvl>
    <w:lvl w:ilvl="4">
      <w:start w:val="1"/>
      <w:numFmt w:val="decimal"/>
      <w:lvlText w:val="%1.%2.%3.%4.%5"/>
      <w:lvlJc w:val="left"/>
      <w:pPr>
        <w:ind w:left="5389" w:hanging="1800"/>
      </w:pPr>
      <w:rPr>
        <w:rFonts w:hint="default"/>
      </w:rPr>
    </w:lvl>
    <w:lvl w:ilvl="5">
      <w:start w:val="1"/>
      <w:numFmt w:val="decimal"/>
      <w:lvlText w:val="%1.%2.%3.%4.%5.%6"/>
      <w:lvlJc w:val="left"/>
      <w:pPr>
        <w:ind w:left="6469" w:hanging="2160"/>
      </w:pPr>
      <w:rPr>
        <w:rFonts w:hint="default"/>
      </w:rPr>
    </w:lvl>
    <w:lvl w:ilvl="6">
      <w:start w:val="1"/>
      <w:numFmt w:val="decimal"/>
      <w:lvlText w:val="%1.%2.%3.%4.%5.%6.%7"/>
      <w:lvlJc w:val="left"/>
      <w:pPr>
        <w:ind w:left="7549" w:hanging="2520"/>
      </w:pPr>
      <w:rPr>
        <w:rFonts w:hint="default"/>
      </w:rPr>
    </w:lvl>
    <w:lvl w:ilvl="7">
      <w:start w:val="1"/>
      <w:numFmt w:val="decimal"/>
      <w:lvlText w:val="%1.%2.%3.%4.%5.%6.%7.%8"/>
      <w:lvlJc w:val="left"/>
      <w:pPr>
        <w:ind w:left="8629" w:hanging="2880"/>
      </w:pPr>
      <w:rPr>
        <w:rFonts w:hint="default"/>
      </w:rPr>
    </w:lvl>
    <w:lvl w:ilvl="8">
      <w:start w:val="1"/>
      <w:numFmt w:val="decimal"/>
      <w:lvlText w:val="%1.%2.%3.%4.%5.%6.%7.%8.%9"/>
      <w:lvlJc w:val="left"/>
      <w:pPr>
        <w:ind w:left="9709" w:hanging="3240"/>
      </w:pPr>
      <w:rPr>
        <w:rFonts w:hint="default"/>
      </w:rPr>
    </w:lvl>
  </w:abstractNum>
  <w:abstractNum w:abstractNumId="23" w15:restartNumberingAfterBreak="0">
    <w:nsid w:val="3E422170"/>
    <w:multiLevelType w:val="hybridMultilevel"/>
    <w:tmpl w:val="E522FDC6"/>
    <w:lvl w:ilvl="0" w:tplc="9174B4FC">
      <w:start w:val="1"/>
      <w:numFmt w:val="bullet"/>
      <w:lvlText w:val=""/>
      <w:lvlJc w:val="left"/>
      <w:pPr>
        <w:ind w:left="360" w:hanging="360"/>
      </w:pPr>
      <w:rPr>
        <w:rFonts w:ascii="Symbol" w:hAnsi="Symbol" w:hint="default"/>
        <w:color w:val="77328A"/>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3E5428"/>
    <w:multiLevelType w:val="hybridMultilevel"/>
    <w:tmpl w:val="001ED884"/>
    <w:lvl w:ilvl="0" w:tplc="904401A0">
      <w:start w:val="1"/>
      <w:numFmt w:val="decimal"/>
      <w:lvlText w:val="3.%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360A21"/>
    <w:multiLevelType w:val="multilevel"/>
    <w:tmpl w:val="8B56EF5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6" w15:restartNumberingAfterBreak="0">
    <w:nsid w:val="4ECD46DA"/>
    <w:multiLevelType w:val="hybridMultilevel"/>
    <w:tmpl w:val="A198F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E7298B"/>
    <w:multiLevelType w:val="multilevel"/>
    <w:tmpl w:val="EECCB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B4178"/>
    <w:multiLevelType w:val="multilevel"/>
    <w:tmpl w:val="8A764EDC"/>
    <w:lvl w:ilvl="0">
      <w:start w:val="2"/>
      <w:numFmt w:val="decimal"/>
      <w:lvlText w:val="%1.0"/>
      <w:lvlJc w:val="left"/>
      <w:pPr>
        <w:ind w:left="527" w:hanging="527"/>
      </w:pPr>
      <w:rPr>
        <w:rFonts w:hint="default"/>
      </w:rPr>
    </w:lvl>
    <w:lvl w:ilvl="1">
      <w:start w:val="1"/>
      <w:numFmt w:val="decimal"/>
      <w:lvlText w:val="%1.%2"/>
      <w:lvlJc w:val="left"/>
      <w:pPr>
        <w:ind w:left="720" w:hanging="57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4482008"/>
    <w:multiLevelType w:val="hybridMultilevel"/>
    <w:tmpl w:val="58702318"/>
    <w:lvl w:ilvl="0" w:tplc="D692542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FA319B"/>
    <w:multiLevelType w:val="hybridMultilevel"/>
    <w:tmpl w:val="8570903E"/>
    <w:lvl w:ilvl="0" w:tplc="29B08ACC">
      <w:start w:val="4"/>
      <w:numFmt w:val="decimal"/>
      <w:lvlText w:val="3.%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6849A7"/>
    <w:multiLevelType w:val="hybridMultilevel"/>
    <w:tmpl w:val="99AA9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1E2618"/>
    <w:multiLevelType w:val="hybridMultilevel"/>
    <w:tmpl w:val="212AA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BE26F2"/>
    <w:multiLevelType w:val="hybridMultilevel"/>
    <w:tmpl w:val="26247C0C"/>
    <w:lvl w:ilvl="0" w:tplc="7136A442">
      <w:start w:val="5"/>
      <w:numFmt w:val="decimal"/>
      <w:lvlText w:val="%1.0"/>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1154ED"/>
    <w:multiLevelType w:val="hybridMultilevel"/>
    <w:tmpl w:val="83FA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4103C"/>
    <w:multiLevelType w:val="hybridMultilevel"/>
    <w:tmpl w:val="76C02646"/>
    <w:lvl w:ilvl="0" w:tplc="C040119C">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FF5B40"/>
    <w:multiLevelType w:val="hybridMultilevel"/>
    <w:tmpl w:val="EA488C5A"/>
    <w:lvl w:ilvl="0" w:tplc="3FBEAF56">
      <w:start w:val="4"/>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4B6865"/>
    <w:multiLevelType w:val="multilevel"/>
    <w:tmpl w:val="5750111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6D837E34"/>
    <w:multiLevelType w:val="multilevel"/>
    <w:tmpl w:val="AF689AFE"/>
    <w:lvl w:ilvl="0">
      <w:start w:val="4"/>
      <w:numFmt w:val="decimal"/>
      <w:lvlText w:val="%1.0"/>
      <w:lvlJc w:val="left"/>
      <w:pPr>
        <w:ind w:left="1170" w:hanging="72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2970" w:hanging="1080"/>
      </w:pPr>
      <w:rPr>
        <w:rFonts w:hint="default"/>
      </w:rPr>
    </w:lvl>
    <w:lvl w:ilvl="3">
      <w:start w:val="1"/>
      <w:numFmt w:val="decimal"/>
      <w:lvlText w:val="%1.%2.%3.%4"/>
      <w:lvlJc w:val="left"/>
      <w:pPr>
        <w:ind w:left="4050" w:hanging="1440"/>
      </w:pPr>
      <w:rPr>
        <w:rFonts w:hint="default"/>
      </w:rPr>
    </w:lvl>
    <w:lvl w:ilvl="4">
      <w:start w:val="1"/>
      <w:numFmt w:val="decimal"/>
      <w:lvlText w:val="%1.%2.%3.%4.%5"/>
      <w:lvlJc w:val="left"/>
      <w:pPr>
        <w:ind w:left="5130" w:hanging="1800"/>
      </w:pPr>
      <w:rPr>
        <w:rFonts w:hint="default"/>
      </w:rPr>
    </w:lvl>
    <w:lvl w:ilvl="5">
      <w:start w:val="1"/>
      <w:numFmt w:val="decimal"/>
      <w:lvlText w:val="%1.%2.%3.%4.%5.%6"/>
      <w:lvlJc w:val="left"/>
      <w:pPr>
        <w:ind w:left="6210" w:hanging="2160"/>
      </w:pPr>
      <w:rPr>
        <w:rFonts w:hint="default"/>
      </w:rPr>
    </w:lvl>
    <w:lvl w:ilvl="6">
      <w:start w:val="1"/>
      <w:numFmt w:val="decimal"/>
      <w:lvlText w:val="%1.%2.%3.%4.%5.%6.%7"/>
      <w:lvlJc w:val="left"/>
      <w:pPr>
        <w:ind w:left="7290" w:hanging="2520"/>
      </w:pPr>
      <w:rPr>
        <w:rFonts w:hint="default"/>
      </w:rPr>
    </w:lvl>
    <w:lvl w:ilvl="7">
      <w:start w:val="1"/>
      <w:numFmt w:val="decimal"/>
      <w:lvlText w:val="%1.%2.%3.%4.%5.%6.%7.%8"/>
      <w:lvlJc w:val="left"/>
      <w:pPr>
        <w:ind w:left="8370" w:hanging="2880"/>
      </w:pPr>
      <w:rPr>
        <w:rFonts w:hint="default"/>
      </w:rPr>
    </w:lvl>
    <w:lvl w:ilvl="8">
      <w:start w:val="1"/>
      <w:numFmt w:val="decimal"/>
      <w:lvlText w:val="%1.%2.%3.%4.%5.%6.%7.%8.%9"/>
      <w:lvlJc w:val="left"/>
      <w:pPr>
        <w:ind w:left="9450" w:hanging="3240"/>
      </w:pPr>
      <w:rPr>
        <w:rFonts w:hint="default"/>
      </w:rPr>
    </w:lvl>
  </w:abstractNum>
  <w:abstractNum w:abstractNumId="39" w15:restartNumberingAfterBreak="0">
    <w:nsid w:val="6EC250ED"/>
    <w:multiLevelType w:val="hybridMultilevel"/>
    <w:tmpl w:val="B6A45970"/>
    <w:lvl w:ilvl="0" w:tplc="EBCC996C">
      <w:start w:val="1"/>
      <w:numFmt w:val="decimal"/>
      <w:lvlText w:val="%1.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6B7CA0"/>
    <w:multiLevelType w:val="hybridMultilevel"/>
    <w:tmpl w:val="947270EE"/>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41" w15:restartNumberingAfterBreak="0">
    <w:nsid w:val="720B5514"/>
    <w:multiLevelType w:val="multilevel"/>
    <w:tmpl w:val="8A764EDC"/>
    <w:lvl w:ilvl="0">
      <w:start w:val="2"/>
      <w:numFmt w:val="decimal"/>
      <w:lvlText w:val="%1.0"/>
      <w:lvlJc w:val="left"/>
      <w:pPr>
        <w:ind w:left="527" w:hanging="527"/>
      </w:pPr>
      <w:rPr>
        <w:rFonts w:hint="default"/>
      </w:rPr>
    </w:lvl>
    <w:lvl w:ilvl="1">
      <w:start w:val="1"/>
      <w:numFmt w:val="decimal"/>
      <w:lvlText w:val="%1.%2"/>
      <w:lvlJc w:val="left"/>
      <w:pPr>
        <w:ind w:left="720" w:hanging="57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23E028B"/>
    <w:multiLevelType w:val="hybridMultilevel"/>
    <w:tmpl w:val="BA446DF6"/>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2D4628"/>
    <w:multiLevelType w:val="hybridMultilevel"/>
    <w:tmpl w:val="7BB07136"/>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574925"/>
    <w:multiLevelType w:val="hybridMultilevel"/>
    <w:tmpl w:val="921E27FA"/>
    <w:lvl w:ilvl="0" w:tplc="8D14BBF8">
      <w:start w:val="1"/>
      <w:numFmt w:val="decimal"/>
      <w:lvlText w:val="3.%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2E08FB"/>
    <w:multiLevelType w:val="hybridMultilevel"/>
    <w:tmpl w:val="7F569DE2"/>
    <w:lvl w:ilvl="0" w:tplc="B6DEE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3190446">
    <w:abstractNumId w:val="26"/>
  </w:num>
  <w:num w:numId="2" w16cid:durableId="488250544">
    <w:abstractNumId w:val="45"/>
  </w:num>
  <w:num w:numId="3" w16cid:durableId="1759248870">
    <w:abstractNumId w:val="9"/>
  </w:num>
  <w:num w:numId="4" w16cid:durableId="1439301701">
    <w:abstractNumId w:val="20"/>
  </w:num>
  <w:num w:numId="5" w16cid:durableId="545026117">
    <w:abstractNumId w:val="43"/>
  </w:num>
  <w:num w:numId="6" w16cid:durableId="1307010369">
    <w:abstractNumId w:val="11"/>
  </w:num>
  <w:num w:numId="7" w16cid:durableId="587275928">
    <w:abstractNumId w:val="23"/>
  </w:num>
  <w:num w:numId="8" w16cid:durableId="1617831089">
    <w:abstractNumId w:val="18"/>
  </w:num>
  <w:num w:numId="9" w16cid:durableId="1481072098">
    <w:abstractNumId w:val="25"/>
  </w:num>
  <w:num w:numId="10" w16cid:durableId="120390995">
    <w:abstractNumId w:val="35"/>
  </w:num>
  <w:num w:numId="11" w16cid:durableId="974144211">
    <w:abstractNumId w:val="34"/>
  </w:num>
  <w:num w:numId="12" w16cid:durableId="1306592401">
    <w:abstractNumId w:val="27"/>
  </w:num>
  <w:num w:numId="13" w16cid:durableId="319161273">
    <w:abstractNumId w:val="7"/>
  </w:num>
  <w:num w:numId="14" w16cid:durableId="1958023928">
    <w:abstractNumId w:val="32"/>
  </w:num>
  <w:num w:numId="15" w16cid:durableId="887640949">
    <w:abstractNumId w:val="37"/>
  </w:num>
  <w:num w:numId="16" w16cid:durableId="2015452253">
    <w:abstractNumId w:val="16"/>
  </w:num>
  <w:num w:numId="17" w16cid:durableId="220991341">
    <w:abstractNumId w:val="3"/>
  </w:num>
  <w:num w:numId="18" w16cid:durableId="1739668054">
    <w:abstractNumId w:val="15"/>
  </w:num>
  <w:num w:numId="19" w16cid:durableId="1198785217">
    <w:abstractNumId w:val="31"/>
  </w:num>
  <w:num w:numId="20" w16cid:durableId="259722744">
    <w:abstractNumId w:val="1"/>
  </w:num>
  <w:num w:numId="21" w16cid:durableId="1030959429">
    <w:abstractNumId w:val="4"/>
  </w:num>
  <w:num w:numId="22" w16cid:durableId="183907796">
    <w:abstractNumId w:val="28"/>
  </w:num>
  <w:num w:numId="23" w16cid:durableId="588926893">
    <w:abstractNumId w:val="41"/>
  </w:num>
  <w:num w:numId="24" w16cid:durableId="1239365240">
    <w:abstractNumId w:val="13"/>
  </w:num>
  <w:num w:numId="25" w16cid:durableId="549346300">
    <w:abstractNumId w:val="17"/>
  </w:num>
  <w:num w:numId="26" w16cid:durableId="1972246103">
    <w:abstractNumId w:val="12"/>
  </w:num>
  <w:num w:numId="27" w16cid:durableId="458182355">
    <w:abstractNumId w:val="5"/>
  </w:num>
  <w:num w:numId="28" w16cid:durableId="681125251">
    <w:abstractNumId w:val="29"/>
  </w:num>
  <w:num w:numId="29" w16cid:durableId="368646117">
    <w:abstractNumId w:val="39"/>
  </w:num>
  <w:num w:numId="30" w16cid:durableId="2030795690">
    <w:abstractNumId w:val="2"/>
  </w:num>
  <w:num w:numId="31" w16cid:durableId="440028888">
    <w:abstractNumId w:val="44"/>
  </w:num>
  <w:num w:numId="32" w16cid:durableId="519785011">
    <w:abstractNumId w:val="30"/>
  </w:num>
  <w:num w:numId="33" w16cid:durableId="498733739">
    <w:abstractNumId w:val="6"/>
  </w:num>
  <w:num w:numId="34" w16cid:durableId="1074856376">
    <w:abstractNumId w:val="38"/>
  </w:num>
  <w:num w:numId="35" w16cid:durableId="1898735465">
    <w:abstractNumId w:val="36"/>
  </w:num>
  <w:num w:numId="36" w16cid:durableId="1171985102">
    <w:abstractNumId w:val="42"/>
  </w:num>
  <w:num w:numId="37" w16cid:durableId="1855880158">
    <w:abstractNumId w:val="21"/>
  </w:num>
  <w:num w:numId="38" w16cid:durableId="201328297">
    <w:abstractNumId w:val="19"/>
  </w:num>
  <w:num w:numId="39" w16cid:durableId="989990190">
    <w:abstractNumId w:val="24"/>
  </w:num>
  <w:num w:numId="40" w16cid:durableId="1402364441">
    <w:abstractNumId w:val="10"/>
  </w:num>
  <w:num w:numId="41" w16cid:durableId="2019578237">
    <w:abstractNumId w:val="33"/>
  </w:num>
  <w:num w:numId="42" w16cid:durableId="1907573100">
    <w:abstractNumId w:val="8"/>
  </w:num>
  <w:num w:numId="43" w16cid:durableId="1970935595">
    <w:abstractNumId w:val="14"/>
  </w:num>
  <w:num w:numId="44" w16cid:durableId="172038552">
    <w:abstractNumId w:val="0"/>
  </w:num>
  <w:num w:numId="45" w16cid:durableId="114255057">
    <w:abstractNumId w:val="22"/>
  </w:num>
  <w:num w:numId="46" w16cid:durableId="20841374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32"/>
    <w:rsid w:val="00000386"/>
    <w:rsid w:val="000004FF"/>
    <w:rsid w:val="00000E00"/>
    <w:rsid w:val="00000FC3"/>
    <w:rsid w:val="00001700"/>
    <w:rsid w:val="000020EC"/>
    <w:rsid w:val="00002239"/>
    <w:rsid w:val="000049FC"/>
    <w:rsid w:val="00004DAE"/>
    <w:rsid w:val="00004E88"/>
    <w:rsid w:val="00006CBC"/>
    <w:rsid w:val="00007DDC"/>
    <w:rsid w:val="000109CB"/>
    <w:rsid w:val="00010B70"/>
    <w:rsid w:val="00010EDF"/>
    <w:rsid w:val="00012DE1"/>
    <w:rsid w:val="000135E4"/>
    <w:rsid w:val="00013BB1"/>
    <w:rsid w:val="00014DD6"/>
    <w:rsid w:val="000153FB"/>
    <w:rsid w:val="000157C0"/>
    <w:rsid w:val="00015882"/>
    <w:rsid w:val="00015E49"/>
    <w:rsid w:val="00015FA4"/>
    <w:rsid w:val="0001640C"/>
    <w:rsid w:val="00016E47"/>
    <w:rsid w:val="000170FE"/>
    <w:rsid w:val="000172DA"/>
    <w:rsid w:val="00021D0B"/>
    <w:rsid w:val="00022BD5"/>
    <w:rsid w:val="0002393E"/>
    <w:rsid w:val="00023BC0"/>
    <w:rsid w:val="000243FA"/>
    <w:rsid w:val="00025441"/>
    <w:rsid w:val="000305B3"/>
    <w:rsid w:val="00032087"/>
    <w:rsid w:val="000329D4"/>
    <w:rsid w:val="0003444E"/>
    <w:rsid w:val="00034E2E"/>
    <w:rsid w:val="00035A1A"/>
    <w:rsid w:val="00035DCC"/>
    <w:rsid w:val="000362A8"/>
    <w:rsid w:val="000365CB"/>
    <w:rsid w:val="000372FB"/>
    <w:rsid w:val="00037BE3"/>
    <w:rsid w:val="00037F11"/>
    <w:rsid w:val="00040F39"/>
    <w:rsid w:val="00041C83"/>
    <w:rsid w:val="00042634"/>
    <w:rsid w:val="00042C5D"/>
    <w:rsid w:val="00043E14"/>
    <w:rsid w:val="00043E39"/>
    <w:rsid w:val="000440B8"/>
    <w:rsid w:val="0004582E"/>
    <w:rsid w:val="00046705"/>
    <w:rsid w:val="00046F03"/>
    <w:rsid w:val="0005025F"/>
    <w:rsid w:val="000507B2"/>
    <w:rsid w:val="000518E7"/>
    <w:rsid w:val="0005301C"/>
    <w:rsid w:val="0005379E"/>
    <w:rsid w:val="00053B12"/>
    <w:rsid w:val="00054A2D"/>
    <w:rsid w:val="00055393"/>
    <w:rsid w:val="00056199"/>
    <w:rsid w:val="0005702E"/>
    <w:rsid w:val="0006010A"/>
    <w:rsid w:val="00060A8F"/>
    <w:rsid w:val="00060C19"/>
    <w:rsid w:val="000626A9"/>
    <w:rsid w:val="0006369A"/>
    <w:rsid w:val="00063D0C"/>
    <w:rsid w:val="00063D89"/>
    <w:rsid w:val="000668E4"/>
    <w:rsid w:val="00066FB4"/>
    <w:rsid w:val="00067342"/>
    <w:rsid w:val="00070E83"/>
    <w:rsid w:val="0007239B"/>
    <w:rsid w:val="000725CE"/>
    <w:rsid w:val="000726EC"/>
    <w:rsid w:val="000728CE"/>
    <w:rsid w:val="000736BC"/>
    <w:rsid w:val="000737D6"/>
    <w:rsid w:val="000766AA"/>
    <w:rsid w:val="00076E3C"/>
    <w:rsid w:val="00077C9B"/>
    <w:rsid w:val="00080335"/>
    <w:rsid w:val="00081034"/>
    <w:rsid w:val="00081419"/>
    <w:rsid w:val="00081F0C"/>
    <w:rsid w:val="0008218B"/>
    <w:rsid w:val="00082486"/>
    <w:rsid w:val="000835AF"/>
    <w:rsid w:val="000835FE"/>
    <w:rsid w:val="00083908"/>
    <w:rsid w:val="00084729"/>
    <w:rsid w:val="00086997"/>
    <w:rsid w:val="00086F01"/>
    <w:rsid w:val="000871B5"/>
    <w:rsid w:val="00087A13"/>
    <w:rsid w:val="00090D99"/>
    <w:rsid w:val="00091DE4"/>
    <w:rsid w:val="00092420"/>
    <w:rsid w:val="000931F7"/>
    <w:rsid w:val="00094708"/>
    <w:rsid w:val="00094794"/>
    <w:rsid w:val="000947A9"/>
    <w:rsid w:val="00095136"/>
    <w:rsid w:val="00096711"/>
    <w:rsid w:val="00096ACA"/>
    <w:rsid w:val="00096C67"/>
    <w:rsid w:val="000A21FB"/>
    <w:rsid w:val="000A2250"/>
    <w:rsid w:val="000A2519"/>
    <w:rsid w:val="000A39C6"/>
    <w:rsid w:val="000A3AEB"/>
    <w:rsid w:val="000A589D"/>
    <w:rsid w:val="000A5BE4"/>
    <w:rsid w:val="000A5E14"/>
    <w:rsid w:val="000A65F6"/>
    <w:rsid w:val="000A67F9"/>
    <w:rsid w:val="000A70C8"/>
    <w:rsid w:val="000A7266"/>
    <w:rsid w:val="000A736D"/>
    <w:rsid w:val="000A7708"/>
    <w:rsid w:val="000B047F"/>
    <w:rsid w:val="000B11B2"/>
    <w:rsid w:val="000B2A34"/>
    <w:rsid w:val="000B338C"/>
    <w:rsid w:val="000B4C6A"/>
    <w:rsid w:val="000B5600"/>
    <w:rsid w:val="000B57A1"/>
    <w:rsid w:val="000B5AAC"/>
    <w:rsid w:val="000B5AD1"/>
    <w:rsid w:val="000B6605"/>
    <w:rsid w:val="000B6636"/>
    <w:rsid w:val="000B66AE"/>
    <w:rsid w:val="000B7AE4"/>
    <w:rsid w:val="000B7DF6"/>
    <w:rsid w:val="000C02DE"/>
    <w:rsid w:val="000C0A2E"/>
    <w:rsid w:val="000C10FE"/>
    <w:rsid w:val="000C38B1"/>
    <w:rsid w:val="000C4311"/>
    <w:rsid w:val="000C4805"/>
    <w:rsid w:val="000C4CA8"/>
    <w:rsid w:val="000C4E80"/>
    <w:rsid w:val="000C6763"/>
    <w:rsid w:val="000C7327"/>
    <w:rsid w:val="000C7896"/>
    <w:rsid w:val="000D0021"/>
    <w:rsid w:val="000D141B"/>
    <w:rsid w:val="000D242B"/>
    <w:rsid w:val="000D28EE"/>
    <w:rsid w:val="000D366A"/>
    <w:rsid w:val="000D760E"/>
    <w:rsid w:val="000D77CD"/>
    <w:rsid w:val="000E06F0"/>
    <w:rsid w:val="000E0BCD"/>
    <w:rsid w:val="000E0D97"/>
    <w:rsid w:val="000E1DC3"/>
    <w:rsid w:val="000E1DD7"/>
    <w:rsid w:val="000E1F61"/>
    <w:rsid w:val="000E229E"/>
    <w:rsid w:val="000E3114"/>
    <w:rsid w:val="000E3DE3"/>
    <w:rsid w:val="000E59F2"/>
    <w:rsid w:val="000E5E76"/>
    <w:rsid w:val="000E6109"/>
    <w:rsid w:val="000E77E1"/>
    <w:rsid w:val="000E7F0C"/>
    <w:rsid w:val="000F03A5"/>
    <w:rsid w:val="000F0ADE"/>
    <w:rsid w:val="000F1037"/>
    <w:rsid w:val="000F167D"/>
    <w:rsid w:val="000F2552"/>
    <w:rsid w:val="000F2872"/>
    <w:rsid w:val="000F4991"/>
    <w:rsid w:val="000F4F7E"/>
    <w:rsid w:val="000F515D"/>
    <w:rsid w:val="000F5E2B"/>
    <w:rsid w:val="000F611F"/>
    <w:rsid w:val="00100FE9"/>
    <w:rsid w:val="001025F6"/>
    <w:rsid w:val="00102767"/>
    <w:rsid w:val="00102C5A"/>
    <w:rsid w:val="00103B10"/>
    <w:rsid w:val="0010498B"/>
    <w:rsid w:val="00104E7C"/>
    <w:rsid w:val="00106216"/>
    <w:rsid w:val="00106385"/>
    <w:rsid w:val="001078B2"/>
    <w:rsid w:val="0011023D"/>
    <w:rsid w:val="00110649"/>
    <w:rsid w:val="00112FE1"/>
    <w:rsid w:val="00112FFB"/>
    <w:rsid w:val="001132AA"/>
    <w:rsid w:val="00113601"/>
    <w:rsid w:val="00114703"/>
    <w:rsid w:val="001168FD"/>
    <w:rsid w:val="0011734B"/>
    <w:rsid w:val="00117FC5"/>
    <w:rsid w:val="00120195"/>
    <w:rsid w:val="00121366"/>
    <w:rsid w:val="00123035"/>
    <w:rsid w:val="00124E9C"/>
    <w:rsid w:val="00124FF5"/>
    <w:rsid w:val="001259AB"/>
    <w:rsid w:val="001273FB"/>
    <w:rsid w:val="001275EE"/>
    <w:rsid w:val="001305D1"/>
    <w:rsid w:val="0013090D"/>
    <w:rsid w:val="00131460"/>
    <w:rsid w:val="001323F8"/>
    <w:rsid w:val="00132E8E"/>
    <w:rsid w:val="001336EA"/>
    <w:rsid w:val="00133F38"/>
    <w:rsid w:val="00133F48"/>
    <w:rsid w:val="00133FE2"/>
    <w:rsid w:val="001348FD"/>
    <w:rsid w:val="00135478"/>
    <w:rsid w:val="00135960"/>
    <w:rsid w:val="00135BA2"/>
    <w:rsid w:val="00137A4B"/>
    <w:rsid w:val="001403DA"/>
    <w:rsid w:val="00141347"/>
    <w:rsid w:val="001424F9"/>
    <w:rsid w:val="00142D10"/>
    <w:rsid w:val="00142E8F"/>
    <w:rsid w:val="00143864"/>
    <w:rsid w:val="00143AEE"/>
    <w:rsid w:val="00144F87"/>
    <w:rsid w:val="00144FA5"/>
    <w:rsid w:val="00145F0A"/>
    <w:rsid w:val="00146B57"/>
    <w:rsid w:val="001470B6"/>
    <w:rsid w:val="001522D6"/>
    <w:rsid w:val="0015376B"/>
    <w:rsid w:val="00156070"/>
    <w:rsid w:val="001567F7"/>
    <w:rsid w:val="0015690F"/>
    <w:rsid w:val="00156D58"/>
    <w:rsid w:val="00157ADF"/>
    <w:rsid w:val="00157E53"/>
    <w:rsid w:val="00160D24"/>
    <w:rsid w:val="00160E4D"/>
    <w:rsid w:val="001617BE"/>
    <w:rsid w:val="0016238B"/>
    <w:rsid w:val="001636A3"/>
    <w:rsid w:val="001637E8"/>
    <w:rsid w:val="00163D49"/>
    <w:rsid w:val="0016480F"/>
    <w:rsid w:val="0016487F"/>
    <w:rsid w:val="001658AE"/>
    <w:rsid w:val="00166E40"/>
    <w:rsid w:val="00170345"/>
    <w:rsid w:val="001716BC"/>
    <w:rsid w:val="001730C0"/>
    <w:rsid w:val="00173E7B"/>
    <w:rsid w:val="00174F51"/>
    <w:rsid w:val="0017600A"/>
    <w:rsid w:val="00176BE9"/>
    <w:rsid w:val="00176DA0"/>
    <w:rsid w:val="00176E27"/>
    <w:rsid w:val="00180068"/>
    <w:rsid w:val="0018030F"/>
    <w:rsid w:val="00180682"/>
    <w:rsid w:val="00181BA1"/>
    <w:rsid w:val="00181F0B"/>
    <w:rsid w:val="001836C8"/>
    <w:rsid w:val="00184447"/>
    <w:rsid w:val="00185098"/>
    <w:rsid w:val="00186B84"/>
    <w:rsid w:val="00187ACD"/>
    <w:rsid w:val="0019062F"/>
    <w:rsid w:val="0019134C"/>
    <w:rsid w:val="00191397"/>
    <w:rsid w:val="00196462"/>
    <w:rsid w:val="001967DD"/>
    <w:rsid w:val="001A04E7"/>
    <w:rsid w:val="001A14C8"/>
    <w:rsid w:val="001A2149"/>
    <w:rsid w:val="001A33D0"/>
    <w:rsid w:val="001A3639"/>
    <w:rsid w:val="001A3C1F"/>
    <w:rsid w:val="001A409C"/>
    <w:rsid w:val="001A574B"/>
    <w:rsid w:val="001A6EB2"/>
    <w:rsid w:val="001B020E"/>
    <w:rsid w:val="001B3585"/>
    <w:rsid w:val="001B41ED"/>
    <w:rsid w:val="001B4B33"/>
    <w:rsid w:val="001B51D3"/>
    <w:rsid w:val="001B6AE4"/>
    <w:rsid w:val="001B74DB"/>
    <w:rsid w:val="001C175F"/>
    <w:rsid w:val="001C2963"/>
    <w:rsid w:val="001C2CA9"/>
    <w:rsid w:val="001C3E5A"/>
    <w:rsid w:val="001C43D0"/>
    <w:rsid w:val="001C456C"/>
    <w:rsid w:val="001C4FA3"/>
    <w:rsid w:val="001C521A"/>
    <w:rsid w:val="001C6C82"/>
    <w:rsid w:val="001C6F71"/>
    <w:rsid w:val="001D0FB9"/>
    <w:rsid w:val="001D11E5"/>
    <w:rsid w:val="001D1E86"/>
    <w:rsid w:val="001D2B57"/>
    <w:rsid w:val="001D3F56"/>
    <w:rsid w:val="001D51A0"/>
    <w:rsid w:val="001D5C89"/>
    <w:rsid w:val="001D5C95"/>
    <w:rsid w:val="001D6C5E"/>
    <w:rsid w:val="001D6FCA"/>
    <w:rsid w:val="001E0ADA"/>
    <w:rsid w:val="001E1B5A"/>
    <w:rsid w:val="001E3FAF"/>
    <w:rsid w:val="001E44B7"/>
    <w:rsid w:val="001E4AA4"/>
    <w:rsid w:val="001E4D53"/>
    <w:rsid w:val="001E5C52"/>
    <w:rsid w:val="001E5F99"/>
    <w:rsid w:val="001E663A"/>
    <w:rsid w:val="001E79A9"/>
    <w:rsid w:val="001E7BBA"/>
    <w:rsid w:val="001F0571"/>
    <w:rsid w:val="001F1E46"/>
    <w:rsid w:val="001F2A7D"/>
    <w:rsid w:val="001F39F6"/>
    <w:rsid w:val="001F57DB"/>
    <w:rsid w:val="001F59B6"/>
    <w:rsid w:val="001F5EEB"/>
    <w:rsid w:val="001F626D"/>
    <w:rsid w:val="001F73B0"/>
    <w:rsid w:val="00200A68"/>
    <w:rsid w:val="00201263"/>
    <w:rsid w:val="00201D97"/>
    <w:rsid w:val="00202910"/>
    <w:rsid w:val="0020411F"/>
    <w:rsid w:val="00204694"/>
    <w:rsid w:val="00204754"/>
    <w:rsid w:val="002062A0"/>
    <w:rsid w:val="002072B1"/>
    <w:rsid w:val="00210498"/>
    <w:rsid w:val="00213735"/>
    <w:rsid w:val="00213B8A"/>
    <w:rsid w:val="00213CC9"/>
    <w:rsid w:val="00213E81"/>
    <w:rsid w:val="0021563D"/>
    <w:rsid w:val="002157BE"/>
    <w:rsid w:val="00215CB3"/>
    <w:rsid w:val="00215CFF"/>
    <w:rsid w:val="00215FE8"/>
    <w:rsid w:val="00216681"/>
    <w:rsid w:val="00217750"/>
    <w:rsid w:val="0022104C"/>
    <w:rsid w:val="00221186"/>
    <w:rsid w:val="00222315"/>
    <w:rsid w:val="002225D5"/>
    <w:rsid w:val="00222903"/>
    <w:rsid w:val="00223119"/>
    <w:rsid w:val="002236BA"/>
    <w:rsid w:val="00224140"/>
    <w:rsid w:val="002264F8"/>
    <w:rsid w:val="00226902"/>
    <w:rsid w:val="00226B86"/>
    <w:rsid w:val="0022749B"/>
    <w:rsid w:val="00227997"/>
    <w:rsid w:val="002309EE"/>
    <w:rsid w:val="00230D00"/>
    <w:rsid w:val="00234969"/>
    <w:rsid w:val="0023514E"/>
    <w:rsid w:val="002351CB"/>
    <w:rsid w:val="00235BA5"/>
    <w:rsid w:val="00235F94"/>
    <w:rsid w:val="002371E3"/>
    <w:rsid w:val="00237C24"/>
    <w:rsid w:val="00237EDF"/>
    <w:rsid w:val="00237F4E"/>
    <w:rsid w:val="00240141"/>
    <w:rsid w:val="00240177"/>
    <w:rsid w:val="002405B9"/>
    <w:rsid w:val="0024063C"/>
    <w:rsid w:val="002409DD"/>
    <w:rsid w:val="00240C5F"/>
    <w:rsid w:val="0024186E"/>
    <w:rsid w:val="002420B1"/>
    <w:rsid w:val="002428EC"/>
    <w:rsid w:val="002435A9"/>
    <w:rsid w:val="00245151"/>
    <w:rsid w:val="00245DA3"/>
    <w:rsid w:val="00246BB9"/>
    <w:rsid w:val="002502D9"/>
    <w:rsid w:val="00251E02"/>
    <w:rsid w:val="002526F2"/>
    <w:rsid w:val="00252D2B"/>
    <w:rsid w:val="00253826"/>
    <w:rsid w:val="00253F12"/>
    <w:rsid w:val="00254048"/>
    <w:rsid w:val="0025436C"/>
    <w:rsid w:val="00254837"/>
    <w:rsid w:val="00254F1B"/>
    <w:rsid w:val="00255352"/>
    <w:rsid w:val="00255F3F"/>
    <w:rsid w:val="002566DC"/>
    <w:rsid w:val="002568AC"/>
    <w:rsid w:val="0025739A"/>
    <w:rsid w:val="00261B7E"/>
    <w:rsid w:val="00262BA6"/>
    <w:rsid w:val="00263DF8"/>
    <w:rsid w:val="00263F4C"/>
    <w:rsid w:val="00264201"/>
    <w:rsid w:val="00265602"/>
    <w:rsid w:val="00265B87"/>
    <w:rsid w:val="00265FAF"/>
    <w:rsid w:val="00266202"/>
    <w:rsid w:val="00266D03"/>
    <w:rsid w:val="00270896"/>
    <w:rsid w:val="002714B3"/>
    <w:rsid w:val="00271D4E"/>
    <w:rsid w:val="00272ADE"/>
    <w:rsid w:val="00272D71"/>
    <w:rsid w:val="00273208"/>
    <w:rsid w:val="00273972"/>
    <w:rsid w:val="00274176"/>
    <w:rsid w:val="002747EB"/>
    <w:rsid w:val="00275BB9"/>
    <w:rsid w:val="0027632C"/>
    <w:rsid w:val="00277AAA"/>
    <w:rsid w:val="00277CB3"/>
    <w:rsid w:val="00280C8F"/>
    <w:rsid w:val="002811E1"/>
    <w:rsid w:val="00281423"/>
    <w:rsid w:val="00281DB5"/>
    <w:rsid w:val="00282F1A"/>
    <w:rsid w:val="002838C6"/>
    <w:rsid w:val="0028535B"/>
    <w:rsid w:val="002858A8"/>
    <w:rsid w:val="00285E83"/>
    <w:rsid w:val="00287459"/>
    <w:rsid w:val="00287A28"/>
    <w:rsid w:val="00290275"/>
    <w:rsid w:val="00290E2E"/>
    <w:rsid w:val="00293150"/>
    <w:rsid w:val="002932B8"/>
    <w:rsid w:val="0029358F"/>
    <w:rsid w:val="00293C5E"/>
    <w:rsid w:val="0029532C"/>
    <w:rsid w:val="002965B6"/>
    <w:rsid w:val="002A0968"/>
    <w:rsid w:val="002A1152"/>
    <w:rsid w:val="002A27D2"/>
    <w:rsid w:val="002A34FB"/>
    <w:rsid w:val="002A400F"/>
    <w:rsid w:val="002A4730"/>
    <w:rsid w:val="002A5366"/>
    <w:rsid w:val="002A6796"/>
    <w:rsid w:val="002A6C14"/>
    <w:rsid w:val="002A7720"/>
    <w:rsid w:val="002A7C6C"/>
    <w:rsid w:val="002B0218"/>
    <w:rsid w:val="002B04C4"/>
    <w:rsid w:val="002B0C9D"/>
    <w:rsid w:val="002B0FE7"/>
    <w:rsid w:val="002B1272"/>
    <w:rsid w:val="002B2DAC"/>
    <w:rsid w:val="002B5573"/>
    <w:rsid w:val="002B6A5A"/>
    <w:rsid w:val="002B6A68"/>
    <w:rsid w:val="002B6CD5"/>
    <w:rsid w:val="002B79D6"/>
    <w:rsid w:val="002C0A2B"/>
    <w:rsid w:val="002C0D54"/>
    <w:rsid w:val="002C2FAB"/>
    <w:rsid w:val="002C354F"/>
    <w:rsid w:val="002C3FFE"/>
    <w:rsid w:val="002C4CE9"/>
    <w:rsid w:val="002C5637"/>
    <w:rsid w:val="002C5CBA"/>
    <w:rsid w:val="002C5FB1"/>
    <w:rsid w:val="002C67A0"/>
    <w:rsid w:val="002C69E0"/>
    <w:rsid w:val="002C6CA4"/>
    <w:rsid w:val="002C7F7C"/>
    <w:rsid w:val="002D06E2"/>
    <w:rsid w:val="002D1788"/>
    <w:rsid w:val="002D1F8A"/>
    <w:rsid w:val="002D54B4"/>
    <w:rsid w:val="002D54D4"/>
    <w:rsid w:val="002D5599"/>
    <w:rsid w:val="002D5AC9"/>
    <w:rsid w:val="002D6F01"/>
    <w:rsid w:val="002D742D"/>
    <w:rsid w:val="002D752E"/>
    <w:rsid w:val="002D7BDD"/>
    <w:rsid w:val="002E1280"/>
    <w:rsid w:val="002E17F0"/>
    <w:rsid w:val="002E22FC"/>
    <w:rsid w:val="002E2337"/>
    <w:rsid w:val="002E2531"/>
    <w:rsid w:val="002E27F5"/>
    <w:rsid w:val="002E2AC3"/>
    <w:rsid w:val="002E447C"/>
    <w:rsid w:val="002E5255"/>
    <w:rsid w:val="002E5C1B"/>
    <w:rsid w:val="002E5D9F"/>
    <w:rsid w:val="002F072E"/>
    <w:rsid w:val="002F2FD6"/>
    <w:rsid w:val="002F3379"/>
    <w:rsid w:val="002F43F4"/>
    <w:rsid w:val="002F4AC0"/>
    <w:rsid w:val="002F5934"/>
    <w:rsid w:val="002F664E"/>
    <w:rsid w:val="002F6EBB"/>
    <w:rsid w:val="003001D0"/>
    <w:rsid w:val="0030115F"/>
    <w:rsid w:val="00301201"/>
    <w:rsid w:val="00302970"/>
    <w:rsid w:val="00303B0A"/>
    <w:rsid w:val="00303BDE"/>
    <w:rsid w:val="00303D2C"/>
    <w:rsid w:val="0030508E"/>
    <w:rsid w:val="00305619"/>
    <w:rsid w:val="00306317"/>
    <w:rsid w:val="0030665E"/>
    <w:rsid w:val="003074A0"/>
    <w:rsid w:val="003112F0"/>
    <w:rsid w:val="003114A3"/>
    <w:rsid w:val="00311F83"/>
    <w:rsid w:val="003141D4"/>
    <w:rsid w:val="0031471F"/>
    <w:rsid w:val="00315548"/>
    <w:rsid w:val="0031592D"/>
    <w:rsid w:val="00316E8E"/>
    <w:rsid w:val="00317BDF"/>
    <w:rsid w:val="00317EBB"/>
    <w:rsid w:val="0032091A"/>
    <w:rsid w:val="00320FE7"/>
    <w:rsid w:val="00321076"/>
    <w:rsid w:val="003210A9"/>
    <w:rsid w:val="003212A4"/>
    <w:rsid w:val="00322274"/>
    <w:rsid w:val="003233F0"/>
    <w:rsid w:val="003238CE"/>
    <w:rsid w:val="00323F0B"/>
    <w:rsid w:val="003248DE"/>
    <w:rsid w:val="00324B6E"/>
    <w:rsid w:val="0032532C"/>
    <w:rsid w:val="00325D5B"/>
    <w:rsid w:val="00327075"/>
    <w:rsid w:val="00327AEC"/>
    <w:rsid w:val="00327C41"/>
    <w:rsid w:val="00327D14"/>
    <w:rsid w:val="00330B71"/>
    <w:rsid w:val="00330D13"/>
    <w:rsid w:val="00330EFC"/>
    <w:rsid w:val="0033147B"/>
    <w:rsid w:val="003317C5"/>
    <w:rsid w:val="00331C61"/>
    <w:rsid w:val="00332BC5"/>
    <w:rsid w:val="003333C4"/>
    <w:rsid w:val="0033406C"/>
    <w:rsid w:val="00335331"/>
    <w:rsid w:val="00335599"/>
    <w:rsid w:val="00335DC6"/>
    <w:rsid w:val="00336279"/>
    <w:rsid w:val="00336E60"/>
    <w:rsid w:val="00337102"/>
    <w:rsid w:val="00337218"/>
    <w:rsid w:val="003401A4"/>
    <w:rsid w:val="00340687"/>
    <w:rsid w:val="00341BFE"/>
    <w:rsid w:val="0034207E"/>
    <w:rsid w:val="00342A0D"/>
    <w:rsid w:val="00343065"/>
    <w:rsid w:val="00343765"/>
    <w:rsid w:val="00344188"/>
    <w:rsid w:val="00344DE0"/>
    <w:rsid w:val="00344EF5"/>
    <w:rsid w:val="003465BA"/>
    <w:rsid w:val="003465C7"/>
    <w:rsid w:val="00346A9E"/>
    <w:rsid w:val="00347685"/>
    <w:rsid w:val="003477C0"/>
    <w:rsid w:val="0035051D"/>
    <w:rsid w:val="003507A7"/>
    <w:rsid w:val="00350805"/>
    <w:rsid w:val="003523E7"/>
    <w:rsid w:val="0035305B"/>
    <w:rsid w:val="00353D02"/>
    <w:rsid w:val="00354E19"/>
    <w:rsid w:val="00356BDA"/>
    <w:rsid w:val="00356C9C"/>
    <w:rsid w:val="00357F3F"/>
    <w:rsid w:val="003604E1"/>
    <w:rsid w:val="00360873"/>
    <w:rsid w:val="003630CF"/>
    <w:rsid w:val="00363847"/>
    <w:rsid w:val="00364DAA"/>
    <w:rsid w:val="0036535F"/>
    <w:rsid w:val="003654E5"/>
    <w:rsid w:val="00366853"/>
    <w:rsid w:val="003671B3"/>
    <w:rsid w:val="00367515"/>
    <w:rsid w:val="003676E2"/>
    <w:rsid w:val="00367BCB"/>
    <w:rsid w:val="00367CCA"/>
    <w:rsid w:val="00367DC1"/>
    <w:rsid w:val="00367E60"/>
    <w:rsid w:val="0037121F"/>
    <w:rsid w:val="003716B5"/>
    <w:rsid w:val="00372586"/>
    <w:rsid w:val="003728E6"/>
    <w:rsid w:val="00372A70"/>
    <w:rsid w:val="00372E7F"/>
    <w:rsid w:val="00372FB2"/>
    <w:rsid w:val="003766D2"/>
    <w:rsid w:val="0038009C"/>
    <w:rsid w:val="003806A4"/>
    <w:rsid w:val="0038169E"/>
    <w:rsid w:val="00384593"/>
    <w:rsid w:val="00384C35"/>
    <w:rsid w:val="0038509F"/>
    <w:rsid w:val="00385625"/>
    <w:rsid w:val="003858F8"/>
    <w:rsid w:val="00385BCF"/>
    <w:rsid w:val="003861B1"/>
    <w:rsid w:val="003869A4"/>
    <w:rsid w:val="00392E72"/>
    <w:rsid w:val="00394F36"/>
    <w:rsid w:val="00395331"/>
    <w:rsid w:val="0039580F"/>
    <w:rsid w:val="00396F9D"/>
    <w:rsid w:val="003979CC"/>
    <w:rsid w:val="00397D2B"/>
    <w:rsid w:val="003A01C0"/>
    <w:rsid w:val="003A0E98"/>
    <w:rsid w:val="003A2645"/>
    <w:rsid w:val="003A2769"/>
    <w:rsid w:val="003A28A5"/>
    <w:rsid w:val="003A516D"/>
    <w:rsid w:val="003A568B"/>
    <w:rsid w:val="003A580B"/>
    <w:rsid w:val="003A580D"/>
    <w:rsid w:val="003A58A8"/>
    <w:rsid w:val="003A58CB"/>
    <w:rsid w:val="003A5AC2"/>
    <w:rsid w:val="003A6088"/>
    <w:rsid w:val="003B1078"/>
    <w:rsid w:val="003B175F"/>
    <w:rsid w:val="003B1AE1"/>
    <w:rsid w:val="003B208D"/>
    <w:rsid w:val="003B3E16"/>
    <w:rsid w:val="003B3F12"/>
    <w:rsid w:val="003B48EC"/>
    <w:rsid w:val="003B558C"/>
    <w:rsid w:val="003B57DE"/>
    <w:rsid w:val="003B5B51"/>
    <w:rsid w:val="003B670A"/>
    <w:rsid w:val="003B7D0E"/>
    <w:rsid w:val="003C1C48"/>
    <w:rsid w:val="003C3083"/>
    <w:rsid w:val="003C3101"/>
    <w:rsid w:val="003C507E"/>
    <w:rsid w:val="003C52CC"/>
    <w:rsid w:val="003C6068"/>
    <w:rsid w:val="003C6485"/>
    <w:rsid w:val="003C6630"/>
    <w:rsid w:val="003C6D05"/>
    <w:rsid w:val="003C76FC"/>
    <w:rsid w:val="003C7BE6"/>
    <w:rsid w:val="003D09D2"/>
    <w:rsid w:val="003D0C4E"/>
    <w:rsid w:val="003D1AD0"/>
    <w:rsid w:val="003D2578"/>
    <w:rsid w:val="003D2C99"/>
    <w:rsid w:val="003D4994"/>
    <w:rsid w:val="003D75FD"/>
    <w:rsid w:val="003E3CC6"/>
    <w:rsid w:val="003E483C"/>
    <w:rsid w:val="003E54B8"/>
    <w:rsid w:val="003E5602"/>
    <w:rsid w:val="003E5CB7"/>
    <w:rsid w:val="003F04BA"/>
    <w:rsid w:val="003F0909"/>
    <w:rsid w:val="003F1532"/>
    <w:rsid w:val="003F153A"/>
    <w:rsid w:val="003F1B39"/>
    <w:rsid w:val="003F34D3"/>
    <w:rsid w:val="003F4045"/>
    <w:rsid w:val="003F50C8"/>
    <w:rsid w:val="003F5554"/>
    <w:rsid w:val="003F5562"/>
    <w:rsid w:val="003F562A"/>
    <w:rsid w:val="003F5D5B"/>
    <w:rsid w:val="003F6A39"/>
    <w:rsid w:val="003F79E5"/>
    <w:rsid w:val="003F7E32"/>
    <w:rsid w:val="003F7E93"/>
    <w:rsid w:val="00401B85"/>
    <w:rsid w:val="00402467"/>
    <w:rsid w:val="0040263C"/>
    <w:rsid w:val="004038A0"/>
    <w:rsid w:val="00403977"/>
    <w:rsid w:val="0040451E"/>
    <w:rsid w:val="00406666"/>
    <w:rsid w:val="00407954"/>
    <w:rsid w:val="00410890"/>
    <w:rsid w:val="00411BD3"/>
    <w:rsid w:val="00412DCA"/>
    <w:rsid w:val="00413174"/>
    <w:rsid w:val="00413713"/>
    <w:rsid w:val="00413ECB"/>
    <w:rsid w:val="00414FD0"/>
    <w:rsid w:val="00415B90"/>
    <w:rsid w:val="00416F27"/>
    <w:rsid w:val="004207A2"/>
    <w:rsid w:val="00422276"/>
    <w:rsid w:val="0042316F"/>
    <w:rsid w:val="004242CF"/>
    <w:rsid w:val="004243A4"/>
    <w:rsid w:val="00425502"/>
    <w:rsid w:val="00425A76"/>
    <w:rsid w:val="004266DE"/>
    <w:rsid w:val="00426DA9"/>
    <w:rsid w:val="00427AA3"/>
    <w:rsid w:val="00427BF6"/>
    <w:rsid w:val="00431D34"/>
    <w:rsid w:val="00431D9B"/>
    <w:rsid w:val="00434252"/>
    <w:rsid w:val="00435525"/>
    <w:rsid w:val="00435CCF"/>
    <w:rsid w:val="00436EA9"/>
    <w:rsid w:val="004374BD"/>
    <w:rsid w:val="0044019A"/>
    <w:rsid w:val="00440535"/>
    <w:rsid w:val="00444777"/>
    <w:rsid w:val="004457B4"/>
    <w:rsid w:val="004462F2"/>
    <w:rsid w:val="0045008E"/>
    <w:rsid w:val="00450987"/>
    <w:rsid w:val="00450E70"/>
    <w:rsid w:val="004515D6"/>
    <w:rsid w:val="00451C8D"/>
    <w:rsid w:val="00454098"/>
    <w:rsid w:val="00454911"/>
    <w:rsid w:val="00455875"/>
    <w:rsid w:val="00456749"/>
    <w:rsid w:val="00456851"/>
    <w:rsid w:val="00456DB7"/>
    <w:rsid w:val="00457F24"/>
    <w:rsid w:val="00460F87"/>
    <w:rsid w:val="004622F1"/>
    <w:rsid w:val="004624F7"/>
    <w:rsid w:val="004629E7"/>
    <w:rsid w:val="00462EAA"/>
    <w:rsid w:val="00463D6B"/>
    <w:rsid w:val="004646B5"/>
    <w:rsid w:val="004646DE"/>
    <w:rsid w:val="00464BD9"/>
    <w:rsid w:val="00466046"/>
    <w:rsid w:val="00466A2E"/>
    <w:rsid w:val="004671F2"/>
    <w:rsid w:val="004672AC"/>
    <w:rsid w:val="0046790C"/>
    <w:rsid w:val="00470037"/>
    <w:rsid w:val="004704FF"/>
    <w:rsid w:val="00471209"/>
    <w:rsid w:val="00471228"/>
    <w:rsid w:val="004716D0"/>
    <w:rsid w:val="004735FA"/>
    <w:rsid w:val="00473842"/>
    <w:rsid w:val="00474DFF"/>
    <w:rsid w:val="00475560"/>
    <w:rsid w:val="00475AAF"/>
    <w:rsid w:val="0047626F"/>
    <w:rsid w:val="004766AD"/>
    <w:rsid w:val="0047698A"/>
    <w:rsid w:val="004772B7"/>
    <w:rsid w:val="00477344"/>
    <w:rsid w:val="00477712"/>
    <w:rsid w:val="004778E0"/>
    <w:rsid w:val="00477B5E"/>
    <w:rsid w:val="00477F79"/>
    <w:rsid w:val="00481054"/>
    <w:rsid w:val="00483C9B"/>
    <w:rsid w:val="00484813"/>
    <w:rsid w:val="0048576E"/>
    <w:rsid w:val="004879A5"/>
    <w:rsid w:val="00487AC6"/>
    <w:rsid w:val="00491849"/>
    <w:rsid w:val="00493099"/>
    <w:rsid w:val="00493B45"/>
    <w:rsid w:val="00493C45"/>
    <w:rsid w:val="00494414"/>
    <w:rsid w:val="00494743"/>
    <w:rsid w:val="00495C1E"/>
    <w:rsid w:val="0049636C"/>
    <w:rsid w:val="0049717E"/>
    <w:rsid w:val="00497B54"/>
    <w:rsid w:val="004A0F58"/>
    <w:rsid w:val="004A28FB"/>
    <w:rsid w:val="004A37D6"/>
    <w:rsid w:val="004A4309"/>
    <w:rsid w:val="004A60EB"/>
    <w:rsid w:val="004A67C0"/>
    <w:rsid w:val="004A68ED"/>
    <w:rsid w:val="004A7200"/>
    <w:rsid w:val="004A7C4C"/>
    <w:rsid w:val="004A7EFC"/>
    <w:rsid w:val="004A7F43"/>
    <w:rsid w:val="004A7FBE"/>
    <w:rsid w:val="004B0238"/>
    <w:rsid w:val="004B105D"/>
    <w:rsid w:val="004B15E1"/>
    <w:rsid w:val="004B1B5B"/>
    <w:rsid w:val="004B279B"/>
    <w:rsid w:val="004B2B62"/>
    <w:rsid w:val="004B4328"/>
    <w:rsid w:val="004B4E04"/>
    <w:rsid w:val="004B5222"/>
    <w:rsid w:val="004B600A"/>
    <w:rsid w:val="004B6F0B"/>
    <w:rsid w:val="004B786F"/>
    <w:rsid w:val="004B7972"/>
    <w:rsid w:val="004B7B92"/>
    <w:rsid w:val="004C2EE2"/>
    <w:rsid w:val="004C2FD5"/>
    <w:rsid w:val="004C50E8"/>
    <w:rsid w:val="004C516E"/>
    <w:rsid w:val="004C52E6"/>
    <w:rsid w:val="004C553E"/>
    <w:rsid w:val="004C64F7"/>
    <w:rsid w:val="004C6DE0"/>
    <w:rsid w:val="004C74A1"/>
    <w:rsid w:val="004C7787"/>
    <w:rsid w:val="004C77CF"/>
    <w:rsid w:val="004D288A"/>
    <w:rsid w:val="004D2D14"/>
    <w:rsid w:val="004D2E70"/>
    <w:rsid w:val="004D3474"/>
    <w:rsid w:val="004D3665"/>
    <w:rsid w:val="004D38D1"/>
    <w:rsid w:val="004D4A8C"/>
    <w:rsid w:val="004D5E06"/>
    <w:rsid w:val="004D62BB"/>
    <w:rsid w:val="004D6F02"/>
    <w:rsid w:val="004D7546"/>
    <w:rsid w:val="004E119D"/>
    <w:rsid w:val="004E1A20"/>
    <w:rsid w:val="004E296F"/>
    <w:rsid w:val="004E49BA"/>
    <w:rsid w:val="004E4EB6"/>
    <w:rsid w:val="004E6491"/>
    <w:rsid w:val="004E694E"/>
    <w:rsid w:val="004E7010"/>
    <w:rsid w:val="004F0C78"/>
    <w:rsid w:val="004F2B0A"/>
    <w:rsid w:val="004F387B"/>
    <w:rsid w:val="004F50A5"/>
    <w:rsid w:val="004F5105"/>
    <w:rsid w:val="004F6A9B"/>
    <w:rsid w:val="004F71D1"/>
    <w:rsid w:val="004F7C4C"/>
    <w:rsid w:val="004F7DB9"/>
    <w:rsid w:val="004F7E59"/>
    <w:rsid w:val="00500000"/>
    <w:rsid w:val="005000C0"/>
    <w:rsid w:val="00500C06"/>
    <w:rsid w:val="00500FCE"/>
    <w:rsid w:val="00501245"/>
    <w:rsid w:val="005016E8"/>
    <w:rsid w:val="00502B49"/>
    <w:rsid w:val="00502FC3"/>
    <w:rsid w:val="00503B66"/>
    <w:rsid w:val="00504989"/>
    <w:rsid w:val="005051A8"/>
    <w:rsid w:val="00505B9D"/>
    <w:rsid w:val="00505F2B"/>
    <w:rsid w:val="00506DF6"/>
    <w:rsid w:val="00510664"/>
    <w:rsid w:val="00510A04"/>
    <w:rsid w:val="00512DA2"/>
    <w:rsid w:val="00514936"/>
    <w:rsid w:val="00514A53"/>
    <w:rsid w:val="00514CBE"/>
    <w:rsid w:val="00514EB6"/>
    <w:rsid w:val="005160BC"/>
    <w:rsid w:val="005160CC"/>
    <w:rsid w:val="005210E7"/>
    <w:rsid w:val="0052180A"/>
    <w:rsid w:val="0052288B"/>
    <w:rsid w:val="005236E3"/>
    <w:rsid w:val="00524955"/>
    <w:rsid w:val="005275A1"/>
    <w:rsid w:val="00527A9E"/>
    <w:rsid w:val="00530DED"/>
    <w:rsid w:val="00531AAE"/>
    <w:rsid w:val="00532927"/>
    <w:rsid w:val="005335E5"/>
    <w:rsid w:val="00533BA1"/>
    <w:rsid w:val="00534073"/>
    <w:rsid w:val="005353F0"/>
    <w:rsid w:val="00535674"/>
    <w:rsid w:val="00535F10"/>
    <w:rsid w:val="005364C1"/>
    <w:rsid w:val="00537F31"/>
    <w:rsid w:val="00541151"/>
    <w:rsid w:val="0054189E"/>
    <w:rsid w:val="00542443"/>
    <w:rsid w:val="005428E1"/>
    <w:rsid w:val="00542D8B"/>
    <w:rsid w:val="00543A0B"/>
    <w:rsid w:val="0054443F"/>
    <w:rsid w:val="00544F93"/>
    <w:rsid w:val="005451E8"/>
    <w:rsid w:val="0054577C"/>
    <w:rsid w:val="00545B6B"/>
    <w:rsid w:val="005472F1"/>
    <w:rsid w:val="00547F43"/>
    <w:rsid w:val="00550B9B"/>
    <w:rsid w:val="005510EF"/>
    <w:rsid w:val="00551BA9"/>
    <w:rsid w:val="00551C8C"/>
    <w:rsid w:val="00551D3C"/>
    <w:rsid w:val="00552293"/>
    <w:rsid w:val="005530A8"/>
    <w:rsid w:val="00553241"/>
    <w:rsid w:val="00554374"/>
    <w:rsid w:val="00554CEF"/>
    <w:rsid w:val="005563B2"/>
    <w:rsid w:val="00556406"/>
    <w:rsid w:val="00556FAE"/>
    <w:rsid w:val="00561594"/>
    <w:rsid w:val="00561864"/>
    <w:rsid w:val="00561F4D"/>
    <w:rsid w:val="005626C1"/>
    <w:rsid w:val="0056362C"/>
    <w:rsid w:val="00563BE3"/>
    <w:rsid w:val="00563E9C"/>
    <w:rsid w:val="00563FB8"/>
    <w:rsid w:val="00564255"/>
    <w:rsid w:val="0056470C"/>
    <w:rsid w:val="005651FC"/>
    <w:rsid w:val="0056644E"/>
    <w:rsid w:val="00566574"/>
    <w:rsid w:val="00566D46"/>
    <w:rsid w:val="005679F9"/>
    <w:rsid w:val="00567A94"/>
    <w:rsid w:val="005712F3"/>
    <w:rsid w:val="005715BC"/>
    <w:rsid w:val="00571728"/>
    <w:rsid w:val="005719B1"/>
    <w:rsid w:val="00571E89"/>
    <w:rsid w:val="00571F63"/>
    <w:rsid w:val="00572116"/>
    <w:rsid w:val="0057219D"/>
    <w:rsid w:val="00572265"/>
    <w:rsid w:val="00572612"/>
    <w:rsid w:val="00572ECA"/>
    <w:rsid w:val="00572F5A"/>
    <w:rsid w:val="00573382"/>
    <w:rsid w:val="00573450"/>
    <w:rsid w:val="00573BE8"/>
    <w:rsid w:val="00574BB4"/>
    <w:rsid w:val="00575062"/>
    <w:rsid w:val="00576961"/>
    <w:rsid w:val="00576E30"/>
    <w:rsid w:val="005807D5"/>
    <w:rsid w:val="00580F19"/>
    <w:rsid w:val="005838CF"/>
    <w:rsid w:val="005839CC"/>
    <w:rsid w:val="00583DAA"/>
    <w:rsid w:val="0058736F"/>
    <w:rsid w:val="005908BC"/>
    <w:rsid w:val="00591663"/>
    <w:rsid w:val="005917C3"/>
    <w:rsid w:val="00592CD0"/>
    <w:rsid w:val="005931B0"/>
    <w:rsid w:val="00594DB8"/>
    <w:rsid w:val="00596B35"/>
    <w:rsid w:val="00597393"/>
    <w:rsid w:val="0059795B"/>
    <w:rsid w:val="005A0012"/>
    <w:rsid w:val="005A00C4"/>
    <w:rsid w:val="005A1862"/>
    <w:rsid w:val="005A4176"/>
    <w:rsid w:val="005A4BBC"/>
    <w:rsid w:val="005A4D1E"/>
    <w:rsid w:val="005A4D58"/>
    <w:rsid w:val="005A5136"/>
    <w:rsid w:val="005A52F8"/>
    <w:rsid w:val="005A6527"/>
    <w:rsid w:val="005A672B"/>
    <w:rsid w:val="005A7915"/>
    <w:rsid w:val="005A7DE3"/>
    <w:rsid w:val="005B03CE"/>
    <w:rsid w:val="005B0765"/>
    <w:rsid w:val="005B1ABB"/>
    <w:rsid w:val="005B33A6"/>
    <w:rsid w:val="005B3A19"/>
    <w:rsid w:val="005B4242"/>
    <w:rsid w:val="005B5A51"/>
    <w:rsid w:val="005B6A60"/>
    <w:rsid w:val="005B723E"/>
    <w:rsid w:val="005B7AC3"/>
    <w:rsid w:val="005B7DA4"/>
    <w:rsid w:val="005C0694"/>
    <w:rsid w:val="005C07FB"/>
    <w:rsid w:val="005C0FC6"/>
    <w:rsid w:val="005C1902"/>
    <w:rsid w:val="005C1B46"/>
    <w:rsid w:val="005C392C"/>
    <w:rsid w:val="005C3B33"/>
    <w:rsid w:val="005C487A"/>
    <w:rsid w:val="005C4BF5"/>
    <w:rsid w:val="005C58DF"/>
    <w:rsid w:val="005C62EF"/>
    <w:rsid w:val="005C6D06"/>
    <w:rsid w:val="005C6E71"/>
    <w:rsid w:val="005C7F26"/>
    <w:rsid w:val="005D0478"/>
    <w:rsid w:val="005D1485"/>
    <w:rsid w:val="005D29A3"/>
    <w:rsid w:val="005D2BC6"/>
    <w:rsid w:val="005D2C62"/>
    <w:rsid w:val="005D2DB4"/>
    <w:rsid w:val="005D349D"/>
    <w:rsid w:val="005D441B"/>
    <w:rsid w:val="005D45A8"/>
    <w:rsid w:val="005D4D76"/>
    <w:rsid w:val="005D5138"/>
    <w:rsid w:val="005D5CA5"/>
    <w:rsid w:val="005D64DC"/>
    <w:rsid w:val="005D6A92"/>
    <w:rsid w:val="005D6EF4"/>
    <w:rsid w:val="005E1C1C"/>
    <w:rsid w:val="005E1DAC"/>
    <w:rsid w:val="005E2B74"/>
    <w:rsid w:val="005E41FE"/>
    <w:rsid w:val="005E43BA"/>
    <w:rsid w:val="005E47BC"/>
    <w:rsid w:val="005E4AAD"/>
    <w:rsid w:val="005E6999"/>
    <w:rsid w:val="005E7D1E"/>
    <w:rsid w:val="005F03F4"/>
    <w:rsid w:val="005F1584"/>
    <w:rsid w:val="005F2888"/>
    <w:rsid w:val="005F3D36"/>
    <w:rsid w:val="005F3EF5"/>
    <w:rsid w:val="005F4EFD"/>
    <w:rsid w:val="005F561B"/>
    <w:rsid w:val="005F5923"/>
    <w:rsid w:val="005F5F1E"/>
    <w:rsid w:val="005F711B"/>
    <w:rsid w:val="005F7135"/>
    <w:rsid w:val="005F7880"/>
    <w:rsid w:val="00600369"/>
    <w:rsid w:val="00602F34"/>
    <w:rsid w:val="006032BB"/>
    <w:rsid w:val="006039F2"/>
    <w:rsid w:val="00603B09"/>
    <w:rsid w:val="006044FA"/>
    <w:rsid w:val="006047B0"/>
    <w:rsid w:val="00606B89"/>
    <w:rsid w:val="00607C01"/>
    <w:rsid w:val="00610AA4"/>
    <w:rsid w:val="006113BA"/>
    <w:rsid w:val="00612D24"/>
    <w:rsid w:val="00612E7A"/>
    <w:rsid w:val="00613016"/>
    <w:rsid w:val="00614BD7"/>
    <w:rsid w:val="00614C2C"/>
    <w:rsid w:val="0061502E"/>
    <w:rsid w:val="00615D9F"/>
    <w:rsid w:val="00617DE7"/>
    <w:rsid w:val="00620358"/>
    <w:rsid w:val="006217A0"/>
    <w:rsid w:val="00621FEB"/>
    <w:rsid w:val="00623006"/>
    <w:rsid w:val="00623C6D"/>
    <w:rsid w:val="00623E80"/>
    <w:rsid w:val="00623F92"/>
    <w:rsid w:val="00624931"/>
    <w:rsid w:val="00624B7E"/>
    <w:rsid w:val="00625625"/>
    <w:rsid w:val="00625FBC"/>
    <w:rsid w:val="0062663C"/>
    <w:rsid w:val="00626678"/>
    <w:rsid w:val="006302B6"/>
    <w:rsid w:val="00630F05"/>
    <w:rsid w:val="0063193A"/>
    <w:rsid w:val="006324FD"/>
    <w:rsid w:val="00632AE9"/>
    <w:rsid w:val="006341B9"/>
    <w:rsid w:val="006345C9"/>
    <w:rsid w:val="00634D59"/>
    <w:rsid w:val="006360AC"/>
    <w:rsid w:val="006367AB"/>
    <w:rsid w:val="006367DC"/>
    <w:rsid w:val="00637478"/>
    <w:rsid w:val="006404EE"/>
    <w:rsid w:val="00640F1C"/>
    <w:rsid w:val="006422BC"/>
    <w:rsid w:val="00644283"/>
    <w:rsid w:val="006443DD"/>
    <w:rsid w:val="006449C3"/>
    <w:rsid w:val="00644B4C"/>
    <w:rsid w:val="0064605C"/>
    <w:rsid w:val="006468FB"/>
    <w:rsid w:val="00646BA0"/>
    <w:rsid w:val="0065040D"/>
    <w:rsid w:val="00651D3B"/>
    <w:rsid w:val="00652509"/>
    <w:rsid w:val="006532CA"/>
    <w:rsid w:val="00654E46"/>
    <w:rsid w:val="00654F4E"/>
    <w:rsid w:val="00655396"/>
    <w:rsid w:val="00656ECD"/>
    <w:rsid w:val="00656FA3"/>
    <w:rsid w:val="00657C98"/>
    <w:rsid w:val="00660656"/>
    <w:rsid w:val="00660D24"/>
    <w:rsid w:val="0066292D"/>
    <w:rsid w:val="006632B2"/>
    <w:rsid w:val="006639D0"/>
    <w:rsid w:val="00663C4F"/>
    <w:rsid w:val="0066442B"/>
    <w:rsid w:val="006646E9"/>
    <w:rsid w:val="0066535E"/>
    <w:rsid w:val="006660D5"/>
    <w:rsid w:val="006666A6"/>
    <w:rsid w:val="0066706F"/>
    <w:rsid w:val="006679EC"/>
    <w:rsid w:val="00667E8A"/>
    <w:rsid w:val="006701D9"/>
    <w:rsid w:val="00670DA8"/>
    <w:rsid w:val="0067163A"/>
    <w:rsid w:val="006716C8"/>
    <w:rsid w:val="0067213D"/>
    <w:rsid w:val="006721BD"/>
    <w:rsid w:val="00672219"/>
    <w:rsid w:val="006733B6"/>
    <w:rsid w:val="0067548E"/>
    <w:rsid w:val="006758F6"/>
    <w:rsid w:val="00675EE0"/>
    <w:rsid w:val="006761B3"/>
    <w:rsid w:val="006761DE"/>
    <w:rsid w:val="00676968"/>
    <w:rsid w:val="00676E01"/>
    <w:rsid w:val="00680A84"/>
    <w:rsid w:val="00681436"/>
    <w:rsid w:val="00681E6C"/>
    <w:rsid w:val="006821B9"/>
    <w:rsid w:val="00682ABA"/>
    <w:rsid w:val="0068392B"/>
    <w:rsid w:val="00683981"/>
    <w:rsid w:val="0068479D"/>
    <w:rsid w:val="0068711F"/>
    <w:rsid w:val="00687A2A"/>
    <w:rsid w:val="00687BB9"/>
    <w:rsid w:val="006904C2"/>
    <w:rsid w:val="00692107"/>
    <w:rsid w:val="006922C3"/>
    <w:rsid w:val="00692842"/>
    <w:rsid w:val="0069378E"/>
    <w:rsid w:val="0069438B"/>
    <w:rsid w:val="00694D15"/>
    <w:rsid w:val="00696334"/>
    <w:rsid w:val="00697F86"/>
    <w:rsid w:val="006A1158"/>
    <w:rsid w:val="006A325D"/>
    <w:rsid w:val="006A3679"/>
    <w:rsid w:val="006A3D67"/>
    <w:rsid w:val="006A58CE"/>
    <w:rsid w:val="006A5A5F"/>
    <w:rsid w:val="006A6925"/>
    <w:rsid w:val="006B0EB5"/>
    <w:rsid w:val="006B1BD9"/>
    <w:rsid w:val="006B2EFB"/>
    <w:rsid w:val="006B3AF9"/>
    <w:rsid w:val="006B408A"/>
    <w:rsid w:val="006B4520"/>
    <w:rsid w:val="006B54A1"/>
    <w:rsid w:val="006B59FF"/>
    <w:rsid w:val="006B7413"/>
    <w:rsid w:val="006B7984"/>
    <w:rsid w:val="006C0947"/>
    <w:rsid w:val="006C0B06"/>
    <w:rsid w:val="006C1278"/>
    <w:rsid w:val="006C1C3A"/>
    <w:rsid w:val="006C22DF"/>
    <w:rsid w:val="006C50AD"/>
    <w:rsid w:val="006C648F"/>
    <w:rsid w:val="006C6B79"/>
    <w:rsid w:val="006C6C1C"/>
    <w:rsid w:val="006C77B2"/>
    <w:rsid w:val="006C7A1B"/>
    <w:rsid w:val="006C7EDD"/>
    <w:rsid w:val="006D0244"/>
    <w:rsid w:val="006D109D"/>
    <w:rsid w:val="006D134A"/>
    <w:rsid w:val="006D1514"/>
    <w:rsid w:val="006D2401"/>
    <w:rsid w:val="006D2629"/>
    <w:rsid w:val="006D276D"/>
    <w:rsid w:val="006D3692"/>
    <w:rsid w:val="006D47B1"/>
    <w:rsid w:val="006D56A6"/>
    <w:rsid w:val="006D5ABC"/>
    <w:rsid w:val="006D6A76"/>
    <w:rsid w:val="006D6D01"/>
    <w:rsid w:val="006E0546"/>
    <w:rsid w:val="006E0E41"/>
    <w:rsid w:val="006E1D8D"/>
    <w:rsid w:val="006E20A2"/>
    <w:rsid w:val="006E3B5C"/>
    <w:rsid w:val="006E3FCA"/>
    <w:rsid w:val="006E43A3"/>
    <w:rsid w:val="006E4EC3"/>
    <w:rsid w:val="006E55E1"/>
    <w:rsid w:val="006E61B4"/>
    <w:rsid w:val="006E6E97"/>
    <w:rsid w:val="006E7464"/>
    <w:rsid w:val="006E777E"/>
    <w:rsid w:val="006E7D35"/>
    <w:rsid w:val="006F0C12"/>
    <w:rsid w:val="006F2DF5"/>
    <w:rsid w:val="006F3571"/>
    <w:rsid w:val="006F3982"/>
    <w:rsid w:val="006F39D5"/>
    <w:rsid w:val="006F3B6B"/>
    <w:rsid w:val="006F4250"/>
    <w:rsid w:val="006F438E"/>
    <w:rsid w:val="006F4692"/>
    <w:rsid w:val="006F5B3A"/>
    <w:rsid w:val="006F7096"/>
    <w:rsid w:val="006F7B48"/>
    <w:rsid w:val="006F7F10"/>
    <w:rsid w:val="007000FA"/>
    <w:rsid w:val="0070011E"/>
    <w:rsid w:val="0070018C"/>
    <w:rsid w:val="007003F3"/>
    <w:rsid w:val="0070080E"/>
    <w:rsid w:val="00702BCA"/>
    <w:rsid w:val="00703DBC"/>
    <w:rsid w:val="00704B03"/>
    <w:rsid w:val="00705833"/>
    <w:rsid w:val="00705834"/>
    <w:rsid w:val="007058CF"/>
    <w:rsid w:val="00705AB5"/>
    <w:rsid w:val="007068C4"/>
    <w:rsid w:val="00706BBC"/>
    <w:rsid w:val="00706D58"/>
    <w:rsid w:val="00706E44"/>
    <w:rsid w:val="00707149"/>
    <w:rsid w:val="00711780"/>
    <w:rsid w:val="007129A3"/>
    <w:rsid w:val="00712D10"/>
    <w:rsid w:val="00713436"/>
    <w:rsid w:val="0071553F"/>
    <w:rsid w:val="00715B9D"/>
    <w:rsid w:val="00715D3A"/>
    <w:rsid w:val="00716914"/>
    <w:rsid w:val="007169C0"/>
    <w:rsid w:val="00717C03"/>
    <w:rsid w:val="00720A2D"/>
    <w:rsid w:val="007215AB"/>
    <w:rsid w:val="00722FC1"/>
    <w:rsid w:val="00723063"/>
    <w:rsid w:val="00723316"/>
    <w:rsid w:val="007233EF"/>
    <w:rsid w:val="00723DAB"/>
    <w:rsid w:val="00724039"/>
    <w:rsid w:val="007246CB"/>
    <w:rsid w:val="00724E8A"/>
    <w:rsid w:val="007258F9"/>
    <w:rsid w:val="00727227"/>
    <w:rsid w:val="007311A8"/>
    <w:rsid w:val="00731892"/>
    <w:rsid w:val="00732FC5"/>
    <w:rsid w:val="00734265"/>
    <w:rsid w:val="00734E4F"/>
    <w:rsid w:val="00735889"/>
    <w:rsid w:val="00736BBB"/>
    <w:rsid w:val="0073782B"/>
    <w:rsid w:val="00740115"/>
    <w:rsid w:val="007410FC"/>
    <w:rsid w:val="00741F8F"/>
    <w:rsid w:val="007428C3"/>
    <w:rsid w:val="00743AE5"/>
    <w:rsid w:val="00743CF7"/>
    <w:rsid w:val="00743F0C"/>
    <w:rsid w:val="007440EE"/>
    <w:rsid w:val="0074548D"/>
    <w:rsid w:val="00745DCB"/>
    <w:rsid w:val="00745E7C"/>
    <w:rsid w:val="007463EF"/>
    <w:rsid w:val="00747C42"/>
    <w:rsid w:val="00750B5E"/>
    <w:rsid w:val="00750BB3"/>
    <w:rsid w:val="00752043"/>
    <w:rsid w:val="007525BF"/>
    <w:rsid w:val="0075270A"/>
    <w:rsid w:val="00754041"/>
    <w:rsid w:val="0075441D"/>
    <w:rsid w:val="00755671"/>
    <w:rsid w:val="007559B1"/>
    <w:rsid w:val="007563F5"/>
    <w:rsid w:val="007565C0"/>
    <w:rsid w:val="007569C1"/>
    <w:rsid w:val="00757BA4"/>
    <w:rsid w:val="00757D9C"/>
    <w:rsid w:val="00760376"/>
    <w:rsid w:val="007606F7"/>
    <w:rsid w:val="0076105E"/>
    <w:rsid w:val="00761193"/>
    <w:rsid w:val="007618A1"/>
    <w:rsid w:val="007623E6"/>
    <w:rsid w:val="00762CC8"/>
    <w:rsid w:val="00762D8D"/>
    <w:rsid w:val="00762D9A"/>
    <w:rsid w:val="00763B4B"/>
    <w:rsid w:val="00764256"/>
    <w:rsid w:val="00766520"/>
    <w:rsid w:val="00766E1C"/>
    <w:rsid w:val="00767200"/>
    <w:rsid w:val="00767462"/>
    <w:rsid w:val="00767D84"/>
    <w:rsid w:val="007707FF"/>
    <w:rsid w:val="00771684"/>
    <w:rsid w:val="007725AF"/>
    <w:rsid w:val="00772DD6"/>
    <w:rsid w:val="007730CD"/>
    <w:rsid w:val="007731B3"/>
    <w:rsid w:val="007742AB"/>
    <w:rsid w:val="00774808"/>
    <w:rsid w:val="00775F09"/>
    <w:rsid w:val="0077620E"/>
    <w:rsid w:val="00776506"/>
    <w:rsid w:val="00777521"/>
    <w:rsid w:val="007778D3"/>
    <w:rsid w:val="00777AE8"/>
    <w:rsid w:val="00777CA0"/>
    <w:rsid w:val="007800A5"/>
    <w:rsid w:val="00781663"/>
    <w:rsid w:val="00783175"/>
    <w:rsid w:val="007833A2"/>
    <w:rsid w:val="00783D6C"/>
    <w:rsid w:val="0078432F"/>
    <w:rsid w:val="00784FC3"/>
    <w:rsid w:val="00785909"/>
    <w:rsid w:val="00785910"/>
    <w:rsid w:val="00786696"/>
    <w:rsid w:val="00786991"/>
    <w:rsid w:val="00786E96"/>
    <w:rsid w:val="0078756A"/>
    <w:rsid w:val="00787D5F"/>
    <w:rsid w:val="0079162F"/>
    <w:rsid w:val="00791634"/>
    <w:rsid w:val="00793315"/>
    <w:rsid w:val="00795687"/>
    <w:rsid w:val="007970C4"/>
    <w:rsid w:val="007972F2"/>
    <w:rsid w:val="00797F71"/>
    <w:rsid w:val="007A04E5"/>
    <w:rsid w:val="007A2367"/>
    <w:rsid w:val="007A4434"/>
    <w:rsid w:val="007A626F"/>
    <w:rsid w:val="007A7FFA"/>
    <w:rsid w:val="007B02A3"/>
    <w:rsid w:val="007B1E33"/>
    <w:rsid w:val="007B2AED"/>
    <w:rsid w:val="007B2E20"/>
    <w:rsid w:val="007B2F38"/>
    <w:rsid w:val="007B399E"/>
    <w:rsid w:val="007B497E"/>
    <w:rsid w:val="007B4B80"/>
    <w:rsid w:val="007B5469"/>
    <w:rsid w:val="007B5512"/>
    <w:rsid w:val="007B670E"/>
    <w:rsid w:val="007B7437"/>
    <w:rsid w:val="007C0745"/>
    <w:rsid w:val="007C0A5D"/>
    <w:rsid w:val="007C1B11"/>
    <w:rsid w:val="007C1BE9"/>
    <w:rsid w:val="007C20F2"/>
    <w:rsid w:val="007C29B5"/>
    <w:rsid w:val="007C3A52"/>
    <w:rsid w:val="007C3AF1"/>
    <w:rsid w:val="007C44D7"/>
    <w:rsid w:val="007C49F5"/>
    <w:rsid w:val="007C4FC3"/>
    <w:rsid w:val="007C50AC"/>
    <w:rsid w:val="007C5D11"/>
    <w:rsid w:val="007C616F"/>
    <w:rsid w:val="007C7D49"/>
    <w:rsid w:val="007D1D73"/>
    <w:rsid w:val="007D3926"/>
    <w:rsid w:val="007D3F05"/>
    <w:rsid w:val="007D4262"/>
    <w:rsid w:val="007D4900"/>
    <w:rsid w:val="007D52AD"/>
    <w:rsid w:val="007D558D"/>
    <w:rsid w:val="007D599E"/>
    <w:rsid w:val="007D5BDB"/>
    <w:rsid w:val="007D6279"/>
    <w:rsid w:val="007D7523"/>
    <w:rsid w:val="007E1448"/>
    <w:rsid w:val="007E1E40"/>
    <w:rsid w:val="007E2B46"/>
    <w:rsid w:val="007F0759"/>
    <w:rsid w:val="007F18F9"/>
    <w:rsid w:val="007F19D4"/>
    <w:rsid w:val="007F266D"/>
    <w:rsid w:val="007F27F2"/>
    <w:rsid w:val="007F2804"/>
    <w:rsid w:val="007F30CF"/>
    <w:rsid w:val="007F34E1"/>
    <w:rsid w:val="007F3E23"/>
    <w:rsid w:val="007F3F46"/>
    <w:rsid w:val="007F5F83"/>
    <w:rsid w:val="007F759C"/>
    <w:rsid w:val="007F79BF"/>
    <w:rsid w:val="007F79ED"/>
    <w:rsid w:val="007F7DB3"/>
    <w:rsid w:val="00801600"/>
    <w:rsid w:val="0080164D"/>
    <w:rsid w:val="008022CC"/>
    <w:rsid w:val="00802723"/>
    <w:rsid w:val="00803D82"/>
    <w:rsid w:val="00803F4B"/>
    <w:rsid w:val="00804318"/>
    <w:rsid w:val="00806ECD"/>
    <w:rsid w:val="008071A3"/>
    <w:rsid w:val="0080787A"/>
    <w:rsid w:val="0081019B"/>
    <w:rsid w:val="00810C38"/>
    <w:rsid w:val="00810D8E"/>
    <w:rsid w:val="0081112B"/>
    <w:rsid w:val="0081284D"/>
    <w:rsid w:val="00812D47"/>
    <w:rsid w:val="0081323B"/>
    <w:rsid w:val="0081328F"/>
    <w:rsid w:val="0081417A"/>
    <w:rsid w:val="00814573"/>
    <w:rsid w:val="008157B7"/>
    <w:rsid w:val="008159E8"/>
    <w:rsid w:val="00815A43"/>
    <w:rsid w:val="00816C4E"/>
    <w:rsid w:val="008207B5"/>
    <w:rsid w:val="00821D75"/>
    <w:rsid w:val="0082308B"/>
    <w:rsid w:val="008245E9"/>
    <w:rsid w:val="00824653"/>
    <w:rsid w:val="008250CF"/>
    <w:rsid w:val="008256BE"/>
    <w:rsid w:val="00826D20"/>
    <w:rsid w:val="00826D26"/>
    <w:rsid w:val="00827B25"/>
    <w:rsid w:val="00827CD9"/>
    <w:rsid w:val="0083156F"/>
    <w:rsid w:val="00832FB8"/>
    <w:rsid w:val="008334C0"/>
    <w:rsid w:val="00833E36"/>
    <w:rsid w:val="0083410D"/>
    <w:rsid w:val="00834804"/>
    <w:rsid w:val="00836096"/>
    <w:rsid w:val="008365AA"/>
    <w:rsid w:val="008365DE"/>
    <w:rsid w:val="0084090D"/>
    <w:rsid w:val="00841A63"/>
    <w:rsid w:val="00842161"/>
    <w:rsid w:val="00842A74"/>
    <w:rsid w:val="00843C7C"/>
    <w:rsid w:val="008453CE"/>
    <w:rsid w:val="008456B0"/>
    <w:rsid w:val="0084594A"/>
    <w:rsid w:val="00845C82"/>
    <w:rsid w:val="00845F67"/>
    <w:rsid w:val="00846A40"/>
    <w:rsid w:val="00846ABA"/>
    <w:rsid w:val="0085023F"/>
    <w:rsid w:val="008502C8"/>
    <w:rsid w:val="0085173A"/>
    <w:rsid w:val="008529DC"/>
    <w:rsid w:val="008530A1"/>
    <w:rsid w:val="00853E92"/>
    <w:rsid w:val="00853F5B"/>
    <w:rsid w:val="008542BF"/>
    <w:rsid w:val="00854434"/>
    <w:rsid w:val="008547F7"/>
    <w:rsid w:val="00855055"/>
    <w:rsid w:val="008561F5"/>
    <w:rsid w:val="008567BD"/>
    <w:rsid w:val="008574D7"/>
    <w:rsid w:val="008575E0"/>
    <w:rsid w:val="00860729"/>
    <w:rsid w:val="008610E7"/>
    <w:rsid w:val="00861120"/>
    <w:rsid w:val="008612CD"/>
    <w:rsid w:val="00861845"/>
    <w:rsid w:val="008628F8"/>
    <w:rsid w:val="00862946"/>
    <w:rsid w:val="008630F8"/>
    <w:rsid w:val="008635AC"/>
    <w:rsid w:val="00863CE7"/>
    <w:rsid w:val="008640E0"/>
    <w:rsid w:val="00864CF1"/>
    <w:rsid w:val="00864E76"/>
    <w:rsid w:val="00864FAD"/>
    <w:rsid w:val="00864FD0"/>
    <w:rsid w:val="00866593"/>
    <w:rsid w:val="008700A2"/>
    <w:rsid w:val="008707CF"/>
    <w:rsid w:val="0087161B"/>
    <w:rsid w:val="00871B3C"/>
    <w:rsid w:val="00872187"/>
    <w:rsid w:val="00872651"/>
    <w:rsid w:val="008741EE"/>
    <w:rsid w:val="00874ACC"/>
    <w:rsid w:val="008750D1"/>
    <w:rsid w:val="00875AD2"/>
    <w:rsid w:val="00875E68"/>
    <w:rsid w:val="008764A2"/>
    <w:rsid w:val="00876691"/>
    <w:rsid w:val="00876801"/>
    <w:rsid w:val="00877152"/>
    <w:rsid w:val="00877E2C"/>
    <w:rsid w:val="00880509"/>
    <w:rsid w:val="00882D3E"/>
    <w:rsid w:val="00883BFC"/>
    <w:rsid w:val="00884361"/>
    <w:rsid w:val="008873CA"/>
    <w:rsid w:val="0089216A"/>
    <w:rsid w:val="00892288"/>
    <w:rsid w:val="00892D59"/>
    <w:rsid w:val="00893B76"/>
    <w:rsid w:val="008941AE"/>
    <w:rsid w:val="008953DB"/>
    <w:rsid w:val="008964C8"/>
    <w:rsid w:val="008966D7"/>
    <w:rsid w:val="008A18CC"/>
    <w:rsid w:val="008A1F61"/>
    <w:rsid w:val="008A2AB0"/>
    <w:rsid w:val="008A2B48"/>
    <w:rsid w:val="008A2D61"/>
    <w:rsid w:val="008A2E57"/>
    <w:rsid w:val="008A4063"/>
    <w:rsid w:val="008A40B2"/>
    <w:rsid w:val="008A40C4"/>
    <w:rsid w:val="008A43E7"/>
    <w:rsid w:val="008A4C43"/>
    <w:rsid w:val="008A59EF"/>
    <w:rsid w:val="008A6D8B"/>
    <w:rsid w:val="008A7860"/>
    <w:rsid w:val="008A7912"/>
    <w:rsid w:val="008B275A"/>
    <w:rsid w:val="008B29B2"/>
    <w:rsid w:val="008B2B79"/>
    <w:rsid w:val="008B3078"/>
    <w:rsid w:val="008B356E"/>
    <w:rsid w:val="008B3948"/>
    <w:rsid w:val="008B4A40"/>
    <w:rsid w:val="008B5097"/>
    <w:rsid w:val="008B5F81"/>
    <w:rsid w:val="008B6411"/>
    <w:rsid w:val="008C01B9"/>
    <w:rsid w:val="008C02E6"/>
    <w:rsid w:val="008C14AE"/>
    <w:rsid w:val="008C2CA3"/>
    <w:rsid w:val="008C31A9"/>
    <w:rsid w:val="008C4477"/>
    <w:rsid w:val="008C50F0"/>
    <w:rsid w:val="008C5ED4"/>
    <w:rsid w:val="008C6203"/>
    <w:rsid w:val="008C69AA"/>
    <w:rsid w:val="008C6D4A"/>
    <w:rsid w:val="008C6D9B"/>
    <w:rsid w:val="008C7972"/>
    <w:rsid w:val="008D13AC"/>
    <w:rsid w:val="008D1BB4"/>
    <w:rsid w:val="008D24D8"/>
    <w:rsid w:val="008D29A6"/>
    <w:rsid w:val="008D2A79"/>
    <w:rsid w:val="008D2E07"/>
    <w:rsid w:val="008D3818"/>
    <w:rsid w:val="008D4726"/>
    <w:rsid w:val="008D4C11"/>
    <w:rsid w:val="008D523C"/>
    <w:rsid w:val="008D5AA6"/>
    <w:rsid w:val="008D63C4"/>
    <w:rsid w:val="008D65CB"/>
    <w:rsid w:val="008D7628"/>
    <w:rsid w:val="008D7749"/>
    <w:rsid w:val="008D7C32"/>
    <w:rsid w:val="008D7DB2"/>
    <w:rsid w:val="008E08D1"/>
    <w:rsid w:val="008E13E9"/>
    <w:rsid w:val="008E15A9"/>
    <w:rsid w:val="008E1614"/>
    <w:rsid w:val="008E1A19"/>
    <w:rsid w:val="008E2AD9"/>
    <w:rsid w:val="008E32D2"/>
    <w:rsid w:val="008E331F"/>
    <w:rsid w:val="008E43F2"/>
    <w:rsid w:val="008E5274"/>
    <w:rsid w:val="008E5C0A"/>
    <w:rsid w:val="008E695A"/>
    <w:rsid w:val="008E708F"/>
    <w:rsid w:val="008F00B7"/>
    <w:rsid w:val="008F0DD4"/>
    <w:rsid w:val="008F1246"/>
    <w:rsid w:val="008F14D4"/>
    <w:rsid w:val="008F18C3"/>
    <w:rsid w:val="008F4D9F"/>
    <w:rsid w:val="008F5E38"/>
    <w:rsid w:val="008F5ED7"/>
    <w:rsid w:val="00900332"/>
    <w:rsid w:val="00902FF3"/>
    <w:rsid w:val="00903832"/>
    <w:rsid w:val="00903B90"/>
    <w:rsid w:val="0090411E"/>
    <w:rsid w:val="009046C7"/>
    <w:rsid w:val="00904F33"/>
    <w:rsid w:val="00905A9C"/>
    <w:rsid w:val="00906987"/>
    <w:rsid w:val="009077BD"/>
    <w:rsid w:val="00907C09"/>
    <w:rsid w:val="00912E66"/>
    <w:rsid w:val="0091575A"/>
    <w:rsid w:val="00915FA2"/>
    <w:rsid w:val="00916B31"/>
    <w:rsid w:val="009170D1"/>
    <w:rsid w:val="00917810"/>
    <w:rsid w:val="00917AD9"/>
    <w:rsid w:val="00921684"/>
    <w:rsid w:val="00923274"/>
    <w:rsid w:val="00923613"/>
    <w:rsid w:val="00923EE6"/>
    <w:rsid w:val="0092722E"/>
    <w:rsid w:val="0092788C"/>
    <w:rsid w:val="0093016D"/>
    <w:rsid w:val="00932CFC"/>
    <w:rsid w:val="00932D97"/>
    <w:rsid w:val="0093487B"/>
    <w:rsid w:val="0093589E"/>
    <w:rsid w:val="00937555"/>
    <w:rsid w:val="0094061D"/>
    <w:rsid w:val="009418F1"/>
    <w:rsid w:val="00942922"/>
    <w:rsid w:val="00942B51"/>
    <w:rsid w:val="00942EAE"/>
    <w:rsid w:val="0094348A"/>
    <w:rsid w:val="00943828"/>
    <w:rsid w:val="00943BDC"/>
    <w:rsid w:val="00943C9E"/>
    <w:rsid w:val="009454AC"/>
    <w:rsid w:val="009458E3"/>
    <w:rsid w:val="0094695C"/>
    <w:rsid w:val="00946FD5"/>
    <w:rsid w:val="009470A2"/>
    <w:rsid w:val="009513F9"/>
    <w:rsid w:val="00952440"/>
    <w:rsid w:val="0095316B"/>
    <w:rsid w:val="00953524"/>
    <w:rsid w:val="00953675"/>
    <w:rsid w:val="0095392D"/>
    <w:rsid w:val="00954499"/>
    <w:rsid w:val="00954826"/>
    <w:rsid w:val="00960CEE"/>
    <w:rsid w:val="009614B8"/>
    <w:rsid w:val="009619AB"/>
    <w:rsid w:val="00962B2B"/>
    <w:rsid w:val="009631CE"/>
    <w:rsid w:val="00963817"/>
    <w:rsid w:val="00963D6D"/>
    <w:rsid w:val="0096459E"/>
    <w:rsid w:val="00964F28"/>
    <w:rsid w:val="009672EA"/>
    <w:rsid w:val="0096759C"/>
    <w:rsid w:val="00970102"/>
    <w:rsid w:val="00970E79"/>
    <w:rsid w:val="00971037"/>
    <w:rsid w:val="00971AAF"/>
    <w:rsid w:val="00971C02"/>
    <w:rsid w:val="009720BB"/>
    <w:rsid w:val="00973225"/>
    <w:rsid w:val="00973E07"/>
    <w:rsid w:val="00973E80"/>
    <w:rsid w:val="009744D2"/>
    <w:rsid w:val="00976AC4"/>
    <w:rsid w:val="00976FD3"/>
    <w:rsid w:val="00980131"/>
    <w:rsid w:val="009801B8"/>
    <w:rsid w:val="00980D24"/>
    <w:rsid w:val="009819CD"/>
    <w:rsid w:val="00981A61"/>
    <w:rsid w:val="009855D4"/>
    <w:rsid w:val="00986192"/>
    <w:rsid w:val="00986ED8"/>
    <w:rsid w:val="00987541"/>
    <w:rsid w:val="00991F97"/>
    <w:rsid w:val="00992CF6"/>
    <w:rsid w:val="0099698A"/>
    <w:rsid w:val="00997325"/>
    <w:rsid w:val="0099735F"/>
    <w:rsid w:val="009978B1"/>
    <w:rsid w:val="009A032E"/>
    <w:rsid w:val="009A23E3"/>
    <w:rsid w:val="009A254B"/>
    <w:rsid w:val="009A28C0"/>
    <w:rsid w:val="009A3A60"/>
    <w:rsid w:val="009A3F0B"/>
    <w:rsid w:val="009A406F"/>
    <w:rsid w:val="009A41B6"/>
    <w:rsid w:val="009A5454"/>
    <w:rsid w:val="009A5DA1"/>
    <w:rsid w:val="009A641B"/>
    <w:rsid w:val="009A6BF6"/>
    <w:rsid w:val="009A6C39"/>
    <w:rsid w:val="009B01DA"/>
    <w:rsid w:val="009B0AB8"/>
    <w:rsid w:val="009B115E"/>
    <w:rsid w:val="009B145B"/>
    <w:rsid w:val="009B21E9"/>
    <w:rsid w:val="009B413E"/>
    <w:rsid w:val="009B4B81"/>
    <w:rsid w:val="009B4D09"/>
    <w:rsid w:val="009B5C06"/>
    <w:rsid w:val="009B63AD"/>
    <w:rsid w:val="009B75E8"/>
    <w:rsid w:val="009B78D4"/>
    <w:rsid w:val="009B794F"/>
    <w:rsid w:val="009C02A7"/>
    <w:rsid w:val="009C3A54"/>
    <w:rsid w:val="009C5091"/>
    <w:rsid w:val="009C59D7"/>
    <w:rsid w:val="009C627A"/>
    <w:rsid w:val="009C6B8E"/>
    <w:rsid w:val="009C6D14"/>
    <w:rsid w:val="009D0472"/>
    <w:rsid w:val="009D063D"/>
    <w:rsid w:val="009D0841"/>
    <w:rsid w:val="009D0B16"/>
    <w:rsid w:val="009D212E"/>
    <w:rsid w:val="009D28FE"/>
    <w:rsid w:val="009D2C1E"/>
    <w:rsid w:val="009D2C61"/>
    <w:rsid w:val="009D50E7"/>
    <w:rsid w:val="009D5335"/>
    <w:rsid w:val="009D58A1"/>
    <w:rsid w:val="009D58F5"/>
    <w:rsid w:val="009D6832"/>
    <w:rsid w:val="009D70DD"/>
    <w:rsid w:val="009D7BE6"/>
    <w:rsid w:val="009E1844"/>
    <w:rsid w:val="009E2636"/>
    <w:rsid w:val="009E2958"/>
    <w:rsid w:val="009E2CFF"/>
    <w:rsid w:val="009E2D26"/>
    <w:rsid w:val="009E32BF"/>
    <w:rsid w:val="009E3714"/>
    <w:rsid w:val="009E4749"/>
    <w:rsid w:val="009E4ECA"/>
    <w:rsid w:val="009E62C3"/>
    <w:rsid w:val="009E6481"/>
    <w:rsid w:val="009E7E51"/>
    <w:rsid w:val="009F0A52"/>
    <w:rsid w:val="009F0CA0"/>
    <w:rsid w:val="009F339F"/>
    <w:rsid w:val="009F58E7"/>
    <w:rsid w:val="009F5D0C"/>
    <w:rsid w:val="009F6421"/>
    <w:rsid w:val="009F6E50"/>
    <w:rsid w:val="009F7F74"/>
    <w:rsid w:val="00A00C3A"/>
    <w:rsid w:val="00A0233B"/>
    <w:rsid w:val="00A03024"/>
    <w:rsid w:val="00A03072"/>
    <w:rsid w:val="00A04E73"/>
    <w:rsid w:val="00A05868"/>
    <w:rsid w:val="00A10A30"/>
    <w:rsid w:val="00A112F1"/>
    <w:rsid w:val="00A1144B"/>
    <w:rsid w:val="00A12609"/>
    <w:rsid w:val="00A1422A"/>
    <w:rsid w:val="00A14B53"/>
    <w:rsid w:val="00A14DD5"/>
    <w:rsid w:val="00A156B3"/>
    <w:rsid w:val="00A158D9"/>
    <w:rsid w:val="00A166BE"/>
    <w:rsid w:val="00A17AB4"/>
    <w:rsid w:val="00A2106D"/>
    <w:rsid w:val="00A21888"/>
    <w:rsid w:val="00A21D0D"/>
    <w:rsid w:val="00A22691"/>
    <w:rsid w:val="00A23772"/>
    <w:rsid w:val="00A237B6"/>
    <w:rsid w:val="00A23CE3"/>
    <w:rsid w:val="00A24056"/>
    <w:rsid w:val="00A25811"/>
    <w:rsid w:val="00A2642E"/>
    <w:rsid w:val="00A300CE"/>
    <w:rsid w:val="00A304D7"/>
    <w:rsid w:val="00A307EF"/>
    <w:rsid w:val="00A32F77"/>
    <w:rsid w:val="00A33337"/>
    <w:rsid w:val="00A33A52"/>
    <w:rsid w:val="00A33D92"/>
    <w:rsid w:val="00A349F7"/>
    <w:rsid w:val="00A35566"/>
    <w:rsid w:val="00A36317"/>
    <w:rsid w:val="00A367C3"/>
    <w:rsid w:val="00A409AA"/>
    <w:rsid w:val="00A40DED"/>
    <w:rsid w:val="00A41CA1"/>
    <w:rsid w:val="00A43237"/>
    <w:rsid w:val="00A43E71"/>
    <w:rsid w:val="00A445F8"/>
    <w:rsid w:val="00A4496B"/>
    <w:rsid w:val="00A47782"/>
    <w:rsid w:val="00A515BB"/>
    <w:rsid w:val="00A5165B"/>
    <w:rsid w:val="00A52376"/>
    <w:rsid w:val="00A52A85"/>
    <w:rsid w:val="00A52D64"/>
    <w:rsid w:val="00A532F0"/>
    <w:rsid w:val="00A537EF"/>
    <w:rsid w:val="00A54321"/>
    <w:rsid w:val="00A55CEC"/>
    <w:rsid w:val="00A55CF3"/>
    <w:rsid w:val="00A55D6D"/>
    <w:rsid w:val="00A56BFF"/>
    <w:rsid w:val="00A61939"/>
    <w:rsid w:val="00A61998"/>
    <w:rsid w:val="00A62687"/>
    <w:rsid w:val="00A62DC6"/>
    <w:rsid w:val="00A63E2E"/>
    <w:rsid w:val="00A64324"/>
    <w:rsid w:val="00A64EB3"/>
    <w:rsid w:val="00A65230"/>
    <w:rsid w:val="00A67760"/>
    <w:rsid w:val="00A679A2"/>
    <w:rsid w:val="00A71B76"/>
    <w:rsid w:val="00A72270"/>
    <w:rsid w:val="00A72C33"/>
    <w:rsid w:val="00A73051"/>
    <w:rsid w:val="00A7318A"/>
    <w:rsid w:val="00A735DA"/>
    <w:rsid w:val="00A73880"/>
    <w:rsid w:val="00A75735"/>
    <w:rsid w:val="00A75737"/>
    <w:rsid w:val="00A80479"/>
    <w:rsid w:val="00A807D2"/>
    <w:rsid w:val="00A81246"/>
    <w:rsid w:val="00A81B0D"/>
    <w:rsid w:val="00A81E32"/>
    <w:rsid w:val="00A8288D"/>
    <w:rsid w:val="00A828B3"/>
    <w:rsid w:val="00A82ED9"/>
    <w:rsid w:val="00A830A1"/>
    <w:rsid w:val="00A84153"/>
    <w:rsid w:val="00A84A6D"/>
    <w:rsid w:val="00A85B40"/>
    <w:rsid w:val="00A87B66"/>
    <w:rsid w:val="00A90AC9"/>
    <w:rsid w:val="00A9233C"/>
    <w:rsid w:val="00A92C77"/>
    <w:rsid w:val="00A941A7"/>
    <w:rsid w:val="00A94A08"/>
    <w:rsid w:val="00A968F3"/>
    <w:rsid w:val="00A96F66"/>
    <w:rsid w:val="00A97A84"/>
    <w:rsid w:val="00A97B1C"/>
    <w:rsid w:val="00A97F6D"/>
    <w:rsid w:val="00AA0C0A"/>
    <w:rsid w:val="00AA2619"/>
    <w:rsid w:val="00AA34A1"/>
    <w:rsid w:val="00AA478D"/>
    <w:rsid w:val="00AA57B7"/>
    <w:rsid w:val="00AA6A15"/>
    <w:rsid w:val="00AA6B82"/>
    <w:rsid w:val="00AA76D4"/>
    <w:rsid w:val="00AA7BBD"/>
    <w:rsid w:val="00AB175E"/>
    <w:rsid w:val="00AB24EF"/>
    <w:rsid w:val="00AB4B46"/>
    <w:rsid w:val="00AB5261"/>
    <w:rsid w:val="00AB534C"/>
    <w:rsid w:val="00AB67A3"/>
    <w:rsid w:val="00AB683C"/>
    <w:rsid w:val="00AB6F0F"/>
    <w:rsid w:val="00AB7C66"/>
    <w:rsid w:val="00AC00EF"/>
    <w:rsid w:val="00AC01AF"/>
    <w:rsid w:val="00AC04F1"/>
    <w:rsid w:val="00AC05F7"/>
    <w:rsid w:val="00AC0883"/>
    <w:rsid w:val="00AC0A68"/>
    <w:rsid w:val="00AC0AA1"/>
    <w:rsid w:val="00AC1382"/>
    <w:rsid w:val="00AC13F1"/>
    <w:rsid w:val="00AC175A"/>
    <w:rsid w:val="00AC244F"/>
    <w:rsid w:val="00AC26B9"/>
    <w:rsid w:val="00AC277C"/>
    <w:rsid w:val="00AC347E"/>
    <w:rsid w:val="00AC38DA"/>
    <w:rsid w:val="00AC440A"/>
    <w:rsid w:val="00AC4513"/>
    <w:rsid w:val="00AC4915"/>
    <w:rsid w:val="00AC4B40"/>
    <w:rsid w:val="00AC53BD"/>
    <w:rsid w:val="00AC53C1"/>
    <w:rsid w:val="00AC54F7"/>
    <w:rsid w:val="00AC7497"/>
    <w:rsid w:val="00AC7952"/>
    <w:rsid w:val="00AD1CEE"/>
    <w:rsid w:val="00AD28AC"/>
    <w:rsid w:val="00AD3733"/>
    <w:rsid w:val="00AD6730"/>
    <w:rsid w:val="00AD7679"/>
    <w:rsid w:val="00AE1083"/>
    <w:rsid w:val="00AE16BE"/>
    <w:rsid w:val="00AE1D29"/>
    <w:rsid w:val="00AE2179"/>
    <w:rsid w:val="00AE21C7"/>
    <w:rsid w:val="00AE3AAE"/>
    <w:rsid w:val="00AE3CD3"/>
    <w:rsid w:val="00AE4AAA"/>
    <w:rsid w:val="00AE4D1A"/>
    <w:rsid w:val="00AE5BC7"/>
    <w:rsid w:val="00AE6303"/>
    <w:rsid w:val="00AF0C39"/>
    <w:rsid w:val="00AF17CD"/>
    <w:rsid w:val="00AF2259"/>
    <w:rsid w:val="00AF319E"/>
    <w:rsid w:val="00AF3A5E"/>
    <w:rsid w:val="00AF3DDE"/>
    <w:rsid w:val="00AF4543"/>
    <w:rsid w:val="00AF5882"/>
    <w:rsid w:val="00AF59B5"/>
    <w:rsid w:val="00AF5B54"/>
    <w:rsid w:val="00B00BD1"/>
    <w:rsid w:val="00B00FE3"/>
    <w:rsid w:val="00B01418"/>
    <w:rsid w:val="00B0150A"/>
    <w:rsid w:val="00B0162B"/>
    <w:rsid w:val="00B033E6"/>
    <w:rsid w:val="00B05255"/>
    <w:rsid w:val="00B0613A"/>
    <w:rsid w:val="00B062EF"/>
    <w:rsid w:val="00B0686E"/>
    <w:rsid w:val="00B07BA3"/>
    <w:rsid w:val="00B103B0"/>
    <w:rsid w:val="00B10C4E"/>
    <w:rsid w:val="00B1165A"/>
    <w:rsid w:val="00B133C5"/>
    <w:rsid w:val="00B13683"/>
    <w:rsid w:val="00B136F6"/>
    <w:rsid w:val="00B14F17"/>
    <w:rsid w:val="00B202F5"/>
    <w:rsid w:val="00B2079B"/>
    <w:rsid w:val="00B20C54"/>
    <w:rsid w:val="00B21EF7"/>
    <w:rsid w:val="00B23CF7"/>
    <w:rsid w:val="00B2407B"/>
    <w:rsid w:val="00B24333"/>
    <w:rsid w:val="00B26309"/>
    <w:rsid w:val="00B2653B"/>
    <w:rsid w:val="00B26DAA"/>
    <w:rsid w:val="00B300B9"/>
    <w:rsid w:val="00B31797"/>
    <w:rsid w:val="00B31E63"/>
    <w:rsid w:val="00B34002"/>
    <w:rsid w:val="00B351F5"/>
    <w:rsid w:val="00B35AC0"/>
    <w:rsid w:val="00B37448"/>
    <w:rsid w:val="00B40C24"/>
    <w:rsid w:val="00B40F5A"/>
    <w:rsid w:val="00B41E70"/>
    <w:rsid w:val="00B423A1"/>
    <w:rsid w:val="00B423AC"/>
    <w:rsid w:val="00B42496"/>
    <w:rsid w:val="00B43508"/>
    <w:rsid w:val="00B4477E"/>
    <w:rsid w:val="00B44C04"/>
    <w:rsid w:val="00B45249"/>
    <w:rsid w:val="00B45B14"/>
    <w:rsid w:val="00B45BF4"/>
    <w:rsid w:val="00B46074"/>
    <w:rsid w:val="00B500C9"/>
    <w:rsid w:val="00B507A2"/>
    <w:rsid w:val="00B53263"/>
    <w:rsid w:val="00B533D9"/>
    <w:rsid w:val="00B5435C"/>
    <w:rsid w:val="00B544EC"/>
    <w:rsid w:val="00B54BCE"/>
    <w:rsid w:val="00B55623"/>
    <w:rsid w:val="00B579D0"/>
    <w:rsid w:val="00B615AF"/>
    <w:rsid w:val="00B62D18"/>
    <w:rsid w:val="00B63596"/>
    <w:rsid w:val="00B638DE"/>
    <w:rsid w:val="00B63A80"/>
    <w:rsid w:val="00B643A1"/>
    <w:rsid w:val="00B64447"/>
    <w:rsid w:val="00B652E7"/>
    <w:rsid w:val="00B661F0"/>
    <w:rsid w:val="00B6634B"/>
    <w:rsid w:val="00B666C6"/>
    <w:rsid w:val="00B6678C"/>
    <w:rsid w:val="00B70414"/>
    <w:rsid w:val="00B704E3"/>
    <w:rsid w:val="00B7174B"/>
    <w:rsid w:val="00B7280D"/>
    <w:rsid w:val="00B72A68"/>
    <w:rsid w:val="00B73338"/>
    <w:rsid w:val="00B74DBC"/>
    <w:rsid w:val="00B75CD9"/>
    <w:rsid w:val="00B765F2"/>
    <w:rsid w:val="00B765FC"/>
    <w:rsid w:val="00B769B7"/>
    <w:rsid w:val="00B76F78"/>
    <w:rsid w:val="00B773FF"/>
    <w:rsid w:val="00B776DB"/>
    <w:rsid w:val="00B77EFA"/>
    <w:rsid w:val="00B8017E"/>
    <w:rsid w:val="00B80500"/>
    <w:rsid w:val="00B81BF2"/>
    <w:rsid w:val="00B81EB5"/>
    <w:rsid w:val="00B84492"/>
    <w:rsid w:val="00B845E0"/>
    <w:rsid w:val="00B85E89"/>
    <w:rsid w:val="00B85FF3"/>
    <w:rsid w:val="00B867E1"/>
    <w:rsid w:val="00B86D24"/>
    <w:rsid w:val="00B90517"/>
    <w:rsid w:val="00B90632"/>
    <w:rsid w:val="00B90AD5"/>
    <w:rsid w:val="00B90FB3"/>
    <w:rsid w:val="00B91645"/>
    <w:rsid w:val="00B917FE"/>
    <w:rsid w:val="00B92438"/>
    <w:rsid w:val="00B9274F"/>
    <w:rsid w:val="00B92F44"/>
    <w:rsid w:val="00B9321F"/>
    <w:rsid w:val="00B93767"/>
    <w:rsid w:val="00B93839"/>
    <w:rsid w:val="00B94DB8"/>
    <w:rsid w:val="00B956FA"/>
    <w:rsid w:val="00B96D34"/>
    <w:rsid w:val="00B97C21"/>
    <w:rsid w:val="00BA05C3"/>
    <w:rsid w:val="00BA05C8"/>
    <w:rsid w:val="00BA1821"/>
    <w:rsid w:val="00BA286B"/>
    <w:rsid w:val="00BA2C9A"/>
    <w:rsid w:val="00BA2DD6"/>
    <w:rsid w:val="00BA2E30"/>
    <w:rsid w:val="00BA3C1F"/>
    <w:rsid w:val="00BA449E"/>
    <w:rsid w:val="00BA54B5"/>
    <w:rsid w:val="00BA66C3"/>
    <w:rsid w:val="00BA6801"/>
    <w:rsid w:val="00BA711F"/>
    <w:rsid w:val="00BA7A36"/>
    <w:rsid w:val="00BA7CE8"/>
    <w:rsid w:val="00BB0A7E"/>
    <w:rsid w:val="00BB0B1C"/>
    <w:rsid w:val="00BB1230"/>
    <w:rsid w:val="00BB1915"/>
    <w:rsid w:val="00BB258E"/>
    <w:rsid w:val="00BB29E9"/>
    <w:rsid w:val="00BB3FE0"/>
    <w:rsid w:val="00BB4157"/>
    <w:rsid w:val="00BB54F7"/>
    <w:rsid w:val="00BB62F1"/>
    <w:rsid w:val="00BB68EE"/>
    <w:rsid w:val="00BC1D42"/>
    <w:rsid w:val="00BC3180"/>
    <w:rsid w:val="00BC3A6E"/>
    <w:rsid w:val="00BC3E1B"/>
    <w:rsid w:val="00BC4300"/>
    <w:rsid w:val="00BC4F63"/>
    <w:rsid w:val="00BC58C2"/>
    <w:rsid w:val="00BC5EBF"/>
    <w:rsid w:val="00BC699C"/>
    <w:rsid w:val="00BC6BE9"/>
    <w:rsid w:val="00BC7096"/>
    <w:rsid w:val="00BC75AC"/>
    <w:rsid w:val="00BC79CC"/>
    <w:rsid w:val="00BD00D1"/>
    <w:rsid w:val="00BD0140"/>
    <w:rsid w:val="00BD0AD8"/>
    <w:rsid w:val="00BD0C99"/>
    <w:rsid w:val="00BD19F8"/>
    <w:rsid w:val="00BD3A23"/>
    <w:rsid w:val="00BD4C97"/>
    <w:rsid w:val="00BD50B0"/>
    <w:rsid w:val="00BD5102"/>
    <w:rsid w:val="00BD5909"/>
    <w:rsid w:val="00BD5C35"/>
    <w:rsid w:val="00BD61A1"/>
    <w:rsid w:val="00BD72CC"/>
    <w:rsid w:val="00BD75D7"/>
    <w:rsid w:val="00BD7752"/>
    <w:rsid w:val="00BE1EEE"/>
    <w:rsid w:val="00BE2402"/>
    <w:rsid w:val="00BE25B5"/>
    <w:rsid w:val="00BE268C"/>
    <w:rsid w:val="00BE28EB"/>
    <w:rsid w:val="00BE29A2"/>
    <w:rsid w:val="00BE4FF3"/>
    <w:rsid w:val="00BE51E7"/>
    <w:rsid w:val="00BE5690"/>
    <w:rsid w:val="00BE5849"/>
    <w:rsid w:val="00BE72CA"/>
    <w:rsid w:val="00BF277E"/>
    <w:rsid w:val="00BF3863"/>
    <w:rsid w:val="00BF4104"/>
    <w:rsid w:val="00BF4D85"/>
    <w:rsid w:val="00BF5BD7"/>
    <w:rsid w:val="00BF5F05"/>
    <w:rsid w:val="00BF65B5"/>
    <w:rsid w:val="00BF7DAA"/>
    <w:rsid w:val="00C028DC"/>
    <w:rsid w:val="00C02926"/>
    <w:rsid w:val="00C0345D"/>
    <w:rsid w:val="00C04647"/>
    <w:rsid w:val="00C04AF1"/>
    <w:rsid w:val="00C05CF2"/>
    <w:rsid w:val="00C07551"/>
    <w:rsid w:val="00C079A8"/>
    <w:rsid w:val="00C10AB1"/>
    <w:rsid w:val="00C11CB1"/>
    <w:rsid w:val="00C11F8D"/>
    <w:rsid w:val="00C127B7"/>
    <w:rsid w:val="00C1375A"/>
    <w:rsid w:val="00C14572"/>
    <w:rsid w:val="00C15D42"/>
    <w:rsid w:val="00C17284"/>
    <w:rsid w:val="00C17F6A"/>
    <w:rsid w:val="00C220D1"/>
    <w:rsid w:val="00C24EBA"/>
    <w:rsid w:val="00C2545C"/>
    <w:rsid w:val="00C25D64"/>
    <w:rsid w:val="00C2686E"/>
    <w:rsid w:val="00C27162"/>
    <w:rsid w:val="00C2725D"/>
    <w:rsid w:val="00C275E4"/>
    <w:rsid w:val="00C275FF"/>
    <w:rsid w:val="00C27DB8"/>
    <w:rsid w:val="00C27DFA"/>
    <w:rsid w:val="00C30774"/>
    <w:rsid w:val="00C3132D"/>
    <w:rsid w:val="00C3156B"/>
    <w:rsid w:val="00C33152"/>
    <w:rsid w:val="00C334B5"/>
    <w:rsid w:val="00C337BB"/>
    <w:rsid w:val="00C33B5F"/>
    <w:rsid w:val="00C33DB1"/>
    <w:rsid w:val="00C34418"/>
    <w:rsid w:val="00C34516"/>
    <w:rsid w:val="00C3490C"/>
    <w:rsid w:val="00C3616D"/>
    <w:rsid w:val="00C36336"/>
    <w:rsid w:val="00C36E7E"/>
    <w:rsid w:val="00C372A5"/>
    <w:rsid w:val="00C3778F"/>
    <w:rsid w:val="00C3779B"/>
    <w:rsid w:val="00C377BC"/>
    <w:rsid w:val="00C37EFD"/>
    <w:rsid w:val="00C37FF3"/>
    <w:rsid w:val="00C41BA8"/>
    <w:rsid w:val="00C42EB8"/>
    <w:rsid w:val="00C43FCC"/>
    <w:rsid w:val="00C45001"/>
    <w:rsid w:val="00C46075"/>
    <w:rsid w:val="00C4623B"/>
    <w:rsid w:val="00C500F5"/>
    <w:rsid w:val="00C50726"/>
    <w:rsid w:val="00C51F81"/>
    <w:rsid w:val="00C52376"/>
    <w:rsid w:val="00C533BD"/>
    <w:rsid w:val="00C556D5"/>
    <w:rsid w:val="00C55911"/>
    <w:rsid w:val="00C56703"/>
    <w:rsid w:val="00C57C9F"/>
    <w:rsid w:val="00C603A8"/>
    <w:rsid w:val="00C60687"/>
    <w:rsid w:val="00C61715"/>
    <w:rsid w:val="00C61E20"/>
    <w:rsid w:val="00C62938"/>
    <w:rsid w:val="00C63287"/>
    <w:rsid w:val="00C6357C"/>
    <w:rsid w:val="00C6404F"/>
    <w:rsid w:val="00C64930"/>
    <w:rsid w:val="00C64B7C"/>
    <w:rsid w:val="00C65CB2"/>
    <w:rsid w:val="00C66010"/>
    <w:rsid w:val="00C665C3"/>
    <w:rsid w:val="00C66DA7"/>
    <w:rsid w:val="00C66F19"/>
    <w:rsid w:val="00C670CB"/>
    <w:rsid w:val="00C67694"/>
    <w:rsid w:val="00C67918"/>
    <w:rsid w:val="00C70365"/>
    <w:rsid w:val="00C716BC"/>
    <w:rsid w:val="00C71880"/>
    <w:rsid w:val="00C739FC"/>
    <w:rsid w:val="00C74133"/>
    <w:rsid w:val="00C74E90"/>
    <w:rsid w:val="00C76091"/>
    <w:rsid w:val="00C761FA"/>
    <w:rsid w:val="00C7620F"/>
    <w:rsid w:val="00C76E49"/>
    <w:rsid w:val="00C77C04"/>
    <w:rsid w:val="00C80217"/>
    <w:rsid w:val="00C80F95"/>
    <w:rsid w:val="00C8176F"/>
    <w:rsid w:val="00C81E8B"/>
    <w:rsid w:val="00C83EAE"/>
    <w:rsid w:val="00C84457"/>
    <w:rsid w:val="00C84C98"/>
    <w:rsid w:val="00C85370"/>
    <w:rsid w:val="00C85A01"/>
    <w:rsid w:val="00C8654D"/>
    <w:rsid w:val="00C86597"/>
    <w:rsid w:val="00C87904"/>
    <w:rsid w:val="00C9217B"/>
    <w:rsid w:val="00C92BBF"/>
    <w:rsid w:val="00C92D98"/>
    <w:rsid w:val="00C932E8"/>
    <w:rsid w:val="00C94720"/>
    <w:rsid w:val="00C94E22"/>
    <w:rsid w:val="00C95661"/>
    <w:rsid w:val="00C9645F"/>
    <w:rsid w:val="00C97CF1"/>
    <w:rsid w:val="00C97DB5"/>
    <w:rsid w:val="00CA14AC"/>
    <w:rsid w:val="00CA2D81"/>
    <w:rsid w:val="00CA36E9"/>
    <w:rsid w:val="00CA3E56"/>
    <w:rsid w:val="00CA4233"/>
    <w:rsid w:val="00CA4375"/>
    <w:rsid w:val="00CA49FF"/>
    <w:rsid w:val="00CA5577"/>
    <w:rsid w:val="00CA5600"/>
    <w:rsid w:val="00CA6E67"/>
    <w:rsid w:val="00CB0A51"/>
    <w:rsid w:val="00CB104A"/>
    <w:rsid w:val="00CB10EC"/>
    <w:rsid w:val="00CB293A"/>
    <w:rsid w:val="00CB466C"/>
    <w:rsid w:val="00CB469B"/>
    <w:rsid w:val="00CB52A4"/>
    <w:rsid w:val="00CB5FAD"/>
    <w:rsid w:val="00CB658E"/>
    <w:rsid w:val="00CB79AB"/>
    <w:rsid w:val="00CC30A2"/>
    <w:rsid w:val="00CC332D"/>
    <w:rsid w:val="00CC359D"/>
    <w:rsid w:val="00CC3890"/>
    <w:rsid w:val="00CC76A7"/>
    <w:rsid w:val="00CC793E"/>
    <w:rsid w:val="00CD0015"/>
    <w:rsid w:val="00CD0900"/>
    <w:rsid w:val="00CD0AAA"/>
    <w:rsid w:val="00CD0F89"/>
    <w:rsid w:val="00CD1EAE"/>
    <w:rsid w:val="00CD26A7"/>
    <w:rsid w:val="00CD3513"/>
    <w:rsid w:val="00CD50E7"/>
    <w:rsid w:val="00CD56A6"/>
    <w:rsid w:val="00CD68B5"/>
    <w:rsid w:val="00CD762A"/>
    <w:rsid w:val="00CE0924"/>
    <w:rsid w:val="00CE09C2"/>
    <w:rsid w:val="00CE165A"/>
    <w:rsid w:val="00CE2377"/>
    <w:rsid w:val="00CE2498"/>
    <w:rsid w:val="00CE3039"/>
    <w:rsid w:val="00CE3838"/>
    <w:rsid w:val="00CE3F1E"/>
    <w:rsid w:val="00CE47F5"/>
    <w:rsid w:val="00CE5B72"/>
    <w:rsid w:val="00CE5ED5"/>
    <w:rsid w:val="00CE6670"/>
    <w:rsid w:val="00CE6BC2"/>
    <w:rsid w:val="00CE7A91"/>
    <w:rsid w:val="00CF0261"/>
    <w:rsid w:val="00CF41F3"/>
    <w:rsid w:val="00CF4955"/>
    <w:rsid w:val="00CF55EF"/>
    <w:rsid w:val="00CF6C74"/>
    <w:rsid w:val="00CF7292"/>
    <w:rsid w:val="00CF784E"/>
    <w:rsid w:val="00CF7AD9"/>
    <w:rsid w:val="00D00E25"/>
    <w:rsid w:val="00D01918"/>
    <w:rsid w:val="00D01C1E"/>
    <w:rsid w:val="00D01E5C"/>
    <w:rsid w:val="00D01E5F"/>
    <w:rsid w:val="00D029BC"/>
    <w:rsid w:val="00D02C9A"/>
    <w:rsid w:val="00D030CC"/>
    <w:rsid w:val="00D035E6"/>
    <w:rsid w:val="00D0425D"/>
    <w:rsid w:val="00D0471E"/>
    <w:rsid w:val="00D0496F"/>
    <w:rsid w:val="00D04F54"/>
    <w:rsid w:val="00D054C9"/>
    <w:rsid w:val="00D05816"/>
    <w:rsid w:val="00D06098"/>
    <w:rsid w:val="00D0693F"/>
    <w:rsid w:val="00D069AC"/>
    <w:rsid w:val="00D073F5"/>
    <w:rsid w:val="00D1014B"/>
    <w:rsid w:val="00D10586"/>
    <w:rsid w:val="00D10D01"/>
    <w:rsid w:val="00D11484"/>
    <w:rsid w:val="00D1171C"/>
    <w:rsid w:val="00D12EF8"/>
    <w:rsid w:val="00D16532"/>
    <w:rsid w:val="00D16653"/>
    <w:rsid w:val="00D16AF8"/>
    <w:rsid w:val="00D175A2"/>
    <w:rsid w:val="00D2042E"/>
    <w:rsid w:val="00D212C3"/>
    <w:rsid w:val="00D232A1"/>
    <w:rsid w:val="00D23F92"/>
    <w:rsid w:val="00D26811"/>
    <w:rsid w:val="00D26ACB"/>
    <w:rsid w:val="00D26F17"/>
    <w:rsid w:val="00D2770F"/>
    <w:rsid w:val="00D27832"/>
    <w:rsid w:val="00D30057"/>
    <w:rsid w:val="00D30147"/>
    <w:rsid w:val="00D31710"/>
    <w:rsid w:val="00D32577"/>
    <w:rsid w:val="00D33032"/>
    <w:rsid w:val="00D3312D"/>
    <w:rsid w:val="00D34E03"/>
    <w:rsid w:val="00D3533F"/>
    <w:rsid w:val="00D35879"/>
    <w:rsid w:val="00D35D05"/>
    <w:rsid w:val="00D35FD4"/>
    <w:rsid w:val="00D400E7"/>
    <w:rsid w:val="00D401DA"/>
    <w:rsid w:val="00D4034E"/>
    <w:rsid w:val="00D40BE3"/>
    <w:rsid w:val="00D4234D"/>
    <w:rsid w:val="00D453B1"/>
    <w:rsid w:val="00D45DBA"/>
    <w:rsid w:val="00D46A84"/>
    <w:rsid w:val="00D4761A"/>
    <w:rsid w:val="00D501D6"/>
    <w:rsid w:val="00D5091A"/>
    <w:rsid w:val="00D51D2B"/>
    <w:rsid w:val="00D52071"/>
    <w:rsid w:val="00D5297E"/>
    <w:rsid w:val="00D53066"/>
    <w:rsid w:val="00D54002"/>
    <w:rsid w:val="00D544C1"/>
    <w:rsid w:val="00D54878"/>
    <w:rsid w:val="00D554FB"/>
    <w:rsid w:val="00D5630A"/>
    <w:rsid w:val="00D578C8"/>
    <w:rsid w:val="00D60E78"/>
    <w:rsid w:val="00D60F0A"/>
    <w:rsid w:val="00D61601"/>
    <w:rsid w:val="00D62130"/>
    <w:rsid w:val="00D622C5"/>
    <w:rsid w:val="00D629DE"/>
    <w:rsid w:val="00D6327C"/>
    <w:rsid w:val="00D63A74"/>
    <w:rsid w:val="00D6563E"/>
    <w:rsid w:val="00D6593C"/>
    <w:rsid w:val="00D65FA4"/>
    <w:rsid w:val="00D66CBD"/>
    <w:rsid w:val="00D671D6"/>
    <w:rsid w:val="00D67AB1"/>
    <w:rsid w:val="00D70845"/>
    <w:rsid w:val="00D71F7D"/>
    <w:rsid w:val="00D72E1A"/>
    <w:rsid w:val="00D72E29"/>
    <w:rsid w:val="00D741BA"/>
    <w:rsid w:val="00D747BC"/>
    <w:rsid w:val="00D74DB3"/>
    <w:rsid w:val="00D76601"/>
    <w:rsid w:val="00D76FBC"/>
    <w:rsid w:val="00D77565"/>
    <w:rsid w:val="00D777C0"/>
    <w:rsid w:val="00D800B1"/>
    <w:rsid w:val="00D8127B"/>
    <w:rsid w:val="00D81968"/>
    <w:rsid w:val="00D81C38"/>
    <w:rsid w:val="00D81C4B"/>
    <w:rsid w:val="00D81CE3"/>
    <w:rsid w:val="00D81E1E"/>
    <w:rsid w:val="00D824B7"/>
    <w:rsid w:val="00D82785"/>
    <w:rsid w:val="00D8290A"/>
    <w:rsid w:val="00D8311A"/>
    <w:rsid w:val="00D85528"/>
    <w:rsid w:val="00D8625D"/>
    <w:rsid w:val="00D86BAD"/>
    <w:rsid w:val="00D87750"/>
    <w:rsid w:val="00D87BC5"/>
    <w:rsid w:val="00D90641"/>
    <w:rsid w:val="00D91EFA"/>
    <w:rsid w:val="00D91FFE"/>
    <w:rsid w:val="00D92977"/>
    <w:rsid w:val="00D92C60"/>
    <w:rsid w:val="00D92CAC"/>
    <w:rsid w:val="00D93AD8"/>
    <w:rsid w:val="00D93F79"/>
    <w:rsid w:val="00D94B9E"/>
    <w:rsid w:val="00D94F4D"/>
    <w:rsid w:val="00D9525B"/>
    <w:rsid w:val="00D96444"/>
    <w:rsid w:val="00D96673"/>
    <w:rsid w:val="00D97DFB"/>
    <w:rsid w:val="00DA02D8"/>
    <w:rsid w:val="00DA04DD"/>
    <w:rsid w:val="00DA17C1"/>
    <w:rsid w:val="00DA1C5C"/>
    <w:rsid w:val="00DA1D3C"/>
    <w:rsid w:val="00DA247C"/>
    <w:rsid w:val="00DA24F4"/>
    <w:rsid w:val="00DA5BCB"/>
    <w:rsid w:val="00DA5D12"/>
    <w:rsid w:val="00DA6446"/>
    <w:rsid w:val="00DA6914"/>
    <w:rsid w:val="00DA6D52"/>
    <w:rsid w:val="00DA70EA"/>
    <w:rsid w:val="00DA7BB6"/>
    <w:rsid w:val="00DB0E2D"/>
    <w:rsid w:val="00DB0E52"/>
    <w:rsid w:val="00DB3DA7"/>
    <w:rsid w:val="00DB4394"/>
    <w:rsid w:val="00DB484E"/>
    <w:rsid w:val="00DB4A7D"/>
    <w:rsid w:val="00DB4E17"/>
    <w:rsid w:val="00DB786F"/>
    <w:rsid w:val="00DB7A32"/>
    <w:rsid w:val="00DB7CD2"/>
    <w:rsid w:val="00DB7CF7"/>
    <w:rsid w:val="00DC0A1F"/>
    <w:rsid w:val="00DC11F7"/>
    <w:rsid w:val="00DC18FF"/>
    <w:rsid w:val="00DC197C"/>
    <w:rsid w:val="00DC1BE3"/>
    <w:rsid w:val="00DC3195"/>
    <w:rsid w:val="00DC4016"/>
    <w:rsid w:val="00DC67A0"/>
    <w:rsid w:val="00DC7EA0"/>
    <w:rsid w:val="00DD0AB3"/>
    <w:rsid w:val="00DD0E94"/>
    <w:rsid w:val="00DD1CE8"/>
    <w:rsid w:val="00DD2705"/>
    <w:rsid w:val="00DD6A8F"/>
    <w:rsid w:val="00DD7A6C"/>
    <w:rsid w:val="00DD7C51"/>
    <w:rsid w:val="00DE0593"/>
    <w:rsid w:val="00DE0D69"/>
    <w:rsid w:val="00DE151C"/>
    <w:rsid w:val="00DE1973"/>
    <w:rsid w:val="00DE3784"/>
    <w:rsid w:val="00DE4900"/>
    <w:rsid w:val="00DE5FEE"/>
    <w:rsid w:val="00DE608A"/>
    <w:rsid w:val="00DE6EE7"/>
    <w:rsid w:val="00DE7040"/>
    <w:rsid w:val="00DE74C1"/>
    <w:rsid w:val="00DF0A4C"/>
    <w:rsid w:val="00DF1402"/>
    <w:rsid w:val="00DF15AA"/>
    <w:rsid w:val="00DF1EA8"/>
    <w:rsid w:val="00DF21FC"/>
    <w:rsid w:val="00DF3D57"/>
    <w:rsid w:val="00DF40D2"/>
    <w:rsid w:val="00DF4353"/>
    <w:rsid w:val="00DF46E9"/>
    <w:rsid w:val="00DF619E"/>
    <w:rsid w:val="00DF6645"/>
    <w:rsid w:val="00DF6B8B"/>
    <w:rsid w:val="00DF787F"/>
    <w:rsid w:val="00E01E72"/>
    <w:rsid w:val="00E02BC3"/>
    <w:rsid w:val="00E02BE1"/>
    <w:rsid w:val="00E032CA"/>
    <w:rsid w:val="00E03A63"/>
    <w:rsid w:val="00E03C08"/>
    <w:rsid w:val="00E04373"/>
    <w:rsid w:val="00E0520B"/>
    <w:rsid w:val="00E054CB"/>
    <w:rsid w:val="00E05501"/>
    <w:rsid w:val="00E05E86"/>
    <w:rsid w:val="00E060D5"/>
    <w:rsid w:val="00E06C6C"/>
    <w:rsid w:val="00E10542"/>
    <w:rsid w:val="00E106C2"/>
    <w:rsid w:val="00E12144"/>
    <w:rsid w:val="00E12B1A"/>
    <w:rsid w:val="00E1354B"/>
    <w:rsid w:val="00E15779"/>
    <w:rsid w:val="00E15F89"/>
    <w:rsid w:val="00E17527"/>
    <w:rsid w:val="00E211E7"/>
    <w:rsid w:val="00E226A7"/>
    <w:rsid w:val="00E22DE9"/>
    <w:rsid w:val="00E23914"/>
    <w:rsid w:val="00E25A20"/>
    <w:rsid w:val="00E2724E"/>
    <w:rsid w:val="00E275FB"/>
    <w:rsid w:val="00E27D55"/>
    <w:rsid w:val="00E3080D"/>
    <w:rsid w:val="00E30F2B"/>
    <w:rsid w:val="00E3106B"/>
    <w:rsid w:val="00E3250B"/>
    <w:rsid w:val="00E408FF"/>
    <w:rsid w:val="00E40C6C"/>
    <w:rsid w:val="00E40ECD"/>
    <w:rsid w:val="00E41390"/>
    <w:rsid w:val="00E420E5"/>
    <w:rsid w:val="00E421CB"/>
    <w:rsid w:val="00E427D9"/>
    <w:rsid w:val="00E42C2B"/>
    <w:rsid w:val="00E43881"/>
    <w:rsid w:val="00E449BA"/>
    <w:rsid w:val="00E44BB0"/>
    <w:rsid w:val="00E45933"/>
    <w:rsid w:val="00E45DCE"/>
    <w:rsid w:val="00E46249"/>
    <w:rsid w:val="00E46582"/>
    <w:rsid w:val="00E511B2"/>
    <w:rsid w:val="00E512FF"/>
    <w:rsid w:val="00E52778"/>
    <w:rsid w:val="00E527B6"/>
    <w:rsid w:val="00E528BB"/>
    <w:rsid w:val="00E5314E"/>
    <w:rsid w:val="00E53263"/>
    <w:rsid w:val="00E5347F"/>
    <w:rsid w:val="00E54338"/>
    <w:rsid w:val="00E547D7"/>
    <w:rsid w:val="00E557E0"/>
    <w:rsid w:val="00E558F8"/>
    <w:rsid w:val="00E56E90"/>
    <w:rsid w:val="00E576CC"/>
    <w:rsid w:val="00E5772A"/>
    <w:rsid w:val="00E60313"/>
    <w:rsid w:val="00E6077C"/>
    <w:rsid w:val="00E60917"/>
    <w:rsid w:val="00E617B4"/>
    <w:rsid w:val="00E61C2B"/>
    <w:rsid w:val="00E62F41"/>
    <w:rsid w:val="00E633C0"/>
    <w:rsid w:val="00E648BB"/>
    <w:rsid w:val="00E64B2D"/>
    <w:rsid w:val="00E64B7B"/>
    <w:rsid w:val="00E64DA5"/>
    <w:rsid w:val="00E65186"/>
    <w:rsid w:val="00E65C3C"/>
    <w:rsid w:val="00E65DED"/>
    <w:rsid w:val="00E6662F"/>
    <w:rsid w:val="00E66C88"/>
    <w:rsid w:val="00E66F73"/>
    <w:rsid w:val="00E66F82"/>
    <w:rsid w:val="00E67561"/>
    <w:rsid w:val="00E67809"/>
    <w:rsid w:val="00E727CE"/>
    <w:rsid w:val="00E72A2D"/>
    <w:rsid w:val="00E72DA9"/>
    <w:rsid w:val="00E73C6A"/>
    <w:rsid w:val="00E73F83"/>
    <w:rsid w:val="00E75964"/>
    <w:rsid w:val="00E7673D"/>
    <w:rsid w:val="00E814B3"/>
    <w:rsid w:val="00E815E7"/>
    <w:rsid w:val="00E83F2C"/>
    <w:rsid w:val="00E84466"/>
    <w:rsid w:val="00E85727"/>
    <w:rsid w:val="00E8574B"/>
    <w:rsid w:val="00E85C88"/>
    <w:rsid w:val="00E86020"/>
    <w:rsid w:val="00E86AB0"/>
    <w:rsid w:val="00E871C7"/>
    <w:rsid w:val="00E87693"/>
    <w:rsid w:val="00E87945"/>
    <w:rsid w:val="00E87F86"/>
    <w:rsid w:val="00E9115F"/>
    <w:rsid w:val="00E9187A"/>
    <w:rsid w:val="00E91C69"/>
    <w:rsid w:val="00E92589"/>
    <w:rsid w:val="00E92B5A"/>
    <w:rsid w:val="00E934C3"/>
    <w:rsid w:val="00E93666"/>
    <w:rsid w:val="00E937A7"/>
    <w:rsid w:val="00E943C8"/>
    <w:rsid w:val="00E956AF"/>
    <w:rsid w:val="00E95B7B"/>
    <w:rsid w:val="00E97D09"/>
    <w:rsid w:val="00EA0005"/>
    <w:rsid w:val="00EA003B"/>
    <w:rsid w:val="00EA04EE"/>
    <w:rsid w:val="00EA0E79"/>
    <w:rsid w:val="00EA1266"/>
    <w:rsid w:val="00EA12CE"/>
    <w:rsid w:val="00EA1F6F"/>
    <w:rsid w:val="00EA2255"/>
    <w:rsid w:val="00EA2EB7"/>
    <w:rsid w:val="00EA3AB8"/>
    <w:rsid w:val="00EA3B36"/>
    <w:rsid w:val="00EA4472"/>
    <w:rsid w:val="00EA5051"/>
    <w:rsid w:val="00EA5736"/>
    <w:rsid w:val="00EA5A30"/>
    <w:rsid w:val="00EA64EA"/>
    <w:rsid w:val="00EA6505"/>
    <w:rsid w:val="00EA6521"/>
    <w:rsid w:val="00EA695B"/>
    <w:rsid w:val="00EA6C9A"/>
    <w:rsid w:val="00EB0D78"/>
    <w:rsid w:val="00EB2945"/>
    <w:rsid w:val="00EB48DD"/>
    <w:rsid w:val="00EB5306"/>
    <w:rsid w:val="00EB546D"/>
    <w:rsid w:val="00EB6942"/>
    <w:rsid w:val="00EB728F"/>
    <w:rsid w:val="00EC0528"/>
    <w:rsid w:val="00EC0ED9"/>
    <w:rsid w:val="00EC1538"/>
    <w:rsid w:val="00EC1A91"/>
    <w:rsid w:val="00EC47DC"/>
    <w:rsid w:val="00EC4B55"/>
    <w:rsid w:val="00EC5534"/>
    <w:rsid w:val="00EC5A2D"/>
    <w:rsid w:val="00EC5BC9"/>
    <w:rsid w:val="00EC670E"/>
    <w:rsid w:val="00EC7368"/>
    <w:rsid w:val="00ED0676"/>
    <w:rsid w:val="00ED0CCC"/>
    <w:rsid w:val="00ED1AE5"/>
    <w:rsid w:val="00ED20DB"/>
    <w:rsid w:val="00ED2EC8"/>
    <w:rsid w:val="00ED319D"/>
    <w:rsid w:val="00ED3C7A"/>
    <w:rsid w:val="00ED3F3C"/>
    <w:rsid w:val="00ED40E9"/>
    <w:rsid w:val="00ED4977"/>
    <w:rsid w:val="00ED5A61"/>
    <w:rsid w:val="00ED6F15"/>
    <w:rsid w:val="00ED6FD3"/>
    <w:rsid w:val="00EE0972"/>
    <w:rsid w:val="00EE1BC4"/>
    <w:rsid w:val="00EE3066"/>
    <w:rsid w:val="00EE386A"/>
    <w:rsid w:val="00EE3DAB"/>
    <w:rsid w:val="00EE4092"/>
    <w:rsid w:val="00EE6CEB"/>
    <w:rsid w:val="00EE7316"/>
    <w:rsid w:val="00EF05EA"/>
    <w:rsid w:val="00EF3068"/>
    <w:rsid w:val="00EF3D2B"/>
    <w:rsid w:val="00EF5CCD"/>
    <w:rsid w:val="00EF658F"/>
    <w:rsid w:val="00F004B4"/>
    <w:rsid w:val="00F009D3"/>
    <w:rsid w:val="00F01BA7"/>
    <w:rsid w:val="00F01D67"/>
    <w:rsid w:val="00F0295B"/>
    <w:rsid w:val="00F032FC"/>
    <w:rsid w:val="00F03F7B"/>
    <w:rsid w:val="00F05BD9"/>
    <w:rsid w:val="00F06119"/>
    <w:rsid w:val="00F06CAA"/>
    <w:rsid w:val="00F07585"/>
    <w:rsid w:val="00F07EBF"/>
    <w:rsid w:val="00F112FF"/>
    <w:rsid w:val="00F124FE"/>
    <w:rsid w:val="00F12610"/>
    <w:rsid w:val="00F14C65"/>
    <w:rsid w:val="00F14CE7"/>
    <w:rsid w:val="00F15090"/>
    <w:rsid w:val="00F150BC"/>
    <w:rsid w:val="00F15D31"/>
    <w:rsid w:val="00F164BF"/>
    <w:rsid w:val="00F17655"/>
    <w:rsid w:val="00F200DE"/>
    <w:rsid w:val="00F21744"/>
    <w:rsid w:val="00F22E76"/>
    <w:rsid w:val="00F233F5"/>
    <w:rsid w:val="00F241DA"/>
    <w:rsid w:val="00F26B92"/>
    <w:rsid w:val="00F26C2F"/>
    <w:rsid w:val="00F2735D"/>
    <w:rsid w:val="00F273A8"/>
    <w:rsid w:val="00F2766E"/>
    <w:rsid w:val="00F27FC3"/>
    <w:rsid w:val="00F311A7"/>
    <w:rsid w:val="00F31387"/>
    <w:rsid w:val="00F319EB"/>
    <w:rsid w:val="00F3264F"/>
    <w:rsid w:val="00F327B1"/>
    <w:rsid w:val="00F32F3E"/>
    <w:rsid w:val="00F33488"/>
    <w:rsid w:val="00F34631"/>
    <w:rsid w:val="00F34798"/>
    <w:rsid w:val="00F34BC9"/>
    <w:rsid w:val="00F34CC1"/>
    <w:rsid w:val="00F34D9D"/>
    <w:rsid w:val="00F35053"/>
    <w:rsid w:val="00F35E43"/>
    <w:rsid w:val="00F36C6C"/>
    <w:rsid w:val="00F36E5A"/>
    <w:rsid w:val="00F379CE"/>
    <w:rsid w:val="00F413F2"/>
    <w:rsid w:val="00F41A2B"/>
    <w:rsid w:val="00F426AF"/>
    <w:rsid w:val="00F431F6"/>
    <w:rsid w:val="00F43CE4"/>
    <w:rsid w:val="00F4468E"/>
    <w:rsid w:val="00F448AB"/>
    <w:rsid w:val="00F44C86"/>
    <w:rsid w:val="00F4539C"/>
    <w:rsid w:val="00F4548A"/>
    <w:rsid w:val="00F4601B"/>
    <w:rsid w:val="00F46B6D"/>
    <w:rsid w:val="00F47336"/>
    <w:rsid w:val="00F47A67"/>
    <w:rsid w:val="00F47BB0"/>
    <w:rsid w:val="00F51070"/>
    <w:rsid w:val="00F51DEC"/>
    <w:rsid w:val="00F527D9"/>
    <w:rsid w:val="00F5336F"/>
    <w:rsid w:val="00F53B91"/>
    <w:rsid w:val="00F546C3"/>
    <w:rsid w:val="00F54826"/>
    <w:rsid w:val="00F54DD5"/>
    <w:rsid w:val="00F55278"/>
    <w:rsid w:val="00F56B30"/>
    <w:rsid w:val="00F56C78"/>
    <w:rsid w:val="00F57044"/>
    <w:rsid w:val="00F57412"/>
    <w:rsid w:val="00F57783"/>
    <w:rsid w:val="00F60EC9"/>
    <w:rsid w:val="00F610DE"/>
    <w:rsid w:val="00F61CA2"/>
    <w:rsid w:val="00F6225C"/>
    <w:rsid w:val="00F625D4"/>
    <w:rsid w:val="00F631AD"/>
    <w:rsid w:val="00F63FBE"/>
    <w:rsid w:val="00F63FC7"/>
    <w:rsid w:val="00F6564F"/>
    <w:rsid w:val="00F659D8"/>
    <w:rsid w:val="00F65C13"/>
    <w:rsid w:val="00F66583"/>
    <w:rsid w:val="00F670CD"/>
    <w:rsid w:val="00F67412"/>
    <w:rsid w:val="00F71DD8"/>
    <w:rsid w:val="00F721B6"/>
    <w:rsid w:val="00F72A1A"/>
    <w:rsid w:val="00F72E5C"/>
    <w:rsid w:val="00F72F8A"/>
    <w:rsid w:val="00F7641E"/>
    <w:rsid w:val="00F76749"/>
    <w:rsid w:val="00F80B59"/>
    <w:rsid w:val="00F81C0F"/>
    <w:rsid w:val="00F836F0"/>
    <w:rsid w:val="00F83F9A"/>
    <w:rsid w:val="00F84EDC"/>
    <w:rsid w:val="00F850A1"/>
    <w:rsid w:val="00F85395"/>
    <w:rsid w:val="00F863AB"/>
    <w:rsid w:val="00F918DE"/>
    <w:rsid w:val="00F91EA8"/>
    <w:rsid w:val="00F92606"/>
    <w:rsid w:val="00F93590"/>
    <w:rsid w:val="00F93A32"/>
    <w:rsid w:val="00F93C09"/>
    <w:rsid w:val="00F94312"/>
    <w:rsid w:val="00F94828"/>
    <w:rsid w:val="00F94C42"/>
    <w:rsid w:val="00F9520A"/>
    <w:rsid w:val="00F952A0"/>
    <w:rsid w:val="00F95F88"/>
    <w:rsid w:val="00F96208"/>
    <w:rsid w:val="00F96CC8"/>
    <w:rsid w:val="00F97221"/>
    <w:rsid w:val="00F97295"/>
    <w:rsid w:val="00F97F3E"/>
    <w:rsid w:val="00FA0D5B"/>
    <w:rsid w:val="00FA21EF"/>
    <w:rsid w:val="00FA546B"/>
    <w:rsid w:val="00FA6D66"/>
    <w:rsid w:val="00FA743C"/>
    <w:rsid w:val="00FB07C4"/>
    <w:rsid w:val="00FB15C2"/>
    <w:rsid w:val="00FB2068"/>
    <w:rsid w:val="00FB2258"/>
    <w:rsid w:val="00FB396E"/>
    <w:rsid w:val="00FB5B93"/>
    <w:rsid w:val="00FB5E67"/>
    <w:rsid w:val="00FB664E"/>
    <w:rsid w:val="00FB7F3D"/>
    <w:rsid w:val="00FC02A8"/>
    <w:rsid w:val="00FC0D21"/>
    <w:rsid w:val="00FC11A9"/>
    <w:rsid w:val="00FC1B0B"/>
    <w:rsid w:val="00FC1B48"/>
    <w:rsid w:val="00FC3048"/>
    <w:rsid w:val="00FC3F3A"/>
    <w:rsid w:val="00FC4C23"/>
    <w:rsid w:val="00FC4FA6"/>
    <w:rsid w:val="00FC5553"/>
    <w:rsid w:val="00FC58CF"/>
    <w:rsid w:val="00FC5AD8"/>
    <w:rsid w:val="00FC6CCF"/>
    <w:rsid w:val="00FD41CE"/>
    <w:rsid w:val="00FD42A0"/>
    <w:rsid w:val="00FD48C1"/>
    <w:rsid w:val="00FD4DD4"/>
    <w:rsid w:val="00FD607C"/>
    <w:rsid w:val="00FE061F"/>
    <w:rsid w:val="00FE07D5"/>
    <w:rsid w:val="00FE07E1"/>
    <w:rsid w:val="00FE0983"/>
    <w:rsid w:val="00FE0FE8"/>
    <w:rsid w:val="00FE1E20"/>
    <w:rsid w:val="00FE36A9"/>
    <w:rsid w:val="00FE4E82"/>
    <w:rsid w:val="00FE560C"/>
    <w:rsid w:val="00FF07F1"/>
    <w:rsid w:val="00FF25EA"/>
    <w:rsid w:val="00FF260E"/>
    <w:rsid w:val="00FF2DCD"/>
    <w:rsid w:val="00FF3300"/>
    <w:rsid w:val="00FF3320"/>
    <w:rsid w:val="00FF39B3"/>
    <w:rsid w:val="00FF3CBA"/>
    <w:rsid w:val="00FF4CFA"/>
    <w:rsid w:val="00FF509C"/>
    <w:rsid w:val="00FF7133"/>
    <w:rsid w:val="00FF785D"/>
    <w:rsid w:val="00FF7B9F"/>
    <w:rsid w:val="00FF7EA6"/>
    <w:rsid w:val="01BA9FB7"/>
    <w:rsid w:val="03780160"/>
    <w:rsid w:val="047667EF"/>
    <w:rsid w:val="0479671A"/>
    <w:rsid w:val="0ACD679E"/>
    <w:rsid w:val="0B1C232D"/>
    <w:rsid w:val="0E4C564F"/>
    <w:rsid w:val="12DCA811"/>
    <w:rsid w:val="13B82AB9"/>
    <w:rsid w:val="16C4F7B1"/>
    <w:rsid w:val="1718C963"/>
    <w:rsid w:val="1828D56A"/>
    <w:rsid w:val="1C0298DB"/>
    <w:rsid w:val="1D65802A"/>
    <w:rsid w:val="2258D3AC"/>
    <w:rsid w:val="23533BC0"/>
    <w:rsid w:val="271820F8"/>
    <w:rsid w:val="28660198"/>
    <w:rsid w:val="2876E504"/>
    <w:rsid w:val="29EDAA8A"/>
    <w:rsid w:val="2BF6C4D5"/>
    <w:rsid w:val="2D1756A7"/>
    <w:rsid w:val="2DE6BD8C"/>
    <w:rsid w:val="333F5B9E"/>
    <w:rsid w:val="3647BC92"/>
    <w:rsid w:val="3B0E35B5"/>
    <w:rsid w:val="3E00A026"/>
    <w:rsid w:val="402970C4"/>
    <w:rsid w:val="40522D5B"/>
    <w:rsid w:val="40C783C6"/>
    <w:rsid w:val="41E02418"/>
    <w:rsid w:val="42BF3D9B"/>
    <w:rsid w:val="46008B3D"/>
    <w:rsid w:val="4AE8DF66"/>
    <w:rsid w:val="4C06DFBE"/>
    <w:rsid w:val="4CC9779B"/>
    <w:rsid w:val="4DD36B88"/>
    <w:rsid w:val="4DD76B11"/>
    <w:rsid w:val="4E5B5BEC"/>
    <w:rsid w:val="5017157C"/>
    <w:rsid w:val="57262720"/>
    <w:rsid w:val="58D3C4CB"/>
    <w:rsid w:val="5E55FD70"/>
    <w:rsid w:val="5E9D6D85"/>
    <w:rsid w:val="5F3EDD09"/>
    <w:rsid w:val="5FF4801A"/>
    <w:rsid w:val="619DABAD"/>
    <w:rsid w:val="62FB04C9"/>
    <w:rsid w:val="6346D84A"/>
    <w:rsid w:val="63C0F76F"/>
    <w:rsid w:val="6449D8CD"/>
    <w:rsid w:val="654C1216"/>
    <w:rsid w:val="669C85F3"/>
    <w:rsid w:val="6702BEFF"/>
    <w:rsid w:val="673268B6"/>
    <w:rsid w:val="6736F212"/>
    <w:rsid w:val="68BA61D9"/>
    <w:rsid w:val="755774AC"/>
    <w:rsid w:val="75C2A41C"/>
    <w:rsid w:val="768CD57C"/>
    <w:rsid w:val="77A067EF"/>
    <w:rsid w:val="7B97441A"/>
    <w:rsid w:val="7C142BE0"/>
    <w:rsid w:val="7CF31A5D"/>
    <w:rsid w:val="7DFF76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780CB"/>
  <w14:defaultImageDpi w14:val="330"/>
  <w15:docId w15:val="{365FCCD9-9295-4423-8579-F55D0626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2F2"/>
    <w:pPr>
      <w:spacing w:line="288" w:lineRule="auto"/>
    </w:pPr>
    <w:rPr>
      <w:rFonts w:ascii="Verdana" w:hAnsi="Verdana"/>
      <w:sz w:val="28"/>
    </w:rPr>
  </w:style>
  <w:style w:type="paragraph" w:styleId="Heading1">
    <w:name w:val="heading 1"/>
    <w:basedOn w:val="Normal"/>
    <w:next w:val="Normal"/>
    <w:link w:val="Heading1Char"/>
    <w:uiPriority w:val="9"/>
    <w:qFormat/>
    <w:rsid w:val="007972F2"/>
    <w:pPr>
      <w:keepNext/>
      <w:keepLines/>
      <w:spacing w:line="480" w:lineRule="auto"/>
      <w:outlineLvl w:val="0"/>
    </w:pPr>
    <w:rPr>
      <w:rFonts w:eastAsiaTheme="majorEastAsia" w:cstheme="majorBidi"/>
      <w:b/>
      <w:color w:val="77328A"/>
      <w:sz w:val="40"/>
      <w:szCs w:val="32"/>
    </w:rPr>
  </w:style>
  <w:style w:type="paragraph" w:styleId="Heading2">
    <w:name w:val="heading 2"/>
    <w:basedOn w:val="Normal"/>
    <w:next w:val="Normal"/>
    <w:link w:val="Heading2Char"/>
    <w:uiPriority w:val="9"/>
    <w:unhideWhenUsed/>
    <w:qFormat/>
    <w:rsid w:val="007972F2"/>
    <w:pPr>
      <w:keepNext/>
      <w:keepLines/>
      <w:spacing w:before="40" w:line="480" w:lineRule="auto"/>
      <w:outlineLvl w:val="1"/>
    </w:pPr>
    <w:rPr>
      <w:rFonts w:eastAsiaTheme="majorEastAsia" w:cstheme="majorBidi"/>
      <w:b/>
      <w:color w:val="77328A"/>
      <w:sz w:val="30"/>
      <w:szCs w:val="26"/>
    </w:rPr>
  </w:style>
  <w:style w:type="paragraph" w:styleId="Heading3">
    <w:name w:val="heading 3"/>
    <w:basedOn w:val="Normal"/>
    <w:next w:val="Normal"/>
    <w:link w:val="Heading3Char"/>
    <w:uiPriority w:val="9"/>
    <w:unhideWhenUsed/>
    <w:qFormat/>
    <w:rsid w:val="007972F2"/>
    <w:pPr>
      <w:keepNext/>
      <w:keepLines/>
      <w:spacing w:before="40" w:line="480" w:lineRule="auto"/>
      <w:outlineLvl w:val="2"/>
    </w:pPr>
    <w:rPr>
      <w:rFonts w:eastAsiaTheme="majorEastAsia" w:cstheme="majorBidi"/>
      <w:b/>
      <w:sz w:val="30"/>
    </w:rPr>
  </w:style>
  <w:style w:type="paragraph" w:styleId="Heading4">
    <w:name w:val="heading 4"/>
    <w:basedOn w:val="Normal"/>
    <w:next w:val="Normal"/>
    <w:link w:val="Heading4Char"/>
    <w:uiPriority w:val="9"/>
    <w:unhideWhenUsed/>
    <w:qFormat/>
    <w:rsid w:val="007972F2"/>
    <w:pPr>
      <w:keepNext/>
      <w:keepLines/>
      <w:spacing w:before="40" w:line="480" w:lineRule="auto"/>
      <w:outlineLvl w:val="3"/>
    </w:pPr>
    <w:rPr>
      <w:rFonts w:eastAsiaTheme="majorEastAsia" w:cstheme="majorBidi"/>
      <w:b/>
      <w:iCs/>
      <w:sz w:val="24"/>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uiPriority w:val="99"/>
    <w:rsid w:val="00962B2B"/>
    <w:pPr>
      <w:widowControl w:val="0"/>
      <w:autoSpaceDE w:val="0"/>
      <w:autoSpaceDN w:val="0"/>
      <w:adjustRightInd w:val="0"/>
      <w:textAlignment w:val="center"/>
    </w:pPr>
    <w:rPr>
      <w:rFonts w:ascii="MinionPro-Regular" w:hAnsi="MinionPro-Regular" w:cs="MinionPro-Regular"/>
      <w:color w:val="000000"/>
    </w:rPr>
  </w:style>
  <w:style w:type="paragraph" w:customStyle="1" w:styleId="Body">
    <w:name w:val="Body"/>
    <w:basedOn w:val="Normal"/>
    <w:rsid w:val="007F266D"/>
    <w:rPr>
      <w:rFonts w:ascii="Helvetica" w:eastAsiaTheme="minorHAnsi" w:hAnsi="Helvetica" w:cs="Helvetica"/>
      <w:color w:val="000000"/>
      <w:sz w:val="22"/>
      <w:szCs w:val="22"/>
      <w:lang w:eastAsia="en-GB"/>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Char,Footnote Quot, Char"/>
    <w:basedOn w:val="Normal"/>
    <w:link w:val="FootnoteTextChar"/>
    <w:uiPriority w:val="99"/>
    <w:unhideWhenUsed/>
    <w:qFormat/>
    <w:rsid w:val="00224140"/>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Char Char,Footnote Quot Char"/>
    <w:basedOn w:val="DefaultParagraphFont"/>
    <w:link w:val="FootnoteText"/>
    <w:uiPriority w:val="99"/>
    <w:rsid w:val="00224140"/>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4"/>
    <w:basedOn w:val="DefaultParagraphFont"/>
    <w:link w:val="4GChar"/>
    <w:uiPriority w:val="99"/>
    <w:unhideWhenUsed/>
    <w:qFormat/>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CA49FF"/>
    <w:pPr>
      <w:tabs>
        <w:tab w:val="left" w:pos="284"/>
      </w:tabs>
      <w:spacing w:line="240" w:lineRule="auto"/>
    </w:pPr>
    <w:rPr>
      <w:rFonts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basedOn w:val="Normal"/>
    <w:uiPriority w:val="34"/>
    <w:qFormat/>
    <w:rsid w:val="008A4C43"/>
    <w:pPr>
      <w:ind w:left="720"/>
      <w:contextualSpacing/>
    </w:pPr>
  </w:style>
  <w:style w:type="character" w:customStyle="1" w:styleId="Heading1Char">
    <w:name w:val="Heading 1 Char"/>
    <w:basedOn w:val="DefaultParagraphFont"/>
    <w:link w:val="Heading1"/>
    <w:uiPriority w:val="9"/>
    <w:rsid w:val="007972F2"/>
    <w:rPr>
      <w:rFonts w:ascii="Verdana" w:eastAsiaTheme="majorEastAsia" w:hAnsi="Verdana" w:cstheme="majorBidi"/>
      <w:b/>
      <w:color w:val="77328A"/>
      <w:sz w:val="40"/>
      <w:szCs w:val="32"/>
    </w:rPr>
  </w:style>
  <w:style w:type="character" w:styleId="CommentReference">
    <w:name w:val="annotation reference"/>
    <w:basedOn w:val="DefaultParagraphFont"/>
    <w:uiPriority w:val="99"/>
    <w:semiHidden/>
    <w:unhideWhenUsed/>
    <w:rsid w:val="003F04BA"/>
    <w:rPr>
      <w:sz w:val="16"/>
      <w:szCs w:val="16"/>
    </w:rPr>
  </w:style>
  <w:style w:type="paragraph" w:styleId="CommentText">
    <w:name w:val="annotation text"/>
    <w:basedOn w:val="Normal"/>
    <w:link w:val="CommentTextChar"/>
    <w:uiPriority w:val="99"/>
    <w:unhideWhenUsed/>
    <w:rsid w:val="003F04BA"/>
    <w:rPr>
      <w:sz w:val="20"/>
      <w:szCs w:val="20"/>
    </w:rPr>
  </w:style>
  <w:style w:type="character" w:customStyle="1" w:styleId="CommentTextChar">
    <w:name w:val="Comment Text Char"/>
    <w:basedOn w:val="DefaultParagraphFont"/>
    <w:link w:val="CommentText"/>
    <w:uiPriority w:val="99"/>
    <w:rsid w:val="003F04BA"/>
    <w:rPr>
      <w:sz w:val="20"/>
      <w:szCs w:val="20"/>
    </w:rPr>
  </w:style>
  <w:style w:type="paragraph" w:styleId="CommentSubject">
    <w:name w:val="annotation subject"/>
    <w:basedOn w:val="CommentText"/>
    <w:next w:val="CommentText"/>
    <w:link w:val="CommentSubjectChar"/>
    <w:uiPriority w:val="99"/>
    <w:semiHidden/>
    <w:unhideWhenUsed/>
    <w:rsid w:val="003F04BA"/>
    <w:rPr>
      <w:b/>
      <w:bCs/>
    </w:rPr>
  </w:style>
  <w:style w:type="character" w:customStyle="1" w:styleId="CommentSubjectChar">
    <w:name w:val="Comment Subject Char"/>
    <w:basedOn w:val="CommentTextChar"/>
    <w:link w:val="CommentSubject"/>
    <w:uiPriority w:val="99"/>
    <w:semiHidden/>
    <w:rsid w:val="003F04BA"/>
    <w:rPr>
      <w:b/>
      <w:bCs/>
      <w:sz w:val="20"/>
      <w:szCs w:val="20"/>
    </w:rPr>
  </w:style>
  <w:style w:type="character" w:styleId="FollowedHyperlink">
    <w:name w:val="FollowedHyperlink"/>
    <w:basedOn w:val="DefaultParagraphFont"/>
    <w:uiPriority w:val="99"/>
    <w:semiHidden/>
    <w:unhideWhenUsed/>
    <w:rsid w:val="00827B25"/>
    <w:rPr>
      <w:color w:val="800080" w:themeColor="followedHyperlink"/>
      <w:u w:val="single"/>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104E7C"/>
    <w:pPr>
      <w:spacing w:line="240" w:lineRule="exact"/>
      <w:jc w:val="both"/>
    </w:pPr>
    <w:rPr>
      <w:vertAlign w:val="superscript"/>
    </w:rPr>
  </w:style>
  <w:style w:type="character" w:customStyle="1" w:styleId="Heading2Char">
    <w:name w:val="Heading 2 Char"/>
    <w:basedOn w:val="DefaultParagraphFont"/>
    <w:link w:val="Heading2"/>
    <w:uiPriority w:val="9"/>
    <w:rsid w:val="007972F2"/>
    <w:rPr>
      <w:rFonts w:ascii="Verdana" w:eastAsiaTheme="majorEastAsia" w:hAnsi="Verdana" w:cstheme="majorBidi"/>
      <w:b/>
      <w:color w:val="77328A"/>
      <w:sz w:val="30"/>
      <w:szCs w:val="26"/>
    </w:rPr>
  </w:style>
  <w:style w:type="character" w:styleId="UnresolvedMention">
    <w:name w:val="Unresolved Mention"/>
    <w:basedOn w:val="DefaultParagraphFont"/>
    <w:uiPriority w:val="99"/>
    <w:semiHidden/>
    <w:unhideWhenUsed/>
    <w:rsid w:val="00B615AF"/>
    <w:rPr>
      <w:color w:val="605E5C"/>
      <w:shd w:val="clear" w:color="auto" w:fill="E1DFDD"/>
    </w:rPr>
  </w:style>
  <w:style w:type="paragraph" w:styleId="Revision">
    <w:name w:val="Revision"/>
    <w:hidden/>
    <w:uiPriority w:val="99"/>
    <w:semiHidden/>
    <w:rsid w:val="00AC4B40"/>
  </w:style>
  <w:style w:type="character" w:customStyle="1" w:styleId="Heading3Char">
    <w:name w:val="Heading 3 Char"/>
    <w:basedOn w:val="DefaultParagraphFont"/>
    <w:link w:val="Heading3"/>
    <w:uiPriority w:val="9"/>
    <w:rsid w:val="007972F2"/>
    <w:rPr>
      <w:rFonts w:ascii="Verdana" w:eastAsiaTheme="majorEastAsia" w:hAnsi="Verdana" w:cstheme="majorBidi"/>
      <w:b/>
      <w:sz w:val="30"/>
    </w:rPr>
  </w:style>
  <w:style w:type="character" w:customStyle="1" w:styleId="Heading4Char">
    <w:name w:val="Heading 4 Char"/>
    <w:basedOn w:val="DefaultParagraphFont"/>
    <w:link w:val="Heading4"/>
    <w:uiPriority w:val="9"/>
    <w:rsid w:val="007972F2"/>
    <w:rPr>
      <w:rFonts w:ascii="Verdana" w:eastAsiaTheme="majorEastAsia" w:hAnsi="Verdana" w:cstheme="majorBidi"/>
      <w:b/>
      <w:iCs/>
    </w:rPr>
  </w:style>
  <w:style w:type="paragraph" w:styleId="Quote">
    <w:name w:val="Quote"/>
    <w:basedOn w:val="Normal"/>
    <w:next w:val="Normal"/>
    <w:link w:val="QuoteChar"/>
    <w:uiPriority w:val="29"/>
    <w:qFormat/>
    <w:rsid w:val="00D544C1"/>
    <w:pPr>
      <w:ind w:left="862" w:right="862"/>
    </w:pPr>
    <w:rPr>
      <w:iCs/>
    </w:rPr>
  </w:style>
  <w:style w:type="character" w:customStyle="1" w:styleId="QuoteChar">
    <w:name w:val="Quote Char"/>
    <w:basedOn w:val="DefaultParagraphFont"/>
    <w:link w:val="Quote"/>
    <w:uiPriority w:val="29"/>
    <w:rsid w:val="00D544C1"/>
    <w:rPr>
      <w:rFonts w:ascii="Verdana" w:hAnsi="Verdana"/>
      <w:iCs/>
      <w:sz w:val="28"/>
    </w:rPr>
  </w:style>
  <w:style w:type="paragraph" w:styleId="TOCHeading">
    <w:name w:val="TOC Heading"/>
    <w:basedOn w:val="Heading1"/>
    <w:next w:val="Normal"/>
    <w:uiPriority w:val="39"/>
    <w:unhideWhenUsed/>
    <w:qFormat/>
    <w:rsid w:val="002A6C14"/>
    <w:pPr>
      <w:spacing w:before="240" w:line="259" w:lineRule="auto"/>
      <w:outlineLvl w:val="9"/>
    </w:pPr>
    <w:rPr>
      <w:rFonts w:asciiTheme="majorHAnsi" w:hAnsiTheme="majorHAnsi"/>
      <w:b w:val="0"/>
      <w:color w:val="365F91" w:themeColor="accent1" w:themeShade="BF"/>
      <w:sz w:val="32"/>
      <w:lang w:val="en-US"/>
    </w:rPr>
  </w:style>
  <w:style w:type="paragraph" w:styleId="TOC2">
    <w:name w:val="toc 2"/>
    <w:basedOn w:val="Normal"/>
    <w:next w:val="Normal"/>
    <w:autoRedefine/>
    <w:uiPriority w:val="39"/>
    <w:unhideWhenUsed/>
    <w:rsid w:val="00D800B1"/>
    <w:pPr>
      <w:tabs>
        <w:tab w:val="left" w:pos="1200"/>
        <w:tab w:val="right" w:leader="dot" w:pos="9848"/>
      </w:tabs>
      <w:spacing w:after="100"/>
      <w:ind w:left="280"/>
    </w:pPr>
    <w:rPr>
      <w:b/>
      <w:bCs/>
      <w:noProof/>
    </w:rPr>
  </w:style>
  <w:style w:type="paragraph" w:styleId="TOC3">
    <w:name w:val="toc 3"/>
    <w:basedOn w:val="Normal"/>
    <w:next w:val="Normal"/>
    <w:autoRedefine/>
    <w:uiPriority w:val="39"/>
    <w:unhideWhenUsed/>
    <w:rsid w:val="002A6C14"/>
    <w:pPr>
      <w:spacing w:after="100"/>
      <w:ind w:left="560"/>
    </w:pPr>
  </w:style>
  <w:style w:type="paragraph" w:styleId="TOC1">
    <w:name w:val="toc 1"/>
    <w:basedOn w:val="Normal"/>
    <w:next w:val="Normal"/>
    <w:autoRedefine/>
    <w:uiPriority w:val="39"/>
    <w:unhideWhenUsed/>
    <w:rsid w:val="00CD0AAA"/>
    <w:pPr>
      <w:tabs>
        <w:tab w:val="left" w:pos="560"/>
        <w:tab w:val="right" w:leader="dot" w:pos="9848"/>
      </w:tabs>
      <w:spacing w:after="100" w:line="259" w:lineRule="auto"/>
      <w:ind w:left="284"/>
    </w:pPr>
    <w:rPr>
      <w:rFonts w:cs="Times New Roman"/>
      <w:b/>
      <w:bCs/>
      <w:noProof/>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4974">
      <w:bodyDiv w:val="1"/>
      <w:marLeft w:val="0"/>
      <w:marRight w:val="0"/>
      <w:marTop w:val="0"/>
      <w:marBottom w:val="0"/>
      <w:divBdr>
        <w:top w:val="none" w:sz="0" w:space="0" w:color="auto"/>
        <w:left w:val="none" w:sz="0" w:space="0" w:color="auto"/>
        <w:bottom w:val="none" w:sz="0" w:space="0" w:color="auto"/>
        <w:right w:val="none" w:sz="0" w:space="0" w:color="auto"/>
      </w:divBdr>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1750884837">
      <w:bodyDiv w:val="1"/>
      <w:marLeft w:val="0"/>
      <w:marRight w:val="0"/>
      <w:marTop w:val="0"/>
      <w:marBottom w:val="0"/>
      <w:divBdr>
        <w:top w:val="none" w:sz="0" w:space="0" w:color="auto"/>
        <w:left w:val="none" w:sz="0" w:space="0" w:color="auto"/>
        <w:bottom w:val="none" w:sz="0" w:space="0" w:color="auto"/>
        <w:right w:val="none" w:sz="0" w:space="0" w:color="auto"/>
      </w:divBdr>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hr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ma.Osborne@NIHR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ihrc.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dstats.uk/tenders/2024/W50/8363049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Staff%20Information\Branding%20&amp;%20Guidance%20-%20Staff\Templates\27689%20-%20HUMAN%20RIGHTS%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Props1.xml><?xml version="1.0" encoding="utf-8"?>
<ds:datastoreItem xmlns:ds="http://schemas.openxmlformats.org/officeDocument/2006/customXml" ds:itemID="{19D18F7D-2557-45D1-B7DE-DA8A8E0DA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DB04E-7611-4501-8AA5-1EC301EB99D3}">
  <ds:schemaRefs>
    <ds:schemaRef ds:uri="http://schemas.microsoft.com/sharepoint/v3/contenttype/forms"/>
  </ds:schemaRefs>
</ds:datastoreItem>
</file>

<file path=customXml/itemProps3.xml><?xml version="1.0" encoding="utf-8"?>
<ds:datastoreItem xmlns:ds="http://schemas.openxmlformats.org/officeDocument/2006/customXml" ds:itemID="{3A384150-B37B-41D5-8D0B-6D64543DD0F5}">
  <ds:schemaRefs>
    <ds:schemaRef ds:uri="http://schemas.openxmlformats.org/officeDocument/2006/bibliography"/>
  </ds:schemaRefs>
</ds:datastoreItem>
</file>

<file path=customXml/itemProps4.xml><?xml version="1.0" encoding="utf-8"?>
<ds:datastoreItem xmlns:ds="http://schemas.openxmlformats.org/officeDocument/2006/customXml" ds:itemID="{48D4D450-773E-4AE4-8C63-BA6C68B91B59}">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docProps/app.xml><?xml version="1.0" encoding="utf-8"?>
<Properties xmlns="http://schemas.openxmlformats.org/officeDocument/2006/extended-properties" xmlns:vt="http://schemas.openxmlformats.org/officeDocument/2006/docPropsVTypes">
  <Template>27689 - HUMAN RIGHTS Research</Template>
  <TotalTime>30</TotalTime>
  <Pages>27</Pages>
  <Words>5135</Words>
  <Characters>29275</Characters>
  <Application>Microsoft Office Word</Application>
  <DocSecurity>0</DocSecurity>
  <Lines>243</Lines>
  <Paragraphs>68</Paragraphs>
  <ScaleCrop>false</ScaleCrop>
  <Company>Whitenoise</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McKeown</dc:creator>
  <cp:keywords/>
  <dc:description/>
  <cp:lastModifiedBy>Emma Osborne</cp:lastModifiedBy>
  <cp:revision>194</cp:revision>
  <cp:lastPrinted>2025-06-02T08:36:00Z</cp:lastPrinted>
  <dcterms:created xsi:type="dcterms:W3CDTF">2025-05-13T06:02:00Z</dcterms:created>
  <dcterms:modified xsi:type="dcterms:W3CDTF">2025-06-02T08:37:00Z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