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F810" w14:textId="77777777" w:rsidR="00F31387" w:rsidRDefault="00F31387" w:rsidP="00B36C6A">
      <w:pPr>
        <w:pStyle w:val="BasicParagraph"/>
        <w:suppressAutoHyphens/>
        <w:spacing w:line="276" w:lineRule="auto"/>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47BF4F3C" wp14:editId="114F9AA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04225E7" w14:textId="77777777" w:rsidR="003B7D0E" w:rsidRPr="00EA12CE" w:rsidRDefault="003B7D0E" w:rsidP="00B36C6A">
      <w:pPr>
        <w:pStyle w:val="BasicParagraph"/>
        <w:suppressAutoHyphens/>
        <w:spacing w:line="276" w:lineRule="auto"/>
        <w:jc w:val="center"/>
        <w:rPr>
          <w:rFonts w:ascii="Verdana" w:hAnsi="Verdana" w:cs="Arial"/>
          <w:b/>
          <w:bCs/>
          <w:color w:val="734791"/>
          <w:sz w:val="36"/>
          <w:szCs w:val="36"/>
        </w:rPr>
      </w:pPr>
    </w:p>
    <w:p w14:paraId="1200B389" w14:textId="77777777" w:rsidR="002E338B" w:rsidRPr="002E338B" w:rsidRDefault="002E338B" w:rsidP="00B36C6A">
      <w:pPr>
        <w:pStyle w:val="Default"/>
        <w:spacing w:line="276" w:lineRule="auto"/>
        <w:jc w:val="center"/>
        <w:rPr>
          <w:rFonts w:cs="Arial"/>
          <w:b/>
          <w:bCs/>
          <w:color w:val="77328A"/>
          <w:sz w:val="36"/>
          <w:szCs w:val="36"/>
        </w:rPr>
      </w:pPr>
    </w:p>
    <w:p w14:paraId="71B61640" w14:textId="05E6926E" w:rsidR="00004CB7" w:rsidRDefault="00FA1F2E" w:rsidP="00B36C6A">
      <w:pPr>
        <w:pStyle w:val="Default"/>
        <w:spacing w:line="276" w:lineRule="auto"/>
        <w:jc w:val="center"/>
        <w:rPr>
          <w:rFonts w:cs="Arial"/>
          <w:b/>
          <w:bCs/>
          <w:color w:val="77328A"/>
          <w:sz w:val="36"/>
          <w:szCs w:val="36"/>
          <w:lang w:val="en-GB"/>
        </w:rPr>
      </w:pPr>
      <w:r>
        <w:rPr>
          <w:rFonts w:cs="Arial"/>
          <w:b/>
          <w:bCs/>
          <w:color w:val="77328A"/>
          <w:sz w:val="36"/>
          <w:szCs w:val="36"/>
          <w:lang w:val="en-GB"/>
        </w:rPr>
        <w:t>Briefing Paper</w:t>
      </w:r>
      <w:r w:rsidR="00A90E0A">
        <w:rPr>
          <w:rFonts w:cs="Arial"/>
          <w:b/>
          <w:bCs/>
          <w:color w:val="77328A"/>
          <w:sz w:val="36"/>
          <w:szCs w:val="36"/>
          <w:lang w:val="en-GB"/>
        </w:rPr>
        <w:t xml:space="preserve"> &amp; Draft Recommendations</w:t>
      </w:r>
      <w:r>
        <w:rPr>
          <w:rFonts w:cs="Arial"/>
          <w:b/>
          <w:bCs/>
          <w:color w:val="77328A"/>
          <w:sz w:val="36"/>
          <w:szCs w:val="36"/>
          <w:lang w:val="en-GB"/>
        </w:rPr>
        <w:t xml:space="preserve"> on</w:t>
      </w:r>
    </w:p>
    <w:p w14:paraId="30A87199" w14:textId="7B32824A" w:rsidR="00F31387" w:rsidRDefault="002E338B" w:rsidP="00B36C6A">
      <w:pPr>
        <w:pStyle w:val="Default"/>
        <w:spacing w:line="276" w:lineRule="auto"/>
        <w:jc w:val="center"/>
        <w:rPr>
          <w:rFonts w:cs="Arial"/>
          <w:b/>
          <w:bCs/>
          <w:color w:val="77328A"/>
          <w:sz w:val="36"/>
          <w:szCs w:val="36"/>
          <w:lang w:val="en-GB"/>
        </w:rPr>
      </w:pPr>
      <w:r w:rsidRPr="002E338B">
        <w:rPr>
          <w:rFonts w:cs="Arial"/>
          <w:b/>
          <w:bCs/>
          <w:color w:val="77328A"/>
          <w:sz w:val="36"/>
          <w:szCs w:val="36"/>
          <w:lang w:val="en-GB"/>
        </w:rPr>
        <w:t xml:space="preserve"> Brexit, </w:t>
      </w:r>
      <w:proofErr w:type="gramStart"/>
      <w:r w:rsidRPr="002E338B">
        <w:rPr>
          <w:rFonts w:cs="Arial"/>
          <w:b/>
          <w:bCs/>
          <w:color w:val="77328A"/>
          <w:sz w:val="36"/>
          <w:szCs w:val="36"/>
          <w:lang w:val="en-GB"/>
        </w:rPr>
        <w:t>Health</w:t>
      </w:r>
      <w:proofErr w:type="gramEnd"/>
      <w:r w:rsidRPr="002E338B">
        <w:rPr>
          <w:rFonts w:cs="Arial"/>
          <w:b/>
          <w:bCs/>
          <w:color w:val="77328A"/>
          <w:sz w:val="36"/>
          <w:szCs w:val="36"/>
          <w:lang w:val="en-GB"/>
        </w:rPr>
        <w:t xml:space="preserve"> and its potential impact on Article 2 of the </w:t>
      </w:r>
      <w:r w:rsidR="00CA1E11">
        <w:rPr>
          <w:rFonts w:cs="Arial"/>
          <w:b/>
          <w:bCs/>
          <w:color w:val="77328A"/>
          <w:sz w:val="36"/>
          <w:szCs w:val="36"/>
          <w:lang w:val="en-GB"/>
        </w:rPr>
        <w:t>Windsor Framework</w:t>
      </w:r>
    </w:p>
    <w:p w14:paraId="34EA62C3" w14:textId="77777777" w:rsidR="002E338B" w:rsidRPr="00331C61" w:rsidRDefault="002E338B" w:rsidP="00B36C6A">
      <w:pPr>
        <w:pStyle w:val="Default"/>
        <w:spacing w:line="276" w:lineRule="auto"/>
        <w:jc w:val="center"/>
        <w:rPr>
          <w:rFonts w:cs="Arial"/>
          <w:color w:val="232120"/>
          <w:sz w:val="36"/>
          <w:szCs w:val="36"/>
        </w:rPr>
      </w:pPr>
    </w:p>
    <w:p w14:paraId="491ACF37" w14:textId="7014D349" w:rsidR="008159E8" w:rsidRPr="00331C61" w:rsidRDefault="00375CCF" w:rsidP="00B36C6A">
      <w:pPr>
        <w:spacing w:line="276" w:lineRule="auto"/>
        <w:jc w:val="center"/>
        <w:rPr>
          <w:rFonts w:ascii="Verdana" w:hAnsi="Verdana" w:cs="Arial"/>
          <w:b/>
          <w:color w:val="232120"/>
          <w:sz w:val="30"/>
          <w:szCs w:val="30"/>
        </w:rPr>
      </w:pPr>
      <w:r>
        <w:rPr>
          <w:rFonts w:ascii="Verdana" w:hAnsi="Verdana" w:cs="Arial"/>
          <w:b/>
          <w:color w:val="232120"/>
          <w:sz w:val="30"/>
          <w:szCs w:val="30"/>
        </w:rPr>
        <w:t>September</w:t>
      </w:r>
      <w:r w:rsidR="00A51142" w:rsidRPr="00331C61">
        <w:rPr>
          <w:rFonts w:ascii="Verdana" w:hAnsi="Verdana" w:cs="Arial"/>
          <w:b/>
          <w:color w:val="232120"/>
          <w:sz w:val="30"/>
          <w:szCs w:val="30"/>
        </w:rPr>
        <w:t xml:space="preserve"> </w:t>
      </w:r>
      <w:r w:rsidR="00526F6B">
        <w:rPr>
          <w:rFonts w:ascii="Verdana" w:hAnsi="Verdana" w:cs="Arial"/>
          <w:b/>
          <w:color w:val="232120"/>
          <w:sz w:val="30"/>
          <w:szCs w:val="30"/>
        </w:rPr>
        <w:t>202</w:t>
      </w:r>
      <w:r w:rsidR="00224F02">
        <w:rPr>
          <w:rFonts w:ascii="Verdana" w:hAnsi="Verdana" w:cs="Arial"/>
          <w:b/>
          <w:color w:val="232120"/>
          <w:sz w:val="30"/>
          <w:szCs w:val="30"/>
        </w:rPr>
        <w:t>3</w:t>
      </w:r>
    </w:p>
    <w:p w14:paraId="248C3DE5" w14:textId="77777777" w:rsidR="00046705" w:rsidRPr="00331C61" w:rsidRDefault="00046705" w:rsidP="00B36C6A">
      <w:pPr>
        <w:spacing w:line="276" w:lineRule="auto"/>
        <w:jc w:val="center"/>
        <w:rPr>
          <w:rFonts w:ascii="Verdana" w:hAnsi="Verdana" w:cs="Arial"/>
          <w:b/>
          <w:color w:val="232120"/>
          <w:sz w:val="28"/>
          <w:szCs w:val="28"/>
        </w:rPr>
      </w:pPr>
    </w:p>
    <w:p w14:paraId="332F524F" w14:textId="77777777" w:rsidR="00046705" w:rsidRPr="00331C61" w:rsidRDefault="00046705" w:rsidP="00B36C6A">
      <w:pPr>
        <w:spacing w:line="276" w:lineRule="auto"/>
        <w:jc w:val="center"/>
        <w:rPr>
          <w:rFonts w:ascii="Verdana" w:hAnsi="Verdana" w:cs="Arial"/>
          <w:b/>
          <w:color w:val="232120"/>
          <w:sz w:val="28"/>
          <w:szCs w:val="28"/>
        </w:rPr>
      </w:pPr>
    </w:p>
    <w:p w14:paraId="39756B8E" w14:textId="77777777" w:rsidR="00EA12CE" w:rsidRPr="00331C61" w:rsidRDefault="00EA12CE" w:rsidP="00B36C6A">
      <w:pPr>
        <w:pStyle w:val="Default"/>
        <w:spacing w:line="276" w:lineRule="auto"/>
        <w:jc w:val="center"/>
        <w:rPr>
          <w:rFonts w:cs="Arial"/>
          <w:b/>
          <w:color w:val="232120"/>
          <w:sz w:val="28"/>
          <w:szCs w:val="28"/>
          <w:lang w:val="en-GB"/>
        </w:rPr>
      </w:pPr>
    </w:p>
    <w:p w14:paraId="68ABEBAB" w14:textId="77777777" w:rsidR="003B7D0E" w:rsidRPr="00331C61" w:rsidRDefault="003B7D0E" w:rsidP="00B36C6A">
      <w:pPr>
        <w:pStyle w:val="Default"/>
        <w:spacing w:line="276" w:lineRule="auto"/>
        <w:jc w:val="center"/>
        <w:rPr>
          <w:rFonts w:cs="Arial"/>
          <w:b/>
          <w:color w:val="232120"/>
          <w:sz w:val="36"/>
          <w:szCs w:val="36"/>
        </w:rPr>
      </w:pPr>
    </w:p>
    <w:p w14:paraId="2153C7BF" w14:textId="77777777" w:rsidR="0096459E" w:rsidRPr="00331C61" w:rsidRDefault="0096459E" w:rsidP="002B0CBE">
      <w:pPr>
        <w:pStyle w:val="Default"/>
        <w:spacing w:line="276" w:lineRule="auto"/>
        <w:rPr>
          <w:rFonts w:cs="Arial"/>
          <w:b/>
          <w:color w:val="232120"/>
          <w:sz w:val="36"/>
          <w:szCs w:val="36"/>
        </w:rPr>
      </w:pPr>
    </w:p>
    <w:p w14:paraId="12721C2A" w14:textId="77777777" w:rsidR="002B0CBE" w:rsidRDefault="002B0CBE" w:rsidP="002B0CBE">
      <w:pPr>
        <w:pStyle w:val="Default"/>
        <w:spacing w:line="276" w:lineRule="auto"/>
        <w:rPr>
          <w:rFonts w:cs="Arial"/>
          <w:b/>
          <w:color w:val="232120"/>
          <w:sz w:val="36"/>
          <w:szCs w:val="36"/>
        </w:rPr>
      </w:pPr>
    </w:p>
    <w:p w14:paraId="5FB9CEF8" w14:textId="77777777" w:rsidR="002B0CBE" w:rsidRDefault="002B0CBE" w:rsidP="002B0CBE">
      <w:pPr>
        <w:pStyle w:val="Default"/>
        <w:spacing w:line="276" w:lineRule="auto"/>
        <w:rPr>
          <w:rFonts w:cs="Arial"/>
          <w:b/>
          <w:color w:val="232120"/>
          <w:sz w:val="36"/>
          <w:szCs w:val="36"/>
        </w:rPr>
      </w:pPr>
    </w:p>
    <w:p w14:paraId="735B99C0" w14:textId="77777777" w:rsidR="002B0CBE" w:rsidRPr="00331C61" w:rsidRDefault="002B0CBE" w:rsidP="002B0CBE">
      <w:pPr>
        <w:pStyle w:val="Default"/>
        <w:spacing w:line="276" w:lineRule="auto"/>
        <w:rPr>
          <w:rFonts w:cs="Arial"/>
          <w:b/>
          <w:color w:val="232120"/>
          <w:sz w:val="36"/>
          <w:szCs w:val="36"/>
        </w:rPr>
      </w:pPr>
    </w:p>
    <w:p w14:paraId="26229D91" w14:textId="77777777" w:rsidR="003B7D0E" w:rsidRPr="00331C61" w:rsidRDefault="003B7D0E" w:rsidP="00B36C6A">
      <w:pPr>
        <w:pStyle w:val="Default"/>
        <w:spacing w:line="276" w:lineRule="auto"/>
        <w:jc w:val="center"/>
        <w:rPr>
          <w:rFonts w:cs="Arial"/>
          <w:b/>
          <w:color w:val="232120"/>
          <w:sz w:val="36"/>
          <w:szCs w:val="36"/>
        </w:rPr>
      </w:pPr>
    </w:p>
    <w:p w14:paraId="1903797A" w14:textId="2F9BED55" w:rsidR="00EA12CE" w:rsidRDefault="00EA12CE" w:rsidP="00B36C6A">
      <w:pPr>
        <w:pStyle w:val="Default"/>
        <w:spacing w:line="276" w:lineRule="auto"/>
        <w:rPr>
          <w:rFonts w:cs="Arial"/>
          <w:b/>
          <w:color w:val="77328A"/>
          <w:sz w:val="36"/>
          <w:szCs w:val="36"/>
        </w:rPr>
      </w:pPr>
      <w:r w:rsidRPr="005F2D13">
        <w:rPr>
          <w:rFonts w:cs="Arial"/>
          <w:b/>
          <w:color w:val="77328A"/>
          <w:sz w:val="36"/>
          <w:szCs w:val="36"/>
        </w:rPr>
        <w:lastRenderedPageBreak/>
        <w:t>Table of Contents</w:t>
      </w:r>
    </w:p>
    <w:p w14:paraId="025A43FC" w14:textId="77777777" w:rsidR="002B0CBE" w:rsidRPr="005F2D13" w:rsidRDefault="002B0CBE" w:rsidP="00B36C6A">
      <w:pPr>
        <w:pStyle w:val="Default"/>
        <w:spacing w:line="276" w:lineRule="auto"/>
        <w:rPr>
          <w:rFonts w:cs="Arial"/>
          <w:b/>
          <w:color w:val="3C3C3B"/>
          <w:sz w:val="36"/>
          <w:szCs w:val="36"/>
        </w:rPr>
      </w:pPr>
    </w:p>
    <w:sdt>
      <w:sdtPr>
        <w:rPr>
          <w:rFonts w:ascii="Verdana" w:eastAsiaTheme="minorEastAsia" w:hAnsi="Verdana" w:cstheme="minorBidi"/>
          <w:color w:val="auto"/>
          <w:sz w:val="24"/>
          <w:szCs w:val="24"/>
          <w:lang w:val="en-GB"/>
        </w:rPr>
        <w:id w:val="-1910383136"/>
        <w:docPartObj>
          <w:docPartGallery w:val="Table of Contents"/>
          <w:docPartUnique/>
        </w:docPartObj>
      </w:sdtPr>
      <w:sdtEndPr>
        <w:rPr>
          <w:rFonts w:asciiTheme="minorHAnsi" w:hAnsiTheme="minorHAnsi"/>
          <w:b/>
          <w:bCs/>
          <w:noProof/>
        </w:rPr>
      </w:sdtEndPr>
      <w:sdtContent>
        <w:p w14:paraId="5C26614D" w14:textId="1A0979A7" w:rsidR="00750CF6" w:rsidRPr="005F2D13" w:rsidRDefault="00750CF6" w:rsidP="00B36C6A">
          <w:pPr>
            <w:pStyle w:val="TOCHeading"/>
            <w:spacing w:before="0" w:line="276" w:lineRule="auto"/>
            <w:rPr>
              <w:rFonts w:ascii="Verdana" w:hAnsi="Verdana"/>
              <w:sz w:val="2"/>
              <w:szCs w:val="2"/>
            </w:rPr>
          </w:pPr>
        </w:p>
        <w:p w14:paraId="62584DDD" w14:textId="177A938E" w:rsidR="00012262" w:rsidRPr="00012262" w:rsidRDefault="00750CF6" w:rsidP="00B36C6A">
          <w:pPr>
            <w:pStyle w:val="TOC1"/>
            <w:spacing w:line="276" w:lineRule="auto"/>
            <w:rPr>
              <w:noProof/>
              <w:sz w:val="22"/>
              <w:szCs w:val="22"/>
              <w:lang w:eastAsia="en-GB"/>
            </w:rPr>
          </w:pPr>
          <w:r w:rsidRPr="005F2D13">
            <w:fldChar w:fldCharType="begin"/>
          </w:r>
          <w:r w:rsidRPr="005F2D13">
            <w:instrText xml:space="preserve"> TOC \o "1-3" \h \z \u </w:instrText>
          </w:r>
          <w:r w:rsidRPr="005F2D13">
            <w:fldChar w:fldCharType="separate"/>
          </w:r>
          <w:hyperlink w:anchor="_Toc104983337" w:history="1">
            <w:r w:rsidR="00012262" w:rsidRPr="00012262">
              <w:rPr>
                <w:rStyle w:val="Hyperlink"/>
                <w:rFonts w:ascii="Verdana" w:eastAsiaTheme="majorEastAsia" w:hAnsi="Verdana" w:cstheme="majorBidi"/>
                <w:b/>
                <w:bCs/>
                <w:noProof/>
              </w:rPr>
              <w:t>1.0 Introduction</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_Toc104983337 \h </w:instrText>
            </w:r>
            <w:r w:rsidR="00012262" w:rsidRPr="00012262">
              <w:rPr>
                <w:noProof/>
                <w:webHidden/>
              </w:rPr>
            </w:r>
            <w:r w:rsidR="00012262" w:rsidRPr="00012262">
              <w:rPr>
                <w:noProof/>
                <w:webHidden/>
              </w:rPr>
              <w:fldChar w:fldCharType="separate"/>
            </w:r>
            <w:r w:rsidR="0022033E">
              <w:rPr>
                <w:noProof/>
                <w:webHidden/>
              </w:rPr>
              <w:t>3</w:t>
            </w:r>
            <w:r w:rsidR="00012262" w:rsidRPr="00012262">
              <w:rPr>
                <w:noProof/>
                <w:webHidden/>
              </w:rPr>
              <w:fldChar w:fldCharType="end"/>
            </w:r>
          </w:hyperlink>
        </w:p>
        <w:p w14:paraId="70B00CD8" w14:textId="415311BB" w:rsidR="00012262" w:rsidRPr="00012262" w:rsidRDefault="00000000" w:rsidP="00B36C6A">
          <w:pPr>
            <w:pStyle w:val="TOC1"/>
            <w:spacing w:line="276" w:lineRule="auto"/>
            <w:rPr>
              <w:noProof/>
              <w:sz w:val="22"/>
              <w:szCs w:val="22"/>
              <w:lang w:eastAsia="en-GB"/>
            </w:rPr>
          </w:pPr>
          <w:hyperlink w:anchor="_Toc104983338" w:history="1">
            <w:r w:rsidR="00012262" w:rsidRPr="00012262">
              <w:rPr>
                <w:rStyle w:val="Hyperlink"/>
                <w:rFonts w:ascii="Verdana" w:eastAsiaTheme="majorEastAsia" w:hAnsi="Verdana" w:cstheme="majorBidi"/>
                <w:b/>
                <w:bCs/>
                <w:noProof/>
              </w:rPr>
              <w:t>2.0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Context</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_Toc104983338 \h </w:instrText>
            </w:r>
            <w:r w:rsidR="00012262" w:rsidRPr="00012262">
              <w:rPr>
                <w:noProof/>
                <w:webHidden/>
              </w:rPr>
            </w:r>
            <w:r w:rsidR="00012262" w:rsidRPr="00012262">
              <w:rPr>
                <w:noProof/>
                <w:webHidden/>
              </w:rPr>
              <w:fldChar w:fldCharType="separate"/>
            </w:r>
            <w:r w:rsidR="0022033E">
              <w:rPr>
                <w:noProof/>
                <w:webHidden/>
              </w:rPr>
              <w:t>4</w:t>
            </w:r>
            <w:r w:rsidR="00012262" w:rsidRPr="00012262">
              <w:rPr>
                <w:noProof/>
                <w:webHidden/>
              </w:rPr>
              <w:fldChar w:fldCharType="end"/>
            </w:r>
          </w:hyperlink>
        </w:p>
        <w:p w14:paraId="2CE9BA73" w14:textId="54509737" w:rsidR="00012262" w:rsidRPr="00012262" w:rsidRDefault="00000000" w:rsidP="00B36C6A">
          <w:pPr>
            <w:pStyle w:val="TOC1"/>
            <w:spacing w:line="276" w:lineRule="auto"/>
            <w:rPr>
              <w:noProof/>
              <w:sz w:val="22"/>
              <w:szCs w:val="22"/>
              <w:lang w:eastAsia="en-GB"/>
            </w:rPr>
          </w:pPr>
          <w:hyperlink w:anchor="_Toc104983339" w:history="1">
            <w:r w:rsidR="00012262" w:rsidRPr="00012262">
              <w:rPr>
                <w:rStyle w:val="Hyperlink"/>
                <w:rFonts w:ascii="Verdana" w:eastAsiaTheme="majorEastAsia" w:hAnsi="Verdana" w:cstheme="majorBidi"/>
                <w:b/>
                <w:bCs/>
                <w:noProof/>
              </w:rPr>
              <w:t>3.0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Common Travel Area Entitlements</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_Toc104983339 \h </w:instrText>
            </w:r>
            <w:r w:rsidR="00012262" w:rsidRPr="00012262">
              <w:rPr>
                <w:noProof/>
                <w:webHidden/>
              </w:rPr>
            </w:r>
            <w:r w:rsidR="00012262" w:rsidRPr="00012262">
              <w:rPr>
                <w:noProof/>
                <w:webHidden/>
              </w:rPr>
              <w:fldChar w:fldCharType="separate"/>
            </w:r>
            <w:r w:rsidR="0022033E">
              <w:rPr>
                <w:noProof/>
                <w:webHidden/>
              </w:rPr>
              <w:t>6</w:t>
            </w:r>
            <w:r w:rsidR="00012262" w:rsidRPr="00012262">
              <w:rPr>
                <w:noProof/>
                <w:webHidden/>
              </w:rPr>
              <w:fldChar w:fldCharType="end"/>
            </w:r>
          </w:hyperlink>
        </w:p>
        <w:p w14:paraId="1DA28A8C" w14:textId="72626D08" w:rsidR="00012262" w:rsidRPr="00012262" w:rsidRDefault="00000000" w:rsidP="00B36C6A">
          <w:pPr>
            <w:pStyle w:val="TOC1"/>
            <w:spacing w:line="276" w:lineRule="auto"/>
            <w:rPr>
              <w:noProof/>
              <w:sz w:val="22"/>
              <w:szCs w:val="22"/>
              <w:lang w:eastAsia="en-GB"/>
            </w:rPr>
          </w:pPr>
          <w:hyperlink w:anchor="_Toc104983340" w:history="1">
            <w:r w:rsidR="00012262" w:rsidRPr="00012262">
              <w:rPr>
                <w:rStyle w:val="Hyperlink"/>
                <w:rFonts w:ascii="Verdana" w:eastAsiaTheme="majorEastAsia" w:hAnsi="Verdana" w:cstheme="majorBidi"/>
                <w:b/>
                <w:bCs/>
                <w:noProof/>
              </w:rPr>
              <w:t>4.0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Frontier Workers</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_Toc104983340 \h </w:instrText>
            </w:r>
            <w:r w:rsidR="00012262" w:rsidRPr="00012262">
              <w:rPr>
                <w:noProof/>
                <w:webHidden/>
              </w:rPr>
            </w:r>
            <w:r w:rsidR="00012262" w:rsidRPr="00012262">
              <w:rPr>
                <w:noProof/>
                <w:webHidden/>
              </w:rPr>
              <w:fldChar w:fldCharType="separate"/>
            </w:r>
            <w:r w:rsidR="0022033E">
              <w:rPr>
                <w:noProof/>
                <w:webHidden/>
              </w:rPr>
              <w:t>7</w:t>
            </w:r>
            <w:r w:rsidR="00012262" w:rsidRPr="00012262">
              <w:rPr>
                <w:noProof/>
                <w:webHidden/>
              </w:rPr>
              <w:fldChar w:fldCharType="end"/>
            </w:r>
          </w:hyperlink>
        </w:p>
        <w:p w14:paraId="7FA9DC3F" w14:textId="558F56E2" w:rsidR="00012262" w:rsidRPr="00012262" w:rsidRDefault="00000000" w:rsidP="00B36C6A">
          <w:pPr>
            <w:pStyle w:val="TOC1"/>
            <w:spacing w:line="276" w:lineRule="auto"/>
            <w:rPr>
              <w:noProof/>
              <w:sz w:val="22"/>
              <w:szCs w:val="22"/>
              <w:lang w:eastAsia="en-GB"/>
            </w:rPr>
          </w:pPr>
          <w:hyperlink w:anchor="_Toc104983341" w:history="1">
            <w:r w:rsidR="00012262" w:rsidRPr="00012262">
              <w:rPr>
                <w:rStyle w:val="Hyperlink"/>
                <w:rFonts w:ascii="Verdana" w:eastAsiaTheme="majorEastAsia" w:hAnsi="Verdana" w:cstheme="majorBidi"/>
                <w:b/>
                <w:bCs/>
                <w:noProof/>
              </w:rPr>
              <w:t>5.0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Access to Cross-Border and All-Island Facilities</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_Toc104983341 \h </w:instrText>
            </w:r>
            <w:r w:rsidR="00012262" w:rsidRPr="00012262">
              <w:rPr>
                <w:noProof/>
                <w:webHidden/>
              </w:rPr>
            </w:r>
            <w:r w:rsidR="00012262" w:rsidRPr="00012262">
              <w:rPr>
                <w:noProof/>
                <w:webHidden/>
              </w:rPr>
              <w:fldChar w:fldCharType="separate"/>
            </w:r>
            <w:r w:rsidR="0022033E">
              <w:rPr>
                <w:noProof/>
                <w:webHidden/>
              </w:rPr>
              <w:t>9</w:t>
            </w:r>
            <w:r w:rsidR="00012262" w:rsidRPr="00012262">
              <w:rPr>
                <w:noProof/>
                <w:webHidden/>
              </w:rPr>
              <w:fldChar w:fldCharType="end"/>
            </w:r>
          </w:hyperlink>
        </w:p>
        <w:p w14:paraId="3273505A" w14:textId="1675780B" w:rsidR="00012262" w:rsidRPr="00012262" w:rsidRDefault="00000000" w:rsidP="00B36C6A">
          <w:pPr>
            <w:pStyle w:val="TOC1"/>
            <w:spacing w:line="276" w:lineRule="auto"/>
            <w:rPr>
              <w:noProof/>
              <w:sz w:val="22"/>
              <w:szCs w:val="22"/>
              <w:lang w:eastAsia="en-GB"/>
            </w:rPr>
          </w:pPr>
          <w:hyperlink w:anchor="_Toc104983342" w:history="1">
            <w:r w:rsidR="00012262" w:rsidRPr="00012262">
              <w:rPr>
                <w:rStyle w:val="Hyperlink"/>
                <w:rFonts w:ascii="Verdana" w:eastAsiaTheme="majorEastAsia" w:hAnsi="Verdana" w:cstheme="majorBidi"/>
                <w:b/>
                <w:bCs/>
                <w:noProof/>
              </w:rPr>
              <w:t>6.0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Access to Non-Emergency Healthcare for Non-Resident Vulnerable Groups</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_Toc104983342 \h </w:instrText>
            </w:r>
            <w:r w:rsidR="00012262" w:rsidRPr="00012262">
              <w:rPr>
                <w:noProof/>
                <w:webHidden/>
              </w:rPr>
            </w:r>
            <w:r w:rsidR="00012262" w:rsidRPr="00012262">
              <w:rPr>
                <w:noProof/>
                <w:webHidden/>
              </w:rPr>
              <w:fldChar w:fldCharType="separate"/>
            </w:r>
            <w:r w:rsidR="0022033E">
              <w:rPr>
                <w:noProof/>
                <w:webHidden/>
              </w:rPr>
              <w:t>10</w:t>
            </w:r>
            <w:r w:rsidR="00012262" w:rsidRPr="00012262">
              <w:rPr>
                <w:noProof/>
                <w:webHidden/>
              </w:rPr>
              <w:fldChar w:fldCharType="end"/>
            </w:r>
          </w:hyperlink>
        </w:p>
        <w:p w14:paraId="0CDE6317" w14:textId="73CEC718" w:rsidR="00012262" w:rsidRPr="00012262" w:rsidRDefault="00000000" w:rsidP="00B36C6A">
          <w:pPr>
            <w:pStyle w:val="TOC1"/>
            <w:spacing w:line="276" w:lineRule="auto"/>
            <w:rPr>
              <w:noProof/>
              <w:sz w:val="22"/>
              <w:szCs w:val="22"/>
              <w:lang w:eastAsia="en-GB"/>
            </w:rPr>
          </w:pPr>
          <w:hyperlink w:anchor="_Toc104983343" w:history="1">
            <w:r w:rsidR="00012262" w:rsidRPr="00012262">
              <w:rPr>
                <w:rStyle w:val="Hyperlink"/>
                <w:rFonts w:ascii="Verdana" w:eastAsiaTheme="majorEastAsia" w:hAnsi="Verdana" w:cstheme="majorBidi"/>
                <w:b/>
                <w:bCs/>
                <w:noProof/>
              </w:rPr>
              <w:t>7.0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Access to knowledge</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_Toc104983343 \h </w:instrText>
            </w:r>
            <w:r w:rsidR="00012262" w:rsidRPr="00012262">
              <w:rPr>
                <w:noProof/>
                <w:webHidden/>
              </w:rPr>
            </w:r>
            <w:r w:rsidR="00012262" w:rsidRPr="00012262">
              <w:rPr>
                <w:noProof/>
                <w:webHidden/>
              </w:rPr>
              <w:fldChar w:fldCharType="separate"/>
            </w:r>
            <w:r w:rsidR="0022033E">
              <w:rPr>
                <w:noProof/>
                <w:webHidden/>
              </w:rPr>
              <w:t>14</w:t>
            </w:r>
            <w:r w:rsidR="00012262" w:rsidRPr="00012262">
              <w:rPr>
                <w:noProof/>
                <w:webHidden/>
              </w:rPr>
              <w:fldChar w:fldCharType="end"/>
            </w:r>
          </w:hyperlink>
        </w:p>
        <w:p w14:paraId="4A8C2D64" w14:textId="725DD0E6" w:rsidR="00012262" w:rsidRPr="00012262" w:rsidRDefault="00000000" w:rsidP="00B36C6A">
          <w:pPr>
            <w:pStyle w:val="TOC1"/>
            <w:spacing w:line="276" w:lineRule="auto"/>
            <w:rPr>
              <w:noProof/>
              <w:sz w:val="22"/>
              <w:szCs w:val="22"/>
              <w:lang w:eastAsia="en-GB"/>
            </w:rPr>
          </w:pPr>
          <w:hyperlink w:anchor="_Toc104983344" w:history="1">
            <w:r w:rsidR="00012262" w:rsidRPr="00012262">
              <w:rPr>
                <w:rStyle w:val="Hyperlink"/>
                <w:rFonts w:ascii="Verdana" w:eastAsiaTheme="majorEastAsia" w:hAnsi="Verdana" w:cstheme="majorBidi"/>
                <w:b/>
                <w:bCs/>
                <w:noProof/>
              </w:rPr>
              <w:t>8.0</w:t>
            </w:r>
            <w:r w:rsidR="00012262" w:rsidRPr="00012262">
              <w:rPr>
                <w:noProof/>
                <w:sz w:val="22"/>
                <w:szCs w:val="22"/>
                <w:lang w:eastAsia="en-GB"/>
              </w:rPr>
              <w:tab/>
            </w:r>
            <w:r w:rsidR="00012262" w:rsidRPr="00012262">
              <w:rPr>
                <w:rStyle w:val="Hyperlink"/>
                <w:rFonts w:ascii="Verdana" w:eastAsiaTheme="majorEastAsia" w:hAnsi="Verdana" w:cstheme="majorBidi"/>
                <w:b/>
                <w:bCs/>
                <w:noProof/>
              </w:rPr>
              <w:t>Conclusion</w:t>
            </w:r>
            <w:r w:rsidR="00012262" w:rsidRPr="00012262">
              <w:rPr>
                <w:noProof/>
                <w:webHidden/>
              </w:rPr>
              <w:tab/>
            </w:r>
            <w:r w:rsidR="00012262" w:rsidRPr="00012262">
              <w:rPr>
                <w:noProof/>
                <w:webHidden/>
              </w:rPr>
              <w:fldChar w:fldCharType="begin"/>
            </w:r>
            <w:r w:rsidR="00012262" w:rsidRPr="00012262">
              <w:rPr>
                <w:noProof/>
                <w:webHidden/>
              </w:rPr>
              <w:instrText xml:space="preserve"> PAGEREF _Toc104983344 \h </w:instrText>
            </w:r>
            <w:r w:rsidR="00012262" w:rsidRPr="00012262">
              <w:rPr>
                <w:noProof/>
                <w:webHidden/>
              </w:rPr>
            </w:r>
            <w:r w:rsidR="00012262" w:rsidRPr="00012262">
              <w:rPr>
                <w:noProof/>
                <w:webHidden/>
              </w:rPr>
              <w:fldChar w:fldCharType="separate"/>
            </w:r>
            <w:r w:rsidR="0022033E">
              <w:rPr>
                <w:noProof/>
                <w:webHidden/>
              </w:rPr>
              <w:t>17</w:t>
            </w:r>
            <w:r w:rsidR="00012262" w:rsidRPr="00012262">
              <w:rPr>
                <w:noProof/>
                <w:webHidden/>
              </w:rPr>
              <w:fldChar w:fldCharType="end"/>
            </w:r>
          </w:hyperlink>
        </w:p>
        <w:p w14:paraId="476FB651" w14:textId="7EB62C77" w:rsidR="00750CF6" w:rsidRDefault="00750CF6" w:rsidP="00B36C6A">
          <w:pPr>
            <w:spacing w:line="276" w:lineRule="auto"/>
          </w:pPr>
          <w:r w:rsidRPr="005F2D13">
            <w:rPr>
              <w:rFonts w:ascii="Verdana" w:hAnsi="Verdana"/>
              <w:b/>
              <w:bCs/>
              <w:noProof/>
            </w:rPr>
            <w:fldChar w:fldCharType="end"/>
          </w:r>
        </w:p>
      </w:sdtContent>
    </w:sdt>
    <w:p w14:paraId="035B1C33" w14:textId="77777777" w:rsidR="001E79A9" w:rsidRPr="00331C61" w:rsidRDefault="001E79A9" w:rsidP="00B36C6A">
      <w:pPr>
        <w:pStyle w:val="Default"/>
        <w:spacing w:line="276" w:lineRule="auto"/>
        <w:rPr>
          <w:rFonts w:cs="Arial"/>
          <w:b/>
          <w:color w:val="232120"/>
        </w:rPr>
      </w:pPr>
    </w:p>
    <w:p w14:paraId="59557BD6" w14:textId="77777777" w:rsidR="00EA12CE" w:rsidRPr="00331C61" w:rsidRDefault="00EA12CE" w:rsidP="00B36C6A">
      <w:pPr>
        <w:pStyle w:val="Default"/>
        <w:spacing w:line="276" w:lineRule="auto"/>
        <w:rPr>
          <w:rFonts w:cs="Arial"/>
          <w:b/>
          <w:color w:val="232120"/>
        </w:rPr>
      </w:pPr>
    </w:p>
    <w:p w14:paraId="3F7C9A22" w14:textId="77777777" w:rsidR="00EA12CE" w:rsidRPr="00331C61" w:rsidRDefault="00EA12CE" w:rsidP="00B36C6A">
      <w:pPr>
        <w:pStyle w:val="Default"/>
        <w:spacing w:line="276" w:lineRule="auto"/>
        <w:rPr>
          <w:rFonts w:cs="Arial"/>
          <w:b/>
          <w:color w:val="232120"/>
        </w:rPr>
      </w:pPr>
    </w:p>
    <w:p w14:paraId="2A31D894" w14:textId="77777777" w:rsidR="00EA12CE" w:rsidRPr="00331C61" w:rsidRDefault="00EA12CE" w:rsidP="00B36C6A">
      <w:pPr>
        <w:pStyle w:val="Default"/>
        <w:spacing w:line="276" w:lineRule="auto"/>
        <w:rPr>
          <w:rFonts w:cs="Arial"/>
          <w:b/>
          <w:color w:val="232120"/>
        </w:rPr>
      </w:pPr>
    </w:p>
    <w:p w14:paraId="554E7184" w14:textId="77777777" w:rsidR="00EA12CE" w:rsidRPr="00331C61" w:rsidRDefault="00EA12CE" w:rsidP="00B36C6A">
      <w:pPr>
        <w:pStyle w:val="Default"/>
        <w:spacing w:line="276" w:lineRule="auto"/>
        <w:rPr>
          <w:rFonts w:cs="Arial"/>
          <w:b/>
          <w:color w:val="232120"/>
        </w:rPr>
      </w:pPr>
    </w:p>
    <w:p w14:paraId="3D65C74B" w14:textId="77777777" w:rsidR="00EA12CE" w:rsidRPr="00331C61" w:rsidRDefault="00EA12CE" w:rsidP="00B36C6A">
      <w:pPr>
        <w:pStyle w:val="Default"/>
        <w:spacing w:line="276" w:lineRule="auto"/>
        <w:rPr>
          <w:rFonts w:cs="Arial"/>
          <w:b/>
          <w:color w:val="232120"/>
        </w:rPr>
      </w:pPr>
    </w:p>
    <w:p w14:paraId="049B6922" w14:textId="77777777" w:rsidR="00EA12CE" w:rsidRPr="00331C61" w:rsidRDefault="00EA12CE" w:rsidP="00B36C6A">
      <w:pPr>
        <w:pStyle w:val="Default"/>
        <w:spacing w:line="276" w:lineRule="auto"/>
        <w:rPr>
          <w:rFonts w:cs="Arial"/>
          <w:b/>
          <w:color w:val="232120"/>
        </w:rPr>
      </w:pPr>
    </w:p>
    <w:p w14:paraId="591CEB82" w14:textId="77777777" w:rsidR="00EA12CE" w:rsidRPr="00331C61" w:rsidRDefault="00EA12CE" w:rsidP="00B36C6A">
      <w:pPr>
        <w:pStyle w:val="Default"/>
        <w:spacing w:line="276" w:lineRule="auto"/>
        <w:rPr>
          <w:rFonts w:cs="Arial"/>
          <w:b/>
          <w:color w:val="232120"/>
        </w:rPr>
      </w:pPr>
    </w:p>
    <w:p w14:paraId="4583AFDF" w14:textId="77777777" w:rsidR="00EA12CE" w:rsidRPr="00331C61" w:rsidRDefault="00EA12CE" w:rsidP="00B36C6A">
      <w:pPr>
        <w:pStyle w:val="Default"/>
        <w:spacing w:line="276" w:lineRule="auto"/>
        <w:rPr>
          <w:rFonts w:cs="Arial"/>
          <w:b/>
          <w:color w:val="232120"/>
        </w:rPr>
      </w:pPr>
    </w:p>
    <w:p w14:paraId="67FEC916" w14:textId="77777777" w:rsidR="00EA12CE" w:rsidRPr="00331C61" w:rsidRDefault="00EA12CE" w:rsidP="00B36C6A">
      <w:pPr>
        <w:pStyle w:val="Default"/>
        <w:spacing w:line="276" w:lineRule="auto"/>
        <w:rPr>
          <w:rFonts w:cs="Arial"/>
          <w:b/>
          <w:color w:val="232120"/>
        </w:rPr>
      </w:pPr>
    </w:p>
    <w:p w14:paraId="34755158" w14:textId="77777777" w:rsidR="00EA12CE" w:rsidRPr="00331C61" w:rsidRDefault="00EA12CE" w:rsidP="00B36C6A">
      <w:pPr>
        <w:pStyle w:val="Default"/>
        <w:spacing w:line="276" w:lineRule="auto"/>
        <w:rPr>
          <w:rFonts w:cs="Arial"/>
          <w:b/>
          <w:color w:val="232120"/>
        </w:rPr>
      </w:pPr>
    </w:p>
    <w:p w14:paraId="13BE7C95" w14:textId="77777777" w:rsidR="00EA12CE" w:rsidRPr="00331C61" w:rsidRDefault="00EA12CE" w:rsidP="00B36C6A">
      <w:pPr>
        <w:pStyle w:val="Default"/>
        <w:spacing w:line="276" w:lineRule="auto"/>
        <w:rPr>
          <w:rFonts w:cs="Arial"/>
          <w:b/>
          <w:color w:val="232120"/>
        </w:rPr>
      </w:pPr>
    </w:p>
    <w:p w14:paraId="0DBE0AEB" w14:textId="77777777" w:rsidR="00EA12CE" w:rsidRPr="00331C61" w:rsidRDefault="00EA12CE" w:rsidP="00B36C6A">
      <w:pPr>
        <w:pStyle w:val="Default"/>
        <w:spacing w:line="276" w:lineRule="auto"/>
        <w:rPr>
          <w:rFonts w:cs="Arial"/>
          <w:b/>
          <w:color w:val="232120"/>
        </w:rPr>
      </w:pPr>
    </w:p>
    <w:p w14:paraId="4EB581FB" w14:textId="77777777" w:rsidR="00EA12CE" w:rsidRPr="00331C61" w:rsidRDefault="00EA12CE" w:rsidP="00B36C6A">
      <w:pPr>
        <w:pStyle w:val="Default"/>
        <w:spacing w:line="276" w:lineRule="auto"/>
        <w:rPr>
          <w:rFonts w:cs="Arial"/>
          <w:b/>
          <w:color w:val="232120"/>
        </w:rPr>
      </w:pPr>
    </w:p>
    <w:p w14:paraId="24486542" w14:textId="77777777" w:rsidR="00EA12CE" w:rsidRPr="00331C61" w:rsidRDefault="00EA12CE" w:rsidP="00B36C6A">
      <w:pPr>
        <w:pStyle w:val="Default"/>
        <w:spacing w:line="276" w:lineRule="auto"/>
        <w:rPr>
          <w:rFonts w:cs="Arial"/>
          <w:b/>
          <w:color w:val="232120"/>
        </w:rPr>
      </w:pPr>
    </w:p>
    <w:p w14:paraId="08615E1C" w14:textId="77777777" w:rsidR="00EA12CE" w:rsidRPr="00331C61" w:rsidRDefault="00EA12CE" w:rsidP="00B36C6A">
      <w:pPr>
        <w:pStyle w:val="Default"/>
        <w:spacing w:line="276" w:lineRule="auto"/>
        <w:rPr>
          <w:rFonts w:cs="Arial"/>
          <w:b/>
          <w:color w:val="232120"/>
        </w:rPr>
      </w:pPr>
    </w:p>
    <w:p w14:paraId="1A641671" w14:textId="77777777" w:rsidR="00EA12CE" w:rsidRPr="00331C61" w:rsidRDefault="00EA12CE" w:rsidP="00B36C6A">
      <w:pPr>
        <w:pStyle w:val="Default"/>
        <w:spacing w:line="276" w:lineRule="auto"/>
        <w:rPr>
          <w:rFonts w:cs="Arial"/>
          <w:b/>
          <w:color w:val="232120"/>
        </w:rPr>
      </w:pPr>
    </w:p>
    <w:p w14:paraId="0CBD9E5B" w14:textId="77777777" w:rsidR="00EA12CE" w:rsidRPr="00331C61" w:rsidRDefault="00EA12CE" w:rsidP="00B36C6A">
      <w:pPr>
        <w:pStyle w:val="Default"/>
        <w:spacing w:line="276" w:lineRule="auto"/>
        <w:rPr>
          <w:rFonts w:cs="Arial"/>
          <w:b/>
          <w:color w:val="232120"/>
        </w:rPr>
      </w:pPr>
    </w:p>
    <w:p w14:paraId="6170D077" w14:textId="77777777" w:rsidR="00EA12CE" w:rsidRPr="00331C61" w:rsidRDefault="00EA12CE" w:rsidP="00B36C6A">
      <w:pPr>
        <w:pStyle w:val="Default"/>
        <w:spacing w:line="276" w:lineRule="auto"/>
        <w:rPr>
          <w:rFonts w:cs="Arial"/>
          <w:b/>
          <w:color w:val="232120"/>
        </w:rPr>
      </w:pPr>
    </w:p>
    <w:p w14:paraId="3FFA430B" w14:textId="576AA463" w:rsidR="00EA12CE" w:rsidRDefault="00EA12CE" w:rsidP="00B36C6A">
      <w:pPr>
        <w:pStyle w:val="Default"/>
        <w:spacing w:line="276" w:lineRule="auto"/>
        <w:rPr>
          <w:rFonts w:cs="Arial"/>
          <w:b/>
          <w:color w:val="232120"/>
        </w:rPr>
      </w:pPr>
    </w:p>
    <w:p w14:paraId="31313FFC" w14:textId="77777777" w:rsidR="00A05B48" w:rsidRPr="00331C61" w:rsidRDefault="00A05B48" w:rsidP="00B36C6A">
      <w:pPr>
        <w:pStyle w:val="Default"/>
        <w:spacing w:line="276" w:lineRule="auto"/>
        <w:rPr>
          <w:rFonts w:cs="Arial"/>
          <w:b/>
          <w:color w:val="232120"/>
        </w:rPr>
      </w:pPr>
    </w:p>
    <w:p w14:paraId="0EE24837" w14:textId="77777777" w:rsidR="004672AC" w:rsidRPr="00331C61" w:rsidRDefault="004672AC" w:rsidP="00B36C6A">
      <w:pPr>
        <w:pStyle w:val="Default"/>
        <w:spacing w:line="276" w:lineRule="auto"/>
        <w:rPr>
          <w:rFonts w:cs="Arial"/>
          <w:b/>
          <w:color w:val="232120"/>
        </w:rPr>
      </w:pPr>
    </w:p>
    <w:p w14:paraId="70AC1E7F" w14:textId="77777777" w:rsidR="002B0CBE" w:rsidRPr="00331C61" w:rsidRDefault="002B0CBE" w:rsidP="00B36C6A">
      <w:pPr>
        <w:pStyle w:val="Default"/>
        <w:spacing w:line="276" w:lineRule="auto"/>
        <w:rPr>
          <w:rFonts w:cs="Arial"/>
          <w:b/>
          <w:color w:val="232120"/>
        </w:rPr>
      </w:pPr>
    </w:p>
    <w:p w14:paraId="23CB0B69" w14:textId="3920D9EF" w:rsidR="00E76967" w:rsidRPr="00751E5B" w:rsidRDefault="00E76967" w:rsidP="00B36C6A">
      <w:pPr>
        <w:keepNext/>
        <w:keepLines/>
        <w:spacing w:before="240" w:line="276" w:lineRule="auto"/>
        <w:outlineLvl w:val="0"/>
        <w:rPr>
          <w:rFonts w:ascii="Verdana" w:eastAsiaTheme="majorEastAsia" w:hAnsi="Verdana" w:cstheme="majorBidi"/>
          <w:b/>
          <w:bCs/>
          <w:color w:val="77328A"/>
          <w:sz w:val="30"/>
          <w:szCs w:val="30"/>
        </w:rPr>
      </w:pPr>
      <w:bookmarkStart w:id="0" w:name="_Toc104983337"/>
      <w:bookmarkStart w:id="1" w:name="_Hlk103072154"/>
      <w:r>
        <w:rPr>
          <w:rFonts w:ascii="Verdana" w:eastAsiaTheme="majorEastAsia" w:hAnsi="Verdana" w:cstheme="majorBidi"/>
          <w:b/>
          <w:bCs/>
          <w:color w:val="77328A"/>
          <w:sz w:val="30"/>
          <w:szCs w:val="30"/>
        </w:rPr>
        <w:lastRenderedPageBreak/>
        <w:t>1.</w:t>
      </w:r>
      <w:r w:rsidRPr="00CD6DA8">
        <w:rPr>
          <w:rFonts w:ascii="Verdana" w:eastAsiaTheme="majorEastAsia" w:hAnsi="Verdana" w:cstheme="majorBidi"/>
          <w:b/>
          <w:color w:val="77328A"/>
          <w:sz w:val="30"/>
          <w:szCs w:val="30"/>
        </w:rPr>
        <w:t>0 Introduction</w:t>
      </w:r>
      <w:bookmarkEnd w:id="0"/>
    </w:p>
    <w:bookmarkEnd w:id="1"/>
    <w:p w14:paraId="36683330" w14:textId="77777777" w:rsidR="00B55402" w:rsidRDefault="00B55402" w:rsidP="00B36C6A">
      <w:pPr>
        <w:pStyle w:val="Default"/>
        <w:spacing w:line="276" w:lineRule="auto"/>
        <w:rPr>
          <w:rFonts w:cs="Arial"/>
          <w:color w:val="232120"/>
        </w:rPr>
      </w:pPr>
    </w:p>
    <w:p w14:paraId="524728C8" w14:textId="0EF45002" w:rsidR="00AE154A" w:rsidRPr="00AE154A" w:rsidRDefault="00481237" w:rsidP="00B36C6A">
      <w:pPr>
        <w:pStyle w:val="Default"/>
        <w:numPr>
          <w:ilvl w:val="1"/>
          <w:numId w:val="12"/>
        </w:numPr>
        <w:spacing w:line="276" w:lineRule="auto"/>
        <w:rPr>
          <w:rFonts w:cs="Arial"/>
          <w:color w:val="232120"/>
        </w:rPr>
      </w:pPr>
      <w:r w:rsidRPr="00DA606E">
        <w:t xml:space="preserve">The Northern Ireland Human Rights Commission (NIHRC) is one of three A-status National Human Rights Institutions in the United Kingdom (UK). Established in 1999, the NIHRC, pursuant to Section 69(1) of the Northern Ireland Act 1998, reviews the adequacy and effectiveness of law and practice relating to the protection of human rights in Northern Ireland (NI). The NIHRC’s mandate extends to all matters relating to the protection and promotion of human rights in NI. </w:t>
      </w:r>
    </w:p>
    <w:p w14:paraId="4DAE1DEA" w14:textId="77777777" w:rsidR="00AE154A" w:rsidRPr="00AE154A" w:rsidRDefault="00AE154A" w:rsidP="00B36C6A">
      <w:pPr>
        <w:pStyle w:val="Default"/>
        <w:spacing w:line="276" w:lineRule="auto"/>
        <w:ind w:left="786"/>
        <w:rPr>
          <w:rFonts w:cs="Arial"/>
          <w:color w:val="232120"/>
        </w:rPr>
      </w:pPr>
    </w:p>
    <w:p w14:paraId="44975BB1" w14:textId="00F4D7A4" w:rsidR="00AE154A" w:rsidRPr="000C7C9E" w:rsidRDefault="001D5DBD" w:rsidP="00B36C6A">
      <w:pPr>
        <w:pStyle w:val="Default"/>
        <w:numPr>
          <w:ilvl w:val="1"/>
          <w:numId w:val="12"/>
        </w:numPr>
        <w:spacing w:line="276" w:lineRule="auto"/>
        <w:rPr>
          <w:rFonts w:cs="Arial"/>
          <w:color w:val="232120"/>
        </w:rPr>
      </w:pPr>
      <w:r>
        <w:t>Under sections 78A-E of the</w:t>
      </w:r>
      <w:r w:rsidR="00A513F9">
        <w:t xml:space="preserve"> NI</w:t>
      </w:r>
      <w:r>
        <w:t xml:space="preserve"> Act, t</w:t>
      </w:r>
      <w:r w:rsidR="007A69CD" w:rsidRPr="00DA606E" w:rsidDel="00710D6F">
        <w:t xml:space="preserve">he NIHRC is also mandated, </w:t>
      </w:r>
      <w:r w:rsidR="007A69CD" w:rsidDel="00710D6F">
        <w:t>alongside the Equality Commission of NI</w:t>
      </w:r>
      <w:r w:rsidR="00482A81">
        <w:t>,</w:t>
      </w:r>
      <w:r w:rsidR="007A69CD" w:rsidRPr="00DA606E" w:rsidDel="00710D6F">
        <w:t xml:space="preserve"> to monitor the implementation of Article 2(1) of the </w:t>
      </w:r>
      <w:r w:rsidR="007A69CD" w:rsidRPr="00DA606E" w:rsidDel="004A130F">
        <w:t xml:space="preserve">Protocol on Ireland/NI of the </w:t>
      </w:r>
      <w:r w:rsidR="007A69CD" w:rsidDel="004A130F">
        <w:t>UK–</w:t>
      </w:r>
      <w:r w:rsidR="007A69CD" w:rsidRPr="00DA606E" w:rsidDel="004A130F">
        <w:t>European Union (EU) Withdrawal Agreement</w:t>
      </w:r>
      <w:r w:rsidR="007A69CD">
        <w:rPr>
          <w:rStyle w:val="FootnoteReference"/>
        </w:rPr>
        <w:footnoteReference w:id="2"/>
      </w:r>
      <w:r w:rsidR="007A69CD">
        <w:t xml:space="preserve"> (now Article 2 WF). </w:t>
      </w:r>
      <w:r w:rsidR="00710D6F">
        <w:t xml:space="preserve">Article 2 WF </w:t>
      </w:r>
      <w:r w:rsidR="00A513F9">
        <w:t xml:space="preserve">is a UK Government commitment </w:t>
      </w:r>
      <w:r w:rsidR="00710D6F">
        <w:t>to ensur</w:t>
      </w:r>
      <w:r w:rsidR="002724AD">
        <w:t>ing</w:t>
      </w:r>
      <w:r w:rsidR="00710D6F">
        <w:t xml:space="preserve"> there is no diminution of </w:t>
      </w:r>
      <w:r w:rsidR="00A94AC8">
        <w:t xml:space="preserve">the </w:t>
      </w:r>
      <w:r w:rsidR="00710D6F">
        <w:t>protect</w:t>
      </w:r>
      <w:r w:rsidR="00A94AC8">
        <w:t>ions</w:t>
      </w:r>
      <w:r w:rsidR="00710D6F">
        <w:t xml:space="preserve"> in the ‘Rights, Safeguards and Equality of Opportunity’ chapter of the Belfast (Good Friday) Agreement 1998 </w:t>
      </w:r>
      <w:proofErr w:type="gramStart"/>
      <w:r w:rsidR="00710D6F">
        <w:t>as a result of</w:t>
      </w:r>
      <w:proofErr w:type="gramEnd"/>
      <w:r w:rsidR="00710D6F">
        <w:t xml:space="preserve"> the UK’s withdrawal from the EU.</w:t>
      </w:r>
    </w:p>
    <w:p w14:paraId="10154B8F" w14:textId="77777777" w:rsidR="000C7C9E" w:rsidRDefault="000C7C9E" w:rsidP="00B36C6A">
      <w:pPr>
        <w:pStyle w:val="ListParagraph"/>
        <w:spacing w:line="276" w:lineRule="auto"/>
        <w:rPr>
          <w:rFonts w:cs="Arial"/>
          <w:color w:val="232120"/>
        </w:rPr>
      </w:pPr>
    </w:p>
    <w:p w14:paraId="393A63D9" w14:textId="7EEB3432" w:rsidR="000C7C9E" w:rsidRPr="008018A6" w:rsidRDefault="000C7C9E" w:rsidP="00B36C6A">
      <w:pPr>
        <w:pStyle w:val="Default"/>
        <w:numPr>
          <w:ilvl w:val="1"/>
          <w:numId w:val="12"/>
        </w:numPr>
        <w:spacing w:line="276" w:lineRule="auto"/>
        <w:rPr>
          <w:rFonts w:cs="Arial"/>
          <w:color w:val="auto"/>
        </w:rPr>
      </w:pPr>
      <w:r w:rsidRPr="004E2B4B">
        <w:rPr>
          <w:rFonts w:cs="Gotham Book"/>
        </w:rPr>
        <w:t>The integrated nature of health provision on the island of Ireland mean</w:t>
      </w:r>
      <w:r>
        <w:rPr>
          <w:rFonts w:cs="Gotham Book"/>
        </w:rPr>
        <w:t>s</w:t>
      </w:r>
      <w:r w:rsidRPr="004E2B4B">
        <w:rPr>
          <w:rFonts w:cs="Gotham Book"/>
        </w:rPr>
        <w:t xml:space="preserve"> that the UK’s withdrawal from the EU affects </w:t>
      </w:r>
      <w:r>
        <w:rPr>
          <w:rFonts w:cs="Gotham Book"/>
        </w:rPr>
        <w:t>NI</w:t>
      </w:r>
      <w:r w:rsidRPr="004E2B4B">
        <w:rPr>
          <w:rFonts w:cs="Gotham Book"/>
        </w:rPr>
        <w:t xml:space="preserve"> (and Ireland) in a way in which other parts of the UK (and other EU Member States) are not affected.</w:t>
      </w:r>
      <w:r>
        <w:rPr>
          <w:rFonts w:cs="Gotham Book"/>
        </w:rPr>
        <w:t xml:space="preserve"> Access to healthcare in NI is </w:t>
      </w:r>
      <w:r w:rsidR="00946C73">
        <w:rPr>
          <w:rFonts w:cs="Gotham Book"/>
        </w:rPr>
        <w:t>largely</w:t>
      </w:r>
      <w:r>
        <w:rPr>
          <w:rFonts w:cs="Gotham Book"/>
        </w:rPr>
        <w:t xml:space="preserve"> </w:t>
      </w:r>
      <w:r w:rsidR="001760CF">
        <w:rPr>
          <w:rFonts w:cs="Gotham Book"/>
        </w:rPr>
        <w:t>based on</w:t>
      </w:r>
      <w:r>
        <w:rPr>
          <w:rFonts w:cs="Gotham Book"/>
        </w:rPr>
        <w:t xml:space="preserve"> residenc</w:t>
      </w:r>
      <w:r w:rsidR="001760CF">
        <w:rPr>
          <w:rFonts w:cs="Gotham Book"/>
        </w:rPr>
        <w:t>y</w:t>
      </w:r>
      <w:r>
        <w:rPr>
          <w:rFonts w:cs="Gotham Book"/>
        </w:rPr>
        <w:t>.</w:t>
      </w:r>
      <w:r w:rsidR="003C32C7">
        <w:rPr>
          <w:rStyle w:val="FootnoteReference"/>
          <w:rFonts w:cs="Gotham Book"/>
        </w:rPr>
        <w:footnoteReference w:id="3"/>
      </w:r>
      <w:r w:rsidRPr="004E2B4B">
        <w:t xml:space="preserve"> </w:t>
      </w:r>
      <w:r w:rsidR="00147FBB">
        <w:t>P</w:t>
      </w:r>
      <w:r w:rsidRPr="004E2B4B">
        <w:t xml:space="preserve">revious </w:t>
      </w:r>
      <w:r>
        <w:t xml:space="preserve">research </w:t>
      </w:r>
      <w:r w:rsidRPr="004E2B4B">
        <w:t xml:space="preserve">commissioned by the NIHRC and </w:t>
      </w:r>
      <w:r>
        <w:t>the Irish Equality and Human Rights Commission</w:t>
      </w:r>
      <w:r w:rsidRPr="004E2B4B">
        <w:t xml:space="preserve"> in 2018 and 2020, </w:t>
      </w:r>
      <w:r w:rsidR="00147FBB">
        <w:t xml:space="preserve">demonstrated that </w:t>
      </w:r>
      <w:r w:rsidRPr="004E2B4B">
        <w:t xml:space="preserve">healthcare was </w:t>
      </w:r>
      <w:r w:rsidRPr="008018A6">
        <w:rPr>
          <w:color w:val="auto"/>
        </w:rPr>
        <w:t>prevailing issue of concern in relation to the UK’s withdrawal from the EU.</w:t>
      </w:r>
      <w:r w:rsidRPr="008018A6">
        <w:rPr>
          <w:rStyle w:val="FootnoteReference"/>
          <w:color w:val="auto"/>
        </w:rPr>
        <w:footnoteReference w:id="4"/>
      </w:r>
    </w:p>
    <w:p w14:paraId="587A56FA" w14:textId="77777777" w:rsidR="00143982" w:rsidRPr="008018A6" w:rsidRDefault="00143982" w:rsidP="00B36C6A">
      <w:pPr>
        <w:pStyle w:val="Default"/>
        <w:spacing w:line="276" w:lineRule="auto"/>
        <w:rPr>
          <w:rFonts w:cs="Arial"/>
          <w:color w:val="auto"/>
        </w:rPr>
      </w:pPr>
    </w:p>
    <w:p w14:paraId="49C843E9" w14:textId="0CC2D6F5" w:rsidR="002975E5" w:rsidRPr="008018A6" w:rsidRDefault="002975E5" w:rsidP="00B36C6A">
      <w:pPr>
        <w:pStyle w:val="Default"/>
        <w:numPr>
          <w:ilvl w:val="1"/>
          <w:numId w:val="12"/>
        </w:numPr>
        <w:spacing w:line="276" w:lineRule="auto"/>
        <w:rPr>
          <w:rFonts w:cs="Arial"/>
          <w:color w:val="auto"/>
        </w:rPr>
      </w:pPr>
      <w:r w:rsidRPr="008018A6">
        <w:rPr>
          <w:rFonts w:cs="Arial"/>
          <w:color w:val="auto"/>
        </w:rPr>
        <w:t xml:space="preserve">New research commissioned by the NIHRC and undertaken by Professor Tamara Hervey, Jean Monnet Professor of EU Law </w:t>
      </w:r>
      <w:r w:rsidR="007E2157" w:rsidRPr="008018A6">
        <w:rPr>
          <w:rFonts w:cs="Arial"/>
          <w:color w:val="auto"/>
        </w:rPr>
        <w:t>(</w:t>
      </w:r>
      <w:r w:rsidRPr="008018A6">
        <w:rPr>
          <w:rFonts w:cs="Arial"/>
          <w:color w:val="auto"/>
        </w:rPr>
        <w:t>City School of Law, University of London</w:t>
      </w:r>
      <w:r w:rsidR="007E2157" w:rsidRPr="008018A6">
        <w:rPr>
          <w:rFonts w:cs="Arial"/>
          <w:color w:val="auto"/>
        </w:rPr>
        <w:t>),</w:t>
      </w:r>
      <w:r w:rsidRPr="008018A6">
        <w:rPr>
          <w:rFonts w:cs="Arial"/>
          <w:color w:val="auto"/>
        </w:rPr>
        <w:t xml:space="preserve"> identified a range of</w:t>
      </w:r>
      <w:r w:rsidR="007E2157" w:rsidRPr="008018A6">
        <w:rPr>
          <w:rFonts w:cs="Arial"/>
          <w:color w:val="auto"/>
        </w:rPr>
        <w:t xml:space="preserve"> significant</w:t>
      </w:r>
      <w:r w:rsidRPr="008018A6">
        <w:rPr>
          <w:rFonts w:cs="Arial"/>
          <w:color w:val="auto"/>
        </w:rPr>
        <w:t xml:space="preserve"> </w:t>
      </w:r>
      <w:r w:rsidR="007E2157" w:rsidRPr="008018A6">
        <w:rPr>
          <w:rFonts w:cs="Arial"/>
          <w:color w:val="auto"/>
        </w:rPr>
        <w:t xml:space="preserve">concerns </w:t>
      </w:r>
      <w:r w:rsidRPr="008018A6">
        <w:rPr>
          <w:rFonts w:cs="Arial"/>
          <w:color w:val="auto"/>
        </w:rPr>
        <w:t xml:space="preserve">relating </w:t>
      </w:r>
      <w:r w:rsidR="00263D3F" w:rsidRPr="008018A6">
        <w:rPr>
          <w:rFonts w:cs="Arial"/>
          <w:color w:val="auto"/>
        </w:rPr>
        <w:t xml:space="preserve">to </w:t>
      </w:r>
      <w:r w:rsidR="007E2157" w:rsidRPr="008018A6">
        <w:rPr>
          <w:rFonts w:cs="Arial"/>
          <w:color w:val="auto"/>
        </w:rPr>
        <w:t>healthcare after the UK’s withdrawal from the EU.</w:t>
      </w:r>
      <w:r w:rsidR="00A30CED" w:rsidRPr="008018A6">
        <w:rPr>
          <w:rFonts w:cs="Arial"/>
          <w:color w:val="auto"/>
        </w:rPr>
        <w:t xml:space="preserve"> The research combined doctrinal</w:t>
      </w:r>
      <w:r w:rsidR="008F7587" w:rsidRPr="008018A6">
        <w:rPr>
          <w:rFonts w:cs="Arial"/>
          <w:color w:val="auto"/>
        </w:rPr>
        <w:t xml:space="preserve"> legal</w:t>
      </w:r>
      <w:r w:rsidR="00A30CED" w:rsidRPr="008018A6">
        <w:rPr>
          <w:rFonts w:cs="Arial"/>
          <w:color w:val="auto"/>
        </w:rPr>
        <w:t xml:space="preserve"> </w:t>
      </w:r>
      <w:r w:rsidR="008F7587" w:rsidRPr="008018A6">
        <w:rPr>
          <w:rFonts w:cs="Arial"/>
          <w:color w:val="auto"/>
        </w:rPr>
        <w:t>analysis with</w:t>
      </w:r>
      <w:r w:rsidR="00DD75CB" w:rsidRPr="008018A6">
        <w:rPr>
          <w:rFonts w:cs="Arial"/>
          <w:color w:val="auto"/>
        </w:rPr>
        <w:t xml:space="preserve"> qualitative interviews and scenario analysis.</w:t>
      </w:r>
      <w:r w:rsidR="007E2157" w:rsidRPr="008018A6">
        <w:rPr>
          <w:rStyle w:val="FootnoteReference"/>
          <w:rFonts w:cs="Arial"/>
          <w:color w:val="auto"/>
        </w:rPr>
        <w:footnoteReference w:id="5"/>
      </w:r>
    </w:p>
    <w:p w14:paraId="22E223F4" w14:textId="77777777" w:rsidR="002975E5" w:rsidRPr="008018A6" w:rsidRDefault="002975E5" w:rsidP="00B36C6A">
      <w:pPr>
        <w:pStyle w:val="ListParagraph"/>
        <w:spacing w:line="276" w:lineRule="auto"/>
        <w:rPr>
          <w:rFonts w:cs="Arial"/>
        </w:rPr>
      </w:pPr>
    </w:p>
    <w:p w14:paraId="669E0043" w14:textId="0DBA2629" w:rsidR="00965E35" w:rsidRPr="002B0CBE" w:rsidRDefault="00D7071D" w:rsidP="002B0CBE">
      <w:pPr>
        <w:pStyle w:val="Default"/>
        <w:numPr>
          <w:ilvl w:val="1"/>
          <w:numId w:val="12"/>
        </w:numPr>
        <w:spacing w:line="276" w:lineRule="auto"/>
        <w:rPr>
          <w:rFonts w:cs="Arial"/>
          <w:color w:val="auto"/>
        </w:rPr>
      </w:pPr>
      <w:r w:rsidRPr="008018A6">
        <w:rPr>
          <w:rFonts w:cs="Arial"/>
          <w:color w:val="auto"/>
        </w:rPr>
        <w:t xml:space="preserve">This briefing </w:t>
      </w:r>
      <w:r w:rsidR="006A6276" w:rsidRPr="008018A6">
        <w:rPr>
          <w:rFonts w:cs="Arial"/>
          <w:color w:val="auto"/>
        </w:rPr>
        <w:t xml:space="preserve">paper </w:t>
      </w:r>
      <w:r w:rsidR="007E2157" w:rsidRPr="008018A6">
        <w:rPr>
          <w:rFonts w:cs="Arial"/>
          <w:color w:val="auto"/>
        </w:rPr>
        <w:t>draws</w:t>
      </w:r>
      <w:r w:rsidR="00E11E09" w:rsidRPr="008018A6">
        <w:rPr>
          <w:rFonts w:cs="Arial"/>
          <w:color w:val="auto"/>
        </w:rPr>
        <w:t xml:space="preserve"> </w:t>
      </w:r>
      <w:r w:rsidR="007E2157" w:rsidRPr="008018A6">
        <w:rPr>
          <w:rFonts w:cs="Arial"/>
          <w:color w:val="auto"/>
        </w:rPr>
        <w:t xml:space="preserve">on </w:t>
      </w:r>
      <w:r w:rsidR="008905F7" w:rsidRPr="008018A6">
        <w:rPr>
          <w:rFonts w:cs="Arial"/>
          <w:color w:val="auto"/>
        </w:rPr>
        <w:t>the research</w:t>
      </w:r>
      <w:r w:rsidR="00B20F48" w:rsidRPr="008018A6">
        <w:rPr>
          <w:rFonts w:cs="Arial"/>
          <w:color w:val="auto"/>
        </w:rPr>
        <w:t>,</w:t>
      </w:r>
      <w:r w:rsidR="008905F7" w:rsidRPr="008018A6">
        <w:rPr>
          <w:rFonts w:cs="Arial"/>
          <w:color w:val="auto"/>
        </w:rPr>
        <w:t xml:space="preserve"> </w:t>
      </w:r>
      <w:r w:rsidR="002A4863" w:rsidRPr="008018A6">
        <w:rPr>
          <w:rFonts w:cs="Arial"/>
          <w:color w:val="auto"/>
        </w:rPr>
        <w:t>setting out</w:t>
      </w:r>
      <w:r w:rsidR="00B20F48" w:rsidRPr="008018A6">
        <w:rPr>
          <w:rFonts w:cs="Arial"/>
          <w:color w:val="auto"/>
        </w:rPr>
        <w:t xml:space="preserve"> </w:t>
      </w:r>
      <w:proofErr w:type="gramStart"/>
      <w:r w:rsidR="00CF36BF" w:rsidRPr="008018A6">
        <w:rPr>
          <w:rFonts w:cs="Arial"/>
          <w:color w:val="auto"/>
        </w:rPr>
        <w:t xml:space="preserve">a number </w:t>
      </w:r>
      <w:r w:rsidR="0049587F" w:rsidRPr="008018A6">
        <w:rPr>
          <w:rFonts w:cs="Arial"/>
          <w:color w:val="auto"/>
        </w:rPr>
        <w:t>of</w:t>
      </w:r>
      <w:proofErr w:type="gramEnd"/>
      <w:r w:rsidR="0049587F" w:rsidRPr="008018A6">
        <w:rPr>
          <w:rFonts w:cs="Arial"/>
          <w:color w:val="auto"/>
        </w:rPr>
        <w:t xml:space="preserve"> NIHRC positions</w:t>
      </w:r>
      <w:r w:rsidR="00E9239A" w:rsidRPr="008018A6">
        <w:rPr>
          <w:rFonts w:cs="Arial"/>
          <w:color w:val="auto"/>
        </w:rPr>
        <w:t>,</w:t>
      </w:r>
      <w:r w:rsidR="00371C36" w:rsidRPr="008018A6">
        <w:rPr>
          <w:rFonts w:cs="Arial"/>
          <w:color w:val="auto"/>
        </w:rPr>
        <w:t xml:space="preserve"> along</w:t>
      </w:r>
      <w:r w:rsidR="00E9239A" w:rsidRPr="008018A6">
        <w:rPr>
          <w:rFonts w:cs="Arial"/>
          <w:color w:val="auto"/>
        </w:rPr>
        <w:t>side</w:t>
      </w:r>
      <w:r w:rsidR="00371C36" w:rsidRPr="008018A6">
        <w:rPr>
          <w:rFonts w:cs="Arial"/>
          <w:color w:val="auto"/>
        </w:rPr>
        <w:t xml:space="preserve"> next steps in ensuring </w:t>
      </w:r>
      <w:r w:rsidR="00C15D83" w:rsidRPr="008018A6">
        <w:rPr>
          <w:rFonts w:cs="Arial"/>
          <w:color w:val="auto"/>
        </w:rPr>
        <w:t xml:space="preserve">that access to healthcare is protected in NI </w:t>
      </w:r>
      <w:r w:rsidR="00B20F48" w:rsidRPr="008018A6">
        <w:rPr>
          <w:rFonts w:cs="Arial"/>
          <w:color w:val="auto"/>
        </w:rPr>
        <w:t xml:space="preserve">and </w:t>
      </w:r>
      <w:r w:rsidR="00E6663C" w:rsidRPr="008018A6">
        <w:rPr>
          <w:rFonts w:cs="Arial"/>
          <w:color w:val="auto"/>
        </w:rPr>
        <w:t xml:space="preserve">on </w:t>
      </w:r>
      <w:r w:rsidR="00B20F48" w:rsidRPr="008018A6">
        <w:rPr>
          <w:rFonts w:cs="Arial"/>
          <w:color w:val="auto"/>
        </w:rPr>
        <w:t>the island of</w:t>
      </w:r>
      <w:r w:rsidR="00C15D83" w:rsidRPr="008018A6">
        <w:rPr>
          <w:rFonts w:cs="Arial"/>
          <w:color w:val="auto"/>
        </w:rPr>
        <w:t xml:space="preserve"> Ireland after </w:t>
      </w:r>
      <w:r w:rsidR="008F6762">
        <w:rPr>
          <w:rFonts w:cs="Arial"/>
          <w:color w:val="auto"/>
        </w:rPr>
        <w:t>the UK’s withdrawal from the EU</w:t>
      </w:r>
      <w:r w:rsidR="00C15D83" w:rsidRPr="008018A6">
        <w:rPr>
          <w:rFonts w:cs="Arial"/>
          <w:color w:val="auto"/>
        </w:rPr>
        <w:t>.</w:t>
      </w:r>
    </w:p>
    <w:p w14:paraId="1BEFE971" w14:textId="08098498" w:rsidR="00782DD2" w:rsidRPr="0070084A" w:rsidRDefault="00782DD2" w:rsidP="00B36C6A">
      <w:pPr>
        <w:pStyle w:val="ListParagraph"/>
        <w:keepNext/>
        <w:keepLines/>
        <w:numPr>
          <w:ilvl w:val="0"/>
          <w:numId w:val="14"/>
        </w:numPr>
        <w:spacing w:before="240" w:line="276" w:lineRule="auto"/>
        <w:outlineLvl w:val="0"/>
        <w:rPr>
          <w:rFonts w:ascii="Verdana" w:eastAsiaTheme="majorEastAsia" w:hAnsi="Verdana" w:cstheme="majorBidi"/>
          <w:b/>
          <w:bCs/>
          <w:color w:val="77328A"/>
          <w:sz w:val="30"/>
          <w:szCs w:val="30"/>
        </w:rPr>
      </w:pPr>
      <w:bookmarkStart w:id="3" w:name="_Toc104983338"/>
      <w:r w:rsidRPr="0070084A">
        <w:rPr>
          <w:rFonts w:ascii="Verdana" w:eastAsiaTheme="majorEastAsia" w:hAnsi="Verdana" w:cstheme="majorBidi"/>
          <w:b/>
          <w:bCs/>
          <w:color w:val="77328A"/>
          <w:sz w:val="30"/>
          <w:szCs w:val="30"/>
        </w:rPr>
        <w:t>Context</w:t>
      </w:r>
      <w:bookmarkEnd w:id="3"/>
      <w:r w:rsidRPr="0070084A">
        <w:rPr>
          <w:rFonts w:ascii="Verdana" w:eastAsiaTheme="majorEastAsia" w:hAnsi="Verdana" w:cstheme="majorBidi"/>
          <w:b/>
          <w:bCs/>
          <w:color w:val="77328A"/>
          <w:sz w:val="30"/>
          <w:szCs w:val="30"/>
        </w:rPr>
        <w:t xml:space="preserve"> </w:t>
      </w:r>
    </w:p>
    <w:p w14:paraId="7C52533B" w14:textId="51CDAD39" w:rsidR="005C2C53" w:rsidRPr="002A0D03" w:rsidRDefault="0030469F" w:rsidP="00B36C6A">
      <w:pPr>
        <w:pStyle w:val="Default"/>
        <w:spacing w:line="276" w:lineRule="auto"/>
        <w:rPr>
          <w:rFonts w:cs="Arial"/>
          <w:color w:val="232120"/>
        </w:rPr>
      </w:pPr>
      <w:r w:rsidRPr="0030469F">
        <w:rPr>
          <w:rFonts w:cs="Arial"/>
          <w:color w:val="232120"/>
        </w:rPr>
        <w:t xml:space="preserve"> </w:t>
      </w:r>
    </w:p>
    <w:p w14:paraId="004B4B8A" w14:textId="3C088B2A" w:rsidR="000E60C5" w:rsidRPr="00F713CD" w:rsidRDefault="006E1D1C" w:rsidP="00B36C6A">
      <w:pPr>
        <w:pStyle w:val="Default"/>
        <w:numPr>
          <w:ilvl w:val="1"/>
          <w:numId w:val="14"/>
        </w:numPr>
        <w:spacing w:line="276" w:lineRule="auto"/>
        <w:rPr>
          <w:rFonts w:cs="Arial"/>
          <w:color w:val="232120"/>
          <w:lang w:val="en-GB"/>
        </w:rPr>
      </w:pPr>
      <w:r w:rsidRPr="00F713CD">
        <w:rPr>
          <w:rFonts w:eastAsia="Times New Roman" w:cs="Times New Roman"/>
          <w:lang w:val="en-GB"/>
        </w:rPr>
        <w:t>In international law,</w:t>
      </w:r>
      <w:r w:rsidR="005F6B41">
        <w:rPr>
          <w:rFonts w:eastAsia="Times New Roman" w:cs="Times New Roman"/>
          <w:lang w:val="en-GB"/>
        </w:rPr>
        <w:t xml:space="preserve"> the right to</w:t>
      </w:r>
      <w:r w:rsidR="00CB2BED">
        <w:rPr>
          <w:rFonts w:eastAsia="Times New Roman" w:cs="Times New Roman"/>
          <w:lang w:val="en-GB"/>
        </w:rPr>
        <w:t xml:space="preserve"> the highest attainable standard of</w:t>
      </w:r>
      <w:r w:rsidR="005F6B41">
        <w:rPr>
          <w:rFonts w:eastAsia="Times New Roman" w:cs="Times New Roman"/>
          <w:lang w:val="en-GB"/>
        </w:rPr>
        <w:t xml:space="preserve"> health is set out in the International </w:t>
      </w:r>
      <w:r w:rsidR="00CF3327">
        <w:rPr>
          <w:rFonts w:eastAsia="Times New Roman" w:cs="Times New Roman"/>
          <w:lang w:val="en-GB"/>
        </w:rPr>
        <w:t>Covenant</w:t>
      </w:r>
      <w:r w:rsidR="005F6B41">
        <w:rPr>
          <w:rFonts w:eastAsia="Times New Roman" w:cs="Times New Roman"/>
          <w:lang w:val="en-GB"/>
        </w:rPr>
        <w:t xml:space="preserve"> on Economic, Social and Cultural Rights (ICESCR</w:t>
      </w:r>
      <w:r w:rsidR="00CF3327">
        <w:rPr>
          <w:rFonts w:eastAsia="Times New Roman" w:cs="Times New Roman"/>
          <w:lang w:val="en-GB"/>
        </w:rPr>
        <w:t>).</w:t>
      </w:r>
      <w:r w:rsidR="00CF3327">
        <w:rPr>
          <w:rStyle w:val="FootnoteReference"/>
          <w:rFonts w:eastAsia="Times New Roman" w:cs="Times New Roman"/>
          <w:lang w:val="en-GB"/>
        </w:rPr>
        <w:footnoteReference w:id="6"/>
      </w:r>
      <w:r w:rsidR="00CF3327">
        <w:rPr>
          <w:rFonts w:eastAsia="Times New Roman" w:cs="Times New Roman"/>
          <w:lang w:val="en-GB"/>
        </w:rPr>
        <w:t xml:space="preserve"> The</w:t>
      </w:r>
      <w:r w:rsidRPr="00F713CD">
        <w:rPr>
          <w:rFonts w:eastAsia="Times New Roman" w:cs="Times New Roman"/>
          <w:lang w:val="en-GB"/>
        </w:rPr>
        <w:t xml:space="preserve"> right</w:t>
      </w:r>
      <w:r w:rsidR="00D0729A" w:rsidRPr="00F713CD">
        <w:rPr>
          <w:rFonts w:eastAsia="Times New Roman" w:cs="Times New Roman"/>
          <w:lang w:val="en-GB"/>
        </w:rPr>
        <w:t xml:space="preserve"> </w:t>
      </w:r>
      <w:r w:rsidR="00CB2BED">
        <w:rPr>
          <w:rFonts w:eastAsia="Times New Roman" w:cs="Times New Roman"/>
          <w:lang w:val="en-GB"/>
        </w:rPr>
        <w:t xml:space="preserve">to </w:t>
      </w:r>
      <w:r w:rsidR="00D0729A" w:rsidRPr="00F713CD">
        <w:rPr>
          <w:rFonts w:eastAsia="Times New Roman" w:cs="Times New Roman"/>
          <w:lang w:val="en-GB"/>
        </w:rPr>
        <w:t>health must be progressively realised to the maximum available resources of the State.</w:t>
      </w:r>
      <w:r w:rsidR="00D0729A" w:rsidRPr="00F713CD">
        <w:rPr>
          <w:vertAlign w:val="superscript"/>
          <w:lang w:val="en-GB"/>
        </w:rPr>
        <w:footnoteReference w:id="7"/>
      </w:r>
      <w:r w:rsidR="00D0729A" w:rsidRPr="00F713CD">
        <w:rPr>
          <w:rFonts w:eastAsia="Times New Roman" w:cs="Times New Roman"/>
          <w:lang w:val="en-GB"/>
        </w:rPr>
        <w:t xml:space="preserve"> The concept of progressive realisation creates an obligation on States to move “expeditiously and effectively” towards securing the highest attainable standard of health.</w:t>
      </w:r>
      <w:r w:rsidR="00D0729A" w:rsidRPr="00F713CD">
        <w:rPr>
          <w:vertAlign w:val="superscript"/>
          <w:lang w:val="en-GB"/>
        </w:rPr>
        <w:footnoteReference w:id="8"/>
      </w:r>
      <w:r w:rsidR="00D0729A" w:rsidRPr="00F713CD">
        <w:rPr>
          <w:rFonts w:eastAsia="Times New Roman" w:cs="Times New Roman"/>
          <w:lang w:val="en-GB"/>
        </w:rPr>
        <w:t xml:space="preserve"> </w:t>
      </w:r>
    </w:p>
    <w:p w14:paraId="639DAB19" w14:textId="77777777" w:rsidR="000E60C5" w:rsidRPr="00F713CD" w:rsidRDefault="000E60C5" w:rsidP="00B36C6A">
      <w:pPr>
        <w:pStyle w:val="ListParagraph"/>
        <w:spacing w:line="276" w:lineRule="auto"/>
        <w:rPr>
          <w:rFonts w:eastAsia="Times New Roman" w:cs="Times New Roman"/>
        </w:rPr>
      </w:pPr>
    </w:p>
    <w:p w14:paraId="44511CE7" w14:textId="648BD956" w:rsidR="002A0D03" w:rsidRPr="002A0D03" w:rsidRDefault="00D0729A" w:rsidP="00B36C6A">
      <w:pPr>
        <w:pStyle w:val="Default"/>
        <w:numPr>
          <w:ilvl w:val="1"/>
          <w:numId w:val="14"/>
        </w:numPr>
        <w:spacing w:line="276" w:lineRule="auto"/>
        <w:rPr>
          <w:rFonts w:cs="Arial"/>
          <w:color w:val="232120"/>
          <w:lang w:val="en-GB"/>
        </w:rPr>
      </w:pPr>
      <w:r w:rsidRPr="00F713CD">
        <w:rPr>
          <w:rFonts w:eastAsia="Times New Roman" w:cs="Times New Roman"/>
          <w:lang w:val="en-GB"/>
        </w:rPr>
        <w:t>The</w:t>
      </w:r>
      <w:r w:rsidR="006F5CD9" w:rsidRPr="00F713CD">
        <w:rPr>
          <w:rFonts w:eastAsia="Times New Roman" w:cs="Times New Roman"/>
          <w:lang w:val="en-GB"/>
        </w:rPr>
        <w:t xml:space="preserve"> UN</w:t>
      </w:r>
      <w:r w:rsidRPr="00F713CD">
        <w:rPr>
          <w:rFonts w:eastAsia="Times New Roman" w:cs="Times New Roman"/>
          <w:lang w:val="en-GB"/>
        </w:rPr>
        <w:t xml:space="preserve"> Committee on Economic, Social and Cultural Rights (CESCR) note</w:t>
      </w:r>
      <w:r w:rsidR="008B66CC">
        <w:rPr>
          <w:rFonts w:eastAsia="Times New Roman" w:cs="Times New Roman"/>
          <w:lang w:val="en-GB"/>
        </w:rPr>
        <w:t>s</w:t>
      </w:r>
      <w:r w:rsidR="00CC3C7A" w:rsidRPr="00F713CD">
        <w:rPr>
          <w:rFonts w:eastAsia="Times New Roman" w:cs="Times New Roman"/>
          <w:lang w:val="en-GB"/>
        </w:rPr>
        <w:t xml:space="preserve"> that the</w:t>
      </w:r>
      <w:r w:rsidR="0074521D" w:rsidRPr="00F713CD">
        <w:rPr>
          <w:rFonts w:eastAsia="Times New Roman" w:cs="Times New Roman"/>
          <w:lang w:val="en-GB"/>
        </w:rPr>
        <w:t xml:space="preserve"> right to health </w:t>
      </w:r>
      <w:r w:rsidR="00CC3C7A" w:rsidRPr="00F713CD">
        <w:rPr>
          <w:rFonts w:eastAsia="Times New Roman" w:cs="Times New Roman"/>
          <w:lang w:val="en-GB"/>
        </w:rPr>
        <w:t xml:space="preserve">includes </w:t>
      </w:r>
      <w:r w:rsidR="0074521D" w:rsidRPr="00F713CD">
        <w:rPr>
          <w:rFonts w:eastAsia="Times New Roman" w:cs="Times New Roman"/>
          <w:lang w:val="en-GB"/>
        </w:rPr>
        <w:t xml:space="preserve">the core components of availability, accessibility, </w:t>
      </w:r>
      <w:proofErr w:type="gramStart"/>
      <w:r w:rsidR="0074521D" w:rsidRPr="00F713CD">
        <w:rPr>
          <w:rFonts w:eastAsia="Times New Roman" w:cs="Times New Roman"/>
          <w:lang w:val="en-GB"/>
        </w:rPr>
        <w:t>acceptability</w:t>
      </w:r>
      <w:proofErr w:type="gramEnd"/>
      <w:r w:rsidR="0074521D" w:rsidRPr="00F713CD">
        <w:rPr>
          <w:rFonts w:eastAsia="Times New Roman" w:cs="Times New Roman"/>
          <w:lang w:val="en-GB"/>
        </w:rPr>
        <w:t xml:space="preserve"> and quality.</w:t>
      </w:r>
      <w:r w:rsidR="0074521D" w:rsidRPr="00F713CD">
        <w:rPr>
          <w:rStyle w:val="FootnoteReference"/>
          <w:rFonts w:eastAsia="Times New Roman" w:cs="Times New Roman"/>
          <w:lang w:val="en-GB"/>
        </w:rPr>
        <w:footnoteReference w:id="9"/>
      </w:r>
      <w:r w:rsidR="00CC3C7A" w:rsidRPr="00F713CD">
        <w:rPr>
          <w:rFonts w:cs="Arial"/>
          <w:color w:val="232120"/>
          <w:lang w:val="en-GB"/>
        </w:rPr>
        <w:t xml:space="preserve"> It further recognised </w:t>
      </w:r>
      <w:r w:rsidRPr="00F713CD">
        <w:rPr>
          <w:rFonts w:eastAsia="Times New Roman" w:cs="Times New Roman"/>
          <w:lang w:val="en-GB"/>
        </w:rPr>
        <w:t>that a minimum core obligation of the right to health is to ensure that health services are accessible on a non-discriminatory basis, particularly for vulnerable or marginalised groups.</w:t>
      </w:r>
      <w:r w:rsidRPr="00F713CD">
        <w:rPr>
          <w:vertAlign w:val="superscript"/>
          <w:lang w:val="en-GB"/>
        </w:rPr>
        <w:footnoteReference w:id="10"/>
      </w:r>
      <w:r w:rsidR="00CA58B0" w:rsidRPr="00F713CD">
        <w:rPr>
          <w:rFonts w:eastAsia="Times New Roman" w:cs="Times New Roman"/>
          <w:lang w:val="en-GB"/>
        </w:rPr>
        <w:t xml:space="preserve"> </w:t>
      </w:r>
    </w:p>
    <w:p w14:paraId="35E1A8B2" w14:textId="77777777" w:rsidR="0071628A" w:rsidRPr="00F713CD" w:rsidRDefault="0071628A" w:rsidP="00B36C6A">
      <w:pPr>
        <w:pStyle w:val="ListParagraph"/>
        <w:spacing w:line="276" w:lineRule="auto"/>
        <w:rPr>
          <w:rFonts w:cs="Arial"/>
          <w:color w:val="232120"/>
        </w:rPr>
      </w:pPr>
    </w:p>
    <w:p w14:paraId="0B0ABC2C" w14:textId="35260486" w:rsidR="0071628A" w:rsidRDefault="003368CD" w:rsidP="00B36C6A">
      <w:pPr>
        <w:pStyle w:val="Default"/>
        <w:numPr>
          <w:ilvl w:val="1"/>
          <w:numId w:val="14"/>
        </w:numPr>
        <w:spacing w:line="276" w:lineRule="auto"/>
        <w:rPr>
          <w:rFonts w:cs="Arial"/>
          <w:color w:val="232120"/>
          <w:lang w:val="en-GB"/>
        </w:rPr>
      </w:pPr>
      <w:r>
        <w:rPr>
          <w:rFonts w:cs="Arial"/>
          <w:color w:val="232120"/>
          <w:lang w:val="en-GB"/>
        </w:rPr>
        <w:t>An</w:t>
      </w:r>
      <w:r w:rsidR="00C00AA1" w:rsidRPr="00F713CD">
        <w:rPr>
          <w:rFonts w:cs="Arial"/>
          <w:color w:val="232120"/>
          <w:lang w:val="en-GB"/>
        </w:rPr>
        <w:t xml:space="preserve"> important aspect of the progressive </w:t>
      </w:r>
      <w:r w:rsidR="00F713CD" w:rsidRPr="00F713CD">
        <w:rPr>
          <w:rFonts w:cs="Arial"/>
          <w:color w:val="232120"/>
          <w:lang w:val="en-GB"/>
        </w:rPr>
        <w:t>reali</w:t>
      </w:r>
      <w:r w:rsidR="00661F9B">
        <w:rPr>
          <w:rFonts w:cs="Arial"/>
          <w:color w:val="232120"/>
          <w:lang w:val="en-GB"/>
        </w:rPr>
        <w:t>s</w:t>
      </w:r>
      <w:r w:rsidR="00F713CD" w:rsidRPr="00F713CD">
        <w:rPr>
          <w:rFonts w:cs="Arial"/>
          <w:color w:val="232120"/>
          <w:lang w:val="en-GB"/>
        </w:rPr>
        <w:t xml:space="preserve">ation of the right to health is </w:t>
      </w:r>
      <w:r w:rsidR="00B237A2">
        <w:rPr>
          <w:rFonts w:cs="Arial"/>
          <w:color w:val="232120"/>
          <w:lang w:val="en-GB"/>
        </w:rPr>
        <w:t xml:space="preserve">the concept of non-retrogression. </w:t>
      </w:r>
      <w:r w:rsidR="00B56B27">
        <w:rPr>
          <w:rFonts w:cs="Arial"/>
          <w:color w:val="232120"/>
          <w:lang w:val="en-GB"/>
        </w:rPr>
        <w:t xml:space="preserve">States </w:t>
      </w:r>
      <w:r w:rsidR="00AB3E8E" w:rsidRPr="00AB3E8E">
        <w:rPr>
          <w:rFonts w:cs="Arial"/>
          <w:color w:val="232120"/>
          <w:lang w:val="en-GB"/>
        </w:rPr>
        <w:t>should not allow the existing protection</w:t>
      </w:r>
      <w:r w:rsidR="00AB3E8E">
        <w:rPr>
          <w:rFonts w:cs="Arial"/>
          <w:color w:val="232120"/>
          <w:lang w:val="en-GB"/>
        </w:rPr>
        <w:t xml:space="preserve"> </w:t>
      </w:r>
      <w:r w:rsidR="00AB3E8E" w:rsidRPr="00AB3E8E">
        <w:rPr>
          <w:rFonts w:cs="Arial"/>
          <w:color w:val="232120"/>
          <w:lang w:val="en-GB"/>
        </w:rPr>
        <w:t xml:space="preserve">of economic, </w:t>
      </w:r>
      <w:proofErr w:type="gramStart"/>
      <w:r w:rsidR="00AB3E8E" w:rsidRPr="00AB3E8E">
        <w:rPr>
          <w:rFonts w:cs="Arial"/>
          <w:color w:val="232120"/>
          <w:lang w:val="en-GB"/>
        </w:rPr>
        <w:t>social</w:t>
      </w:r>
      <w:proofErr w:type="gramEnd"/>
      <w:r w:rsidR="00AB3E8E" w:rsidRPr="00AB3E8E">
        <w:rPr>
          <w:rFonts w:cs="Arial"/>
          <w:color w:val="232120"/>
          <w:lang w:val="en-GB"/>
        </w:rPr>
        <w:t xml:space="preserve"> and cultural rights</w:t>
      </w:r>
      <w:r w:rsidR="00AB3E8E">
        <w:rPr>
          <w:rFonts w:cs="Arial"/>
          <w:color w:val="232120"/>
          <w:lang w:val="en-GB"/>
        </w:rPr>
        <w:t xml:space="preserve"> </w:t>
      </w:r>
      <w:r w:rsidR="00AB3E8E" w:rsidRPr="00AB3E8E">
        <w:rPr>
          <w:rFonts w:cs="Arial"/>
          <w:color w:val="232120"/>
          <w:lang w:val="en-GB"/>
        </w:rPr>
        <w:t>to deteriorate unless there are strong</w:t>
      </w:r>
      <w:r w:rsidR="00AB3E8E">
        <w:rPr>
          <w:rFonts w:cs="Arial"/>
          <w:color w:val="232120"/>
          <w:lang w:val="en-GB"/>
        </w:rPr>
        <w:t xml:space="preserve"> </w:t>
      </w:r>
      <w:r w:rsidR="00AB3E8E" w:rsidRPr="00AB3E8E">
        <w:rPr>
          <w:rFonts w:cs="Arial"/>
          <w:color w:val="232120"/>
          <w:lang w:val="en-GB"/>
        </w:rPr>
        <w:t xml:space="preserve">justifications for </w:t>
      </w:r>
      <w:r w:rsidR="00084976">
        <w:rPr>
          <w:rFonts w:cs="Arial"/>
          <w:color w:val="232120"/>
          <w:lang w:val="en-GB"/>
        </w:rPr>
        <w:t>such a</w:t>
      </w:r>
      <w:r w:rsidR="00AB3E8E" w:rsidRPr="00AB3E8E">
        <w:rPr>
          <w:rFonts w:cs="Arial"/>
          <w:color w:val="232120"/>
          <w:lang w:val="en-GB"/>
        </w:rPr>
        <w:t xml:space="preserve"> retrogressive measure</w:t>
      </w:r>
      <w:r w:rsidR="00EE7AA5">
        <w:rPr>
          <w:rFonts w:cs="Arial"/>
          <w:color w:val="232120"/>
          <w:lang w:val="en-GB"/>
        </w:rPr>
        <w:t>.</w:t>
      </w:r>
      <w:r w:rsidR="00EE7AA5">
        <w:rPr>
          <w:rStyle w:val="FootnoteReference"/>
          <w:rFonts w:cs="Arial"/>
          <w:color w:val="232120"/>
          <w:lang w:val="en-GB"/>
        </w:rPr>
        <w:footnoteReference w:id="11"/>
      </w:r>
      <w:r w:rsidR="00EE7AA5">
        <w:rPr>
          <w:rFonts w:cs="Arial"/>
          <w:color w:val="232120"/>
          <w:lang w:val="en-GB"/>
        </w:rPr>
        <w:t xml:space="preserve"> </w:t>
      </w:r>
      <w:r w:rsidR="00671153">
        <w:rPr>
          <w:rFonts w:cs="Arial"/>
          <w:color w:val="232120"/>
          <w:lang w:val="en-GB"/>
        </w:rPr>
        <w:t>As such, the</w:t>
      </w:r>
      <w:r w:rsidR="00380858">
        <w:rPr>
          <w:rFonts w:cs="Arial"/>
          <w:color w:val="232120"/>
          <w:lang w:val="en-GB"/>
        </w:rPr>
        <w:t xml:space="preserve"> progressive realisation of the right to health</w:t>
      </w:r>
      <w:r w:rsidR="00F61D13">
        <w:rPr>
          <w:rFonts w:cs="Arial"/>
          <w:color w:val="232120"/>
          <w:lang w:val="en-GB"/>
        </w:rPr>
        <w:t xml:space="preserve"> and non-retrogression</w:t>
      </w:r>
      <w:r w:rsidR="00380858">
        <w:rPr>
          <w:rFonts w:cs="Arial"/>
          <w:color w:val="232120"/>
          <w:lang w:val="en-GB"/>
        </w:rPr>
        <w:t xml:space="preserve"> must be taken into</w:t>
      </w:r>
      <w:r w:rsidR="00DC17AD">
        <w:rPr>
          <w:rFonts w:cs="Arial"/>
          <w:color w:val="232120"/>
          <w:lang w:val="en-GB"/>
        </w:rPr>
        <w:t xml:space="preserve"> </w:t>
      </w:r>
      <w:r w:rsidR="00380858">
        <w:rPr>
          <w:rFonts w:cs="Arial"/>
          <w:color w:val="232120"/>
          <w:lang w:val="en-GB"/>
        </w:rPr>
        <w:t>account</w:t>
      </w:r>
      <w:r w:rsidR="00F8303E">
        <w:rPr>
          <w:rFonts w:cs="Arial"/>
          <w:color w:val="232120"/>
          <w:lang w:val="en-GB"/>
        </w:rPr>
        <w:t xml:space="preserve"> when interpreting</w:t>
      </w:r>
      <w:r w:rsidR="00F61D13">
        <w:rPr>
          <w:rFonts w:cs="Arial"/>
          <w:color w:val="232120"/>
          <w:lang w:val="en-GB"/>
        </w:rPr>
        <w:t xml:space="preserve"> domestic law</w:t>
      </w:r>
      <w:r w:rsidR="00DC17AD">
        <w:rPr>
          <w:rFonts w:cs="Arial"/>
          <w:color w:val="232120"/>
          <w:lang w:val="en-GB"/>
        </w:rPr>
        <w:t xml:space="preserve">, </w:t>
      </w:r>
      <w:r w:rsidR="00F61D13">
        <w:rPr>
          <w:rFonts w:cs="Arial"/>
          <w:color w:val="232120"/>
          <w:lang w:val="en-GB"/>
        </w:rPr>
        <w:t xml:space="preserve">particularly </w:t>
      </w:r>
      <w:r w:rsidR="00DC17AD">
        <w:rPr>
          <w:rFonts w:cs="Arial"/>
          <w:color w:val="232120"/>
          <w:lang w:val="en-GB"/>
        </w:rPr>
        <w:t xml:space="preserve">where the language of </w:t>
      </w:r>
      <w:r w:rsidR="00F61D13">
        <w:rPr>
          <w:rFonts w:cs="Arial"/>
          <w:color w:val="232120"/>
          <w:lang w:val="en-GB"/>
        </w:rPr>
        <w:t xml:space="preserve">the </w:t>
      </w:r>
      <w:r w:rsidR="00DC17AD">
        <w:rPr>
          <w:rFonts w:cs="Arial"/>
          <w:color w:val="232120"/>
          <w:lang w:val="en-GB"/>
        </w:rPr>
        <w:t xml:space="preserve">law is ambiguous. </w:t>
      </w:r>
    </w:p>
    <w:p w14:paraId="23A4A35F" w14:textId="7111CDA9" w:rsidR="0036026B" w:rsidRPr="0036026B" w:rsidRDefault="0036026B" w:rsidP="00B36C6A">
      <w:pPr>
        <w:pStyle w:val="Default"/>
        <w:spacing w:line="276" w:lineRule="auto"/>
        <w:rPr>
          <w:rFonts w:cs="Arial"/>
          <w:color w:val="232120"/>
        </w:rPr>
      </w:pPr>
    </w:p>
    <w:p w14:paraId="58AC11D9" w14:textId="44AF7338" w:rsidR="007B2613" w:rsidRDefault="007B2613" w:rsidP="00B36C6A">
      <w:pPr>
        <w:pStyle w:val="Default"/>
        <w:numPr>
          <w:ilvl w:val="1"/>
          <w:numId w:val="14"/>
        </w:numPr>
        <w:spacing w:line="276" w:lineRule="auto"/>
        <w:rPr>
          <w:rFonts w:cs="Arial"/>
          <w:color w:val="232120"/>
        </w:rPr>
      </w:pPr>
      <w:r w:rsidRPr="008A6849">
        <w:rPr>
          <w:rFonts w:cs="Arial"/>
          <w:color w:val="232120"/>
          <w:lang w:val="en-GB"/>
        </w:rPr>
        <w:t xml:space="preserve">The </w:t>
      </w:r>
      <w:r w:rsidR="00DC4EE7">
        <w:rPr>
          <w:rFonts w:cs="Arial"/>
          <w:color w:val="232120"/>
          <w:lang w:val="en-GB"/>
        </w:rPr>
        <w:t>Windsor Framework</w:t>
      </w:r>
      <w:r w:rsidRPr="008A6849">
        <w:rPr>
          <w:rFonts w:cs="Arial"/>
          <w:color w:val="232120"/>
          <w:lang w:val="en-GB"/>
        </w:rPr>
        <w:t xml:space="preserve"> recognises that EU law has provided a ‘supporting framework’ for the rights, </w:t>
      </w:r>
      <w:proofErr w:type="gramStart"/>
      <w:r w:rsidRPr="008A6849">
        <w:rPr>
          <w:rFonts w:cs="Arial"/>
          <w:color w:val="232120"/>
          <w:lang w:val="en-GB"/>
        </w:rPr>
        <w:t>safeguards</w:t>
      </w:r>
      <w:proofErr w:type="gramEnd"/>
      <w:r w:rsidRPr="008A6849">
        <w:rPr>
          <w:rFonts w:cs="Arial"/>
          <w:color w:val="232120"/>
          <w:lang w:val="en-GB"/>
        </w:rPr>
        <w:t xml:space="preserve"> and equality of opportunity protections in the Belfast (Good Friday) Agreement</w:t>
      </w:r>
      <w:r w:rsidR="005F5B77" w:rsidRPr="008A6849">
        <w:rPr>
          <w:rFonts w:cs="Arial"/>
          <w:color w:val="232120"/>
          <w:lang w:val="en-GB"/>
        </w:rPr>
        <w:t xml:space="preserve"> 1998</w:t>
      </w:r>
      <w:r w:rsidRPr="008A6849">
        <w:rPr>
          <w:rFonts w:cs="Arial"/>
          <w:color w:val="232120"/>
          <w:lang w:val="en-GB"/>
        </w:rPr>
        <w:t>. In Article 2</w:t>
      </w:r>
      <w:r w:rsidR="00203B6D" w:rsidRPr="00203B6D">
        <w:rPr>
          <w:rFonts w:cs="Arial"/>
          <w:color w:val="232120"/>
          <w:lang w:val="en-GB"/>
        </w:rPr>
        <w:t xml:space="preserve"> </w:t>
      </w:r>
      <w:r w:rsidR="00203B6D">
        <w:rPr>
          <w:rFonts w:cs="Arial"/>
          <w:color w:val="232120"/>
          <w:lang w:val="en-GB"/>
        </w:rPr>
        <w:t>WF</w:t>
      </w:r>
      <w:r w:rsidR="00431822" w:rsidRPr="008A6849">
        <w:rPr>
          <w:rFonts w:cs="Arial"/>
          <w:color w:val="232120"/>
          <w:lang w:val="en-GB"/>
        </w:rPr>
        <w:t>,</w:t>
      </w:r>
      <w:r w:rsidRPr="008A6849">
        <w:rPr>
          <w:rFonts w:cs="Arial"/>
          <w:color w:val="232120"/>
          <w:lang w:val="en-GB"/>
        </w:rPr>
        <w:t xml:space="preserve"> </w:t>
      </w:r>
      <w:r w:rsidRPr="008A6849">
        <w:rPr>
          <w:rFonts w:cs="Arial"/>
          <w:color w:val="232120"/>
          <w:lang w:val="en-GB"/>
        </w:rPr>
        <w:lastRenderedPageBreak/>
        <w:t xml:space="preserve">the UK Government commits to ensuring that certain rights, </w:t>
      </w:r>
      <w:proofErr w:type="gramStart"/>
      <w:r w:rsidRPr="008A6849">
        <w:rPr>
          <w:rFonts w:cs="Arial"/>
          <w:color w:val="232120"/>
          <w:lang w:val="en-GB"/>
        </w:rPr>
        <w:t>safeguards</w:t>
      </w:r>
      <w:proofErr w:type="gramEnd"/>
      <w:r w:rsidRPr="008A6849">
        <w:rPr>
          <w:rFonts w:cs="Arial"/>
          <w:color w:val="232120"/>
          <w:lang w:val="en-GB"/>
        </w:rPr>
        <w:t xml:space="preserve"> and equality of opportunity protections are not diminished as a result of the UK leaving the EU.</w:t>
      </w:r>
      <w:r w:rsidR="008E4399">
        <w:rPr>
          <w:rStyle w:val="FootnoteReference"/>
          <w:rFonts w:cs="Arial"/>
          <w:color w:val="232120"/>
        </w:rPr>
        <w:footnoteReference w:id="12"/>
      </w:r>
    </w:p>
    <w:p w14:paraId="4964BD62" w14:textId="77777777" w:rsidR="007B2613" w:rsidRDefault="007B2613" w:rsidP="00B36C6A">
      <w:pPr>
        <w:pStyle w:val="ListParagraph"/>
        <w:spacing w:line="276" w:lineRule="auto"/>
        <w:rPr>
          <w:rFonts w:cs="Arial"/>
          <w:color w:val="232120"/>
        </w:rPr>
      </w:pPr>
    </w:p>
    <w:p w14:paraId="2AD2F9C5" w14:textId="77777777" w:rsidR="00D70947" w:rsidRPr="00245CB3" w:rsidRDefault="0058277A" w:rsidP="00B36C6A">
      <w:pPr>
        <w:pStyle w:val="Default"/>
        <w:numPr>
          <w:ilvl w:val="1"/>
          <w:numId w:val="14"/>
        </w:numPr>
        <w:spacing w:line="276" w:lineRule="auto"/>
        <w:rPr>
          <w:rFonts w:cs="Arial"/>
          <w:color w:val="232120"/>
        </w:rPr>
      </w:pPr>
      <w:r>
        <w:rPr>
          <w:rFonts w:eastAsia="Times New Roman" w:cs="Times New Roman"/>
        </w:rPr>
        <w:t>T</w:t>
      </w:r>
      <w:r w:rsidR="00C37D84" w:rsidRPr="00263285">
        <w:rPr>
          <w:rFonts w:eastAsia="Times New Roman" w:cs="Times New Roman"/>
        </w:rPr>
        <w:t xml:space="preserve">here are </w:t>
      </w:r>
      <w:proofErr w:type="gramStart"/>
      <w:r w:rsidR="00C37D84" w:rsidRPr="00263285">
        <w:rPr>
          <w:rFonts w:eastAsia="Times New Roman" w:cs="Times New Roman"/>
        </w:rPr>
        <w:t>a number of</w:t>
      </w:r>
      <w:proofErr w:type="gramEnd"/>
      <w:r w:rsidR="00C37D84" w:rsidRPr="00263285">
        <w:rPr>
          <w:rFonts w:eastAsia="Times New Roman" w:cs="Times New Roman"/>
        </w:rPr>
        <w:t xml:space="preserve"> reasons why </w:t>
      </w:r>
      <w:r w:rsidR="0054599E" w:rsidRPr="00263285">
        <w:rPr>
          <w:rFonts w:eastAsia="Times New Roman" w:cs="Times New Roman"/>
        </w:rPr>
        <w:t xml:space="preserve">Article 2 </w:t>
      </w:r>
      <w:r w:rsidR="002D4452">
        <w:rPr>
          <w:rFonts w:eastAsia="Times New Roman" w:cs="Times New Roman"/>
        </w:rPr>
        <w:t>WF</w:t>
      </w:r>
      <w:r w:rsidR="002D4452" w:rsidRPr="00263285">
        <w:rPr>
          <w:rFonts w:eastAsia="Times New Roman" w:cs="Times New Roman"/>
        </w:rPr>
        <w:t xml:space="preserve"> </w:t>
      </w:r>
      <w:r w:rsidR="0054599E" w:rsidRPr="00263285">
        <w:rPr>
          <w:rFonts w:eastAsia="Times New Roman" w:cs="Times New Roman"/>
        </w:rPr>
        <w:t>is engaged</w:t>
      </w:r>
      <w:r w:rsidR="007932B0" w:rsidRPr="00263285">
        <w:rPr>
          <w:rFonts w:eastAsia="Times New Roman" w:cs="Times New Roman"/>
        </w:rPr>
        <w:t xml:space="preserve"> in the context of healthcare</w:t>
      </w:r>
      <w:r w:rsidR="002D4452">
        <w:rPr>
          <w:rFonts w:eastAsia="Times New Roman" w:cs="Times New Roman"/>
        </w:rPr>
        <w:t xml:space="preserve"> in NI</w:t>
      </w:r>
      <w:r w:rsidR="0054599E" w:rsidRPr="00263285">
        <w:rPr>
          <w:rFonts w:eastAsia="Times New Roman" w:cs="Times New Roman"/>
        </w:rPr>
        <w:t xml:space="preserve">. </w:t>
      </w:r>
      <w:r w:rsidR="00D70947">
        <w:t xml:space="preserve">The Rights, Safeguards and Equality of Opportunities chapter of the Belfast (Good Friday) Agreement </w:t>
      </w:r>
      <w:r w:rsidR="00D70947" w:rsidRPr="006F6E42">
        <w:t>includes a general commitment to the “civil rights and religious liberties of everyone in the community</w:t>
      </w:r>
      <w:r w:rsidR="00D70947">
        <w:t xml:space="preserve">”. </w:t>
      </w:r>
      <w:r w:rsidR="00D70947" w:rsidRPr="004A6B55">
        <w:rPr>
          <w:rFonts w:eastAsia="Times New Roman" w:cs="Times New Roman"/>
        </w:rPr>
        <w:t xml:space="preserve">The phrase “affirmed in particular” in this section in terms of the rights and equality protections included suggests a non-exhaustive list of rights involved, through which healthcare can also be engaged. </w:t>
      </w:r>
    </w:p>
    <w:p w14:paraId="62089A11" w14:textId="77777777" w:rsidR="00245CB3" w:rsidRDefault="00245CB3" w:rsidP="00B36C6A">
      <w:pPr>
        <w:pStyle w:val="ListParagraph"/>
        <w:spacing w:line="276" w:lineRule="auto"/>
        <w:rPr>
          <w:rFonts w:cs="Arial"/>
          <w:color w:val="232120"/>
        </w:rPr>
      </w:pPr>
    </w:p>
    <w:p w14:paraId="1C8EF283" w14:textId="77777777" w:rsidR="00D70947" w:rsidRDefault="00D70947" w:rsidP="00B36C6A">
      <w:pPr>
        <w:pStyle w:val="Default"/>
        <w:numPr>
          <w:ilvl w:val="1"/>
          <w:numId w:val="14"/>
        </w:numPr>
        <w:spacing w:line="276" w:lineRule="auto"/>
        <w:rPr>
          <w:rFonts w:cs="Arial"/>
          <w:color w:val="232120"/>
        </w:rPr>
      </w:pPr>
      <w:r>
        <w:rPr>
          <w:rFonts w:cs="Arial"/>
          <w:color w:val="232120"/>
        </w:rPr>
        <w:t>Alongside other socio-economic rights, the right to health relates to the foundations of human dignity and is connected to the full participation in society, including the exercise civil and political rights.</w:t>
      </w:r>
      <w:r>
        <w:rPr>
          <w:rStyle w:val="FootnoteReference"/>
          <w:rFonts w:cs="Arial"/>
          <w:color w:val="232120"/>
        </w:rPr>
        <w:footnoteReference w:id="13"/>
      </w:r>
      <w:r>
        <w:rPr>
          <w:rFonts w:cs="Arial"/>
          <w:color w:val="232120"/>
        </w:rPr>
        <w:t xml:space="preserve"> This is referred to as the ‘indivisibility’ of human rights, or the notion that human rights are interconnected and mutually reinforcing. The Belfast (Good Friday) agreement reflects the interdependent and indivisible nature of human rights as it guarantees everyone’s right to participation in society.</w:t>
      </w:r>
      <w:r>
        <w:rPr>
          <w:rStyle w:val="FootnoteReference"/>
          <w:rFonts w:cs="Arial"/>
          <w:color w:val="232120"/>
        </w:rPr>
        <w:footnoteReference w:id="14"/>
      </w:r>
      <w:r>
        <w:rPr>
          <w:rFonts w:cs="Arial"/>
          <w:color w:val="232120"/>
        </w:rPr>
        <w:t xml:space="preserve"> </w:t>
      </w:r>
    </w:p>
    <w:p w14:paraId="1D883777" w14:textId="77777777" w:rsidR="00245CB3" w:rsidRDefault="00245CB3" w:rsidP="00B36C6A">
      <w:pPr>
        <w:pStyle w:val="ListParagraph"/>
        <w:spacing w:line="276" w:lineRule="auto"/>
        <w:rPr>
          <w:rFonts w:cs="Arial"/>
          <w:color w:val="232120"/>
        </w:rPr>
      </w:pPr>
    </w:p>
    <w:p w14:paraId="65469339" w14:textId="6A57910F" w:rsidR="004110FA" w:rsidRPr="003932EF" w:rsidRDefault="004110FA" w:rsidP="00B36C6A">
      <w:pPr>
        <w:pStyle w:val="Default"/>
        <w:numPr>
          <w:ilvl w:val="1"/>
          <w:numId w:val="14"/>
        </w:numPr>
        <w:spacing w:line="276" w:lineRule="auto"/>
        <w:rPr>
          <w:rFonts w:cs="Arial"/>
          <w:color w:val="232120"/>
        </w:rPr>
      </w:pPr>
      <w:r w:rsidRPr="003E59FD">
        <w:t xml:space="preserve">The general commitment of the Belfast (Good Friday) Agreement signatories to civil rights and a range of rights referenced within the chapter, along with the UK Government commitment in that chapter to incorporate the ECHR into domestic law, leads the </w:t>
      </w:r>
      <w:r>
        <w:t>NIHRC</w:t>
      </w:r>
      <w:r w:rsidRPr="003E59FD">
        <w:t xml:space="preserve"> to the view that Article 2 </w:t>
      </w:r>
      <w:r w:rsidR="00BD1F19">
        <w:t xml:space="preserve">WF </w:t>
      </w:r>
      <w:r w:rsidRPr="003E59FD">
        <w:t>must be understood as embracing, as a minimum, those rights set out in the ECHR. Indeed,</w:t>
      </w:r>
      <w:r w:rsidR="001D1EF0">
        <w:t xml:space="preserve"> in its</w:t>
      </w:r>
      <w:r w:rsidR="00946CAE">
        <w:t xml:space="preserve"> E</w:t>
      </w:r>
      <w:r w:rsidR="001D1EF0">
        <w:t>xplainer on Article 2,</w:t>
      </w:r>
      <w:r w:rsidRPr="003E59FD">
        <w:t xml:space="preserve"> the UK Government has </w:t>
      </w:r>
      <w:r w:rsidR="00A73A54">
        <w:t xml:space="preserve">again </w:t>
      </w:r>
      <w:r w:rsidRPr="003E59FD">
        <w:t>acknowledged that “key rights and equality provisions in the Belfast (Good Friday) Agreement are supported by the ECHR”.</w:t>
      </w:r>
      <w:r w:rsidRPr="003E59FD">
        <w:rPr>
          <w:rStyle w:val="FootnoteReference"/>
        </w:rPr>
        <w:footnoteReference w:id="15"/>
      </w:r>
      <w:r w:rsidRPr="003E59FD">
        <w:t xml:space="preserve"> </w:t>
      </w:r>
      <w:r w:rsidR="00B474F5">
        <w:t>The NIHRC</w:t>
      </w:r>
      <w:r w:rsidR="00E44626">
        <w:t xml:space="preserve"> </w:t>
      </w:r>
      <w:r w:rsidR="00B474F5">
        <w:t>ha</w:t>
      </w:r>
      <w:r w:rsidR="001D1EF0">
        <w:t xml:space="preserve">s therefore </w:t>
      </w:r>
      <w:r w:rsidRPr="003E59FD">
        <w:t>adopt</w:t>
      </w:r>
      <w:r w:rsidR="00B474F5">
        <w:t>ed</w:t>
      </w:r>
      <w:r w:rsidRPr="003E59FD">
        <w:t xml:space="preserve"> a working assumption that the non-diminution commitment in Article 2 </w:t>
      </w:r>
      <w:r w:rsidR="00BD1F19">
        <w:t xml:space="preserve">WF </w:t>
      </w:r>
      <w:r w:rsidRPr="003E59FD">
        <w:t>encompasses the full range of rights set out in the ECHR, to the extent that they are underpinned by EU legal obligations in force on or before 31 December 2020.</w:t>
      </w:r>
      <w:r w:rsidR="007859D8">
        <w:rPr>
          <w:rStyle w:val="FootnoteReference"/>
          <w:rFonts w:cs="Arial"/>
          <w:color w:val="232120"/>
        </w:rPr>
        <w:footnoteReference w:id="16"/>
      </w:r>
    </w:p>
    <w:p w14:paraId="1D834FB1" w14:textId="77777777" w:rsidR="007932B0" w:rsidRPr="00A73A54" w:rsidRDefault="007932B0" w:rsidP="00B36C6A">
      <w:pPr>
        <w:spacing w:line="276" w:lineRule="auto"/>
        <w:rPr>
          <w:rFonts w:ascii="Verdana" w:hAnsi="Verdana" w:cs="Arial"/>
          <w:color w:val="232120"/>
          <w:lang w:val="en-US"/>
        </w:rPr>
      </w:pPr>
    </w:p>
    <w:p w14:paraId="6166FC01" w14:textId="0C33F050" w:rsidR="00F234B8" w:rsidRPr="00245CB3" w:rsidRDefault="00F234B8" w:rsidP="00B36C6A">
      <w:pPr>
        <w:pStyle w:val="Default"/>
        <w:numPr>
          <w:ilvl w:val="1"/>
          <w:numId w:val="14"/>
        </w:numPr>
        <w:spacing w:line="276" w:lineRule="auto"/>
        <w:rPr>
          <w:rFonts w:cs="Arial"/>
          <w:color w:val="232120"/>
        </w:rPr>
      </w:pPr>
      <w:r w:rsidRPr="00602C55">
        <w:rPr>
          <w:rFonts w:eastAsia="Times New Roman" w:cs="Times New Roman"/>
        </w:rPr>
        <w:t xml:space="preserve">The human rights and equality protections which are “affirmed in </w:t>
      </w:r>
      <w:r w:rsidRPr="00602C55">
        <w:rPr>
          <w:rFonts w:eastAsia="Times New Roman" w:cs="Times New Roman"/>
        </w:rPr>
        <w:lastRenderedPageBreak/>
        <w:t>particular”</w:t>
      </w:r>
      <w:r>
        <w:rPr>
          <w:rFonts w:eastAsia="Times New Roman" w:cs="Times New Roman"/>
        </w:rPr>
        <w:t xml:space="preserve"> in the</w:t>
      </w:r>
      <w:r w:rsidR="00FB1E80">
        <w:rPr>
          <w:rFonts w:eastAsia="Times New Roman" w:cs="Times New Roman"/>
        </w:rPr>
        <w:t xml:space="preserve"> </w:t>
      </w:r>
      <w:r w:rsidR="00FB1E80">
        <w:t>Rights, Safeguards and Equality of Opportunities</w:t>
      </w:r>
      <w:r>
        <w:rPr>
          <w:rFonts w:eastAsia="Times New Roman" w:cs="Times New Roman"/>
        </w:rPr>
        <w:t xml:space="preserve"> chapter </w:t>
      </w:r>
      <w:r w:rsidRPr="00602C55">
        <w:rPr>
          <w:rFonts w:eastAsia="Times New Roman" w:cs="Times New Roman"/>
        </w:rPr>
        <w:t>include “the right to equal opportunity in all social and economic activity, regardless of class, creed, disability, gender or ethnicity”</w:t>
      </w:r>
      <w:r>
        <w:rPr>
          <w:rStyle w:val="FootnoteReference"/>
          <w:rFonts w:eastAsia="Times New Roman" w:cs="Times New Roman"/>
        </w:rPr>
        <w:footnoteReference w:id="17"/>
      </w:r>
      <w:r>
        <w:rPr>
          <w:rFonts w:eastAsia="Times New Roman" w:cs="Times New Roman"/>
        </w:rPr>
        <w:t>, which could also by viewed through the lens of access to healthcare.</w:t>
      </w:r>
      <w:r w:rsidRPr="00602C55">
        <w:rPr>
          <w:rFonts w:eastAsia="Times New Roman" w:cs="Times New Roman"/>
        </w:rPr>
        <w:t xml:space="preserve"> </w:t>
      </w:r>
    </w:p>
    <w:p w14:paraId="46DE92F2" w14:textId="77777777" w:rsidR="00F234B8" w:rsidRDefault="00F234B8" w:rsidP="00B36C6A">
      <w:pPr>
        <w:pStyle w:val="ListParagraph"/>
        <w:spacing w:line="276" w:lineRule="auto"/>
      </w:pPr>
    </w:p>
    <w:p w14:paraId="1757BC3B" w14:textId="2D83ABB4" w:rsidR="008C7B46" w:rsidRPr="00431822" w:rsidRDefault="006F56D3" w:rsidP="00B36C6A">
      <w:pPr>
        <w:pStyle w:val="Default"/>
        <w:numPr>
          <w:ilvl w:val="1"/>
          <w:numId w:val="14"/>
        </w:numPr>
        <w:spacing w:line="276" w:lineRule="auto"/>
        <w:rPr>
          <w:rFonts w:cs="Arial"/>
          <w:color w:val="232120"/>
        </w:rPr>
      </w:pPr>
      <w:proofErr w:type="gramStart"/>
      <w:r w:rsidRPr="006F56D3">
        <w:t>In order to</w:t>
      </w:r>
      <w:proofErr w:type="gramEnd"/>
      <w:r w:rsidRPr="006F56D3">
        <w:t xml:space="preserve"> show that there has been a diminution of rights, safeguards or equality of opportunity protections, resulting from the UK’s withdrawal from the EU, there must be a right or safeguard which was underpinned by EU law and given effect in NI law on or before 31 December 2020. A diminution occurs where </w:t>
      </w:r>
      <w:r w:rsidR="006F3FC8">
        <w:t xml:space="preserve">rights </w:t>
      </w:r>
      <w:r w:rsidR="002A72F1">
        <w:t xml:space="preserve">or safeguards </w:t>
      </w:r>
      <w:r w:rsidR="006F3FC8">
        <w:t xml:space="preserve">are reduced, contrary to the relevant </w:t>
      </w:r>
      <w:r w:rsidR="004763A2">
        <w:t>standards in</w:t>
      </w:r>
      <w:r w:rsidR="006F3FC8">
        <w:t xml:space="preserve"> EU law protected by Article 2 WF, </w:t>
      </w:r>
      <w:proofErr w:type="gramStart"/>
      <w:r w:rsidR="00770BC0">
        <w:t>e.g.</w:t>
      </w:r>
      <w:proofErr w:type="gramEnd"/>
      <w:r w:rsidR="00770BC0">
        <w:t xml:space="preserve"> </w:t>
      </w:r>
      <w:r w:rsidR="006F3FC8">
        <w:t>by a change in law or policy</w:t>
      </w:r>
      <w:r w:rsidRPr="006F56D3">
        <w:t xml:space="preserve"> on or after 1 January 2021</w:t>
      </w:r>
      <w:r w:rsidR="008C7B46" w:rsidRPr="00431822">
        <w:rPr>
          <w:rFonts w:cs="Arial"/>
          <w:color w:val="232120"/>
        </w:rPr>
        <w:t>.</w:t>
      </w:r>
    </w:p>
    <w:p w14:paraId="450B0DCB" w14:textId="77777777" w:rsidR="003368CD" w:rsidRPr="00F713CD" w:rsidRDefault="003368CD" w:rsidP="00B36C6A">
      <w:pPr>
        <w:pStyle w:val="ListParagraph"/>
        <w:spacing w:line="276" w:lineRule="auto"/>
        <w:rPr>
          <w:rFonts w:cs="Arial"/>
          <w:color w:val="232120"/>
        </w:rPr>
      </w:pPr>
    </w:p>
    <w:p w14:paraId="03FB7DBA" w14:textId="7E0A3184" w:rsidR="004E2B4B" w:rsidRPr="00F260AC" w:rsidRDefault="003368CD" w:rsidP="00B36C6A">
      <w:pPr>
        <w:pStyle w:val="Default"/>
        <w:numPr>
          <w:ilvl w:val="1"/>
          <w:numId w:val="14"/>
        </w:numPr>
        <w:spacing w:line="276" w:lineRule="auto"/>
        <w:rPr>
          <w:rFonts w:cs="Arial"/>
          <w:color w:val="232120"/>
          <w:lang w:val="en-GB"/>
        </w:rPr>
      </w:pPr>
      <w:r>
        <w:rPr>
          <w:lang w:val="en-GB"/>
        </w:rPr>
        <w:t>In addition to the non-diminution obligation</w:t>
      </w:r>
      <w:r w:rsidR="003F3D72">
        <w:rPr>
          <w:lang w:val="en-GB"/>
        </w:rPr>
        <w:t xml:space="preserve"> under Article 2</w:t>
      </w:r>
      <w:r>
        <w:rPr>
          <w:lang w:val="en-GB"/>
        </w:rPr>
        <w:t xml:space="preserve">, </w:t>
      </w:r>
      <w:r w:rsidR="002D733C">
        <w:rPr>
          <w:lang w:val="en-GB"/>
        </w:rPr>
        <w:br/>
      </w:r>
      <w:r w:rsidRPr="00F713CD">
        <w:rPr>
          <w:lang w:val="en-GB"/>
        </w:rPr>
        <w:t xml:space="preserve">Article </w:t>
      </w:r>
      <w:r w:rsidR="005E514D">
        <w:rPr>
          <w:lang w:val="en-GB"/>
        </w:rPr>
        <w:t>13</w:t>
      </w:r>
      <w:r w:rsidR="00BD1F19">
        <w:rPr>
          <w:lang w:val="en-GB"/>
        </w:rPr>
        <w:t xml:space="preserve"> WF</w:t>
      </w:r>
      <w:r w:rsidRPr="00F713CD">
        <w:rPr>
          <w:lang w:val="en-GB"/>
        </w:rPr>
        <w:t xml:space="preserve"> includes a commitment by the UK Government that </w:t>
      </w:r>
      <w:r w:rsidR="00C043D4">
        <w:rPr>
          <w:lang w:val="en-GB"/>
        </w:rPr>
        <w:t xml:space="preserve">the </w:t>
      </w:r>
      <w:r w:rsidRPr="00F713CD">
        <w:rPr>
          <w:lang w:val="en-GB"/>
        </w:rPr>
        <w:t xml:space="preserve">law </w:t>
      </w:r>
      <w:r w:rsidR="00C043D4">
        <w:rPr>
          <w:lang w:val="en-GB"/>
        </w:rPr>
        <w:t xml:space="preserve">in Northern Ireland </w:t>
      </w:r>
      <w:r w:rsidR="002D1AD3">
        <w:rPr>
          <w:lang w:val="en-GB"/>
        </w:rPr>
        <w:t>will</w:t>
      </w:r>
      <w:r w:rsidRPr="00F713CD">
        <w:rPr>
          <w:lang w:val="en-GB"/>
        </w:rPr>
        <w:t xml:space="preserve"> ‘keep pace’ or dynamically align with any </w:t>
      </w:r>
      <w:r w:rsidR="008C2DB3">
        <w:rPr>
          <w:lang w:val="en-GB"/>
        </w:rPr>
        <w:t xml:space="preserve">changes to </w:t>
      </w:r>
      <w:r w:rsidR="00B35130">
        <w:rPr>
          <w:lang w:val="en-GB"/>
        </w:rPr>
        <w:t xml:space="preserve">specified EU law including </w:t>
      </w:r>
      <w:r w:rsidRPr="00F713CD">
        <w:rPr>
          <w:lang w:val="en-GB"/>
        </w:rPr>
        <w:t xml:space="preserve">the six EU Equality Directives listed in Annex 1 to the </w:t>
      </w:r>
      <w:r w:rsidR="004F0914">
        <w:rPr>
          <w:lang w:val="en-GB"/>
        </w:rPr>
        <w:t xml:space="preserve">WF </w:t>
      </w:r>
      <w:r w:rsidRPr="00F713CD">
        <w:rPr>
          <w:lang w:val="en-GB"/>
        </w:rPr>
        <w:t>after 1 January 2021</w:t>
      </w:r>
      <w:r w:rsidR="002B5B0B">
        <w:rPr>
          <w:lang w:val="en-GB"/>
        </w:rPr>
        <w:t xml:space="preserve">. Read with Article 2, this provides </w:t>
      </w:r>
      <w:r w:rsidR="00982E35">
        <w:rPr>
          <w:lang w:val="en-GB"/>
        </w:rPr>
        <w:t xml:space="preserve">additional </w:t>
      </w:r>
      <w:r w:rsidR="002B5B0B">
        <w:rPr>
          <w:lang w:val="en-GB"/>
        </w:rPr>
        <w:t>protection</w:t>
      </w:r>
      <w:r w:rsidR="008C2DB3">
        <w:rPr>
          <w:lang w:val="en-GB"/>
        </w:rPr>
        <w:t xml:space="preserve"> to the extent that rights or protections are enhanced</w:t>
      </w:r>
      <w:r w:rsidR="00982E35">
        <w:rPr>
          <w:lang w:val="en-GB"/>
        </w:rPr>
        <w:t xml:space="preserve"> under these measures</w:t>
      </w:r>
      <w:r w:rsidRPr="00F713CD">
        <w:rPr>
          <w:lang w:val="en-GB"/>
        </w:rPr>
        <w:t>.</w:t>
      </w:r>
      <w:r w:rsidRPr="00F713CD">
        <w:rPr>
          <w:rStyle w:val="FootnoteReference"/>
          <w:lang w:val="en-GB"/>
        </w:rPr>
        <w:footnoteReference w:id="18"/>
      </w:r>
      <w:r w:rsidR="0080335D">
        <w:rPr>
          <w:lang w:val="en-GB"/>
        </w:rPr>
        <w:t xml:space="preserve"> </w:t>
      </w:r>
      <w:r w:rsidR="005E514D">
        <w:rPr>
          <w:lang w:val="en-GB"/>
        </w:rPr>
        <w:t xml:space="preserve">Under </w:t>
      </w:r>
      <w:r w:rsidR="00982E35">
        <w:rPr>
          <w:lang w:val="en-GB"/>
        </w:rPr>
        <w:t>Article 13</w:t>
      </w:r>
      <w:r w:rsidR="005E514D">
        <w:rPr>
          <w:lang w:val="en-GB"/>
        </w:rPr>
        <w:t xml:space="preserve">, </w:t>
      </w:r>
      <w:r w:rsidR="0080335D">
        <w:rPr>
          <w:lang w:val="en-GB"/>
        </w:rPr>
        <w:t>NI must also keep pace with any related case-law.</w:t>
      </w:r>
    </w:p>
    <w:p w14:paraId="080CB0A9" w14:textId="3097EAAB" w:rsidR="004A277E" w:rsidRPr="00BD1F19" w:rsidRDefault="006B4D3E" w:rsidP="00B36C6A">
      <w:pPr>
        <w:pStyle w:val="ListParagraph"/>
        <w:keepNext/>
        <w:keepLines/>
        <w:numPr>
          <w:ilvl w:val="0"/>
          <w:numId w:val="14"/>
        </w:numPr>
        <w:spacing w:before="240" w:line="276" w:lineRule="auto"/>
        <w:outlineLvl w:val="0"/>
        <w:rPr>
          <w:rFonts w:ascii="Verdana" w:eastAsiaTheme="majorEastAsia" w:hAnsi="Verdana" w:cstheme="majorBidi"/>
          <w:b/>
          <w:bCs/>
          <w:color w:val="77328A"/>
          <w:sz w:val="30"/>
          <w:szCs w:val="30"/>
        </w:rPr>
      </w:pPr>
      <w:bookmarkStart w:id="5" w:name="_Toc104983339"/>
      <w:r w:rsidRPr="00BD1F19">
        <w:rPr>
          <w:rFonts w:ascii="Verdana" w:eastAsiaTheme="majorEastAsia" w:hAnsi="Verdana" w:cstheme="majorBidi"/>
          <w:b/>
          <w:bCs/>
          <w:color w:val="77328A"/>
          <w:sz w:val="30"/>
          <w:szCs w:val="30"/>
        </w:rPr>
        <w:t>Common Travel Area Entitlements</w:t>
      </w:r>
      <w:bookmarkEnd w:id="5"/>
    </w:p>
    <w:p w14:paraId="032F555F" w14:textId="77777777" w:rsidR="00BF5AE5" w:rsidRPr="00BF5AE5" w:rsidRDefault="00BF5AE5" w:rsidP="00B36C6A">
      <w:pPr>
        <w:pStyle w:val="BasicParagraph"/>
        <w:suppressAutoHyphens/>
        <w:spacing w:line="276" w:lineRule="auto"/>
        <w:rPr>
          <w:rFonts w:ascii="Verdana" w:hAnsi="Verdana"/>
        </w:rPr>
      </w:pPr>
    </w:p>
    <w:p w14:paraId="623D7E65" w14:textId="1A69900F" w:rsidR="006B4D3E" w:rsidRPr="007875F1" w:rsidRDefault="001C1E1C" w:rsidP="00B36C6A">
      <w:pPr>
        <w:pStyle w:val="BasicParagraph"/>
        <w:numPr>
          <w:ilvl w:val="1"/>
          <w:numId w:val="14"/>
        </w:numPr>
        <w:suppressAutoHyphens/>
        <w:spacing w:line="276" w:lineRule="auto"/>
        <w:rPr>
          <w:rFonts w:ascii="Verdana" w:hAnsi="Verdana" w:cs="Gotham Book"/>
        </w:rPr>
      </w:pPr>
      <w:r>
        <w:rPr>
          <w:rFonts w:ascii="Verdana" w:hAnsi="Verdana" w:cs="Gotham Book"/>
        </w:rPr>
        <w:t>For</w:t>
      </w:r>
      <w:r w:rsidR="00982C10" w:rsidRPr="00BF5AE5">
        <w:rPr>
          <w:rFonts w:ascii="Verdana" w:hAnsi="Verdana" w:cs="Gotham Book"/>
        </w:rPr>
        <w:t xml:space="preserve"> many people</w:t>
      </w:r>
      <w:r w:rsidR="007323BE">
        <w:rPr>
          <w:rFonts w:ascii="Verdana" w:hAnsi="Verdana" w:cs="Gotham Book"/>
        </w:rPr>
        <w:t xml:space="preserve"> </w:t>
      </w:r>
      <w:r w:rsidR="00982C10" w:rsidRPr="00BF5AE5">
        <w:rPr>
          <w:rFonts w:ascii="Verdana" w:hAnsi="Verdana" w:cs="Gotham Book"/>
        </w:rPr>
        <w:t xml:space="preserve">who access the health system through Health and Social Care NI (and the </w:t>
      </w:r>
      <w:r w:rsidR="00982C10" w:rsidRPr="001C1E1C">
        <w:rPr>
          <w:rFonts w:ascii="Verdana" w:hAnsi="Verdana" w:cs="Gotham Book"/>
        </w:rPr>
        <w:t>shared health services in Ireland), their right to access</w:t>
      </w:r>
      <w:r w:rsidR="007323BE">
        <w:rPr>
          <w:rFonts w:ascii="Verdana" w:hAnsi="Verdana" w:cs="Gotham Book"/>
        </w:rPr>
        <w:t xml:space="preserve"> </w:t>
      </w:r>
      <w:r w:rsidR="00982C10" w:rsidRPr="001C1E1C">
        <w:rPr>
          <w:rFonts w:ascii="Verdana" w:hAnsi="Verdana" w:cs="Gotham Book"/>
        </w:rPr>
        <w:t xml:space="preserve">healthcare </w:t>
      </w:r>
      <w:r w:rsidR="00A81D24" w:rsidRPr="001C1E1C">
        <w:rPr>
          <w:rFonts w:ascii="Verdana" w:hAnsi="Verdana" w:cs="Gotham Book"/>
        </w:rPr>
        <w:t>is unlikely</w:t>
      </w:r>
      <w:r w:rsidR="00085A15">
        <w:rPr>
          <w:rFonts w:ascii="Verdana" w:hAnsi="Verdana" w:cs="Gotham Book"/>
        </w:rPr>
        <w:t xml:space="preserve"> to change</w:t>
      </w:r>
      <w:r w:rsidR="00A81D24" w:rsidRPr="001C1E1C">
        <w:rPr>
          <w:rFonts w:ascii="Verdana" w:hAnsi="Verdana" w:cs="Gotham Book"/>
        </w:rPr>
        <w:t xml:space="preserve"> </w:t>
      </w:r>
      <w:r w:rsidRPr="001C1E1C">
        <w:rPr>
          <w:rFonts w:ascii="Verdana" w:hAnsi="Verdana" w:cs="Gotham Book"/>
        </w:rPr>
        <w:t xml:space="preserve">after </w:t>
      </w:r>
      <w:r w:rsidR="00371FA8">
        <w:rPr>
          <w:rFonts w:ascii="Verdana" w:hAnsi="Verdana" w:cs="Gotham Book"/>
        </w:rPr>
        <w:t>Brexit due</w:t>
      </w:r>
      <w:r w:rsidR="00240F69" w:rsidRPr="001C1E1C">
        <w:rPr>
          <w:rFonts w:ascii="Verdana" w:hAnsi="Verdana" w:cs="Gotham Book"/>
        </w:rPr>
        <w:t xml:space="preserve"> to </w:t>
      </w:r>
      <w:r w:rsidR="00BF5AE5" w:rsidRPr="001C1E1C">
        <w:rPr>
          <w:rFonts w:ascii="Verdana" w:hAnsi="Verdana" w:cs="Gotham Book"/>
        </w:rPr>
        <w:t>Common Trave</w:t>
      </w:r>
      <w:r w:rsidR="00371FA8">
        <w:rPr>
          <w:rFonts w:ascii="Verdana" w:hAnsi="Verdana" w:cs="Gotham Book"/>
        </w:rPr>
        <w:t>l</w:t>
      </w:r>
      <w:r w:rsidR="00BF5AE5" w:rsidRPr="001C1E1C">
        <w:rPr>
          <w:rFonts w:ascii="Verdana" w:hAnsi="Verdana" w:cs="Gotham Book"/>
        </w:rPr>
        <w:t xml:space="preserve"> Area (CTA)</w:t>
      </w:r>
      <w:r w:rsidR="00982C10" w:rsidRPr="001C1E1C">
        <w:rPr>
          <w:rFonts w:ascii="Verdana" w:hAnsi="Verdana" w:cs="Gotham Book"/>
        </w:rPr>
        <w:t xml:space="preserve"> rules</w:t>
      </w:r>
      <w:r w:rsidRPr="001C1E1C">
        <w:rPr>
          <w:rFonts w:ascii="Verdana" w:hAnsi="Verdana" w:cs="Gotham Book"/>
        </w:rPr>
        <w:t xml:space="preserve">, </w:t>
      </w:r>
      <w:r w:rsidR="00240F69" w:rsidRPr="001C1E1C">
        <w:rPr>
          <w:rFonts w:ascii="Verdana" w:hAnsi="Verdana" w:cs="Gotham Book"/>
        </w:rPr>
        <w:t xml:space="preserve">which </w:t>
      </w:r>
      <w:r w:rsidR="00982C10" w:rsidRPr="001C1E1C">
        <w:rPr>
          <w:rFonts w:ascii="Verdana" w:hAnsi="Verdana" w:cs="Gotham Book"/>
        </w:rPr>
        <w:t xml:space="preserve">form the basis </w:t>
      </w:r>
      <w:r w:rsidR="0050439F">
        <w:rPr>
          <w:rFonts w:ascii="Verdana" w:hAnsi="Verdana" w:cs="Gotham Book"/>
        </w:rPr>
        <w:t>for</w:t>
      </w:r>
      <w:r w:rsidR="00982C10" w:rsidRPr="001C1E1C">
        <w:rPr>
          <w:rFonts w:ascii="Verdana" w:hAnsi="Verdana" w:cs="Gotham Book"/>
        </w:rPr>
        <w:t xml:space="preserve"> access </w:t>
      </w:r>
      <w:r w:rsidR="00207510">
        <w:rPr>
          <w:rFonts w:ascii="Verdana" w:hAnsi="Verdana" w:cs="Gotham Book"/>
        </w:rPr>
        <w:t xml:space="preserve">to healthcare for </w:t>
      </w:r>
      <w:r w:rsidR="00B475F6">
        <w:rPr>
          <w:rFonts w:ascii="Verdana" w:hAnsi="Verdana" w:cs="Gotham Book"/>
        </w:rPr>
        <w:t>those</w:t>
      </w:r>
      <w:r w:rsidR="000A6073">
        <w:rPr>
          <w:rFonts w:ascii="Verdana" w:hAnsi="Verdana" w:cs="Gotham Book"/>
        </w:rPr>
        <w:t xml:space="preserve"> British or Irish citizens</w:t>
      </w:r>
      <w:r w:rsidR="00B475F6">
        <w:rPr>
          <w:rFonts w:ascii="Verdana" w:hAnsi="Verdana" w:cs="Gotham Book"/>
        </w:rPr>
        <w:t xml:space="preserve"> who </w:t>
      </w:r>
      <w:r w:rsidR="00037618">
        <w:rPr>
          <w:rFonts w:ascii="Verdana" w:hAnsi="Verdana" w:cs="Gotham Book"/>
        </w:rPr>
        <w:t>reside</w:t>
      </w:r>
      <w:r w:rsidR="00207510">
        <w:rPr>
          <w:rFonts w:ascii="Verdana" w:hAnsi="Verdana" w:cs="Gotham Book"/>
        </w:rPr>
        <w:t xml:space="preserve"> in the UK or Ireland</w:t>
      </w:r>
      <w:r w:rsidR="00982C10" w:rsidRPr="007875F1">
        <w:rPr>
          <w:rFonts w:ascii="Verdana" w:hAnsi="Verdana" w:cs="Gotham Book"/>
        </w:rPr>
        <w:t>.</w:t>
      </w:r>
      <w:r w:rsidR="003A342E">
        <w:rPr>
          <w:rStyle w:val="FootnoteReference"/>
          <w:rFonts w:ascii="Verdana" w:hAnsi="Verdana" w:cs="Gotham Book"/>
        </w:rPr>
        <w:footnoteReference w:id="19"/>
      </w:r>
    </w:p>
    <w:p w14:paraId="71797799" w14:textId="77777777" w:rsidR="009145F4" w:rsidRPr="007875F1" w:rsidRDefault="009145F4" w:rsidP="00B36C6A">
      <w:pPr>
        <w:spacing w:line="276" w:lineRule="auto"/>
        <w:rPr>
          <w:rFonts w:ascii="Verdana" w:hAnsi="Verdana" w:cs="Gotham Book"/>
        </w:rPr>
      </w:pPr>
    </w:p>
    <w:p w14:paraId="453E743C" w14:textId="77777777" w:rsidR="00C67810" w:rsidRDefault="00CE7A9C" w:rsidP="00B36C6A">
      <w:pPr>
        <w:pStyle w:val="BasicParagraph"/>
        <w:numPr>
          <w:ilvl w:val="1"/>
          <w:numId w:val="14"/>
        </w:numPr>
        <w:suppressAutoHyphens/>
        <w:spacing w:line="276" w:lineRule="auto"/>
        <w:rPr>
          <w:rFonts w:ascii="Verdana" w:hAnsi="Verdana" w:cs="Gotham Book"/>
        </w:rPr>
      </w:pPr>
      <w:r>
        <w:rPr>
          <w:rFonts w:ascii="Verdana" w:hAnsi="Verdana" w:cs="Gotham Book"/>
        </w:rPr>
        <w:t xml:space="preserve">Nevertheless, as </w:t>
      </w:r>
      <w:r w:rsidR="00B31D9D" w:rsidRPr="007875F1">
        <w:rPr>
          <w:rFonts w:ascii="Verdana" w:hAnsi="Verdana" w:cs="Gotham Book"/>
        </w:rPr>
        <w:t>highlighted by previous research</w:t>
      </w:r>
      <w:r w:rsidR="003652C2" w:rsidRPr="007875F1">
        <w:rPr>
          <w:rFonts w:ascii="Verdana" w:hAnsi="Verdana" w:cs="Gotham Book"/>
        </w:rPr>
        <w:t xml:space="preserve"> commissioned by the </w:t>
      </w:r>
      <w:r w:rsidR="003652C2" w:rsidRPr="007875F1">
        <w:rPr>
          <w:rFonts w:ascii="Verdana" w:hAnsi="Verdana" w:cs="Gotham Book"/>
        </w:rPr>
        <w:lastRenderedPageBreak/>
        <w:t>NIHRC and IHREC</w:t>
      </w:r>
      <w:r w:rsidR="00B31D9D" w:rsidRPr="007875F1">
        <w:rPr>
          <w:rFonts w:ascii="Verdana" w:hAnsi="Verdana" w:cs="Gotham Book"/>
        </w:rPr>
        <w:t>,</w:t>
      </w:r>
      <w:r w:rsidR="005854C3" w:rsidRPr="007875F1">
        <w:rPr>
          <w:rFonts w:ascii="Verdana" w:hAnsi="Verdana" w:cs="Gotham Book"/>
        </w:rPr>
        <w:t xml:space="preserve"> CTA</w:t>
      </w:r>
      <w:r w:rsidR="0050439F" w:rsidRPr="007875F1">
        <w:rPr>
          <w:rFonts w:ascii="Verdana" w:hAnsi="Verdana" w:cs="Gotham Book"/>
        </w:rPr>
        <w:t xml:space="preserve"> entitlements</w:t>
      </w:r>
      <w:r w:rsidR="00C60167">
        <w:rPr>
          <w:rFonts w:ascii="Verdana" w:hAnsi="Verdana" w:cs="Gotham Book"/>
        </w:rPr>
        <w:t xml:space="preserve"> are</w:t>
      </w:r>
      <w:r w:rsidR="0050439F" w:rsidRPr="007875F1">
        <w:rPr>
          <w:rFonts w:ascii="Verdana" w:hAnsi="Verdana" w:cs="Gotham Book"/>
        </w:rPr>
        <w:t xml:space="preserve"> </w:t>
      </w:r>
      <w:r w:rsidR="00C83C9C">
        <w:rPr>
          <w:rFonts w:ascii="Verdana" w:hAnsi="Verdana" w:cs="Gotham Book"/>
        </w:rPr>
        <w:t>largely</w:t>
      </w:r>
      <w:r w:rsidR="0050439F" w:rsidRPr="007875F1">
        <w:rPr>
          <w:rFonts w:ascii="Verdana" w:hAnsi="Verdana" w:cs="Gotham Book"/>
        </w:rPr>
        <w:t xml:space="preserve"> contingent on continued national legislation and/or guidance remaining in place.</w:t>
      </w:r>
      <w:r w:rsidR="007875F1" w:rsidRPr="007875F1">
        <w:rPr>
          <w:rStyle w:val="FootnoteReference"/>
          <w:rFonts w:ascii="Verdana" w:hAnsi="Verdana" w:cs="Gotham Book"/>
        </w:rPr>
        <w:footnoteReference w:id="20"/>
      </w:r>
      <w:r w:rsidR="007875F1" w:rsidRPr="007875F1">
        <w:rPr>
          <w:rFonts w:ascii="Verdana" w:hAnsi="Verdana" w:cs="Gotham Book"/>
        </w:rPr>
        <w:t xml:space="preserve"> </w:t>
      </w:r>
      <w:r w:rsidR="005748D5">
        <w:rPr>
          <w:rFonts w:ascii="Verdana" w:hAnsi="Verdana" w:cs="Gotham Book"/>
        </w:rPr>
        <w:t>Furthermore, confirmed</w:t>
      </w:r>
      <w:r w:rsidR="00A369A4">
        <w:rPr>
          <w:rFonts w:ascii="Verdana" w:hAnsi="Verdana" w:cs="Gotham Book"/>
        </w:rPr>
        <w:t xml:space="preserve"> by </w:t>
      </w:r>
      <w:r w:rsidR="00245A2B">
        <w:rPr>
          <w:rFonts w:ascii="Verdana" w:hAnsi="Verdana" w:cs="Gotham Book"/>
        </w:rPr>
        <w:t>Prof. Hervey</w:t>
      </w:r>
      <w:r w:rsidR="00A369A4">
        <w:rPr>
          <w:rFonts w:ascii="Verdana" w:hAnsi="Verdana" w:cs="Gotham Book"/>
        </w:rPr>
        <w:t>’s research</w:t>
      </w:r>
      <w:r w:rsidR="007B1436">
        <w:rPr>
          <w:rFonts w:ascii="Verdana" w:hAnsi="Verdana" w:cs="Gotham Book"/>
        </w:rPr>
        <w:t>, these entitlements</w:t>
      </w:r>
      <w:r w:rsidR="000C7A0C">
        <w:rPr>
          <w:rFonts w:ascii="Verdana" w:hAnsi="Verdana" w:cs="Gotham Book"/>
        </w:rPr>
        <w:t xml:space="preserve"> also</w:t>
      </w:r>
      <w:r w:rsidR="007B1436">
        <w:rPr>
          <w:rFonts w:ascii="Verdana" w:hAnsi="Verdana" w:cs="Gotham Book"/>
        </w:rPr>
        <w:t xml:space="preserve"> </w:t>
      </w:r>
      <w:r w:rsidR="00C60167">
        <w:rPr>
          <w:rFonts w:ascii="Verdana" w:hAnsi="Verdana" w:cs="Gotham Book"/>
        </w:rPr>
        <w:t>“</w:t>
      </w:r>
      <w:r w:rsidR="007B1436">
        <w:rPr>
          <w:rFonts w:ascii="Verdana" w:hAnsi="Verdana" w:cs="Gotham Book"/>
        </w:rPr>
        <w:t xml:space="preserve">lack </w:t>
      </w:r>
      <w:r w:rsidR="0050439F" w:rsidRPr="007875F1">
        <w:rPr>
          <w:rFonts w:ascii="Verdana" w:hAnsi="Verdana" w:cs="Gotham Book"/>
        </w:rPr>
        <w:t>the external quality of EU law</w:t>
      </w:r>
      <w:r w:rsidR="00747758" w:rsidRPr="007875F1">
        <w:rPr>
          <w:rFonts w:ascii="Verdana" w:hAnsi="Verdana" w:cs="Gotham Book"/>
        </w:rPr>
        <w:t xml:space="preserve"> or </w:t>
      </w:r>
      <w:r w:rsidR="0050439F" w:rsidRPr="007875F1">
        <w:rPr>
          <w:rFonts w:ascii="Verdana" w:hAnsi="Verdana" w:cs="Gotham Book"/>
        </w:rPr>
        <w:t>Withdrawal Agreement law, the administrative arrangements that underpin EU law,</w:t>
      </w:r>
      <w:r w:rsidR="007875F1">
        <w:rPr>
          <w:rStyle w:val="A6"/>
          <w:rFonts w:ascii="Verdana" w:hAnsi="Verdana"/>
          <w:sz w:val="24"/>
          <w:szCs w:val="24"/>
        </w:rPr>
        <w:t xml:space="preserve"> </w:t>
      </w:r>
      <w:r w:rsidR="0050439F" w:rsidRPr="007875F1">
        <w:rPr>
          <w:rFonts w:ascii="Verdana" w:hAnsi="Verdana" w:cs="Gotham Book"/>
        </w:rPr>
        <w:t>and the consequences associated with non-compliance with EU law/Withdrawal Agreement law.</w:t>
      </w:r>
      <w:r w:rsidR="00C60167">
        <w:rPr>
          <w:rFonts w:ascii="Verdana" w:hAnsi="Verdana" w:cs="Gotham Book"/>
        </w:rPr>
        <w:t>”</w:t>
      </w:r>
      <w:r w:rsidR="007B1436">
        <w:rPr>
          <w:rStyle w:val="FootnoteReference"/>
          <w:rFonts w:ascii="Verdana" w:hAnsi="Verdana" w:cs="Gotham Book"/>
        </w:rPr>
        <w:footnoteReference w:id="21"/>
      </w:r>
      <w:r w:rsidR="0050439F" w:rsidRPr="007875F1">
        <w:rPr>
          <w:rFonts w:ascii="Verdana" w:hAnsi="Verdana" w:cs="Gotham Book"/>
        </w:rPr>
        <w:t xml:space="preserve"> </w:t>
      </w:r>
    </w:p>
    <w:p w14:paraId="07FE0887" w14:textId="77777777" w:rsidR="00C67810" w:rsidRDefault="00C67810" w:rsidP="00B36C6A">
      <w:pPr>
        <w:pStyle w:val="ListParagraph"/>
        <w:spacing w:line="276" w:lineRule="auto"/>
        <w:rPr>
          <w:rFonts w:ascii="Verdana" w:hAnsi="Verdana" w:cs="Gotham Book"/>
        </w:rPr>
      </w:pPr>
    </w:p>
    <w:p w14:paraId="0DB5D33B" w14:textId="77777777" w:rsidR="00C67810" w:rsidRDefault="00037618" w:rsidP="00B36C6A">
      <w:pPr>
        <w:pStyle w:val="BasicParagraph"/>
        <w:numPr>
          <w:ilvl w:val="1"/>
          <w:numId w:val="14"/>
        </w:numPr>
        <w:suppressAutoHyphens/>
        <w:spacing w:line="276" w:lineRule="auto"/>
        <w:rPr>
          <w:rFonts w:ascii="Verdana" w:hAnsi="Verdana" w:cs="Gotham Book"/>
        </w:rPr>
      </w:pPr>
      <w:r w:rsidRPr="00C67810">
        <w:rPr>
          <w:rFonts w:ascii="Verdana" w:hAnsi="Verdana" w:cs="Gotham Book"/>
        </w:rPr>
        <w:t>The</w:t>
      </w:r>
      <w:r w:rsidR="00E64880" w:rsidRPr="00C67810">
        <w:rPr>
          <w:rFonts w:ascii="Verdana" w:hAnsi="Verdana" w:cs="Gotham Book"/>
        </w:rPr>
        <w:t xml:space="preserve"> research </w:t>
      </w:r>
      <w:r w:rsidR="00316114" w:rsidRPr="00C67810">
        <w:rPr>
          <w:rFonts w:ascii="Verdana" w:hAnsi="Verdana" w:cs="Gotham Book"/>
        </w:rPr>
        <w:t xml:space="preserve">at hand </w:t>
      </w:r>
      <w:r w:rsidRPr="00C67810">
        <w:rPr>
          <w:rFonts w:ascii="Verdana" w:hAnsi="Verdana" w:cs="Gotham Book"/>
        </w:rPr>
        <w:t xml:space="preserve">also </w:t>
      </w:r>
      <w:r w:rsidR="005669AE" w:rsidRPr="00C67810">
        <w:rPr>
          <w:rFonts w:ascii="Verdana" w:hAnsi="Verdana" w:cs="Gotham Book"/>
        </w:rPr>
        <w:t>provides</w:t>
      </w:r>
      <w:r w:rsidR="00297086" w:rsidRPr="00C67810">
        <w:rPr>
          <w:rFonts w:ascii="Verdana" w:hAnsi="Verdana" w:cs="Gotham Book"/>
        </w:rPr>
        <w:t xml:space="preserve"> </w:t>
      </w:r>
      <w:r w:rsidR="00F5262B" w:rsidRPr="00C67810">
        <w:rPr>
          <w:rFonts w:ascii="Verdana" w:hAnsi="Verdana" w:cs="Gotham Book"/>
        </w:rPr>
        <w:t>clear examples</w:t>
      </w:r>
      <w:r w:rsidR="0013736F" w:rsidRPr="00C67810">
        <w:rPr>
          <w:rFonts w:ascii="Verdana" w:hAnsi="Verdana" w:cs="Gotham Book"/>
        </w:rPr>
        <w:t xml:space="preserve"> </w:t>
      </w:r>
      <w:r w:rsidR="00F5262B" w:rsidRPr="00C67810">
        <w:rPr>
          <w:rFonts w:ascii="Verdana" w:hAnsi="Verdana" w:cs="Gotham Book"/>
        </w:rPr>
        <w:t>that the</w:t>
      </w:r>
      <w:r w:rsidR="0013736F" w:rsidRPr="00C67810">
        <w:rPr>
          <w:rFonts w:ascii="Verdana" w:hAnsi="Verdana" w:cs="Gotham Book"/>
        </w:rPr>
        <w:t xml:space="preserve"> residence-based </w:t>
      </w:r>
      <w:r w:rsidR="00195463" w:rsidRPr="00C67810">
        <w:rPr>
          <w:rFonts w:ascii="Verdana" w:hAnsi="Verdana" w:cs="Gotham Book"/>
        </w:rPr>
        <w:t>element</w:t>
      </w:r>
      <w:r w:rsidR="003F567C" w:rsidRPr="00C67810">
        <w:rPr>
          <w:rFonts w:ascii="Verdana" w:hAnsi="Verdana" w:cs="Gotham Book"/>
        </w:rPr>
        <w:t xml:space="preserve"> to</w:t>
      </w:r>
      <w:r w:rsidR="00195463" w:rsidRPr="00C67810">
        <w:rPr>
          <w:rFonts w:ascii="Verdana" w:hAnsi="Verdana" w:cs="Gotham Book"/>
        </w:rPr>
        <w:t xml:space="preserve"> </w:t>
      </w:r>
      <w:r w:rsidR="003F567C" w:rsidRPr="00C67810">
        <w:rPr>
          <w:rFonts w:ascii="Verdana" w:hAnsi="Verdana" w:cs="Gotham Book"/>
        </w:rPr>
        <w:t xml:space="preserve">accessing </w:t>
      </w:r>
      <w:r w:rsidR="00195463" w:rsidRPr="00C67810">
        <w:rPr>
          <w:rFonts w:ascii="Verdana" w:hAnsi="Verdana" w:cs="Gotham Book"/>
        </w:rPr>
        <w:t xml:space="preserve">health, </w:t>
      </w:r>
      <w:r w:rsidR="003F567C" w:rsidRPr="00C67810">
        <w:rPr>
          <w:rFonts w:ascii="Verdana" w:hAnsi="Verdana" w:cs="Gotham Book"/>
        </w:rPr>
        <w:t>including</w:t>
      </w:r>
      <w:r w:rsidR="00195463" w:rsidRPr="00C67810">
        <w:rPr>
          <w:rFonts w:ascii="Verdana" w:hAnsi="Verdana" w:cs="Gotham Book"/>
        </w:rPr>
        <w:t xml:space="preserve"> </w:t>
      </w:r>
      <w:r w:rsidR="00B063D3" w:rsidRPr="00C67810">
        <w:rPr>
          <w:rFonts w:ascii="Verdana" w:hAnsi="Verdana" w:cs="Gotham Book"/>
        </w:rPr>
        <w:t xml:space="preserve">accessing </w:t>
      </w:r>
      <w:r w:rsidR="00195463" w:rsidRPr="00C67810">
        <w:rPr>
          <w:rFonts w:ascii="Verdana" w:hAnsi="Verdana" w:cs="Gotham Book"/>
        </w:rPr>
        <w:t>the all-</w:t>
      </w:r>
      <w:r w:rsidR="003F567C" w:rsidRPr="00C67810">
        <w:rPr>
          <w:rFonts w:ascii="Verdana" w:hAnsi="Verdana" w:cs="Gotham Book"/>
        </w:rPr>
        <w:t>I</w:t>
      </w:r>
      <w:r w:rsidR="00195463" w:rsidRPr="00C67810">
        <w:rPr>
          <w:rFonts w:ascii="Verdana" w:hAnsi="Verdana" w:cs="Gotham Book"/>
        </w:rPr>
        <w:t xml:space="preserve">reland integrated health facilities, </w:t>
      </w:r>
      <w:r w:rsidR="004A43C8" w:rsidRPr="00C67810">
        <w:rPr>
          <w:rFonts w:ascii="Verdana" w:hAnsi="Verdana" w:cs="Gotham Book"/>
        </w:rPr>
        <w:t>can act as an</w:t>
      </w:r>
      <w:r w:rsidR="0013736F" w:rsidRPr="00C67810">
        <w:rPr>
          <w:rFonts w:ascii="Verdana" w:hAnsi="Verdana" w:cs="Gotham Book"/>
        </w:rPr>
        <w:t xml:space="preserve"> obstacle for </w:t>
      </w:r>
      <w:r w:rsidR="003F567C" w:rsidRPr="00C67810">
        <w:rPr>
          <w:rFonts w:ascii="Verdana" w:hAnsi="Verdana" w:cs="Gotham Book"/>
        </w:rPr>
        <w:t xml:space="preserve">some residents </w:t>
      </w:r>
      <w:r w:rsidR="00ED4EDA" w:rsidRPr="00C67810">
        <w:rPr>
          <w:rFonts w:ascii="Verdana" w:hAnsi="Verdana" w:cs="Gotham Book"/>
        </w:rPr>
        <w:t>on the island</w:t>
      </w:r>
      <w:r w:rsidR="00F5262B" w:rsidRPr="00C67810">
        <w:rPr>
          <w:rFonts w:ascii="Verdana" w:hAnsi="Verdana" w:cs="Gotham Book"/>
        </w:rPr>
        <w:t xml:space="preserve"> post-Brexit</w:t>
      </w:r>
      <w:r w:rsidR="004A43C8" w:rsidRPr="00C67810">
        <w:rPr>
          <w:rFonts w:ascii="Verdana" w:hAnsi="Verdana" w:cs="Gotham Book"/>
        </w:rPr>
        <w:t>.</w:t>
      </w:r>
      <w:r w:rsidR="00290F3B" w:rsidRPr="00C67810">
        <w:rPr>
          <w:rFonts w:ascii="Verdana" w:hAnsi="Verdana" w:cs="Gotham Book"/>
        </w:rPr>
        <w:t xml:space="preserve"> </w:t>
      </w:r>
      <w:r w:rsidR="004D7025" w:rsidRPr="00C67810">
        <w:rPr>
          <w:rFonts w:ascii="Verdana" w:hAnsi="Verdana" w:cs="Gotham Book"/>
        </w:rPr>
        <w:t>T</w:t>
      </w:r>
      <w:r w:rsidR="00340FE7" w:rsidRPr="00C67810">
        <w:rPr>
          <w:rFonts w:ascii="Verdana" w:hAnsi="Verdana" w:cs="Gotham Book"/>
        </w:rPr>
        <w:t xml:space="preserve">hose with insecure </w:t>
      </w:r>
      <w:r w:rsidR="00F62935" w:rsidRPr="00C67810">
        <w:rPr>
          <w:rFonts w:ascii="Verdana" w:hAnsi="Verdana" w:cs="Gotham Book"/>
        </w:rPr>
        <w:t>immigration status</w:t>
      </w:r>
      <w:r w:rsidR="00AD09C2" w:rsidRPr="00A8149A">
        <w:rPr>
          <w:rStyle w:val="FootnoteReference"/>
          <w:rFonts w:ascii="Verdana" w:hAnsi="Verdana" w:cs="Gotham Book"/>
        </w:rPr>
        <w:footnoteReference w:id="22"/>
      </w:r>
      <w:r w:rsidR="00116A3F" w:rsidRPr="00C67810">
        <w:rPr>
          <w:rFonts w:ascii="Verdana" w:hAnsi="Verdana" w:cs="Gotham Book"/>
        </w:rPr>
        <w:t xml:space="preserve"> or those who present to the </w:t>
      </w:r>
      <w:r w:rsidR="00DC21AC" w:rsidRPr="00C67810">
        <w:rPr>
          <w:rFonts w:ascii="Verdana" w:hAnsi="Verdana" w:cs="Gotham Book"/>
        </w:rPr>
        <w:t xml:space="preserve">healthcare </w:t>
      </w:r>
      <w:r w:rsidR="00116A3F" w:rsidRPr="00C67810">
        <w:rPr>
          <w:rFonts w:ascii="Verdana" w:hAnsi="Verdana" w:cs="Gotham Book"/>
        </w:rPr>
        <w:t>administrators as foreign non-residents,</w:t>
      </w:r>
      <w:r w:rsidR="00116A3F" w:rsidRPr="00A8149A">
        <w:rPr>
          <w:rStyle w:val="FootnoteReference"/>
          <w:rFonts w:ascii="Verdana" w:hAnsi="Verdana" w:cs="Gotham Book"/>
        </w:rPr>
        <w:footnoteReference w:id="23"/>
      </w:r>
      <w:r w:rsidR="00116A3F" w:rsidRPr="00C67810">
        <w:rPr>
          <w:rFonts w:ascii="Verdana" w:hAnsi="Verdana" w:cs="Gotham Book"/>
        </w:rPr>
        <w:t xml:space="preserve"> </w:t>
      </w:r>
      <w:r w:rsidR="00F4587A" w:rsidRPr="00C67810">
        <w:rPr>
          <w:rFonts w:ascii="Verdana" w:hAnsi="Verdana" w:cs="Gotham Book"/>
        </w:rPr>
        <w:t xml:space="preserve">all </w:t>
      </w:r>
      <w:r w:rsidR="0003100B" w:rsidRPr="00C67810">
        <w:rPr>
          <w:rFonts w:ascii="Verdana" w:hAnsi="Verdana" w:cs="Gotham Book"/>
        </w:rPr>
        <w:t>remain at risk</w:t>
      </w:r>
      <w:r w:rsidR="003224D3" w:rsidRPr="00C67810">
        <w:rPr>
          <w:rFonts w:ascii="Verdana" w:hAnsi="Verdana" w:cs="Gotham Book"/>
        </w:rPr>
        <w:t xml:space="preserve"> </w:t>
      </w:r>
      <w:r w:rsidR="00F4587A" w:rsidRPr="00C67810">
        <w:rPr>
          <w:rFonts w:ascii="Verdana" w:hAnsi="Verdana" w:cs="Gotham Book"/>
        </w:rPr>
        <w:t>of not being able to access healthc</w:t>
      </w:r>
      <w:r w:rsidR="004041DD" w:rsidRPr="00C67810">
        <w:rPr>
          <w:rFonts w:ascii="Verdana" w:hAnsi="Verdana" w:cs="Gotham Book"/>
        </w:rPr>
        <w:t>are</w:t>
      </w:r>
      <w:r w:rsidR="00ED4EDA" w:rsidRPr="00C67810">
        <w:rPr>
          <w:rFonts w:ascii="Verdana" w:hAnsi="Verdana" w:cs="Gotham Book"/>
        </w:rPr>
        <w:t xml:space="preserve"> </w:t>
      </w:r>
      <w:r w:rsidR="00792986" w:rsidRPr="00C67810">
        <w:rPr>
          <w:rFonts w:ascii="Verdana" w:hAnsi="Verdana" w:cs="Gotham Book"/>
        </w:rPr>
        <w:t>in the context of the</w:t>
      </w:r>
      <w:r w:rsidR="00162242" w:rsidRPr="00C67810">
        <w:rPr>
          <w:rFonts w:ascii="Verdana" w:hAnsi="Verdana" w:cs="Gotham Book"/>
        </w:rPr>
        <w:t xml:space="preserve"> CTA entitlements</w:t>
      </w:r>
      <w:r w:rsidR="00BC4D00" w:rsidRPr="00C67810">
        <w:rPr>
          <w:rFonts w:ascii="Verdana" w:hAnsi="Verdana" w:cs="Gotham Book"/>
        </w:rPr>
        <w:t xml:space="preserve"> being relied on to facilitate the ‘all island’ healthcare system.</w:t>
      </w:r>
    </w:p>
    <w:p w14:paraId="13752540" w14:textId="77777777" w:rsidR="00C67810" w:rsidRDefault="00C67810" w:rsidP="00B36C6A">
      <w:pPr>
        <w:pStyle w:val="ListParagraph"/>
        <w:spacing w:line="276" w:lineRule="auto"/>
        <w:rPr>
          <w:rFonts w:ascii="Verdana" w:hAnsi="Verdana" w:cs="Gotham Book"/>
        </w:rPr>
      </w:pPr>
    </w:p>
    <w:p w14:paraId="6E750B4F" w14:textId="77777777" w:rsidR="003932EF" w:rsidRDefault="0091523A" w:rsidP="00B36C6A">
      <w:pPr>
        <w:pStyle w:val="BasicParagraph"/>
        <w:numPr>
          <w:ilvl w:val="1"/>
          <w:numId w:val="14"/>
        </w:numPr>
        <w:suppressAutoHyphens/>
        <w:spacing w:line="276" w:lineRule="auto"/>
        <w:rPr>
          <w:rFonts w:ascii="Verdana" w:hAnsi="Verdana" w:cs="Gotham Book"/>
          <w:b/>
          <w:bCs/>
        </w:rPr>
      </w:pPr>
      <w:r w:rsidRPr="00A8149A">
        <w:rPr>
          <w:rFonts w:ascii="Verdana" w:hAnsi="Verdana" w:cs="Gotham Book"/>
          <w:b/>
          <w:bCs/>
        </w:rPr>
        <w:t>The NIHRC recommends that the Common Travel Area and</w:t>
      </w:r>
      <w:r w:rsidR="007875F1" w:rsidRPr="00A8149A">
        <w:rPr>
          <w:rFonts w:ascii="Verdana" w:hAnsi="Verdana" w:cs="Gotham Book"/>
          <w:b/>
          <w:bCs/>
        </w:rPr>
        <w:t xml:space="preserve"> </w:t>
      </w:r>
      <w:r w:rsidRPr="00A8149A">
        <w:rPr>
          <w:rFonts w:ascii="Verdana" w:hAnsi="Verdana" w:cs="Gotham Book"/>
          <w:b/>
          <w:bCs/>
        </w:rPr>
        <w:t>rights associated with it are enshrined in law by a comprehensive</w:t>
      </w:r>
      <w:r w:rsidR="007875F1" w:rsidRPr="00A8149A">
        <w:rPr>
          <w:rFonts w:ascii="Verdana" w:hAnsi="Verdana" w:cs="Gotham Book"/>
          <w:b/>
          <w:bCs/>
        </w:rPr>
        <w:t xml:space="preserve"> </w:t>
      </w:r>
      <w:r w:rsidRPr="00A8149A">
        <w:rPr>
          <w:rFonts w:ascii="Verdana" w:hAnsi="Verdana" w:cs="Gotham Book"/>
          <w:b/>
          <w:bCs/>
        </w:rPr>
        <w:t>bilateral treaty to maintain</w:t>
      </w:r>
      <w:r w:rsidR="00B7473D">
        <w:rPr>
          <w:rFonts w:ascii="Verdana" w:hAnsi="Verdana" w:cs="Gotham Book"/>
          <w:b/>
          <w:bCs/>
        </w:rPr>
        <w:t xml:space="preserve"> at least</w:t>
      </w:r>
      <w:r w:rsidRPr="00A8149A">
        <w:rPr>
          <w:rFonts w:ascii="Verdana" w:hAnsi="Verdana" w:cs="Gotham Book"/>
          <w:b/>
          <w:bCs/>
        </w:rPr>
        <w:t xml:space="preserve"> the same level of protection as existed on 31 December</w:t>
      </w:r>
      <w:r w:rsidR="00A9760B" w:rsidRPr="00A8149A">
        <w:rPr>
          <w:rFonts w:ascii="Verdana" w:hAnsi="Verdana" w:cs="Gotham Book"/>
          <w:b/>
          <w:bCs/>
        </w:rPr>
        <w:t xml:space="preserve"> </w:t>
      </w:r>
      <w:r w:rsidRPr="00A8149A">
        <w:rPr>
          <w:rFonts w:ascii="Verdana" w:hAnsi="Verdana" w:cs="Gotham Book"/>
          <w:b/>
          <w:bCs/>
        </w:rPr>
        <w:t>2020. That treaty should be incorporated into domestic legislation</w:t>
      </w:r>
      <w:r w:rsidR="00A9760B" w:rsidRPr="00A8149A">
        <w:rPr>
          <w:rFonts w:ascii="Verdana" w:hAnsi="Verdana" w:cs="Gotham Book"/>
          <w:b/>
          <w:bCs/>
        </w:rPr>
        <w:t>.</w:t>
      </w:r>
    </w:p>
    <w:p w14:paraId="1B3FC21F" w14:textId="77777777" w:rsidR="003932EF" w:rsidRDefault="003932EF" w:rsidP="00B36C6A">
      <w:pPr>
        <w:pStyle w:val="ListParagraph"/>
        <w:spacing w:line="276" w:lineRule="auto"/>
        <w:rPr>
          <w:rFonts w:ascii="Verdana" w:hAnsi="Verdana" w:cs="Gotham Book"/>
          <w:b/>
          <w:bCs/>
          <w:i/>
          <w:iCs/>
        </w:rPr>
      </w:pPr>
    </w:p>
    <w:p w14:paraId="76FB034E" w14:textId="561520A8" w:rsidR="00951D84" w:rsidRDefault="00A8149A" w:rsidP="00B36C6A">
      <w:pPr>
        <w:pStyle w:val="BasicParagraph"/>
        <w:numPr>
          <w:ilvl w:val="1"/>
          <w:numId w:val="14"/>
        </w:numPr>
        <w:suppressAutoHyphens/>
        <w:spacing w:line="276" w:lineRule="auto"/>
        <w:rPr>
          <w:rFonts w:ascii="Verdana" w:hAnsi="Verdana" w:cs="Gotham Book"/>
          <w:b/>
          <w:bCs/>
        </w:rPr>
      </w:pPr>
      <w:r w:rsidRPr="003932EF">
        <w:rPr>
          <w:rFonts w:ascii="Verdana" w:hAnsi="Verdana" w:cs="Gotham Book"/>
          <w:b/>
          <w:bCs/>
        </w:rPr>
        <w:t>The NIHRC recommends that</w:t>
      </w:r>
      <w:r w:rsidR="000F3518" w:rsidRPr="003932EF">
        <w:rPr>
          <w:rFonts w:ascii="Verdana" w:hAnsi="Verdana" w:cs="Gotham Book"/>
          <w:b/>
          <w:bCs/>
        </w:rPr>
        <w:t xml:space="preserve"> the residency requirement</w:t>
      </w:r>
      <w:r w:rsidR="00270402" w:rsidRPr="003932EF">
        <w:rPr>
          <w:rFonts w:ascii="Verdana" w:hAnsi="Verdana" w:cs="Gotham Book"/>
          <w:b/>
          <w:bCs/>
        </w:rPr>
        <w:t>s for Common Travel Area</w:t>
      </w:r>
      <w:r w:rsidR="00100ECC" w:rsidRPr="003932EF">
        <w:rPr>
          <w:rFonts w:ascii="Verdana" w:hAnsi="Verdana" w:cs="Gotham Book"/>
          <w:b/>
          <w:bCs/>
        </w:rPr>
        <w:t xml:space="preserve"> </w:t>
      </w:r>
      <w:r w:rsidR="00270402" w:rsidRPr="003932EF">
        <w:rPr>
          <w:rFonts w:ascii="Verdana" w:hAnsi="Verdana" w:cs="Gotham Book"/>
          <w:b/>
          <w:bCs/>
        </w:rPr>
        <w:t>entitlements</w:t>
      </w:r>
      <w:r w:rsidR="00100ECC" w:rsidRPr="003932EF">
        <w:rPr>
          <w:rFonts w:ascii="Verdana" w:hAnsi="Verdana" w:cs="Gotham Book"/>
          <w:b/>
          <w:bCs/>
        </w:rPr>
        <w:t xml:space="preserve"> relating </w:t>
      </w:r>
      <w:r w:rsidR="000B5478" w:rsidRPr="003932EF">
        <w:rPr>
          <w:rFonts w:ascii="Verdana" w:hAnsi="Verdana" w:cs="Gotham Book"/>
          <w:b/>
          <w:bCs/>
        </w:rPr>
        <w:t>to</w:t>
      </w:r>
      <w:r w:rsidR="00100ECC" w:rsidRPr="003932EF">
        <w:rPr>
          <w:rFonts w:ascii="Verdana" w:hAnsi="Verdana" w:cs="Gotham Book"/>
          <w:b/>
          <w:bCs/>
        </w:rPr>
        <w:t xml:space="preserve"> </w:t>
      </w:r>
      <w:r w:rsidR="002F250D" w:rsidRPr="003932EF">
        <w:rPr>
          <w:rFonts w:ascii="Verdana" w:hAnsi="Verdana" w:cs="Gotham Book"/>
          <w:b/>
          <w:bCs/>
        </w:rPr>
        <w:t xml:space="preserve">cross-border and all-island </w:t>
      </w:r>
      <w:r w:rsidR="00100ECC" w:rsidRPr="003932EF">
        <w:rPr>
          <w:rFonts w:ascii="Verdana" w:hAnsi="Verdana" w:cs="Gotham Book"/>
          <w:b/>
          <w:bCs/>
        </w:rPr>
        <w:t>healthcare</w:t>
      </w:r>
      <w:r w:rsidR="00270402" w:rsidRPr="003932EF">
        <w:rPr>
          <w:rFonts w:ascii="Verdana" w:hAnsi="Verdana" w:cs="Gotham Book"/>
          <w:b/>
          <w:bCs/>
        </w:rPr>
        <w:t xml:space="preserve"> are </w:t>
      </w:r>
      <w:r w:rsidR="000B5478" w:rsidRPr="003932EF">
        <w:rPr>
          <w:rFonts w:ascii="Verdana" w:hAnsi="Verdana" w:cs="Gotham Book"/>
          <w:b/>
          <w:bCs/>
        </w:rPr>
        <w:t>reviewed to ensure that</w:t>
      </w:r>
      <w:r w:rsidR="004E7827" w:rsidRPr="003932EF">
        <w:rPr>
          <w:rFonts w:ascii="Verdana" w:hAnsi="Verdana" w:cs="Gotham Book"/>
          <w:b/>
          <w:bCs/>
        </w:rPr>
        <w:t xml:space="preserve"> </w:t>
      </w:r>
      <w:r w:rsidR="00827C52" w:rsidRPr="003932EF">
        <w:rPr>
          <w:rFonts w:ascii="Verdana" w:hAnsi="Verdana" w:cs="Gotham Book"/>
          <w:b/>
          <w:bCs/>
        </w:rPr>
        <w:t xml:space="preserve">the rights of access </w:t>
      </w:r>
      <w:r w:rsidR="00827C52" w:rsidRPr="005A600E">
        <w:rPr>
          <w:rFonts w:ascii="Verdana" w:hAnsi="Verdana" w:cs="Gotham Book"/>
          <w:b/>
          <w:bCs/>
        </w:rPr>
        <w:t>are clear</w:t>
      </w:r>
      <w:r w:rsidR="001B004F" w:rsidRPr="005A600E">
        <w:rPr>
          <w:rFonts w:ascii="Verdana" w:hAnsi="Verdana" w:cs="Gotham Book"/>
          <w:b/>
          <w:bCs/>
        </w:rPr>
        <w:t xml:space="preserve">, </w:t>
      </w:r>
      <w:proofErr w:type="gramStart"/>
      <w:r w:rsidR="00290F24" w:rsidRPr="005A600E">
        <w:rPr>
          <w:rFonts w:ascii="Verdana" w:hAnsi="Verdana" w:cs="Gotham Book"/>
          <w:b/>
          <w:bCs/>
        </w:rPr>
        <w:t>comprehensible</w:t>
      </w:r>
      <w:proofErr w:type="gramEnd"/>
      <w:r w:rsidR="00290F24" w:rsidRPr="005A600E">
        <w:rPr>
          <w:rFonts w:ascii="Verdana" w:hAnsi="Verdana" w:cs="Gotham Book"/>
          <w:b/>
          <w:bCs/>
        </w:rPr>
        <w:t xml:space="preserve"> and</w:t>
      </w:r>
      <w:r w:rsidR="001B004F" w:rsidRPr="005A600E">
        <w:rPr>
          <w:rFonts w:ascii="Verdana" w:hAnsi="Verdana" w:cs="Gotham Book"/>
          <w:b/>
          <w:bCs/>
        </w:rPr>
        <w:t xml:space="preserve"> </w:t>
      </w:r>
      <w:r w:rsidR="00737FFE" w:rsidRPr="005A600E">
        <w:rPr>
          <w:rFonts w:ascii="Verdana" w:hAnsi="Verdana" w:cs="Gotham Book"/>
          <w:b/>
          <w:bCs/>
        </w:rPr>
        <w:t>generous</w:t>
      </w:r>
      <w:r w:rsidR="004E7827" w:rsidRPr="005A600E">
        <w:rPr>
          <w:rFonts w:ascii="Verdana" w:hAnsi="Verdana" w:cs="Gotham Book"/>
          <w:b/>
          <w:bCs/>
        </w:rPr>
        <w:t>.</w:t>
      </w:r>
      <w:r w:rsidR="002D6C2B" w:rsidRPr="005A600E">
        <w:rPr>
          <w:rFonts w:ascii="Verdana" w:hAnsi="Verdana" w:cs="Gotham Book"/>
          <w:b/>
          <w:bCs/>
        </w:rPr>
        <w:tab/>
      </w:r>
    </w:p>
    <w:p w14:paraId="2E84EA95" w14:textId="3E6D1E99" w:rsidR="000E64E2" w:rsidRPr="005A600E" w:rsidRDefault="000E64E2" w:rsidP="00B36C6A">
      <w:pPr>
        <w:pStyle w:val="ListParagraph"/>
        <w:keepNext/>
        <w:keepLines/>
        <w:numPr>
          <w:ilvl w:val="0"/>
          <w:numId w:val="14"/>
        </w:numPr>
        <w:spacing w:before="240" w:line="276" w:lineRule="auto"/>
        <w:contextualSpacing w:val="0"/>
        <w:outlineLvl w:val="0"/>
        <w:rPr>
          <w:rFonts w:ascii="Verdana" w:eastAsiaTheme="majorEastAsia" w:hAnsi="Verdana" w:cstheme="majorBidi"/>
          <w:b/>
          <w:bCs/>
          <w:color w:val="77328A"/>
          <w:sz w:val="30"/>
          <w:szCs w:val="30"/>
        </w:rPr>
      </w:pPr>
      <w:bookmarkStart w:id="7" w:name="_Toc104983340"/>
      <w:r w:rsidRPr="005A600E">
        <w:rPr>
          <w:rFonts w:ascii="Verdana" w:eastAsiaTheme="majorEastAsia" w:hAnsi="Verdana" w:cstheme="majorBidi"/>
          <w:b/>
          <w:bCs/>
          <w:color w:val="77328A"/>
          <w:sz w:val="30"/>
          <w:szCs w:val="30"/>
        </w:rPr>
        <w:t xml:space="preserve">Frontier Workers </w:t>
      </w:r>
      <w:bookmarkEnd w:id="7"/>
    </w:p>
    <w:p w14:paraId="3F7B6626" w14:textId="624AD957" w:rsidR="00C07B52" w:rsidRPr="005A600E" w:rsidRDefault="00C07B52" w:rsidP="00B36C6A">
      <w:pPr>
        <w:pStyle w:val="BasicParagraph"/>
        <w:suppressAutoHyphens/>
        <w:spacing w:line="276" w:lineRule="auto"/>
        <w:rPr>
          <w:rFonts w:ascii="Verdana" w:hAnsi="Verdana" w:cs="Gotham Book"/>
        </w:rPr>
      </w:pPr>
    </w:p>
    <w:p w14:paraId="31E1C507" w14:textId="1EA38023" w:rsidR="00452F7E" w:rsidRPr="00BC4D00" w:rsidRDefault="00C431ED" w:rsidP="00B36C6A">
      <w:pPr>
        <w:pStyle w:val="BasicParagraph"/>
        <w:numPr>
          <w:ilvl w:val="1"/>
          <w:numId w:val="14"/>
        </w:numPr>
        <w:suppressAutoHyphens/>
        <w:spacing w:line="276" w:lineRule="auto"/>
        <w:rPr>
          <w:rFonts w:ascii="Verdana" w:hAnsi="Verdana" w:cs="Gotham Book"/>
        </w:rPr>
      </w:pPr>
      <w:r w:rsidRPr="00D16905">
        <w:rPr>
          <w:rFonts w:ascii="Verdana" w:hAnsi="Verdana" w:cs="Gotham Book"/>
        </w:rPr>
        <w:t xml:space="preserve">The </w:t>
      </w:r>
      <w:r w:rsidR="0077683E" w:rsidRPr="00D16905">
        <w:rPr>
          <w:rFonts w:ascii="Verdana" w:hAnsi="Verdana" w:cs="Gotham Book"/>
        </w:rPr>
        <w:t>Frontier</w:t>
      </w:r>
      <w:r w:rsidR="0077683E" w:rsidRPr="005A600E">
        <w:rPr>
          <w:rFonts w:ascii="Verdana" w:hAnsi="Verdana" w:cs="Gotham Book"/>
        </w:rPr>
        <w:t xml:space="preserve"> Workers Permit Scheme</w:t>
      </w:r>
      <w:r w:rsidR="00185484" w:rsidRPr="005A600E">
        <w:rPr>
          <w:rFonts w:ascii="Verdana" w:hAnsi="Verdana" w:cs="Gotham Book"/>
        </w:rPr>
        <w:t xml:space="preserve"> (FWPS)</w:t>
      </w:r>
      <w:r w:rsidRPr="005A600E">
        <w:rPr>
          <w:rFonts w:ascii="Verdana" w:hAnsi="Verdana" w:cs="Gotham Book"/>
        </w:rPr>
        <w:t>, which implements the UK’s obligations in the Withdrawal Agreement, should secure access to healthcare</w:t>
      </w:r>
      <w:r w:rsidR="00476A68" w:rsidRPr="005A600E">
        <w:rPr>
          <w:rFonts w:ascii="Verdana" w:hAnsi="Verdana" w:cs="Gotham Book"/>
        </w:rPr>
        <w:t xml:space="preserve"> after Brexit</w:t>
      </w:r>
      <w:r w:rsidRPr="005A600E">
        <w:rPr>
          <w:rFonts w:ascii="Verdana" w:hAnsi="Verdana" w:cs="Gotham Book"/>
        </w:rPr>
        <w:t xml:space="preserve">. </w:t>
      </w:r>
      <w:r w:rsidR="009E43FF" w:rsidRPr="005A600E">
        <w:rPr>
          <w:rFonts w:ascii="Verdana" w:hAnsi="Verdana" w:cs="Gotham Book"/>
        </w:rPr>
        <w:t xml:space="preserve">Under the </w:t>
      </w:r>
      <w:r w:rsidR="00211886" w:rsidRPr="005A600E">
        <w:rPr>
          <w:rFonts w:ascii="Verdana" w:hAnsi="Verdana" w:cs="Gotham Book"/>
        </w:rPr>
        <w:t>Withdrawal Agreement</w:t>
      </w:r>
      <w:r w:rsidR="009E43FF" w:rsidRPr="005A600E">
        <w:rPr>
          <w:rFonts w:ascii="Verdana" w:hAnsi="Verdana" w:cs="Gotham Book"/>
        </w:rPr>
        <w:t>, those who qualify as frontier workers</w:t>
      </w:r>
      <w:r w:rsidR="00A377DF">
        <w:rPr>
          <w:rFonts w:ascii="Verdana" w:hAnsi="Verdana" w:cs="Gotham Book"/>
        </w:rPr>
        <w:t xml:space="preserve"> </w:t>
      </w:r>
      <w:r w:rsidR="00E66ABD" w:rsidRPr="005A600E">
        <w:rPr>
          <w:rFonts w:ascii="Verdana" w:hAnsi="Verdana" w:cs="Gotham Book"/>
        </w:rPr>
        <w:t>should be able to access healthcare in both their place of residence and their place of work</w:t>
      </w:r>
      <w:r w:rsidR="00DE5D99" w:rsidRPr="005A600E">
        <w:rPr>
          <w:rFonts w:ascii="Verdana" w:hAnsi="Verdana" w:cs="Gotham Book"/>
        </w:rPr>
        <w:t xml:space="preserve"> (‘the competent state’)</w:t>
      </w:r>
      <w:r w:rsidR="00C13D38" w:rsidRPr="005A600E">
        <w:rPr>
          <w:rFonts w:ascii="Verdana" w:hAnsi="Verdana" w:cs="Gotham Book"/>
        </w:rPr>
        <w:t>.</w:t>
      </w:r>
      <w:r w:rsidR="00C853A4" w:rsidRPr="005A600E">
        <w:rPr>
          <w:rStyle w:val="FootnoteReference"/>
          <w:rFonts w:ascii="Verdana" w:hAnsi="Verdana" w:cs="Gotham Book"/>
        </w:rPr>
        <w:footnoteReference w:id="24"/>
      </w:r>
      <w:r w:rsidR="00C13D38" w:rsidRPr="005A600E">
        <w:rPr>
          <w:rFonts w:ascii="Verdana" w:hAnsi="Verdana" w:cs="Gotham Book"/>
        </w:rPr>
        <w:t xml:space="preserve"> </w:t>
      </w:r>
      <w:r w:rsidR="006C4E73" w:rsidRPr="00BC4D00">
        <w:rPr>
          <w:rFonts w:ascii="Verdana" w:hAnsi="Verdana" w:cs="Gotham Book"/>
        </w:rPr>
        <w:t>F</w:t>
      </w:r>
      <w:r w:rsidR="00A9744C" w:rsidRPr="00BC4D00">
        <w:rPr>
          <w:rFonts w:ascii="Verdana" w:hAnsi="Verdana" w:cs="Gotham Book"/>
        </w:rPr>
        <w:t xml:space="preserve">amily </w:t>
      </w:r>
      <w:r w:rsidR="00A9744C" w:rsidRPr="00BC4D00">
        <w:rPr>
          <w:rFonts w:ascii="Verdana" w:hAnsi="Verdana" w:cs="Gotham Book"/>
        </w:rPr>
        <w:lastRenderedPageBreak/>
        <w:t xml:space="preserve">members of </w:t>
      </w:r>
      <w:r w:rsidR="006C4E73" w:rsidRPr="00BC4D00">
        <w:rPr>
          <w:rFonts w:ascii="Verdana" w:hAnsi="Verdana" w:cs="Gotham Book"/>
        </w:rPr>
        <w:t>frontier workers</w:t>
      </w:r>
      <w:r w:rsidR="00A9744C" w:rsidRPr="00BC4D00">
        <w:rPr>
          <w:rFonts w:ascii="Verdana" w:hAnsi="Verdana" w:cs="Gotham Book"/>
        </w:rPr>
        <w:t xml:space="preserve"> </w:t>
      </w:r>
      <w:r w:rsidR="00E518C2" w:rsidRPr="00BC4D00">
        <w:rPr>
          <w:rFonts w:ascii="Verdana" w:hAnsi="Verdana" w:cs="Gotham Book"/>
        </w:rPr>
        <w:t xml:space="preserve">in </w:t>
      </w:r>
      <w:r w:rsidR="006C4E73" w:rsidRPr="00BC4D00">
        <w:rPr>
          <w:rFonts w:ascii="Verdana" w:hAnsi="Verdana" w:cs="Gotham Book"/>
        </w:rPr>
        <w:t xml:space="preserve">the </w:t>
      </w:r>
      <w:r w:rsidR="00E04731" w:rsidRPr="00BC4D00">
        <w:rPr>
          <w:rFonts w:ascii="Verdana" w:hAnsi="Verdana" w:cs="Gotham Book"/>
        </w:rPr>
        <w:t>UK</w:t>
      </w:r>
      <w:r w:rsidR="00AF4C23" w:rsidRPr="00BC4D00">
        <w:rPr>
          <w:rFonts w:ascii="Verdana" w:hAnsi="Verdana" w:cs="Gotham Book"/>
        </w:rPr>
        <w:t xml:space="preserve"> </w:t>
      </w:r>
      <w:r w:rsidR="006C4E73" w:rsidRPr="00BC4D00">
        <w:rPr>
          <w:rFonts w:ascii="Verdana" w:hAnsi="Verdana" w:cs="Gotham Book"/>
        </w:rPr>
        <w:t>and Ireland</w:t>
      </w:r>
      <w:r w:rsidR="00E518C2" w:rsidRPr="00BC4D00">
        <w:rPr>
          <w:rFonts w:ascii="Verdana" w:hAnsi="Verdana" w:cs="Gotham Book"/>
        </w:rPr>
        <w:t xml:space="preserve"> </w:t>
      </w:r>
      <w:r w:rsidR="00A9744C" w:rsidRPr="00BC4D00">
        <w:rPr>
          <w:rFonts w:ascii="Verdana" w:hAnsi="Verdana" w:cs="Gotham Book"/>
        </w:rPr>
        <w:t>are entitled to healthcare in the</w:t>
      </w:r>
      <w:r w:rsidR="006C4E73" w:rsidRPr="00BC4D00">
        <w:rPr>
          <w:rFonts w:ascii="Verdana" w:hAnsi="Verdana" w:cs="Gotham Book"/>
        </w:rPr>
        <w:t xml:space="preserve"> place of residen</w:t>
      </w:r>
      <w:r w:rsidR="006738B8" w:rsidRPr="00BC4D00">
        <w:rPr>
          <w:rFonts w:ascii="Verdana" w:hAnsi="Verdana" w:cs="Gotham Book"/>
        </w:rPr>
        <w:t>ce</w:t>
      </w:r>
      <w:r w:rsidR="00BA1F3C" w:rsidRPr="00BC4D00">
        <w:rPr>
          <w:rFonts w:ascii="Verdana" w:hAnsi="Verdana" w:cs="Gotham Book"/>
        </w:rPr>
        <w:t>, however</w:t>
      </w:r>
      <w:r w:rsidR="00A96EA6" w:rsidRPr="00BC4D00">
        <w:rPr>
          <w:rFonts w:ascii="Verdana" w:hAnsi="Verdana" w:cs="Gotham Book"/>
        </w:rPr>
        <w:t xml:space="preserve"> </w:t>
      </w:r>
      <w:r w:rsidR="008B6BB1" w:rsidRPr="00BC4D00">
        <w:rPr>
          <w:rFonts w:ascii="Verdana" w:hAnsi="Verdana" w:cs="Gotham Book"/>
        </w:rPr>
        <w:t>healthcare</w:t>
      </w:r>
      <w:r w:rsidR="00C75545" w:rsidRPr="00BC4D00">
        <w:rPr>
          <w:rFonts w:ascii="Verdana" w:hAnsi="Verdana" w:cs="Gotham Book"/>
        </w:rPr>
        <w:t xml:space="preserve"> </w:t>
      </w:r>
      <w:r w:rsidR="00B5343E" w:rsidRPr="00BC4D00">
        <w:rPr>
          <w:rFonts w:ascii="Verdana" w:hAnsi="Verdana" w:cs="Gotham Book"/>
        </w:rPr>
        <w:t xml:space="preserve">for family members </w:t>
      </w:r>
      <w:r w:rsidR="00C75545" w:rsidRPr="00BC4D00">
        <w:rPr>
          <w:rFonts w:ascii="Verdana" w:hAnsi="Verdana" w:cs="Gotham Book"/>
        </w:rPr>
        <w:t>in the competent state</w:t>
      </w:r>
      <w:r w:rsidR="008B6BB1" w:rsidRPr="00BC4D00">
        <w:rPr>
          <w:rFonts w:ascii="Verdana" w:hAnsi="Verdana" w:cs="Gotham Book"/>
        </w:rPr>
        <w:t xml:space="preserve"> is </w:t>
      </w:r>
      <w:r w:rsidR="00971187" w:rsidRPr="00BC4D00">
        <w:rPr>
          <w:rFonts w:ascii="Verdana" w:hAnsi="Verdana" w:cs="Gotham Book"/>
        </w:rPr>
        <w:t>limited to</w:t>
      </w:r>
      <w:r w:rsidR="00D16905" w:rsidRPr="00BC4D00">
        <w:rPr>
          <w:rFonts w:ascii="Verdana" w:hAnsi="Verdana" w:cs="Gotham Book"/>
        </w:rPr>
        <w:t xml:space="preserve"> </w:t>
      </w:r>
      <w:r w:rsidR="0075405F" w:rsidRPr="00BC4D00">
        <w:rPr>
          <w:rFonts w:ascii="Verdana" w:hAnsi="Verdana" w:cs="Gotham Book"/>
        </w:rPr>
        <w:t>medical necessities</w:t>
      </w:r>
      <w:r w:rsidR="00971187" w:rsidRPr="00BC4D00">
        <w:rPr>
          <w:rFonts w:ascii="Verdana" w:hAnsi="Verdana" w:cs="Gotham Book"/>
        </w:rPr>
        <w:t xml:space="preserve"> </w:t>
      </w:r>
      <w:r w:rsidR="002E1240" w:rsidRPr="00BC4D00">
        <w:rPr>
          <w:rFonts w:ascii="Verdana" w:hAnsi="Verdana" w:cs="Gotham Book"/>
        </w:rPr>
        <w:t>during their stay</w:t>
      </w:r>
      <w:r w:rsidR="00130834" w:rsidRPr="00BC4D00">
        <w:rPr>
          <w:rFonts w:ascii="Verdana" w:hAnsi="Verdana" w:cs="Gotham Book"/>
        </w:rPr>
        <w:t xml:space="preserve"> in the state</w:t>
      </w:r>
      <w:r w:rsidR="00D16905" w:rsidRPr="00BC4D00">
        <w:rPr>
          <w:rFonts w:ascii="Verdana" w:hAnsi="Verdana" w:cs="Gotham Book"/>
        </w:rPr>
        <w:t>.</w:t>
      </w:r>
      <w:r w:rsidR="002D630C" w:rsidRPr="00BC4D00">
        <w:rPr>
          <w:rStyle w:val="FootnoteReference"/>
          <w:rFonts w:ascii="Verdana" w:hAnsi="Verdana" w:cs="Gotham Book"/>
        </w:rPr>
        <w:footnoteReference w:id="25"/>
      </w:r>
    </w:p>
    <w:p w14:paraId="20002103" w14:textId="77777777" w:rsidR="00C46817" w:rsidRPr="005A600E" w:rsidRDefault="00C46817" w:rsidP="00B36C6A">
      <w:pPr>
        <w:pStyle w:val="BasicParagraph"/>
        <w:suppressAutoHyphens/>
        <w:spacing w:line="276" w:lineRule="auto"/>
        <w:rPr>
          <w:rFonts w:ascii="Verdana" w:hAnsi="Verdana" w:cs="Gotham Book"/>
        </w:rPr>
      </w:pPr>
    </w:p>
    <w:p w14:paraId="7B076D69" w14:textId="39F8F841" w:rsidR="00F473A9" w:rsidRPr="00BC4D00" w:rsidRDefault="00885757" w:rsidP="00B36C6A">
      <w:pPr>
        <w:pStyle w:val="BasicParagraph"/>
        <w:numPr>
          <w:ilvl w:val="1"/>
          <w:numId w:val="14"/>
        </w:numPr>
        <w:suppressAutoHyphens/>
        <w:spacing w:line="276" w:lineRule="auto"/>
        <w:rPr>
          <w:rFonts w:ascii="Verdana" w:hAnsi="Verdana" w:cs="Gotham"/>
        </w:rPr>
      </w:pPr>
      <w:r w:rsidRPr="005A600E">
        <w:rPr>
          <w:rFonts w:ascii="Verdana" w:hAnsi="Verdana" w:cs="Gotham Book"/>
        </w:rPr>
        <w:t>Irish nationals</w:t>
      </w:r>
      <w:r w:rsidR="0044021B" w:rsidRPr="005A600E">
        <w:rPr>
          <w:rFonts w:ascii="Verdana" w:hAnsi="Verdana" w:cs="Gotham Book"/>
        </w:rPr>
        <w:t xml:space="preserve"> working in NI as frontier workers </w:t>
      </w:r>
      <w:r w:rsidR="008119D0" w:rsidRPr="005A600E">
        <w:rPr>
          <w:rFonts w:ascii="Verdana" w:hAnsi="Verdana" w:cs="Gotham Book"/>
        </w:rPr>
        <w:t>have been</w:t>
      </w:r>
      <w:r w:rsidR="005865E6" w:rsidRPr="005A600E">
        <w:rPr>
          <w:rFonts w:ascii="Verdana" w:hAnsi="Verdana" w:cs="Gotham Book"/>
        </w:rPr>
        <w:t xml:space="preserve"> advised </w:t>
      </w:r>
      <w:r w:rsidR="005374E8" w:rsidRPr="005A600E">
        <w:rPr>
          <w:rFonts w:ascii="Verdana" w:hAnsi="Verdana" w:cs="Gotham Book"/>
        </w:rPr>
        <w:t>by the UK Government</w:t>
      </w:r>
      <w:r w:rsidR="005865E6" w:rsidRPr="005A600E">
        <w:rPr>
          <w:rFonts w:ascii="Verdana" w:hAnsi="Verdana" w:cs="Gotham Book"/>
        </w:rPr>
        <w:t xml:space="preserve"> that they</w:t>
      </w:r>
      <w:r w:rsidR="0044021B" w:rsidRPr="005A600E">
        <w:rPr>
          <w:rFonts w:ascii="Verdana" w:hAnsi="Verdana" w:cs="Gotham Book"/>
        </w:rPr>
        <w:t xml:space="preserve"> </w:t>
      </w:r>
      <w:r w:rsidR="008119D0" w:rsidRPr="005A600E">
        <w:rPr>
          <w:rFonts w:ascii="Verdana" w:hAnsi="Verdana" w:cs="Gotham Book"/>
        </w:rPr>
        <w:t xml:space="preserve">do not </w:t>
      </w:r>
      <w:r w:rsidR="0044021B" w:rsidRPr="005A600E">
        <w:rPr>
          <w:rFonts w:ascii="Verdana" w:hAnsi="Verdana" w:cs="Gotham Book"/>
        </w:rPr>
        <w:t xml:space="preserve">need to apply for </w:t>
      </w:r>
      <w:r w:rsidR="009B3991" w:rsidRPr="005A600E">
        <w:rPr>
          <w:rFonts w:ascii="Verdana" w:hAnsi="Verdana" w:cs="Gotham Book"/>
        </w:rPr>
        <w:t xml:space="preserve">the </w:t>
      </w:r>
      <w:r w:rsidR="00185484" w:rsidRPr="005A600E">
        <w:rPr>
          <w:rFonts w:ascii="Verdana" w:hAnsi="Verdana" w:cs="Gotham Book"/>
        </w:rPr>
        <w:t>FWPS</w:t>
      </w:r>
      <w:r w:rsidR="009B3991" w:rsidRPr="005A600E">
        <w:rPr>
          <w:rFonts w:ascii="Verdana" w:hAnsi="Verdana" w:cs="Gotham Book"/>
        </w:rPr>
        <w:t xml:space="preserve">, </w:t>
      </w:r>
      <w:r w:rsidR="00090621" w:rsidRPr="005A600E">
        <w:rPr>
          <w:rFonts w:ascii="Verdana" w:hAnsi="Verdana" w:cs="Gotham Book"/>
        </w:rPr>
        <w:t xml:space="preserve">as they </w:t>
      </w:r>
      <w:r w:rsidR="008C5CDC" w:rsidRPr="005A600E">
        <w:rPr>
          <w:rFonts w:ascii="Verdana" w:hAnsi="Verdana" w:cs="Gotham Book"/>
        </w:rPr>
        <w:t xml:space="preserve">already </w:t>
      </w:r>
      <w:r w:rsidR="00090621" w:rsidRPr="005A600E">
        <w:rPr>
          <w:rFonts w:ascii="Verdana" w:hAnsi="Verdana" w:cs="Gotham Book"/>
        </w:rPr>
        <w:t>have the right to work and reside in the UK</w:t>
      </w:r>
      <w:r w:rsidR="00786783" w:rsidRPr="005A600E">
        <w:rPr>
          <w:rFonts w:ascii="Verdana" w:hAnsi="Verdana" w:cs="Gotham Book"/>
        </w:rPr>
        <w:t>,</w:t>
      </w:r>
      <w:r w:rsidR="007072C9" w:rsidRPr="005A600E">
        <w:rPr>
          <w:rFonts w:ascii="Verdana" w:hAnsi="Verdana" w:cs="Gotham Book"/>
        </w:rPr>
        <w:t xml:space="preserve"> which </w:t>
      </w:r>
      <w:r w:rsidR="00A03B4D" w:rsidRPr="005A600E">
        <w:rPr>
          <w:rFonts w:ascii="Verdana" w:hAnsi="Verdana" w:cs="Gotham Book"/>
        </w:rPr>
        <w:t>is not reliant on rights deriving from EU law</w:t>
      </w:r>
      <w:r w:rsidR="008C5CDC" w:rsidRPr="005A600E">
        <w:rPr>
          <w:rFonts w:ascii="Verdana" w:hAnsi="Verdana" w:cs="Gotham Book"/>
        </w:rPr>
        <w:t>.</w:t>
      </w:r>
      <w:r w:rsidR="008C5CDC" w:rsidRPr="005A600E">
        <w:rPr>
          <w:rStyle w:val="FootnoteReference"/>
          <w:rFonts w:ascii="Verdana" w:hAnsi="Verdana" w:cs="Gotham Book"/>
        </w:rPr>
        <w:footnoteReference w:id="26"/>
      </w:r>
      <w:r w:rsidR="008C5CDC" w:rsidRPr="005A600E">
        <w:rPr>
          <w:rFonts w:ascii="Verdana" w:hAnsi="Verdana" w:cs="Gotham Book"/>
        </w:rPr>
        <w:t xml:space="preserve"> </w:t>
      </w:r>
      <w:r w:rsidR="00185484" w:rsidRPr="005A600E">
        <w:rPr>
          <w:rFonts w:ascii="Verdana" w:hAnsi="Verdana" w:cs="Gotham Book"/>
        </w:rPr>
        <w:t>Irish nationals can still avail of the FWPS, if they wish to do so.</w:t>
      </w:r>
      <w:r w:rsidR="00185484" w:rsidRPr="005A600E">
        <w:rPr>
          <w:rStyle w:val="FootnoteReference"/>
          <w:rFonts w:ascii="Verdana" w:hAnsi="Verdana" w:cs="Gotham Book"/>
        </w:rPr>
        <w:footnoteReference w:id="27"/>
      </w:r>
      <w:r w:rsidR="007727DA" w:rsidRPr="005A600E">
        <w:rPr>
          <w:rFonts w:ascii="Verdana" w:hAnsi="Verdana" w:cs="Gotham Book"/>
        </w:rPr>
        <w:t xml:space="preserve"> </w:t>
      </w:r>
      <w:r w:rsidR="00F26B1E" w:rsidRPr="005A600E">
        <w:rPr>
          <w:rFonts w:ascii="Verdana" w:hAnsi="Verdana" w:cs="Gotham Book"/>
        </w:rPr>
        <w:t>The provisions governing a</w:t>
      </w:r>
      <w:r w:rsidR="008C3F78" w:rsidRPr="005A600E">
        <w:rPr>
          <w:rFonts w:ascii="Verdana" w:hAnsi="Verdana" w:cs="Gotham Book"/>
        </w:rPr>
        <w:t xml:space="preserve">ccess to healthcare for </w:t>
      </w:r>
      <w:r w:rsidR="004065B8" w:rsidRPr="005A600E">
        <w:rPr>
          <w:rFonts w:ascii="Verdana" w:hAnsi="Verdana" w:cs="Gotham Book"/>
        </w:rPr>
        <w:t xml:space="preserve">these </w:t>
      </w:r>
      <w:r w:rsidR="00597261" w:rsidRPr="005A600E">
        <w:rPr>
          <w:rFonts w:ascii="Verdana" w:hAnsi="Verdana" w:cs="Gotham Book"/>
        </w:rPr>
        <w:t xml:space="preserve">frontier workers </w:t>
      </w:r>
      <w:r w:rsidR="004D46DC" w:rsidRPr="005A600E">
        <w:rPr>
          <w:rFonts w:ascii="Verdana" w:hAnsi="Verdana" w:cs="Gotham Book"/>
        </w:rPr>
        <w:t xml:space="preserve">who remain </w:t>
      </w:r>
      <w:r w:rsidR="00597261" w:rsidRPr="005A600E">
        <w:rPr>
          <w:rFonts w:ascii="Verdana" w:hAnsi="Verdana" w:cs="Gotham Book"/>
        </w:rPr>
        <w:t xml:space="preserve">outside of the </w:t>
      </w:r>
      <w:r w:rsidR="004065B8" w:rsidRPr="005A600E">
        <w:rPr>
          <w:rFonts w:ascii="Verdana" w:hAnsi="Verdana" w:cs="Gotham Book"/>
        </w:rPr>
        <w:t>FWPS</w:t>
      </w:r>
      <w:r w:rsidR="008C3F78" w:rsidRPr="005A600E">
        <w:rPr>
          <w:rFonts w:ascii="Verdana" w:hAnsi="Verdana" w:cs="Gotham Book"/>
        </w:rPr>
        <w:t xml:space="preserve"> </w:t>
      </w:r>
      <w:r w:rsidR="00E55C2F" w:rsidRPr="005A600E">
        <w:rPr>
          <w:rFonts w:ascii="Verdana" w:hAnsi="Verdana" w:cs="Gotham Book"/>
        </w:rPr>
        <w:t>are</w:t>
      </w:r>
      <w:r w:rsidR="00F26B1E" w:rsidRPr="005A600E">
        <w:rPr>
          <w:rFonts w:ascii="Verdana" w:hAnsi="Verdana" w:cs="Gotham Book"/>
        </w:rPr>
        <w:t xml:space="preserve"> found in </w:t>
      </w:r>
      <w:r w:rsidR="00231047" w:rsidRPr="005A600E">
        <w:rPr>
          <w:rFonts w:ascii="Verdana" w:hAnsi="Verdana" w:cs="Gotham Book"/>
        </w:rPr>
        <w:t>the CTA rules</w:t>
      </w:r>
      <w:r w:rsidR="003B18B1" w:rsidRPr="005A600E">
        <w:rPr>
          <w:rFonts w:ascii="Verdana" w:hAnsi="Verdana" w:cs="Gotham Book"/>
        </w:rPr>
        <w:t>.</w:t>
      </w:r>
      <w:r w:rsidR="008754FA" w:rsidRPr="005A600E">
        <w:rPr>
          <w:rStyle w:val="FootnoteReference"/>
          <w:rFonts w:ascii="Verdana" w:hAnsi="Verdana" w:cs="Gotham Book"/>
        </w:rPr>
        <w:footnoteReference w:id="28"/>
      </w:r>
      <w:r w:rsidR="00F473A9" w:rsidRPr="005A600E">
        <w:rPr>
          <w:rFonts w:ascii="Verdana" w:hAnsi="Verdana" w:cs="Gotham"/>
        </w:rPr>
        <w:t xml:space="preserve"> </w:t>
      </w:r>
      <w:r w:rsidR="00362E06" w:rsidRPr="005A600E">
        <w:rPr>
          <w:rFonts w:ascii="Verdana" w:hAnsi="Verdana" w:cs="Gotham"/>
        </w:rPr>
        <w:t xml:space="preserve">However, </w:t>
      </w:r>
      <w:r w:rsidR="00362E06" w:rsidRPr="00BC4D00">
        <w:rPr>
          <w:rFonts w:ascii="Verdana" w:hAnsi="Verdana" w:cs="Gotham"/>
        </w:rPr>
        <w:t xml:space="preserve">there remains a lack of clarity on the relationship between the FWPS and the CTA </w:t>
      </w:r>
      <w:r w:rsidR="006746D5" w:rsidRPr="00BC4D00">
        <w:rPr>
          <w:rFonts w:ascii="Verdana" w:hAnsi="Verdana" w:cs="Gotham"/>
        </w:rPr>
        <w:t>r</w:t>
      </w:r>
      <w:r w:rsidR="00362E06" w:rsidRPr="00BC4D00">
        <w:rPr>
          <w:rFonts w:ascii="Verdana" w:hAnsi="Verdana" w:cs="Gotham"/>
        </w:rPr>
        <w:t>ule</w:t>
      </w:r>
      <w:r w:rsidR="006746D5" w:rsidRPr="00BC4D00">
        <w:rPr>
          <w:rFonts w:ascii="Verdana" w:hAnsi="Verdana" w:cs="Gotham"/>
        </w:rPr>
        <w:t>s</w:t>
      </w:r>
      <w:r w:rsidR="00362E06" w:rsidRPr="00BC4D00">
        <w:rPr>
          <w:rFonts w:ascii="Verdana" w:hAnsi="Verdana" w:cs="Gotham"/>
        </w:rPr>
        <w:t xml:space="preserve"> incorporating healthcare. </w:t>
      </w:r>
      <w:r w:rsidR="00221A37" w:rsidRPr="00BC4D00">
        <w:rPr>
          <w:rFonts w:ascii="Verdana" w:hAnsi="Verdana" w:cs="Gotham Book"/>
        </w:rPr>
        <w:t>During the research</w:t>
      </w:r>
      <w:r w:rsidR="00C6657D" w:rsidRPr="00BC4D00">
        <w:rPr>
          <w:rFonts w:ascii="Verdana" w:hAnsi="Verdana" w:cs="Gotham Book"/>
        </w:rPr>
        <w:t>,</w:t>
      </w:r>
      <w:r w:rsidR="00E9006E" w:rsidRPr="00BC4D00">
        <w:rPr>
          <w:rFonts w:ascii="Verdana" w:hAnsi="Verdana" w:cs="Gotham Book"/>
        </w:rPr>
        <w:t xml:space="preserve"> </w:t>
      </w:r>
      <w:r w:rsidR="000920D9" w:rsidRPr="00BC4D00">
        <w:rPr>
          <w:rFonts w:ascii="Verdana" w:hAnsi="Verdana" w:cs="Gotham Book"/>
        </w:rPr>
        <w:t>i</w:t>
      </w:r>
      <w:r w:rsidR="00061B46" w:rsidRPr="00BC4D00">
        <w:rPr>
          <w:rFonts w:ascii="Verdana" w:hAnsi="Verdana" w:cs="Gotham Book"/>
        </w:rPr>
        <w:t xml:space="preserve">nterviewees perceived </w:t>
      </w:r>
      <w:r w:rsidR="00BB2661" w:rsidRPr="00BC4D00">
        <w:rPr>
          <w:rFonts w:ascii="Verdana" w:hAnsi="Verdana" w:cs="Gotham Book"/>
        </w:rPr>
        <w:t xml:space="preserve">that frontier workers are being </w:t>
      </w:r>
      <w:r w:rsidR="00FC5242" w:rsidRPr="00BC4D00">
        <w:rPr>
          <w:rFonts w:ascii="Verdana" w:hAnsi="Verdana" w:cs="Gotham Book"/>
        </w:rPr>
        <w:t>“</w:t>
      </w:r>
      <w:r w:rsidR="00BB2661" w:rsidRPr="00BC4D00">
        <w:rPr>
          <w:rFonts w:ascii="Verdana" w:hAnsi="Verdana" w:cs="Gotham Book"/>
        </w:rPr>
        <w:t>pushed towards</w:t>
      </w:r>
      <w:r w:rsidR="00FC5242" w:rsidRPr="00BC4D00">
        <w:rPr>
          <w:rFonts w:ascii="Verdana" w:hAnsi="Verdana" w:cs="Gotham Book"/>
        </w:rPr>
        <w:t>”</w:t>
      </w:r>
      <w:r w:rsidR="00BB2661" w:rsidRPr="00BC4D00">
        <w:rPr>
          <w:rFonts w:ascii="Verdana" w:hAnsi="Verdana" w:cs="Gotham Book"/>
        </w:rPr>
        <w:t xml:space="preserve"> claiming CTA entitlements</w:t>
      </w:r>
      <w:r w:rsidR="00050F7E" w:rsidRPr="00BC4D00">
        <w:rPr>
          <w:rFonts w:ascii="Verdana" w:hAnsi="Verdana" w:cs="Gotham Book"/>
        </w:rPr>
        <w:t xml:space="preserve"> rather than claiming</w:t>
      </w:r>
      <w:r w:rsidR="00050F7E" w:rsidRPr="005A600E">
        <w:rPr>
          <w:rFonts w:ascii="Verdana" w:hAnsi="Verdana" w:cs="Gotham Book"/>
        </w:rPr>
        <w:t xml:space="preserve"> rights under the Withdrawal Agreement</w:t>
      </w:r>
      <w:r w:rsidR="0006594C" w:rsidRPr="005A600E">
        <w:rPr>
          <w:rFonts w:ascii="Verdana" w:hAnsi="Verdana" w:cs="Gotham Book"/>
        </w:rPr>
        <w:t>.</w:t>
      </w:r>
      <w:r w:rsidR="00583A7B" w:rsidRPr="005A600E">
        <w:rPr>
          <w:rStyle w:val="FootnoteReference"/>
          <w:rFonts w:ascii="Verdana" w:hAnsi="Verdana" w:cs="Gotham Book"/>
        </w:rPr>
        <w:footnoteReference w:id="29"/>
      </w:r>
      <w:r w:rsidR="00BB2661" w:rsidRPr="005A600E">
        <w:rPr>
          <w:rFonts w:ascii="Verdana" w:hAnsi="Verdana" w:cs="Gotham Book"/>
        </w:rPr>
        <w:t xml:space="preserve"> </w:t>
      </w:r>
      <w:r w:rsidR="0006594C" w:rsidRPr="005A600E">
        <w:rPr>
          <w:rFonts w:ascii="Verdana" w:hAnsi="Verdana" w:cs="Gotham Book"/>
        </w:rPr>
        <w:t xml:space="preserve">This is a concern given that, as set out in </w:t>
      </w:r>
      <w:r w:rsidR="006F4C3A" w:rsidRPr="005A600E">
        <w:rPr>
          <w:rFonts w:ascii="Verdana" w:hAnsi="Verdana" w:cs="Gotham Book"/>
        </w:rPr>
        <w:t>para</w:t>
      </w:r>
      <w:r w:rsidR="00B94152" w:rsidRPr="005A600E">
        <w:rPr>
          <w:rFonts w:ascii="Verdana" w:hAnsi="Verdana" w:cs="Gotham Book"/>
        </w:rPr>
        <w:t xml:space="preserve"> </w:t>
      </w:r>
      <w:r w:rsidR="000E2005" w:rsidRPr="005A600E">
        <w:rPr>
          <w:rFonts w:ascii="Verdana" w:hAnsi="Verdana" w:cs="Gotham Book"/>
        </w:rPr>
        <w:t>3.2</w:t>
      </w:r>
      <w:r w:rsidR="0006594C" w:rsidRPr="005A600E">
        <w:rPr>
          <w:rFonts w:ascii="Verdana" w:hAnsi="Verdana" w:cs="Gotham Book"/>
        </w:rPr>
        <w:t xml:space="preserve"> above</w:t>
      </w:r>
      <w:r w:rsidR="00B94152" w:rsidRPr="005A600E">
        <w:rPr>
          <w:rFonts w:ascii="Verdana" w:hAnsi="Verdana" w:cs="Gotham Book"/>
        </w:rPr>
        <w:t xml:space="preserve">, </w:t>
      </w:r>
      <w:r w:rsidR="0006594C" w:rsidRPr="005A600E">
        <w:rPr>
          <w:rFonts w:ascii="Verdana" w:hAnsi="Verdana" w:cs="Gotham Book"/>
        </w:rPr>
        <w:t xml:space="preserve">CTA entitlements </w:t>
      </w:r>
      <w:r w:rsidR="00EE5EC7" w:rsidRPr="005A600E">
        <w:rPr>
          <w:rFonts w:ascii="Verdana" w:hAnsi="Verdana" w:cs="Gotham Book"/>
        </w:rPr>
        <w:t>p</w:t>
      </w:r>
      <w:r w:rsidR="00BB2661" w:rsidRPr="005A600E">
        <w:rPr>
          <w:rFonts w:ascii="Verdana" w:hAnsi="Verdana" w:cs="Gotham Book"/>
        </w:rPr>
        <w:t>rovide less substantive protection tha</w:t>
      </w:r>
      <w:r w:rsidR="00E12FF6" w:rsidRPr="005A600E">
        <w:rPr>
          <w:rFonts w:ascii="Verdana" w:hAnsi="Verdana" w:cs="Gotham Book"/>
        </w:rPr>
        <w:t>n</w:t>
      </w:r>
      <w:r w:rsidR="00BB2661" w:rsidRPr="005A600E">
        <w:rPr>
          <w:rFonts w:ascii="Verdana" w:hAnsi="Verdana" w:cs="Gotham Book"/>
        </w:rPr>
        <w:t xml:space="preserve"> the </w:t>
      </w:r>
      <w:r w:rsidR="00BB2661" w:rsidRPr="00BC4D00">
        <w:rPr>
          <w:rFonts w:ascii="Verdana" w:hAnsi="Verdana" w:cs="Gotham Book"/>
        </w:rPr>
        <w:t>Withdrawal Agreement</w:t>
      </w:r>
      <w:r w:rsidR="00EB1F03" w:rsidRPr="00BC4D00">
        <w:rPr>
          <w:rFonts w:ascii="Verdana" w:hAnsi="Verdana" w:cs="Gotham Book"/>
        </w:rPr>
        <w:t>.</w:t>
      </w:r>
      <w:r w:rsidR="009C6200" w:rsidRPr="00BC4D00">
        <w:rPr>
          <w:rFonts w:ascii="Verdana" w:hAnsi="Verdana" w:cs="Gotham Book"/>
        </w:rPr>
        <w:t xml:space="preserve"> </w:t>
      </w:r>
    </w:p>
    <w:p w14:paraId="66FD6096" w14:textId="77777777" w:rsidR="00F473A9" w:rsidRPr="00BC4D00" w:rsidRDefault="00F473A9" w:rsidP="00B36C6A">
      <w:pPr>
        <w:pStyle w:val="ListParagraph"/>
        <w:spacing w:line="276" w:lineRule="auto"/>
        <w:rPr>
          <w:rFonts w:ascii="Verdana" w:hAnsi="Verdana" w:cs="Gotham Book"/>
        </w:rPr>
      </w:pPr>
    </w:p>
    <w:p w14:paraId="315FE714" w14:textId="43C07F0E" w:rsidR="00643304" w:rsidRPr="003D62AC" w:rsidRDefault="000B531E" w:rsidP="00B36C6A">
      <w:pPr>
        <w:pStyle w:val="BasicParagraph"/>
        <w:numPr>
          <w:ilvl w:val="1"/>
          <w:numId w:val="14"/>
        </w:numPr>
        <w:suppressAutoHyphens/>
        <w:spacing w:line="276" w:lineRule="auto"/>
        <w:rPr>
          <w:rFonts w:ascii="Verdana" w:hAnsi="Verdana" w:cs="Gotham"/>
        </w:rPr>
      </w:pPr>
      <w:r w:rsidRPr="00BC4D00">
        <w:rPr>
          <w:rFonts w:ascii="Verdana" w:hAnsi="Verdana" w:cs="Gotham Book"/>
        </w:rPr>
        <w:t>It</w:t>
      </w:r>
      <w:r w:rsidR="004560DC" w:rsidRPr="00BC4D00">
        <w:rPr>
          <w:rFonts w:ascii="Verdana" w:hAnsi="Verdana" w:cs="Gotham Book"/>
        </w:rPr>
        <w:t xml:space="preserve"> remains unclear whether</w:t>
      </w:r>
      <w:r w:rsidR="00EB4C88" w:rsidRPr="00BC4D00">
        <w:rPr>
          <w:rFonts w:ascii="Verdana" w:hAnsi="Verdana" w:cs="Gotham Book"/>
        </w:rPr>
        <w:t xml:space="preserve"> frontier workers</w:t>
      </w:r>
      <w:r w:rsidR="008A5597" w:rsidRPr="00BC4D00">
        <w:rPr>
          <w:rFonts w:ascii="Verdana" w:hAnsi="Verdana" w:cs="Gotham"/>
        </w:rPr>
        <w:t xml:space="preserve"> </w:t>
      </w:r>
      <w:r w:rsidR="008376DD" w:rsidRPr="00BC4D00">
        <w:rPr>
          <w:rFonts w:ascii="Verdana" w:hAnsi="Verdana" w:cs="Gotham Book"/>
        </w:rPr>
        <w:t xml:space="preserve">residing in Ireland </w:t>
      </w:r>
      <w:r w:rsidR="00404869" w:rsidRPr="00BC4D00">
        <w:rPr>
          <w:rFonts w:ascii="Verdana" w:hAnsi="Verdana" w:cs="Gotham Book"/>
        </w:rPr>
        <w:t>and working in NI</w:t>
      </w:r>
      <w:r w:rsidR="00DF3936" w:rsidRPr="00BC4D00">
        <w:rPr>
          <w:rFonts w:ascii="Verdana" w:hAnsi="Verdana" w:cs="Gotham Book"/>
        </w:rPr>
        <w:t>,</w:t>
      </w:r>
      <w:r w:rsidR="00404869" w:rsidRPr="00BC4D00">
        <w:rPr>
          <w:rFonts w:ascii="Verdana" w:hAnsi="Verdana" w:cs="Gotham Book"/>
        </w:rPr>
        <w:t xml:space="preserve"> </w:t>
      </w:r>
      <w:r w:rsidR="00DF02C3" w:rsidRPr="00BC4D00">
        <w:rPr>
          <w:rFonts w:ascii="Verdana" w:hAnsi="Verdana" w:cs="Gotham Book"/>
        </w:rPr>
        <w:t xml:space="preserve">who are not obliged to apply for the </w:t>
      </w:r>
      <w:r w:rsidR="00B40DF1" w:rsidRPr="00BC4D00">
        <w:rPr>
          <w:rFonts w:ascii="Verdana" w:hAnsi="Verdana" w:cs="Gotham Book"/>
        </w:rPr>
        <w:t xml:space="preserve">UK </w:t>
      </w:r>
      <w:r w:rsidR="00A51A91" w:rsidRPr="00BC4D00">
        <w:rPr>
          <w:rFonts w:ascii="Verdana" w:hAnsi="Verdana" w:cs="Gotham Book"/>
        </w:rPr>
        <w:t>FWPS</w:t>
      </w:r>
      <w:r w:rsidR="002059FE" w:rsidRPr="00BC4D00">
        <w:rPr>
          <w:rFonts w:ascii="Verdana" w:hAnsi="Verdana" w:cs="Gotham Book"/>
        </w:rPr>
        <w:t xml:space="preserve"> and whose rights are instead derived from the CTA</w:t>
      </w:r>
      <w:r w:rsidR="00DF3936" w:rsidRPr="00BC4D00">
        <w:rPr>
          <w:rFonts w:ascii="Verdana" w:hAnsi="Verdana" w:cs="Gotham Book"/>
        </w:rPr>
        <w:t>,</w:t>
      </w:r>
      <w:r w:rsidR="00404869" w:rsidRPr="00BC4D00">
        <w:rPr>
          <w:rFonts w:ascii="Verdana" w:hAnsi="Verdana" w:cs="Gotham Book"/>
        </w:rPr>
        <w:t xml:space="preserve"> </w:t>
      </w:r>
      <w:r w:rsidR="003B1911" w:rsidRPr="00BC4D00">
        <w:rPr>
          <w:rFonts w:ascii="Verdana" w:hAnsi="Verdana" w:cs="Gotham Book"/>
        </w:rPr>
        <w:t>enjoy the same right</w:t>
      </w:r>
      <w:r w:rsidR="00E00D31" w:rsidRPr="00BC4D00">
        <w:rPr>
          <w:rFonts w:ascii="Verdana" w:hAnsi="Verdana" w:cs="Gotham Book"/>
        </w:rPr>
        <w:t xml:space="preserve"> to healthcare</w:t>
      </w:r>
      <w:r w:rsidR="003B1911" w:rsidRPr="00BC4D00">
        <w:rPr>
          <w:rFonts w:ascii="Verdana" w:hAnsi="Verdana" w:cs="Gotham Book"/>
        </w:rPr>
        <w:t xml:space="preserve"> as before the UK’s withdrawal from the EU</w:t>
      </w:r>
      <w:r w:rsidR="006561D2" w:rsidRPr="00BC4D00">
        <w:rPr>
          <w:rFonts w:ascii="Verdana" w:hAnsi="Verdana" w:cs="Gotham Book"/>
        </w:rPr>
        <w:t>.</w:t>
      </w:r>
      <w:r w:rsidR="000E659B">
        <w:rPr>
          <w:rStyle w:val="FootnoteReference"/>
          <w:rFonts w:ascii="Verdana" w:hAnsi="Verdana" w:cs="Gotham Book"/>
        </w:rPr>
        <w:footnoteReference w:id="30"/>
      </w:r>
      <w:r w:rsidR="00065B1C" w:rsidRPr="00BC4D00">
        <w:rPr>
          <w:rFonts w:ascii="Verdana" w:hAnsi="Verdana" w:cs="Gotham Book"/>
        </w:rPr>
        <w:t xml:space="preserve"> Furthermore,</w:t>
      </w:r>
      <w:r w:rsidR="008B7223" w:rsidRPr="00BC4D00">
        <w:rPr>
          <w:rFonts w:ascii="Verdana" w:hAnsi="Verdana" w:cs="Gotham Book"/>
        </w:rPr>
        <w:t xml:space="preserve"> </w:t>
      </w:r>
      <w:r w:rsidR="00EC7BB0" w:rsidRPr="00BC4D00">
        <w:rPr>
          <w:rFonts w:ascii="Verdana" w:hAnsi="Verdana" w:cs="Gotham Book"/>
        </w:rPr>
        <w:t>clarification is needed on whether</w:t>
      </w:r>
      <w:r w:rsidR="00065B1C" w:rsidRPr="00BC4D00">
        <w:rPr>
          <w:rFonts w:ascii="Verdana" w:hAnsi="Verdana" w:cs="Gotham Book"/>
        </w:rPr>
        <w:t xml:space="preserve"> </w:t>
      </w:r>
      <w:r w:rsidR="00050F7E" w:rsidRPr="00BC4D00">
        <w:rPr>
          <w:rFonts w:ascii="Verdana" w:hAnsi="Verdana" w:cs="Gotham Book"/>
        </w:rPr>
        <w:t>these workers</w:t>
      </w:r>
      <w:r w:rsidR="00065B1C" w:rsidRPr="00BC4D00">
        <w:rPr>
          <w:rFonts w:ascii="Verdana" w:hAnsi="Verdana" w:cs="Gotham Book"/>
        </w:rPr>
        <w:t xml:space="preserve"> </w:t>
      </w:r>
      <w:r w:rsidR="008B7223" w:rsidRPr="00BC4D00">
        <w:rPr>
          <w:rFonts w:ascii="Verdana" w:hAnsi="Verdana" w:cs="Gotham Book"/>
        </w:rPr>
        <w:t>access health</w:t>
      </w:r>
      <w:r w:rsidR="005E7657" w:rsidRPr="00BC4D00">
        <w:rPr>
          <w:rFonts w:ascii="Verdana" w:hAnsi="Verdana" w:cs="Gotham Book"/>
        </w:rPr>
        <w:t xml:space="preserve">care </w:t>
      </w:r>
      <w:r w:rsidR="00050F7E" w:rsidRPr="00BC4D00">
        <w:rPr>
          <w:rFonts w:ascii="Verdana" w:hAnsi="Verdana" w:cs="Gotham Book"/>
        </w:rPr>
        <w:t xml:space="preserve">in NI </w:t>
      </w:r>
      <w:r w:rsidR="000D1EA5" w:rsidRPr="00BC4D00">
        <w:rPr>
          <w:rFonts w:ascii="Verdana" w:hAnsi="Verdana" w:cs="Gotham Book"/>
        </w:rPr>
        <w:t xml:space="preserve">on the same basis as those </w:t>
      </w:r>
      <w:r w:rsidR="00EC7BB0" w:rsidRPr="00BC4D00">
        <w:rPr>
          <w:rFonts w:ascii="Verdana" w:hAnsi="Verdana" w:cs="Gotham Book"/>
        </w:rPr>
        <w:t>protected under the</w:t>
      </w:r>
      <w:r w:rsidR="00AC13F9" w:rsidRPr="00BC4D00">
        <w:rPr>
          <w:rFonts w:ascii="Verdana" w:hAnsi="Verdana" w:cs="Gotham Book"/>
        </w:rPr>
        <w:t xml:space="preserve"> </w:t>
      </w:r>
      <w:r w:rsidR="00FC5ECA" w:rsidRPr="00BC4D00">
        <w:rPr>
          <w:rFonts w:ascii="Verdana" w:hAnsi="Verdana" w:cs="Gotham Book"/>
        </w:rPr>
        <w:t>FWPS</w:t>
      </w:r>
      <w:r w:rsidR="006561D2" w:rsidRPr="00BC4D00">
        <w:rPr>
          <w:rFonts w:ascii="Verdana" w:hAnsi="Verdana" w:cs="Gotham Book"/>
        </w:rPr>
        <w:t>.</w:t>
      </w:r>
    </w:p>
    <w:p w14:paraId="181DBE31" w14:textId="77777777" w:rsidR="00855B54" w:rsidRPr="005A600E" w:rsidRDefault="00855B54" w:rsidP="00B36C6A">
      <w:pPr>
        <w:spacing w:line="276" w:lineRule="auto"/>
        <w:rPr>
          <w:rFonts w:ascii="Verdana" w:hAnsi="Verdana" w:cs="Gotham Book"/>
        </w:rPr>
      </w:pPr>
    </w:p>
    <w:p w14:paraId="797BA960" w14:textId="563BFCDE" w:rsidR="00855B54" w:rsidRDefault="00855B54" w:rsidP="00B36C6A">
      <w:pPr>
        <w:pStyle w:val="BasicParagraph"/>
        <w:numPr>
          <w:ilvl w:val="1"/>
          <w:numId w:val="14"/>
        </w:numPr>
        <w:suppressAutoHyphens/>
        <w:spacing w:line="276" w:lineRule="auto"/>
        <w:rPr>
          <w:rFonts w:ascii="Verdana" w:hAnsi="Verdana" w:cs="Gotham Book"/>
          <w:b/>
          <w:bCs/>
        </w:rPr>
      </w:pPr>
      <w:r w:rsidRPr="005A600E">
        <w:rPr>
          <w:rFonts w:ascii="Verdana" w:hAnsi="Verdana" w:cs="Gotham Book"/>
          <w:b/>
          <w:bCs/>
        </w:rPr>
        <w:t>The NIHRC recommends</w:t>
      </w:r>
      <w:r w:rsidR="00C8094E" w:rsidRPr="005A600E">
        <w:rPr>
          <w:rFonts w:ascii="Verdana" w:hAnsi="Verdana" w:cs="Gotham Book"/>
          <w:b/>
          <w:bCs/>
        </w:rPr>
        <w:t xml:space="preserve"> </w:t>
      </w:r>
      <w:r w:rsidR="00096A50" w:rsidRPr="005A600E">
        <w:rPr>
          <w:rFonts w:ascii="Verdana" w:hAnsi="Verdana" w:cs="Gotham Book"/>
          <w:b/>
          <w:bCs/>
        </w:rPr>
        <w:t>that</w:t>
      </w:r>
      <w:r w:rsidR="00606AFC" w:rsidRPr="005A600E">
        <w:rPr>
          <w:rFonts w:ascii="Verdana" w:hAnsi="Verdana" w:cs="Gotham Book"/>
          <w:b/>
          <w:bCs/>
        </w:rPr>
        <w:t xml:space="preserve"> steps are taken to ensure that frontier workers to continue to enjoy </w:t>
      </w:r>
      <w:r w:rsidR="00937637" w:rsidRPr="005A600E">
        <w:rPr>
          <w:rFonts w:ascii="Verdana" w:hAnsi="Verdana" w:cs="Gotham Book"/>
          <w:b/>
          <w:bCs/>
        </w:rPr>
        <w:t>at least</w:t>
      </w:r>
      <w:r w:rsidR="00606AFC" w:rsidRPr="005A600E">
        <w:rPr>
          <w:rFonts w:ascii="Verdana" w:hAnsi="Verdana" w:cs="Gotham Book"/>
          <w:b/>
          <w:bCs/>
        </w:rPr>
        <w:t xml:space="preserve"> the same rights as before the UK’s withdrawal from the EU. </w:t>
      </w:r>
      <w:r w:rsidR="00340261">
        <w:rPr>
          <w:rFonts w:ascii="Verdana" w:hAnsi="Verdana" w:cs="Gotham Book"/>
          <w:b/>
          <w:bCs/>
        </w:rPr>
        <w:t>This includes c</w:t>
      </w:r>
      <w:r w:rsidR="00606AFC" w:rsidRPr="005A600E">
        <w:rPr>
          <w:rFonts w:ascii="Verdana" w:hAnsi="Verdana" w:cs="Gotham Book"/>
          <w:b/>
          <w:bCs/>
        </w:rPr>
        <w:t xml:space="preserve">larifying </w:t>
      </w:r>
      <w:r w:rsidR="00096A50" w:rsidRPr="005A600E">
        <w:rPr>
          <w:rFonts w:ascii="Verdana" w:hAnsi="Verdana" w:cs="Gotham Book"/>
          <w:b/>
          <w:bCs/>
        </w:rPr>
        <w:t>the</w:t>
      </w:r>
      <w:r w:rsidR="003368B5" w:rsidRPr="005A600E">
        <w:rPr>
          <w:rFonts w:ascii="Verdana" w:hAnsi="Verdana" w:cs="Gotham Book"/>
          <w:b/>
          <w:bCs/>
        </w:rPr>
        <w:t xml:space="preserve"> relationship between</w:t>
      </w:r>
      <w:r w:rsidR="00096A50" w:rsidRPr="005A600E">
        <w:rPr>
          <w:rFonts w:ascii="Verdana" w:hAnsi="Verdana" w:cs="Gotham Book"/>
          <w:b/>
          <w:bCs/>
        </w:rPr>
        <w:t xml:space="preserve"> the</w:t>
      </w:r>
      <w:r w:rsidR="003368B5" w:rsidRPr="005A600E">
        <w:rPr>
          <w:rFonts w:ascii="Verdana" w:hAnsi="Verdana" w:cs="Gotham Book"/>
          <w:b/>
          <w:bCs/>
        </w:rPr>
        <w:t xml:space="preserve"> Frontier Workers’</w:t>
      </w:r>
      <w:r w:rsidR="0081798B" w:rsidRPr="005A600E">
        <w:rPr>
          <w:rFonts w:ascii="Verdana" w:hAnsi="Verdana" w:cs="Gotham Book"/>
          <w:b/>
          <w:bCs/>
        </w:rPr>
        <w:t xml:space="preserve"> </w:t>
      </w:r>
      <w:r w:rsidR="00B71FC0" w:rsidRPr="005A600E">
        <w:rPr>
          <w:rFonts w:ascii="Verdana" w:hAnsi="Verdana" w:cs="Gotham Book"/>
          <w:b/>
          <w:bCs/>
        </w:rPr>
        <w:t xml:space="preserve">Permit </w:t>
      </w:r>
      <w:r w:rsidR="0081798B" w:rsidRPr="005A600E">
        <w:rPr>
          <w:rFonts w:ascii="Verdana" w:hAnsi="Verdana" w:cs="Gotham Book"/>
          <w:b/>
          <w:bCs/>
        </w:rPr>
        <w:t xml:space="preserve">Scheme and the CTA rules that </w:t>
      </w:r>
      <w:r w:rsidR="000A69CD" w:rsidRPr="005A600E">
        <w:rPr>
          <w:rFonts w:ascii="Verdana" w:hAnsi="Verdana" w:cs="Gotham Book"/>
          <w:b/>
          <w:bCs/>
        </w:rPr>
        <w:t>govern access to healthcare</w:t>
      </w:r>
      <w:r w:rsidR="00096A50" w:rsidRPr="005A600E">
        <w:rPr>
          <w:rFonts w:ascii="Verdana" w:hAnsi="Verdana" w:cs="Gotham Book"/>
          <w:b/>
          <w:bCs/>
        </w:rPr>
        <w:t xml:space="preserve"> for frontier workers</w:t>
      </w:r>
      <w:r w:rsidR="003E242C" w:rsidRPr="005A600E">
        <w:rPr>
          <w:rFonts w:ascii="Verdana" w:hAnsi="Verdana" w:cs="Gotham Book"/>
          <w:b/>
          <w:bCs/>
        </w:rPr>
        <w:t xml:space="preserve"> and</w:t>
      </w:r>
      <w:r w:rsidR="00312978" w:rsidRPr="005A600E">
        <w:rPr>
          <w:rFonts w:ascii="Verdana" w:hAnsi="Verdana" w:cs="Gotham Book"/>
          <w:b/>
          <w:bCs/>
        </w:rPr>
        <w:t xml:space="preserve"> ensuring</w:t>
      </w:r>
      <w:r w:rsidR="003E242C" w:rsidRPr="005A600E">
        <w:rPr>
          <w:rFonts w:ascii="Verdana" w:hAnsi="Verdana" w:cs="Gotham Book"/>
          <w:b/>
          <w:bCs/>
        </w:rPr>
        <w:t xml:space="preserve"> that those who are not obliged to apply for the Scheme are</w:t>
      </w:r>
      <w:r w:rsidR="00044733" w:rsidRPr="005A600E">
        <w:rPr>
          <w:rFonts w:ascii="Verdana" w:hAnsi="Verdana" w:cs="Gotham Book"/>
          <w:b/>
          <w:bCs/>
        </w:rPr>
        <w:t xml:space="preserve"> still</w:t>
      </w:r>
      <w:r w:rsidR="003E242C" w:rsidRPr="005A600E">
        <w:rPr>
          <w:rFonts w:ascii="Verdana" w:hAnsi="Verdana" w:cs="Gotham Book"/>
          <w:b/>
          <w:bCs/>
        </w:rPr>
        <w:t xml:space="preserve"> able enjoy </w:t>
      </w:r>
      <w:r w:rsidR="00044733" w:rsidRPr="005A600E">
        <w:rPr>
          <w:rFonts w:ascii="Verdana" w:hAnsi="Verdana" w:cs="Gotham Book"/>
          <w:b/>
          <w:bCs/>
        </w:rPr>
        <w:t>the same right</w:t>
      </w:r>
      <w:r w:rsidR="00606AFC" w:rsidRPr="005A600E">
        <w:rPr>
          <w:rFonts w:ascii="Verdana" w:hAnsi="Verdana" w:cs="Gotham Book"/>
          <w:b/>
          <w:bCs/>
        </w:rPr>
        <w:t xml:space="preserve"> to healthcare </w:t>
      </w:r>
      <w:r w:rsidR="002627B7" w:rsidRPr="005A600E">
        <w:rPr>
          <w:rFonts w:ascii="Verdana" w:hAnsi="Verdana" w:cs="Gotham Book"/>
          <w:b/>
          <w:bCs/>
        </w:rPr>
        <w:t xml:space="preserve">in their place of residence and </w:t>
      </w:r>
      <w:r w:rsidR="00F530F9" w:rsidRPr="005A600E">
        <w:rPr>
          <w:rFonts w:ascii="Verdana" w:hAnsi="Verdana" w:cs="Gotham Book"/>
          <w:b/>
          <w:bCs/>
        </w:rPr>
        <w:t xml:space="preserve">their place of </w:t>
      </w:r>
      <w:r w:rsidR="002627B7" w:rsidRPr="005A600E">
        <w:rPr>
          <w:rFonts w:ascii="Verdana" w:hAnsi="Verdana" w:cs="Gotham Book"/>
          <w:b/>
          <w:bCs/>
        </w:rPr>
        <w:t xml:space="preserve">work </w:t>
      </w:r>
      <w:r w:rsidR="00606AFC" w:rsidRPr="005A600E">
        <w:rPr>
          <w:rFonts w:ascii="Verdana" w:hAnsi="Verdana" w:cs="Gotham Book"/>
          <w:b/>
          <w:bCs/>
        </w:rPr>
        <w:t>as before Brexit</w:t>
      </w:r>
      <w:r w:rsidR="00705E5D">
        <w:rPr>
          <w:rFonts w:ascii="Verdana" w:hAnsi="Verdana" w:cs="Gotham Book"/>
          <w:b/>
          <w:bCs/>
        </w:rPr>
        <w:t>.</w:t>
      </w:r>
    </w:p>
    <w:p w14:paraId="616C491B" w14:textId="77777777" w:rsidR="00D611FD" w:rsidRDefault="00D611FD" w:rsidP="00B36C6A">
      <w:pPr>
        <w:pStyle w:val="ListParagraph"/>
        <w:spacing w:line="276" w:lineRule="auto"/>
        <w:rPr>
          <w:rFonts w:ascii="Verdana" w:hAnsi="Verdana" w:cs="Gotham Book"/>
          <w:b/>
          <w:bCs/>
        </w:rPr>
      </w:pPr>
    </w:p>
    <w:p w14:paraId="3CBBAB31" w14:textId="1B1607E0" w:rsidR="001718D2" w:rsidRPr="00BC4D00" w:rsidRDefault="00166D7B" w:rsidP="00B36C6A">
      <w:pPr>
        <w:pStyle w:val="ListParagraph"/>
        <w:keepNext/>
        <w:keepLines/>
        <w:numPr>
          <w:ilvl w:val="0"/>
          <w:numId w:val="14"/>
        </w:numPr>
        <w:spacing w:before="240" w:line="276" w:lineRule="auto"/>
        <w:outlineLvl w:val="0"/>
        <w:rPr>
          <w:rFonts w:ascii="Verdana" w:eastAsiaTheme="majorEastAsia" w:hAnsi="Verdana" w:cstheme="majorBidi"/>
          <w:b/>
          <w:bCs/>
          <w:color w:val="77328A"/>
          <w:sz w:val="30"/>
          <w:szCs w:val="30"/>
        </w:rPr>
      </w:pPr>
      <w:bookmarkStart w:id="11" w:name="_Toc104983341"/>
      <w:bookmarkStart w:id="12" w:name="_Hlk103168370"/>
      <w:r w:rsidRPr="00BC4D00">
        <w:rPr>
          <w:rFonts w:ascii="Verdana" w:eastAsiaTheme="majorEastAsia" w:hAnsi="Verdana" w:cstheme="majorBidi"/>
          <w:b/>
          <w:bCs/>
          <w:color w:val="77328A"/>
          <w:sz w:val="30"/>
          <w:szCs w:val="30"/>
        </w:rPr>
        <w:lastRenderedPageBreak/>
        <w:t>Access to</w:t>
      </w:r>
      <w:r w:rsidR="00E3633D" w:rsidRPr="00BC4D00">
        <w:rPr>
          <w:rFonts w:ascii="Verdana" w:eastAsiaTheme="majorEastAsia" w:hAnsi="Verdana" w:cstheme="majorBidi"/>
          <w:b/>
          <w:bCs/>
          <w:color w:val="77328A"/>
          <w:sz w:val="30"/>
          <w:szCs w:val="30"/>
        </w:rPr>
        <w:t xml:space="preserve"> </w:t>
      </w:r>
      <w:r w:rsidR="0053204B" w:rsidRPr="00BC4D00">
        <w:rPr>
          <w:rFonts w:ascii="Verdana" w:eastAsiaTheme="majorEastAsia" w:hAnsi="Verdana" w:cstheme="majorBidi"/>
          <w:b/>
          <w:bCs/>
          <w:color w:val="77328A"/>
          <w:sz w:val="30"/>
          <w:szCs w:val="30"/>
        </w:rPr>
        <w:t xml:space="preserve">Cross-Border and </w:t>
      </w:r>
      <w:r w:rsidRPr="00BC4D00">
        <w:rPr>
          <w:rFonts w:ascii="Verdana" w:eastAsiaTheme="majorEastAsia" w:hAnsi="Verdana" w:cstheme="majorBidi"/>
          <w:b/>
          <w:bCs/>
          <w:color w:val="77328A"/>
          <w:sz w:val="30"/>
          <w:szCs w:val="30"/>
        </w:rPr>
        <w:t>All-</w:t>
      </w:r>
      <w:r w:rsidR="001718D2" w:rsidRPr="00BC4D00">
        <w:rPr>
          <w:rFonts w:ascii="Verdana" w:eastAsiaTheme="majorEastAsia" w:hAnsi="Verdana" w:cstheme="majorBidi"/>
          <w:b/>
          <w:bCs/>
          <w:color w:val="77328A"/>
          <w:sz w:val="30"/>
          <w:szCs w:val="30"/>
        </w:rPr>
        <w:t>I</w:t>
      </w:r>
      <w:r w:rsidRPr="00BC4D00">
        <w:rPr>
          <w:rFonts w:ascii="Verdana" w:eastAsiaTheme="majorEastAsia" w:hAnsi="Verdana" w:cstheme="majorBidi"/>
          <w:b/>
          <w:bCs/>
          <w:color w:val="77328A"/>
          <w:sz w:val="30"/>
          <w:szCs w:val="30"/>
        </w:rPr>
        <w:t xml:space="preserve">sland </w:t>
      </w:r>
      <w:r w:rsidR="001718D2" w:rsidRPr="00BC4D00">
        <w:rPr>
          <w:rFonts w:ascii="Verdana" w:eastAsiaTheme="majorEastAsia" w:hAnsi="Verdana" w:cstheme="majorBidi"/>
          <w:b/>
          <w:bCs/>
          <w:color w:val="77328A"/>
          <w:sz w:val="30"/>
          <w:szCs w:val="30"/>
        </w:rPr>
        <w:t>Facilities</w:t>
      </w:r>
      <w:bookmarkEnd w:id="11"/>
    </w:p>
    <w:bookmarkEnd w:id="12"/>
    <w:p w14:paraId="6FB8692D" w14:textId="0E360CDA" w:rsidR="00C44D77" w:rsidRDefault="00C44D77" w:rsidP="00B36C6A">
      <w:pPr>
        <w:pStyle w:val="BasicParagraph"/>
        <w:suppressAutoHyphens/>
        <w:spacing w:line="276" w:lineRule="auto"/>
        <w:rPr>
          <w:rFonts w:ascii="Verdana" w:hAnsi="Verdana"/>
        </w:rPr>
      </w:pPr>
    </w:p>
    <w:p w14:paraId="34264BFC" w14:textId="7755AABF" w:rsidR="00710376" w:rsidRPr="00770A16" w:rsidRDefault="00840A29" w:rsidP="00B36C6A">
      <w:pPr>
        <w:pStyle w:val="BasicParagraph"/>
        <w:numPr>
          <w:ilvl w:val="1"/>
          <w:numId w:val="14"/>
        </w:numPr>
        <w:suppressAutoHyphens/>
        <w:spacing w:line="276" w:lineRule="auto"/>
        <w:rPr>
          <w:rFonts w:ascii="Verdana" w:hAnsi="Verdana"/>
        </w:rPr>
      </w:pPr>
      <w:r w:rsidRPr="00770A16">
        <w:rPr>
          <w:rFonts w:ascii="Verdana" w:hAnsi="Verdana"/>
        </w:rPr>
        <w:t>The s</w:t>
      </w:r>
      <w:r w:rsidR="00FD6A1A" w:rsidRPr="00770A16">
        <w:rPr>
          <w:rFonts w:ascii="Verdana" w:hAnsi="Verdana"/>
        </w:rPr>
        <w:t xml:space="preserve">hared </w:t>
      </w:r>
      <w:r w:rsidR="0081537A" w:rsidRPr="00770A16">
        <w:rPr>
          <w:rFonts w:ascii="Verdana" w:hAnsi="Verdana"/>
        </w:rPr>
        <w:t>health infrastructure on the island of Ireland</w:t>
      </w:r>
      <w:r w:rsidR="00F85531" w:rsidRPr="00770A16">
        <w:rPr>
          <w:rFonts w:ascii="Verdana" w:hAnsi="Verdana"/>
        </w:rPr>
        <w:t xml:space="preserve"> </w:t>
      </w:r>
      <w:r w:rsidR="001B1193" w:rsidRPr="00770A16">
        <w:rPr>
          <w:rFonts w:ascii="Verdana" w:hAnsi="Verdana"/>
        </w:rPr>
        <w:t>should be</w:t>
      </w:r>
      <w:r w:rsidR="00F85531" w:rsidRPr="00770A16">
        <w:rPr>
          <w:rFonts w:ascii="Verdana" w:hAnsi="Verdana"/>
        </w:rPr>
        <w:t xml:space="preserve"> accessible for all. </w:t>
      </w:r>
      <w:r w:rsidR="001718D2" w:rsidRPr="00770A16">
        <w:rPr>
          <w:rFonts w:ascii="Verdana" w:hAnsi="Verdana"/>
        </w:rPr>
        <w:t xml:space="preserve">From </w:t>
      </w:r>
      <w:r w:rsidR="00CF140A">
        <w:rPr>
          <w:rFonts w:ascii="Verdana" w:hAnsi="Verdana"/>
        </w:rPr>
        <w:t>research interviews</w:t>
      </w:r>
      <w:r w:rsidR="001718D2" w:rsidRPr="00770A16">
        <w:rPr>
          <w:rFonts w:ascii="Verdana" w:hAnsi="Verdana"/>
        </w:rPr>
        <w:t xml:space="preserve">, </w:t>
      </w:r>
      <w:r w:rsidR="0008149F" w:rsidRPr="00770A16">
        <w:rPr>
          <w:rFonts w:ascii="Verdana" w:hAnsi="Verdana"/>
        </w:rPr>
        <w:t>e</w:t>
      </w:r>
      <w:r w:rsidR="001718D2" w:rsidRPr="00770A16">
        <w:rPr>
          <w:rFonts w:ascii="Verdana" w:hAnsi="Verdana"/>
        </w:rPr>
        <w:t xml:space="preserve">vidence </w:t>
      </w:r>
      <w:r w:rsidR="008A7B9F" w:rsidRPr="00770A16">
        <w:rPr>
          <w:rFonts w:ascii="Verdana" w:hAnsi="Verdana"/>
        </w:rPr>
        <w:t xml:space="preserve">was presented </w:t>
      </w:r>
      <w:r w:rsidR="00570619" w:rsidRPr="00770A16">
        <w:rPr>
          <w:rFonts w:ascii="Verdana" w:hAnsi="Verdana"/>
        </w:rPr>
        <w:t xml:space="preserve">where </w:t>
      </w:r>
      <w:r w:rsidR="00B22DD2" w:rsidRPr="00770A16">
        <w:rPr>
          <w:rFonts w:ascii="Verdana" w:hAnsi="Verdana"/>
        </w:rPr>
        <w:t xml:space="preserve">a </w:t>
      </w:r>
      <w:r w:rsidR="008A7B9F" w:rsidRPr="00770A16">
        <w:rPr>
          <w:rFonts w:ascii="Verdana" w:hAnsi="Verdana"/>
        </w:rPr>
        <w:t>person from the B</w:t>
      </w:r>
      <w:r w:rsidR="004A09F0" w:rsidRPr="00770A16">
        <w:rPr>
          <w:rFonts w:ascii="Verdana" w:hAnsi="Verdana"/>
        </w:rPr>
        <w:t>lack, Asian and Minority</w:t>
      </w:r>
      <w:r w:rsidR="008A7B9F" w:rsidRPr="00770A16">
        <w:rPr>
          <w:rFonts w:ascii="Verdana" w:hAnsi="Verdana"/>
        </w:rPr>
        <w:t xml:space="preserve"> </w:t>
      </w:r>
      <w:r w:rsidR="00CB517C">
        <w:rPr>
          <w:rFonts w:ascii="Verdana" w:hAnsi="Verdana"/>
        </w:rPr>
        <w:t xml:space="preserve">Ethnic </w:t>
      </w:r>
      <w:r w:rsidR="004A09F0" w:rsidRPr="00770A16">
        <w:rPr>
          <w:rFonts w:ascii="Verdana" w:hAnsi="Verdana"/>
        </w:rPr>
        <w:t>C</w:t>
      </w:r>
      <w:r w:rsidR="008A7B9F" w:rsidRPr="00770A16">
        <w:rPr>
          <w:rFonts w:ascii="Verdana" w:hAnsi="Verdana"/>
        </w:rPr>
        <w:t xml:space="preserve">ommunity </w:t>
      </w:r>
      <w:r w:rsidR="00233AC1" w:rsidRPr="00770A16">
        <w:rPr>
          <w:rFonts w:ascii="Verdana" w:hAnsi="Verdana"/>
        </w:rPr>
        <w:t xml:space="preserve">(and </w:t>
      </w:r>
      <w:r w:rsidR="008A7B9F" w:rsidRPr="00770A16">
        <w:rPr>
          <w:rFonts w:ascii="Verdana" w:hAnsi="Verdana"/>
        </w:rPr>
        <w:t xml:space="preserve">national </w:t>
      </w:r>
      <w:r w:rsidR="00CF5151" w:rsidRPr="00770A16">
        <w:rPr>
          <w:rFonts w:ascii="Verdana" w:hAnsi="Verdana"/>
        </w:rPr>
        <w:t>of an EU country</w:t>
      </w:r>
      <w:r w:rsidR="00233AC1" w:rsidRPr="00770A16">
        <w:rPr>
          <w:rFonts w:ascii="Verdana" w:hAnsi="Verdana"/>
        </w:rPr>
        <w:t>)</w:t>
      </w:r>
      <w:r w:rsidR="0035296E" w:rsidRPr="00770A16">
        <w:rPr>
          <w:rFonts w:ascii="Verdana" w:hAnsi="Verdana"/>
        </w:rPr>
        <w:t xml:space="preserve"> </w:t>
      </w:r>
      <w:r w:rsidR="00B22DD2" w:rsidRPr="00770A16">
        <w:rPr>
          <w:rFonts w:ascii="Verdana" w:hAnsi="Verdana"/>
        </w:rPr>
        <w:t xml:space="preserve">had given birth to a premature baby in </w:t>
      </w:r>
      <w:r w:rsidR="001B1193" w:rsidRPr="00770A16">
        <w:rPr>
          <w:rFonts w:ascii="Verdana" w:hAnsi="Verdana"/>
        </w:rPr>
        <w:t>NI and</w:t>
      </w:r>
      <w:r w:rsidR="00233AC1" w:rsidRPr="00770A16">
        <w:rPr>
          <w:rFonts w:ascii="Verdana" w:hAnsi="Verdana"/>
        </w:rPr>
        <w:t xml:space="preserve"> </w:t>
      </w:r>
      <w:r w:rsidR="00AA2F4A">
        <w:rPr>
          <w:rFonts w:ascii="Verdana" w:hAnsi="Verdana"/>
        </w:rPr>
        <w:t xml:space="preserve">then </w:t>
      </w:r>
      <w:r w:rsidRPr="00770A16">
        <w:rPr>
          <w:rFonts w:ascii="Verdana" w:hAnsi="Verdana"/>
        </w:rPr>
        <w:t xml:space="preserve">faced </w:t>
      </w:r>
      <w:r w:rsidR="00AA2F4A">
        <w:rPr>
          <w:rFonts w:ascii="Verdana" w:hAnsi="Verdana"/>
        </w:rPr>
        <w:t>difficulty</w:t>
      </w:r>
      <w:r w:rsidR="0035296E" w:rsidRPr="00770A16">
        <w:rPr>
          <w:rFonts w:ascii="Verdana" w:hAnsi="Verdana"/>
        </w:rPr>
        <w:t xml:space="preserve"> accessing healthcare</w:t>
      </w:r>
      <w:r w:rsidR="00B22DD2" w:rsidRPr="00770A16">
        <w:rPr>
          <w:rFonts w:ascii="Verdana" w:hAnsi="Verdana"/>
        </w:rPr>
        <w:t xml:space="preserve"> in </w:t>
      </w:r>
      <w:r w:rsidR="00A23353" w:rsidRPr="00770A16">
        <w:rPr>
          <w:rFonts w:ascii="Verdana" w:hAnsi="Verdana"/>
        </w:rPr>
        <w:t xml:space="preserve">Ireland </w:t>
      </w:r>
      <w:r w:rsidR="007C30B8" w:rsidRPr="00770A16">
        <w:rPr>
          <w:rFonts w:ascii="Verdana" w:hAnsi="Verdana"/>
        </w:rPr>
        <w:t xml:space="preserve">and </w:t>
      </w:r>
      <w:r w:rsidR="00AA2F4A">
        <w:rPr>
          <w:rFonts w:ascii="Verdana" w:hAnsi="Verdana"/>
        </w:rPr>
        <w:t xml:space="preserve">uncertainty as to </w:t>
      </w:r>
      <w:r w:rsidR="001B1193" w:rsidRPr="00770A16">
        <w:rPr>
          <w:rFonts w:ascii="Verdana" w:hAnsi="Verdana"/>
        </w:rPr>
        <w:t xml:space="preserve">whether she was able to </w:t>
      </w:r>
      <w:r w:rsidR="00A23353" w:rsidRPr="00770A16">
        <w:rPr>
          <w:rFonts w:ascii="Verdana" w:hAnsi="Verdana"/>
        </w:rPr>
        <w:t xml:space="preserve">go with her baby to </w:t>
      </w:r>
      <w:r w:rsidR="00A23353" w:rsidRPr="00884A15">
        <w:rPr>
          <w:rFonts w:ascii="Verdana" w:hAnsi="Verdana"/>
        </w:rPr>
        <w:t xml:space="preserve">the </w:t>
      </w:r>
      <w:r w:rsidR="00153C87" w:rsidRPr="00884A15">
        <w:rPr>
          <w:rFonts w:ascii="Verdana" w:hAnsi="Verdana"/>
        </w:rPr>
        <w:t>all-island</w:t>
      </w:r>
      <w:r w:rsidR="00153C87" w:rsidRPr="00770A16">
        <w:rPr>
          <w:rFonts w:ascii="Verdana" w:hAnsi="Verdana"/>
        </w:rPr>
        <w:t xml:space="preserve"> </w:t>
      </w:r>
      <w:r w:rsidR="00D254AC" w:rsidRPr="00770A16">
        <w:rPr>
          <w:rFonts w:ascii="Verdana" w:hAnsi="Verdana"/>
        </w:rPr>
        <w:t>paediatric</w:t>
      </w:r>
      <w:r w:rsidR="00A23353" w:rsidRPr="00770A16">
        <w:rPr>
          <w:rFonts w:ascii="Verdana" w:hAnsi="Verdana"/>
        </w:rPr>
        <w:t xml:space="preserve"> cardiology unit</w:t>
      </w:r>
      <w:r w:rsidR="00153C87" w:rsidRPr="00770A16">
        <w:rPr>
          <w:rFonts w:ascii="Verdana" w:hAnsi="Verdana"/>
        </w:rPr>
        <w:t xml:space="preserve"> in Dublin. At first, the </w:t>
      </w:r>
      <w:r w:rsidR="00D254AC" w:rsidRPr="00770A16">
        <w:rPr>
          <w:rFonts w:ascii="Verdana" w:hAnsi="Verdana"/>
        </w:rPr>
        <w:t>hospital</w:t>
      </w:r>
      <w:r w:rsidR="00153C87" w:rsidRPr="00770A16">
        <w:rPr>
          <w:rFonts w:ascii="Verdana" w:hAnsi="Verdana"/>
        </w:rPr>
        <w:t xml:space="preserve"> administrat</w:t>
      </w:r>
      <w:r w:rsidR="00D254AC" w:rsidRPr="00770A16">
        <w:rPr>
          <w:rFonts w:ascii="Verdana" w:hAnsi="Verdana"/>
        </w:rPr>
        <w:t>ors</w:t>
      </w:r>
      <w:r w:rsidR="00153C87" w:rsidRPr="00770A16">
        <w:rPr>
          <w:rFonts w:ascii="Verdana" w:hAnsi="Verdana"/>
        </w:rPr>
        <w:t xml:space="preserve"> </w:t>
      </w:r>
      <w:r w:rsidR="00D254AC" w:rsidRPr="00770A16">
        <w:rPr>
          <w:rFonts w:ascii="Verdana" w:hAnsi="Verdana"/>
        </w:rPr>
        <w:t xml:space="preserve">were of the view that the mother would need to pay for any non-emergency aspects of her care. </w:t>
      </w:r>
      <w:r w:rsidR="00996BAE" w:rsidRPr="00770A16">
        <w:rPr>
          <w:rFonts w:ascii="Verdana" w:hAnsi="Verdana"/>
        </w:rPr>
        <w:t xml:space="preserve">The situation was only resolved </w:t>
      </w:r>
      <w:r w:rsidR="00106C95" w:rsidRPr="00770A16">
        <w:rPr>
          <w:rFonts w:ascii="Verdana" w:hAnsi="Verdana"/>
        </w:rPr>
        <w:t>through the intervention</w:t>
      </w:r>
      <w:r w:rsidR="00996BAE" w:rsidRPr="00770A16">
        <w:rPr>
          <w:rFonts w:ascii="Verdana" w:hAnsi="Verdana"/>
        </w:rPr>
        <w:t xml:space="preserve"> of an NGO.</w:t>
      </w:r>
      <w:r w:rsidR="00D254AC" w:rsidRPr="00770A16">
        <w:rPr>
          <w:rStyle w:val="FootnoteReference"/>
          <w:rFonts w:ascii="Verdana" w:hAnsi="Verdana"/>
        </w:rPr>
        <w:footnoteReference w:id="31"/>
      </w:r>
      <w:r w:rsidR="00BD60CE" w:rsidRPr="00770A16">
        <w:rPr>
          <w:rFonts w:ascii="Verdana" w:hAnsi="Verdana"/>
        </w:rPr>
        <w:t xml:space="preserve"> </w:t>
      </w:r>
    </w:p>
    <w:p w14:paraId="29FACDA2" w14:textId="77777777" w:rsidR="00710376" w:rsidRDefault="00710376" w:rsidP="00B36C6A">
      <w:pPr>
        <w:pStyle w:val="BasicParagraph"/>
        <w:suppressAutoHyphens/>
        <w:spacing w:line="276" w:lineRule="auto"/>
        <w:ind w:left="720"/>
        <w:rPr>
          <w:rFonts w:ascii="Verdana" w:hAnsi="Verdana"/>
        </w:rPr>
      </w:pPr>
    </w:p>
    <w:p w14:paraId="43D700E1" w14:textId="03ECF04E" w:rsidR="00A013E5" w:rsidRPr="00502FD8" w:rsidRDefault="00B04852" w:rsidP="00B36C6A">
      <w:pPr>
        <w:pStyle w:val="BasicParagraph"/>
        <w:numPr>
          <w:ilvl w:val="1"/>
          <w:numId w:val="14"/>
        </w:numPr>
        <w:suppressAutoHyphens/>
        <w:spacing w:line="276" w:lineRule="auto"/>
        <w:rPr>
          <w:rFonts w:ascii="Verdana" w:hAnsi="Verdana"/>
        </w:rPr>
      </w:pPr>
      <w:r w:rsidRPr="00502FD8">
        <w:rPr>
          <w:rFonts w:ascii="Verdana" w:hAnsi="Verdana"/>
        </w:rPr>
        <w:t xml:space="preserve">Difficulties accessing </w:t>
      </w:r>
      <w:r w:rsidR="005E4EB3" w:rsidRPr="00502FD8">
        <w:rPr>
          <w:rFonts w:ascii="Verdana" w:hAnsi="Verdana"/>
        </w:rPr>
        <w:t>all-island care</w:t>
      </w:r>
      <w:r w:rsidR="00586AE9" w:rsidRPr="00502FD8">
        <w:rPr>
          <w:rFonts w:ascii="Verdana" w:hAnsi="Verdana"/>
        </w:rPr>
        <w:t xml:space="preserve"> </w:t>
      </w:r>
      <w:r w:rsidR="00C57664" w:rsidRPr="00502FD8">
        <w:rPr>
          <w:rFonts w:ascii="Verdana" w:hAnsi="Verdana"/>
        </w:rPr>
        <w:t>were echoed</w:t>
      </w:r>
      <w:r w:rsidR="00586AE9" w:rsidRPr="00502FD8">
        <w:rPr>
          <w:rFonts w:ascii="Verdana" w:hAnsi="Verdana"/>
        </w:rPr>
        <w:t xml:space="preserve"> during</w:t>
      </w:r>
      <w:r w:rsidR="00C65087" w:rsidRPr="00502FD8">
        <w:rPr>
          <w:rFonts w:ascii="Verdana" w:hAnsi="Verdana"/>
        </w:rPr>
        <w:t xml:space="preserve"> an</w:t>
      </w:r>
      <w:r w:rsidR="008E1E68" w:rsidRPr="00502FD8">
        <w:rPr>
          <w:rFonts w:ascii="Verdana" w:hAnsi="Verdana"/>
        </w:rPr>
        <w:t xml:space="preserve"> event co-hosted by the </w:t>
      </w:r>
      <w:r w:rsidR="00C57664" w:rsidRPr="00502FD8">
        <w:rPr>
          <w:rFonts w:ascii="Verdana" w:hAnsi="Verdana"/>
        </w:rPr>
        <w:t xml:space="preserve">Irish Human Rights and Equality Commission, the </w:t>
      </w:r>
      <w:r w:rsidR="008E1E68" w:rsidRPr="00502FD8">
        <w:rPr>
          <w:rFonts w:ascii="Verdana" w:hAnsi="Verdana"/>
        </w:rPr>
        <w:t>Equality Commission for NI and the NIHRC</w:t>
      </w:r>
      <w:r w:rsidR="00586AE9" w:rsidRPr="00502FD8">
        <w:rPr>
          <w:rFonts w:ascii="Verdana" w:hAnsi="Verdana"/>
        </w:rPr>
        <w:t xml:space="preserve"> on rights after Brexit</w:t>
      </w:r>
      <w:r w:rsidR="00E3633D" w:rsidRPr="00502FD8">
        <w:rPr>
          <w:rFonts w:ascii="Verdana" w:hAnsi="Verdana"/>
        </w:rPr>
        <w:t>,</w:t>
      </w:r>
      <w:r w:rsidR="007514A5" w:rsidRPr="00502FD8">
        <w:rPr>
          <w:rFonts w:ascii="Verdana" w:hAnsi="Verdana"/>
        </w:rPr>
        <w:t xml:space="preserve"> in </w:t>
      </w:r>
      <w:r w:rsidR="004C0719" w:rsidRPr="00502FD8">
        <w:rPr>
          <w:rFonts w:ascii="Verdana" w:hAnsi="Verdana"/>
        </w:rPr>
        <w:t>March 2022</w:t>
      </w:r>
      <w:r w:rsidR="00586AE9" w:rsidRPr="00502FD8">
        <w:rPr>
          <w:rFonts w:ascii="Verdana" w:hAnsi="Verdana"/>
        </w:rPr>
        <w:t>.</w:t>
      </w:r>
      <w:r w:rsidR="001757CD">
        <w:rPr>
          <w:rStyle w:val="FootnoteReference"/>
          <w:rFonts w:ascii="Verdana" w:hAnsi="Verdana"/>
        </w:rPr>
        <w:footnoteReference w:id="32"/>
      </w:r>
      <w:r w:rsidR="00C65087" w:rsidRPr="00502FD8">
        <w:rPr>
          <w:rFonts w:ascii="Verdana" w:hAnsi="Verdana"/>
        </w:rPr>
        <w:t xml:space="preserve"> Participants </w:t>
      </w:r>
      <w:r w:rsidR="00C57664" w:rsidRPr="00502FD8">
        <w:rPr>
          <w:rFonts w:ascii="Verdana" w:hAnsi="Verdana"/>
        </w:rPr>
        <w:t>stated that</w:t>
      </w:r>
      <w:r w:rsidR="00C65087" w:rsidRPr="00502FD8">
        <w:rPr>
          <w:rFonts w:ascii="Verdana" w:hAnsi="Verdana"/>
        </w:rPr>
        <w:t xml:space="preserve"> Brexit had </w:t>
      </w:r>
      <w:r w:rsidR="003C633A" w:rsidRPr="00502FD8">
        <w:rPr>
          <w:rFonts w:ascii="Verdana" w:hAnsi="Verdana"/>
        </w:rPr>
        <w:t xml:space="preserve">also </w:t>
      </w:r>
      <w:r w:rsidR="00C65087" w:rsidRPr="00502FD8">
        <w:rPr>
          <w:rFonts w:ascii="Verdana" w:hAnsi="Verdana"/>
        </w:rPr>
        <w:t xml:space="preserve">contributed to </w:t>
      </w:r>
      <w:r w:rsidR="00E3633D" w:rsidRPr="00502FD8">
        <w:rPr>
          <w:rFonts w:ascii="Verdana" w:hAnsi="Verdana"/>
        </w:rPr>
        <w:t xml:space="preserve">an </w:t>
      </w:r>
      <w:r w:rsidR="0069435C" w:rsidRPr="00502FD8">
        <w:rPr>
          <w:rFonts w:ascii="Verdana" w:hAnsi="Verdana"/>
        </w:rPr>
        <w:t>exacerbation of pre-existing issues for third country nationals and their cross-border movement</w:t>
      </w:r>
      <w:r w:rsidR="00C65087" w:rsidRPr="00502FD8">
        <w:rPr>
          <w:rFonts w:ascii="Verdana" w:hAnsi="Verdana"/>
        </w:rPr>
        <w:t xml:space="preserve"> between NI and Ireland</w:t>
      </w:r>
      <w:r w:rsidR="004F5AA6" w:rsidRPr="00502FD8">
        <w:rPr>
          <w:rFonts w:ascii="Verdana" w:hAnsi="Verdana"/>
        </w:rPr>
        <w:t xml:space="preserve"> and</w:t>
      </w:r>
      <w:r w:rsidR="0008149F" w:rsidRPr="00502FD8">
        <w:rPr>
          <w:rFonts w:ascii="Verdana" w:hAnsi="Verdana"/>
        </w:rPr>
        <w:t xml:space="preserve"> in</w:t>
      </w:r>
      <w:r w:rsidR="004F5AA6" w:rsidRPr="00502FD8">
        <w:rPr>
          <w:rFonts w:ascii="Verdana" w:hAnsi="Verdana"/>
        </w:rPr>
        <w:t xml:space="preserve"> access</w:t>
      </w:r>
      <w:r w:rsidR="0008149F" w:rsidRPr="00502FD8">
        <w:rPr>
          <w:rFonts w:ascii="Verdana" w:hAnsi="Verdana"/>
        </w:rPr>
        <w:t>ing</w:t>
      </w:r>
      <w:r w:rsidR="004F5AA6" w:rsidRPr="00502FD8">
        <w:rPr>
          <w:rFonts w:ascii="Verdana" w:hAnsi="Verdana"/>
        </w:rPr>
        <w:t xml:space="preserve"> all-island facilities</w:t>
      </w:r>
      <w:r w:rsidR="0069435C" w:rsidRPr="00502FD8">
        <w:rPr>
          <w:rFonts w:ascii="Verdana" w:hAnsi="Verdana"/>
        </w:rPr>
        <w:t>.</w:t>
      </w:r>
      <w:r w:rsidR="000E6F51" w:rsidRPr="00502FD8">
        <w:rPr>
          <w:rFonts w:ascii="Verdana" w:hAnsi="Verdana"/>
        </w:rPr>
        <w:t xml:space="preserve"> </w:t>
      </w:r>
      <w:r w:rsidR="00BD3E7E" w:rsidRPr="00502FD8">
        <w:rPr>
          <w:rFonts w:ascii="Verdana" w:hAnsi="Verdana"/>
        </w:rPr>
        <w:t>In April 20</w:t>
      </w:r>
      <w:r w:rsidR="008A2DF2" w:rsidRPr="00502FD8">
        <w:rPr>
          <w:rFonts w:ascii="Verdana" w:hAnsi="Verdana"/>
        </w:rPr>
        <w:t xml:space="preserve">23, ECNI published a report on the impact of Brexit on migrant and minority ethnic people in NI. </w:t>
      </w:r>
      <w:r w:rsidR="000E6F51" w:rsidRPr="00502FD8">
        <w:rPr>
          <w:rFonts w:ascii="Verdana" w:hAnsi="Verdana"/>
        </w:rPr>
        <w:t xml:space="preserve">The report highlighted that migrant people continue to experience barriers to </w:t>
      </w:r>
      <w:r w:rsidR="00F364AD" w:rsidRPr="00502FD8">
        <w:rPr>
          <w:rFonts w:ascii="Verdana" w:hAnsi="Verdana"/>
        </w:rPr>
        <w:t>accessing</w:t>
      </w:r>
      <w:r w:rsidR="000E6F51" w:rsidRPr="00502FD8">
        <w:rPr>
          <w:rFonts w:ascii="Verdana" w:hAnsi="Verdana"/>
        </w:rPr>
        <w:t xml:space="preserve"> healthcare that Brexit has </w:t>
      </w:r>
      <w:r w:rsidR="00F364AD" w:rsidRPr="00502FD8">
        <w:rPr>
          <w:rFonts w:ascii="Verdana" w:hAnsi="Verdana"/>
        </w:rPr>
        <w:t>further</w:t>
      </w:r>
      <w:r w:rsidR="000E6F51" w:rsidRPr="00502FD8">
        <w:rPr>
          <w:rFonts w:ascii="Verdana" w:hAnsi="Verdana"/>
        </w:rPr>
        <w:t xml:space="preserve"> exacerbated</w:t>
      </w:r>
      <w:r w:rsidR="00F364AD" w:rsidRPr="00502FD8">
        <w:rPr>
          <w:rFonts w:ascii="Verdana" w:hAnsi="Verdana"/>
        </w:rPr>
        <w:t xml:space="preserve">, including </w:t>
      </w:r>
      <w:r w:rsidR="000D137C" w:rsidRPr="00502FD8">
        <w:rPr>
          <w:rFonts w:ascii="Verdana" w:hAnsi="Verdana"/>
        </w:rPr>
        <w:t>“statutory services are poorly prepared for how Brexit impacts on rights and entitlements</w:t>
      </w:r>
      <w:r w:rsidR="00DE4F48" w:rsidRPr="00502FD8">
        <w:rPr>
          <w:rFonts w:ascii="Verdana" w:hAnsi="Verdana"/>
        </w:rPr>
        <w:t>”.</w:t>
      </w:r>
      <w:r w:rsidR="00DE4F48">
        <w:rPr>
          <w:rStyle w:val="FootnoteReference"/>
          <w:rFonts w:ascii="Verdana" w:hAnsi="Verdana"/>
        </w:rPr>
        <w:footnoteReference w:id="33"/>
      </w:r>
      <w:r w:rsidR="000E6F51" w:rsidRPr="00502FD8">
        <w:rPr>
          <w:rFonts w:ascii="Verdana" w:hAnsi="Verdana"/>
        </w:rPr>
        <w:t xml:space="preserve"> </w:t>
      </w:r>
    </w:p>
    <w:p w14:paraId="2E113E90" w14:textId="77777777" w:rsidR="00537CF2" w:rsidRPr="00537CF2" w:rsidRDefault="00537CF2" w:rsidP="00B36C6A">
      <w:pPr>
        <w:pStyle w:val="BasicParagraph"/>
        <w:suppressAutoHyphens/>
        <w:spacing w:line="276" w:lineRule="auto"/>
        <w:ind w:left="720"/>
        <w:rPr>
          <w:rFonts w:ascii="Verdana" w:hAnsi="Verdana"/>
        </w:rPr>
      </w:pPr>
    </w:p>
    <w:p w14:paraId="3B8FC202" w14:textId="77777777" w:rsidR="00DF41EB" w:rsidRDefault="001C5AC0" w:rsidP="00B36C6A">
      <w:pPr>
        <w:pStyle w:val="BasicParagraph"/>
        <w:numPr>
          <w:ilvl w:val="1"/>
          <w:numId w:val="14"/>
        </w:numPr>
        <w:suppressAutoHyphens/>
        <w:spacing w:line="276" w:lineRule="auto"/>
        <w:rPr>
          <w:rFonts w:ascii="Verdana" w:hAnsi="Verdana"/>
        </w:rPr>
      </w:pPr>
      <w:r>
        <w:rPr>
          <w:rFonts w:ascii="Verdana" w:hAnsi="Verdana"/>
        </w:rPr>
        <w:t xml:space="preserve">The </w:t>
      </w:r>
      <w:r w:rsidR="00C65087" w:rsidRPr="001B481B">
        <w:rPr>
          <w:rFonts w:ascii="Verdana" w:hAnsi="Verdana"/>
        </w:rPr>
        <w:t xml:space="preserve">lack of clarity on </w:t>
      </w:r>
      <w:r w:rsidR="00A013E5" w:rsidRPr="001B481B">
        <w:rPr>
          <w:rFonts w:ascii="Verdana" w:hAnsi="Verdana"/>
        </w:rPr>
        <w:t xml:space="preserve">how to </w:t>
      </w:r>
      <w:r w:rsidR="00480A69" w:rsidRPr="001B481B">
        <w:rPr>
          <w:rFonts w:ascii="Verdana" w:hAnsi="Verdana"/>
        </w:rPr>
        <w:t>access</w:t>
      </w:r>
      <w:r w:rsidR="00A013E5" w:rsidRPr="001B481B">
        <w:rPr>
          <w:rFonts w:ascii="Verdana" w:hAnsi="Verdana"/>
        </w:rPr>
        <w:t xml:space="preserve"> shared </w:t>
      </w:r>
      <w:r w:rsidR="00E113D7" w:rsidRPr="001B481B">
        <w:rPr>
          <w:rFonts w:ascii="Verdana" w:hAnsi="Verdana"/>
        </w:rPr>
        <w:t xml:space="preserve">facilities and the associated cross-border movement </w:t>
      </w:r>
      <w:r w:rsidR="00881C4E">
        <w:rPr>
          <w:rFonts w:ascii="Verdana" w:hAnsi="Verdana"/>
        </w:rPr>
        <w:t xml:space="preserve">for those who are not UK or Irish nationals </w:t>
      </w:r>
      <w:r w:rsidR="007C30B8">
        <w:rPr>
          <w:rFonts w:ascii="Verdana" w:hAnsi="Verdana"/>
        </w:rPr>
        <w:t>remains a</w:t>
      </w:r>
      <w:r w:rsidR="00E113D7" w:rsidRPr="001B481B">
        <w:rPr>
          <w:rFonts w:ascii="Verdana" w:hAnsi="Verdana"/>
        </w:rPr>
        <w:t xml:space="preserve"> concern for the NIHRC</w:t>
      </w:r>
      <w:r w:rsidR="007C30B8">
        <w:rPr>
          <w:rFonts w:ascii="Verdana" w:hAnsi="Verdana"/>
        </w:rPr>
        <w:t xml:space="preserve">, </w:t>
      </w:r>
      <w:r w:rsidR="00881C4E">
        <w:rPr>
          <w:rFonts w:ascii="Verdana" w:hAnsi="Verdana"/>
        </w:rPr>
        <w:t xml:space="preserve">as it represents a potential barrier to accessing healthcare. </w:t>
      </w:r>
      <w:r w:rsidR="00916F7C" w:rsidRPr="00881C4E">
        <w:rPr>
          <w:rFonts w:ascii="Verdana" w:hAnsi="Verdana"/>
        </w:rPr>
        <w:t>The</w:t>
      </w:r>
      <w:r w:rsidR="001B481B" w:rsidRPr="00881C4E">
        <w:rPr>
          <w:rFonts w:ascii="Verdana" w:hAnsi="Verdana"/>
        </w:rPr>
        <w:t xml:space="preserve"> </w:t>
      </w:r>
      <w:r w:rsidR="00B66ACD" w:rsidRPr="00881C4E">
        <w:rPr>
          <w:rFonts w:ascii="Verdana" w:hAnsi="Verdana"/>
        </w:rPr>
        <w:t>NIHR</w:t>
      </w:r>
      <w:r w:rsidR="00480A69" w:rsidRPr="00881C4E">
        <w:rPr>
          <w:rFonts w:ascii="Verdana" w:hAnsi="Verdana"/>
        </w:rPr>
        <w:t>C</w:t>
      </w:r>
      <w:r w:rsidR="00B66ACD" w:rsidRPr="00881C4E">
        <w:rPr>
          <w:rFonts w:ascii="Verdana" w:hAnsi="Verdana"/>
        </w:rPr>
        <w:t xml:space="preserve"> </w:t>
      </w:r>
      <w:r w:rsidR="00881C4E">
        <w:rPr>
          <w:rFonts w:ascii="Verdana" w:hAnsi="Verdana"/>
        </w:rPr>
        <w:t xml:space="preserve">intends to investigate this further and </w:t>
      </w:r>
      <w:r w:rsidR="00B66ACD" w:rsidRPr="00881C4E">
        <w:rPr>
          <w:rFonts w:ascii="Verdana" w:hAnsi="Verdana"/>
        </w:rPr>
        <w:t xml:space="preserve">will engage with </w:t>
      </w:r>
      <w:r w:rsidR="001B481B" w:rsidRPr="00881C4E">
        <w:rPr>
          <w:rFonts w:ascii="Verdana" w:hAnsi="Verdana"/>
        </w:rPr>
        <w:t xml:space="preserve">the relevant NI and Irish health </w:t>
      </w:r>
      <w:r w:rsidR="00F823D0" w:rsidRPr="00881C4E">
        <w:rPr>
          <w:rFonts w:ascii="Verdana" w:hAnsi="Verdana"/>
        </w:rPr>
        <w:t>department</w:t>
      </w:r>
      <w:r w:rsidR="008078FF">
        <w:rPr>
          <w:rFonts w:ascii="Verdana" w:hAnsi="Verdana"/>
        </w:rPr>
        <w:t>s and the UK Home Office</w:t>
      </w:r>
      <w:r w:rsidR="00881C4E" w:rsidRPr="00881C4E">
        <w:rPr>
          <w:rFonts w:ascii="Verdana" w:hAnsi="Verdana"/>
        </w:rPr>
        <w:t>.</w:t>
      </w:r>
    </w:p>
    <w:p w14:paraId="1512A537" w14:textId="77777777" w:rsidR="00DF41EB" w:rsidRDefault="00DF41EB" w:rsidP="00B36C6A">
      <w:pPr>
        <w:pStyle w:val="ListParagraph"/>
        <w:spacing w:line="276" w:lineRule="auto"/>
        <w:rPr>
          <w:rFonts w:ascii="Verdana" w:hAnsi="Verdana"/>
          <w:b/>
          <w:bCs/>
        </w:rPr>
      </w:pPr>
    </w:p>
    <w:p w14:paraId="68448245" w14:textId="77777777" w:rsidR="00DF41EB" w:rsidRPr="00DF41EB" w:rsidRDefault="0012591D" w:rsidP="00B36C6A">
      <w:pPr>
        <w:pStyle w:val="BasicParagraph"/>
        <w:numPr>
          <w:ilvl w:val="1"/>
          <w:numId w:val="14"/>
        </w:numPr>
        <w:suppressAutoHyphens/>
        <w:spacing w:line="276" w:lineRule="auto"/>
        <w:rPr>
          <w:rFonts w:ascii="Verdana" w:hAnsi="Verdana"/>
        </w:rPr>
      </w:pPr>
      <w:r w:rsidRPr="00DF41EB">
        <w:rPr>
          <w:rFonts w:ascii="Verdana" w:hAnsi="Verdana"/>
          <w:b/>
          <w:bCs/>
        </w:rPr>
        <w:t>NIHRC recommends that access to cross-border and all-island healthcare for EU and third-country nationals is clear, comprehensive, and enshrined in law</w:t>
      </w:r>
      <w:r w:rsidR="00C154F5" w:rsidRPr="00DF41EB">
        <w:rPr>
          <w:rFonts w:ascii="Verdana" w:hAnsi="Verdana"/>
          <w:b/>
          <w:bCs/>
        </w:rPr>
        <w:t>.</w:t>
      </w:r>
    </w:p>
    <w:p w14:paraId="27467B8B" w14:textId="77777777" w:rsidR="00DF41EB" w:rsidRDefault="00DF41EB" w:rsidP="00B36C6A">
      <w:pPr>
        <w:pStyle w:val="ListParagraph"/>
        <w:spacing w:line="276" w:lineRule="auto"/>
        <w:rPr>
          <w:rFonts w:ascii="Verdana" w:hAnsi="Verdana"/>
          <w:b/>
          <w:bCs/>
        </w:rPr>
      </w:pPr>
    </w:p>
    <w:p w14:paraId="6EB7DA08" w14:textId="7969BB54" w:rsidR="00A73D57" w:rsidRPr="00DF41EB" w:rsidRDefault="00901FBB" w:rsidP="00B36C6A">
      <w:pPr>
        <w:pStyle w:val="BasicParagraph"/>
        <w:numPr>
          <w:ilvl w:val="1"/>
          <w:numId w:val="14"/>
        </w:numPr>
        <w:suppressAutoHyphens/>
        <w:spacing w:line="276" w:lineRule="auto"/>
        <w:rPr>
          <w:rFonts w:ascii="Verdana" w:hAnsi="Verdana"/>
        </w:rPr>
      </w:pPr>
      <w:r w:rsidRPr="00DF41EB">
        <w:rPr>
          <w:rFonts w:ascii="Verdana" w:hAnsi="Verdana"/>
          <w:b/>
          <w:bCs/>
        </w:rPr>
        <w:t xml:space="preserve">NIHRC recommends that </w:t>
      </w:r>
      <w:r w:rsidR="001F7F4D" w:rsidRPr="00DF41EB">
        <w:rPr>
          <w:rFonts w:ascii="Verdana" w:hAnsi="Verdana"/>
          <w:b/>
          <w:bCs/>
        </w:rPr>
        <w:t>the UK and Irish government</w:t>
      </w:r>
      <w:r w:rsidR="006E144A" w:rsidRPr="00DF41EB">
        <w:rPr>
          <w:rFonts w:ascii="Verdana" w:hAnsi="Verdana"/>
          <w:b/>
          <w:bCs/>
        </w:rPr>
        <w:t>s</w:t>
      </w:r>
      <w:r w:rsidR="00A73D57" w:rsidRPr="00DF41EB">
        <w:rPr>
          <w:rFonts w:ascii="Verdana" w:hAnsi="Verdana"/>
          <w:b/>
          <w:bCs/>
        </w:rPr>
        <w:t>:</w:t>
      </w:r>
    </w:p>
    <w:p w14:paraId="60C990DF" w14:textId="6B5BC715" w:rsidR="00131261" w:rsidRPr="00131261" w:rsidRDefault="00EB6B32" w:rsidP="0044719A">
      <w:pPr>
        <w:pStyle w:val="ListParagraph"/>
        <w:numPr>
          <w:ilvl w:val="0"/>
          <w:numId w:val="27"/>
        </w:numPr>
        <w:spacing w:line="276" w:lineRule="auto"/>
        <w:ind w:left="1701" w:hanging="708"/>
        <w:rPr>
          <w:rFonts w:ascii="Verdana" w:hAnsi="Verdana" w:cs="MinionPro-Regular"/>
          <w:b/>
          <w:color w:val="000000"/>
        </w:rPr>
      </w:pPr>
      <w:r w:rsidRPr="00A73D57">
        <w:rPr>
          <w:rFonts w:ascii="Verdana" w:hAnsi="Verdana"/>
          <w:b/>
          <w:bCs/>
        </w:rPr>
        <w:lastRenderedPageBreak/>
        <w:t xml:space="preserve">clarify </w:t>
      </w:r>
      <w:r w:rsidR="00A73D57" w:rsidRPr="00A73D57">
        <w:rPr>
          <w:rFonts w:ascii="Verdana" w:hAnsi="Verdana"/>
          <w:b/>
          <w:bCs/>
        </w:rPr>
        <w:t xml:space="preserve">existing </w:t>
      </w:r>
      <w:r w:rsidR="007871A9">
        <w:rPr>
          <w:rFonts w:ascii="Verdana" w:hAnsi="Verdana"/>
          <w:b/>
          <w:bCs/>
        </w:rPr>
        <w:t xml:space="preserve">rules on accessing cross-border and all-island health services for EU and third-country nationals living in </w:t>
      </w:r>
      <w:proofErr w:type="gramStart"/>
      <w:r w:rsidR="007871A9">
        <w:rPr>
          <w:rFonts w:ascii="Verdana" w:hAnsi="Verdana"/>
          <w:b/>
          <w:bCs/>
        </w:rPr>
        <w:t>NI;</w:t>
      </w:r>
      <w:proofErr w:type="gramEnd"/>
      <w:r w:rsidR="007871A9">
        <w:rPr>
          <w:rFonts w:ascii="Verdana" w:hAnsi="Verdana"/>
          <w:b/>
          <w:bCs/>
        </w:rPr>
        <w:t xml:space="preserve">  </w:t>
      </w:r>
    </w:p>
    <w:p w14:paraId="07DC3B34" w14:textId="77777777" w:rsidR="00936469" w:rsidRDefault="001F7F4D" w:rsidP="0044719A">
      <w:pPr>
        <w:pStyle w:val="ListParagraph"/>
        <w:numPr>
          <w:ilvl w:val="0"/>
          <w:numId w:val="27"/>
        </w:numPr>
        <w:spacing w:line="276" w:lineRule="auto"/>
        <w:ind w:left="1701" w:hanging="708"/>
        <w:rPr>
          <w:rFonts w:ascii="Verdana" w:hAnsi="Verdana" w:cs="MinionPro-Regular"/>
          <w:b/>
          <w:color w:val="000000"/>
        </w:rPr>
      </w:pPr>
      <w:r w:rsidRPr="00131261">
        <w:rPr>
          <w:rFonts w:ascii="Verdana" w:hAnsi="Verdana"/>
          <w:b/>
          <w:bCs/>
        </w:rPr>
        <w:t xml:space="preserve">ensure </w:t>
      </w:r>
      <w:r w:rsidR="00A17C80" w:rsidRPr="00131261">
        <w:rPr>
          <w:rFonts w:ascii="Verdana" w:hAnsi="Verdana" w:cs="MinionPro-Regular"/>
          <w:b/>
          <w:color w:val="000000"/>
        </w:rPr>
        <w:t xml:space="preserve">there are no </w:t>
      </w:r>
      <w:r w:rsidR="001D10A7" w:rsidRPr="00131261">
        <w:rPr>
          <w:rFonts w:ascii="Verdana" w:hAnsi="Verdana" w:cs="MinionPro-Regular"/>
          <w:b/>
          <w:color w:val="000000"/>
        </w:rPr>
        <w:t xml:space="preserve">immigration or visa recognition </w:t>
      </w:r>
      <w:r w:rsidR="00A17C80" w:rsidRPr="00131261">
        <w:rPr>
          <w:rFonts w:ascii="Verdana" w:hAnsi="Verdana" w:cs="MinionPro-Regular"/>
          <w:b/>
          <w:color w:val="000000"/>
        </w:rPr>
        <w:t xml:space="preserve">barriers </w:t>
      </w:r>
      <w:r w:rsidR="00271227" w:rsidRPr="00131261">
        <w:rPr>
          <w:rFonts w:ascii="Verdana" w:hAnsi="Verdana" w:cs="MinionPro-Regular"/>
          <w:b/>
          <w:color w:val="000000"/>
        </w:rPr>
        <w:t xml:space="preserve">impeding </w:t>
      </w:r>
      <w:r w:rsidR="00131261" w:rsidRPr="00131261">
        <w:rPr>
          <w:rFonts w:ascii="Verdana" w:hAnsi="Verdana" w:cs="MinionPro-Regular"/>
          <w:b/>
          <w:color w:val="000000"/>
        </w:rPr>
        <w:t xml:space="preserve">their </w:t>
      </w:r>
      <w:r w:rsidR="00250E61" w:rsidRPr="00131261">
        <w:rPr>
          <w:rFonts w:ascii="Verdana" w:hAnsi="Verdana" w:cs="MinionPro-Regular"/>
          <w:b/>
          <w:color w:val="000000"/>
        </w:rPr>
        <w:t xml:space="preserve">access </w:t>
      </w:r>
      <w:r w:rsidR="00131261" w:rsidRPr="00131261">
        <w:rPr>
          <w:rFonts w:ascii="Verdana" w:hAnsi="Verdana" w:cs="MinionPro-Regular"/>
          <w:b/>
          <w:color w:val="000000"/>
        </w:rPr>
        <w:t>to these services</w:t>
      </w:r>
      <w:r w:rsidR="00936469">
        <w:rPr>
          <w:rFonts w:ascii="Verdana" w:hAnsi="Verdana" w:cs="MinionPro-Regular"/>
          <w:b/>
          <w:color w:val="000000"/>
        </w:rPr>
        <w:t xml:space="preserve">; and </w:t>
      </w:r>
    </w:p>
    <w:p w14:paraId="58917086" w14:textId="1372EB5F" w:rsidR="00414C7F" w:rsidRDefault="000907D8" w:rsidP="0044719A">
      <w:pPr>
        <w:pStyle w:val="ListParagraph"/>
        <w:numPr>
          <w:ilvl w:val="0"/>
          <w:numId w:val="27"/>
        </w:numPr>
        <w:spacing w:line="276" w:lineRule="auto"/>
        <w:ind w:left="1701" w:hanging="708"/>
        <w:rPr>
          <w:rFonts w:ascii="Verdana" w:hAnsi="Verdana" w:cs="MinionPro-Regular"/>
          <w:b/>
          <w:color w:val="000000"/>
        </w:rPr>
      </w:pPr>
      <w:r>
        <w:rPr>
          <w:rFonts w:ascii="Verdana" w:hAnsi="Verdana"/>
          <w:b/>
          <w:bCs/>
        </w:rPr>
        <w:t xml:space="preserve">guarantee that </w:t>
      </w:r>
      <w:r w:rsidR="00936469">
        <w:rPr>
          <w:rFonts w:ascii="Verdana" w:hAnsi="Verdana"/>
          <w:b/>
          <w:bCs/>
        </w:rPr>
        <w:t>any new all-island or share</w:t>
      </w:r>
      <w:r w:rsidR="00B81E9F">
        <w:rPr>
          <w:rFonts w:ascii="Verdana" w:hAnsi="Verdana"/>
          <w:b/>
          <w:bCs/>
        </w:rPr>
        <w:t>d services are future</w:t>
      </w:r>
      <w:r w:rsidR="00095910">
        <w:rPr>
          <w:rFonts w:ascii="Verdana" w:hAnsi="Verdana"/>
          <w:b/>
          <w:bCs/>
        </w:rPr>
        <w:t>-</w:t>
      </w:r>
      <w:r w:rsidR="00B81E9F">
        <w:rPr>
          <w:rFonts w:ascii="Verdana" w:hAnsi="Verdana"/>
          <w:b/>
          <w:bCs/>
        </w:rPr>
        <w:t>proofed</w:t>
      </w:r>
      <w:r w:rsidR="00FC51F4">
        <w:rPr>
          <w:rFonts w:ascii="Verdana" w:hAnsi="Verdana"/>
          <w:b/>
          <w:bCs/>
        </w:rPr>
        <w:t xml:space="preserve"> to </w:t>
      </w:r>
      <w:r>
        <w:rPr>
          <w:rFonts w:ascii="Verdana" w:hAnsi="Verdana"/>
          <w:b/>
          <w:bCs/>
        </w:rPr>
        <w:t>ensure</w:t>
      </w:r>
      <w:r w:rsidR="000C22BA">
        <w:rPr>
          <w:rFonts w:ascii="Verdana" w:hAnsi="Verdana"/>
          <w:b/>
          <w:bCs/>
        </w:rPr>
        <w:t xml:space="preserve"> there are no immigration or visa recognition barriers impeding access to these services</w:t>
      </w:r>
      <w:r w:rsidR="00131261" w:rsidRPr="00936469">
        <w:rPr>
          <w:rFonts w:ascii="Verdana" w:hAnsi="Verdana" w:cs="MinionPro-Regular"/>
          <w:b/>
          <w:color w:val="000000"/>
        </w:rPr>
        <w:t>.</w:t>
      </w:r>
    </w:p>
    <w:p w14:paraId="4C7C8C5D" w14:textId="77777777" w:rsidR="00BB4A20" w:rsidRDefault="00BB4A20" w:rsidP="00897C3F">
      <w:pPr>
        <w:spacing w:line="276" w:lineRule="auto"/>
        <w:ind w:left="709" w:hanging="709"/>
        <w:rPr>
          <w:rFonts w:ascii="Verdana" w:hAnsi="Verdana" w:cs="MinionPro-Regular"/>
          <w:bCs/>
          <w:color w:val="000000"/>
        </w:rPr>
      </w:pPr>
    </w:p>
    <w:p w14:paraId="1F42DABD" w14:textId="658578EA" w:rsidR="00C540C0" w:rsidRPr="00897C3F" w:rsidRDefault="002A0861" w:rsidP="00897C3F">
      <w:pPr>
        <w:spacing w:line="276" w:lineRule="auto"/>
        <w:ind w:left="709" w:hanging="709"/>
        <w:rPr>
          <w:rFonts w:ascii="Verdana" w:hAnsi="Verdana" w:cs="MinionPro-Regular"/>
          <w:bCs/>
          <w:color w:val="000000"/>
        </w:rPr>
      </w:pPr>
      <w:r w:rsidRPr="00897C3F">
        <w:rPr>
          <w:rFonts w:ascii="Verdana" w:hAnsi="Verdana" w:cs="MinionPro-Regular"/>
          <w:bCs/>
          <w:color w:val="000000"/>
        </w:rPr>
        <w:t>5.6</w:t>
      </w:r>
      <w:r>
        <w:rPr>
          <w:rFonts w:ascii="Verdana" w:hAnsi="Verdana" w:cs="MinionPro-Regular"/>
          <w:b/>
          <w:color w:val="000000"/>
        </w:rPr>
        <w:t xml:space="preserve"> </w:t>
      </w:r>
      <w:r w:rsidR="00897C3F">
        <w:rPr>
          <w:rFonts w:ascii="Verdana" w:hAnsi="Verdana" w:cs="MinionPro-Regular"/>
          <w:b/>
          <w:color w:val="000000"/>
        </w:rPr>
        <w:tab/>
      </w:r>
      <w:r w:rsidR="00C540C0" w:rsidRPr="00C540C0">
        <w:rPr>
          <w:rFonts w:ascii="Verdana" w:hAnsi="Verdana" w:cs="MinionPro-Regular"/>
          <w:b/>
          <w:color w:val="000000"/>
        </w:rPr>
        <w:t>The NIHRC recommends that the Department of Health provide clear,</w:t>
      </w:r>
      <w:r>
        <w:rPr>
          <w:rFonts w:ascii="Verdana" w:hAnsi="Verdana" w:cs="MinionPro-Regular"/>
          <w:b/>
          <w:color w:val="000000"/>
        </w:rPr>
        <w:t xml:space="preserve"> </w:t>
      </w:r>
      <w:proofErr w:type="gramStart"/>
      <w:r w:rsidR="00C540C0" w:rsidRPr="00C540C0">
        <w:rPr>
          <w:rFonts w:ascii="Verdana" w:hAnsi="Verdana" w:cs="MinionPro-Regular"/>
          <w:b/>
          <w:color w:val="000000"/>
        </w:rPr>
        <w:t>accessible</w:t>
      </w:r>
      <w:proofErr w:type="gramEnd"/>
      <w:r w:rsidR="00C540C0" w:rsidRPr="00C540C0">
        <w:rPr>
          <w:rFonts w:ascii="Verdana" w:hAnsi="Verdana" w:cs="MinionPro-Regular"/>
          <w:b/>
          <w:color w:val="000000"/>
        </w:rPr>
        <w:t xml:space="preserve"> and complete information on the right to healthcare post-EU</w:t>
      </w:r>
      <w:r>
        <w:rPr>
          <w:rFonts w:ascii="Verdana" w:hAnsi="Verdana" w:cs="MinionPro-Regular"/>
          <w:b/>
          <w:color w:val="000000"/>
        </w:rPr>
        <w:t xml:space="preserve"> </w:t>
      </w:r>
      <w:r w:rsidR="00C540C0" w:rsidRPr="00C540C0">
        <w:rPr>
          <w:rFonts w:ascii="Verdana" w:hAnsi="Verdana" w:cs="MinionPro-Regular"/>
          <w:b/>
          <w:color w:val="000000"/>
        </w:rPr>
        <w:t>withdrawal, including access to cross-border and island-of-Ireland services</w:t>
      </w:r>
      <w:r>
        <w:rPr>
          <w:rFonts w:ascii="Verdana" w:hAnsi="Verdana" w:cs="MinionPro-Regular"/>
          <w:b/>
          <w:color w:val="000000"/>
        </w:rPr>
        <w:t xml:space="preserve"> </w:t>
      </w:r>
      <w:r w:rsidR="00C540C0" w:rsidRPr="00C540C0">
        <w:rPr>
          <w:rFonts w:ascii="Verdana" w:hAnsi="Verdana" w:cs="MinionPro-Regular"/>
          <w:b/>
          <w:color w:val="000000"/>
        </w:rPr>
        <w:t>to ensure no diminution of the current provision and to protect the right to</w:t>
      </w:r>
      <w:r>
        <w:rPr>
          <w:rFonts w:ascii="Verdana" w:hAnsi="Verdana" w:cs="MinionPro-Regular"/>
          <w:b/>
          <w:color w:val="000000"/>
        </w:rPr>
        <w:t xml:space="preserve"> </w:t>
      </w:r>
      <w:r w:rsidR="00C540C0" w:rsidRPr="00C540C0">
        <w:rPr>
          <w:rFonts w:ascii="Verdana" w:hAnsi="Verdana" w:cs="MinionPro-Regular"/>
          <w:b/>
          <w:color w:val="000000"/>
        </w:rPr>
        <w:t>the highest attainable standard of healthcare.</w:t>
      </w:r>
    </w:p>
    <w:p w14:paraId="1FA2D75C" w14:textId="77777777" w:rsidR="00131261" w:rsidRPr="00897C3F" w:rsidRDefault="00131261" w:rsidP="007871A9">
      <w:pPr>
        <w:pStyle w:val="ListParagraph"/>
        <w:spacing w:line="276" w:lineRule="auto"/>
        <w:ind w:left="1418"/>
        <w:rPr>
          <w:rFonts w:ascii="Verdana" w:hAnsi="Verdana"/>
          <w:bCs/>
        </w:rPr>
      </w:pPr>
    </w:p>
    <w:p w14:paraId="4CF5DED2" w14:textId="38E5E9CC" w:rsidR="00D043CC" w:rsidRPr="00BA7501" w:rsidRDefault="00F6513E" w:rsidP="00B36C6A">
      <w:pPr>
        <w:pStyle w:val="ListParagraph"/>
        <w:keepNext/>
        <w:keepLines/>
        <w:numPr>
          <w:ilvl w:val="0"/>
          <w:numId w:val="14"/>
        </w:numPr>
        <w:spacing w:before="240" w:line="276" w:lineRule="auto"/>
        <w:outlineLvl w:val="0"/>
        <w:rPr>
          <w:rFonts w:ascii="Verdana" w:eastAsiaTheme="majorEastAsia" w:hAnsi="Verdana" w:cstheme="majorBidi"/>
          <w:b/>
          <w:color w:val="77328A"/>
          <w:sz w:val="30"/>
          <w:szCs w:val="30"/>
        </w:rPr>
      </w:pPr>
      <w:bookmarkStart w:id="14" w:name="_Toc104983342"/>
      <w:r w:rsidRPr="00BA7501">
        <w:rPr>
          <w:rFonts w:ascii="Verdana" w:eastAsiaTheme="majorEastAsia" w:hAnsi="Verdana" w:cstheme="majorBidi"/>
          <w:b/>
          <w:color w:val="77328A"/>
          <w:sz w:val="30"/>
          <w:szCs w:val="30"/>
        </w:rPr>
        <w:t>Access to</w:t>
      </w:r>
      <w:r w:rsidR="002B5833" w:rsidRPr="00BA7501">
        <w:rPr>
          <w:rFonts w:ascii="Verdana" w:eastAsiaTheme="majorEastAsia" w:hAnsi="Verdana" w:cstheme="majorBidi"/>
          <w:b/>
          <w:color w:val="77328A"/>
          <w:sz w:val="30"/>
          <w:szCs w:val="30"/>
        </w:rPr>
        <w:t xml:space="preserve"> Non-Emergency</w:t>
      </w:r>
      <w:r w:rsidRPr="00BA7501">
        <w:rPr>
          <w:rFonts w:ascii="Verdana" w:eastAsiaTheme="majorEastAsia" w:hAnsi="Verdana" w:cstheme="majorBidi"/>
          <w:b/>
          <w:color w:val="77328A"/>
          <w:sz w:val="30"/>
          <w:szCs w:val="30"/>
        </w:rPr>
        <w:t xml:space="preserve"> Healthcare for </w:t>
      </w:r>
      <w:r w:rsidR="002760B9" w:rsidRPr="00BA7501">
        <w:rPr>
          <w:rFonts w:ascii="Verdana" w:eastAsiaTheme="majorEastAsia" w:hAnsi="Verdana" w:cstheme="majorBidi"/>
          <w:b/>
          <w:color w:val="77328A"/>
          <w:sz w:val="30"/>
          <w:szCs w:val="30"/>
        </w:rPr>
        <w:t xml:space="preserve">Vulnerable </w:t>
      </w:r>
      <w:r w:rsidRPr="00BA7501">
        <w:rPr>
          <w:rFonts w:ascii="Verdana" w:eastAsiaTheme="majorEastAsia" w:hAnsi="Verdana" w:cstheme="majorBidi"/>
          <w:b/>
          <w:color w:val="77328A"/>
          <w:sz w:val="30"/>
          <w:szCs w:val="30"/>
        </w:rPr>
        <w:t>Non-Resident</w:t>
      </w:r>
      <w:bookmarkEnd w:id="14"/>
      <w:r w:rsidR="002760B9" w:rsidRPr="00BA7501">
        <w:rPr>
          <w:rFonts w:ascii="Verdana" w:eastAsiaTheme="majorEastAsia" w:hAnsi="Verdana" w:cstheme="majorBidi"/>
          <w:b/>
          <w:color w:val="77328A"/>
          <w:sz w:val="30"/>
          <w:szCs w:val="30"/>
        </w:rPr>
        <w:t>s</w:t>
      </w:r>
    </w:p>
    <w:p w14:paraId="7A87F12A" w14:textId="77777777" w:rsidR="00D043CC" w:rsidRDefault="00D043CC" w:rsidP="00B36C6A">
      <w:pPr>
        <w:pStyle w:val="BasicParagraph"/>
        <w:suppressAutoHyphens/>
        <w:spacing w:line="276" w:lineRule="auto"/>
        <w:rPr>
          <w:rFonts w:ascii="Verdana" w:hAnsi="Verdana"/>
        </w:rPr>
      </w:pPr>
    </w:p>
    <w:p w14:paraId="76E84ECD" w14:textId="484D16F3" w:rsidR="00C47B83" w:rsidRDefault="00771F59" w:rsidP="00B36C6A">
      <w:pPr>
        <w:pStyle w:val="BasicParagraph"/>
        <w:numPr>
          <w:ilvl w:val="1"/>
          <w:numId w:val="14"/>
        </w:numPr>
        <w:suppressAutoHyphens/>
        <w:spacing w:line="276" w:lineRule="auto"/>
        <w:rPr>
          <w:rFonts w:ascii="Verdana" w:hAnsi="Verdana"/>
        </w:rPr>
      </w:pPr>
      <w:r w:rsidRPr="000B0005">
        <w:rPr>
          <w:rFonts w:ascii="Verdana" w:hAnsi="Verdana"/>
        </w:rPr>
        <w:t>Since</w:t>
      </w:r>
      <w:r w:rsidR="0084320B" w:rsidRPr="000B0005">
        <w:rPr>
          <w:rFonts w:ascii="Verdana" w:hAnsi="Verdana"/>
        </w:rPr>
        <w:t xml:space="preserve"> entitlement to</w:t>
      </w:r>
      <w:r w:rsidR="00D043CC" w:rsidRPr="000B0005">
        <w:rPr>
          <w:rFonts w:ascii="Verdana" w:hAnsi="Verdana"/>
        </w:rPr>
        <w:t xml:space="preserve"> healthcare in NI is</w:t>
      </w:r>
      <w:r w:rsidR="00BB4A20">
        <w:rPr>
          <w:rFonts w:ascii="Verdana" w:hAnsi="Verdana"/>
        </w:rPr>
        <w:t xml:space="preserve"> largely</w:t>
      </w:r>
      <w:r w:rsidR="00D043CC" w:rsidRPr="000B0005">
        <w:rPr>
          <w:rFonts w:ascii="Verdana" w:hAnsi="Verdana"/>
        </w:rPr>
        <w:t xml:space="preserve"> residency based</w:t>
      </w:r>
      <w:r w:rsidR="00F8778D" w:rsidRPr="000B0005">
        <w:rPr>
          <w:rFonts w:ascii="Verdana" w:hAnsi="Verdana"/>
        </w:rPr>
        <w:t xml:space="preserve">, there remain </w:t>
      </w:r>
      <w:r w:rsidR="008B597C" w:rsidRPr="000B0005">
        <w:rPr>
          <w:rFonts w:ascii="Verdana" w:hAnsi="Verdana"/>
        </w:rPr>
        <w:t>concerns</w:t>
      </w:r>
      <w:r w:rsidR="003C21DF" w:rsidRPr="000B0005">
        <w:rPr>
          <w:rFonts w:ascii="Verdana" w:hAnsi="Verdana"/>
        </w:rPr>
        <w:t xml:space="preserve"> over access to healthcare </w:t>
      </w:r>
      <w:r w:rsidRPr="000B0005">
        <w:rPr>
          <w:rFonts w:ascii="Verdana" w:hAnsi="Verdana"/>
        </w:rPr>
        <w:t>for non-resident vulnerable groups. Emergency healthcare</w:t>
      </w:r>
      <w:r w:rsidR="009B03F1" w:rsidRPr="000B0005">
        <w:rPr>
          <w:rFonts w:ascii="Verdana" w:hAnsi="Verdana"/>
        </w:rPr>
        <w:t xml:space="preserve"> and family planning services are</w:t>
      </w:r>
      <w:r w:rsidR="00EF0DEB" w:rsidRPr="000B0005">
        <w:rPr>
          <w:rFonts w:ascii="Verdana" w:hAnsi="Verdana"/>
        </w:rPr>
        <w:t xml:space="preserve"> available to everyone in NI irrespective of immigration status.</w:t>
      </w:r>
      <w:r w:rsidR="00EF0DEB" w:rsidRPr="008E4BAF">
        <w:rPr>
          <w:rStyle w:val="FootnoteReference"/>
          <w:rFonts w:ascii="Verdana" w:hAnsi="Verdana"/>
        </w:rPr>
        <w:footnoteReference w:id="34"/>
      </w:r>
      <w:r w:rsidR="00EF0DEB" w:rsidRPr="000B0005">
        <w:rPr>
          <w:rFonts w:ascii="Verdana" w:hAnsi="Verdana"/>
        </w:rPr>
        <w:t xml:space="preserve"> </w:t>
      </w:r>
    </w:p>
    <w:p w14:paraId="48DE34C5" w14:textId="77777777" w:rsidR="000B0005" w:rsidRPr="000B0005" w:rsidRDefault="000B0005" w:rsidP="00B36C6A">
      <w:pPr>
        <w:pStyle w:val="BasicParagraph"/>
        <w:suppressAutoHyphens/>
        <w:spacing w:line="276" w:lineRule="auto"/>
        <w:ind w:left="720"/>
        <w:rPr>
          <w:rFonts w:ascii="Verdana" w:hAnsi="Verdana"/>
        </w:rPr>
      </w:pPr>
    </w:p>
    <w:p w14:paraId="1784ACEC" w14:textId="586147D9" w:rsidR="00C565B2" w:rsidRPr="002C2ABE" w:rsidRDefault="00C565B2" w:rsidP="00B36C6A">
      <w:pPr>
        <w:pStyle w:val="BasicParagraph"/>
        <w:numPr>
          <w:ilvl w:val="1"/>
          <w:numId w:val="14"/>
        </w:numPr>
        <w:suppressAutoHyphens/>
        <w:spacing w:line="276" w:lineRule="auto"/>
        <w:rPr>
          <w:rFonts w:ascii="Verdana" w:hAnsi="Verdana"/>
        </w:rPr>
      </w:pPr>
      <w:r w:rsidRPr="00081D40">
        <w:rPr>
          <w:rFonts w:ascii="Verdana" w:hAnsi="Verdana"/>
        </w:rPr>
        <w:t>C</w:t>
      </w:r>
      <w:r w:rsidR="008B27F8" w:rsidRPr="00081D40">
        <w:rPr>
          <w:rFonts w:ascii="Verdana" w:hAnsi="Verdana"/>
        </w:rPr>
        <w:t xml:space="preserve">urrent legislation </w:t>
      </w:r>
      <w:r w:rsidR="00513128" w:rsidRPr="002B1F54">
        <w:rPr>
          <w:rFonts w:ascii="Verdana" w:hAnsi="Verdana"/>
        </w:rPr>
        <w:t>sets out</w:t>
      </w:r>
      <w:r w:rsidR="003834E6" w:rsidRPr="002B1F54">
        <w:rPr>
          <w:rFonts w:ascii="Verdana" w:hAnsi="Verdana"/>
        </w:rPr>
        <w:t xml:space="preserve"> an obligation to provide ‘assistance and support’, including ‘assistance in obtaining healthcare</w:t>
      </w:r>
      <w:r w:rsidR="002C2ABE" w:rsidRPr="002B1F54">
        <w:rPr>
          <w:rFonts w:ascii="Verdana" w:hAnsi="Verdana"/>
        </w:rPr>
        <w:t xml:space="preserve"> </w:t>
      </w:r>
      <w:r w:rsidR="003834E6" w:rsidRPr="002B1F54">
        <w:rPr>
          <w:rFonts w:ascii="Verdana" w:hAnsi="Verdana"/>
        </w:rPr>
        <w:t>services’, for adults</w:t>
      </w:r>
      <w:r w:rsidR="00600B7D" w:rsidRPr="002B1F54">
        <w:rPr>
          <w:rFonts w:ascii="Verdana" w:hAnsi="Verdana"/>
        </w:rPr>
        <w:t xml:space="preserve"> </w:t>
      </w:r>
      <w:r w:rsidR="00B61EDC" w:rsidRPr="002B1F54">
        <w:rPr>
          <w:rFonts w:ascii="Verdana" w:hAnsi="Verdana"/>
        </w:rPr>
        <w:t xml:space="preserve">referred or about to be referred </w:t>
      </w:r>
      <w:r w:rsidR="00157BEC" w:rsidRPr="002B1F54">
        <w:rPr>
          <w:rFonts w:ascii="Verdana" w:hAnsi="Verdana"/>
        </w:rPr>
        <w:t>to the competent authority as potential victims of human trafficking</w:t>
      </w:r>
      <w:r w:rsidR="008B27F8" w:rsidRPr="002B1F54">
        <w:rPr>
          <w:rFonts w:ascii="Verdana" w:hAnsi="Verdana"/>
        </w:rPr>
        <w:t>.</w:t>
      </w:r>
      <w:r w:rsidR="00E2120B" w:rsidRPr="002B1F54">
        <w:rPr>
          <w:rStyle w:val="FootnoteReference"/>
          <w:rFonts w:ascii="Verdana" w:hAnsi="Verdana"/>
        </w:rPr>
        <w:footnoteReference w:id="35"/>
      </w:r>
      <w:r w:rsidR="00CB4251" w:rsidRPr="002C2ABE">
        <w:rPr>
          <w:rFonts w:ascii="Verdana" w:hAnsi="Verdana"/>
        </w:rPr>
        <w:t xml:space="preserve"> </w:t>
      </w:r>
      <w:r w:rsidR="00EB613E">
        <w:rPr>
          <w:rFonts w:ascii="Verdana" w:hAnsi="Verdana"/>
        </w:rPr>
        <w:t xml:space="preserve">Regulation 10 of The </w:t>
      </w:r>
      <w:r w:rsidR="00EB613E" w:rsidRPr="002C2ABE">
        <w:rPr>
          <w:rFonts w:ascii="Verdana" w:hAnsi="Verdana"/>
        </w:rPr>
        <w:t>Provision of Health Services to Persons Not Ordinarily Resident Regulations</w:t>
      </w:r>
      <w:r w:rsidR="00545782">
        <w:rPr>
          <w:rFonts w:ascii="Verdana" w:hAnsi="Verdana"/>
        </w:rPr>
        <w:t xml:space="preserve"> (Northern Ireland) 2015 (as amended) provides that no charge may be </w:t>
      </w:r>
      <w:r w:rsidR="00D6653A">
        <w:rPr>
          <w:rFonts w:ascii="Verdana" w:hAnsi="Verdana"/>
        </w:rPr>
        <w:t xml:space="preserve">made for health services </w:t>
      </w:r>
      <w:r w:rsidR="00BB59FA">
        <w:rPr>
          <w:rFonts w:ascii="Verdana" w:hAnsi="Verdana"/>
        </w:rPr>
        <w:t>where competent authorities deem that the person is a victim of human trafficking or that there are reasonable grounds</w:t>
      </w:r>
      <w:r w:rsidR="00D13328">
        <w:rPr>
          <w:rFonts w:ascii="Verdana" w:hAnsi="Verdana"/>
        </w:rPr>
        <w:t xml:space="preserve"> </w:t>
      </w:r>
      <w:r w:rsidR="00BB59FA">
        <w:rPr>
          <w:rFonts w:ascii="Verdana" w:hAnsi="Verdana"/>
        </w:rPr>
        <w:t>for so believing</w:t>
      </w:r>
      <w:r w:rsidR="00FA5923">
        <w:rPr>
          <w:rFonts w:ascii="Verdana" w:hAnsi="Verdana"/>
        </w:rPr>
        <w:t xml:space="preserve">. </w:t>
      </w:r>
      <w:r w:rsidR="000917FB" w:rsidRPr="002C2ABE">
        <w:rPr>
          <w:rFonts w:ascii="Verdana" w:hAnsi="Verdana"/>
        </w:rPr>
        <w:t>Operational guidance to the Regulations</w:t>
      </w:r>
      <w:r w:rsidR="000917FB" w:rsidRPr="002C2ABE" w:rsidDel="00FA5923">
        <w:rPr>
          <w:rFonts w:ascii="Verdana" w:hAnsi="Verdana"/>
        </w:rPr>
        <w:t xml:space="preserve"> </w:t>
      </w:r>
      <w:r w:rsidR="000E425C" w:rsidRPr="002C2ABE">
        <w:rPr>
          <w:rFonts w:ascii="Verdana" w:hAnsi="Verdana"/>
        </w:rPr>
        <w:t>states that i</w:t>
      </w:r>
      <w:r w:rsidR="00F3779A" w:rsidRPr="002C2ABE">
        <w:rPr>
          <w:rFonts w:ascii="Verdana" w:hAnsi="Verdana"/>
        </w:rPr>
        <w:t>ndividuals who are</w:t>
      </w:r>
      <w:r w:rsidR="00055F84" w:rsidRPr="002C2ABE">
        <w:rPr>
          <w:rFonts w:ascii="Verdana" w:hAnsi="Verdana"/>
        </w:rPr>
        <w:t xml:space="preserve"> </w:t>
      </w:r>
      <w:r w:rsidR="002142A0" w:rsidRPr="002C2ABE">
        <w:rPr>
          <w:rFonts w:ascii="Verdana" w:hAnsi="Verdana"/>
        </w:rPr>
        <w:t>determined</w:t>
      </w:r>
      <w:r w:rsidR="00055F84" w:rsidRPr="002C2ABE">
        <w:rPr>
          <w:rFonts w:ascii="Verdana" w:hAnsi="Verdana"/>
        </w:rPr>
        <w:t xml:space="preserve"> to be victims of </w:t>
      </w:r>
      <w:r w:rsidR="002142A0" w:rsidRPr="002C2ABE">
        <w:rPr>
          <w:rFonts w:ascii="Verdana" w:hAnsi="Verdana"/>
        </w:rPr>
        <w:t>trafficking on reasonable grounds</w:t>
      </w:r>
      <w:r w:rsidR="00760185" w:rsidRPr="002C2ABE">
        <w:rPr>
          <w:rFonts w:ascii="Verdana" w:hAnsi="Verdana"/>
        </w:rPr>
        <w:t xml:space="preserve"> are exempt </w:t>
      </w:r>
      <w:r w:rsidR="00FC199A" w:rsidRPr="002C2ABE">
        <w:rPr>
          <w:rFonts w:ascii="Verdana" w:hAnsi="Verdana"/>
        </w:rPr>
        <w:t xml:space="preserve">from </w:t>
      </w:r>
      <w:r w:rsidR="007A27F6" w:rsidRPr="002C2ABE">
        <w:rPr>
          <w:rFonts w:ascii="Verdana" w:hAnsi="Verdana"/>
        </w:rPr>
        <w:t xml:space="preserve">healthcare </w:t>
      </w:r>
      <w:r w:rsidR="00FC199A" w:rsidRPr="002C2ABE">
        <w:rPr>
          <w:rFonts w:ascii="Verdana" w:hAnsi="Verdana"/>
        </w:rPr>
        <w:t>charge</w:t>
      </w:r>
      <w:r w:rsidR="007A27F6" w:rsidRPr="002C2ABE">
        <w:rPr>
          <w:rFonts w:ascii="Verdana" w:hAnsi="Verdana"/>
        </w:rPr>
        <w:t>s</w:t>
      </w:r>
      <w:r w:rsidR="00FC199A" w:rsidRPr="002C2ABE">
        <w:rPr>
          <w:rFonts w:ascii="Verdana" w:hAnsi="Verdana"/>
        </w:rPr>
        <w:t xml:space="preserve"> during the recovery and reflection period (45 days). If the competent authority</w:t>
      </w:r>
      <w:r w:rsidR="00245835" w:rsidRPr="002C2ABE">
        <w:rPr>
          <w:rFonts w:ascii="Verdana" w:hAnsi="Verdana"/>
        </w:rPr>
        <w:t xml:space="preserve"> </w:t>
      </w:r>
      <w:r w:rsidR="00FC199A" w:rsidRPr="002C2ABE">
        <w:rPr>
          <w:rFonts w:ascii="Verdana" w:hAnsi="Verdana"/>
        </w:rPr>
        <w:t xml:space="preserve">can </w:t>
      </w:r>
      <w:r w:rsidR="00DE08E9" w:rsidRPr="002C2ABE">
        <w:rPr>
          <w:rFonts w:ascii="Verdana" w:hAnsi="Verdana"/>
        </w:rPr>
        <w:t>conclusively confirm</w:t>
      </w:r>
      <w:r w:rsidR="00FC199A" w:rsidRPr="002C2ABE">
        <w:rPr>
          <w:rFonts w:ascii="Verdana" w:hAnsi="Verdana"/>
        </w:rPr>
        <w:t xml:space="preserve"> they are </w:t>
      </w:r>
      <w:r w:rsidR="00DE08E9" w:rsidRPr="002C2ABE">
        <w:rPr>
          <w:rFonts w:ascii="Verdana" w:hAnsi="Verdana"/>
        </w:rPr>
        <w:t>a victim of trafficking, they will continue to be exempt from</w:t>
      </w:r>
      <w:r w:rsidR="00E11625" w:rsidRPr="002C2ABE">
        <w:rPr>
          <w:rFonts w:ascii="Verdana" w:hAnsi="Verdana"/>
        </w:rPr>
        <w:t xml:space="preserve"> all</w:t>
      </w:r>
      <w:r w:rsidR="00DE08E9" w:rsidRPr="002C2ABE">
        <w:rPr>
          <w:rFonts w:ascii="Verdana" w:hAnsi="Verdana"/>
        </w:rPr>
        <w:t xml:space="preserve"> </w:t>
      </w:r>
      <w:r w:rsidR="007A27F6" w:rsidRPr="002C2ABE">
        <w:rPr>
          <w:rFonts w:ascii="Verdana" w:hAnsi="Verdana"/>
        </w:rPr>
        <w:t xml:space="preserve">healthcare </w:t>
      </w:r>
      <w:r w:rsidR="00DE08E9" w:rsidRPr="002C2ABE">
        <w:rPr>
          <w:rFonts w:ascii="Verdana" w:hAnsi="Verdana"/>
        </w:rPr>
        <w:lastRenderedPageBreak/>
        <w:t xml:space="preserve">charges after that period. However, </w:t>
      </w:r>
      <w:r w:rsidR="00974B31" w:rsidRPr="002C2ABE">
        <w:rPr>
          <w:rFonts w:ascii="Verdana" w:hAnsi="Verdana"/>
        </w:rPr>
        <w:t xml:space="preserve">those </w:t>
      </w:r>
      <w:r w:rsidR="00314F25" w:rsidRPr="002C2ABE">
        <w:rPr>
          <w:rFonts w:ascii="Verdana" w:hAnsi="Verdana"/>
        </w:rPr>
        <w:t>who cannot be</w:t>
      </w:r>
      <w:r w:rsidR="00974B31" w:rsidRPr="002C2ABE">
        <w:rPr>
          <w:rFonts w:ascii="Verdana" w:hAnsi="Verdana"/>
        </w:rPr>
        <w:t xml:space="preserve"> confirmed </w:t>
      </w:r>
      <w:r w:rsidR="00314F25" w:rsidRPr="002C2ABE">
        <w:rPr>
          <w:rFonts w:ascii="Verdana" w:hAnsi="Verdana"/>
        </w:rPr>
        <w:t xml:space="preserve">as </w:t>
      </w:r>
      <w:r w:rsidR="00974B31" w:rsidRPr="002C2ABE">
        <w:rPr>
          <w:rFonts w:ascii="Verdana" w:hAnsi="Verdana"/>
        </w:rPr>
        <w:t>victims of trafficking</w:t>
      </w:r>
      <w:r w:rsidR="00F3779A" w:rsidRPr="002C2ABE">
        <w:rPr>
          <w:rFonts w:ascii="Verdana" w:hAnsi="Verdana"/>
        </w:rPr>
        <w:t xml:space="preserve"> by the competent authority</w:t>
      </w:r>
      <w:r w:rsidR="00974B31" w:rsidRPr="002C2ABE">
        <w:rPr>
          <w:rFonts w:ascii="Verdana" w:hAnsi="Verdana"/>
        </w:rPr>
        <w:t xml:space="preserve"> will be charged.</w:t>
      </w:r>
      <w:r w:rsidR="00EB3532">
        <w:rPr>
          <w:rStyle w:val="FootnoteReference"/>
          <w:rFonts w:ascii="Verdana" w:hAnsi="Verdana"/>
        </w:rPr>
        <w:footnoteReference w:id="36"/>
      </w:r>
      <w:r w:rsidR="00974B31" w:rsidRPr="002C2ABE">
        <w:rPr>
          <w:rFonts w:ascii="Verdana" w:hAnsi="Verdana"/>
        </w:rPr>
        <w:t xml:space="preserve"> </w:t>
      </w:r>
    </w:p>
    <w:p w14:paraId="4FD19582" w14:textId="77777777" w:rsidR="00C565B2" w:rsidRDefault="00C565B2" w:rsidP="00B36C6A">
      <w:pPr>
        <w:pStyle w:val="BasicParagraph"/>
        <w:suppressAutoHyphens/>
        <w:spacing w:line="276" w:lineRule="auto"/>
        <w:rPr>
          <w:rFonts w:ascii="Verdana" w:hAnsi="Verdana"/>
        </w:rPr>
      </w:pPr>
    </w:p>
    <w:p w14:paraId="1026BB58" w14:textId="09605806" w:rsidR="00C47B83" w:rsidRPr="00C47B83" w:rsidRDefault="00A344D7" w:rsidP="00B36C6A">
      <w:pPr>
        <w:pStyle w:val="BasicParagraph"/>
        <w:numPr>
          <w:ilvl w:val="1"/>
          <w:numId w:val="14"/>
        </w:numPr>
        <w:suppressAutoHyphens/>
        <w:spacing w:line="276" w:lineRule="auto"/>
        <w:rPr>
          <w:rFonts w:ascii="Verdana" w:hAnsi="Verdana"/>
        </w:rPr>
      </w:pPr>
      <w:r>
        <w:rPr>
          <w:rFonts w:ascii="Verdana" w:hAnsi="Verdana"/>
        </w:rPr>
        <w:t>In EU law, the Trafficking Directive provides protections for victims of human trafficking.</w:t>
      </w:r>
      <w:r>
        <w:rPr>
          <w:rStyle w:val="FootnoteReference"/>
          <w:rFonts w:ascii="Verdana" w:hAnsi="Verdana"/>
        </w:rPr>
        <w:footnoteReference w:id="37"/>
      </w:r>
      <w:r w:rsidR="00C47B83">
        <w:rPr>
          <w:rFonts w:ascii="Verdana" w:hAnsi="Verdana"/>
        </w:rPr>
        <w:t xml:space="preserve"> </w:t>
      </w:r>
      <w:r>
        <w:rPr>
          <w:rFonts w:ascii="Verdana" w:hAnsi="Verdana"/>
        </w:rPr>
        <w:t xml:space="preserve">The </w:t>
      </w:r>
      <w:r w:rsidR="00C47B83" w:rsidRPr="00C47B83">
        <w:rPr>
          <w:rFonts w:ascii="Verdana" w:hAnsi="Verdana"/>
        </w:rPr>
        <w:t xml:space="preserve">Directive specifically </w:t>
      </w:r>
      <w:r w:rsidR="00C47B83" w:rsidRPr="00C47B83">
        <w:rPr>
          <w:rFonts w:ascii="Verdana" w:hAnsi="Verdana" w:cs="Gotham Book"/>
        </w:rPr>
        <w:t>obliges Members States to “take due account of” specific needs of victims “where those needs arise in particular from possible pregnancy, state of health, disability, mental or psychological disorders or serious forms of psychological violence, physical or sexual to which they have been subjected”.</w:t>
      </w:r>
      <w:r w:rsidR="00C47B83" w:rsidRPr="009A66F3">
        <w:rPr>
          <w:rStyle w:val="FootnoteReference"/>
          <w:rFonts w:ascii="Verdana" w:hAnsi="Verdana" w:cs="Gotham Book"/>
        </w:rPr>
        <w:footnoteReference w:id="38"/>
      </w:r>
      <w:r w:rsidR="002E36F7">
        <w:rPr>
          <w:rFonts w:ascii="Verdana" w:hAnsi="Verdana" w:cs="Gotham Book"/>
        </w:rPr>
        <w:t xml:space="preserve"> As explained below, the Commission takes the view that the Trafficking Directive falls within the scope of Article 2 WF.</w:t>
      </w:r>
    </w:p>
    <w:p w14:paraId="0531AD2C" w14:textId="77777777" w:rsidR="00C47B83" w:rsidRPr="00C47B83" w:rsidRDefault="00C47B83" w:rsidP="00B36C6A">
      <w:pPr>
        <w:pStyle w:val="BasicParagraph"/>
        <w:suppressAutoHyphens/>
        <w:spacing w:line="276" w:lineRule="auto"/>
        <w:rPr>
          <w:rFonts w:ascii="Verdana" w:hAnsi="Verdana"/>
        </w:rPr>
      </w:pPr>
    </w:p>
    <w:p w14:paraId="4358D7E7" w14:textId="12146334" w:rsidR="003E7F09" w:rsidRDefault="00867BF0" w:rsidP="00B36C6A">
      <w:pPr>
        <w:pStyle w:val="BasicParagraph"/>
        <w:numPr>
          <w:ilvl w:val="1"/>
          <w:numId w:val="14"/>
        </w:numPr>
        <w:suppressAutoHyphens/>
        <w:spacing w:line="276" w:lineRule="auto"/>
        <w:rPr>
          <w:rFonts w:ascii="Verdana" w:hAnsi="Verdana" w:cs="Gotham Book"/>
        </w:rPr>
      </w:pPr>
      <w:r w:rsidRPr="00F539DA">
        <w:rPr>
          <w:rFonts w:ascii="Verdana" w:hAnsi="Verdana"/>
        </w:rPr>
        <w:t xml:space="preserve">During the adoption of the Directive into UK law, the EU Commission </w:t>
      </w:r>
      <w:r w:rsidR="007C5A22">
        <w:rPr>
          <w:rFonts w:ascii="Verdana" w:hAnsi="Verdana"/>
        </w:rPr>
        <w:t>stated that</w:t>
      </w:r>
      <w:r w:rsidR="00067AD9" w:rsidRPr="00F539DA">
        <w:rPr>
          <w:rFonts w:ascii="Verdana" w:hAnsi="Verdana"/>
        </w:rPr>
        <w:t xml:space="preserve"> </w:t>
      </w:r>
      <w:r w:rsidR="00F10D76" w:rsidRPr="00F539DA">
        <w:rPr>
          <w:rFonts w:ascii="Verdana" w:hAnsi="Verdana"/>
        </w:rPr>
        <w:t xml:space="preserve">UK would need to add amendments to ensure that </w:t>
      </w:r>
      <w:r w:rsidR="006A1E8C" w:rsidRPr="00F539DA">
        <w:rPr>
          <w:rFonts w:ascii="Verdana" w:hAnsi="Verdana"/>
        </w:rPr>
        <w:t>trafficked persons’ right</w:t>
      </w:r>
      <w:r w:rsidR="008530B1" w:rsidRPr="00F539DA">
        <w:rPr>
          <w:rFonts w:ascii="Verdana" w:hAnsi="Verdana"/>
        </w:rPr>
        <w:t>s</w:t>
      </w:r>
      <w:r w:rsidR="006A1E8C" w:rsidRPr="00F539DA">
        <w:rPr>
          <w:rFonts w:ascii="Verdana" w:hAnsi="Verdana"/>
        </w:rPr>
        <w:t xml:space="preserve"> to assistance and support </w:t>
      </w:r>
      <w:r w:rsidR="008530B1" w:rsidRPr="00F539DA">
        <w:rPr>
          <w:rFonts w:ascii="Verdana" w:hAnsi="Verdana"/>
        </w:rPr>
        <w:t>were</w:t>
      </w:r>
      <w:r w:rsidR="006A1E8C" w:rsidRPr="00F539DA">
        <w:rPr>
          <w:rFonts w:ascii="Verdana" w:hAnsi="Verdana"/>
        </w:rPr>
        <w:t xml:space="preserve"> upheld.</w:t>
      </w:r>
      <w:r w:rsidR="006A1E8C" w:rsidRPr="00F539DA">
        <w:rPr>
          <w:rStyle w:val="FootnoteReference"/>
          <w:rFonts w:ascii="Verdana" w:hAnsi="Verdana"/>
        </w:rPr>
        <w:footnoteReference w:id="39"/>
      </w:r>
      <w:r w:rsidR="006A1E8C" w:rsidRPr="00F539DA">
        <w:rPr>
          <w:rFonts w:ascii="Verdana" w:hAnsi="Verdana"/>
        </w:rPr>
        <w:t xml:space="preserve"> The UK never enacted such amendments</w:t>
      </w:r>
      <w:r w:rsidR="005D60E9" w:rsidRPr="00F539DA">
        <w:rPr>
          <w:rFonts w:ascii="Verdana" w:hAnsi="Verdana"/>
        </w:rPr>
        <w:t xml:space="preserve">. </w:t>
      </w:r>
      <w:r w:rsidR="00BF28B1" w:rsidRPr="00C47B83">
        <w:rPr>
          <w:rFonts w:ascii="Verdana" w:hAnsi="Verdana"/>
        </w:rPr>
        <w:t xml:space="preserve">Before the UK left the EU, a trafficked </w:t>
      </w:r>
      <w:r w:rsidR="00981D6A">
        <w:rPr>
          <w:rFonts w:ascii="Verdana" w:hAnsi="Verdana"/>
        </w:rPr>
        <w:t>person</w:t>
      </w:r>
      <w:r w:rsidR="00BF28B1">
        <w:rPr>
          <w:rFonts w:ascii="Verdana" w:hAnsi="Verdana"/>
        </w:rPr>
        <w:t xml:space="preserve"> in NI</w:t>
      </w:r>
      <w:r w:rsidR="00BF28B1" w:rsidRPr="00C47B83">
        <w:rPr>
          <w:rFonts w:ascii="Verdana" w:hAnsi="Verdana"/>
        </w:rPr>
        <w:t xml:space="preserve"> </w:t>
      </w:r>
      <w:r w:rsidR="00182F1A">
        <w:rPr>
          <w:rFonts w:ascii="Verdana" w:hAnsi="Verdana"/>
        </w:rPr>
        <w:t>could</w:t>
      </w:r>
      <w:r w:rsidR="00BF28B1" w:rsidRPr="00C47B83">
        <w:rPr>
          <w:rFonts w:ascii="Verdana" w:hAnsi="Verdana"/>
        </w:rPr>
        <w:t xml:space="preserve"> rely directly on the </w:t>
      </w:r>
      <w:r w:rsidR="00BF28B1" w:rsidRPr="00F539DA">
        <w:rPr>
          <w:rFonts w:ascii="Verdana" w:hAnsi="Verdana"/>
        </w:rPr>
        <w:t>Directive to enforce their right to health for non-emergency issues</w:t>
      </w:r>
      <w:r w:rsidR="00FC3F2E">
        <w:rPr>
          <w:rFonts w:ascii="Verdana" w:hAnsi="Verdana"/>
        </w:rPr>
        <w:t xml:space="preserve">, </w:t>
      </w:r>
      <w:r w:rsidR="002434D9">
        <w:rPr>
          <w:rFonts w:ascii="Verdana" w:hAnsi="Verdana"/>
        </w:rPr>
        <w:t>if</w:t>
      </w:r>
      <w:r w:rsidR="00FC3F2E">
        <w:rPr>
          <w:rFonts w:ascii="Verdana" w:hAnsi="Verdana"/>
        </w:rPr>
        <w:t xml:space="preserve"> domestic law</w:t>
      </w:r>
      <w:r w:rsidR="002434D9">
        <w:rPr>
          <w:rFonts w:ascii="Verdana" w:hAnsi="Verdana"/>
        </w:rPr>
        <w:t xml:space="preserve"> </w:t>
      </w:r>
      <w:r w:rsidR="00C06958">
        <w:rPr>
          <w:rFonts w:ascii="Verdana" w:hAnsi="Verdana"/>
        </w:rPr>
        <w:t xml:space="preserve">did not </w:t>
      </w:r>
      <w:r w:rsidR="002434D9">
        <w:rPr>
          <w:rFonts w:ascii="Verdana" w:hAnsi="Verdana"/>
        </w:rPr>
        <w:t xml:space="preserve">adequately </w:t>
      </w:r>
      <w:r w:rsidR="00A44B35">
        <w:rPr>
          <w:rFonts w:ascii="Verdana" w:hAnsi="Verdana"/>
        </w:rPr>
        <w:t>implement</w:t>
      </w:r>
      <w:r w:rsidR="002434D9">
        <w:rPr>
          <w:rFonts w:ascii="Verdana" w:hAnsi="Verdana"/>
        </w:rPr>
        <w:t xml:space="preserve"> the Directive</w:t>
      </w:r>
      <w:r w:rsidR="00BF28B1" w:rsidRPr="00F539DA">
        <w:rPr>
          <w:rFonts w:ascii="Verdana" w:hAnsi="Verdana"/>
        </w:rPr>
        <w:t>.</w:t>
      </w:r>
      <w:r w:rsidR="008D4B9D">
        <w:rPr>
          <w:rFonts w:ascii="Verdana" w:hAnsi="Verdana"/>
        </w:rPr>
        <w:t xml:space="preserve"> </w:t>
      </w:r>
      <w:r w:rsidR="00182E2C">
        <w:rPr>
          <w:rFonts w:ascii="Verdana" w:hAnsi="Verdana"/>
        </w:rPr>
        <w:t xml:space="preserve">It is the Commission’s view that </w:t>
      </w:r>
      <w:r w:rsidR="00B0481D">
        <w:rPr>
          <w:rFonts w:ascii="Verdana" w:hAnsi="Verdana"/>
        </w:rPr>
        <w:t xml:space="preserve">even </w:t>
      </w:r>
      <w:r w:rsidR="006D6742">
        <w:rPr>
          <w:rFonts w:ascii="Verdana" w:hAnsi="Verdana"/>
        </w:rPr>
        <w:t xml:space="preserve">if </w:t>
      </w:r>
      <w:r w:rsidR="00D20384">
        <w:rPr>
          <w:rFonts w:ascii="Verdana" w:hAnsi="Verdana"/>
        </w:rPr>
        <w:t>the</w:t>
      </w:r>
      <w:r w:rsidR="00513B38">
        <w:rPr>
          <w:rFonts w:ascii="Verdana" w:hAnsi="Verdana"/>
        </w:rPr>
        <w:t xml:space="preserve"> EU obligations</w:t>
      </w:r>
      <w:r w:rsidR="00D20384">
        <w:rPr>
          <w:rFonts w:ascii="Verdana" w:hAnsi="Verdana"/>
        </w:rPr>
        <w:t xml:space="preserve"> had not been </w:t>
      </w:r>
      <w:r w:rsidR="006D6742">
        <w:rPr>
          <w:rFonts w:ascii="Verdana" w:hAnsi="Verdana"/>
        </w:rPr>
        <w:t xml:space="preserve">properly transposed </w:t>
      </w:r>
      <w:r w:rsidR="00D20384">
        <w:rPr>
          <w:rFonts w:ascii="Verdana" w:hAnsi="Verdana"/>
        </w:rPr>
        <w:t xml:space="preserve">into domestic law </w:t>
      </w:r>
      <w:r w:rsidR="006D6742">
        <w:rPr>
          <w:rFonts w:ascii="Verdana" w:hAnsi="Verdana"/>
        </w:rPr>
        <w:t xml:space="preserve">before 31 December 2020, </w:t>
      </w:r>
      <w:r w:rsidR="00531D7C">
        <w:rPr>
          <w:rFonts w:ascii="Verdana" w:hAnsi="Verdana"/>
        </w:rPr>
        <w:t>the loss of directly effective EU rights c</w:t>
      </w:r>
      <w:r w:rsidR="007C6945">
        <w:rPr>
          <w:rFonts w:ascii="Verdana" w:hAnsi="Verdana"/>
        </w:rPr>
        <w:t>an</w:t>
      </w:r>
      <w:r w:rsidR="00531D7C">
        <w:rPr>
          <w:rFonts w:ascii="Verdana" w:hAnsi="Verdana"/>
        </w:rPr>
        <w:t xml:space="preserve"> be challenged as a breach of Article 2 </w:t>
      </w:r>
      <w:r w:rsidR="00F930AD">
        <w:rPr>
          <w:rFonts w:ascii="Verdana" w:hAnsi="Verdana"/>
        </w:rPr>
        <w:t xml:space="preserve">WF </w:t>
      </w:r>
      <w:r w:rsidR="00531D7C">
        <w:rPr>
          <w:rFonts w:ascii="Verdana" w:hAnsi="Verdana"/>
        </w:rPr>
        <w:t xml:space="preserve">where those rights have not been </w:t>
      </w:r>
      <w:r w:rsidR="007C6945">
        <w:rPr>
          <w:rFonts w:ascii="Verdana" w:hAnsi="Verdana"/>
        </w:rPr>
        <w:t>made good</w:t>
      </w:r>
      <w:r w:rsidR="00531D7C">
        <w:rPr>
          <w:rFonts w:ascii="Verdana" w:hAnsi="Verdana"/>
        </w:rPr>
        <w:t xml:space="preserve"> in domestic law. </w:t>
      </w:r>
      <w:proofErr w:type="gramStart"/>
      <w:r w:rsidR="000B0008">
        <w:rPr>
          <w:rFonts w:ascii="Verdana" w:hAnsi="Verdana"/>
        </w:rPr>
        <w:t>In order to</w:t>
      </w:r>
      <w:proofErr w:type="gramEnd"/>
      <w:r w:rsidR="000B0008">
        <w:rPr>
          <w:rFonts w:ascii="Verdana" w:hAnsi="Verdana"/>
        </w:rPr>
        <w:t xml:space="preserve"> be considered </w:t>
      </w:r>
      <w:r w:rsidR="007C6945">
        <w:rPr>
          <w:rFonts w:ascii="Verdana" w:hAnsi="Verdana"/>
        </w:rPr>
        <w:t>‘</w:t>
      </w:r>
      <w:r w:rsidR="000B0008">
        <w:rPr>
          <w:rFonts w:ascii="Verdana" w:hAnsi="Verdana"/>
        </w:rPr>
        <w:t>directly effective</w:t>
      </w:r>
      <w:r w:rsidR="007C6945">
        <w:rPr>
          <w:rFonts w:ascii="Verdana" w:hAnsi="Verdana"/>
        </w:rPr>
        <w:t>’</w:t>
      </w:r>
      <w:r w:rsidR="000B0008">
        <w:rPr>
          <w:rFonts w:ascii="Verdana" w:hAnsi="Verdana"/>
        </w:rPr>
        <w:t>,</w:t>
      </w:r>
      <w:r w:rsidR="00BD2C79">
        <w:rPr>
          <w:rFonts w:ascii="Verdana" w:hAnsi="Verdana"/>
        </w:rPr>
        <w:t xml:space="preserve"> enabling an individual to claim its protection in court, the </w:t>
      </w:r>
      <w:r w:rsidR="000417F5">
        <w:rPr>
          <w:rFonts w:ascii="Verdana" w:hAnsi="Verdana"/>
        </w:rPr>
        <w:t>right in question must be sufficiently clear, precise and unconditional</w:t>
      </w:r>
      <w:r w:rsidR="000B0008">
        <w:rPr>
          <w:rFonts w:ascii="Verdana" w:hAnsi="Verdana"/>
        </w:rPr>
        <w:t>.</w:t>
      </w:r>
      <w:r w:rsidR="00BA7501">
        <w:rPr>
          <w:rStyle w:val="FootnoteReference"/>
          <w:rFonts w:ascii="Verdana" w:hAnsi="Verdana"/>
        </w:rPr>
        <w:footnoteReference w:id="40"/>
      </w:r>
    </w:p>
    <w:p w14:paraId="77EBC0D6" w14:textId="77777777" w:rsidR="00B36C6A" w:rsidRDefault="00B36C6A" w:rsidP="00B36C6A">
      <w:pPr>
        <w:pStyle w:val="ListParagraph"/>
        <w:spacing w:line="276" w:lineRule="auto"/>
        <w:rPr>
          <w:rFonts w:ascii="Verdana" w:hAnsi="Verdana" w:cs="Gotham Book"/>
        </w:rPr>
      </w:pPr>
    </w:p>
    <w:p w14:paraId="61D4D9DF" w14:textId="0F709667" w:rsidR="00995C83" w:rsidRPr="00B36C6A" w:rsidRDefault="000E7DD8" w:rsidP="00B36C6A">
      <w:pPr>
        <w:pStyle w:val="BasicParagraph"/>
        <w:numPr>
          <w:ilvl w:val="1"/>
          <w:numId w:val="14"/>
        </w:numPr>
        <w:suppressAutoHyphens/>
        <w:spacing w:line="276" w:lineRule="auto"/>
        <w:rPr>
          <w:rFonts w:ascii="Verdana" w:hAnsi="Verdana" w:cs="Gotham Book"/>
        </w:rPr>
      </w:pPr>
      <w:r>
        <w:rPr>
          <w:rFonts w:ascii="Verdana" w:hAnsi="Verdana" w:cs="Gotham Book"/>
        </w:rPr>
        <w:t>Furthermore, the</w:t>
      </w:r>
      <w:r w:rsidR="003E7F09">
        <w:rPr>
          <w:rFonts w:ascii="Verdana" w:hAnsi="Verdana" w:cs="Gotham Book"/>
        </w:rPr>
        <w:t xml:space="preserve"> </w:t>
      </w:r>
      <w:r w:rsidR="00717105">
        <w:rPr>
          <w:rFonts w:ascii="Verdana" w:hAnsi="Verdana" w:cs="Gotham Book"/>
        </w:rPr>
        <w:t>UK</w:t>
      </w:r>
      <w:r>
        <w:rPr>
          <w:rFonts w:ascii="Verdana" w:hAnsi="Verdana" w:cs="Gotham Book"/>
        </w:rPr>
        <w:t xml:space="preserve"> Nationality and Borders </w:t>
      </w:r>
      <w:r w:rsidR="00382C40">
        <w:rPr>
          <w:rFonts w:ascii="Verdana" w:hAnsi="Verdana" w:cs="Gotham Book"/>
        </w:rPr>
        <w:t>Act</w:t>
      </w:r>
      <w:r w:rsidR="000E7D87">
        <w:rPr>
          <w:rFonts w:ascii="Verdana" w:hAnsi="Verdana" w:cs="Gotham Book"/>
        </w:rPr>
        <w:t xml:space="preserve"> 2022</w:t>
      </w:r>
      <w:r w:rsidR="00570E6C">
        <w:rPr>
          <w:rFonts w:ascii="Verdana" w:hAnsi="Verdana" w:cs="Gotham Book"/>
        </w:rPr>
        <w:t xml:space="preserve"> </w:t>
      </w:r>
      <w:r w:rsidR="000E7D87">
        <w:rPr>
          <w:rFonts w:ascii="Verdana" w:hAnsi="Verdana" w:cs="Gotham Book"/>
        </w:rPr>
        <w:t xml:space="preserve">resulted in a further </w:t>
      </w:r>
      <w:r w:rsidR="00570E6C">
        <w:rPr>
          <w:rFonts w:ascii="Verdana" w:hAnsi="Verdana" w:cs="Gotham Book"/>
        </w:rPr>
        <w:t xml:space="preserve">departure from the EU Trafficking Directive, </w:t>
      </w:r>
      <w:r w:rsidR="005B780B" w:rsidRPr="005B780B">
        <w:rPr>
          <w:rFonts w:ascii="Verdana" w:hAnsi="Verdana" w:cs="Gotham Book"/>
        </w:rPr>
        <w:t xml:space="preserve">disapplying rights, powers, liabilities, obligations, restrictions, </w:t>
      </w:r>
      <w:proofErr w:type="gramStart"/>
      <w:r w:rsidR="005B780B" w:rsidRPr="005B780B">
        <w:rPr>
          <w:rFonts w:ascii="Verdana" w:hAnsi="Verdana" w:cs="Gotham Book"/>
        </w:rPr>
        <w:t>remedies</w:t>
      </w:r>
      <w:proofErr w:type="gramEnd"/>
      <w:r w:rsidR="005B780B" w:rsidRPr="005B780B">
        <w:rPr>
          <w:rFonts w:ascii="Verdana" w:hAnsi="Verdana" w:cs="Gotham Book"/>
        </w:rPr>
        <w:t xml:space="preserve"> and procedures derived from the Directive, where they are incompatible with a provision of the Act</w:t>
      </w:r>
      <w:r w:rsidR="005B780B">
        <w:rPr>
          <w:rFonts w:ascii="Verdana" w:hAnsi="Verdana" w:cs="Gotham Book"/>
        </w:rPr>
        <w:t>.</w:t>
      </w:r>
      <w:r w:rsidR="0004329A">
        <w:rPr>
          <w:rStyle w:val="FootnoteReference"/>
          <w:rFonts w:ascii="Verdana" w:hAnsi="Verdana" w:cs="Gotham Book"/>
        </w:rPr>
        <w:footnoteReference w:id="41"/>
      </w:r>
      <w:r w:rsidR="0010068D">
        <w:rPr>
          <w:rFonts w:ascii="Verdana" w:hAnsi="Verdana" w:cs="Gotham Book"/>
        </w:rPr>
        <w:t xml:space="preserve"> The </w:t>
      </w:r>
      <w:r w:rsidR="00C36277">
        <w:rPr>
          <w:rFonts w:ascii="Verdana" w:hAnsi="Verdana" w:cs="Gotham Book"/>
        </w:rPr>
        <w:t xml:space="preserve">Act is silent on healthcare </w:t>
      </w:r>
      <w:r w:rsidR="001E7047">
        <w:rPr>
          <w:rFonts w:ascii="Verdana" w:hAnsi="Verdana" w:cs="Gotham Book"/>
        </w:rPr>
        <w:t xml:space="preserve">obligations and </w:t>
      </w:r>
      <w:r w:rsidR="00C36277">
        <w:rPr>
          <w:rFonts w:ascii="Verdana" w:hAnsi="Verdana" w:cs="Gotham Book"/>
        </w:rPr>
        <w:t>entitlements</w:t>
      </w:r>
      <w:r w:rsidR="0029491B">
        <w:rPr>
          <w:rFonts w:ascii="Verdana" w:hAnsi="Verdana" w:cs="Gotham Book"/>
        </w:rPr>
        <w:t xml:space="preserve"> and children’s rights</w:t>
      </w:r>
      <w:r w:rsidR="001E7047">
        <w:rPr>
          <w:rFonts w:ascii="Verdana" w:hAnsi="Verdana" w:cs="Gotham Book"/>
        </w:rPr>
        <w:t>.</w:t>
      </w:r>
    </w:p>
    <w:p w14:paraId="10BE5E6F" w14:textId="77777777" w:rsidR="00200550" w:rsidRDefault="00200550" w:rsidP="00B36C6A">
      <w:pPr>
        <w:pStyle w:val="ListParagraph"/>
        <w:spacing w:line="276" w:lineRule="auto"/>
        <w:rPr>
          <w:rFonts w:ascii="Verdana" w:hAnsi="Verdana"/>
        </w:rPr>
      </w:pPr>
    </w:p>
    <w:p w14:paraId="5A05F2FD" w14:textId="5BDA4728" w:rsidR="00B73BC1" w:rsidRDefault="00200550" w:rsidP="00B36C6A">
      <w:pPr>
        <w:pStyle w:val="BasicParagraph"/>
        <w:numPr>
          <w:ilvl w:val="1"/>
          <w:numId w:val="14"/>
        </w:numPr>
        <w:suppressAutoHyphens/>
        <w:spacing w:line="276" w:lineRule="auto"/>
        <w:rPr>
          <w:rFonts w:ascii="Verdana" w:hAnsi="Verdana"/>
        </w:rPr>
      </w:pPr>
      <w:r w:rsidRPr="0044371D">
        <w:rPr>
          <w:rFonts w:ascii="Verdana" w:hAnsi="Verdana"/>
        </w:rPr>
        <w:t xml:space="preserve">In July 2023, the Illegal Migration Act received Royal </w:t>
      </w:r>
      <w:r w:rsidR="00B36EE4">
        <w:rPr>
          <w:rFonts w:ascii="Verdana" w:hAnsi="Verdana"/>
        </w:rPr>
        <w:t>A</w:t>
      </w:r>
      <w:r w:rsidRPr="0044371D">
        <w:rPr>
          <w:rFonts w:ascii="Verdana" w:hAnsi="Verdana"/>
        </w:rPr>
        <w:t>s</w:t>
      </w:r>
      <w:r w:rsidR="00B36EE4">
        <w:rPr>
          <w:rFonts w:ascii="Verdana" w:hAnsi="Verdana"/>
        </w:rPr>
        <w:t>s</w:t>
      </w:r>
      <w:r w:rsidRPr="0044371D">
        <w:rPr>
          <w:rFonts w:ascii="Verdana" w:hAnsi="Verdana"/>
        </w:rPr>
        <w:t xml:space="preserve">ent and </w:t>
      </w:r>
      <w:r w:rsidR="001E2AA1" w:rsidRPr="0044371D">
        <w:rPr>
          <w:rFonts w:ascii="Verdana" w:hAnsi="Verdana"/>
        </w:rPr>
        <w:t xml:space="preserve">ushered </w:t>
      </w:r>
      <w:r w:rsidR="001E2AA1" w:rsidRPr="0044371D">
        <w:rPr>
          <w:rFonts w:ascii="Verdana" w:hAnsi="Verdana"/>
        </w:rPr>
        <w:lastRenderedPageBreak/>
        <w:t>in</w:t>
      </w:r>
      <w:r w:rsidR="007E231F" w:rsidRPr="0044371D">
        <w:rPr>
          <w:rFonts w:ascii="Verdana" w:hAnsi="Verdana"/>
        </w:rPr>
        <w:t xml:space="preserve"> problematic </w:t>
      </w:r>
      <w:r w:rsidRPr="0044371D">
        <w:rPr>
          <w:rFonts w:ascii="Verdana" w:hAnsi="Verdana"/>
        </w:rPr>
        <w:t>change</w:t>
      </w:r>
      <w:r w:rsidR="007E231F" w:rsidRPr="0044371D">
        <w:rPr>
          <w:rFonts w:ascii="Verdana" w:hAnsi="Verdana"/>
        </w:rPr>
        <w:t>s</w:t>
      </w:r>
      <w:r w:rsidR="004D1271" w:rsidRPr="0044371D">
        <w:rPr>
          <w:rFonts w:ascii="Verdana" w:hAnsi="Verdana"/>
        </w:rPr>
        <w:t xml:space="preserve"> to</w:t>
      </w:r>
      <w:r w:rsidRPr="0044371D">
        <w:rPr>
          <w:rFonts w:ascii="Verdana" w:hAnsi="Verdana"/>
        </w:rPr>
        <w:t xml:space="preserve"> the immigration r</w:t>
      </w:r>
      <w:r w:rsidR="007E231F" w:rsidRPr="0044371D">
        <w:rPr>
          <w:rFonts w:ascii="Verdana" w:hAnsi="Verdana"/>
        </w:rPr>
        <w:t>u</w:t>
      </w:r>
      <w:r w:rsidRPr="0044371D">
        <w:rPr>
          <w:rFonts w:ascii="Verdana" w:hAnsi="Verdana"/>
        </w:rPr>
        <w:t>les in the UK</w:t>
      </w:r>
      <w:r w:rsidR="00D353A4">
        <w:rPr>
          <w:rFonts w:ascii="Verdana" w:hAnsi="Verdana"/>
        </w:rPr>
        <w:t xml:space="preserve"> that</w:t>
      </w:r>
      <w:r w:rsidR="00413BDA">
        <w:rPr>
          <w:rFonts w:ascii="Verdana" w:hAnsi="Verdana"/>
        </w:rPr>
        <w:t>, in the Commission’s view,</w:t>
      </w:r>
      <w:r w:rsidR="00D353A4">
        <w:rPr>
          <w:rFonts w:ascii="Verdana" w:hAnsi="Verdana"/>
        </w:rPr>
        <w:t xml:space="preserve"> are also a departure from the EU </w:t>
      </w:r>
      <w:r w:rsidR="0042307E">
        <w:rPr>
          <w:rFonts w:ascii="Verdana" w:hAnsi="Verdana"/>
        </w:rPr>
        <w:t>T</w:t>
      </w:r>
      <w:r w:rsidR="00D353A4">
        <w:rPr>
          <w:rFonts w:ascii="Verdana" w:hAnsi="Verdana"/>
        </w:rPr>
        <w:t>rafficking Directive</w:t>
      </w:r>
      <w:r w:rsidR="0042307E">
        <w:rPr>
          <w:rFonts w:ascii="Verdana" w:hAnsi="Verdana"/>
        </w:rPr>
        <w:t xml:space="preserve"> and the</w:t>
      </w:r>
      <w:r w:rsidR="00D353A4">
        <w:rPr>
          <w:rFonts w:ascii="Verdana" w:hAnsi="Verdana"/>
        </w:rPr>
        <w:t xml:space="preserve"> </w:t>
      </w:r>
      <w:r w:rsidR="0042307E">
        <w:rPr>
          <w:rFonts w:ascii="Verdana" w:hAnsi="Verdana"/>
        </w:rPr>
        <w:t>EU Victims Directive</w:t>
      </w:r>
      <w:r w:rsidRPr="0044371D">
        <w:rPr>
          <w:rFonts w:ascii="Verdana" w:hAnsi="Verdana"/>
        </w:rPr>
        <w:t xml:space="preserve">. </w:t>
      </w:r>
      <w:r w:rsidR="007E231F" w:rsidRPr="0044371D">
        <w:rPr>
          <w:rFonts w:ascii="Verdana" w:hAnsi="Verdana"/>
        </w:rPr>
        <w:t xml:space="preserve">In a submission to the </w:t>
      </w:r>
      <w:r w:rsidR="00AF3624" w:rsidRPr="0044371D">
        <w:rPr>
          <w:rFonts w:ascii="Verdana" w:hAnsi="Verdana"/>
        </w:rPr>
        <w:t xml:space="preserve">UK Parliament House of Lords, the NIHRC </w:t>
      </w:r>
      <w:r w:rsidR="004D1271" w:rsidRPr="0044371D">
        <w:rPr>
          <w:rFonts w:ascii="Verdana" w:hAnsi="Verdana"/>
        </w:rPr>
        <w:t xml:space="preserve">expressed </w:t>
      </w:r>
      <w:r w:rsidR="00E50464" w:rsidRPr="0044371D">
        <w:rPr>
          <w:rFonts w:ascii="Verdana" w:hAnsi="Verdana"/>
        </w:rPr>
        <w:t xml:space="preserve">grave concerns that the Act </w:t>
      </w:r>
      <w:r w:rsidR="002E3C35" w:rsidRPr="0044371D">
        <w:rPr>
          <w:rFonts w:ascii="Verdana" w:hAnsi="Verdana"/>
        </w:rPr>
        <w:t>will add to the significant regression of human rights protection to refugees, people seeking asylum and migrants in the UK</w:t>
      </w:r>
      <w:r w:rsidR="004D1271" w:rsidRPr="0044371D">
        <w:rPr>
          <w:rFonts w:ascii="Verdana" w:hAnsi="Verdana"/>
        </w:rPr>
        <w:t>.</w:t>
      </w:r>
      <w:r w:rsidR="002E3C35">
        <w:rPr>
          <w:rStyle w:val="FootnoteReference"/>
          <w:rFonts w:ascii="Verdana" w:hAnsi="Verdana"/>
        </w:rPr>
        <w:footnoteReference w:id="42"/>
      </w:r>
      <w:r w:rsidR="00AF3624" w:rsidRPr="0044371D">
        <w:rPr>
          <w:rFonts w:ascii="Verdana" w:hAnsi="Verdana"/>
        </w:rPr>
        <w:t xml:space="preserve"> </w:t>
      </w:r>
      <w:r w:rsidR="00A4217E" w:rsidRPr="0044371D">
        <w:rPr>
          <w:rFonts w:ascii="Verdana" w:hAnsi="Verdana"/>
        </w:rPr>
        <w:t>The Illegal Migration Act presents further barriers to accessing healthcare</w:t>
      </w:r>
      <w:r w:rsidR="00B73BC1">
        <w:rPr>
          <w:rFonts w:ascii="Verdana" w:hAnsi="Verdana"/>
        </w:rPr>
        <w:t xml:space="preserve"> in particular for </w:t>
      </w:r>
      <w:r w:rsidR="00785A2A">
        <w:rPr>
          <w:rFonts w:ascii="Verdana" w:hAnsi="Verdana"/>
        </w:rPr>
        <w:t>unaccompanied</w:t>
      </w:r>
      <w:r w:rsidR="00B73BC1">
        <w:rPr>
          <w:rFonts w:ascii="Verdana" w:hAnsi="Verdana"/>
        </w:rPr>
        <w:t xml:space="preserve"> children </w:t>
      </w:r>
      <w:r w:rsidR="00785A2A">
        <w:rPr>
          <w:rFonts w:ascii="Verdana" w:hAnsi="Verdana"/>
        </w:rPr>
        <w:t>whose ‘looked after’ status is removed</w:t>
      </w:r>
      <w:r w:rsidR="00B73BC1">
        <w:rPr>
          <w:rFonts w:ascii="Verdana" w:hAnsi="Verdana"/>
        </w:rPr>
        <w:t xml:space="preserve">, victims of modern trafficking and </w:t>
      </w:r>
      <w:r w:rsidR="0043786A">
        <w:rPr>
          <w:rFonts w:ascii="Verdana" w:hAnsi="Verdana"/>
        </w:rPr>
        <w:t xml:space="preserve">refugees and people seeking asylum who have been denied </w:t>
      </w:r>
      <w:r w:rsidR="00FD783C">
        <w:rPr>
          <w:rFonts w:ascii="Verdana" w:hAnsi="Verdana"/>
        </w:rPr>
        <w:t xml:space="preserve">access to asylum </w:t>
      </w:r>
      <w:r w:rsidR="003546FC">
        <w:rPr>
          <w:rFonts w:ascii="Verdana" w:hAnsi="Verdana"/>
        </w:rPr>
        <w:t>procedures</w:t>
      </w:r>
      <w:r w:rsidR="00FD783C">
        <w:rPr>
          <w:rFonts w:ascii="Verdana" w:hAnsi="Verdana"/>
        </w:rPr>
        <w:t xml:space="preserve"> and have been refused alternat</w:t>
      </w:r>
      <w:r w:rsidR="003546FC">
        <w:rPr>
          <w:rFonts w:ascii="Verdana" w:hAnsi="Verdana"/>
        </w:rPr>
        <w:t>ive form of leave to remain.</w:t>
      </w:r>
      <w:r w:rsidR="003546FC">
        <w:rPr>
          <w:rStyle w:val="FootnoteReference"/>
          <w:rFonts w:ascii="Verdana" w:hAnsi="Verdana"/>
        </w:rPr>
        <w:footnoteReference w:id="43"/>
      </w:r>
    </w:p>
    <w:p w14:paraId="45F5E3D1" w14:textId="77777777" w:rsidR="00995C83" w:rsidRPr="0044371D" w:rsidRDefault="00995C83" w:rsidP="00B36C6A">
      <w:pPr>
        <w:pStyle w:val="BasicParagraph"/>
        <w:suppressAutoHyphens/>
        <w:spacing w:line="276" w:lineRule="auto"/>
        <w:rPr>
          <w:rFonts w:ascii="Verdana" w:hAnsi="Verdana"/>
        </w:rPr>
      </w:pPr>
    </w:p>
    <w:p w14:paraId="0B0AE6C8" w14:textId="77777777" w:rsidR="00634BF7" w:rsidRDefault="00E56451" w:rsidP="00B36C6A">
      <w:pPr>
        <w:pStyle w:val="BasicParagraph"/>
        <w:numPr>
          <w:ilvl w:val="1"/>
          <w:numId w:val="14"/>
        </w:numPr>
        <w:suppressAutoHyphens/>
        <w:spacing w:line="276" w:lineRule="auto"/>
        <w:rPr>
          <w:rFonts w:ascii="Verdana" w:hAnsi="Verdana"/>
        </w:rPr>
      </w:pPr>
      <w:r w:rsidRPr="00DF2F34">
        <w:rPr>
          <w:rFonts w:ascii="Verdana" w:hAnsi="Verdana"/>
        </w:rPr>
        <w:t>T</w:t>
      </w:r>
      <w:r w:rsidR="00BE3426" w:rsidRPr="00DF2F34">
        <w:rPr>
          <w:rFonts w:ascii="Verdana" w:hAnsi="Verdana"/>
        </w:rPr>
        <w:t>he</w:t>
      </w:r>
      <w:r w:rsidR="00CA490E" w:rsidRPr="00DF2F34">
        <w:rPr>
          <w:rFonts w:ascii="Verdana" w:hAnsi="Verdana"/>
        </w:rPr>
        <w:t xml:space="preserve"> NIHRC </w:t>
      </w:r>
      <w:r w:rsidR="00C54593" w:rsidRPr="00DF2F34">
        <w:rPr>
          <w:rFonts w:ascii="Verdana" w:hAnsi="Verdana"/>
        </w:rPr>
        <w:t>believes</w:t>
      </w:r>
      <w:r w:rsidR="00A33B4A" w:rsidRPr="00DF2F34">
        <w:rPr>
          <w:rFonts w:ascii="Verdana" w:hAnsi="Verdana"/>
        </w:rPr>
        <w:t xml:space="preserve"> </w:t>
      </w:r>
      <w:r w:rsidR="00045C42" w:rsidRPr="00DF2F34">
        <w:rPr>
          <w:rFonts w:ascii="Verdana" w:hAnsi="Verdana"/>
        </w:rPr>
        <w:t>that the Directive</w:t>
      </w:r>
      <w:r w:rsidR="00A904A1" w:rsidRPr="00DF2F34">
        <w:rPr>
          <w:rFonts w:ascii="Verdana" w:hAnsi="Verdana"/>
        </w:rPr>
        <w:t>s</w:t>
      </w:r>
      <w:r w:rsidR="00045C42" w:rsidRPr="00DF2F34">
        <w:rPr>
          <w:rFonts w:ascii="Verdana" w:hAnsi="Verdana"/>
        </w:rPr>
        <w:t xml:space="preserve"> </w:t>
      </w:r>
      <w:r w:rsidRPr="00DF2F34">
        <w:rPr>
          <w:rFonts w:ascii="Verdana" w:hAnsi="Verdana"/>
        </w:rPr>
        <w:t xml:space="preserve">referenced above </w:t>
      </w:r>
      <w:r w:rsidR="00045C42" w:rsidRPr="00DF2F34">
        <w:rPr>
          <w:rFonts w:ascii="Verdana" w:hAnsi="Verdana"/>
        </w:rPr>
        <w:t>can be read as falling within the protection afforded b</w:t>
      </w:r>
      <w:r w:rsidR="00805D1B">
        <w:rPr>
          <w:rFonts w:ascii="Verdana" w:hAnsi="Verdana"/>
        </w:rPr>
        <w:t xml:space="preserve"> </w:t>
      </w:r>
      <w:r w:rsidR="00045C42" w:rsidRPr="00DF2F34">
        <w:rPr>
          <w:rFonts w:ascii="Verdana" w:hAnsi="Verdana"/>
        </w:rPr>
        <w:t>Article 2</w:t>
      </w:r>
      <w:r w:rsidRPr="00DF2F34">
        <w:rPr>
          <w:rFonts w:ascii="Verdana" w:hAnsi="Verdana"/>
        </w:rPr>
        <w:t xml:space="preserve"> </w:t>
      </w:r>
      <w:r w:rsidR="00805D1B">
        <w:rPr>
          <w:rFonts w:ascii="Verdana" w:hAnsi="Verdana"/>
        </w:rPr>
        <w:t xml:space="preserve">WF </w:t>
      </w:r>
      <w:r w:rsidRPr="00DF2F34">
        <w:rPr>
          <w:rFonts w:ascii="Verdana" w:hAnsi="Verdana"/>
        </w:rPr>
        <w:t xml:space="preserve">for </w:t>
      </w:r>
      <w:proofErr w:type="gramStart"/>
      <w:r w:rsidRPr="00DF2F34">
        <w:rPr>
          <w:rFonts w:ascii="Verdana" w:hAnsi="Verdana"/>
        </w:rPr>
        <w:t>a number of</w:t>
      </w:r>
      <w:proofErr w:type="gramEnd"/>
      <w:r w:rsidRPr="00DF2F34">
        <w:rPr>
          <w:rFonts w:ascii="Verdana" w:hAnsi="Verdana"/>
        </w:rPr>
        <w:t xml:space="preserve"> reasons</w:t>
      </w:r>
      <w:r w:rsidR="00045C42" w:rsidRPr="00DF2F34">
        <w:rPr>
          <w:rFonts w:ascii="Verdana" w:hAnsi="Verdana"/>
        </w:rPr>
        <w:t>.</w:t>
      </w:r>
      <w:r w:rsidR="008A1CCC" w:rsidRPr="00DF2F34" w:rsidDel="00C2051C">
        <w:rPr>
          <w:rFonts w:ascii="Verdana" w:hAnsi="Verdana"/>
        </w:rPr>
        <w:t xml:space="preserve"> </w:t>
      </w:r>
      <w:r w:rsidR="00C2051C" w:rsidRPr="00DF2F34">
        <w:rPr>
          <w:rFonts w:ascii="Verdana" w:hAnsi="Verdana"/>
        </w:rPr>
        <w:t>First of all</w:t>
      </w:r>
      <w:r w:rsidR="00E11470" w:rsidRPr="00DF2F34">
        <w:rPr>
          <w:rFonts w:ascii="Verdana" w:hAnsi="Verdana"/>
        </w:rPr>
        <w:t xml:space="preserve">, </w:t>
      </w:r>
      <w:r w:rsidR="005950F2" w:rsidRPr="00DF2F34">
        <w:rPr>
          <w:rFonts w:ascii="Verdana" w:hAnsi="Verdana"/>
        </w:rPr>
        <w:t>the Belfast (Good Friday) Agreement provides that the “British Government will complete incorporation into NI law of the ECH</w:t>
      </w:r>
      <w:r w:rsidR="00006733" w:rsidRPr="00DF2F34">
        <w:rPr>
          <w:rFonts w:ascii="Verdana" w:hAnsi="Verdana"/>
        </w:rPr>
        <w:t>R, with direct access to the courts and remedies for breach of the convention, including the power for the courts to overrule Assembly legislation on grounds of inconsistency”.</w:t>
      </w:r>
      <w:r w:rsidR="00006733" w:rsidRPr="00006733">
        <w:rPr>
          <w:rFonts w:ascii="Verdana" w:hAnsi="Verdana"/>
          <w:vertAlign w:val="superscript"/>
        </w:rPr>
        <w:footnoteReference w:id="44"/>
      </w:r>
      <w:r w:rsidR="00006733" w:rsidRPr="00DF2F34">
        <w:rPr>
          <w:rFonts w:ascii="Verdana" w:hAnsi="Verdana"/>
        </w:rPr>
        <w:t xml:space="preserve"> The UK Government </w:t>
      </w:r>
      <w:r w:rsidR="00FA60F6" w:rsidRPr="00DF2F34">
        <w:rPr>
          <w:rFonts w:ascii="Verdana" w:hAnsi="Verdana"/>
        </w:rPr>
        <w:t xml:space="preserve">recently </w:t>
      </w:r>
      <w:r w:rsidR="00997686" w:rsidRPr="00DF2F34">
        <w:rPr>
          <w:rFonts w:ascii="Verdana" w:hAnsi="Verdana"/>
        </w:rPr>
        <w:t xml:space="preserve">reaffirmed </w:t>
      </w:r>
      <w:r w:rsidR="00DE072A" w:rsidRPr="00DF2F34">
        <w:rPr>
          <w:rFonts w:ascii="Verdana" w:hAnsi="Verdana"/>
        </w:rPr>
        <w:t>that “</w:t>
      </w:r>
      <w:r w:rsidR="00D16A0D" w:rsidRPr="00DF2F34">
        <w:rPr>
          <w:rFonts w:ascii="Verdana" w:hAnsi="Verdana"/>
        </w:rPr>
        <w:t>The key rights and equality provisions in the Agreement are supported by the European Convention on Human Rights</w:t>
      </w:r>
      <w:r w:rsidR="007C32FF" w:rsidRPr="00DF2F34">
        <w:rPr>
          <w:rFonts w:ascii="Verdana" w:hAnsi="Verdana"/>
        </w:rPr>
        <w:t>”</w:t>
      </w:r>
      <w:r w:rsidR="00FA60F6" w:rsidRPr="00DF2F34">
        <w:rPr>
          <w:rFonts w:ascii="Verdana" w:hAnsi="Verdana"/>
        </w:rPr>
        <w:t>.</w:t>
      </w:r>
      <w:r w:rsidR="00997686">
        <w:rPr>
          <w:rStyle w:val="FootnoteReference"/>
          <w:rFonts w:ascii="Verdana" w:hAnsi="Verdana"/>
        </w:rPr>
        <w:footnoteReference w:id="45"/>
      </w:r>
      <w:r w:rsidR="00D12A48" w:rsidRPr="00DF2F34">
        <w:rPr>
          <w:rFonts w:ascii="Verdana" w:hAnsi="Verdana"/>
        </w:rPr>
        <w:t xml:space="preserve"> </w:t>
      </w:r>
    </w:p>
    <w:p w14:paraId="3C44472C" w14:textId="77777777" w:rsidR="00634BF7" w:rsidRDefault="00634BF7" w:rsidP="00634BF7">
      <w:pPr>
        <w:pStyle w:val="ListParagraph"/>
        <w:rPr>
          <w:rFonts w:ascii="Verdana" w:hAnsi="Verdana"/>
        </w:rPr>
      </w:pPr>
    </w:p>
    <w:p w14:paraId="6039AFA7" w14:textId="0D9AE9E0" w:rsidR="00E11470" w:rsidRPr="00DF2F34" w:rsidRDefault="002D1FDC" w:rsidP="00B36C6A">
      <w:pPr>
        <w:pStyle w:val="BasicParagraph"/>
        <w:numPr>
          <w:ilvl w:val="1"/>
          <w:numId w:val="14"/>
        </w:numPr>
        <w:suppressAutoHyphens/>
        <w:spacing w:line="276" w:lineRule="auto"/>
        <w:rPr>
          <w:rFonts w:ascii="Verdana" w:hAnsi="Verdana"/>
        </w:rPr>
      </w:pPr>
      <w:r w:rsidRPr="00DF2F34">
        <w:rPr>
          <w:rFonts w:ascii="Verdana" w:hAnsi="Verdana"/>
        </w:rPr>
        <w:t>As stated above in para 2.7, t</w:t>
      </w:r>
      <w:r w:rsidR="00E1037F" w:rsidRPr="00DF2F34">
        <w:rPr>
          <w:rFonts w:ascii="Verdana" w:hAnsi="Verdana"/>
        </w:rPr>
        <w:t>he</w:t>
      </w:r>
      <w:r w:rsidR="00D12A48" w:rsidRPr="00DF2F34">
        <w:rPr>
          <w:rFonts w:ascii="Verdana" w:hAnsi="Verdana"/>
        </w:rPr>
        <w:t xml:space="preserve"> NIHRC and ECNI have</w:t>
      </w:r>
      <w:r w:rsidR="00E1037F" w:rsidRPr="00DF2F34">
        <w:rPr>
          <w:rFonts w:ascii="Verdana" w:hAnsi="Verdana"/>
        </w:rPr>
        <w:t xml:space="preserve"> therefore</w:t>
      </w:r>
      <w:r w:rsidR="00D12A48" w:rsidRPr="00DF2F34">
        <w:rPr>
          <w:rFonts w:ascii="Verdana" w:hAnsi="Verdana"/>
        </w:rPr>
        <w:t xml:space="preserve"> adopted the working assumption that the non-diminution commitment in Article 2 </w:t>
      </w:r>
      <w:r w:rsidR="00805D1B">
        <w:rPr>
          <w:rFonts w:ascii="Verdana" w:hAnsi="Verdana"/>
        </w:rPr>
        <w:t>WF</w:t>
      </w:r>
      <w:r w:rsidR="00D12A48" w:rsidRPr="00DF2F34">
        <w:rPr>
          <w:rFonts w:ascii="Verdana" w:hAnsi="Verdana"/>
        </w:rPr>
        <w:t xml:space="preserve"> encompasses the full range of rights set out in the ECHR, to the extent that they are underpinned by EU law. </w:t>
      </w:r>
      <w:r w:rsidR="00D7359A" w:rsidRPr="00DF2F34">
        <w:rPr>
          <w:rFonts w:ascii="Verdana" w:hAnsi="Verdana" w:cs="Arial"/>
          <w:color w:val="232120"/>
        </w:rPr>
        <w:t xml:space="preserve">Of </w:t>
      </w:r>
      <w:proofErr w:type="gramStart"/>
      <w:r w:rsidR="00D7359A" w:rsidRPr="00DF2F34">
        <w:rPr>
          <w:rFonts w:ascii="Verdana" w:hAnsi="Verdana" w:cs="Arial"/>
          <w:color w:val="232120"/>
        </w:rPr>
        <w:t>particular relevance</w:t>
      </w:r>
      <w:proofErr w:type="gramEnd"/>
      <w:r w:rsidR="00683C70" w:rsidRPr="00DF2F34">
        <w:rPr>
          <w:rFonts w:ascii="Verdana" w:hAnsi="Verdana" w:cs="Arial"/>
          <w:color w:val="232120"/>
        </w:rPr>
        <w:t xml:space="preserve"> to trafficked persons</w:t>
      </w:r>
      <w:r w:rsidR="00D7359A" w:rsidRPr="00DF2F34">
        <w:rPr>
          <w:rFonts w:ascii="Verdana" w:hAnsi="Verdana" w:cs="Arial"/>
          <w:color w:val="232120"/>
        </w:rPr>
        <w:t xml:space="preserve"> is Article 4 of the ECHR</w:t>
      </w:r>
      <w:r w:rsidR="00A3375F" w:rsidRPr="00DF2F34">
        <w:rPr>
          <w:rFonts w:ascii="Verdana" w:hAnsi="Verdana" w:cs="Arial"/>
          <w:color w:val="232120"/>
        </w:rPr>
        <w:t>:</w:t>
      </w:r>
      <w:r w:rsidR="00D7359A" w:rsidRPr="00DF2F34">
        <w:rPr>
          <w:rFonts w:ascii="Verdana" w:hAnsi="Verdana" w:cs="Arial"/>
          <w:color w:val="232120"/>
        </w:rPr>
        <w:t xml:space="preserve"> the right to be free from slavery, servitude, forced or compulsory labour. </w:t>
      </w:r>
      <w:r w:rsidR="00A3375F" w:rsidRPr="00DF2F34">
        <w:rPr>
          <w:rFonts w:ascii="Verdana" w:hAnsi="Verdana" w:cs="Arial"/>
          <w:color w:val="232120"/>
        </w:rPr>
        <w:t>This</w:t>
      </w:r>
      <w:r w:rsidR="00D7359A" w:rsidRPr="00DF2F34">
        <w:rPr>
          <w:rFonts w:ascii="Verdana" w:hAnsi="Verdana" w:cs="Arial"/>
          <w:color w:val="232120"/>
        </w:rPr>
        <w:t xml:space="preserve"> include</w:t>
      </w:r>
      <w:r w:rsidR="00A3375F" w:rsidRPr="00DF2F34">
        <w:rPr>
          <w:rFonts w:ascii="Verdana" w:hAnsi="Verdana" w:cs="Arial"/>
          <w:color w:val="232120"/>
        </w:rPr>
        <w:t>s</w:t>
      </w:r>
      <w:r w:rsidR="00D7359A" w:rsidRPr="00DF2F34">
        <w:rPr>
          <w:rFonts w:ascii="Verdana" w:hAnsi="Verdana" w:cs="Arial"/>
          <w:color w:val="232120"/>
        </w:rPr>
        <w:t xml:space="preserve"> </w:t>
      </w:r>
      <w:r w:rsidR="00D7359A" w:rsidRPr="00DF2F34">
        <w:rPr>
          <w:rFonts w:ascii="Verdana" w:hAnsi="Verdana" w:cs="Arial"/>
          <w:color w:val="auto"/>
        </w:rPr>
        <w:t xml:space="preserve">positive obligations, including a duty </w:t>
      </w:r>
      <w:r w:rsidR="00A3375F" w:rsidRPr="00DF2F34">
        <w:rPr>
          <w:rFonts w:ascii="Verdana" w:hAnsi="Verdana" w:cs="Arial"/>
          <w:color w:val="auto"/>
        </w:rPr>
        <w:t xml:space="preserve">on states </w:t>
      </w:r>
      <w:r w:rsidR="00D7359A" w:rsidRPr="00DF2F34">
        <w:rPr>
          <w:rFonts w:ascii="Verdana" w:hAnsi="Verdana" w:cs="Arial"/>
          <w:color w:val="auto"/>
        </w:rPr>
        <w:t>to take operational measures, such as to assist victims in their physical, psychological</w:t>
      </w:r>
      <w:r w:rsidR="000966EF" w:rsidRPr="00DF2F34">
        <w:rPr>
          <w:rFonts w:ascii="Verdana" w:hAnsi="Verdana" w:cs="Arial"/>
          <w:color w:val="auto"/>
        </w:rPr>
        <w:t>,</w:t>
      </w:r>
      <w:r w:rsidR="00D7359A" w:rsidRPr="00DF2F34">
        <w:rPr>
          <w:rFonts w:ascii="Verdana" w:hAnsi="Verdana" w:cs="Arial"/>
          <w:color w:val="auto"/>
        </w:rPr>
        <w:t xml:space="preserve"> and social recovery.</w:t>
      </w:r>
      <w:r w:rsidR="00D7359A" w:rsidRPr="00683C70">
        <w:rPr>
          <w:rStyle w:val="FootnoteReference"/>
          <w:rFonts w:ascii="Verdana" w:hAnsi="Verdana" w:cs="Arial"/>
          <w:color w:val="auto"/>
        </w:rPr>
        <w:footnoteReference w:id="46"/>
      </w:r>
      <w:r w:rsidR="00D7359A" w:rsidRPr="00DF2F34">
        <w:rPr>
          <w:rFonts w:ascii="Verdana" w:hAnsi="Verdana" w:cs="Arial"/>
          <w:color w:val="auto"/>
        </w:rPr>
        <w:t xml:space="preserve"> </w:t>
      </w:r>
      <w:r w:rsidR="00D7359A" w:rsidRPr="00DF2F34">
        <w:rPr>
          <w:rFonts w:ascii="Verdana" w:hAnsi="Verdana" w:cs="Gotham Book"/>
          <w:color w:val="auto"/>
        </w:rPr>
        <w:t>The incorporation of the ECHR by the UK's Human Rights Act 1998 means that rights under Article 4 ECHR should not be diminished by Brexit. Should the government seek to depart from the standards of Article 4 (in this instance failing to provide non-emergency healthcare for trafficking victims),</w:t>
      </w:r>
      <w:r w:rsidR="006571F1" w:rsidRPr="00DF2F34">
        <w:rPr>
          <w:rFonts w:ascii="Verdana" w:hAnsi="Verdana" w:cs="Gotham Book"/>
          <w:color w:val="auto"/>
        </w:rPr>
        <w:t xml:space="preserve"> </w:t>
      </w:r>
      <w:r w:rsidR="00D7359A" w:rsidRPr="00DF2F34">
        <w:rPr>
          <w:rFonts w:ascii="Verdana" w:hAnsi="Verdana" w:cs="Gotham Book"/>
          <w:color w:val="auto"/>
        </w:rPr>
        <w:t xml:space="preserve">Article 2 </w:t>
      </w:r>
      <w:r w:rsidR="00621DFE">
        <w:rPr>
          <w:rFonts w:ascii="Verdana" w:hAnsi="Verdana" w:cs="Gotham Book"/>
          <w:color w:val="auto"/>
        </w:rPr>
        <w:t xml:space="preserve">WF </w:t>
      </w:r>
      <w:r w:rsidR="00D7359A" w:rsidRPr="00DF2F34">
        <w:rPr>
          <w:rFonts w:ascii="Verdana" w:hAnsi="Verdana" w:cs="Gotham Book"/>
          <w:color w:val="auto"/>
        </w:rPr>
        <w:t>comes into play insofar as the right is also protected by the EU Trafficking Directive.</w:t>
      </w:r>
    </w:p>
    <w:p w14:paraId="6C89485D" w14:textId="77777777" w:rsidR="004038C9" w:rsidRDefault="004038C9" w:rsidP="00B36C6A">
      <w:pPr>
        <w:pStyle w:val="ListParagraph"/>
        <w:spacing w:line="276" w:lineRule="auto"/>
        <w:rPr>
          <w:rFonts w:ascii="Verdana" w:hAnsi="Verdana"/>
        </w:rPr>
      </w:pPr>
    </w:p>
    <w:p w14:paraId="7055A931" w14:textId="445C64D9" w:rsidR="00C575E5" w:rsidRPr="00BF5EB2" w:rsidRDefault="006571F1" w:rsidP="00B36C6A">
      <w:pPr>
        <w:pStyle w:val="BasicParagraph"/>
        <w:numPr>
          <w:ilvl w:val="1"/>
          <w:numId w:val="14"/>
        </w:numPr>
        <w:suppressAutoHyphens/>
        <w:spacing w:line="276" w:lineRule="auto"/>
        <w:rPr>
          <w:rFonts w:ascii="Verdana" w:hAnsi="Verdana"/>
        </w:rPr>
      </w:pPr>
      <w:r>
        <w:rPr>
          <w:rFonts w:ascii="Verdana" w:hAnsi="Verdana"/>
        </w:rPr>
        <w:t xml:space="preserve">Additionally, </w:t>
      </w:r>
      <w:r w:rsidR="00EA2116" w:rsidRPr="00A33B4A">
        <w:rPr>
          <w:rFonts w:ascii="Verdana" w:hAnsi="Verdana"/>
        </w:rPr>
        <w:t xml:space="preserve">trafficking victims </w:t>
      </w:r>
      <w:r w:rsidR="007D4D47" w:rsidRPr="00A33B4A">
        <w:rPr>
          <w:rFonts w:ascii="Verdana" w:hAnsi="Verdana"/>
        </w:rPr>
        <w:t xml:space="preserve">are </w:t>
      </w:r>
      <w:r w:rsidR="007D4D47" w:rsidRPr="00A33B4A">
        <w:rPr>
          <w:rStyle w:val="A6"/>
          <w:rFonts w:ascii="Verdana" w:hAnsi="Verdana" w:cs="Gotham Book"/>
          <w:sz w:val="24"/>
          <w:szCs w:val="24"/>
        </w:rPr>
        <w:t xml:space="preserve">captured within </w:t>
      </w:r>
      <w:r w:rsidR="00736BB1">
        <w:rPr>
          <w:rStyle w:val="A6"/>
          <w:rFonts w:ascii="Verdana" w:hAnsi="Verdana" w:cs="Gotham Book"/>
          <w:sz w:val="24"/>
          <w:szCs w:val="24"/>
        </w:rPr>
        <w:t xml:space="preserve">the commitment to civil and religious </w:t>
      </w:r>
      <w:r w:rsidR="00A213F6">
        <w:rPr>
          <w:rStyle w:val="A6"/>
          <w:rFonts w:ascii="Verdana" w:hAnsi="Verdana" w:cs="Gotham Book"/>
          <w:sz w:val="24"/>
          <w:szCs w:val="24"/>
        </w:rPr>
        <w:t>liberties of</w:t>
      </w:r>
      <w:r w:rsidR="007D4D47" w:rsidRPr="00A33B4A">
        <w:rPr>
          <w:rStyle w:val="A6"/>
          <w:rFonts w:ascii="Verdana" w:hAnsi="Verdana" w:cs="Gotham Book"/>
          <w:sz w:val="24"/>
          <w:szCs w:val="24"/>
        </w:rPr>
        <w:t xml:space="preserve"> “everyone in the community”</w:t>
      </w:r>
      <w:r w:rsidR="00A213F6">
        <w:rPr>
          <w:rStyle w:val="A6"/>
          <w:rFonts w:ascii="Verdana" w:hAnsi="Verdana" w:cs="Gotham Book"/>
          <w:sz w:val="24"/>
          <w:szCs w:val="24"/>
        </w:rPr>
        <w:t>,</w:t>
      </w:r>
      <w:r w:rsidR="007D4D47" w:rsidRPr="00A33B4A">
        <w:rPr>
          <w:rStyle w:val="A6"/>
          <w:rFonts w:ascii="Verdana" w:hAnsi="Verdana" w:cs="Gotham Book"/>
          <w:sz w:val="24"/>
          <w:szCs w:val="24"/>
        </w:rPr>
        <w:t xml:space="preserve"> under the rights safeguards and equality of opportunity chapter in the Belfast (Good Friday Agreement) 1998 (as discussed in para </w:t>
      </w:r>
      <w:r w:rsidR="000E2005">
        <w:rPr>
          <w:rStyle w:val="A6"/>
          <w:rFonts w:ascii="Verdana" w:hAnsi="Verdana" w:cs="Gotham Book"/>
          <w:sz w:val="24"/>
          <w:szCs w:val="24"/>
        </w:rPr>
        <w:t>2.6</w:t>
      </w:r>
      <w:r w:rsidR="007D4D47" w:rsidRPr="00A33B4A">
        <w:rPr>
          <w:rStyle w:val="A6"/>
          <w:rFonts w:ascii="Verdana" w:hAnsi="Verdana" w:cs="Gotham Book"/>
          <w:sz w:val="24"/>
          <w:szCs w:val="24"/>
        </w:rPr>
        <w:t>)</w:t>
      </w:r>
      <w:r w:rsidR="00C63543" w:rsidRPr="00A33B4A">
        <w:rPr>
          <w:rFonts w:ascii="Verdana" w:hAnsi="Verdana"/>
        </w:rPr>
        <w:t xml:space="preserve">. </w:t>
      </w:r>
      <w:r w:rsidR="00872F10">
        <w:rPr>
          <w:rFonts w:ascii="Verdana" w:hAnsi="Verdana"/>
        </w:rPr>
        <w:t>The subsequent list of rights in this chapter includes the right to equality of opportunity.</w:t>
      </w:r>
      <w:r w:rsidR="00BF5EB2">
        <w:rPr>
          <w:rFonts w:ascii="Verdana" w:hAnsi="Verdana"/>
        </w:rPr>
        <w:t xml:space="preserve"> </w:t>
      </w:r>
      <w:r w:rsidR="00BF5EB2" w:rsidRPr="00BF5EB2">
        <w:rPr>
          <w:rFonts w:ascii="Verdana" w:hAnsi="Verdana"/>
        </w:rPr>
        <w:t>Article 1 of the EU Trafficking Directive notes that the Directive “introduces common provisions, taking into account the gender perspective, to strengthen the prevention of this crime and the protection of the victims thereof”.</w:t>
      </w:r>
      <w:r w:rsidR="00BF5EB2">
        <w:rPr>
          <w:rStyle w:val="FootnoteReference"/>
          <w:rFonts w:ascii="Verdana" w:hAnsi="Verdana"/>
        </w:rPr>
        <w:footnoteReference w:id="47"/>
      </w:r>
      <w:r w:rsidR="00BF5EB2" w:rsidRPr="00BF5EB2">
        <w:rPr>
          <w:rFonts w:ascii="Verdana" w:hAnsi="Verdana"/>
        </w:rPr>
        <w:t xml:space="preserve">  Recitals to the Victims Directive acknowledge victims of human trafficking as victims of gender-based violence and discrimination.</w:t>
      </w:r>
      <w:r w:rsidR="000C4799">
        <w:rPr>
          <w:rStyle w:val="FootnoteReference"/>
          <w:rFonts w:ascii="Verdana" w:hAnsi="Verdana"/>
        </w:rPr>
        <w:footnoteReference w:id="48"/>
      </w:r>
      <w:r w:rsidR="00BF5EB2" w:rsidRPr="00BF5EB2">
        <w:rPr>
          <w:rFonts w:ascii="Verdana" w:hAnsi="Verdana"/>
        </w:rPr>
        <w:t xml:space="preserve"> The EU Trafficking Directive arguably comes under the scope of Article 2 </w:t>
      </w:r>
      <w:r w:rsidR="00621DFE">
        <w:rPr>
          <w:rFonts w:ascii="Verdana" w:hAnsi="Verdana"/>
        </w:rPr>
        <w:t xml:space="preserve">WF </w:t>
      </w:r>
      <w:r w:rsidR="00BF5EB2" w:rsidRPr="00BF5EB2">
        <w:rPr>
          <w:rFonts w:ascii="Verdana" w:hAnsi="Verdana"/>
        </w:rPr>
        <w:t>under the right to equality of opportunity</w:t>
      </w:r>
      <w:r w:rsidR="00B66427">
        <w:rPr>
          <w:rFonts w:ascii="Verdana" w:hAnsi="Verdana"/>
        </w:rPr>
        <w:t>.</w:t>
      </w:r>
    </w:p>
    <w:p w14:paraId="2C6FA9DA" w14:textId="77777777" w:rsidR="00275A5B" w:rsidRPr="00D7359A" w:rsidRDefault="00275A5B" w:rsidP="00B36C6A">
      <w:pPr>
        <w:spacing w:line="276" w:lineRule="auto"/>
        <w:rPr>
          <w:rFonts w:ascii="Verdana" w:hAnsi="Verdana"/>
        </w:rPr>
      </w:pPr>
    </w:p>
    <w:p w14:paraId="743F1FA8" w14:textId="4CF27984" w:rsidR="00C2051C" w:rsidRDefault="00C2051C" w:rsidP="00B36C6A">
      <w:pPr>
        <w:pStyle w:val="BasicParagraph"/>
        <w:numPr>
          <w:ilvl w:val="1"/>
          <w:numId w:val="14"/>
        </w:numPr>
        <w:suppressAutoHyphens/>
        <w:spacing w:line="276" w:lineRule="auto"/>
        <w:rPr>
          <w:rFonts w:ascii="Verdana" w:hAnsi="Verdana"/>
        </w:rPr>
      </w:pPr>
      <w:r w:rsidRPr="00FE31A4">
        <w:rPr>
          <w:rFonts w:ascii="Verdana" w:hAnsi="Verdana"/>
        </w:rPr>
        <w:t>Fi</w:t>
      </w:r>
      <w:r>
        <w:rPr>
          <w:rFonts w:ascii="Verdana" w:hAnsi="Verdana"/>
        </w:rPr>
        <w:t>nally</w:t>
      </w:r>
      <w:r w:rsidRPr="00FE31A4">
        <w:rPr>
          <w:rFonts w:ascii="Verdana" w:hAnsi="Verdana"/>
        </w:rPr>
        <w:t xml:space="preserve">, the relevant chapter of the Belfast (Good Friday) Agreement 1998 protects the rights of victims “to remember as well as to contribute to a changed society”. </w:t>
      </w:r>
      <w:r w:rsidRPr="00FC74B6">
        <w:rPr>
          <w:rFonts w:ascii="Verdana" w:hAnsi="Verdana"/>
        </w:rPr>
        <w:t xml:space="preserve">The UK Government has already accepted that the no-diminution commitment of the </w:t>
      </w:r>
      <w:r>
        <w:rPr>
          <w:rFonts w:ascii="Verdana" w:hAnsi="Verdana"/>
        </w:rPr>
        <w:t>WF</w:t>
      </w:r>
      <w:r w:rsidRPr="00FC74B6">
        <w:rPr>
          <w:rFonts w:ascii="Verdana" w:hAnsi="Verdana"/>
        </w:rPr>
        <w:t xml:space="preserve"> includes, but is not limited to, the </w:t>
      </w:r>
      <w:r>
        <w:rPr>
          <w:rFonts w:ascii="Verdana" w:hAnsi="Verdana"/>
        </w:rPr>
        <w:t xml:space="preserve">EU </w:t>
      </w:r>
      <w:r w:rsidRPr="00FC74B6">
        <w:rPr>
          <w:rFonts w:ascii="Verdana" w:hAnsi="Verdana"/>
        </w:rPr>
        <w:t>Victims’ Directive.</w:t>
      </w:r>
      <w:r>
        <w:rPr>
          <w:rStyle w:val="FootnoteReference"/>
          <w:rFonts w:ascii="Verdana" w:hAnsi="Verdana"/>
        </w:rPr>
        <w:footnoteReference w:id="49"/>
      </w:r>
      <w:r w:rsidRPr="00FC74B6">
        <w:rPr>
          <w:rFonts w:ascii="Verdana" w:hAnsi="Verdana"/>
        </w:rPr>
        <w:t xml:space="preserve"> The Victims’ Directive is closely linked to the Trafficking Directive in relation to specific areas of crime and protections afforded to victims</w:t>
      </w:r>
      <w:r>
        <w:rPr>
          <w:rStyle w:val="FootnoteReference"/>
          <w:rFonts w:ascii="Verdana" w:hAnsi="Verdana"/>
        </w:rPr>
        <w:footnoteReference w:id="50"/>
      </w:r>
      <w:r w:rsidRPr="00FC74B6">
        <w:rPr>
          <w:rFonts w:ascii="Verdana" w:hAnsi="Verdana"/>
        </w:rPr>
        <w:t xml:space="preserve"> </w:t>
      </w:r>
      <w:r>
        <w:rPr>
          <w:rFonts w:ascii="Verdana" w:hAnsi="Verdana"/>
        </w:rPr>
        <w:t xml:space="preserve">and </w:t>
      </w:r>
      <w:r w:rsidRPr="00FC74B6">
        <w:rPr>
          <w:rFonts w:ascii="Verdana" w:hAnsi="Verdana"/>
        </w:rPr>
        <w:t>does not distinguish between categories of victims.</w:t>
      </w:r>
      <w:r>
        <w:rPr>
          <w:rStyle w:val="FootnoteReference"/>
          <w:rFonts w:ascii="Verdana" w:hAnsi="Verdana"/>
        </w:rPr>
        <w:footnoteReference w:id="51"/>
      </w:r>
      <w:r w:rsidRPr="00FC74B6">
        <w:rPr>
          <w:rFonts w:ascii="Verdana" w:hAnsi="Verdana"/>
        </w:rPr>
        <w:t xml:space="preserve"> Since the Trafficking Directive protects a subset of victims in NI, the NIHRC believes it should fall within the ‘non-diminution’ commitment of Article 2</w:t>
      </w:r>
      <w:r w:rsidR="00621DFE">
        <w:rPr>
          <w:rFonts w:ascii="Verdana" w:hAnsi="Verdana"/>
        </w:rPr>
        <w:t xml:space="preserve"> WF</w:t>
      </w:r>
      <w:r w:rsidRPr="00FC74B6">
        <w:rPr>
          <w:rFonts w:ascii="Verdana" w:hAnsi="Verdana"/>
        </w:rPr>
        <w:t>.</w:t>
      </w:r>
      <w:r>
        <w:rPr>
          <w:rStyle w:val="FootnoteReference"/>
          <w:rFonts w:ascii="Verdana" w:hAnsi="Verdana"/>
        </w:rPr>
        <w:footnoteReference w:id="52"/>
      </w:r>
    </w:p>
    <w:p w14:paraId="3007316B" w14:textId="77777777" w:rsidR="00C2051C" w:rsidRDefault="00C2051C" w:rsidP="00B36C6A">
      <w:pPr>
        <w:pStyle w:val="ListParagraph"/>
        <w:spacing w:line="276" w:lineRule="auto"/>
        <w:rPr>
          <w:rFonts w:ascii="Verdana" w:hAnsi="Verdana"/>
        </w:rPr>
      </w:pPr>
    </w:p>
    <w:p w14:paraId="68A9584C" w14:textId="063D36A4" w:rsidR="007C54D8" w:rsidRPr="004702EC" w:rsidRDefault="00D93D64" w:rsidP="00B36C6A">
      <w:pPr>
        <w:pStyle w:val="BasicParagraph"/>
        <w:numPr>
          <w:ilvl w:val="1"/>
          <w:numId w:val="14"/>
        </w:numPr>
        <w:suppressAutoHyphens/>
        <w:spacing w:line="276" w:lineRule="auto"/>
        <w:rPr>
          <w:rFonts w:ascii="Verdana" w:hAnsi="Verdana"/>
          <w:b/>
        </w:rPr>
      </w:pPr>
      <w:r>
        <w:rPr>
          <w:rFonts w:ascii="Verdana" w:hAnsi="Verdana"/>
        </w:rPr>
        <w:t>In</w:t>
      </w:r>
      <w:r w:rsidR="00043A6D">
        <w:rPr>
          <w:rFonts w:ascii="Verdana" w:hAnsi="Verdana"/>
        </w:rPr>
        <w:t xml:space="preserve"> practice</w:t>
      </w:r>
      <w:r>
        <w:rPr>
          <w:rFonts w:ascii="Verdana" w:hAnsi="Verdana"/>
        </w:rPr>
        <w:t>, if</w:t>
      </w:r>
      <w:r w:rsidR="00A45D2A">
        <w:rPr>
          <w:rFonts w:ascii="Verdana" w:hAnsi="Verdana"/>
        </w:rPr>
        <w:t xml:space="preserve"> </w:t>
      </w:r>
      <w:r w:rsidR="00CD62A6">
        <w:rPr>
          <w:rFonts w:ascii="Verdana" w:hAnsi="Verdana"/>
        </w:rPr>
        <w:t>a</w:t>
      </w:r>
      <w:r w:rsidR="00A45D2A">
        <w:rPr>
          <w:rFonts w:ascii="Verdana" w:hAnsi="Verdana"/>
        </w:rPr>
        <w:t xml:space="preserve"> non-resident</w:t>
      </w:r>
      <w:r w:rsidR="006C7132" w:rsidRPr="00275A5B">
        <w:rPr>
          <w:rFonts w:ascii="Verdana" w:hAnsi="Verdana"/>
        </w:rPr>
        <w:t xml:space="preserve"> victim of trafficking</w:t>
      </w:r>
      <w:r w:rsidR="0090749B" w:rsidRPr="00275A5B">
        <w:rPr>
          <w:rFonts w:ascii="Verdana" w:hAnsi="Verdana"/>
        </w:rPr>
        <w:t xml:space="preserve"> </w:t>
      </w:r>
      <w:r w:rsidR="00A45D2A">
        <w:rPr>
          <w:rFonts w:ascii="Verdana" w:hAnsi="Verdana"/>
        </w:rPr>
        <w:t>is</w:t>
      </w:r>
      <w:r w:rsidR="0090749B" w:rsidRPr="00275A5B">
        <w:rPr>
          <w:rFonts w:ascii="Verdana" w:hAnsi="Verdana"/>
        </w:rPr>
        <w:t xml:space="preserve"> not able to access non-emergency </w:t>
      </w:r>
      <w:r w:rsidR="0090749B" w:rsidRPr="00C0673A">
        <w:rPr>
          <w:rFonts w:ascii="Verdana" w:hAnsi="Verdana"/>
        </w:rPr>
        <w:t>services</w:t>
      </w:r>
      <w:r w:rsidR="004333B6">
        <w:rPr>
          <w:rFonts w:ascii="Verdana" w:hAnsi="Verdana"/>
        </w:rPr>
        <w:t xml:space="preserve"> to the standard required by the Trafficking Directive</w:t>
      </w:r>
      <w:r w:rsidR="0090749B" w:rsidRPr="00C0673A">
        <w:rPr>
          <w:rFonts w:ascii="Verdana" w:hAnsi="Verdana"/>
        </w:rPr>
        <w:t xml:space="preserve">, this would </w:t>
      </w:r>
      <w:r w:rsidR="00881E7B" w:rsidRPr="00C0673A">
        <w:rPr>
          <w:rFonts w:ascii="Verdana" w:hAnsi="Verdana"/>
        </w:rPr>
        <w:t xml:space="preserve">represent a potential diminution of </w:t>
      </w:r>
      <w:r w:rsidR="00787578" w:rsidRPr="00C0673A">
        <w:rPr>
          <w:rFonts w:ascii="Verdana" w:hAnsi="Verdana"/>
        </w:rPr>
        <w:t xml:space="preserve">rights under </w:t>
      </w:r>
      <w:r w:rsidR="00621DFE">
        <w:rPr>
          <w:rFonts w:ascii="Verdana" w:hAnsi="Verdana"/>
        </w:rPr>
        <w:t>A</w:t>
      </w:r>
      <w:r w:rsidR="00787578" w:rsidRPr="00C0673A">
        <w:rPr>
          <w:rFonts w:ascii="Verdana" w:hAnsi="Verdana"/>
        </w:rPr>
        <w:t>rticle 2</w:t>
      </w:r>
      <w:r w:rsidR="00787578" w:rsidRPr="00C0673A" w:rsidDel="008024C7">
        <w:rPr>
          <w:rFonts w:ascii="Verdana" w:hAnsi="Verdana"/>
        </w:rPr>
        <w:t xml:space="preserve"> </w:t>
      </w:r>
      <w:r w:rsidR="008024C7">
        <w:rPr>
          <w:rFonts w:ascii="Verdana" w:hAnsi="Verdana"/>
        </w:rPr>
        <w:t>WF</w:t>
      </w:r>
      <w:r w:rsidR="00787578" w:rsidRPr="00C0673A">
        <w:rPr>
          <w:rFonts w:ascii="Verdana" w:hAnsi="Verdana"/>
        </w:rPr>
        <w:t xml:space="preserve">, </w:t>
      </w:r>
      <w:r w:rsidR="00787578" w:rsidRPr="00C0673A">
        <w:rPr>
          <w:rFonts w:ascii="Verdana" w:hAnsi="Verdana"/>
        </w:rPr>
        <w:lastRenderedPageBreak/>
        <w:t xml:space="preserve">since </w:t>
      </w:r>
      <w:r w:rsidR="006C6A4C" w:rsidRPr="00C0673A">
        <w:rPr>
          <w:rFonts w:ascii="Verdana" w:hAnsi="Verdana"/>
        </w:rPr>
        <w:t xml:space="preserve">the </w:t>
      </w:r>
      <w:r w:rsidR="002B5833" w:rsidRPr="00C0673A">
        <w:rPr>
          <w:rFonts w:ascii="Verdana" w:hAnsi="Verdana"/>
        </w:rPr>
        <w:t xml:space="preserve">protection would </w:t>
      </w:r>
      <w:r w:rsidR="00007B7E" w:rsidRPr="00C0673A">
        <w:rPr>
          <w:rFonts w:ascii="Verdana" w:hAnsi="Verdana"/>
        </w:rPr>
        <w:t xml:space="preserve">not have </w:t>
      </w:r>
      <w:r w:rsidR="00D452F7">
        <w:rPr>
          <w:rFonts w:ascii="Verdana" w:hAnsi="Verdana"/>
        </w:rPr>
        <w:t>been lost</w:t>
      </w:r>
      <w:r w:rsidR="00D452F7" w:rsidRPr="00C0673A">
        <w:rPr>
          <w:rFonts w:ascii="Verdana" w:hAnsi="Verdana"/>
        </w:rPr>
        <w:t xml:space="preserve"> </w:t>
      </w:r>
      <w:r w:rsidR="00007B7E" w:rsidRPr="00C0673A">
        <w:rPr>
          <w:rFonts w:ascii="Verdana" w:hAnsi="Verdana"/>
        </w:rPr>
        <w:t>‘but for’ the UK’s departure from the EU.</w:t>
      </w:r>
      <w:r w:rsidR="00453832">
        <w:rPr>
          <w:rFonts w:ascii="Verdana" w:hAnsi="Verdana"/>
        </w:rPr>
        <w:t xml:space="preserve"> The NIHRC intends to further investigate this </w:t>
      </w:r>
      <w:r w:rsidR="00E76DE4">
        <w:rPr>
          <w:rFonts w:ascii="Verdana" w:hAnsi="Verdana"/>
        </w:rPr>
        <w:t>issue and will engage with the relevant government departments across NI and the UK.</w:t>
      </w:r>
    </w:p>
    <w:p w14:paraId="70D2383B" w14:textId="77777777" w:rsidR="005B4B49" w:rsidRDefault="005B4B49" w:rsidP="004702EC">
      <w:pPr>
        <w:pStyle w:val="ListParagraph"/>
        <w:rPr>
          <w:rFonts w:ascii="Verdana" w:hAnsi="Verdana"/>
          <w:b/>
          <w:bCs/>
        </w:rPr>
      </w:pPr>
    </w:p>
    <w:p w14:paraId="1B291971" w14:textId="06ED0D5D" w:rsidR="00D57FA3" w:rsidRPr="00550350" w:rsidRDefault="005B4B49" w:rsidP="00CE6E14">
      <w:pPr>
        <w:pStyle w:val="BasicParagraph"/>
        <w:numPr>
          <w:ilvl w:val="1"/>
          <w:numId w:val="14"/>
        </w:numPr>
        <w:suppressAutoHyphens/>
        <w:spacing w:line="276" w:lineRule="auto"/>
        <w:rPr>
          <w:rFonts w:ascii="Verdana" w:hAnsi="Verdana"/>
          <w:b/>
          <w:bCs/>
        </w:rPr>
      </w:pPr>
      <w:r w:rsidRPr="00550350">
        <w:rPr>
          <w:rFonts w:ascii="Verdana" w:hAnsi="Verdana"/>
        </w:rPr>
        <w:t>From our en</w:t>
      </w:r>
      <w:r w:rsidR="001B0FB1" w:rsidRPr="00550350">
        <w:rPr>
          <w:rFonts w:ascii="Verdana" w:hAnsi="Verdana"/>
        </w:rPr>
        <w:t>g</w:t>
      </w:r>
      <w:r w:rsidRPr="00550350">
        <w:rPr>
          <w:rFonts w:ascii="Verdana" w:hAnsi="Verdana"/>
        </w:rPr>
        <w:t xml:space="preserve">agement with </w:t>
      </w:r>
      <w:proofErr w:type="gramStart"/>
      <w:r w:rsidRPr="00550350">
        <w:rPr>
          <w:rFonts w:ascii="Verdana" w:hAnsi="Verdana"/>
        </w:rPr>
        <w:t>stakeholders</w:t>
      </w:r>
      <w:proofErr w:type="gramEnd"/>
      <w:r w:rsidRPr="00550350">
        <w:rPr>
          <w:rFonts w:ascii="Verdana" w:hAnsi="Verdana"/>
        </w:rPr>
        <w:t xml:space="preserve"> </w:t>
      </w:r>
      <w:r w:rsidR="003D6997" w:rsidRPr="00550350">
        <w:rPr>
          <w:rFonts w:ascii="Verdana" w:hAnsi="Verdana"/>
        </w:rPr>
        <w:t xml:space="preserve">it appears there is a lack of clarity and confidence about the nature and limits of </w:t>
      </w:r>
      <w:r w:rsidR="004702EC" w:rsidRPr="00550350">
        <w:rPr>
          <w:rFonts w:ascii="Verdana" w:hAnsi="Verdana"/>
        </w:rPr>
        <w:t xml:space="preserve">the rights and entitlements </w:t>
      </w:r>
      <w:r w:rsidR="00445A44" w:rsidRPr="00550350">
        <w:rPr>
          <w:rFonts w:ascii="Verdana" w:hAnsi="Verdana"/>
        </w:rPr>
        <w:t xml:space="preserve">that potential and confirmed victims of human trafficking have in relation to accessing healthcare. </w:t>
      </w:r>
      <w:r w:rsidR="00FF37AF" w:rsidRPr="00550350">
        <w:rPr>
          <w:rFonts w:ascii="Verdana" w:hAnsi="Verdana"/>
        </w:rPr>
        <w:t>The Commission is aware of anecdotal evidence o</w:t>
      </w:r>
      <w:r w:rsidR="00287071" w:rsidRPr="00550350">
        <w:rPr>
          <w:rFonts w:ascii="Verdana" w:hAnsi="Verdana"/>
        </w:rPr>
        <w:t>f people</w:t>
      </w:r>
      <w:r w:rsidR="00FF37AF" w:rsidRPr="00550350">
        <w:rPr>
          <w:rFonts w:ascii="Verdana" w:hAnsi="Verdana"/>
        </w:rPr>
        <w:t xml:space="preserve"> encountering additional barriers to accessing healthcare, such as questions about immigration status </w:t>
      </w:r>
      <w:r w:rsidR="00287071" w:rsidRPr="00550350">
        <w:rPr>
          <w:rFonts w:ascii="Verdana" w:hAnsi="Verdana"/>
        </w:rPr>
        <w:t>whilst</w:t>
      </w:r>
      <w:r w:rsidR="00E2794B" w:rsidRPr="00550350">
        <w:rPr>
          <w:rFonts w:ascii="Verdana" w:hAnsi="Verdana"/>
        </w:rPr>
        <w:t xml:space="preserve"> receiving medical attention</w:t>
      </w:r>
      <w:r w:rsidR="00287071" w:rsidRPr="00550350">
        <w:rPr>
          <w:rFonts w:ascii="Verdana" w:hAnsi="Verdana"/>
        </w:rPr>
        <w:t>.</w:t>
      </w:r>
      <w:r w:rsidR="00CE6E14" w:rsidRPr="00550350">
        <w:rPr>
          <w:rFonts w:ascii="Verdana" w:hAnsi="Verdana"/>
        </w:rPr>
        <w:t xml:space="preserve"> </w:t>
      </w:r>
    </w:p>
    <w:p w14:paraId="12C1C40B" w14:textId="77777777" w:rsidR="00D57FA3" w:rsidRPr="00550350" w:rsidRDefault="00D57FA3" w:rsidP="00D57FA3">
      <w:pPr>
        <w:pStyle w:val="ListParagraph"/>
        <w:rPr>
          <w:rFonts w:ascii="Verdana" w:hAnsi="Verdana"/>
        </w:rPr>
      </w:pPr>
    </w:p>
    <w:p w14:paraId="43AD46FB" w14:textId="5537740E" w:rsidR="007C54D8" w:rsidRPr="00550350" w:rsidRDefault="00CE6E14" w:rsidP="00CE6E14">
      <w:pPr>
        <w:pStyle w:val="BasicParagraph"/>
        <w:numPr>
          <w:ilvl w:val="1"/>
          <w:numId w:val="14"/>
        </w:numPr>
        <w:suppressAutoHyphens/>
        <w:spacing w:line="276" w:lineRule="auto"/>
        <w:rPr>
          <w:rFonts w:ascii="Verdana" w:hAnsi="Verdana"/>
          <w:b/>
        </w:rPr>
      </w:pPr>
      <w:r w:rsidRPr="00550350">
        <w:rPr>
          <w:rFonts w:ascii="Verdana" w:hAnsi="Verdana"/>
        </w:rPr>
        <w:t xml:space="preserve">The cumulative effect of the lack of clarity on </w:t>
      </w:r>
      <w:r w:rsidR="00882D8E" w:rsidRPr="00550350">
        <w:rPr>
          <w:rFonts w:ascii="Verdana" w:hAnsi="Verdana"/>
        </w:rPr>
        <w:t xml:space="preserve">the </w:t>
      </w:r>
      <w:r w:rsidR="006B64FF" w:rsidRPr="00550350">
        <w:rPr>
          <w:rFonts w:ascii="Verdana" w:hAnsi="Verdana"/>
        </w:rPr>
        <w:t xml:space="preserve">rights </w:t>
      </w:r>
      <w:r w:rsidR="00882D8E" w:rsidRPr="00550350">
        <w:rPr>
          <w:rFonts w:ascii="Verdana" w:hAnsi="Verdana"/>
        </w:rPr>
        <w:t xml:space="preserve">of </w:t>
      </w:r>
      <w:r w:rsidR="006B64FF" w:rsidRPr="00550350">
        <w:rPr>
          <w:rFonts w:ascii="Verdana" w:hAnsi="Verdana"/>
        </w:rPr>
        <w:t xml:space="preserve">victims of human trafficking and the hostile regime </w:t>
      </w:r>
      <w:r w:rsidR="00D57FA3" w:rsidRPr="00550350">
        <w:rPr>
          <w:rFonts w:ascii="Verdana" w:hAnsi="Verdana"/>
        </w:rPr>
        <w:t>towards</w:t>
      </w:r>
      <w:r w:rsidR="006B64FF" w:rsidRPr="00550350">
        <w:rPr>
          <w:rFonts w:ascii="Verdana" w:hAnsi="Verdana"/>
        </w:rPr>
        <w:t xml:space="preserve"> immigration might </w:t>
      </w:r>
      <w:r w:rsidR="00D055CB" w:rsidRPr="00550350">
        <w:rPr>
          <w:rFonts w:ascii="Verdana" w:hAnsi="Verdana"/>
        </w:rPr>
        <w:t>make</w:t>
      </w:r>
      <w:r w:rsidR="006B64FF" w:rsidRPr="00550350">
        <w:rPr>
          <w:rFonts w:ascii="Verdana" w:hAnsi="Verdana"/>
        </w:rPr>
        <w:t xml:space="preserve"> people being reluctant to seek assistance</w:t>
      </w:r>
      <w:r w:rsidR="00E35E64" w:rsidRPr="00550350">
        <w:rPr>
          <w:rFonts w:ascii="Verdana" w:hAnsi="Verdana"/>
        </w:rPr>
        <w:t xml:space="preserve"> including healthcare to which they are entitled</w:t>
      </w:r>
      <w:r w:rsidR="00D57FA3" w:rsidRPr="00550350">
        <w:rPr>
          <w:rFonts w:ascii="Verdana" w:hAnsi="Verdana"/>
        </w:rPr>
        <w:t xml:space="preserve">. </w:t>
      </w:r>
      <w:r w:rsidR="00287071" w:rsidRPr="00550350">
        <w:rPr>
          <w:rFonts w:ascii="Verdana" w:hAnsi="Verdana"/>
        </w:rPr>
        <w:t xml:space="preserve"> This </w:t>
      </w:r>
      <w:r w:rsidR="00F61E4C" w:rsidRPr="00550350">
        <w:rPr>
          <w:rFonts w:ascii="Verdana" w:hAnsi="Verdana"/>
        </w:rPr>
        <w:t xml:space="preserve">in turn raises questions about the importance of communicating clearly with frontline staff about the rights of all victims of human trafficking and other people falling under the scope of </w:t>
      </w:r>
      <w:r w:rsidR="001B4B36" w:rsidRPr="00550350">
        <w:rPr>
          <w:rFonts w:ascii="Verdana" w:hAnsi="Verdana"/>
        </w:rPr>
        <w:t>Provision of Health Services to Persons Not Ordinarily Resident Regulations (Northern Ireland) 2015</w:t>
      </w:r>
      <w:r w:rsidR="00D055CB" w:rsidRPr="00550350">
        <w:rPr>
          <w:rFonts w:ascii="Verdana" w:hAnsi="Verdana"/>
        </w:rPr>
        <w:t xml:space="preserve"> (as amended)</w:t>
      </w:r>
      <w:r w:rsidR="001B4B36" w:rsidRPr="00550350">
        <w:rPr>
          <w:rFonts w:ascii="Verdana" w:hAnsi="Verdana"/>
        </w:rPr>
        <w:t xml:space="preserve">. </w:t>
      </w:r>
    </w:p>
    <w:p w14:paraId="7641BE54" w14:textId="77777777" w:rsidR="00CE6E14" w:rsidRPr="007C54D8" w:rsidRDefault="00CE6E14" w:rsidP="00CE6E14">
      <w:pPr>
        <w:pStyle w:val="BasicParagraph"/>
        <w:suppressAutoHyphens/>
        <w:spacing w:line="276" w:lineRule="auto"/>
        <w:rPr>
          <w:rFonts w:ascii="Verdana" w:hAnsi="Verdana"/>
          <w:b/>
          <w:bCs/>
        </w:rPr>
      </w:pPr>
    </w:p>
    <w:p w14:paraId="20F692EA" w14:textId="10BBDA45" w:rsidR="00CD142D" w:rsidRDefault="00CD142D" w:rsidP="00B36C6A">
      <w:pPr>
        <w:pStyle w:val="BasicParagraph"/>
        <w:numPr>
          <w:ilvl w:val="1"/>
          <w:numId w:val="14"/>
        </w:numPr>
        <w:suppressAutoHyphens/>
        <w:spacing w:line="276" w:lineRule="auto"/>
        <w:rPr>
          <w:rFonts w:ascii="Verdana" w:hAnsi="Verdana"/>
          <w:b/>
          <w:bCs/>
        </w:rPr>
      </w:pPr>
      <w:r>
        <w:rPr>
          <w:rFonts w:ascii="Verdana" w:hAnsi="Verdana"/>
          <w:b/>
          <w:bCs/>
        </w:rPr>
        <w:t xml:space="preserve">The NIHRC recommends that the Department of Justice review </w:t>
      </w:r>
      <w:r w:rsidR="00861A50">
        <w:rPr>
          <w:rFonts w:ascii="Verdana" w:hAnsi="Verdana"/>
          <w:b/>
          <w:bCs/>
        </w:rPr>
        <w:t xml:space="preserve">the </w:t>
      </w:r>
      <w:r w:rsidR="00BC51AE">
        <w:rPr>
          <w:rFonts w:ascii="Verdana" w:hAnsi="Verdana"/>
          <w:b/>
          <w:bCs/>
        </w:rPr>
        <w:t xml:space="preserve">support and assistance provided to potential victims of human trafficking and ensure that it remains in line with the requirements of the </w:t>
      </w:r>
      <w:r w:rsidR="00861A50">
        <w:rPr>
          <w:rFonts w:ascii="Verdana" w:hAnsi="Verdana"/>
          <w:b/>
          <w:bCs/>
        </w:rPr>
        <w:t>Human Trafficking Directive.</w:t>
      </w:r>
    </w:p>
    <w:p w14:paraId="3BB7FC4F" w14:textId="77777777" w:rsidR="007A684C" w:rsidRDefault="007A684C" w:rsidP="00B36C6A">
      <w:pPr>
        <w:pStyle w:val="ListParagraph"/>
        <w:spacing w:line="276" w:lineRule="auto"/>
        <w:rPr>
          <w:rFonts w:ascii="Verdana" w:hAnsi="Verdana"/>
          <w:b/>
          <w:bCs/>
        </w:rPr>
      </w:pPr>
    </w:p>
    <w:p w14:paraId="4A83C20B" w14:textId="10C21945" w:rsidR="007A684C" w:rsidRDefault="007A684C" w:rsidP="00B36C6A">
      <w:pPr>
        <w:pStyle w:val="BasicParagraph"/>
        <w:numPr>
          <w:ilvl w:val="1"/>
          <w:numId w:val="14"/>
        </w:numPr>
        <w:suppressAutoHyphens/>
        <w:spacing w:line="276" w:lineRule="auto"/>
        <w:rPr>
          <w:rFonts w:ascii="Verdana" w:hAnsi="Verdana"/>
          <w:b/>
          <w:bCs/>
        </w:rPr>
      </w:pPr>
      <w:r>
        <w:rPr>
          <w:rFonts w:ascii="Verdana" w:hAnsi="Verdana"/>
          <w:b/>
          <w:bCs/>
        </w:rPr>
        <w:t xml:space="preserve">The NIHRC recommends that the </w:t>
      </w:r>
      <w:r w:rsidR="00DC7EAD">
        <w:rPr>
          <w:rFonts w:ascii="Verdana" w:hAnsi="Verdana"/>
          <w:b/>
          <w:bCs/>
        </w:rPr>
        <w:t>Department of</w:t>
      </w:r>
      <w:r w:rsidR="00BD46D9">
        <w:rPr>
          <w:rFonts w:ascii="Verdana" w:hAnsi="Verdana"/>
          <w:b/>
          <w:bCs/>
        </w:rPr>
        <w:t xml:space="preserve"> Health </w:t>
      </w:r>
      <w:r w:rsidR="003254D3">
        <w:rPr>
          <w:rFonts w:ascii="Verdana" w:hAnsi="Verdana"/>
          <w:b/>
          <w:bCs/>
        </w:rPr>
        <w:t xml:space="preserve">clarifies and </w:t>
      </w:r>
      <w:r w:rsidR="004B04CF">
        <w:rPr>
          <w:rFonts w:ascii="Verdana" w:hAnsi="Verdana"/>
          <w:b/>
          <w:bCs/>
        </w:rPr>
        <w:t>promotes awareness</w:t>
      </w:r>
      <w:r w:rsidR="0058306D">
        <w:rPr>
          <w:rFonts w:ascii="Verdana" w:hAnsi="Verdana"/>
          <w:b/>
          <w:bCs/>
        </w:rPr>
        <w:t xml:space="preserve"> amongst health practitioners, individuals</w:t>
      </w:r>
      <w:r w:rsidR="00B36C6A">
        <w:rPr>
          <w:rFonts w:ascii="Verdana" w:hAnsi="Verdana"/>
          <w:b/>
          <w:bCs/>
        </w:rPr>
        <w:t>,</w:t>
      </w:r>
      <w:r w:rsidR="0058306D">
        <w:rPr>
          <w:rFonts w:ascii="Verdana" w:hAnsi="Verdana"/>
          <w:b/>
          <w:bCs/>
        </w:rPr>
        <w:t xml:space="preserve"> and representative groups</w:t>
      </w:r>
      <w:r w:rsidR="004B04CF">
        <w:rPr>
          <w:rFonts w:ascii="Verdana" w:hAnsi="Verdana"/>
          <w:b/>
          <w:bCs/>
        </w:rPr>
        <w:t xml:space="preserve"> of the rights of </w:t>
      </w:r>
      <w:r w:rsidR="00306E45">
        <w:rPr>
          <w:rFonts w:ascii="Verdana" w:hAnsi="Verdana"/>
          <w:b/>
          <w:bCs/>
        </w:rPr>
        <w:t>potential and confirmed victims of human trafficking</w:t>
      </w:r>
      <w:r w:rsidR="00BB3CF2">
        <w:rPr>
          <w:rFonts w:ascii="Verdana" w:hAnsi="Verdana"/>
          <w:b/>
          <w:bCs/>
        </w:rPr>
        <w:t xml:space="preserve"> and others falling within the scope </w:t>
      </w:r>
      <w:r w:rsidR="00FA42A0">
        <w:rPr>
          <w:rFonts w:ascii="Verdana" w:hAnsi="Verdana"/>
          <w:b/>
          <w:bCs/>
        </w:rPr>
        <w:t xml:space="preserve">of </w:t>
      </w:r>
      <w:r w:rsidR="004702EC" w:rsidRPr="004702EC">
        <w:rPr>
          <w:rFonts w:ascii="Verdana" w:hAnsi="Verdana"/>
          <w:b/>
          <w:bCs/>
        </w:rPr>
        <w:t>Provision of Health Services to Persons Not Ordinarily Resident Regulations (Northern Ireland) 2015</w:t>
      </w:r>
      <w:r w:rsidR="00E35E64">
        <w:rPr>
          <w:rFonts w:ascii="Verdana" w:hAnsi="Verdana"/>
          <w:b/>
          <w:bCs/>
        </w:rPr>
        <w:t xml:space="preserve"> (as amended)</w:t>
      </w:r>
      <w:r w:rsidR="004702EC">
        <w:rPr>
          <w:rFonts w:ascii="Verdana" w:hAnsi="Verdana"/>
          <w:b/>
          <w:bCs/>
        </w:rPr>
        <w:t>.</w:t>
      </w:r>
      <w:r w:rsidR="00D769F8">
        <w:rPr>
          <w:rFonts w:ascii="Verdana" w:hAnsi="Verdana"/>
          <w:b/>
          <w:bCs/>
        </w:rPr>
        <w:t xml:space="preserve"> </w:t>
      </w:r>
    </w:p>
    <w:p w14:paraId="2C28868D" w14:textId="77777777" w:rsidR="004C3D2F" w:rsidRDefault="004C3D2F" w:rsidP="00B36C6A">
      <w:pPr>
        <w:pStyle w:val="ListParagraph"/>
        <w:spacing w:line="276" w:lineRule="auto"/>
        <w:rPr>
          <w:rFonts w:ascii="Verdana" w:hAnsi="Verdana"/>
          <w:b/>
          <w:bCs/>
        </w:rPr>
      </w:pPr>
    </w:p>
    <w:p w14:paraId="1B3BD68F" w14:textId="775648ED" w:rsidR="00201F64" w:rsidRPr="004A3C70" w:rsidRDefault="004C3D2F" w:rsidP="00B36C6A">
      <w:pPr>
        <w:pStyle w:val="ListParagraph"/>
        <w:keepNext/>
        <w:keepLines/>
        <w:numPr>
          <w:ilvl w:val="0"/>
          <w:numId w:val="14"/>
        </w:numPr>
        <w:spacing w:before="240" w:line="276" w:lineRule="auto"/>
        <w:ind w:left="284" w:hanging="426"/>
        <w:outlineLvl w:val="0"/>
        <w:rPr>
          <w:rFonts w:ascii="Verdana" w:eastAsiaTheme="majorEastAsia" w:hAnsi="Verdana" w:cstheme="majorBidi"/>
          <w:b/>
          <w:color w:val="77328A"/>
          <w:sz w:val="30"/>
          <w:szCs w:val="30"/>
        </w:rPr>
      </w:pPr>
      <w:bookmarkStart w:id="16" w:name="_Toc104983343"/>
      <w:r w:rsidRPr="004A3C70">
        <w:rPr>
          <w:rFonts w:ascii="Verdana" w:eastAsiaTheme="majorEastAsia" w:hAnsi="Verdana" w:cstheme="majorBidi"/>
          <w:b/>
          <w:color w:val="77328A"/>
          <w:sz w:val="30"/>
          <w:szCs w:val="30"/>
        </w:rPr>
        <w:t xml:space="preserve">Access to services </w:t>
      </w:r>
      <w:r w:rsidR="00850BAB" w:rsidRPr="004A3C70">
        <w:rPr>
          <w:rFonts w:ascii="Verdana" w:eastAsiaTheme="majorEastAsia" w:hAnsi="Verdana" w:cstheme="majorBidi"/>
          <w:b/>
          <w:color w:val="77328A"/>
          <w:sz w:val="30"/>
          <w:szCs w:val="30"/>
        </w:rPr>
        <w:t>for migrants</w:t>
      </w:r>
      <w:r w:rsidR="00E675F3" w:rsidRPr="004A3C70">
        <w:rPr>
          <w:rFonts w:ascii="Verdana" w:eastAsiaTheme="majorEastAsia" w:hAnsi="Verdana" w:cstheme="majorBidi"/>
          <w:b/>
          <w:color w:val="77328A"/>
          <w:sz w:val="30"/>
          <w:szCs w:val="30"/>
        </w:rPr>
        <w:t xml:space="preserve"> post-Brexit</w:t>
      </w:r>
    </w:p>
    <w:p w14:paraId="5635EE2B" w14:textId="702F4C72" w:rsidR="00646E80" w:rsidRDefault="00646E80" w:rsidP="00B36C6A">
      <w:pPr>
        <w:spacing w:line="276" w:lineRule="auto"/>
        <w:rPr>
          <w:rFonts w:ascii="Verdana" w:hAnsi="Verdana"/>
        </w:rPr>
      </w:pPr>
    </w:p>
    <w:p w14:paraId="3AD48422" w14:textId="64343C95" w:rsidR="00D53A62" w:rsidRDefault="007E6819" w:rsidP="00B2538E">
      <w:pPr>
        <w:pStyle w:val="ListParagraph"/>
        <w:numPr>
          <w:ilvl w:val="1"/>
          <w:numId w:val="14"/>
        </w:numPr>
        <w:spacing w:line="276" w:lineRule="auto"/>
        <w:rPr>
          <w:rFonts w:ascii="Verdana" w:hAnsi="Verdana"/>
        </w:rPr>
      </w:pPr>
      <w:r w:rsidRPr="00B2538E">
        <w:rPr>
          <w:rFonts w:ascii="Verdana" w:hAnsi="Verdana"/>
        </w:rPr>
        <w:t xml:space="preserve">While entitlement to healthcare is </w:t>
      </w:r>
      <w:r w:rsidR="000E4C31">
        <w:rPr>
          <w:rFonts w:ascii="Verdana" w:hAnsi="Verdana"/>
        </w:rPr>
        <w:t>largely</w:t>
      </w:r>
      <w:r w:rsidR="00320D28">
        <w:rPr>
          <w:rFonts w:ascii="Verdana" w:hAnsi="Verdana"/>
        </w:rPr>
        <w:t xml:space="preserve"> </w:t>
      </w:r>
      <w:r w:rsidRPr="00B2538E">
        <w:rPr>
          <w:rFonts w:ascii="Verdana" w:hAnsi="Verdana"/>
        </w:rPr>
        <w:t>residency-based</w:t>
      </w:r>
      <w:r w:rsidR="00593692" w:rsidRPr="00B2538E">
        <w:rPr>
          <w:rFonts w:ascii="Verdana" w:hAnsi="Verdana"/>
        </w:rPr>
        <w:t xml:space="preserve">, the NIHRC </w:t>
      </w:r>
      <w:r w:rsidR="0077013F">
        <w:rPr>
          <w:rFonts w:ascii="Verdana" w:hAnsi="Verdana"/>
        </w:rPr>
        <w:t>has been made</w:t>
      </w:r>
      <w:r w:rsidR="00593692" w:rsidRPr="00B2538E">
        <w:rPr>
          <w:rFonts w:ascii="Verdana" w:hAnsi="Verdana"/>
        </w:rPr>
        <w:t xml:space="preserve"> aware </w:t>
      </w:r>
      <w:r w:rsidR="00290C29" w:rsidRPr="00B2538E">
        <w:rPr>
          <w:rFonts w:ascii="Verdana" w:hAnsi="Verdana"/>
        </w:rPr>
        <w:t xml:space="preserve">of </w:t>
      </w:r>
      <w:r w:rsidR="00636BB3" w:rsidRPr="00B2538E">
        <w:rPr>
          <w:rFonts w:ascii="Verdana" w:hAnsi="Verdana"/>
        </w:rPr>
        <w:t>reports o</w:t>
      </w:r>
      <w:r w:rsidR="000C0616" w:rsidRPr="00B2538E">
        <w:rPr>
          <w:rFonts w:ascii="Verdana" w:hAnsi="Verdana"/>
        </w:rPr>
        <w:t>f barriers to accessing healthcare</w:t>
      </w:r>
      <w:r w:rsidR="00DE58CE" w:rsidRPr="00B2538E">
        <w:rPr>
          <w:rFonts w:ascii="Verdana" w:hAnsi="Verdana"/>
        </w:rPr>
        <w:t xml:space="preserve"> for migrants,</w:t>
      </w:r>
      <w:r w:rsidR="000C0616" w:rsidRPr="00B2538E">
        <w:rPr>
          <w:rFonts w:ascii="Verdana" w:hAnsi="Verdana"/>
        </w:rPr>
        <w:t xml:space="preserve"> </w:t>
      </w:r>
      <w:r w:rsidR="008B150F">
        <w:rPr>
          <w:rFonts w:ascii="Verdana" w:hAnsi="Verdana"/>
        </w:rPr>
        <w:t>particularly</w:t>
      </w:r>
      <w:r w:rsidR="00E43608">
        <w:rPr>
          <w:rFonts w:ascii="Verdana" w:hAnsi="Verdana"/>
        </w:rPr>
        <w:t xml:space="preserve"> when</w:t>
      </w:r>
      <w:r w:rsidR="00D135F8" w:rsidRPr="00B2538E">
        <w:rPr>
          <w:rFonts w:ascii="Verdana" w:hAnsi="Verdana"/>
        </w:rPr>
        <w:t xml:space="preserve"> registering with GP service</w:t>
      </w:r>
      <w:r w:rsidR="00DE58CE" w:rsidRPr="00B2538E">
        <w:rPr>
          <w:rFonts w:ascii="Verdana" w:hAnsi="Verdana"/>
        </w:rPr>
        <w:t>s and</w:t>
      </w:r>
      <w:r w:rsidR="00E17868">
        <w:rPr>
          <w:rFonts w:ascii="Verdana" w:hAnsi="Verdana"/>
        </w:rPr>
        <w:t xml:space="preserve"> </w:t>
      </w:r>
      <w:r w:rsidR="00BB3B8F">
        <w:rPr>
          <w:rFonts w:ascii="Verdana" w:hAnsi="Verdana"/>
        </w:rPr>
        <w:t xml:space="preserve">an </w:t>
      </w:r>
      <w:r w:rsidR="00D77DB7">
        <w:rPr>
          <w:rFonts w:ascii="Verdana" w:hAnsi="Verdana"/>
        </w:rPr>
        <w:t>increase in</w:t>
      </w:r>
      <w:r w:rsidR="003574B5">
        <w:rPr>
          <w:rFonts w:ascii="Verdana" w:hAnsi="Verdana"/>
        </w:rPr>
        <w:t xml:space="preserve"> cases post-Brexit</w:t>
      </w:r>
      <w:r w:rsidR="00BB3B8F">
        <w:rPr>
          <w:rFonts w:ascii="Verdana" w:hAnsi="Verdana"/>
        </w:rPr>
        <w:t xml:space="preserve"> </w:t>
      </w:r>
      <w:r w:rsidR="00124068">
        <w:rPr>
          <w:rFonts w:ascii="Verdana" w:hAnsi="Verdana"/>
        </w:rPr>
        <w:t>where patients are charged for healthcare services</w:t>
      </w:r>
      <w:r w:rsidR="004E0AA6">
        <w:rPr>
          <w:rFonts w:ascii="Verdana" w:hAnsi="Verdana"/>
        </w:rPr>
        <w:t xml:space="preserve">, even where the patient </w:t>
      </w:r>
      <w:r w:rsidR="004D04ED">
        <w:rPr>
          <w:rFonts w:ascii="Verdana" w:hAnsi="Verdana"/>
        </w:rPr>
        <w:t>is</w:t>
      </w:r>
      <w:r w:rsidR="00124068">
        <w:rPr>
          <w:rFonts w:ascii="Verdana" w:hAnsi="Verdana"/>
        </w:rPr>
        <w:t xml:space="preserve"> exempt</w:t>
      </w:r>
      <w:r w:rsidR="004E0AA6">
        <w:rPr>
          <w:rFonts w:ascii="Verdana" w:hAnsi="Verdana"/>
        </w:rPr>
        <w:t xml:space="preserve"> </w:t>
      </w:r>
      <w:r w:rsidR="00E85BFA">
        <w:rPr>
          <w:rFonts w:ascii="Verdana" w:hAnsi="Verdana"/>
        </w:rPr>
        <w:t xml:space="preserve">under </w:t>
      </w:r>
      <w:r w:rsidR="00CC40F4">
        <w:rPr>
          <w:rFonts w:ascii="Verdana" w:hAnsi="Verdana"/>
        </w:rPr>
        <w:t xml:space="preserve">NI </w:t>
      </w:r>
      <w:r w:rsidR="00E85BFA">
        <w:rPr>
          <w:rFonts w:ascii="Verdana" w:hAnsi="Verdana"/>
        </w:rPr>
        <w:t>l</w:t>
      </w:r>
      <w:r w:rsidR="00CC40F4">
        <w:rPr>
          <w:rFonts w:ascii="Verdana" w:hAnsi="Verdana"/>
        </w:rPr>
        <w:t>aw</w:t>
      </w:r>
      <w:r w:rsidR="00B2538E">
        <w:rPr>
          <w:rFonts w:ascii="Verdana" w:hAnsi="Verdana"/>
        </w:rPr>
        <w:t xml:space="preserve">. </w:t>
      </w:r>
    </w:p>
    <w:p w14:paraId="7F5768E6" w14:textId="77777777" w:rsidR="00B82D7E" w:rsidRDefault="00B82D7E" w:rsidP="00B82D7E">
      <w:pPr>
        <w:pStyle w:val="ListParagraph"/>
        <w:spacing w:line="276" w:lineRule="auto"/>
        <w:rPr>
          <w:rFonts w:ascii="Verdana" w:hAnsi="Verdana"/>
        </w:rPr>
      </w:pPr>
    </w:p>
    <w:p w14:paraId="2559A8B8" w14:textId="0C443799" w:rsidR="00523497" w:rsidRDefault="004D04ED" w:rsidP="00523497">
      <w:pPr>
        <w:pStyle w:val="ListParagraph"/>
        <w:numPr>
          <w:ilvl w:val="1"/>
          <w:numId w:val="14"/>
        </w:numPr>
        <w:spacing w:line="276" w:lineRule="auto"/>
        <w:rPr>
          <w:rFonts w:ascii="Verdana" w:hAnsi="Verdana"/>
        </w:rPr>
      </w:pPr>
      <w:r>
        <w:rPr>
          <w:rFonts w:ascii="Verdana" w:hAnsi="Verdana"/>
        </w:rPr>
        <w:lastRenderedPageBreak/>
        <w:t>By way of example</w:t>
      </w:r>
      <w:r w:rsidR="00BB311A">
        <w:rPr>
          <w:rFonts w:ascii="Verdana" w:hAnsi="Verdana"/>
        </w:rPr>
        <w:t>, a</w:t>
      </w:r>
      <w:r w:rsidR="00910D6E">
        <w:rPr>
          <w:rFonts w:ascii="Verdana" w:hAnsi="Verdana"/>
        </w:rPr>
        <w:t xml:space="preserve"> </w:t>
      </w:r>
      <w:r w:rsidR="00AD0C51">
        <w:rPr>
          <w:rFonts w:ascii="Verdana" w:hAnsi="Verdana"/>
        </w:rPr>
        <w:t>woman</w:t>
      </w:r>
      <w:r w:rsidR="00910D6E">
        <w:rPr>
          <w:rFonts w:ascii="Verdana" w:hAnsi="Verdana"/>
        </w:rPr>
        <w:t xml:space="preserve"> with </w:t>
      </w:r>
      <w:r w:rsidR="00C8420B">
        <w:rPr>
          <w:rFonts w:ascii="Verdana" w:hAnsi="Verdana"/>
        </w:rPr>
        <w:t>p</w:t>
      </w:r>
      <w:r w:rsidR="0001607E" w:rsidRPr="00B06AE6">
        <w:rPr>
          <w:rFonts w:ascii="Verdana" w:hAnsi="Verdana"/>
        </w:rPr>
        <w:t>re-</w:t>
      </w:r>
      <w:r w:rsidR="00C8420B">
        <w:rPr>
          <w:rFonts w:ascii="Verdana" w:hAnsi="Verdana"/>
        </w:rPr>
        <w:t>s</w:t>
      </w:r>
      <w:r w:rsidR="0001607E" w:rsidRPr="00B06AE6">
        <w:rPr>
          <w:rFonts w:ascii="Verdana" w:hAnsi="Verdana"/>
        </w:rPr>
        <w:t xml:space="preserve">ettled </w:t>
      </w:r>
      <w:r w:rsidR="00C8420B">
        <w:rPr>
          <w:rFonts w:ascii="Verdana" w:hAnsi="Verdana"/>
        </w:rPr>
        <w:t>s</w:t>
      </w:r>
      <w:r w:rsidR="0001607E" w:rsidRPr="00B06AE6">
        <w:rPr>
          <w:rFonts w:ascii="Verdana" w:hAnsi="Verdana"/>
        </w:rPr>
        <w:t>tatus</w:t>
      </w:r>
      <w:r w:rsidR="00AD0C51" w:rsidRPr="00B06AE6">
        <w:rPr>
          <w:rFonts w:ascii="Verdana" w:hAnsi="Verdana"/>
        </w:rPr>
        <w:t xml:space="preserve"> </w:t>
      </w:r>
      <w:r w:rsidR="00AD0C51">
        <w:rPr>
          <w:rFonts w:ascii="Verdana" w:hAnsi="Verdana"/>
        </w:rPr>
        <w:t xml:space="preserve">was charged for the delivery of her child </w:t>
      </w:r>
      <w:r w:rsidR="0001607E">
        <w:rPr>
          <w:rFonts w:ascii="Verdana" w:hAnsi="Verdana"/>
        </w:rPr>
        <w:t xml:space="preserve">and subsequently summoned to smalls claims court for failure to pay the charges. In another </w:t>
      </w:r>
      <w:r w:rsidR="00BC3B38">
        <w:rPr>
          <w:rFonts w:ascii="Verdana" w:hAnsi="Verdana"/>
        </w:rPr>
        <w:t>instance</w:t>
      </w:r>
      <w:r w:rsidR="0001607E">
        <w:rPr>
          <w:rFonts w:ascii="Verdana" w:hAnsi="Verdana"/>
        </w:rPr>
        <w:t xml:space="preserve">, a man with </w:t>
      </w:r>
      <w:r w:rsidR="00C8420B">
        <w:rPr>
          <w:rFonts w:ascii="Verdana" w:hAnsi="Verdana"/>
        </w:rPr>
        <w:t>s</w:t>
      </w:r>
      <w:r w:rsidR="0001607E">
        <w:rPr>
          <w:rFonts w:ascii="Verdana" w:hAnsi="Verdana"/>
        </w:rPr>
        <w:t xml:space="preserve">ettled </w:t>
      </w:r>
      <w:r w:rsidR="00C8420B">
        <w:rPr>
          <w:rFonts w:ascii="Verdana" w:hAnsi="Verdana"/>
        </w:rPr>
        <w:t>s</w:t>
      </w:r>
      <w:r w:rsidR="0001607E">
        <w:rPr>
          <w:rFonts w:ascii="Verdana" w:hAnsi="Verdana"/>
        </w:rPr>
        <w:t xml:space="preserve">tatus was </w:t>
      </w:r>
      <w:r w:rsidR="00A418C4">
        <w:rPr>
          <w:rFonts w:ascii="Verdana" w:hAnsi="Verdana"/>
        </w:rPr>
        <w:t xml:space="preserve">summoned to the small claims court </w:t>
      </w:r>
      <w:r w:rsidR="00BC72C5">
        <w:rPr>
          <w:rFonts w:ascii="Verdana" w:hAnsi="Verdana"/>
        </w:rPr>
        <w:t xml:space="preserve">after failing to pay for an appointment </w:t>
      </w:r>
      <w:r w:rsidR="0092488D">
        <w:rPr>
          <w:rFonts w:ascii="Verdana" w:hAnsi="Verdana"/>
        </w:rPr>
        <w:t xml:space="preserve">that </w:t>
      </w:r>
      <w:r w:rsidR="008A7B88">
        <w:rPr>
          <w:rFonts w:ascii="Verdana" w:hAnsi="Verdana"/>
        </w:rPr>
        <w:t>he had been referred to by his GP</w:t>
      </w:r>
      <w:r w:rsidR="00F900D4">
        <w:rPr>
          <w:rFonts w:ascii="Verdana" w:hAnsi="Verdana"/>
        </w:rPr>
        <w:t>, despite the GP being aware of his immigration status</w:t>
      </w:r>
      <w:r w:rsidR="008A7B88">
        <w:rPr>
          <w:rFonts w:ascii="Verdana" w:hAnsi="Verdana"/>
        </w:rPr>
        <w:t>.</w:t>
      </w:r>
      <w:r w:rsidR="008A7B88" w:rsidRPr="008A7B88">
        <w:rPr>
          <w:rFonts w:ascii="Verdana" w:hAnsi="Verdana"/>
        </w:rPr>
        <w:t xml:space="preserve"> </w:t>
      </w:r>
      <w:r w:rsidR="008A7B88">
        <w:rPr>
          <w:rFonts w:ascii="Verdana" w:hAnsi="Verdana"/>
        </w:rPr>
        <w:t>Both cases were compounded by wider issues</w:t>
      </w:r>
      <w:r w:rsidR="00EB6141">
        <w:rPr>
          <w:rFonts w:ascii="Verdana" w:hAnsi="Verdana"/>
        </w:rPr>
        <w:t>,</w:t>
      </w:r>
      <w:r w:rsidR="008A7B88">
        <w:rPr>
          <w:rFonts w:ascii="Verdana" w:hAnsi="Verdana"/>
        </w:rPr>
        <w:t xml:space="preserve"> </w:t>
      </w:r>
      <w:r w:rsidR="00BB1D3E">
        <w:rPr>
          <w:rFonts w:ascii="Verdana" w:hAnsi="Verdana"/>
        </w:rPr>
        <w:t>including</w:t>
      </w:r>
      <w:r w:rsidR="008A7B88">
        <w:rPr>
          <w:rFonts w:ascii="Verdana" w:hAnsi="Verdana"/>
        </w:rPr>
        <w:t xml:space="preserve"> </w:t>
      </w:r>
      <w:r w:rsidR="00BB1D3E">
        <w:rPr>
          <w:rFonts w:ascii="Verdana" w:hAnsi="Verdana"/>
        </w:rPr>
        <w:t>insuffic</w:t>
      </w:r>
      <w:r w:rsidR="00EB6141">
        <w:rPr>
          <w:rFonts w:ascii="Verdana" w:hAnsi="Verdana"/>
        </w:rPr>
        <w:t>ient</w:t>
      </w:r>
      <w:r w:rsidR="008A7B88">
        <w:rPr>
          <w:rFonts w:ascii="Verdana" w:hAnsi="Verdana"/>
        </w:rPr>
        <w:t xml:space="preserve"> interpretation services</w:t>
      </w:r>
      <w:r w:rsidR="00EB6141">
        <w:rPr>
          <w:rFonts w:ascii="Verdana" w:hAnsi="Verdana"/>
        </w:rPr>
        <w:t xml:space="preserve"> and</w:t>
      </w:r>
      <w:r w:rsidR="0007555F">
        <w:rPr>
          <w:rFonts w:ascii="Verdana" w:hAnsi="Verdana"/>
        </w:rPr>
        <w:t xml:space="preserve"> lack of cohesion between</w:t>
      </w:r>
      <w:r w:rsidR="00F900D4">
        <w:rPr>
          <w:rFonts w:ascii="Verdana" w:hAnsi="Verdana"/>
        </w:rPr>
        <w:t xml:space="preserve"> </w:t>
      </w:r>
      <w:r w:rsidR="00702E94">
        <w:rPr>
          <w:rFonts w:ascii="Verdana" w:hAnsi="Verdana"/>
        </w:rPr>
        <w:t xml:space="preserve">GP practices and </w:t>
      </w:r>
      <w:r w:rsidR="008A2832">
        <w:rPr>
          <w:rFonts w:ascii="Verdana" w:hAnsi="Verdana"/>
        </w:rPr>
        <w:t>health trusts</w:t>
      </w:r>
      <w:r w:rsidR="0021776D">
        <w:rPr>
          <w:rFonts w:ascii="Verdana" w:hAnsi="Verdana"/>
        </w:rPr>
        <w:t>,</w:t>
      </w:r>
      <w:r w:rsidR="008A7B88">
        <w:rPr>
          <w:rFonts w:ascii="Verdana" w:hAnsi="Verdana"/>
        </w:rPr>
        <w:t xml:space="preserve"> </w:t>
      </w:r>
      <w:r w:rsidR="00682F1A">
        <w:rPr>
          <w:rFonts w:ascii="Verdana" w:hAnsi="Verdana"/>
        </w:rPr>
        <w:t>and were only resolve</w:t>
      </w:r>
      <w:r w:rsidR="00D77DB7">
        <w:rPr>
          <w:rFonts w:ascii="Verdana" w:hAnsi="Verdana"/>
        </w:rPr>
        <w:t>d with the intervention of Migrant Centre NI.</w:t>
      </w:r>
      <w:r>
        <w:rPr>
          <w:rStyle w:val="FootnoteReference"/>
          <w:rFonts w:ascii="Verdana" w:hAnsi="Verdana"/>
        </w:rPr>
        <w:footnoteReference w:id="53"/>
      </w:r>
    </w:p>
    <w:p w14:paraId="3F60CBDA" w14:textId="77777777" w:rsidR="004D5C22" w:rsidRPr="004D5C22" w:rsidRDefault="004D5C22" w:rsidP="00B36C6A">
      <w:pPr>
        <w:pStyle w:val="ListParagraph"/>
        <w:spacing w:line="276" w:lineRule="auto"/>
        <w:rPr>
          <w:rFonts w:ascii="Verdana" w:hAnsi="Verdana"/>
        </w:rPr>
      </w:pPr>
    </w:p>
    <w:p w14:paraId="2E9093E1" w14:textId="354E9C71" w:rsidR="004D5C22" w:rsidRDefault="004D5C22" w:rsidP="00B36C6A">
      <w:pPr>
        <w:pStyle w:val="BasicParagraph"/>
        <w:numPr>
          <w:ilvl w:val="1"/>
          <w:numId w:val="14"/>
        </w:numPr>
        <w:suppressAutoHyphens/>
        <w:spacing w:line="276" w:lineRule="auto"/>
        <w:rPr>
          <w:rFonts w:ascii="Verdana" w:hAnsi="Verdana"/>
        </w:rPr>
      </w:pPr>
      <w:r>
        <w:rPr>
          <w:rFonts w:ascii="Verdana" w:hAnsi="Verdana"/>
        </w:rPr>
        <w:t xml:space="preserve">In </w:t>
      </w:r>
      <w:r w:rsidR="00B42C60">
        <w:rPr>
          <w:rFonts w:ascii="Verdana" w:hAnsi="Verdana"/>
        </w:rPr>
        <w:t xml:space="preserve">April </w:t>
      </w:r>
      <w:r>
        <w:rPr>
          <w:rFonts w:ascii="Verdana" w:hAnsi="Verdana"/>
        </w:rPr>
        <w:t>2023</w:t>
      </w:r>
      <w:r w:rsidR="00747B85">
        <w:rPr>
          <w:rFonts w:ascii="Verdana" w:hAnsi="Verdana"/>
        </w:rPr>
        <w:t>,</w:t>
      </w:r>
      <w:r>
        <w:rPr>
          <w:rFonts w:ascii="Verdana" w:hAnsi="Verdana"/>
        </w:rPr>
        <w:t xml:space="preserve"> the Equality Commission NI published a report on the impact of Brexit on the rights of minority ethnic and migrant people in NI.</w:t>
      </w:r>
      <w:r>
        <w:rPr>
          <w:rStyle w:val="FootnoteReference"/>
          <w:rFonts w:ascii="Verdana" w:hAnsi="Verdana"/>
        </w:rPr>
        <w:footnoteReference w:id="54"/>
      </w:r>
      <w:r>
        <w:rPr>
          <w:rFonts w:ascii="Verdana" w:hAnsi="Verdana"/>
        </w:rPr>
        <w:t xml:space="preserve"> The report highlighted instances where EU migrants had been wrongly refused access to healthcare because their residency status under the EU Settlement Scheme had not been reflected in their online profile.</w:t>
      </w:r>
      <w:r w:rsidR="00EC2F8A">
        <w:rPr>
          <w:rFonts w:ascii="Verdana" w:hAnsi="Verdana"/>
        </w:rPr>
        <w:t xml:space="preserve"> </w:t>
      </w:r>
      <w:r w:rsidR="00232C0C">
        <w:rPr>
          <w:rFonts w:ascii="Verdana" w:hAnsi="Verdana"/>
        </w:rPr>
        <w:t xml:space="preserve">In </w:t>
      </w:r>
      <w:r w:rsidR="00C31220">
        <w:rPr>
          <w:rFonts w:ascii="Verdana" w:hAnsi="Verdana"/>
        </w:rPr>
        <w:t xml:space="preserve">May </w:t>
      </w:r>
      <w:r w:rsidR="00232C0C">
        <w:rPr>
          <w:rFonts w:ascii="Verdana" w:hAnsi="Verdana"/>
        </w:rPr>
        <w:t>2023</w:t>
      </w:r>
      <w:r w:rsidR="00C31220">
        <w:rPr>
          <w:rFonts w:ascii="Verdana" w:hAnsi="Verdana"/>
        </w:rPr>
        <w:t>,</w:t>
      </w:r>
      <w:r w:rsidR="00232C0C">
        <w:rPr>
          <w:rFonts w:ascii="Verdana" w:hAnsi="Verdana"/>
        </w:rPr>
        <w:t xml:space="preserve"> the </w:t>
      </w:r>
      <w:r w:rsidR="00EC2F8A">
        <w:rPr>
          <w:rFonts w:ascii="Verdana" w:hAnsi="Verdana"/>
        </w:rPr>
        <w:t>Independent</w:t>
      </w:r>
      <w:r w:rsidR="00232C0C">
        <w:rPr>
          <w:rFonts w:ascii="Verdana" w:hAnsi="Verdana"/>
        </w:rPr>
        <w:t xml:space="preserve"> Monitoring Authority published a report </w:t>
      </w:r>
      <w:r w:rsidR="00EC2F8A">
        <w:rPr>
          <w:rFonts w:ascii="Verdana" w:hAnsi="Verdana"/>
        </w:rPr>
        <w:t xml:space="preserve">identifying </w:t>
      </w:r>
      <w:r w:rsidR="00C31220">
        <w:rPr>
          <w:rFonts w:ascii="Verdana" w:hAnsi="Verdana"/>
        </w:rPr>
        <w:t xml:space="preserve">that some unsuccessful applicants to the EU Settlement Scheme </w:t>
      </w:r>
      <w:r w:rsidR="00843001">
        <w:rPr>
          <w:rFonts w:ascii="Verdana" w:hAnsi="Verdana"/>
        </w:rPr>
        <w:t>may have been wrongly charged for NHS treatment whilst the outcome of their application was still pending.</w:t>
      </w:r>
      <w:r w:rsidR="00843001">
        <w:rPr>
          <w:rStyle w:val="FootnoteReference"/>
          <w:rFonts w:ascii="Verdana" w:hAnsi="Verdana"/>
        </w:rPr>
        <w:footnoteReference w:id="55"/>
      </w:r>
      <w:r w:rsidR="00843001">
        <w:rPr>
          <w:rFonts w:ascii="Verdana" w:hAnsi="Verdana"/>
        </w:rPr>
        <w:t xml:space="preserve"> </w:t>
      </w:r>
    </w:p>
    <w:p w14:paraId="3230938E" w14:textId="77777777" w:rsidR="00E12C6E" w:rsidRDefault="00E12C6E" w:rsidP="00B36C6A">
      <w:pPr>
        <w:pStyle w:val="ListParagraph"/>
        <w:spacing w:line="276" w:lineRule="auto"/>
        <w:rPr>
          <w:rFonts w:ascii="Verdana" w:hAnsi="Verdana"/>
        </w:rPr>
      </w:pPr>
    </w:p>
    <w:p w14:paraId="4C97AC83" w14:textId="3D5E838C" w:rsidR="00D171CF" w:rsidRPr="00C5275F" w:rsidRDefault="006202A1" w:rsidP="00B36C6A">
      <w:pPr>
        <w:pStyle w:val="ListParagraph"/>
        <w:spacing w:line="276" w:lineRule="auto"/>
        <w:rPr>
          <w:rFonts w:ascii="Verdana" w:hAnsi="Verdana"/>
        </w:rPr>
      </w:pPr>
      <w:r w:rsidRPr="004A3C70">
        <w:rPr>
          <w:rFonts w:ascii="Verdana" w:hAnsi="Verdana" w:cs="MinionPro-Regular"/>
          <w:color w:val="000000"/>
        </w:rPr>
        <w:t xml:space="preserve">In July 2023, the Home Office announced changes to the EU Settlement Scheme </w:t>
      </w:r>
      <w:r w:rsidR="00C7211A">
        <w:rPr>
          <w:rFonts w:ascii="Verdana" w:hAnsi="Verdana"/>
        </w:rPr>
        <w:t xml:space="preserve">such </w:t>
      </w:r>
      <w:r w:rsidR="00AD05E8" w:rsidRPr="00C5275F">
        <w:rPr>
          <w:rFonts w:ascii="Verdana" w:hAnsi="Verdana"/>
        </w:rPr>
        <w:t>that from September 2023 people with pre-settled status will automatically have their status extended by two years before it expires, if they have not obtained settled status already.</w:t>
      </w:r>
      <w:r w:rsidR="00C34997">
        <w:rPr>
          <w:rStyle w:val="FootnoteReference"/>
          <w:rFonts w:ascii="Verdana" w:hAnsi="Verdana"/>
        </w:rPr>
        <w:footnoteReference w:id="56"/>
      </w:r>
      <w:r w:rsidR="00E36B67" w:rsidRPr="00C5275F">
        <w:rPr>
          <w:rFonts w:ascii="Verdana" w:hAnsi="Verdana"/>
        </w:rPr>
        <w:t xml:space="preserve"> These changes to the Scheme </w:t>
      </w:r>
      <w:r w:rsidRPr="004A3C70">
        <w:rPr>
          <w:rFonts w:ascii="Verdana" w:hAnsi="Verdana" w:cs="MinionPro-Regular"/>
          <w:color w:val="000000"/>
        </w:rPr>
        <w:t>follo</w:t>
      </w:r>
      <w:r w:rsidR="00E36B67" w:rsidRPr="00C5275F">
        <w:rPr>
          <w:rFonts w:ascii="Verdana" w:hAnsi="Verdana"/>
        </w:rPr>
        <w:t>w</w:t>
      </w:r>
      <w:r w:rsidRPr="004A3C70">
        <w:rPr>
          <w:rFonts w:ascii="Verdana" w:hAnsi="Verdana" w:cs="MinionPro-Regular"/>
          <w:color w:val="000000"/>
        </w:rPr>
        <w:t xml:space="preserve"> the JR case</w:t>
      </w:r>
      <w:r w:rsidR="0039028E">
        <w:rPr>
          <w:rStyle w:val="FootnoteReference"/>
          <w:rFonts w:ascii="Verdana" w:hAnsi="Verdana"/>
        </w:rPr>
        <w:footnoteReference w:id="57"/>
      </w:r>
      <w:r w:rsidR="00C34997" w:rsidRPr="00C5275F">
        <w:rPr>
          <w:rFonts w:ascii="Verdana" w:hAnsi="Verdana"/>
        </w:rPr>
        <w:t xml:space="preserve"> concerning </w:t>
      </w:r>
      <w:r w:rsidR="000D011E" w:rsidRPr="00C5275F">
        <w:rPr>
          <w:rFonts w:ascii="Verdana" w:hAnsi="Verdana"/>
        </w:rPr>
        <w:t xml:space="preserve">the </w:t>
      </w:r>
      <w:r w:rsidR="00C34997" w:rsidRPr="00C5275F">
        <w:rPr>
          <w:rFonts w:ascii="Verdana" w:hAnsi="Verdana"/>
        </w:rPr>
        <w:t xml:space="preserve">possible </w:t>
      </w:r>
      <w:r w:rsidR="000D011E" w:rsidRPr="00C5275F">
        <w:rPr>
          <w:rFonts w:ascii="Verdana" w:hAnsi="Verdana"/>
        </w:rPr>
        <w:t xml:space="preserve">unlawful </w:t>
      </w:r>
      <w:r w:rsidR="00C34997" w:rsidRPr="00C5275F">
        <w:rPr>
          <w:rFonts w:ascii="Verdana" w:hAnsi="Verdana"/>
        </w:rPr>
        <w:t>loss of</w:t>
      </w:r>
      <w:r w:rsidR="0044147B" w:rsidRPr="00C5275F">
        <w:rPr>
          <w:rFonts w:ascii="Verdana" w:hAnsi="Verdana"/>
        </w:rPr>
        <w:t xml:space="preserve"> rights, including access to health,</w:t>
      </w:r>
      <w:r w:rsidR="00950211" w:rsidRPr="00C5275F">
        <w:rPr>
          <w:rFonts w:ascii="Verdana" w:hAnsi="Verdana"/>
        </w:rPr>
        <w:t xml:space="preserve"> if an applicant failed to either apply or re-apply for settled status</w:t>
      </w:r>
      <w:r w:rsidR="0066248B" w:rsidRPr="00C5275F">
        <w:rPr>
          <w:rFonts w:ascii="Verdana" w:hAnsi="Verdana"/>
        </w:rPr>
        <w:t xml:space="preserve"> under the EU Settlement Scheme.</w:t>
      </w:r>
      <w:r w:rsidR="0066248B">
        <w:rPr>
          <w:rStyle w:val="FootnoteReference"/>
          <w:rFonts w:ascii="Verdana" w:hAnsi="Verdana"/>
        </w:rPr>
        <w:footnoteReference w:id="58"/>
      </w:r>
      <w:r w:rsidR="0066248B" w:rsidRPr="00C5275F">
        <w:rPr>
          <w:rFonts w:ascii="Verdana" w:hAnsi="Verdana"/>
        </w:rPr>
        <w:t xml:space="preserve"> </w:t>
      </w:r>
      <w:r w:rsidR="00AA015A">
        <w:rPr>
          <w:rFonts w:ascii="Verdana" w:hAnsi="Verdana"/>
        </w:rPr>
        <w:t xml:space="preserve">The Home Office have announced that </w:t>
      </w:r>
      <w:r w:rsidR="00930F41">
        <w:rPr>
          <w:rFonts w:ascii="Verdana" w:hAnsi="Verdana"/>
        </w:rPr>
        <w:t xml:space="preserve">further </w:t>
      </w:r>
      <w:r w:rsidR="00AA015A">
        <w:rPr>
          <w:rFonts w:ascii="Verdana" w:hAnsi="Verdana"/>
        </w:rPr>
        <w:t xml:space="preserve">detailed </w:t>
      </w:r>
      <w:r w:rsidR="00930F41">
        <w:rPr>
          <w:rFonts w:ascii="Verdana" w:hAnsi="Verdana"/>
        </w:rPr>
        <w:t>guidelines</w:t>
      </w:r>
      <w:r w:rsidR="00AA015A">
        <w:rPr>
          <w:rFonts w:ascii="Verdana" w:hAnsi="Verdana"/>
        </w:rPr>
        <w:t xml:space="preserve"> on the new changes w</w:t>
      </w:r>
      <w:r w:rsidR="00876002">
        <w:rPr>
          <w:rFonts w:ascii="Verdana" w:hAnsi="Verdana"/>
        </w:rPr>
        <w:t>ill</w:t>
      </w:r>
      <w:r w:rsidR="00AA015A">
        <w:rPr>
          <w:rFonts w:ascii="Verdana" w:hAnsi="Verdana"/>
        </w:rPr>
        <w:t xml:space="preserve"> be made availa</w:t>
      </w:r>
      <w:r w:rsidR="00930F41">
        <w:rPr>
          <w:rFonts w:ascii="Verdana" w:hAnsi="Verdana"/>
        </w:rPr>
        <w:t>ble.</w:t>
      </w:r>
      <w:r w:rsidR="00930F41">
        <w:rPr>
          <w:rStyle w:val="FootnoteReference"/>
          <w:rFonts w:ascii="Verdana" w:hAnsi="Verdana"/>
        </w:rPr>
        <w:footnoteReference w:id="59"/>
      </w:r>
      <w:r w:rsidR="00930F41">
        <w:rPr>
          <w:rFonts w:ascii="Verdana" w:hAnsi="Verdana"/>
        </w:rPr>
        <w:t xml:space="preserve"> </w:t>
      </w:r>
    </w:p>
    <w:p w14:paraId="64A7AAF4" w14:textId="77777777" w:rsidR="00B36C6A" w:rsidRPr="00C5275F" w:rsidRDefault="00B36C6A" w:rsidP="00B36C6A">
      <w:pPr>
        <w:pStyle w:val="ListParagraph"/>
        <w:spacing w:line="276" w:lineRule="auto"/>
        <w:rPr>
          <w:rFonts w:ascii="Verdana" w:hAnsi="Verdana"/>
        </w:rPr>
      </w:pPr>
    </w:p>
    <w:p w14:paraId="08D7745C" w14:textId="379ED904" w:rsidR="00D171CF" w:rsidRPr="00417861" w:rsidRDefault="00D171CF" w:rsidP="00690279">
      <w:pPr>
        <w:pStyle w:val="ListParagraph"/>
        <w:numPr>
          <w:ilvl w:val="1"/>
          <w:numId w:val="14"/>
        </w:numPr>
        <w:spacing w:line="276" w:lineRule="auto"/>
        <w:rPr>
          <w:rFonts w:ascii="Verdana" w:hAnsi="Verdana"/>
          <w:b/>
          <w:bCs/>
        </w:rPr>
      </w:pPr>
      <w:r w:rsidRPr="00417861">
        <w:rPr>
          <w:rFonts w:ascii="Verdana" w:hAnsi="Verdana"/>
          <w:b/>
          <w:bCs/>
        </w:rPr>
        <w:t>The NIHRC recommends</w:t>
      </w:r>
      <w:r w:rsidR="00106F2B" w:rsidRPr="00417861">
        <w:rPr>
          <w:rFonts w:ascii="Verdana" w:hAnsi="Verdana"/>
          <w:b/>
          <w:bCs/>
        </w:rPr>
        <w:t xml:space="preserve"> that the </w:t>
      </w:r>
      <w:r w:rsidR="00CC5F1C" w:rsidRPr="00417861">
        <w:rPr>
          <w:rFonts w:ascii="Verdana" w:hAnsi="Verdana"/>
          <w:b/>
          <w:bCs/>
        </w:rPr>
        <w:t>Department of Health and health trusts</w:t>
      </w:r>
      <w:r w:rsidR="00AE34C0">
        <w:rPr>
          <w:rFonts w:ascii="Verdana" w:hAnsi="Verdana"/>
          <w:b/>
          <w:bCs/>
        </w:rPr>
        <w:t xml:space="preserve"> ensure </w:t>
      </w:r>
      <w:r w:rsidR="003452DD" w:rsidRPr="003452DD">
        <w:rPr>
          <w:rFonts w:ascii="Verdana" w:hAnsi="Verdana"/>
          <w:b/>
          <w:bCs/>
        </w:rPr>
        <w:t xml:space="preserve">effective steps to identify and minimise procedural barriers to migrant </w:t>
      </w:r>
      <w:r w:rsidR="00CF7BE5">
        <w:rPr>
          <w:rFonts w:ascii="Verdana" w:hAnsi="Verdana"/>
          <w:b/>
          <w:bCs/>
        </w:rPr>
        <w:t>people, regardless of immigration status</w:t>
      </w:r>
      <w:r w:rsidR="003452DD" w:rsidRPr="003452DD">
        <w:rPr>
          <w:rFonts w:ascii="Verdana" w:hAnsi="Verdana"/>
          <w:b/>
          <w:bCs/>
        </w:rPr>
        <w:t xml:space="preserve">. This includes introducing guidance for healthcare professionals on </w:t>
      </w:r>
      <w:r w:rsidR="003452DD" w:rsidRPr="003452DD">
        <w:rPr>
          <w:rFonts w:ascii="Verdana" w:hAnsi="Verdana"/>
          <w:b/>
          <w:bCs/>
        </w:rPr>
        <w:lastRenderedPageBreak/>
        <w:t xml:space="preserve">providing effective </w:t>
      </w:r>
      <w:r w:rsidR="00CF7BE5" w:rsidRPr="003452DD">
        <w:rPr>
          <w:rFonts w:ascii="Verdana" w:hAnsi="Verdana"/>
          <w:b/>
          <w:bCs/>
        </w:rPr>
        <w:t>ac</w:t>
      </w:r>
      <w:r w:rsidR="00CF7BE5">
        <w:rPr>
          <w:rFonts w:ascii="Verdana" w:hAnsi="Verdana"/>
          <w:b/>
          <w:bCs/>
        </w:rPr>
        <w:t xml:space="preserve">cess, strengthening communication between GP services and health </w:t>
      </w:r>
      <w:proofErr w:type="gramStart"/>
      <w:r w:rsidR="00CF7BE5">
        <w:rPr>
          <w:rFonts w:ascii="Verdana" w:hAnsi="Verdana"/>
          <w:b/>
          <w:bCs/>
        </w:rPr>
        <w:t>trusts</w:t>
      </w:r>
      <w:proofErr w:type="gramEnd"/>
      <w:r w:rsidR="00CF7BE5">
        <w:rPr>
          <w:rFonts w:ascii="Verdana" w:hAnsi="Verdana"/>
          <w:b/>
          <w:bCs/>
        </w:rPr>
        <w:t xml:space="preserve"> and ensuring that patients are not wrongly charged for services.</w:t>
      </w:r>
    </w:p>
    <w:p w14:paraId="3F6BFA77" w14:textId="77777777" w:rsidR="00B2538E" w:rsidRPr="00B2538E" w:rsidRDefault="00B2538E" w:rsidP="00B36C6A">
      <w:pPr>
        <w:pStyle w:val="ListParagraph"/>
        <w:spacing w:line="276" w:lineRule="auto"/>
        <w:rPr>
          <w:rFonts w:ascii="Verdana" w:hAnsi="Verdana"/>
        </w:rPr>
      </w:pPr>
    </w:p>
    <w:p w14:paraId="382EA07A" w14:textId="46624DA0" w:rsidR="00CC27D9" w:rsidRPr="00BC4D00" w:rsidRDefault="00C201F0" w:rsidP="00B36C6A">
      <w:pPr>
        <w:pStyle w:val="ListParagraph"/>
        <w:keepNext/>
        <w:keepLines/>
        <w:numPr>
          <w:ilvl w:val="0"/>
          <w:numId w:val="14"/>
        </w:numPr>
        <w:spacing w:before="240" w:line="276" w:lineRule="auto"/>
        <w:ind w:left="284" w:hanging="426"/>
        <w:outlineLvl w:val="0"/>
        <w:rPr>
          <w:rFonts w:ascii="Verdana" w:eastAsiaTheme="majorEastAsia" w:hAnsi="Verdana" w:cstheme="majorBidi"/>
          <w:b/>
          <w:bCs/>
          <w:color w:val="77328A"/>
          <w:sz w:val="30"/>
          <w:szCs w:val="30"/>
        </w:rPr>
      </w:pPr>
      <w:r w:rsidRPr="00BC4D00">
        <w:rPr>
          <w:rFonts w:ascii="Verdana" w:eastAsiaTheme="majorEastAsia" w:hAnsi="Verdana" w:cstheme="majorBidi"/>
          <w:b/>
          <w:bCs/>
          <w:color w:val="77328A"/>
          <w:sz w:val="30"/>
          <w:szCs w:val="30"/>
        </w:rPr>
        <w:t>Access to knowledge</w:t>
      </w:r>
      <w:bookmarkEnd w:id="16"/>
    </w:p>
    <w:p w14:paraId="032595F7" w14:textId="07CA2834" w:rsidR="007F78F6" w:rsidRDefault="007F78F6" w:rsidP="00B36C6A">
      <w:pPr>
        <w:pStyle w:val="BasicParagraph"/>
        <w:suppressAutoHyphens/>
        <w:spacing w:line="276" w:lineRule="auto"/>
        <w:rPr>
          <w:rFonts w:ascii="Verdana" w:hAnsi="Verdana"/>
        </w:rPr>
      </w:pPr>
    </w:p>
    <w:p w14:paraId="724E8BA4" w14:textId="2E81312B" w:rsidR="005069A2" w:rsidRPr="00152EC2" w:rsidRDefault="0005742B" w:rsidP="005D27BB">
      <w:pPr>
        <w:pStyle w:val="BasicParagraph"/>
        <w:numPr>
          <w:ilvl w:val="1"/>
          <w:numId w:val="14"/>
        </w:numPr>
        <w:suppressAutoHyphens/>
        <w:spacing w:line="276" w:lineRule="auto"/>
        <w:rPr>
          <w:rFonts w:ascii="Verdana" w:hAnsi="Verdana"/>
        </w:rPr>
      </w:pPr>
      <w:r>
        <w:rPr>
          <w:rFonts w:ascii="Verdana" w:hAnsi="Verdana"/>
        </w:rPr>
        <w:t>As the research suggests, a fundamental aspect of h</w:t>
      </w:r>
      <w:r w:rsidR="007F78F6">
        <w:rPr>
          <w:rFonts w:ascii="Verdana" w:hAnsi="Verdana"/>
        </w:rPr>
        <w:t xml:space="preserve">uman rights </w:t>
      </w:r>
      <w:r>
        <w:rPr>
          <w:rFonts w:ascii="Verdana" w:hAnsi="Verdana"/>
        </w:rPr>
        <w:t xml:space="preserve">is that they </w:t>
      </w:r>
      <w:r w:rsidR="007F78F6">
        <w:rPr>
          <w:rFonts w:ascii="Verdana" w:hAnsi="Verdana"/>
        </w:rPr>
        <w:t xml:space="preserve">must be knowable </w:t>
      </w:r>
      <w:r>
        <w:rPr>
          <w:rFonts w:ascii="Verdana" w:hAnsi="Verdana"/>
        </w:rPr>
        <w:t>by ordinary individuals.</w:t>
      </w:r>
      <w:r w:rsidR="00555526">
        <w:rPr>
          <w:rStyle w:val="FootnoteReference"/>
          <w:rFonts w:ascii="Verdana" w:hAnsi="Verdana"/>
        </w:rPr>
        <w:footnoteReference w:id="60"/>
      </w:r>
      <w:r>
        <w:rPr>
          <w:rFonts w:ascii="Verdana" w:hAnsi="Verdana"/>
        </w:rPr>
        <w:t xml:space="preserve"> </w:t>
      </w:r>
      <w:r w:rsidR="002C14E9" w:rsidRPr="00152EC2">
        <w:rPr>
          <w:rFonts w:ascii="Verdana" w:hAnsi="Verdana"/>
        </w:rPr>
        <w:t xml:space="preserve">However, the </w:t>
      </w:r>
      <w:r w:rsidR="002B5345" w:rsidRPr="00152EC2">
        <w:rPr>
          <w:rFonts w:ascii="Verdana" w:hAnsi="Verdana"/>
        </w:rPr>
        <w:t>evidence presented in the research</w:t>
      </w:r>
      <w:r w:rsidR="000C4EE1" w:rsidRPr="00152EC2">
        <w:rPr>
          <w:rFonts w:ascii="Verdana" w:hAnsi="Verdana"/>
        </w:rPr>
        <w:t xml:space="preserve"> </w:t>
      </w:r>
      <w:r w:rsidR="0023738A" w:rsidRPr="00152EC2">
        <w:rPr>
          <w:rFonts w:ascii="Verdana" w:hAnsi="Verdana"/>
        </w:rPr>
        <w:t>demonstrates</w:t>
      </w:r>
      <w:r w:rsidR="00A567B1" w:rsidRPr="00152EC2">
        <w:rPr>
          <w:rFonts w:ascii="Verdana" w:hAnsi="Verdana"/>
        </w:rPr>
        <w:t xml:space="preserve"> that </w:t>
      </w:r>
      <w:r w:rsidR="00060EB2" w:rsidRPr="00152EC2">
        <w:rPr>
          <w:rFonts w:ascii="Verdana" w:hAnsi="Verdana"/>
        </w:rPr>
        <w:t xml:space="preserve">frontline health staff </w:t>
      </w:r>
      <w:r w:rsidR="00991BCD" w:rsidRPr="00152EC2">
        <w:rPr>
          <w:rFonts w:ascii="Verdana" w:hAnsi="Verdana"/>
        </w:rPr>
        <w:t xml:space="preserve">currently </w:t>
      </w:r>
      <w:r w:rsidR="006810FB" w:rsidRPr="00152EC2">
        <w:rPr>
          <w:rFonts w:ascii="Verdana" w:hAnsi="Verdana"/>
        </w:rPr>
        <w:t xml:space="preserve">lack clear information about the applicable law </w:t>
      </w:r>
      <w:r w:rsidR="00F96ACF" w:rsidRPr="00152EC2">
        <w:rPr>
          <w:rFonts w:ascii="Verdana" w:hAnsi="Verdana"/>
        </w:rPr>
        <w:t xml:space="preserve">for </w:t>
      </w:r>
      <w:r w:rsidR="009E0006" w:rsidRPr="00152EC2">
        <w:rPr>
          <w:rFonts w:ascii="Verdana" w:hAnsi="Verdana"/>
        </w:rPr>
        <w:t xml:space="preserve">patients </w:t>
      </w:r>
      <w:r w:rsidR="00F96ACF" w:rsidRPr="00152EC2">
        <w:rPr>
          <w:rFonts w:ascii="Verdana" w:hAnsi="Verdana"/>
        </w:rPr>
        <w:t>accessing healthcare post-B</w:t>
      </w:r>
      <w:r w:rsidR="00F174EA" w:rsidRPr="00152EC2">
        <w:rPr>
          <w:rFonts w:ascii="Verdana" w:hAnsi="Verdana"/>
        </w:rPr>
        <w:t xml:space="preserve">rexit. </w:t>
      </w:r>
      <w:r w:rsidR="00422126" w:rsidRPr="00152EC2">
        <w:rPr>
          <w:rFonts w:ascii="Verdana" w:hAnsi="Verdana"/>
        </w:rPr>
        <w:t xml:space="preserve">Furthermore, </w:t>
      </w:r>
      <w:r w:rsidR="00EF27B3" w:rsidRPr="00152EC2">
        <w:rPr>
          <w:rFonts w:ascii="Verdana" w:hAnsi="Verdana"/>
        </w:rPr>
        <w:t xml:space="preserve">patients, NGOs and other third sector organisation working in the field find it </w:t>
      </w:r>
      <w:r w:rsidR="000C4EE1" w:rsidRPr="00152EC2">
        <w:rPr>
          <w:rFonts w:ascii="Verdana" w:hAnsi="Verdana"/>
        </w:rPr>
        <w:t>“</w:t>
      </w:r>
      <w:r w:rsidR="00EF27B3" w:rsidRPr="00152EC2">
        <w:rPr>
          <w:rFonts w:ascii="Verdana" w:hAnsi="Verdana"/>
        </w:rPr>
        <w:t>difficult or impossible</w:t>
      </w:r>
      <w:r w:rsidR="002C14E9" w:rsidRPr="00152EC2">
        <w:rPr>
          <w:rFonts w:ascii="Verdana" w:hAnsi="Verdana"/>
        </w:rPr>
        <w:t>”</w:t>
      </w:r>
      <w:r w:rsidR="00EF27B3" w:rsidRPr="00152EC2">
        <w:rPr>
          <w:rFonts w:ascii="Verdana" w:hAnsi="Verdana"/>
        </w:rPr>
        <w:t xml:space="preserve"> to access the relevant </w:t>
      </w:r>
      <w:r w:rsidR="005528B6" w:rsidRPr="00152EC2">
        <w:rPr>
          <w:rFonts w:ascii="Verdana" w:hAnsi="Verdana"/>
        </w:rPr>
        <w:t>legal texts.</w:t>
      </w:r>
      <w:r w:rsidR="000C4EE1">
        <w:rPr>
          <w:rStyle w:val="FootnoteReference"/>
          <w:rFonts w:ascii="Verdana" w:hAnsi="Verdana"/>
        </w:rPr>
        <w:footnoteReference w:id="61"/>
      </w:r>
    </w:p>
    <w:p w14:paraId="4A50067E" w14:textId="77777777" w:rsidR="005069A2" w:rsidRDefault="005069A2" w:rsidP="00B36C6A">
      <w:pPr>
        <w:pStyle w:val="ListParagraph"/>
        <w:spacing w:line="276" w:lineRule="auto"/>
        <w:rPr>
          <w:rFonts w:ascii="Verdana" w:hAnsi="Verdana"/>
        </w:rPr>
      </w:pPr>
    </w:p>
    <w:p w14:paraId="61F137F9" w14:textId="5012F089" w:rsidR="00417687" w:rsidRDefault="00F45257" w:rsidP="00B36C6A">
      <w:pPr>
        <w:pStyle w:val="BasicParagraph"/>
        <w:numPr>
          <w:ilvl w:val="1"/>
          <w:numId w:val="14"/>
        </w:numPr>
        <w:suppressAutoHyphens/>
        <w:spacing w:line="276" w:lineRule="auto"/>
        <w:rPr>
          <w:rFonts w:ascii="Verdana" w:hAnsi="Verdana"/>
        </w:rPr>
      </w:pPr>
      <w:r w:rsidRPr="005069A2">
        <w:rPr>
          <w:rFonts w:ascii="Verdana" w:hAnsi="Verdana"/>
        </w:rPr>
        <w:t xml:space="preserve">The research also warned that </w:t>
      </w:r>
      <w:r w:rsidR="00106EA2" w:rsidRPr="005069A2">
        <w:rPr>
          <w:rFonts w:ascii="Verdana" w:hAnsi="Verdana"/>
        </w:rPr>
        <w:t>while</w:t>
      </w:r>
      <w:r w:rsidRPr="005069A2">
        <w:rPr>
          <w:rFonts w:ascii="Verdana" w:hAnsi="Verdana"/>
        </w:rPr>
        <w:t xml:space="preserve"> </w:t>
      </w:r>
      <w:r w:rsidR="009A0DA2" w:rsidRPr="005069A2">
        <w:rPr>
          <w:rFonts w:ascii="Verdana" w:hAnsi="Verdana"/>
        </w:rPr>
        <w:t>there were</w:t>
      </w:r>
      <w:r w:rsidR="004E0FEE" w:rsidRPr="005069A2">
        <w:rPr>
          <w:rFonts w:ascii="Verdana" w:hAnsi="Verdana"/>
        </w:rPr>
        <w:t xml:space="preserve"> currently</w:t>
      </w:r>
      <w:r w:rsidR="009A0DA2" w:rsidRPr="005069A2">
        <w:rPr>
          <w:rFonts w:ascii="Verdana" w:hAnsi="Verdana"/>
        </w:rPr>
        <w:t xml:space="preserve"> few </w:t>
      </w:r>
      <w:r w:rsidRPr="005069A2">
        <w:rPr>
          <w:rFonts w:ascii="Verdana" w:hAnsi="Verdana"/>
        </w:rPr>
        <w:t xml:space="preserve">known examples of people being refused access to healthcare, </w:t>
      </w:r>
      <w:r w:rsidR="004E0FEE" w:rsidRPr="005069A2">
        <w:rPr>
          <w:rFonts w:ascii="Verdana" w:hAnsi="Verdana"/>
        </w:rPr>
        <w:t xml:space="preserve">the lack of information </w:t>
      </w:r>
      <w:r w:rsidR="00AF3296" w:rsidRPr="005069A2">
        <w:rPr>
          <w:rFonts w:ascii="Verdana" w:hAnsi="Verdana"/>
        </w:rPr>
        <w:t xml:space="preserve">for patients </w:t>
      </w:r>
      <w:r w:rsidR="000F6742" w:rsidRPr="005069A2">
        <w:rPr>
          <w:rFonts w:ascii="Verdana" w:hAnsi="Verdana"/>
        </w:rPr>
        <w:t xml:space="preserve">trying to access medical treatment under various </w:t>
      </w:r>
      <w:r w:rsidR="00FF622A" w:rsidRPr="005069A2">
        <w:rPr>
          <w:rFonts w:ascii="Verdana" w:hAnsi="Verdana"/>
        </w:rPr>
        <w:t xml:space="preserve">circumstances may further act as an obstacle to that access. </w:t>
      </w:r>
      <w:r w:rsidR="009E0006" w:rsidRPr="005069A2">
        <w:rPr>
          <w:rFonts w:ascii="Verdana" w:hAnsi="Verdana"/>
        </w:rPr>
        <w:t>T</w:t>
      </w:r>
      <w:r w:rsidR="00C77038" w:rsidRPr="005069A2">
        <w:rPr>
          <w:rFonts w:ascii="Verdana" w:hAnsi="Verdana"/>
        </w:rPr>
        <w:t xml:space="preserve">his was illustrated </w:t>
      </w:r>
      <w:r w:rsidR="00DD6F87" w:rsidRPr="005069A2">
        <w:rPr>
          <w:rFonts w:ascii="Verdana" w:hAnsi="Verdana"/>
        </w:rPr>
        <w:t>through</w:t>
      </w:r>
      <w:r w:rsidR="00C77038" w:rsidRPr="005069A2">
        <w:rPr>
          <w:rFonts w:ascii="Verdana" w:hAnsi="Verdana"/>
        </w:rPr>
        <w:t xml:space="preserve"> </w:t>
      </w:r>
      <w:r w:rsidR="00DD6F87" w:rsidRPr="005069A2">
        <w:rPr>
          <w:rFonts w:ascii="Verdana" w:hAnsi="Verdana"/>
        </w:rPr>
        <w:t>examples of</w:t>
      </w:r>
      <w:r w:rsidR="00AE2943" w:rsidRPr="005069A2">
        <w:rPr>
          <w:rFonts w:ascii="Verdana" w:hAnsi="Verdana"/>
        </w:rPr>
        <w:t xml:space="preserve"> mismatched</w:t>
      </w:r>
      <w:r w:rsidR="009A0DA2" w:rsidRPr="005069A2">
        <w:rPr>
          <w:rFonts w:ascii="Verdana" w:hAnsi="Verdana"/>
        </w:rPr>
        <w:t xml:space="preserve"> official</w:t>
      </w:r>
      <w:r w:rsidR="00DD6F87" w:rsidRPr="005069A2">
        <w:rPr>
          <w:rFonts w:ascii="Verdana" w:hAnsi="Verdana"/>
        </w:rPr>
        <w:t xml:space="preserve"> </w:t>
      </w:r>
      <w:r w:rsidR="009637CD" w:rsidRPr="005069A2">
        <w:rPr>
          <w:rFonts w:ascii="Verdana" w:hAnsi="Verdana"/>
        </w:rPr>
        <w:t>health and social care guidance</w:t>
      </w:r>
      <w:r w:rsidR="00181991">
        <w:rPr>
          <w:rFonts w:ascii="Verdana" w:hAnsi="Verdana"/>
        </w:rPr>
        <w:t xml:space="preserve"> relating to</w:t>
      </w:r>
      <w:r w:rsidR="00800FE3">
        <w:rPr>
          <w:rFonts w:ascii="Verdana" w:hAnsi="Verdana"/>
        </w:rPr>
        <w:t xml:space="preserve"> cross-border Directive on healthcare</w:t>
      </w:r>
      <w:r w:rsidR="006D72FD">
        <w:rPr>
          <w:rFonts w:ascii="Verdana" w:hAnsi="Verdana"/>
        </w:rPr>
        <w:t xml:space="preserve"> (which has since expired)</w:t>
      </w:r>
      <w:r w:rsidR="00FF622A" w:rsidRPr="005069A2">
        <w:rPr>
          <w:rFonts w:ascii="Verdana" w:hAnsi="Verdana"/>
        </w:rPr>
        <w:t xml:space="preserve">, </w:t>
      </w:r>
      <w:r w:rsidR="00C93F64" w:rsidRPr="005069A2">
        <w:rPr>
          <w:rFonts w:ascii="Verdana" w:hAnsi="Verdana"/>
        </w:rPr>
        <w:t>that</w:t>
      </w:r>
      <w:r w:rsidR="00FF622A" w:rsidRPr="005069A2">
        <w:rPr>
          <w:rFonts w:ascii="Verdana" w:hAnsi="Verdana"/>
        </w:rPr>
        <w:t xml:space="preserve"> </w:t>
      </w:r>
      <w:r w:rsidR="009A0DA2" w:rsidRPr="005069A2">
        <w:rPr>
          <w:rFonts w:ascii="Verdana" w:hAnsi="Verdana"/>
        </w:rPr>
        <w:t>had not been updated</w:t>
      </w:r>
      <w:r w:rsidR="00D0069F">
        <w:rPr>
          <w:rFonts w:ascii="Verdana" w:hAnsi="Verdana"/>
        </w:rPr>
        <w:t xml:space="preserve"> in a consistent manner</w:t>
      </w:r>
      <w:r w:rsidR="009A0DA2" w:rsidRPr="005069A2">
        <w:rPr>
          <w:rFonts w:ascii="Verdana" w:hAnsi="Verdana"/>
        </w:rPr>
        <w:t>.</w:t>
      </w:r>
      <w:r w:rsidR="002C14E9">
        <w:rPr>
          <w:rStyle w:val="FootnoteReference"/>
          <w:rFonts w:ascii="Verdana" w:hAnsi="Verdana"/>
        </w:rPr>
        <w:footnoteReference w:id="62"/>
      </w:r>
      <w:r w:rsidR="0028384E">
        <w:rPr>
          <w:rFonts w:ascii="Verdana" w:hAnsi="Verdana"/>
        </w:rPr>
        <w:t xml:space="preserve"> </w:t>
      </w:r>
    </w:p>
    <w:p w14:paraId="7DFD44D6" w14:textId="77777777" w:rsidR="00417687" w:rsidRDefault="00417687" w:rsidP="00B36C6A">
      <w:pPr>
        <w:pStyle w:val="ListParagraph"/>
        <w:spacing w:line="276" w:lineRule="auto"/>
        <w:rPr>
          <w:rFonts w:ascii="Verdana" w:hAnsi="Verdana"/>
        </w:rPr>
      </w:pPr>
    </w:p>
    <w:p w14:paraId="6C4A095A" w14:textId="6F6D4F59" w:rsidR="00115A97" w:rsidRDefault="00981DF1" w:rsidP="00B36C6A">
      <w:pPr>
        <w:pStyle w:val="BasicParagraph"/>
        <w:numPr>
          <w:ilvl w:val="1"/>
          <w:numId w:val="14"/>
        </w:numPr>
        <w:suppressAutoHyphens/>
        <w:spacing w:line="276" w:lineRule="auto"/>
        <w:rPr>
          <w:rFonts w:ascii="Verdana" w:hAnsi="Verdana"/>
        </w:rPr>
      </w:pPr>
      <w:r>
        <w:rPr>
          <w:rFonts w:ascii="Verdana" w:hAnsi="Verdana"/>
        </w:rPr>
        <w:t xml:space="preserve">The Health &amp; Social Care website reflects the decision to </w:t>
      </w:r>
      <w:r w:rsidR="0006784D">
        <w:rPr>
          <w:rFonts w:ascii="Verdana" w:hAnsi="Verdana"/>
        </w:rPr>
        <w:t xml:space="preserve">close the </w:t>
      </w:r>
      <w:r w:rsidR="00CD074F" w:rsidRPr="00CD074F">
        <w:rPr>
          <w:rFonts w:ascii="Verdana" w:hAnsi="Verdana"/>
        </w:rPr>
        <w:t>Health Services Republic of Ireland Reimbursement Scheme</w:t>
      </w:r>
      <w:r w:rsidR="00CD074F">
        <w:rPr>
          <w:rFonts w:ascii="Verdana" w:hAnsi="Verdana"/>
        </w:rPr>
        <w:t xml:space="preserve"> and provides information on the possible routes for NI patients to access </w:t>
      </w:r>
      <w:r w:rsidR="00246E27">
        <w:rPr>
          <w:rFonts w:ascii="Verdana" w:hAnsi="Verdana"/>
        </w:rPr>
        <w:t>healthcare outside of NI.</w:t>
      </w:r>
      <w:r w:rsidR="00246E27">
        <w:rPr>
          <w:rStyle w:val="FootnoteReference"/>
          <w:rFonts w:ascii="Verdana" w:hAnsi="Verdana"/>
        </w:rPr>
        <w:footnoteReference w:id="63"/>
      </w:r>
      <w:r w:rsidR="00156998">
        <w:rPr>
          <w:rFonts w:ascii="Verdana" w:hAnsi="Verdana"/>
        </w:rPr>
        <w:t xml:space="preserve"> The </w:t>
      </w:r>
      <w:r w:rsidR="00AA6883">
        <w:rPr>
          <w:rFonts w:ascii="Verdana" w:hAnsi="Verdana"/>
        </w:rPr>
        <w:t xml:space="preserve">website </w:t>
      </w:r>
      <w:r w:rsidR="00156998">
        <w:rPr>
          <w:rFonts w:ascii="Verdana" w:hAnsi="Verdana"/>
        </w:rPr>
        <w:t xml:space="preserve">reflects </w:t>
      </w:r>
      <w:r w:rsidR="00AA6883">
        <w:rPr>
          <w:rFonts w:ascii="Verdana" w:hAnsi="Verdana"/>
        </w:rPr>
        <w:t>access to healthcare under the Trade and Cooperation Agreement. At the same time</w:t>
      </w:r>
      <w:r w:rsidR="00516A0A">
        <w:rPr>
          <w:rFonts w:ascii="Verdana" w:hAnsi="Verdana"/>
        </w:rPr>
        <w:t xml:space="preserve">, the Health Service Executive </w:t>
      </w:r>
      <w:r w:rsidR="002A7B30">
        <w:rPr>
          <w:rFonts w:ascii="Verdana" w:hAnsi="Verdana"/>
        </w:rPr>
        <w:t xml:space="preserve">(ROI equivalent) website </w:t>
      </w:r>
      <w:r w:rsidR="009A58A8">
        <w:rPr>
          <w:rFonts w:ascii="Verdana" w:hAnsi="Verdana"/>
        </w:rPr>
        <w:t xml:space="preserve">still references the </w:t>
      </w:r>
      <w:r w:rsidR="009A58A8" w:rsidRPr="009A58A8">
        <w:rPr>
          <w:rFonts w:ascii="Verdana" w:hAnsi="Verdana"/>
        </w:rPr>
        <w:t>Northern Ireland Planned Healthcare Scheme</w:t>
      </w:r>
      <w:r w:rsidR="009A58A8">
        <w:rPr>
          <w:rFonts w:ascii="Verdana" w:hAnsi="Verdana"/>
        </w:rPr>
        <w:t xml:space="preserve"> allowing ROI patients to access healthcare in NI and has not been updated</w:t>
      </w:r>
      <w:r w:rsidR="00417687">
        <w:rPr>
          <w:rFonts w:ascii="Verdana" w:hAnsi="Verdana"/>
        </w:rPr>
        <w:t xml:space="preserve"> to reflect legislative changes. </w:t>
      </w:r>
    </w:p>
    <w:p w14:paraId="6F55B409" w14:textId="77777777" w:rsidR="00115A97" w:rsidRDefault="00115A97" w:rsidP="00B36C6A">
      <w:pPr>
        <w:pStyle w:val="ListParagraph"/>
        <w:spacing w:line="276" w:lineRule="auto"/>
        <w:rPr>
          <w:rFonts w:ascii="Verdana" w:hAnsi="Verdana"/>
        </w:rPr>
      </w:pPr>
    </w:p>
    <w:p w14:paraId="72BCF962" w14:textId="5159E943" w:rsidR="00115A97" w:rsidRDefault="0028384E" w:rsidP="00B36C6A">
      <w:pPr>
        <w:pStyle w:val="BasicParagraph"/>
        <w:numPr>
          <w:ilvl w:val="1"/>
          <w:numId w:val="14"/>
        </w:numPr>
        <w:suppressAutoHyphens/>
        <w:spacing w:line="276" w:lineRule="auto"/>
        <w:rPr>
          <w:rFonts w:ascii="Verdana" w:hAnsi="Verdana"/>
        </w:rPr>
      </w:pPr>
      <w:r>
        <w:rPr>
          <w:rFonts w:ascii="Verdana" w:hAnsi="Verdana"/>
        </w:rPr>
        <w:t>The Department of Health has since confirmed that</w:t>
      </w:r>
      <w:r w:rsidR="00E428D6">
        <w:rPr>
          <w:rFonts w:ascii="Verdana" w:hAnsi="Verdana"/>
        </w:rPr>
        <w:t xml:space="preserve"> the</w:t>
      </w:r>
      <w:r>
        <w:rPr>
          <w:rFonts w:ascii="Verdana" w:hAnsi="Verdana"/>
        </w:rPr>
        <w:t xml:space="preserve"> operational guidance </w:t>
      </w:r>
      <w:r w:rsidR="00436B31">
        <w:rPr>
          <w:rFonts w:ascii="Verdana" w:hAnsi="Verdana"/>
        </w:rPr>
        <w:t xml:space="preserve">for </w:t>
      </w:r>
      <w:r w:rsidR="007D5CC3">
        <w:rPr>
          <w:rFonts w:ascii="Verdana" w:hAnsi="Verdana"/>
        </w:rPr>
        <w:t>the P</w:t>
      </w:r>
      <w:r w:rsidR="007D5CC3" w:rsidRPr="007D5CC3">
        <w:rPr>
          <w:rFonts w:ascii="Verdana" w:hAnsi="Verdana"/>
        </w:rPr>
        <w:t>rovision of Health Services to Persons Not Ordinarily Resident Regulations (Northern Ireland) 2015</w:t>
      </w:r>
      <w:r w:rsidR="00436B31">
        <w:rPr>
          <w:rFonts w:ascii="Verdana" w:hAnsi="Verdana"/>
        </w:rPr>
        <w:t xml:space="preserve"> is up to date.</w:t>
      </w:r>
      <w:r w:rsidR="00436B31">
        <w:rPr>
          <w:rStyle w:val="FootnoteReference"/>
          <w:rFonts w:ascii="Verdana" w:hAnsi="Verdana"/>
        </w:rPr>
        <w:footnoteReference w:id="64"/>
      </w:r>
      <w:r w:rsidR="009A0DA2" w:rsidRPr="005069A2">
        <w:rPr>
          <w:rFonts w:ascii="Verdana" w:hAnsi="Verdana"/>
        </w:rPr>
        <w:t xml:space="preserve"> </w:t>
      </w:r>
      <w:r w:rsidR="00436B31">
        <w:rPr>
          <w:rFonts w:ascii="Verdana" w:hAnsi="Verdana"/>
        </w:rPr>
        <w:t xml:space="preserve">However, the regulations </w:t>
      </w:r>
      <w:r w:rsidR="00D8588C">
        <w:rPr>
          <w:rFonts w:ascii="Verdana" w:hAnsi="Verdana"/>
        </w:rPr>
        <w:t xml:space="preserve">themselves </w:t>
      </w:r>
      <w:r w:rsidR="00160863">
        <w:rPr>
          <w:rFonts w:ascii="Verdana" w:hAnsi="Verdana"/>
        </w:rPr>
        <w:t xml:space="preserve">were </w:t>
      </w:r>
      <w:r w:rsidR="008F69FB">
        <w:rPr>
          <w:rFonts w:ascii="Verdana" w:hAnsi="Verdana"/>
        </w:rPr>
        <w:t xml:space="preserve">last amended in 2022 and </w:t>
      </w:r>
      <w:r w:rsidR="00D8588C">
        <w:rPr>
          <w:rFonts w:ascii="Verdana" w:hAnsi="Verdana"/>
        </w:rPr>
        <w:t>cannot</w:t>
      </w:r>
      <w:r w:rsidR="00436B31">
        <w:rPr>
          <w:rFonts w:ascii="Verdana" w:hAnsi="Verdana"/>
        </w:rPr>
        <w:t xml:space="preserve"> </w:t>
      </w:r>
      <w:r w:rsidR="00B16FC7">
        <w:rPr>
          <w:rFonts w:ascii="Verdana" w:hAnsi="Verdana"/>
        </w:rPr>
        <w:t xml:space="preserve">be </w:t>
      </w:r>
      <w:r w:rsidR="008F69FB">
        <w:rPr>
          <w:rFonts w:ascii="Verdana" w:hAnsi="Verdana"/>
        </w:rPr>
        <w:t xml:space="preserve">further </w:t>
      </w:r>
      <w:r w:rsidR="00436B31">
        <w:rPr>
          <w:rFonts w:ascii="Verdana" w:hAnsi="Verdana"/>
        </w:rPr>
        <w:lastRenderedPageBreak/>
        <w:t>updated due to a lack of functioning Executive.</w:t>
      </w:r>
      <w:r w:rsidR="00436B31">
        <w:rPr>
          <w:rStyle w:val="FootnoteReference"/>
          <w:rFonts w:ascii="Verdana" w:hAnsi="Verdana"/>
        </w:rPr>
        <w:footnoteReference w:id="65"/>
      </w:r>
      <w:r w:rsidR="00436B31">
        <w:rPr>
          <w:rFonts w:ascii="Verdana" w:hAnsi="Verdana"/>
        </w:rPr>
        <w:t xml:space="preserve"> </w:t>
      </w:r>
      <w:r w:rsidR="0090024F">
        <w:rPr>
          <w:rFonts w:ascii="Verdana" w:hAnsi="Verdana"/>
        </w:rPr>
        <w:t xml:space="preserve">The </w:t>
      </w:r>
      <w:r w:rsidR="00ED542D">
        <w:rPr>
          <w:rFonts w:ascii="Verdana" w:hAnsi="Verdana"/>
        </w:rPr>
        <w:t>D</w:t>
      </w:r>
      <w:r w:rsidR="0090024F">
        <w:rPr>
          <w:rFonts w:ascii="Verdana" w:hAnsi="Verdana"/>
        </w:rPr>
        <w:t xml:space="preserve">epartment </w:t>
      </w:r>
      <w:r w:rsidR="00ED542D">
        <w:rPr>
          <w:rFonts w:ascii="Verdana" w:hAnsi="Verdana"/>
        </w:rPr>
        <w:t xml:space="preserve">of Health </w:t>
      </w:r>
      <w:r w:rsidR="0090024F">
        <w:rPr>
          <w:rFonts w:ascii="Verdana" w:hAnsi="Verdana"/>
        </w:rPr>
        <w:t xml:space="preserve">is currently undertaking a </w:t>
      </w:r>
      <w:r w:rsidR="004D46BF">
        <w:rPr>
          <w:rFonts w:ascii="Verdana" w:hAnsi="Verdana"/>
        </w:rPr>
        <w:t xml:space="preserve">policy review on access to healthcare in NI </w:t>
      </w:r>
      <w:r w:rsidR="0090024F">
        <w:rPr>
          <w:rFonts w:ascii="Verdana" w:hAnsi="Verdana"/>
        </w:rPr>
        <w:t>for different groups of people</w:t>
      </w:r>
      <w:r w:rsidR="00D8588C">
        <w:rPr>
          <w:rFonts w:ascii="Verdana" w:hAnsi="Verdana"/>
        </w:rPr>
        <w:t>.</w:t>
      </w:r>
      <w:r w:rsidR="0090024F">
        <w:rPr>
          <w:rStyle w:val="FootnoteReference"/>
          <w:rFonts w:ascii="Verdana" w:hAnsi="Verdana"/>
        </w:rPr>
        <w:footnoteReference w:id="66"/>
      </w:r>
      <w:r w:rsidR="0090024F">
        <w:rPr>
          <w:rFonts w:ascii="Verdana" w:hAnsi="Verdana"/>
        </w:rPr>
        <w:t xml:space="preserve"> </w:t>
      </w:r>
    </w:p>
    <w:p w14:paraId="56B82122" w14:textId="77777777" w:rsidR="00115A97" w:rsidRDefault="00115A97" w:rsidP="00B36C6A">
      <w:pPr>
        <w:pStyle w:val="ListParagraph"/>
        <w:spacing w:line="276" w:lineRule="auto"/>
        <w:rPr>
          <w:rFonts w:ascii="Verdana" w:hAnsi="Verdana"/>
        </w:rPr>
      </w:pPr>
    </w:p>
    <w:p w14:paraId="46054082" w14:textId="7DB43BA9" w:rsidR="00B23734" w:rsidRDefault="00FF3A2B" w:rsidP="00B36C6A">
      <w:pPr>
        <w:pStyle w:val="BasicParagraph"/>
        <w:numPr>
          <w:ilvl w:val="1"/>
          <w:numId w:val="14"/>
        </w:numPr>
        <w:suppressAutoHyphens/>
        <w:spacing w:line="276" w:lineRule="auto"/>
        <w:rPr>
          <w:rFonts w:ascii="Verdana" w:hAnsi="Verdana"/>
        </w:rPr>
      </w:pPr>
      <w:r w:rsidRPr="005069A2">
        <w:rPr>
          <w:rFonts w:ascii="Verdana" w:hAnsi="Verdana"/>
        </w:rPr>
        <w:t xml:space="preserve">The NIHRC </w:t>
      </w:r>
      <w:r w:rsidR="002A069A">
        <w:rPr>
          <w:rFonts w:ascii="Verdana" w:hAnsi="Verdana"/>
        </w:rPr>
        <w:t xml:space="preserve">will </w:t>
      </w:r>
      <w:r w:rsidR="00B66427">
        <w:rPr>
          <w:rFonts w:ascii="Verdana" w:hAnsi="Verdana"/>
        </w:rPr>
        <w:t xml:space="preserve">continue to </w:t>
      </w:r>
      <w:r w:rsidR="00E37D40" w:rsidRPr="005069A2">
        <w:rPr>
          <w:rFonts w:ascii="Verdana" w:hAnsi="Verdana"/>
        </w:rPr>
        <w:t>raise these concerns with the</w:t>
      </w:r>
      <w:r w:rsidRPr="005069A2">
        <w:rPr>
          <w:rFonts w:ascii="Verdana" w:hAnsi="Verdana"/>
        </w:rPr>
        <w:t xml:space="preserve"> relevant departments</w:t>
      </w:r>
      <w:r w:rsidR="00E37D40" w:rsidRPr="005069A2">
        <w:rPr>
          <w:rFonts w:ascii="Verdana" w:hAnsi="Verdana"/>
        </w:rPr>
        <w:t xml:space="preserve"> in NI, </w:t>
      </w:r>
      <w:proofErr w:type="gramStart"/>
      <w:r w:rsidR="00E37D40" w:rsidRPr="005069A2">
        <w:rPr>
          <w:rFonts w:ascii="Verdana" w:hAnsi="Verdana"/>
        </w:rPr>
        <w:t>Ireland</w:t>
      </w:r>
      <w:proofErr w:type="gramEnd"/>
      <w:r w:rsidR="00E37D40" w:rsidRPr="005069A2">
        <w:rPr>
          <w:rFonts w:ascii="Verdana" w:hAnsi="Verdana"/>
        </w:rPr>
        <w:t xml:space="preserve"> and the UK.</w:t>
      </w:r>
    </w:p>
    <w:p w14:paraId="2A659FDE" w14:textId="77777777" w:rsidR="00B23734" w:rsidRPr="00B23734" w:rsidRDefault="00B23734" w:rsidP="00B36C6A">
      <w:pPr>
        <w:pStyle w:val="BasicParagraph"/>
        <w:suppressAutoHyphens/>
        <w:spacing w:line="276" w:lineRule="auto"/>
        <w:rPr>
          <w:rFonts w:ascii="Verdana" w:hAnsi="Verdana"/>
        </w:rPr>
      </w:pPr>
    </w:p>
    <w:p w14:paraId="0BB86450" w14:textId="17DADFBF" w:rsidR="005069A2" w:rsidRPr="005069A2" w:rsidRDefault="00CE57B1" w:rsidP="00B36C6A">
      <w:pPr>
        <w:pStyle w:val="BasicParagraph"/>
        <w:numPr>
          <w:ilvl w:val="1"/>
          <w:numId w:val="14"/>
        </w:numPr>
        <w:suppressAutoHyphens/>
        <w:spacing w:line="276" w:lineRule="auto"/>
        <w:rPr>
          <w:rFonts w:ascii="Verdana" w:hAnsi="Verdana"/>
        </w:rPr>
      </w:pPr>
      <w:r w:rsidRPr="005069A2">
        <w:rPr>
          <w:rFonts w:ascii="Verdana" w:hAnsi="Verdana" w:cs="Gotham Book"/>
          <w:b/>
          <w:bCs/>
        </w:rPr>
        <w:t xml:space="preserve">The NIHRC recommends that </w:t>
      </w:r>
      <w:r w:rsidR="0018722F" w:rsidRPr="005069A2">
        <w:rPr>
          <w:rFonts w:ascii="Verdana" w:hAnsi="Verdana" w:cs="Gotham Book"/>
          <w:b/>
          <w:bCs/>
        </w:rPr>
        <w:t xml:space="preserve">the Department of Health </w:t>
      </w:r>
      <w:r w:rsidR="00846368" w:rsidRPr="005069A2">
        <w:rPr>
          <w:rFonts w:ascii="Verdana" w:hAnsi="Verdana" w:cs="Gotham Book"/>
          <w:b/>
          <w:bCs/>
        </w:rPr>
        <w:t xml:space="preserve">and </w:t>
      </w:r>
      <w:r w:rsidR="00C355E8" w:rsidRPr="005069A2">
        <w:rPr>
          <w:rFonts w:ascii="Verdana" w:hAnsi="Verdana" w:cs="Gotham Book"/>
          <w:b/>
          <w:bCs/>
        </w:rPr>
        <w:t xml:space="preserve">health </w:t>
      </w:r>
      <w:r w:rsidR="00846368" w:rsidRPr="005069A2">
        <w:rPr>
          <w:rFonts w:ascii="Verdana" w:hAnsi="Verdana" w:cs="Gotham Book"/>
          <w:b/>
          <w:bCs/>
        </w:rPr>
        <w:t>trusts</w:t>
      </w:r>
      <w:r w:rsidR="0018722F" w:rsidRPr="005069A2">
        <w:rPr>
          <w:rFonts w:ascii="Verdana" w:hAnsi="Verdana" w:cs="Gotham Book"/>
          <w:b/>
          <w:bCs/>
        </w:rPr>
        <w:t xml:space="preserve"> c</w:t>
      </w:r>
      <w:r w:rsidR="009637CD" w:rsidRPr="005069A2">
        <w:rPr>
          <w:rFonts w:ascii="Verdana" w:hAnsi="Verdana" w:cs="Gotham Book"/>
          <w:b/>
          <w:bCs/>
        </w:rPr>
        <w:t>larify the official publicly available legal texts</w:t>
      </w:r>
      <w:r w:rsidR="00D711C1">
        <w:rPr>
          <w:rFonts w:ascii="Verdana" w:hAnsi="Verdana" w:cs="Gotham Book"/>
          <w:b/>
          <w:bCs/>
        </w:rPr>
        <w:t xml:space="preserve"> and guidance</w:t>
      </w:r>
      <w:r w:rsidR="001133DC">
        <w:rPr>
          <w:rFonts w:ascii="Verdana" w:hAnsi="Verdana" w:cs="Gotham Book"/>
          <w:b/>
          <w:bCs/>
        </w:rPr>
        <w:t xml:space="preserve"> relating to </w:t>
      </w:r>
      <w:r w:rsidR="00182190">
        <w:rPr>
          <w:rFonts w:ascii="Verdana" w:hAnsi="Verdana" w:cs="Gotham Book"/>
          <w:b/>
          <w:bCs/>
        </w:rPr>
        <w:t>healthcare</w:t>
      </w:r>
      <w:r w:rsidR="00182190" w:rsidRPr="005069A2">
        <w:rPr>
          <w:rFonts w:ascii="Verdana" w:hAnsi="Verdana" w:cs="Gotham Book"/>
          <w:b/>
          <w:bCs/>
        </w:rPr>
        <w:t xml:space="preserve"> and</w:t>
      </w:r>
      <w:r w:rsidR="00846368" w:rsidRPr="005069A2">
        <w:rPr>
          <w:rFonts w:ascii="Verdana" w:hAnsi="Verdana" w:cs="Gotham Book"/>
          <w:b/>
          <w:bCs/>
        </w:rPr>
        <w:t xml:space="preserve"> bring </w:t>
      </w:r>
      <w:r w:rsidR="00C93F64" w:rsidRPr="005069A2">
        <w:rPr>
          <w:rFonts w:ascii="Verdana" w:hAnsi="Verdana" w:cs="Gotham Book"/>
          <w:b/>
          <w:bCs/>
        </w:rPr>
        <w:t xml:space="preserve">these </w:t>
      </w:r>
      <w:r w:rsidR="00846368" w:rsidRPr="005069A2">
        <w:rPr>
          <w:rFonts w:ascii="Verdana" w:hAnsi="Verdana" w:cs="Gotham Book"/>
          <w:b/>
          <w:bCs/>
        </w:rPr>
        <w:t>up to date as a matter of urgency.</w:t>
      </w:r>
      <w:r w:rsidR="00563A34">
        <w:rPr>
          <w:rFonts w:ascii="Verdana" w:hAnsi="Verdana" w:cs="Gotham Book"/>
          <w:b/>
          <w:bCs/>
        </w:rPr>
        <w:t xml:space="preserve"> In the absence of </w:t>
      </w:r>
      <w:r w:rsidR="00EB6EA4">
        <w:rPr>
          <w:rFonts w:ascii="Verdana" w:hAnsi="Verdana" w:cs="Gotham Book"/>
          <w:b/>
          <w:bCs/>
        </w:rPr>
        <w:t xml:space="preserve">a functioning NI Executive, the NIHRC further recommends that the UK Government </w:t>
      </w:r>
      <w:r w:rsidR="007F7471">
        <w:rPr>
          <w:rFonts w:ascii="Verdana" w:hAnsi="Verdana" w:cs="Gotham Book"/>
          <w:b/>
          <w:bCs/>
        </w:rPr>
        <w:t xml:space="preserve">ensure </w:t>
      </w:r>
      <w:r w:rsidR="00CE25A8">
        <w:rPr>
          <w:rFonts w:ascii="Verdana" w:hAnsi="Verdana" w:cs="Gotham Book"/>
          <w:b/>
          <w:bCs/>
        </w:rPr>
        <w:t xml:space="preserve">the legal texts </w:t>
      </w:r>
      <w:r w:rsidR="00182190">
        <w:rPr>
          <w:rFonts w:ascii="Verdana" w:hAnsi="Verdana" w:cs="Gotham Book"/>
          <w:b/>
          <w:bCs/>
        </w:rPr>
        <w:t xml:space="preserve">relating to healthcare </w:t>
      </w:r>
      <w:r w:rsidR="00CE25A8">
        <w:rPr>
          <w:rFonts w:ascii="Verdana" w:hAnsi="Verdana" w:cs="Gotham Book"/>
          <w:b/>
          <w:bCs/>
        </w:rPr>
        <w:t>are updated as a matter of urgency.</w:t>
      </w:r>
    </w:p>
    <w:p w14:paraId="3BED025E" w14:textId="77777777" w:rsidR="005069A2" w:rsidRDefault="005069A2" w:rsidP="00B36C6A">
      <w:pPr>
        <w:pStyle w:val="ListParagraph"/>
        <w:spacing w:line="276" w:lineRule="auto"/>
        <w:rPr>
          <w:rFonts w:ascii="Verdana" w:hAnsi="Verdana" w:cs="Gotham Book"/>
          <w:b/>
          <w:bCs/>
        </w:rPr>
      </w:pPr>
    </w:p>
    <w:p w14:paraId="3584A074" w14:textId="762613C7" w:rsidR="0040326A" w:rsidRPr="00E10B9A" w:rsidRDefault="0018722F" w:rsidP="00B36C6A">
      <w:pPr>
        <w:pStyle w:val="BasicParagraph"/>
        <w:numPr>
          <w:ilvl w:val="1"/>
          <w:numId w:val="14"/>
        </w:numPr>
        <w:suppressAutoHyphens/>
        <w:spacing w:line="276" w:lineRule="auto"/>
        <w:rPr>
          <w:rFonts w:ascii="Verdana" w:hAnsi="Verdana" w:cs="Arial"/>
          <w:color w:val="3C3C3B"/>
          <w:sz w:val="20"/>
          <w:szCs w:val="20"/>
        </w:rPr>
      </w:pPr>
      <w:r w:rsidRPr="007C54D8">
        <w:rPr>
          <w:rFonts w:ascii="Verdana" w:hAnsi="Verdana" w:cs="Gotham Book"/>
          <w:b/>
          <w:bCs/>
        </w:rPr>
        <w:t>The NIHRC</w:t>
      </w:r>
      <w:r w:rsidR="00846368" w:rsidRPr="007C54D8">
        <w:rPr>
          <w:rFonts w:ascii="Verdana" w:hAnsi="Verdana" w:cs="Gotham Book"/>
          <w:b/>
          <w:bCs/>
        </w:rPr>
        <w:t xml:space="preserve"> </w:t>
      </w:r>
      <w:r w:rsidRPr="007C54D8">
        <w:rPr>
          <w:rFonts w:ascii="Verdana" w:hAnsi="Verdana" w:cs="Gotham Book"/>
          <w:b/>
          <w:bCs/>
        </w:rPr>
        <w:t xml:space="preserve">recommends that </w:t>
      </w:r>
      <w:r w:rsidR="00846368" w:rsidRPr="007C54D8">
        <w:rPr>
          <w:rFonts w:ascii="Verdana" w:hAnsi="Verdana" w:cs="Gotham Book"/>
          <w:b/>
          <w:bCs/>
        </w:rPr>
        <w:t>accurate information</w:t>
      </w:r>
      <w:r w:rsidR="00C355E8" w:rsidRPr="007C54D8">
        <w:rPr>
          <w:rFonts w:ascii="Verdana" w:hAnsi="Verdana" w:cs="Gotham Book"/>
          <w:b/>
          <w:bCs/>
        </w:rPr>
        <w:t xml:space="preserve"> on access to healthcare on the island of Ireland</w:t>
      </w:r>
      <w:r w:rsidR="00D06FC5">
        <w:rPr>
          <w:rFonts w:ascii="Verdana" w:hAnsi="Verdana" w:cs="Gotham Book"/>
          <w:b/>
          <w:bCs/>
        </w:rPr>
        <w:t>, including rights and obligations,</w:t>
      </w:r>
      <w:r w:rsidR="00846368" w:rsidRPr="007C54D8">
        <w:rPr>
          <w:rFonts w:ascii="Verdana" w:hAnsi="Verdana" w:cs="Gotham Book"/>
          <w:b/>
          <w:bCs/>
        </w:rPr>
        <w:t xml:space="preserve"> is </w:t>
      </w:r>
      <w:r w:rsidR="00627D34" w:rsidRPr="007C54D8">
        <w:rPr>
          <w:rFonts w:ascii="Verdana" w:hAnsi="Verdana" w:cs="Gotham Book"/>
          <w:b/>
          <w:bCs/>
        </w:rPr>
        <w:t xml:space="preserve">accessible and </w:t>
      </w:r>
      <w:r w:rsidR="00846368" w:rsidRPr="007C54D8">
        <w:rPr>
          <w:rFonts w:ascii="Verdana" w:hAnsi="Verdana" w:cs="Gotham Book"/>
          <w:b/>
          <w:bCs/>
        </w:rPr>
        <w:t>disseminated</w:t>
      </w:r>
      <w:r w:rsidR="009637CD" w:rsidRPr="007C54D8">
        <w:rPr>
          <w:rFonts w:ascii="Verdana" w:hAnsi="Verdana" w:cs="Gotham Book"/>
          <w:b/>
          <w:bCs/>
        </w:rPr>
        <w:t xml:space="preserve"> in plain language</w:t>
      </w:r>
      <w:r w:rsidR="007C54D8">
        <w:rPr>
          <w:rFonts w:ascii="Verdana" w:hAnsi="Verdana" w:cs="Gotham Book"/>
          <w:b/>
          <w:bCs/>
        </w:rPr>
        <w:t>.</w:t>
      </w:r>
    </w:p>
    <w:p w14:paraId="101A0F2D" w14:textId="086CF701" w:rsidR="008C7A7A" w:rsidRPr="00BC4D00" w:rsidRDefault="00E10B9A" w:rsidP="00B36C6A">
      <w:pPr>
        <w:pStyle w:val="ListParagraph"/>
        <w:keepNext/>
        <w:keepLines/>
        <w:numPr>
          <w:ilvl w:val="0"/>
          <w:numId w:val="14"/>
        </w:numPr>
        <w:spacing w:before="240" w:line="276" w:lineRule="auto"/>
        <w:ind w:left="284" w:hanging="426"/>
        <w:outlineLvl w:val="0"/>
        <w:rPr>
          <w:rFonts w:ascii="Verdana" w:eastAsiaTheme="majorEastAsia" w:hAnsi="Verdana" w:cstheme="majorBidi"/>
          <w:b/>
          <w:bCs/>
          <w:color w:val="77328A"/>
          <w:sz w:val="30"/>
          <w:szCs w:val="30"/>
        </w:rPr>
      </w:pPr>
      <w:bookmarkStart w:id="17" w:name="_Toc104983344"/>
      <w:r w:rsidRPr="00BC4D00">
        <w:rPr>
          <w:rFonts w:ascii="Verdana" w:eastAsiaTheme="majorEastAsia" w:hAnsi="Verdana" w:cstheme="majorBidi"/>
          <w:b/>
          <w:bCs/>
          <w:color w:val="77328A"/>
          <w:sz w:val="30"/>
          <w:szCs w:val="30"/>
        </w:rPr>
        <w:t>Conclusi</w:t>
      </w:r>
      <w:r w:rsidR="00C854A8" w:rsidRPr="00BC4D00">
        <w:rPr>
          <w:rFonts w:ascii="Verdana" w:eastAsiaTheme="majorEastAsia" w:hAnsi="Verdana" w:cstheme="majorBidi"/>
          <w:b/>
          <w:bCs/>
          <w:color w:val="77328A"/>
          <w:sz w:val="30"/>
          <w:szCs w:val="30"/>
        </w:rPr>
        <w:t>on</w:t>
      </w:r>
      <w:bookmarkEnd w:id="17"/>
    </w:p>
    <w:p w14:paraId="6291FAA6" w14:textId="77777777" w:rsidR="005D6B9C" w:rsidRPr="00BC4D00" w:rsidRDefault="005D6B9C" w:rsidP="005D6B9C">
      <w:pPr>
        <w:pStyle w:val="ListParagraph"/>
        <w:keepNext/>
        <w:keepLines/>
        <w:spacing w:before="240" w:line="276" w:lineRule="auto"/>
        <w:ind w:left="284"/>
        <w:outlineLvl w:val="0"/>
        <w:rPr>
          <w:rFonts w:ascii="Verdana" w:eastAsiaTheme="majorEastAsia" w:hAnsi="Verdana" w:cstheme="majorBidi"/>
          <w:b/>
          <w:bCs/>
          <w:color w:val="77328A"/>
          <w:sz w:val="30"/>
          <w:szCs w:val="30"/>
        </w:rPr>
      </w:pPr>
    </w:p>
    <w:p w14:paraId="1D219AA4" w14:textId="1C64DCE3" w:rsidR="00AA6BA4" w:rsidRPr="008C7A7A" w:rsidRDefault="00BF1D8A" w:rsidP="005D6B9C">
      <w:pPr>
        <w:pStyle w:val="ListParagraph"/>
        <w:spacing w:line="276" w:lineRule="auto"/>
        <w:rPr>
          <w:rFonts w:ascii="Verdana" w:hAnsi="Verdana"/>
        </w:rPr>
      </w:pPr>
      <w:r w:rsidRPr="008C7A7A">
        <w:rPr>
          <w:rFonts w:ascii="Verdana" w:hAnsi="Verdana"/>
        </w:rPr>
        <w:t xml:space="preserve">The NIHRC </w:t>
      </w:r>
      <w:r w:rsidR="008C63F8" w:rsidRPr="008C7A7A">
        <w:rPr>
          <w:rFonts w:ascii="Verdana" w:hAnsi="Verdana"/>
        </w:rPr>
        <w:t>will continue to engage with stakeholders</w:t>
      </w:r>
      <w:r w:rsidR="00D347EB">
        <w:rPr>
          <w:rFonts w:ascii="Verdana" w:hAnsi="Verdana"/>
        </w:rPr>
        <w:t xml:space="preserve">, </w:t>
      </w:r>
      <w:r w:rsidR="00C854A8" w:rsidRPr="008C7A7A">
        <w:rPr>
          <w:rFonts w:ascii="Verdana" w:hAnsi="Verdana"/>
        </w:rPr>
        <w:t>relevant UK and NI government departments</w:t>
      </w:r>
      <w:r w:rsidR="00C20521">
        <w:rPr>
          <w:rFonts w:ascii="Verdana" w:hAnsi="Verdana"/>
        </w:rPr>
        <w:t xml:space="preserve"> and EU officials</w:t>
      </w:r>
      <w:r w:rsidR="008C63F8" w:rsidRPr="008C7A7A">
        <w:rPr>
          <w:rFonts w:ascii="Verdana" w:hAnsi="Verdana"/>
        </w:rPr>
        <w:t xml:space="preserve"> </w:t>
      </w:r>
      <w:r w:rsidR="00C854A8" w:rsidRPr="008C7A7A">
        <w:rPr>
          <w:rFonts w:ascii="Verdana" w:hAnsi="Verdana"/>
        </w:rPr>
        <w:t>on</w:t>
      </w:r>
      <w:r w:rsidR="008C63F8" w:rsidRPr="008C7A7A">
        <w:rPr>
          <w:rFonts w:ascii="Verdana" w:hAnsi="Verdana"/>
        </w:rPr>
        <w:t xml:space="preserve"> </w:t>
      </w:r>
      <w:r w:rsidR="00DE1F01" w:rsidRPr="008C7A7A">
        <w:rPr>
          <w:rFonts w:ascii="Verdana" w:hAnsi="Verdana"/>
        </w:rPr>
        <w:t>the issues set out above</w:t>
      </w:r>
      <w:r w:rsidR="00D347EB">
        <w:rPr>
          <w:rFonts w:ascii="Verdana" w:hAnsi="Verdana"/>
        </w:rPr>
        <w:t>.</w:t>
      </w:r>
      <w:r w:rsidR="00DE1F01" w:rsidRPr="008C7A7A">
        <w:rPr>
          <w:rFonts w:ascii="Verdana" w:hAnsi="Verdana"/>
        </w:rPr>
        <w:t xml:space="preserve"> </w:t>
      </w:r>
      <w:r w:rsidR="00D347EB">
        <w:rPr>
          <w:rFonts w:ascii="Verdana" w:hAnsi="Verdana"/>
        </w:rPr>
        <w:t>It will</w:t>
      </w:r>
      <w:r w:rsidR="00D02FB5">
        <w:rPr>
          <w:rFonts w:ascii="Verdana" w:hAnsi="Verdana"/>
        </w:rPr>
        <w:t xml:space="preserve"> also</w:t>
      </w:r>
      <w:r w:rsidR="00DE1F01" w:rsidRPr="008C7A7A">
        <w:rPr>
          <w:rFonts w:ascii="Verdana" w:hAnsi="Verdana"/>
        </w:rPr>
        <w:t xml:space="preserve"> </w:t>
      </w:r>
      <w:r w:rsidR="00C854A8" w:rsidRPr="008C7A7A">
        <w:rPr>
          <w:rFonts w:ascii="Verdana" w:hAnsi="Verdana"/>
        </w:rPr>
        <w:t xml:space="preserve">discuss </w:t>
      </w:r>
      <w:r w:rsidR="00DE1F01" w:rsidRPr="008C7A7A">
        <w:rPr>
          <w:rFonts w:ascii="Verdana" w:hAnsi="Verdana"/>
        </w:rPr>
        <w:t xml:space="preserve">next steps </w:t>
      </w:r>
      <w:r w:rsidR="007A4234">
        <w:rPr>
          <w:rFonts w:ascii="Verdana" w:hAnsi="Verdana"/>
        </w:rPr>
        <w:t xml:space="preserve">to ensure </w:t>
      </w:r>
      <w:r w:rsidR="00DE1F01" w:rsidRPr="008C7A7A">
        <w:rPr>
          <w:rFonts w:ascii="Verdana" w:hAnsi="Verdana"/>
        </w:rPr>
        <w:t>access to healthcare</w:t>
      </w:r>
      <w:r w:rsidR="00C854A8" w:rsidRPr="008C7A7A">
        <w:rPr>
          <w:rFonts w:ascii="Verdana" w:hAnsi="Verdana"/>
        </w:rPr>
        <w:t xml:space="preserve"> in </w:t>
      </w:r>
      <w:r w:rsidR="00D02FB5">
        <w:rPr>
          <w:rFonts w:ascii="Verdana" w:hAnsi="Verdana"/>
        </w:rPr>
        <w:t>NI</w:t>
      </w:r>
      <w:r w:rsidR="00C854A8" w:rsidRPr="008C7A7A">
        <w:rPr>
          <w:rFonts w:ascii="Verdana" w:hAnsi="Verdana"/>
        </w:rPr>
        <w:t xml:space="preserve"> </w:t>
      </w:r>
      <w:r w:rsidR="00D72ADF" w:rsidRPr="008C7A7A">
        <w:rPr>
          <w:rFonts w:ascii="Verdana" w:hAnsi="Verdana"/>
        </w:rPr>
        <w:t>and in relation to cross-border and all-island facilities</w:t>
      </w:r>
      <w:r w:rsidR="00C854A8" w:rsidRPr="008C7A7A">
        <w:rPr>
          <w:rFonts w:ascii="Verdana" w:hAnsi="Verdana"/>
        </w:rPr>
        <w:t xml:space="preserve">. </w:t>
      </w:r>
      <w:r w:rsidR="00D72ADF" w:rsidRPr="008C7A7A">
        <w:rPr>
          <w:rFonts w:ascii="Verdana" w:hAnsi="Verdana"/>
        </w:rPr>
        <w:t>Further c</w:t>
      </w:r>
      <w:r w:rsidR="007232D2" w:rsidRPr="008C7A7A">
        <w:rPr>
          <w:rFonts w:ascii="Verdana" w:hAnsi="Verdana"/>
        </w:rPr>
        <w:t xml:space="preserve">onsideration is also being given to other areas </w:t>
      </w:r>
      <w:r w:rsidR="00D72ADF" w:rsidRPr="008C7A7A">
        <w:rPr>
          <w:rFonts w:ascii="Verdana" w:hAnsi="Verdana"/>
        </w:rPr>
        <w:t>of concern set out in</w:t>
      </w:r>
      <w:r w:rsidR="007232D2" w:rsidRPr="008C7A7A">
        <w:rPr>
          <w:rFonts w:ascii="Verdana" w:hAnsi="Verdana"/>
        </w:rPr>
        <w:t xml:space="preserve"> the research, </w:t>
      </w:r>
      <w:r w:rsidR="008859BD">
        <w:rPr>
          <w:rFonts w:ascii="Verdana" w:hAnsi="Verdana"/>
        </w:rPr>
        <w:t>including</w:t>
      </w:r>
      <w:r w:rsidR="00827440">
        <w:rPr>
          <w:rFonts w:ascii="Verdana" w:hAnsi="Verdana"/>
        </w:rPr>
        <w:t xml:space="preserve"> the</w:t>
      </w:r>
      <w:r w:rsidR="007232D2" w:rsidRPr="008C7A7A">
        <w:rPr>
          <w:rFonts w:ascii="Verdana" w:hAnsi="Verdana"/>
        </w:rPr>
        <w:t xml:space="preserve"> </w:t>
      </w:r>
      <w:r w:rsidR="00827440">
        <w:rPr>
          <w:rFonts w:ascii="Verdana" w:hAnsi="Verdana"/>
        </w:rPr>
        <w:t>supply of</w:t>
      </w:r>
      <w:r w:rsidR="007232D2" w:rsidRPr="008C7A7A">
        <w:rPr>
          <w:rFonts w:ascii="Verdana" w:hAnsi="Verdana"/>
        </w:rPr>
        <w:t xml:space="preserve"> </w:t>
      </w:r>
      <w:r w:rsidR="005E40C8" w:rsidRPr="008C7A7A">
        <w:rPr>
          <w:rFonts w:ascii="Verdana" w:hAnsi="Verdana"/>
        </w:rPr>
        <w:t>medicines and medical products</w:t>
      </w:r>
      <w:r w:rsidR="00827440">
        <w:rPr>
          <w:rFonts w:ascii="Verdana" w:hAnsi="Verdana"/>
        </w:rPr>
        <w:t xml:space="preserve"> to NI after Brexit</w:t>
      </w:r>
      <w:r w:rsidR="00344625">
        <w:rPr>
          <w:rFonts w:ascii="Verdana" w:hAnsi="Verdana"/>
        </w:rPr>
        <w:t>, which may merit future investigation.</w:t>
      </w:r>
      <w:r w:rsidR="00827440">
        <w:rPr>
          <w:rStyle w:val="FootnoteReference"/>
          <w:rFonts w:ascii="Verdana" w:hAnsi="Verdana"/>
        </w:rPr>
        <w:footnoteReference w:id="67"/>
      </w:r>
      <w:r w:rsidR="002349B8">
        <w:rPr>
          <w:rFonts w:ascii="Verdana" w:hAnsi="Verdana"/>
        </w:rPr>
        <w:t xml:space="preserve"> </w:t>
      </w:r>
    </w:p>
    <w:p w14:paraId="4D53F9F8" w14:textId="77777777" w:rsidR="0040326A" w:rsidRDefault="004032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66D04C24" w14:textId="77777777" w:rsidR="0040326A" w:rsidRDefault="004032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5C0B16C6" w14:textId="66278217" w:rsidR="0040326A" w:rsidRDefault="006E0B59"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r>
        <w:rPr>
          <w:rFonts w:ascii="Verdana" w:hAnsi="Verdana" w:cs="Arial"/>
          <w:b/>
          <w:bCs/>
          <w:color w:val="77328A"/>
          <w:sz w:val="36"/>
          <w:szCs w:val="36"/>
        </w:rPr>
        <w:t xml:space="preserve">  </w:t>
      </w:r>
    </w:p>
    <w:p w14:paraId="0E717E7A" w14:textId="4EBD0EA5" w:rsidR="003C11E6" w:rsidRDefault="003C11E6" w:rsidP="00B36C6A">
      <w:pPr>
        <w:spacing w:line="276" w:lineRule="auto"/>
        <w:rPr>
          <w:rFonts w:ascii="Verdana" w:hAnsi="Verdana" w:cs="Arial"/>
          <w:b/>
          <w:bCs/>
          <w:color w:val="77328A"/>
          <w:sz w:val="36"/>
          <w:szCs w:val="36"/>
        </w:rPr>
      </w:pPr>
    </w:p>
    <w:p w14:paraId="26EA3AE0" w14:textId="77777777" w:rsidR="003C11E6" w:rsidRDefault="003C11E6"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30357347" w14:textId="77777777" w:rsidR="003C11E6" w:rsidRDefault="003C11E6"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39ED8466" w14:textId="77777777" w:rsidR="00232627" w:rsidRDefault="00232627"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74F0CF03" w14:textId="77777777" w:rsidR="00232627" w:rsidRDefault="00232627"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79E3D220" w14:textId="77777777" w:rsidR="00232627" w:rsidRDefault="00232627"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58A27B99"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1A1BA6FC"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3DFCC118"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235790E3"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401B71F2"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2DF47807"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163B6548"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17EA947A"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70B94B6F" w14:textId="77777777" w:rsidR="00981D6A" w:rsidRDefault="00981D6A"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74E49BBA" w14:textId="77777777" w:rsidR="00232627" w:rsidRDefault="00232627" w:rsidP="00B36C6A">
      <w:pPr>
        <w:widowControl w:val="0"/>
        <w:suppressAutoHyphens/>
        <w:autoSpaceDE w:val="0"/>
        <w:autoSpaceDN w:val="0"/>
        <w:adjustRightInd w:val="0"/>
        <w:spacing w:line="276" w:lineRule="auto"/>
        <w:textAlignment w:val="center"/>
        <w:rPr>
          <w:rFonts w:ascii="Verdana" w:hAnsi="Verdana" w:cs="Arial"/>
          <w:b/>
          <w:bCs/>
          <w:color w:val="77328A"/>
          <w:sz w:val="36"/>
          <w:szCs w:val="36"/>
        </w:rPr>
      </w:pPr>
    </w:p>
    <w:p w14:paraId="26F5380A" w14:textId="77777777" w:rsidR="00B36C6A" w:rsidRDefault="00B36C6A" w:rsidP="00B36C6A">
      <w:pPr>
        <w:widowControl w:val="0"/>
        <w:suppressAutoHyphens/>
        <w:autoSpaceDE w:val="0"/>
        <w:autoSpaceDN w:val="0"/>
        <w:adjustRightInd w:val="0"/>
        <w:spacing w:line="276" w:lineRule="auto"/>
        <w:textAlignment w:val="center"/>
        <w:rPr>
          <w:rFonts w:ascii="Verdana" w:hAnsi="Verdana" w:cs="Arial"/>
          <w:b/>
          <w:bCs/>
          <w:color w:val="77328A"/>
          <w:sz w:val="36"/>
          <w:szCs w:val="36"/>
        </w:rPr>
      </w:pPr>
    </w:p>
    <w:p w14:paraId="5E714309" w14:textId="77777777" w:rsidR="00B36C6A" w:rsidRDefault="00B36C6A" w:rsidP="00B36C6A">
      <w:pPr>
        <w:widowControl w:val="0"/>
        <w:suppressAutoHyphens/>
        <w:autoSpaceDE w:val="0"/>
        <w:autoSpaceDN w:val="0"/>
        <w:adjustRightInd w:val="0"/>
        <w:spacing w:line="276" w:lineRule="auto"/>
        <w:textAlignment w:val="center"/>
        <w:rPr>
          <w:rFonts w:ascii="Verdana" w:hAnsi="Verdana" w:cs="Arial"/>
          <w:b/>
          <w:bCs/>
          <w:color w:val="77328A"/>
          <w:sz w:val="36"/>
          <w:szCs w:val="36"/>
        </w:rPr>
      </w:pPr>
    </w:p>
    <w:p w14:paraId="3BB422FE" w14:textId="77777777" w:rsidR="00232627" w:rsidRDefault="00232627"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p>
    <w:p w14:paraId="25FF44A1" w14:textId="013725DC" w:rsidR="00371E7D" w:rsidRPr="00371E7D" w:rsidRDefault="00371E7D" w:rsidP="00B36C6A">
      <w:pPr>
        <w:widowControl w:val="0"/>
        <w:suppressAutoHyphens/>
        <w:autoSpaceDE w:val="0"/>
        <w:autoSpaceDN w:val="0"/>
        <w:adjustRightInd w:val="0"/>
        <w:spacing w:line="276" w:lineRule="auto"/>
        <w:jc w:val="center"/>
        <w:textAlignment w:val="center"/>
        <w:rPr>
          <w:rFonts w:ascii="Verdana" w:hAnsi="Verdana" w:cs="Arial"/>
          <w:b/>
          <w:bCs/>
          <w:color w:val="77328A"/>
          <w:sz w:val="36"/>
          <w:szCs w:val="36"/>
        </w:rPr>
      </w:pPr>
      <w:r w:rsidRPr="00371E7D">
        <w:rPr>
          <w:rFonts w:ascii="Verdana" w:hAnsi="Verdana" w:cs="Arial"/>
          <w:b/>
          <w:bCs/>
          <w:color w:val="77328A"/>
          <w:sz w:val="36"/>
          <w:szCs w:val="36"/>
        </w:rPr>
        <w:t xml:space="preserve">Contact </w:t>
      </w:r>
      <w:proofErr w:type="gramStart"/>
      <w:r w:rsidRPr="00371E7D">
        <w:rPr>
          <w:rFonts w:ascii="Verdana" w:hAnsi="Verdana" w:cs="Arial"/>
          <w:b/>
          <w:bCs/>
          <w:color w:val="77328A"/>
          <w:sz w:val="36"/>
          <w:szCs w:val="36"/>
        </w:rPr>
        <w:t>us</w:t>
      </w:r>
      <w:proofErr w:type="gramEnd"/>
      <w:r w:rsidRPr="00371E7D">
        <w:rPr>
          <w:rFonts w:ascii="Verdana" w:hAnsi="Verdana" w:cs="Arial"/>
          <w:b/>
          <w:bCs/>
          <w:color w:val="77328A"/>
          <w:sz w:val="36"/>
          <w:szCs w:val="36"/>
        </w:rPr>
        <w:t xml:space="preserve"> </w:t>
      </w:r>
    </w:p>
    <w:p w14:paraId="4CF8A3C3" w14:textId="77777777" w:rsidR="00371E7D" w:rsidRPr="00371E7D" w:rsidRDefault="00371E7D" w:rsidP="00B36C6A">
      <w:pPr>
        <w:widowControl w:val="0"/>
        <w:suppressAutoHyphens/>
        <w:autoSpaceDE w:val="0"/>
        <w:autoSpaceDN w:val="0"/>
        <w:adjustRightInd w:val="0"/>
        <w:spacing w:line="276" w:lineRule="auto"/>
        <w:jc w:val="center"/>
        <w:textAlignment w:val="center"/>
        <w:rPr>
          <w:rFonts w:ascii="Verdana" w:hAnsi="Verdana" w:cs="Arial"/>
          <w:b/>
          <w:color w:val="77328A"/>
          <w:sz w:val="36"/>
          <w:szCs w:val="36"/>
        </w:rPr>
      </w:pPr>
    </w:p>
    <w:p w14:paraId="79AF506B" w14:textId="77777777" w:rsidR="00371E7D" w:rsidRPr="00371E7D" w:rsidRDefault="00371E7D" w:rsidP="00B36C6A">
      <w:pPr>
        <w:spacing w:line="276" w:lineRule="auto"/>
        <w:jc w:val="center"/>
        <w:rPr>
          <w:rFonts w:ascii="Verdana" w:hAnsi="Verdana" w:cs="Arial"/>
          <w:b/>
          <w:color w:val="232120"/>
          <w:sz w:val="30"/>
          <w:szCs w:val="30"/>
        </w:rPr>
      </w:pPr>
      <w:r w:rsidRPr="00371E7D">
        <w:rPr>
          <w:rFonts w:ascii="Verdana" w:hAnsi="Verdana" w:cs="Arial"/>
          <w:b/>
          <w:color w:val="232120"/>
          <w:sz w:val="30"/>
          <w:szCs w:val="30"/>
        </w:rPr>
        <w:t>Eilis.Haughey@nihrc.org</w:t>
      </w:r>
    </w:p>
    <w:p w14:paraId="33678044" w14:textId="77777777" w:rsidR="00331C61" w:rsidRPr="00331C61" w:rsidRDefault="00331C61" w:rsidP="00B36C6A">
      <w:pPr>
        <w:spacing w:line="276" w:lineRule="auto"/>
        <w:jc w:val="center"/>
        <w:rPr>
          <w:rFonts w:ascii="Verdana" w:hAnsi="Verdana" w:cs="Arial"/>
          <w:b/>
          <w:color w:val="232120"/>
          <w:sz w:val="30"/>
          <w:szCs w:val="30"/>
        </w:rPr>
      </w:pPr>
    </w:p>
    <w:p w14:paraId="24B0787D" w14:textId="77777777" w:rsidR="00331C61" w:rsidRPr="00331C61" w:rsidRDefault="00000000" w:rsidP="00B36C6A">
      <w:pPr>
        <w:spacing w:line="276" w:lineRule="auto"/>
        <w:jc w:val="center"/>
        <w:rPr>
          <w:rFonts w:ascii="Verdana" w:hAnsi="Verdana" w:cs="Arial"/>
          <w:color w:val="232120"/>
          <w:sz w:val="28"/>
          <w:szCs w:val="28"/>
        </w:rPr>
      </w:pPr>
      <w:hyperlink r:id="rId12"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3"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210B0756" w14:textId="77777777" w:rsidR="00F56C78" w:rsidRPr="00331C61" w:rsidRDefault="00D16532" w:rsidP="00B36C6A">
      <w:pPr>
        <w:spacing w:line="276"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3F25435C" w14:textId="77777777" w:rsidR="00F56C78" w:rsidRPr="00331C61" w:rsidRDefault="00F56C78" w:rsidP="00B36C6A">
      <w:pPr>
        <w:spacing w:line="276" w:lineRule="auto"/>
        <w:jc w:val="center"/>
        <w:rPr>
          <w:rFonts w:ascii="Verdana" w:hAnsi="Verdana" w:cs="Arial"/>
          <w:b/>
          <w:color w:val="232120"/>
          <w:sz w:val="28"/>
          <w:szCs w:val="28"/>
        </w:rPr>
      </w:pPr>
    </w:p>
    <w:p w14:paraId="13960774" w14:textId="77777777" w:rsidR="00F56C78" w:rsidRPr="00331C61" w:rsidRDefault="00F56C78" w:rsidP="00B36C6A">
      <w:pPr>
        <w:spacing w:line="276" w:lineRule="auto"/>
        <w:jc w:val="center"/>
        <w:rPr>
          <w:rFonts w:ascii="Verdana" w:hAnsi="Verdana" w:cs="Arial"/>
          <w:color w:val="232120"/>
          <w:sz w:val="20"/>
          <w:szCs w:val="20"/>
        </w:rPr>
      </w:pPr>
    </w:p>
    <w:p w14:paraId="7DA8973F" w14:textId="77777777" w:rsidR="00705833" w:rsidRPr="00331C61" w:rsidRDefault="00F56C78" w:rsidP="00B36C6A">
      <w:pPr>
        <w:pStyle w:val="BasicParagraph"/>
        <w:suppressAutoHyphens/>
        <w:spacing w:line="276"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35ED8536" wp14:editId="741C4274">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headerReference w:type="default" r:id="rId15"/>
      <w:footerReference w:type="default" r:id="rId16"/>
      <w:headerReference w:type="first" r:id="rId17"/>
      <w:footerReference w:type="first" r:id="rId18"/>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52D5" w14:textId="77777777" w:rsidR="00CB214A" w:rsidRDefault="00CB214A" w:rsidP="00962B2B">
      <w:r>
        <w:separator/>
      </w:r>
    </w:p>
  </w:endnote>
  <w:endnote w:type="continuationSeparator" w:id="0">
    <w:p w14:paraId="78C5BF72" w14:textId="77777777" w:rsidR="00CB214A" w:rsidRDefault="00CB214A" w:rsidP="00962B2B">
      <w:r>
        <w:continuationSeparator/>
      </w:r>
    </w:p>
  </w:endnote>
  <w:endnote w:type="continuationNotice" w:id="1">
    <w:p w14:paraId="3C0C12E0" w14:textId="77777777" w:rsidR="00CB214A" w:rsidRDefault="00CB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B2B6" w14:textId="77777777" w:rsidR="00D2770F" w:rsidRDefault="00D2770F" w:rsidP="00656ECD">
    <w:pPr>
      <w:pStyle w:val="Footer"/>
      <w:jc w:val="right"/>
      <w:rPr>
        <w:rStyle w:val="PageNumber"/>
        <w:rFonts w:ascii="Arial" w:hAnsi="Arial" w:cs="Arial"/>
        <w:b/>
        <w:sz w:val="16"/>
        <w:szCs w:val="16"/>
      </w:rPr>
    </w:pPr>
  </w:p>
  <w:p w14:paraId="48B6B5CD"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FB1851">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BAA5" w14:textId="77777777" w:rsidR="00D2770F" w:rsidRDefault="00D2770F" w:rsidP="00046705">
    <w:pPr>
      <w:pStyle w:val="Footer"/>
      <w:jc w:val="right"/>
      <w:rPr>
        <w:rStyle w:val="PageNumber"/>
        <w:rFonts w:ascii="Arial" w:hAnsi="Arial" w:cs="Arial"/>
        <w:b/>
        <w:sz w:val="16"/>
        <w:szCs w:val="16"/>
      </w:rPr>
    </w:pPr>
  </w:p>
  <w:p w14:paraId="09454ED8"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AFE8" w14:textId="77777777" w:rsidR="00CB214A" w:rsidRPr="00B96D34" w:rsidRDefault="00CB214A" w:rsidP="00CC4407">
      <w:r>
        <w:separator/>
      </w:r>
    </w:p>
  </w:footnote>
  <w:footnote w:type="continuationSeparator" w:id="0">
    <w:p w14:paraId="5192B2DD" w14:textId="77777777" w:rsidR="00CB214A" w:rsidRDefault="00CB214A" w:rsidP="00962B2B">
      <w:r>
        <w:continuationSeparator/>
      </w:r>
    </w:p>
  </w:footnote>
  <w:footnote w:type="continuationNotice" w:id="1">
    <w:p w14:paraId="741883B6" w14:textId="77777777" w:rsidR="00CB214A" w:rsidRDefault="00CB214A"/>
  </w:footnote>
  <w:footnote w:id="2">
    <w:p w14:paraId="7359090A" w14:textId="77777777" w:rsidR="007A69CD" w:rsidRPr="00403D3E" w:rsidRDefault="007A69CD" w:rsidP="007A69CD">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1 The Protocol on Ireland / Northern Ireland was renamed by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 For clarity, we are referring to the Windsor Framework throughout this document. When Protocol appears in some quotes it should be understood as The Protocol on Ireland/NI. </w:t>
      </w:r>
    </w:p>
  </w:footnote>
  <w:footnote w:id="3">
    <w:p w14:paraId="7D836038" w14:textId="31CAB12D" w:rsidR="003C32C7" w:rsidRPr="00403D3E" w:rsidRDefault="003C32C7"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021566" w:rsidRPr="00403D3E">
        <w:rPr>
          <w:rFonts w:ascii="Verdana" w:hAnsi="Verdana"/>
          <w:color w:val="77328A"/>
          <w:sz w:val="16"/>
          <w:szCs w:val="16"/>
        </w:rPr>
        <w:t xml:space="preserve">Health and Social Care NI, ‘Access to health and social care guidance’ (HSC, 2015), at 9. </w:t>
      </w:r>
    </w:p>
  </w:footnote>
  <w:footnote w:id="4">
    <w:p w14:paraId="5706F5AE" w14:textId="403C37D4" w:rsidR="000C7C9E" w:rsidRPr="00403D3E" w:rsidRDefault="000C7C9E"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C</w:t>
      </w:r>
      <w:r w:rsidR="001B5C6F" w:rsidRPr="00403D3E">
        <w:rPr>
          <w:rFonts w:ascii="Verdana" w:hAnsi="Verdana"/>
          <w:color w:val="77328A"/>
          <w:sz w:val="16"/>
          <w:szCs w:val="16"/>
        </w:rPr>
        <w:t>olin</w:t>
      </w:r>
      <w:r w:rsidRPr="00403D3E">
        <w:rPr>
          <w:rFonts w:ascii="Verdana" w:hAnsi="Verdana"/>
          <w:color w:val="77328A"/>
          <w:sz w:val="16"/>
          <w:szCs w:val="16"/>
        </w:rPr>
        <w:t xml:space="preserve"> Murray, A</w:t>
      </w:r>
      <w:r w:rsidR="001B5C6F" w:rsidRPr="00403D3E">
        <w:rPr>
          <w:rFonts w:ascii="Verdana" w:hAnsi="Verdana"/>
          <w:color w:val="77328A"/>
          <w:sz w:val="16"/>
          <w:szCs w:val="16"/>
        </w:rPr>
        <w:t>oife</w:t>
      </w:r>
      <w:r w:rsidRPr="00403D3E">
        <w:rPr>
          <w:rFonts w:ascii="Verdana" w:hAnsi="Verdana"/>
          <w:color w:val="77328A"/>
          <w:sz w:val="16"/>
          <w:szCs w:val="16"/>
        </w:rPr>
        <w:t xml:space="preserve"> </w:t>
      </w:r>
      <w:proofErr w:type="gramStart"/>
      <w:r w:rsidRPr="00403D3E">
        <w:rPr>
          <w:rFonts w:ascii="Verdana" w:hAnsi="Verdana"/>
          <w:color w:val="77328A"/>
          <w:sz w:val="16"/>
          <w:szCs w:val="16"/>
        </w:rPr>
        <w:t>O’Donoghue</w:t>
      </w:r>
      <w:proofErr w:type="gramEnd"/>
      <w:r w:rsidRPr="00403D3E">
        <w:rPr>
          <w:rFonts w:ascii="Verdana" w:hAnsi="Verdana"/>
          <w:color w:val="77328A"/>
          <w:sz w:val="16"/>
          <w:szCs w:val="16"/>
        </w:rPr>
        <w:t xml:space="preserve"> and B</w:t>
      </w:r>
      <w:r w:rsidR="001B5C6F" w:rsidRPr="00403D3E">
        <w:rPr>
          <w:rFonts w:ascii="Verdana" w:hAnsi="Verdana"/>
          <w:color w:val="77328A"/>
          <w:sz w:val="16"/>
          <w:szCs w:val="16"/>
        </w:rPr>
        <w:t>en</w:t>
      </w:r>
      <w:r w:rsidRPr="00403D3E">
        <w:rPr>
          <w:rFonts w:ascii="Verdana" w:hAnsi="Verdana"/>
          <w:color w:val="77328A"/>
          <w:sz w:val="16"/>
          <w:szCs w:val="16"/>
        </w:rPr>
        <w:t xml:space="preserve"> Warwick, </w:t>
      </w:r>
      <w:r w:rsidR="006C52FC" w:rsidRPr="00403D3E">
        <w:rPr>
          <w:rFonts w:ascii="Verdana" w:hAnsi="Verdana"/>
          <w:color w:val="77328A"/>
          <w:sz w:val="16"/>
          <w:szCs w:val="16"/>
        </w:rPr>
        <w:t>‘</w:t>
      </w:r>
      <w:r w:rsidRPr="00403D3E">
        <w:rPr>
          <w:rFonts w:ascii="Verdana" w:hAnsi="Verdana"/>
          <w:color w:val="77328A"/>
          <w:sz w:val="16"/>
          <w:szCs w:val="16"/>
        </w:rPr>
        <w:t>Discussion Paper on Brexit</w:t>
      </w:r>
      <w:r w:rsidR="006C52FC" w:rsidRPr="00403D3E">
        <w:rPr>
          <w:rFonts w:ascii="Verdana" w:hAnsi="Verdana"/>
          <w:color w:val="77328A"/>
          <w:sz w:val="16"/>
          <w:szCs w:val="16"/>
        </w:rPr>
        <w:t>’</w:t>
      </w:r>
      <w:r w:rsidRPr="00403D3E">
        <w:rPr>
          <w:rFonts w:ascii="Verdana" w:hAnsi="Verdana"/>
          <w:color w:val="77328A"/>
          <w:sz w:val="16"/>
          <w:szCs w:val="16"/>
        </w:rPr>
        <w:t xml:space="preserve"> (</w:t>
      </w:r>
      <w:r w:rsidR="00F577E2" w:rsidRPr="00403D3E">
        <w:rPr>
          <w:rFonts w:ascii="Verdana" w:hAnsi="Verdana"/>
          <w:color w:val="77328A"/>
          <w:sz w:val="16"/>
          <w:szCs w:val="16"/>
        </w:rPr>
        <w:t>NIHRC and IHREC</w:t>
      </w:r>
      <w:r w:rsidRPr="00403D3E">
        <w:rPr>
          <w:rFonts w:ascii="Verdana" w:hAnsi="Verdana"/>
          <w:color w:val="77328A"/>
          <w:sz w:val="16"/>
          <w:szCs w:val="16"/>
        </w:rPr>
        <w:t>, 2018); S</w:t>
      </w:r>
      <w:r w:rsidR="001B5C6F" w:rsidRPr="00403D3E">
        <w:rPr>
          <w:rFonts w:ascii="Verdana" w:hAnsi="Verdana"/>
          <w:color w:val="77328A"/>
          <w:sz w:val="16"/>
          <w:szCs w:val="16"/>
        </w:rPr>
        <w:t>ilvia</w:t>
      </w:r>
      <w:r w:rsidRPr="00403D3E">
        <w:rPr>
          <w:rFonts w:ascii="Verdana" w:hAnsi="Verdana"/>
          <w:color w:val="77328A"/>
          <w:sz w:val="16"/>
          <w:szCs w:val="16"/>
        </w:rPr>
        <w:t xml:space="preserve"> de Mars, C</w:t>
      </w:r>
      <w:r w:rsidR="001B5C6F" w:rsidRPr="00403D3E">
        <w:rPr>
          <w:rFonts w:ascii="Verdana" w:hAnsi="Verdana"/>
          <w:color w:val="77328A"/>
          <w:sz w:val="16"/>
          <w:szCs w:val="16"/>
        </w:rPr>
        <w:t>olin</w:t>
      </w:r>
      <w:r w:rsidRPr="00403D3E">
        <w:rPr>
          <w:rFonts w:ascii="Verdana" w:hAnsi="Verdana"/>
          <w:color w:val="77328A"/>
          <w:sz w:val="16"/>
          <w:szCs w:val="16"/>
        </w:rPr>
        <w:t xml:space="preserve"> Murray, A</w:t>
      </w:r>
      <w:r w:rsidR="001B5C6F" w:rsidRPr="00403D3E">
        <w:rPr>
          <w:rFonts w:ascii="Verdana" w:hAnsi="Verdana"/>
          <w:color w:val="77328A"/>
          <w:sz w:val="16"/>
          <w:szCs w:val="16"/>
        </w:rPr>
        <w:t>oife</w:t>
      </w:r>
      <w:r w:rsidRPr="00403D3E">
        <w:rPr>
          <w:rFonts w:ascii="Verdana" w:hAnsi="Verdana"/>
          <w:color w:val="77328A"/>
          <w:sz w:val="16"/>
          <w:szCs w:val="16"/>
        </w:rPr>
        <w:t xml:space="preserve"> O’Donoghue and B</w:t>
      </w:r>
      <w:r w:rsidR="001B5C6F" w:rsidRPr="00403D3E">
        <w:rPr>
          <w:rFonts w:ascii="Verdana" w:hAnsi="Verdana"/>
          <w:color w:val="77328A"/>
          <w:sz w:val="16"/>
          <w:szCs w:val="16"/>
        </w:rPr>
        <w:t>en</w:t>
      </w:r>
      <w:r w:rsidRPr="00403D3E">
        <w:rPr>
          <w:rFonts w:ascii="Verdana" w:hAnsi="Verdana"/>
          <w:color w:val="77328A"/>
          <w:sz w:val="16"/>
          <w:szCs w:val="16"/>
        </w:rPr>
        <w:t xml:space="preserve"> Warwick, </w:t>
      </w:r>
      <w:r w:rsidR="006C52FC" w:rsidRPr="00403D3E">
        <w:rPr>
          <w:rFonts w:ascii="Verdana" w:hAnsi="Verdana"/>
          <w:color w:val="77328A"/>
          <w:sz w:val="16"/>
          <w:szCs w:val="16"/>
        </w:rPr>
        <w:t>‘</w:t>
      </w:r>
      <w:r w:rsidRPr="00403D3E">
        <w:rPr>
          <w:rFonts w:ascii="Verdana" w:hAnsi="Verdana"/>
          <w:color w:val="77328A"/>
          <w:sz w:val="16"/>
          <w:szCs w:val="16"/>
        </w:rPr>
        <w:t>Continuing EU Citizenship “Rights, Opportunities and Benefits” in Northern Ireland after Brexit</w:t>
      </w:r>
      <w:r w:rsidR="006C52FC" w:rsidRPr="00403D3E">
        <w:rPr>
          <w:rFonts w:ascii="Verdana" w:hAnsi="Verdana"/>
          <w:color w:val="77328A"/>
          <w:sz w:val="16"/>
          <w:szCs w:val="16"/>
        </w:rPr>
        <w:t>’</w:t>
      </w:r>
      <w:r w:rsidRPr="00403D3E">
        <w:rPr>
          <w:rFonts w:ascii="Verdana" w:hAnsi="Verdana"/>
          <w:color w:val="77328A"/>
          <w:sz w:val="16"/>
          <w:szCs w:val="16"/>
        </w:rPr>
        <w:t>, (</w:t>
      </w:r>
      <w:r w:rsidR="00B955A9" w:rsidRPr="00403D3E">
        <w:rPr>
          <w:rFonts w:ascii="Verdana" w:hAnsi="Verdana"/>
          <w:color w:val="77328A"/>
          <w:sz w:val="16"/>
          <w:szCs w:val="16"/>
        </w:rPr>
        <w:t>NIHRC and IHREC</w:t>
      </w:r>
      <w:r w:rsidRPr="00403D3E">
        <w:rPr>
          <w:rFonts w:ascii="Verdana" w:hAnsi="Verdana"/>
          <w:color w:val="77328A"/>
          <w:sz w:val="16"/>
          <w:szCs w:val="16"/>
        </w:rPr>
        <w:t>, 2020).</w:t>
      </w:r>
    </w:p>
  </w:footnote>
  <w:footnote w:id="5">
    <w:p w14:paraId="671B3A3E" w14:textId="77777777" w:rsidR="007E2157" w:rsidRPr="00403D3E" w:rsidRDefault="007E2157"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bookmarkStart w:id="2" w:name="_Hlk142903035"/>
      <w:r w:rsidRPr="00403D3E">
        <w:rPr>
          <w:rFonts w:ascii="Verdana" w:hAnsi="Verdana"/>
          <w:color w:val="77328A"/>
          <w:sz w:val="16"/>
          <w:szCs w:val="16"/>
        </w:rPr>
        <w:t>Tamara Hervey, ‘Brexit, Health and its potential impact on Article 2 of the Ireland/Northern Ireland Protocol’ (NIHRC, 2022).</w:t>
      </w:r>
    </w:p>
    <w:bookmarkEnd w:id="2"/>
  </w:footnote>
  <w:footnote w:id="6">
    <w:p w14:paraId="74A754DE" w14:textId="5AA9CD17" w:rsidR="00CF3327" w:rsidRPr="00403D3E" w:rsidRDefault="00CF3327"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Article 12,</w:t>
      </w:r>
      <w:r w:rsidR="00C26B23" w:rsidRPr="00403D3E">
        <w:rPr>
          <w:rFonts w:ascii="Verdana" w:hAnsi="Verdana"/>
          <w:color w:val="77328A"/>
          <w:sz w:val="16"/>
          <w:szCs w:val="16"/>
        </w:rPr>
        <w:t xml:space="preserve"> UN</w:t>
      </w:r>
      <w:r w:rsidRPr="00403D3E">
        <w:rPr>
          <w:rFonts w:ascii="Verdana" w:hAnsi="Verdana"/>
          <w:color w:val="77328A"/>
          <w:sz w:val="16"/>
          <w:szCs w:val="16"/>
        </w:rPr>
        <w:t xml:space="preserve"> </w:t>
      </w:r>
      <w:r w:rsidR="002112E2" w:rsidRPr="00403D3E">
        <w:rPr>
          <w:rFonts w:ascii="Verdana" w:hAnsi="Verdana"/>
          <w:color w:val="77328A"/>
          <w:sz w:val="16"/>
          <w:szCs w:val="16"/>
        </w:rPr>
        <w:t xml:space="preserve">International </w:t>
      </w:r>
      <w:r w:rsidR="007C0970" w:rsidRPr="00403D3E">
        <w:rPr>
          <w:rFonts w:ascii="Verdana" w:hAnsi="Verdana"/>
          <w:color w:val="77328A"/>
          <w:sz w:val="16"/>
          <w:szCs w:val="16"/>
        </w:rPr>
        <w:t>Covenant</w:t>
      </w:r>
      <w:r w:rsidR="002112E2" w:rsidRPr="00403D3E">
        <w:rPr>
          <w:rFonts w:ascii="Verdana" w:hAnsi="Verdana"/>
          <w:color w:val="77328A"/>
          <w:sz w:val="16"/>
          <w:szCs w:val="16"/>
        </w:rPr>
        <w:t xml:space="preserve"> on </w:t>
      </w:r>
      <w:r w:rsidR="00414239" w:rsidRPr="00403D3E">
        <w:rPr>
          <w:rFonts w:ascii="Verdana" w:hAnsi="Verdana"/>
          <w:color w:val="77328A"/>
          <w:sz w:val="16"/>
          <w:szCs w:val="16"/>
        </w:rPr>
        <w:t>Economic</w:t>
      </w:r>
      <w:r w:rsidR="003175D9" w:rsidRPr="00403D3E">
        <w:rPr>
          <w:rFonts w:ascii="Verdana" w:hAnsi="Verdana"/>
          <w:color w:val="77328A"/>
          <w:sz w:val="16"/>
          <w:szCs w:val="16"/>
        </w:rPr>
        <w:t>, Social and Cultural Rights 19</w:t>
      </w:r>
      <w:r w:rsidR="00410C14" w:rsidRPr="00403D3E">
        <w:rPr>
          <w:rFonts w:ascii="Verdana" w:hAnsi="Verdana"/>
          <w:color w:val="77328A"/>
          <w:sz w:val="16"/>
          <w:szCs w:val="16"/>
        </w:rPr>
        <w:t>66.</w:t>
      </w:r>
      <w:r w:rsidR="00C26B23" w:rsidRPr="00403D3E">
        <w:rPr>
          <w:rFonts w:ascii="Verdana" w:hAnsi="Verdana"/>
          <w:color w:val="77328A"/>
          <w:sz w:val="16"/>
          <w:szCs w:val="16"/>
        </w:rPr>
        <w:t xml:space="preserve"> </w:t>
      </w:r>
    </w:p>
  </w:footnote>
  <w:footnote w:id="7">
    <w:p w14:paraId="764BCBE3" w14:textId="0AFA2DCA" w:rsidR="00D0729A" w:rsidRPr="00403D3E" w:rsidRDefault="00D0729A" w:rsidP="00403D3E">
      <w:pPr>
        <w:pStyle w:val="FootnoteText"/>
        <w:rPr>
          <w:rFonts w:ascii="Verdana" w:hAnsi="Verdana"/>
          <w:color w:val="77328A"/>
          <w:sz w:val="16"/>
          <w:szCs w:val="16"/>
          <w:highlight w:val="yellow"/>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CF3327" w:rsidRPr="00403D3E">
        <w:rPr>
          <w:rFonts w:ascii="Verdana" w:hAnsi="Verdana"/>
          <w:color w:val="77328A"/>
          <w:sz w:val="16"/>
          <w:szCs w:val="16"/>
        </w:rPr>
        <w:t xml:space="preserve">Article 2, </w:t>
      </w:r>
      <w:r w:rsidRPr="00403D3E">
        <w:rPr>
          <w:rFonts w:ascii="Verdana" w:hAnsi="Verdana"/>
          <w:color w:val="77328A"/>
          <w:sz w:val="16"/>
          <w:szCs w:val="16"/>
        </w:rPr>
        <w:t xml:space="preserve">UN </w:t>
      </w:r>
      <w:r w:rsidR="00C26B23" w:rsidRPr="00403D3E">
        <w:rPr>
          <w:rFonts w:ascii="Verdana" w:hAnsi="Verdana"/>
          <w:color w:val="77328A"/>
          <w:sz w:val="16"/>
          <w:szCs w:val="16"/>
        </w:rPr>
        <w:t xml:space="preserve">International Covenant </w:t>
      </w:r>
      <w:r w:rsidR="00410C14" w:rsidRPr="00403D3E">
        <w:rPr>
          <w:rFonts w:ascii="Verdana" w:hAnsi="Verdana"/>
          <w:color w:val="77328A"/>
          <w:sz w:val="16"/>
          <w:szCs w:val="16"/>
        </w:rPr>
        <w:t>Economic, Social and Cultural Rights 1966</w:t>
      </w:r>
      <w:r w:rsidRPr="00403D3E">
        <w:rPr>
          <w:rFonts w:ascii="Verdana" w:hAnsi="Verdana"/>
          <w:color w:val="77328A"/>
          <w:sz w:val="16"/>
          <w:szCs w:val="16"/>
        </w:rPr>
        <w:t>; E/CN.4/2000/4, CESCR General Comment 14: The right to the highest attainable standard of health</w:t>
      </w:r>
      <w:r w:rsidR="009F6516" w:rsidRPr="00403D3E">
        <w:rPr>
          <w:rFonts w:ascii="Verdana" w:hAnsi="Verdana"/>
          <w:color w:val="77328A"/>
          <w:sz w:val="16"/>
          <w:szCs w:val="16"/>
        </w:rPr>
        <w:t>’,</w:t>
      </w:r>
      <w:r w:rsidR="006C030D" w:rsidRPr="00403D3E">
        <w:rPr>
          <w:rFonts w:ascii="Verdana" w:hAnsi="Verdana"/>
          <w:color w:val="77328A"/>
          <w:sz w:val="16"/>
          <w:szCs w:val="16"/>
        </w:rPr>
        <w:t xml:space="preserve"> </w:t>
      </w:r>
      <w:r w:rsidRPr="00403D3E">
        <w:rPr>
          <w:rFonts w:ascii="Verdana" w:hAnsi="Verdana"/>
          <w:color w:val="77328A"/>
          <w:sz w:val="16"/>
          <w:szCs w:val="16"/>
        </w:rPr>
        <w:t xml:space="preserve">11 August 2000, </w:t>
      </w:r>
      <w:r w:rsidR="00D55ED1" w:rsidRPr="00403D3E">
        <w:rPr>
          <w:rFonts w:ascii="Verdana" w:hAnsi="Verdana"/>
          <w:color w:val="77328A"/>
          <w:sz w:val="16"/>
          <w:szCs w:val="16"/>
        </w:rPr>
        <w:t>at</w:t>
      </w:r>
      <w:r w:rsidRPr="00403D3E">
        <w:rPr>
          <w:rFonts w:ascii="Verdana" w:hAnsi="Verdana"/>
          <w:color w:val="77328A"/>
          <w:sz w:val="16"/>
          <w:szCs w:val="16"/>
        </w:rPr>
        <w:t xml:space="preserve"> para 12; </w:t>
      </w:r>
      <w:r w:rsidR="00DB367F" w:rsidRPr="00403D3E">
        <w:rPr>
          <w:rFonts w:ascii="Verdana" w:hAnsi="Verdana"/>
          <w:color w:val="77328A"/>
          <w:sz w:val="16"/>
          <w:szCs w:val="16"/>
        </w:rPr>
        <w:t>E/1991/23</w:t>
      </w:r>
      <w:r w:rsidR="000A469D" w:rsidRPr="00403D3E">
        <w:rPr>
          <w:rFonts w:ascii="Verdana" w:hAnsi="Verdana"/>
          <w:color w:val="77328A"/>
          <w:sz w:val="16"/>
          <w:szCs w:val="16"/>
        </w:rPr>
        <w:t>,</w:t>
      </w:r>
      <w:r w:rsidRPr="00403D3E">
        <w:rPr>
          <w:rFonts w:ascii="Verdana" w:hAnsi="Verdana"/>
          <w:color w:val="77328A"/>
          <w:sz w:val="16"/>
          <w:szCs w:val="16"/>
        </w:rPr>
        <w:t xml:space="preserve"> CESCR, General Comment 3: The nature of States parties’ obligations (</w:t>
      </w:r>
      <w:r w:rsidR="00FA6537" w:rsidRPr="00403D3E">
        <w:rPr>
          <w:rFonts w:ascii="Verdana" w:hAnsi="Verdana"/>
          <w:color w:val="77328A"/>
          <w:sz w:val="16"/>
          <w:szCs w:val="16"/>
        </w:rPr>
        <w:t>Article</w:t>
      </w:r>
      <w:r w:rsidRPr="00403D3E">
        <w:rPr>
          <w:rFonts w:ascii="Verdana" w:hAnsi="Verdana"/>
          <w:color w:val="77328A"/>
          <w:sz w:val="16"/>
          <w:szCs w:val="16"/>
        </w:rPr>
        <w:t xml:space="preserve"> 2, para 1 of the Covenant)</w:t>
      </w:r>
      <w:r w:rsidR="00695247" w:rsidRPr="00403D3E">
        <w:rPr>
          <w:rFonts w:ascii="Verdana" w:hAnsi="Verdana"/>
          <w:color w:val="77328A"/>
          <w:sz w:val="16"/>
          <w:szCs w:val="16"/>
        </w:rPr>
        <w:t xml:space="preserve">, 14 December </w:t>
      </w:r>
      <w:r w:rsidRPr="00403D3E">
        <w:rPr>
          <w:rFonts w:ascii="Verdana" w:hAnsi="Verdana"/>
          <w:color w:val="77328A"/>
          <w:sz w:val="16"/>
          <w:szCs w:val="16"/>
        </w:rPr>
        <w:t>1990</w:t>
      </w:r>
      <w:r w:rsidR="00695247" w:rsidRPr="00403D3E">
        <w:rPr>
          <w:rFonts w:ascii="Verdana" w:hAnsi="Verdana"/>
          <w:color w:val="77328A"/>
          <w:sz w:val="16"/>
          <w:szCs w:val="16"/>
        </w:rPr>
        <w:t>.</w:t>
      </w:r>
    </w:p>
  </w:footnote>
  <w:footnote w:id="8">
    <w:p w14:paraId="54D9B61B" w14:textId="1EBAF632" w:rsidR="00D0729A" w:rsidRPr="00403D3E" w:rsidRDefault="00D0729A" w:rsidP="00403D3E">
      <w:pPr>
        <w:pStyle w:val="FootnoteText"/>
        <w:rPr>
          <w:rFonts w:ascii="Verdana" w:hAnsi="Verdana"/>
          <w:color w:val="77328A"/>
          <w:sz w:val="16"/>
          <w:szCs w:val="16"/>
          <w:highlight w:val="yellow"/>
        </w:rPr>
      </w:pPr>
      <w:r w:rsidRPr="00403D3E">
        <w:rPr>
          <w:rStyle w:val="FootnoteReference"/>
          <w:rFonts w:ascii="Verdana" w:hAnsi="Verdana"/>
          <w:color w:val="77328A"/>
          <w:sz w:val="16"/>
          <w:szCs w:val="16"/>
        </w:rPr>
        <w:footnoteRef/>
      </w:r>
      <w:r w:rsidR="00F2107E" w:rsidRPr="00403D3E">
        <w:rPr>
          <w:rFonts w:ascii="Verdana" w:hAnsi="Verdana"/>
          <w:color w:val="77328A"/>
          <w:sz w:val="16"/>
          <w:szCs w:val="16"/>
        </w:rPr>
        <w:t xml:space="preserve"> E/1991/23,</w:t>
      </w:r>
      <w:r w:rsidRPr="00403D3E">
        <w:rPr>
          <w:rFonts w:ascii="Verdana" w:hAnsi="Verdana"/>
          <w:color w:val="77328A"/>
          <w:sz w:val="16"/>
          <w:szCs w:val="16"/>
        </w:rPr>
        <w:t xml:space="preserve"> CESCR, General Comment 3: The nature of States parties’ obligations (</w:t>
      </w:r>
      <w:r w:rsidR="00F2107E" w:rsidRPr="00403D3E">
        <w:rPr>
          <w:rFonts w:ascii="Verdana" w:hAnsi="Verdana"/>
          <w:color w:val="77328A"/>
          <w:sz w:val="16"/>
          <w:szCs w:val="16"/>
        </w:rPr>
        <w:t>Article</w:t>
      </w:r>
      <w:r w:rsidRPr="00403D3E">
        <w:rPr>
          <w:rFonts w:ascii="Verdana" w:hAnsi="Verdana"/>
          <w:color w:val="77328A"/>
          <w:sz w:val="16"/>
          <w:szCs w:val="16"/>
        </w:rPr>
        <w:t xml:space="preserve"> 2, para 1 of the Covenant</w:t>
      </w:r>
      <w:r w:rsidR="00F2107E" w:rsidRPr="00403D3E">
        <w:rPr>
          <w:rFonts w:ascii="Verdana" w:hAnsi="Verdana"/>
          <w:color w:val="77328A"/>
          <w:sz w:val="16"/>
          <w:szCs w:val="16"/>
        </w:rPr>
        <w:t xml:space="preserve">), 14 December </w:t>
      </w:r>
      <w:r w:rsidRPr="00403D3E">
        <w:rPr>
          <w:rFonts w:ascii="Verdana" w:hAnsi="Verdana"/>
          <w:color w:val="77328A"/>
          <w:sz w:val="16"/>
          <w:szCs w:val="16"/>
        </w:rPr>
        <w:t>1990</w:t>
      </w:r>
      <w:r w:rsidR="00F2107E" w:rsidRPr="00403D3E">
        <w:rPr>
          <w:rFonts w:ascii="Verdana" w:hAnsi="Verdana"/>
          <w:color w:val="77328A"/>
          <w:sz w:val="16"/>
          <w:szCs w:val="16"/>
        </w:rPr>
        <w:t>,</w:t>
      </w:r>
      <w:r w:rsidRPr="00403D3E">
        <w:rPr>
          <w:rFonts w:ascii="Verdana" w:hAnsi="Verdana"/>
          <w:color w:val="77328A"/>
          <w:sz w:val="16"/>
          <w:szCs w:val="16"/>
        </w:rPr>
        <w:t xml:space="preserve"> at para 9.</w:t>
      </w:r>
    </w:p>
  </w:footnote>
  <w:footnote w:id="9">
    <w:p w14:paraId="5DF5AFCC" w14:textId="0B17CAF3" w:rsidR="0074521D" w:rsidRPr="00403D3E" w:rsidRDefault="0074521D"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00CC3C7A" w:rsidRPr="00403D3E">
        <w:rPr>
          <w:rFonts w:ascii="Verdana" w:hAnsi="Verdana"/>
          <w:color w:val="77328A"/>
          <w:sz w:val="16"/>
          <w:szCs w:val="16"/>
        </w:rPr>
        <w:t xml:space="preserve"> E/CN.4/2000/4, </w:t>
      </w:r>
      <w:r w:rsidR="005D159F" w:rsidRPr="00403D3E">
        <w:rPr>
          <w:rFonts w:ascii="Verdana" w:hAnsi="Verdana"/>
          <w:color w:val="77328A"/>
          <w:sz w:val="16"/>
          <w:szCs w:val="16"/>
        </w:rPr>
        <w:t>‘</w:t>
      </w:r>
      <w:r w:rsidR="00CC3C7A" w:rsidRPr="00403D3E">
        <w:rPr>
          <w:rFonts w:ascii="Verdana" w:hAnsi="Verdana"/>
          <w:color w:val="77328A"/>
          <w:sz w:val="16"/>
          <w:szCs w:val="16"/>
        </w:rPr>
        <w:t>CESCR, General Comment 14: The right to the highest attainable standard of health</w:t>
      </w:r>
      <w:r w:rsidR="005D159F" w:rsidRPr="00403D3E">
        <w:rPr>
          <w:rFonts w:ascii="Verdana" w:hAnsi="Verdana"/>
          <w:color w:val="77328A"/>
          <w:sz w:val="16"/>
          <w:szCs w:val="16"/>
        </w:rPr>
        <w:t>’,</w:t>
      </w:r>
      <w:r w:rsidR="00CC3C7A" w:rsidRPr="00403D3E">
        <w:rPr>
          <w:rFonts w:ascii="Verdana" w:hAnsi="Verdana"/>
          <w:color w:val="77328A"/>
          <w:sz w:val="16"/>
          <w:szCs w:val="16"/>
        </w:rPr>
        <w:t xml:space="preserve"> 11 August 2000,</w:t>
      </w:r>
      <w:r w:rsidR="005D159F" w:rsidRPr="00403D3E">
        <w:rPr>
          <w:rFonts w:ascii="Verdana" w:hAnsi="Verdana"/>
          <w:color w:val="77328A"/>
          <w:sz w:val="16"/>
          <w:szCs w:val="16"/>
        </w:rPr>
        <w:t xml:space="preserve"> at</w:t>
      </w:r>
      <w:r w:rsidR="00CC3C7A" w:rsidRPr="00403D3E">
        <w:rPr>
          <w:rFonts w:ascii="Verdana" w:hAnsi="Verdana"/>
          <w:color w:val="77328A"/>
          <w:sz w:val="16"/>
          <w:szCs w:val="16"/>
        </w:rPr>
        <w:t xml:space="preserve"> para 12.</w:t>
      </w:r>
    </w:p>
  </w:footnote>
  <w:footnote w:id="10">
    <w:p w14:paraId="3F2C005A" w14:textId="5F2C5BE1" w:rsidR="00D0729A" w:rsidRPr="00403D3E" w:rsidRDefault="00D0729A"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bookmarkStart w:id="4" w:name="_Hlk103082683"/>
      <w:r w:rsidR="00CC3C7A" w:rsidRPr="00403D3E">
        <w:rPr>
          <w:rFonts w:ascii="Verdana" w:hAnsi="Verdana"/>
          <w:color w:val="77328A"/>
          <w:sz w:val="16"/>
          <w:szCs w:val="16"/>
        </w:rPr>
        <w:t>Ibid</w:t>
      </w:r>
      <w:bookmarkEnd w:id="4"/>
      <w:r w:rsidR="00CC3C7A" w:rsidRPr="00403D3E">
        <w:rPr>
          <w:rFonts w:ascii="Verdana" w:hAnsi="Verdana"/>
          <w:color w:val="77328A"/>
          <w:sz w:val="16"/>
          <w:szCs w:val="16"/>
        </w:rPr>
        <w:t xml:space="preserve">, </w:t>
      </w:r>
      <w:r w:rsidRPr="00403D3E">
        <w:rPr>
          <w:rFonts w:ascii="Verdana" w:hAnsi="Verdana"/>
          <w:color w:val="77328A"/>
          <w:sz w:val="16"/>
          <w:szCs w:val="16"/>
        </w:rPr>
        <w:t>para 18.</w:t>
      </w:r>
    </w:p>
  </w:footnote>
  <w:footnote w:id="11">
    <w:p w14:paraId="1A35D16D" w14:textId="14FE5BED" w:rsidR="00EE7AA5" w:rsidRPr="00403D3E" w:rsidRDefault="00EE7AA5" w:rsidP="00403D3E">
      <w:pPr>
        <w:pStyle w:val="Pa2"/>
        <w:spacing w:line="240" w:lineRule="auto"/>
        <w:rPr>
          <w:rFonts w:ascii="Verdana" w:hAnsi="Verdana" w:cs="Gotham Book"/>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10222E" w:rsidRPr="00403D3E">
        <w:rPr>
          <w:rFonts w:ascii="Verdana" w:hAnsi="Verdana" w:cs="Gotham Book"/>
          <w:color w:val="77328A"/>
          <w:sz w:val="16"/>
          <w:szCs w:val="16"/>
        </w:rPr>
        <w:t xml:space="preserve">Office of the UN High Commissioner for Human Rights, </w:t>
      </w:r>
      <w:r w:rsidR="00137906" w:rsidRPr="00403D3E">
        <w:rPr>
          <w:rFonts w:ascii="Verdana" w:hAnsi="Verdana" w:cs="Gotham Book"/>
          <w:color w:val="77328A"/>
          <w:sz w:val="16"/>
          <w:szCs w:val="16"/>
        </w:rPr>
        <w:t>‘</w:t>
      </w:r>
      <w:hyperlink r:id="rId1" w:history="1">
        <w:r w:rsidR="0010222E" w:rsidRPr="00403D3E">
          <w:rPr>
            <w:rStyle w:val="Hyperlink"/>
            <w:rFonts w:ascii="Verdana" w:hAnsi="Verdana" w:cs="Gotham Book"/>
            <w:color w:val="77328A"/>
            <w:sz w:val="16"/>
            <w:szCs w:val="16"/>
          </w:rPr>
          <w:t>Frequently asked questions on economic, social and cultural rights, Fact Sheet 33</w:t>
        </w:r>
      </w:hyperlink>
      <w:r w:rsidR="00E73456" w:rsidRPr="00403D3E">
        <w:rPr>
          <w:rFonts w:ascii="Verdana" w:hAnsi="Verdana" w:cs="Gotham Book"/>
          <w:color w:val="77328A"/>
          <w:sz w:val="16"/>
          <w:szCs w:val="16"/>
        </w:rPr>
        <w:t>’ at</w:t>
      </w:r>
      <w:r w:rsidR="0010222E" w:rsidRPr="00403D3E">
        <w:rPr>
          <w:rFonts w:ascii="Verdana" w:hAnsi="Verdana" w:cs="Gotham Book"/>
          <w:color w:val="77328A"/>
          <w:sz w:val="16"/>
          <w:szCs w:val="16"/>
        </w:rPr>
        <w:t xml:space="preserve"> 16</w:t>
      </w:r>
      <w:r w:rsidR="00E73456" w:rsidRPr="00403D3E">
        <w:rPr>
          <w:rFonts w:ascii="Verdana" w:hAnsi="Verdana" w:cs="Gotham Book"/>
          <w:color w:val="77328A"/>
          <w:sz w:val="16"/>
          <w:szCs w:val="16"/>
        </w:rPr>
        <w:t>;</w:t>
      </w:r>
      <w:r w:rsidR="0010222E" w:rsidRPr="00403D3E">
        <w:rPr>
          <w:rFonts w:ascii="Verdana" w:hAnsi="Verdana" w:cs="Gotham Book"/>
          <w:color w:val="77328A"/>
          <w:sz w:val="16"/>
          <w:szCs w:val="16"/>
        </w:rPr>
        <w:t xml:space="preserve"> See also the Limburg Principles on the Implementation of the International Covenant on Economic, Social and Cultural Rights 1986.</w:t>
      </w:r>
    </w:p>
  </w:footnote>
  <w:footnote w:id="12">
    <w:p w14:paraId="0402CF6C" w14:textId="6C336A5A" w:rsidR="008E4399" w:rsidRPr="00EF74C8" w:rsidRDefault="008E4399"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2F5E50" w:rsidRPr="00403D3E">
        <w:rPr>
          <w:rFonts w:ascii="Verdana" w:hAnsi="Verdana"/>
          <w:color w:val="77328A"/>
          <w:sz w:val="16"/>
          <w:szCs w:val="16"/>
        </w:rPr>
        <w:t>NI Human Rights Commission and Equality Commission for NI, ‘NIHRC and ECNI Working Paper: The Scope of Article 2(1) of the Ireland/Northern Ireland Protocol’ (NIHRC/ECNI, 2022).</w:t>
      </w:r>
    </w:p>
  </w:footnote>
  <w:footnote w:id="13">
    <w:p w14:paraId="32FA5971" w14:textId="77777777" w:rsidR="00D70947" w:rsidRPr="00403D3E" w:rsidRDefault="00D70947" w:rsidP="00D70947">
      <w:pPr>
        <w:pStyle w:val="FootnoteText"/>
        <w:rPr>
          <w:rFonts w:ascii="Verdana" w:hAnsi="Verdana"/>
          <w:color w:val="77328A"/>
          <w:sz w:val="16"/>
          <w:szCs w:val="16"/>
        </w:rPr>
      </w:pPr>
      <w:r w:rsidRPr="00EF74C8">
        <w:rPr>
          <w:rStyle w:val="FootnoteReference"/>
          <w:rFonts w:ascii="Verdana" w:hAnsi="Verdana"/>
          <w:color w:val="77328A"/>
          <w:sz w:val="16"/>
          <w:szCs w:val="16"/>
        </w:rPr>
        <w:footnoteRef/>
      </w:r>
      <w:r w:rsidRPr="00EF74C8">
        <w:rPr>
          <w:rFonts w:ascii="Verdana" w:hAnsi="Verdana"/>
          <w:color w:val="77328A"/>
          <w:sz w:val="16"/>
          <w:szCs w:val="16"/>
        </w:rPr>
        <w:t xml:space="preserve"> Mark </w:t>
      </w:r>
      <w:proofErr w:type="spellStart"/>
      <w:r w:rsidRPr="00EF74C8">
        <w:rPr>
          <w:rFonts w:ascii="Verdana" w:hAnsi="Verdana"/>
          <w:color w:val="77328A"/>
          <w:sz w:val="16"/>
          <w:szCs w:val="16"/>
        </w:rPr>
        <w:t>Tushnet</w:t>
      </w:r>
      <w:proofErr w:type="spellEnd"/>
      <w:r w:rsidRPr="00EF74C8">
        <w:rPr>
          <w:rFonts w:ascii="Verdana" w:hAnsi="Verdana"/>
          <w:color w:val="77328A"/>
          <w:sz w:val="16"/>
          <w:szCs w:val="16"/>
        </w:rPr>
        <w:t>, ‘Civil Rights and Social Rights: The Future of the Reconstruction Amendments’ 25 Loyola of Los Angeles Law Review (1992) 1207</w:t>
      </w:r>
      <w:r w:rsidRPr="00403D3E">
        <w:rPr>
          <w:rFonts w:ascii="Verdana" w:hAnsi="Verdana"/>
          <w:color w:val="77328A"/>
          <w:sz w:val="16"/>
          <w:szCs w:val="16"/>
        </w:rPr>
        <w:t>.</w:t>
      </w:r>
    </w:p>
  </w:footnote>
  <w:footnote w:id="14">
    <w:p w14:paraId="206037BD" w14:textId="43EC6910" w:rsidR="00D70947" w:rsidRPr="00403D3E" w:rsidRDefault="00D70947" w:rsidP="00D70947">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Tamara Hervey, ‘Brexit, Health and its potential impact on Article 2 of the Ireland/Northern Ireland Protocol’ (NIHRC, 2022), at 15. </w:t>
      </w:r>
    </w:p>
  </w:footnote>
  <w:footnote w:id="15">
    <w:p w14:paraId="1DA927F5" w14:textId="77777777" w:rsidR="004110FA" w:rsidRPr="00403D3E" w:rsidRDefault="004110FA" w:rsidP="00403D3E">
      <w:pPr>
        <w:pStyle w:val="FootnoteText"/>
        <w:rPr>
          <w:rFonts w:ascii="Verdana" w:hAnsi="Verdana" w:cs="Calibri"/>
          <w:color w:val="77328A"/>
          <w:sz w:val="16"/>
          <w:szCs w:val="16"/>
        </w:rPr>
      </w:pPr>
      <w:r w:rsidRPr="00403D3E">
        <w:rPr>
          <w:rStyle w:val="FootnoteReference"/>
          <w:rFonts w:ascii="Verdana" w:hAnsi="Verdana" w:cs="Calibri"/>
          <w:color w:val="77328A"/>
          <w:sz w:val="16"/>
          <w:szCs w:val="16"/>
        </w:rPr>
        <w:footnoteRef/>
      </w:r>
      <w:r w:rsidRPr="00403D3E">
        <w:rPr>
          <w:rFonts w:ascii="Verdana" w:hAnsi="Verdana" w:cs="Calibri"/>
          <w:color w:val="77328A"/>
          <w:sz w:val="16"/>
          <w:szCs w:val="16"/>
        </w:rPr>
        <w:t xml:space="preserve"> NI Office, ‘UK Government Commitment to “No Diminution of Rights, Safeguards and Equality of Opportunity” in Northern Ireland: What does it Mean and How will it be Implemented?’ (NIO, 2020), at para 3.</w:t>
      </w:r>
    </w:p>
  </w:footnote>
  <w:footnote w:id="16">
    <w:p w14:paraId="62AC43C1" w14:textId="77777777" w:rsidR="007859D8" w:rsidRPr="00403D3E" w:rsidRDefault="007859D8"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NI Human Rights Commission and Equality Commission for NI, ‘NIHRC and ECNI Working Paper: The Scope of Article 2(1) of the Ireland/Northern Ireland Protocol’ (NIHRC/ECNI, 2022).</w:t>
      </w:r>
    </w:p>
  </w:footnote>
  <w:footnote w:id="17">
    <w:p w14:paraId="63B82CEC" w14:textId="77777777" w:rsidR="00F234B8" w:rsidRPr="00FC3E19" w:rsidRDefault="00F234B8" w:rsidP="00F234B8">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Belfast (Good Friday) Agreement, 10 April 1998, Part 6 on Rights, Safeguards and Equality of Opportunity – Human Rights.</w:t>
      </w:r>
    </w:p>
  </w:footnote>
  <w:footnote w:id="18">
    <w:p w14:paraId="3A6EFEF9" w14:textId="77777777" w:rsidR="003368CD" w:rsidRPr="00403D3E" w:rsidRDefault="003368CD"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19">
    <w:p w14:paraId="113C2C57" w14:textId="77116032" w:rsidR="003A342E" w:rsidRPr="00403D3E" w:rsidRDefault="003A342E"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The Common Travel Area is a long-standing arrangement between the UK, the Crown Dependencies (Isle of Man, Guernsey etc.,) and Ireland that pre-dates both British and Irish membership of the EU and is not dependent on it. Under the CTA, British and Irish citizens can move freely and reside in either jurisdiction and enjoy associated rights and privileges, including the right to work, study and vote in certain elections</w:t>
      </w:r>
      <w:r w:rsidR="00021E79" w:rsidRPr="00403D3E">
        <w:rPr>
          <w:rFonts w:ascii="Verdana" w:hAnsi="Verdana"/>
          <w:color w:val="77328A"/>
          <w:sz w:val="16"/>
          <w:szCs w:val="16"/>
        </w:rPr>
        <w:t xml:space="preserve"> </w:t>
      </w:r>
      <w:r w:rsidR="00D27602" w:rsidRPr="00403D3E">
        <w:rPr>
          <w:rFonts w:ascii="Verdana" w:hAnsi="Verdana"/>
          <w:color w:val="77328A"/>
          <w:sz w:val="16"/>
          <w:szCs w:val="16"/>
        </w:rPr>
        <w:t>&amp;</w:t>
      </w:r>
      <w:r w:rsidRPr="00403D3E">
        <w:rPr>
          <w:rFonts w:ascii="Verdana" w:hAnsi="Verdana"/>
          <w:color w:val="77328A"/>
          <w:sz w:val="16"/>
          <w:szCs w:val="16"/>
        </w:rPr>
        <w:t xml:space="preserve"> access social </w:t>
      </w:r>
      <w:r w:rsidR="00D27602" w:rsidRPr="00403D3E">
        <w:rPr>
          <w:rFonts w:ascii="Verdana" w:hAnsi="Verdana"/>
          <w:color w:val="77328A"/>
          <w:sz w:val="16"/>
          <w:szCs w:val="16"/>
        </w:rPr>
        <w:t>security</w:t>
      </w:r>
      <w:r w:rsidRPr="00403D3E">
        <w:rPr>
          <w:rFonts w:ascii="Verdana" w:hAnsi="Verdana"/>
          <w:color w:val="77328A"/>
          <w:sz w:val="16"/>
          <w:szCs w:val="16"/>
        </w:rPr>
        <w:t xml:space="preserve"> and health services.</w:t>
      </w:r>
    </w:p>
  </w:footnote>
  <w:footnote w:id="20">
    <w:p w14:paraId="5699F5FF" w14:textId="77777777" w:rsidR="007875F1" w:rsidRPr="00403D3E" w:rsidRDefault="007875F1"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Sylvia de Mars, Colin Murray, Aoife </w:t>
      </w:r>
      <w:proofErr w:type="gramStart"/>
      <w:r w:rsidRPr="00403D3E">
        <w:rPr>
          <w:rFonts w:ascii="Verdana" w:hAnsi="Verdana"/>
          <w:color w:val="77328A"/>
          <w:sz w:val="16"/>
          <w:szCs w:val="16"/>
        </w:rPr>
        <w:t>O’Donoghue</w:t>
      </w:r>
      <w:proofErr w:type="gramEnd"/>
      <w:r w:rsidRPr="00403D3E">
        <w:rPr>
          <w:rFonts w:ascii="Verdana" w:hAnsi="Verdana"/>
          <w:color w:val="77328A"/>
          <w:sz w:val="16"/>
          <w:szCs w:val="16"/>
        </w:rPr>
        <w:t xml:space="preserve"> and Ben Warwick, ‘Discussion Paper on the Common Travel Area’ (NIHRC and IHREC, 2018), at 11.</w:t>
      </w:r>
    </w:p>
  </w:footnote>
  <w:footnote w:id="21">
    <w:p w14:paraId="534AAB1F" w14:textId="0807CA2E" w:rsidR="007B1436" w:rsidRPr="00403D3E" w:rsidRDefault="007B1436"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bookmarkStart w:id="6" w:name="_Hlk103167209"/>
      <w:r w:rsidR="0003597D" w:rsidRPr="00403D3E">
        <w:rPr>
          <w:rFonts w:ascii="Verdana" w:hAnsi="Verdana"/>
          <w:color w:val="77328A"/>
          <w:sz w:val="16"/>
          <w:szCs w:val="16"/>
        </w:rPr>
        <w:t>Tamara Hervey, ‘Brexit, Health and its potential impact on Article 2 of the Ireland/Northern Ireland Protocol’ (NIHRC, 2022), at 23</w:t>
      </w:r>
      <w:bookmarkEnd w:id="6"/>
      <w:r w:rsidR="0003597D" w:rsidRPr="00403D3E">
        <w:rPr>
          <w:rFonts w:ascii="Verdana" w:hAnsi="Verdana"/>
          <w:color w:val="77328A"/>
          <w:sz w:val="16"/>
          <w:szCs w:val="16"/>
        </w:rPr>
        <w:t>.</w:t>
      </w:r>
    </w:p>
  </w:footnote>
  <w:footnote w:id="22">
    <w:p w14:paraId="20C8BA7A" w14:textId="42A39902" w:rsidR="00AD09C2" w:rsidRPr="00403D3E" w:rsidRDefault="00AD09C2"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567880" w:rsidRPr="00403D3E">
        <w:rPr>
          <w:rFonts w:ascii="Verdana" w:hAnsi="Verdana"/>
          <w:color w:val="77328A"/>
          <w:sz w:val="16"/>
          <w:szCs w:val="16"/>
        </w:rPr>
        <w:t>Ibid. See also:</w:t>
      </w:r>
      <w:r w:rsidR="00EF67A9" w:rsidRPr="00403D3E">
        <w:rPr>
          <w:rFonts w:ascii="Verdana" w:hAnsi="Verdana"/>
          <w:color w:val="77328A"/>
          <w:sz w:val="16"/>
          <w:szCs w:val="16"/>
        </w:rPr>
        <w:t xml:space="preserve"> </w:t>
      </w:r>
      <w:r w:rsidR="0075405F" w:rsidRPr="00403D3E">
        <w:rPr>
          <w:rFonts w:ascii="Verdana" w:hAnsi="Verdana"/>
          <w:color w:val="77328A"/>
          <w:sz w:val="16"/>
          <w:szCs w:val="16"/>
        </w:rPr>
        <w:t xml:space="preserve">Silvia </w:t>
      </w:r>
      <w:r w:rsidR="00EF67A9" w:rsidRPr="00403D3E">
        <w:rPr>
          <w:rFonts w:ascii="Verdana" w:hAnsi="Verdana"/>
          <w:color w:val="77328A"/>
          <w:sz w:val="16"/>
          <w:szCs w:val="16"/>
        </w:rPr>
        <w:t>de Mars,</w:t>
      </w:r>
      <w:r w:rsidR="00114904" w:rsidRPr="00403D3E">
        <w:rPr>
          <w:rFonts w:ascii="Verdana" w:hAnsi="Verdana"/>
          <w:color w:val="77328A"/>
          <w:sz w:val="16"/>
          <w:szCs w:val="16"/>
        </w:rPr>
        <w:t xml:space="preserve"> </w:t>
      </w:r>
      <w:r w:rsidR="00EF67A9" w:rsidRPr="00403D3E">
        <w:rPr>
          <w:rFonts w:ascii="Verdana" w:hAnsi="Verdana"/>
          <w:color w:val="77328A"/>
          <w:sz w:val="16"/>
          <w:szCs w:val="16"/>
        </w:rPr>
        <w:t xml:space="preserve">Colin Murray, Aoife </w:t>
      </w:r>
      <w:proofErr w:type="gramStart"/>
      <w:r w:rsidR="00EF67A9" w:rsidRPr="00403D3E">
        <w:rPr>
          <w:rFonts w:ascii="Verdana" w:hAnsi="Verdana"/>
          <w:color w:val="77328A"/>
          <w:sz w:val="16"/>
          <w:szCs w:val="16"/>
        </w:rPr>
        <w:t>O’Donoghue</w:t>
      </w:r>
      <w:proofErr w:type="gramEnd"/>
      <w:r w:rsidR="00EF67A9" w:rsidRPr="00403D3E">
        <w:rPr>
          <w:rFonts w:ascii="Verdana" w:hAnsi="Verdana"/>
          <w:color w:val="77328A"/>
          <w:sz w:val="16"/>
          <w:szCs w:val="16"/>
        </w:rPr>
        <w:t xml:space="preserve"> and Ben Warwick, </w:t>
      </w:r>
      <w:r w:rsidR="00114904" w:rsidRPr="00403D3E">
        <w:rPr>
          <w:rFonts w:ascii="Verdana" w:hAnsi="Verdana"/>
          <w:color w:val="77328A"/>
          <w:sz w:val="16"/>
          <w:szCs w:val="16"/>
        </w:rPr>
        <w:t>‘</w:t>
      </w:r>
      <w:r w:rsidR="00EF67A9" w:rsidRPr="00403D3E">
        <w:rPr>
          <w:rFonts w:ascii="Verdana" w:hAnsi="Verdana"/>
          <w:color w:val="77328A"/>
          <w:sz w:val="16"/>
          <w:szCs w:val="16"/>
        </w:rPr>
        <w:t>Continuing EU Citizenship “Rights, Opportunities and Benefits” in Northern Ireland after Brexit</w:t>
      </w:r>
      <w:r w:rsidR="00114904" w:rsidRPr="00403D3E">
        <w:rPr>
          <w:rFonts w:ascii="Verdana" w:hAnsi="Verdana"/>
          <w:color w:val="77328A"/>
          <w:sz w:val="16"/>
          <w:szCs w:val="16"/>
        </w:rPr>
        <w:t xml:space="preserve">’ </w:t>
      </w:r>
      <w:r w:rsidR="00EF67A9" w:rsidRPr="00403D3E">
        <w:rPr>
          <w:rFonts w:ascii="Verdana" w:hAnsi="Verdana"/>
          <w:color w:val="77328A"/>
          <w:sz w:val="16"/>
          <w:szCs w:val="16"/>
        </w:rPr>
        <w:t>(</w:t>
      </w:r>
      <w:r w:rsidR="00E95329" w:rsidRPr="00403D3E">
        <w:rPr>
          <w:rFonts w:ascii="Verdana" w:hAnsi="Verdana"/>
          <w:color w:val="77328A"/>
          <w:sz w:val="16"/>
          <w:szCs w:val="16"/>
        </w:rPr>
        <w:t xml:space="preserve">NIHRC and </w:t>
      </w:r>
      <w:r w:rsidR="00114904" w:rsidRPr="00403D3E">
        <w:rPr>
          <w:rFonts w:ascii="Verdana" w:hAnsi="Verdana"/>
          <w:color w:val="77328A"/>
          <w:sz w:val="16"/>
          <w:szCs w:val="16"/>
        </w:rPr>
        <w:t>IHREC</w:t>
      </w:r>
      <w:r w:rsidR="00EF67A9" w:rsidRPr="00403D3E">
        <w:rPr>
          <w:rFonts w:ascii="Verdana" w:hAnsi="Verdana"/>
          <w:color w:val="77328A"/>
          <w:sz w:val="16"/>
          <w:szCs w:val="16"/>
        </w:rPr>
        <w:t>, March 2020),</w:t>
      </w:r>
    </w:p>
  </w:footnote>
  <w:footnote w:id="23">
    <w:p w14:paraId="704563FF" w14:textId="77777777" w:rsidR="00116A3F" w:rsidRPr="00403D3E" w:rsidRDefault="00116A3F"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Tamara Hervey, ‘Brexit, Health and its potential impact on Article 2 of the Ireland/Northern Ireland Protocol’ (NIHRC, 2022), at 27.</w:t>
      </w:r>
    </w:p>
  </w:footnote>
  <w:footnote w:id="24">
    <w:p w14:paraId="653F94E6" w14:textId="5E91BE0F" w:rsidR="00C853A4" w:rsidRPr="00E30939" w:rsidRDefault="00C853A4" w:rsidP="00403D3E">
      <w:pPr>
        <w:pStyle w:val="Pa2"/>
        <w:spacing w:line="240" w:lineRule="auto"/>
        <w:rPr>
          <w:rFonts w:ascii="Verdana" w:hAnsi="Verdana"/>
          <w:color w:val="7030A0"/>
          <w:sz w:val="16"/>
          <w:szCs w:val="16"/>
        </w:rPr>
      </w:pPr>
      <w:r w:rsidRPr="00E30939">
        <w:rPr>
          <w:rStyle w:val="FootnoteReference"/>
          <w:rFonts w:ascii="Verdana" w:hAnsi="Verdana"/>
          <w:color w:val="7030A0"/>
          <w:sz w:val="16"/>
          <w:szCs w:val="16"/>
        </w:rPr>
        <w:footnoteRef/>
      </w:r>
      <w:r w:rsidRPr="00E30939">
        <w:rPr>
          <w:rFonts w:ascii="Verdana" w:hAnsi="Verdana"/>
          <w:color w:val="7030A0"/>
          <w:sz w:val="16"/>
          <w:szCs w:val="16"/>
        </w:rPr>
        <w:t xml:space="preserve"> </w:t>
      </w:r>
      <w:r w:rsidR="003D258B" w:rsidRPr="00E30939">
        <w:rPr>
          <w:rFonts w:ascii="Verdana" w:hAnsi="Verdana"/>
          <w:color w:val="7030A0"/>
          <w:sz w:val="16"/>
          <w:szCs w:val="16"/>
        </w:rPr>
        <w:t>Article 3(1)(a), Article 17</w:t>
      </w:r>
      <w:r w:rsidR="005C01E4" w:rsidRPr="00E30939">
        <w:rPr>
          <w:rFonts w:ascii="Verdana" w:hAnsi="Verdana"/>
          <w:color w:val="7030A0"/>
          <w:sz w:val="16"/>
          <w:szCs w:val="16"/>
        </w:rPr>
        <w:t xml:space="preserve"> </w:t>
      </w:r>
      <w:r w:rsidR="003D258B" w:rsidRPr="00E30939">
        <w:rPr>
          <w:rFonts w:ascii="Verdana" w:hAnsi="Verdana"/>
          <w:color w:val="7030A0"/>
          <w:sz w:val="16"/>
          <w:szCs w:val="16"/>
        </w:rPr>
        <w:t>Regulation 883/2004</w:t>
      </w:r>
      <w:r w:rsidR="000047BD" w:rsidRPr="00E30939">
        <w:rPr>
          <w:rFonts w:ascii="Verdana" w:hAnsi="Verdana"/>
          <w:color w:val="7030A0"/>
          <w:sz w:val="16"/>
          <w:szCs w:val="16"/>
        </w:rPr>
        <w:t xml:space="preserve">, </w:t>
      </w:r>
      <w:r w:rsidR="00734D6C" w:rsidRPr="00E30939">
        <w:rPr>
          <w:rFonts w:ascii="Verdana" w:hAnsi="Verdana"/>
          <w:color w:val="7030A0"/>
          <w:sz w:val="16"/>
          <w:szCs w:val="16"/>
        </w:rPr>
        <w:t>‘EU Regulation of the Parliament and of the Council on the coordination of social security systems</w:t>
      </w:r>
      <w:r w:rsidR="004816EC" w:rsidRPr="00E30939">
        <w:rPr>
          <w:rFonts w:ascii="Verdana" w:hAnsi="Verdana"/>
          <w:color w:val="7030A0"/>
          <w:sz w:val="16"/>
          <w:szCs w:val="16"/>
        </w:rPr>
        <w:t>’, 29 April 2004.</w:t>
      </w:r>
    </w:p>
  </w:footnote>
  <w:footnote w:id="25">
    <w:p w14:paraId="305BA6CB" w14:textId="37856FE7" w:rsidR="002D630C" w:rsidRPr="00E30939" w:rsidRDefault="002D630C" w:rsidP="00403D3E">
      <w:pPr>
        <w:pStyle w:val="FootnoteText"/>
        <w:rPr>
          <w:rFonts w:ascii="Verdana" w:hAnsi="Verdana"/>
          <w:color w:val="7030A0"/>
          <w:sz w:val="16"/>
          <w:szCs w:val="16"/>
        </w:rPr>
      </w:pPr>
      <w:r w:rsidRPr="00E30939">
        <w:rPr>
          <w:rStyle w:val="FootnoteReference"/>
          <w:rFonts w:ascii="Verdana" w:hAnsi="Verdana"/>
          <w:color w:val="7030A0"/>
          <w:sz w:val="16"/>
          <w:szCs w:val="16"/>
        </w:rPr>
        <w:footnoteRef/>
      </w:r>
      <w:r w:rsidRPr="00E30939">
        <w:rPr>
          <w:rFonts w:ascii="Verdana" w:hAnsi="Verdana"/>
          <w:color w:val="7030A0"/>
          <w:sz w:val="16"/>
          <w:szCs w:val="16"/>
        </w:rPr>
        <w:t xml:space="preserve"> Articles 18(2), </w:t>
      </w:r>
      <w:r w:rsidR="000945FE" w:rsidRPr="00E30939">
        <w:rPr>
          <w:rFonts w:ascii="Verdana" w:hAnsi="Verdana"/>
          <w:color w:val="7030A0"/>
          <w:sz w:val="16"/>
          <w:szCs w:val="16"/>
        </w:rPr>
        <w:t>19(1)</w:t>
      </w:r>
      <w:r w:rsidR="00D6271E" w:rsidRPr="00E30939">
        <w:rPr>
          <w:rFonts w:ascii="Verdana" w:hAnsi="Verdana"/>
          <w:color w:val="7030A0"/>
          <w:sz w:val="16"/>
          <w:szCs w:val="16"/>
        </w:rPr>
        <w:t xml:space="preserve"> and Annex III</w:t>
      </w:r>
      <w:r w:rsidR="000945FE" w:rsidRPr="00E30939">
        <w:rPr>
          <w:rFonts w:ascii="Verdana" w:hAnsi="Verdana"/>
          <w:color w:val="7030A0"/>
          <w:sz w:val="16"/>
          <w:szCs w:val="16"/>
        </w:rPr>
        <w:t xml:space="preserve"> Regulation 883/2004.</w:t>
      </w:r>
      <w:r w:rsidR="00EF0BBE" w:rsidRPr="00E30939">
        <w:rPr>
          <w:rFonts w:ascii="Verdana" w:hAnsi="Verdana"/>
          <w:color w:val="7030A0"/>
          <w:sz w:val="16"/>
          <w:szCs w:val="16"/>
        </w:rPr>
        <w:t xml:space="preserve"> </w:t>
      </w:r>
    </w:p>
  </w:footnote>
  <w:footnote w:id="26">
    <w:p w14:paraId="2657F194" w14:textId="252A0A28" w:rsidR="008C5CDC" w:rsidRPr="00E30939" w:rsidRDefault="008C5CDC" w:rsidP="00403D3E">
      <w:pPr>
        <w:pStyle w:val="FootnoteText"/>
        <w:rPr>
          <w:rFonts w:ascii="Verdana" w:hAnsi="Verdana"/>
          <w:color w:val="7030A0"/>
          <w:sz w:val="16"/>
          <w:szCs w:val="16"/>
        </w:rPr>
      </w:pPr>
      <w:r w:rsidRPr="00E30939">
        <w:rPr>
          <w:rStyle w:val="FootnoteReference"/>
          <w:rFonts w:ascii="Verdana" w:hAnsi="Verdana"/>
          <w:color w:val="7030A0"/>
          <w:sz w:val="16"/>
          <w:szCs w:val="16"/>
        </w:rPr>
        <w:footnoteRef/>
      </w:r>
      <w:r w:rsidRPr="00E30939">
        <w:rPr>
          <w:rFonts w:ascii="Verdana" w:hAnsi="Verdana"/>
          <w:color w:val="7030A0"/>
          <w:sz w:val="16"/>
          <w:szCs w:val="16"/>
        </w:rPr>
        <w:t xml:space="preserve"> Immigration Act 1971, as amended by Immigration and Social Security Co-ordination (EU Withdrawal) Act 2020, section 2 (2)</w:t>
      </w:r>
      <w:r w:rsidR="00BA5C1A" w:rsidRPr="00E30939">
        <w:rPr>
          <w:rFonts w:ascii="Verdana" w:hAnsi="Verdana"/>
          <w:color w:val="7030A0"/>
          <w:sz w:val="16"/>
          <w:szCs w:val="16"/>
        </w:rPr>
        <w:t xml:space="preserve">; </w:t>
      </w:r>
      <w:r w:rsidR="00E95329" w:rsidRPr="00E30939">
        <w:rPr>
          <w:rFonts w:ascii="Verdana" w:hAnsi="Verdana"/>
          <w:color w:val="7030A0"/>
          <w:sz w:val="16"/>
          <w:szCs w:val="16"/>
        </w:rPr>
        <w:t>Home Office, ‘</w:t>
      </w:r>
      <w:hyperlink r:id="rId2" w:history="1">
        <w:r w:rsidR="00E95329" w:rsidRPr="00E30939">
          <w:rPr>
            <w:rStyle w:val="Hyperlink"/>
            <w:rFonts w:ascii="Verdana" w:hAnsi="Verdana"/>
            <w:color w:val="7030A0"/>
            <w:sz w:val="16"/>
            <w:szCs w:val="16"/>
          </w:rPr>
          <w:t>Frontier Worker Permit Scheme Guidance: Version 2.0</w:t>
        </w:r>
      </w:hyperlink>
      <w:r w:rsidR="00E95329" w:rsidRPr="00E30939">
        <w:rPr>
          <w:rFonts w:ascii="Verdana" w:hAnsi="Verdana"/>
          <w:color w:val="7030A0"/>
          <w:sz w:val="16"/>
          <w:szCs w:val="16"/>
        </w:rPr>
        <w:t>’, at 9.</w:t>
      </w:r>
    </w:p>
  </w:footnote>
  <w:footnote w:id="27">
    <w:p w14:paraId="39569D0C" w14:textId="21AD8106" w:rsidR="00185484" w:rsidRPr="00E30939" w:rsidRDefault="00185484" w:rsidP="00403D3E">
      <w:pPr>
        <w:pStyle w:val="Default"/>
        <w:ind w:right="340"/>
        <w:rPr>
          <w:rFonts w:cs="Gotham Book"/>
          <w:color w:val="7030A0"/>
          <w:sz w:val="16"/>
          <w:szCs w:val="16"/>
          <w:lang w:val="en-GB"/>
        </w:rPr>
      </w:pPr>
      <w:r w:rsidRPr="00E30939">
        <w:rPr>
          <w:rStyle w:val="FootnoteReference"/>
          <w:color w:val="7030A0"/>
          <w:sz w:val="16"/>
          <w:szCs w:val="16"/>
        </w:rPr>
        <w:footnoteRef/>
      </w:r>
      <w:r w:rsidR="00B11FF4" w:rsidRPr="00E30939">
        <w:rPr>
          <w:rFonts w:cs="Gotham Book"/>
          <w:color w:val="7030A0"/>
          <w:sz w:val="16"/>
          <w:szCs w:val="16"/>
        </w:rPr>
        <w:t xml:space="preserve"> </w:t>
      </w:r>
      <w:bookmarkStart w:id="8" w:name="_Hlk104889393"/>
      <w:r w:rsidR="00B11FF4" w:rsidRPr="00E30939">
        <w:rPr>
          <w:rFonts w:cs="Gotham Book"/>
          <w:color w:val="7030A0"/>
          <w:sz w:val="16"/>
          <w:szCs w:val="16"/>
        </w:rPr>
        <w:t>Home Office, ‘</w:t>
      </w:r>
      <w:hyperlink r:id="rId3" w:history="1">
        <w:r w:rsidR="00B11FF4" w:rsidRPr="00E30939">
          <w:rPr>
            <w:rStyle w:val="Hyperlink"/>
            <w:rFonts w:cs="Gotham Book"/>
            <w:color w:val="7030A0"/>
            <w:sz w:val="16"/>
            <w:szCs w:val="16"/>
          </w:rPr>
          <w:t>Frontier Worker Permit Scheme Guidance</w:t>
        </w:r>
        <w:r w:rsidR="00376084" w:rsidRPr="00E30939">
          <w:rPr>
            <w:rStyle w:val="Hyperlink"/>
            <w:rFonts w:cs="Gotham Book"/>
            <w:color w:val="7030A0"/>
            <w:sz w:val="16"/>
            <w:szCs w:val="16"/>
          </w:rPr>
          <w:t>: Version 2.0</w:t>
        </w:r>
      </w:hyperlink>
      <w:r w:rsidR="00B11FF4" w:rsidRPr="00E30939">
        <w:rPr>
          <w:rFonts w:cs="Gotham Book"/>
          <w:color w:val="7030A0"/>
          <w:sz w:val="16"/>
          <w:szCs w:val="16"/>
        </w:rPr>
        <w:t>’, at 9.</w:t>
      </w:r>
      <w:bookmarkEnd w:id="8"/>
    </w:p>
  </w:footnote>
  <w:footnote w:id="28">
    <w:p w14:paraId="7D9C6A6B" w14:textId="271BB564" w:rsidR="008754FA" w:rsidRPr="00E30939" w:rsidRDefault="008754FA" w:rsidP="00403D3E">
      <w:pPr>
        <w:pStyle w:val="FootnoteText"/>
        <w:rPr>
          <w:rFonts w:ascii="Verdana" w:hAnsi="Verdana"/>
          <w:color w:val="7030A0"/>
          <w:sz w:val="16"/>
          <w:szCs w:val="16"/>
        </w:rPr>
      </w:pPr>
      <w:r w:rsidRPr="00E30939">
        <w:rPr>
          <w:rStyle w:val="FootnoteReference"/>
          <w:rFonts w:ascii="Verdana" w:hAnsi="Verdana"/>
          <w:color w:val="7030A0"/>
          <w:sz w:val="16"/>
          <w:szCs w:val="16"/>
        </w:rPr>
        <w:footnoteRef/>
      </w:r>
      <w:r w:rsidR="00E95329" w:rsidRPr="00E30939">
        <w:rPr>
          <w:rFonts w:ascii="Verdana" w:hAnsi="Verdana"/>
          <w:color w:val="7030A0"/>
          <w:sz w:val="16"/>
          <w:szCs w:val="16"/>
        </w:rPr>
        <w:t xml:space="preserve"> Regulation 6,</w:t>
      </w:r>
      <w:r w:rsidRPr="00E30939">
        <w:rPr>
          <w:rFonts w:ascii="Verdana" w:hAnsi="Verdana"/>
          <w:color w:val="7030A0"/>
          <w:sz w:val="16"/>
          <w:szCs w:val="16"/>
        </w:rPr>
        <w:t xml:space="preserve"> </w:t>
      </w:r>
      <w:r w:rsidR="00FB4BE8" w:rsidRPr="00E30939">
        <w:rPr>
          <w:rFonts w:ascii="Verdana" w:hAnsi="Verdana"/>
          <w:color w:val="7030A0"/>
          <w:sz w:val="16"/>
          <w:szCs w:val="16"/>
        </w:rPr>
        <w:t>Provision of Health Services to Persons Not Ordinarily Resident Regulations (Northern Ireland) 2015.</w:t>
      </w:r>
    </w:p>
  </w:footnote>
  <w:footnote w:id="29">
    <w:p w14:paraId="38790756" w14:textId="149022E5" w:rsidR="00583A7B" w:rsidRPr="00E30939" w:rsidRDefault="00583A7B" w:rsidP="00403D3E">
      <w:pPr>
        <w:pStyle w:val="FootnoteText"/>
        <w:rPr>
          <w:rFonts w:ascii="Verdana" w:hAnsi="Verdana"/>
          <w:color w:val="7030A0"/>
          <w:sz w:val="16"/>
          <w:szCs w:val="16"/>
        </w:rPr>
      </w:pPr>
      <w:r w:rsidRPr="00E30939">
        <w:rPr>
          <w:rStyle w:val="FootnoteReference"/>
          <w:rFonts w:ascii="Verdana" w:hAnsi="Verdana"/>
          <w:color w:val="7030A0"/>
          <w:sz w:val="16"/>
          <w:szCs w:val="16"/>
        </w:rPr>
        <w:footnoteRef/>
      </w:r>
      <w:r w:rsidRPr="00E30939">
        <w:rPr>
          <w:rFonts w:ascii="Verdana" w:hAnsi="Verdana"/>
          <w:color w:val="7030A0"/>
          <w:sz w:val="16"/>
          <w:szCs w:val="16"/>
        </w:rPr>
        <w:t xml:space="preserve"> </w:t>
      </w:r>
      <w:bookmarkStart w:id="9" w:name="_Hlk103673614"/>
      <w:bookmarkStart w:id="10" w:name="_Hlk103763181"/>
      <w:r w:rsidRPr="00E30939">
        <w:rPr>
          <w:rFonts w:ascii="Verdana" w:hAnsi="Verdana"/>
          <w:color w:val="7030A0"/>
          <w:sz w:val="16"/>
          <w:szCs w:val="16"/>
        </w:rPr>
        <w:t>Tamara Hervey, ‘Brexit, Health and its potential impact on Article 2 of the Ireland/Northern Ireland Protocol’ (NIHRC, 2022), at 26</w:t>
      </w:r>
      <w:r w:rsidR="00EA2513" w:rsidRPr="00E30939">
        <w:rPr>
          <w:rFonts w:ascii="Verdana" w:hAnsi="Verdana"/>
          <w:color w:val="7030A0"/>
          <w:sz w:val="16"/>
          <w:szCs w:val="16"/>
        </w:rPr>
        <w:t>.</w:t>
      </w:r>
      <w:bookmarkEnd w:id="9"/>
    </w:p>
    <w:bookmarkEnd w:id="10"/>
  </w:footnote>
  <w:footnote w:id="30">
    <w:p w14:paraId="4AD70391" w14:textId="7FE45515" w:rsidR="000E659B" w:rsidRDefault="000E659B">
      <w:pPr>
        <w:pStyle w:val="FootnoteText"/>
      </w:pPr>
      <w:r w:rsidRPr="00E30939">
        <w:rPr>
          <w:rStyle w:val="FootnoteReference"/>
          <w:rFonts w:ascii="Verdana" w:hAnsi="Verdana"/>
          <w:color w:val="7030A0"/>
          <w:sz w:val="16"/>
          <w:szCs w:val="16"/>
        </w:rPr>
        <w:footnoteRef/>
      </w:r>
      <w:r w:rsidRPr="00E30939">
        <w:rPr>
          <w:rFonts w:ascii="Verdana" w:hAnsi="Verdana"/>
          <w:color w:val="7030A0"/>
          <w:sz w:val="16"/>
          <w:szCs w:val="16"/>
        </w:rPr>
        <w:t xml:space="preserve"> </w:t>
      </w:r>
      <w:r w:rsidR="00E01106" w:rsidRPr="00E30939">
        <w:rPr>
          <w:rFonts w:ascii="Verdana" w:hAnsi="Verdana"/>
          <w:color w:val="7030A0"/>
          <w:sz w:val="16"/>
          <w:szCs w:val="16"/>
        </w:rPr>
        <w:t xml:space="preserve">The NIHRC has commissioned further research into the </w:t>
      </w:r>
      <w:r w:rsidR="006F0873" w:rsidRPr="00E30939">
        <w:rPr>
          <w:rFonts w:ascii="Verdana" w:hAnsi="Verdana"/>
          <w:color w:val="7030A0"/>
          <w:sz w:val="16"/>
          <w:szCs w:val="16"/>
        </w:rPr>
        <w:t xml:space="preserve">rights of </w:t>
      </w:r>
      <w:r w:rsidR="00E30939" w:rsidRPr="00E30939">
        <w:rPr>
          <w:rFonts w:ascii="Verdana" w:hAnsi="Verdana"/>
          <w:color w:val="7030A0"/>
          <w:sz w:val="16"/>
          <w:szCs w:val="16"/>
        </w:rPr>
        <w:t>frontier</w:t>
      </w:r>
      <w:r w:rsidR="006F0873" w:rsidRPr="00E30939">
        <w:rPr>
          <w:rFonts w:ascii="Verdana" w:hAnsi="Verdana"/>
          <w:color w:val="7030A0"/>
          <w:sz w:val="16"/>
          <w:szCs w:val="16"/>
        </w:rPr>
        <w:t xml:space="preserve"> workers a</w:t>
      </w:r>
      <w:r w:rsidR="00E30939" w:rsidRPr="00E30939">
        <w:rPr>
          <w:rFonts w:ascii="Verdana" w:hAnsi="Verdana"/>
          <w:color w:val="7030A0"/>
          <w:sz w:val="16"/>
          <w:szCs w:val="16"/>
        </w:rPr>
        <w:t>n</w:t>
      </w:r>
      <w:r w:rsidR="006F0873" w:rsidRPr="00E30939">
        <w:rPr>
          <w:rFonts w:ascii="Verdana" w:hAnsi="Verdana"/>
          <w:color w:val="7030A0"/>
          <w:sz w:val="16"/>
          <w:szCs w:val="16"/>
        </w:rPr>
        <w:t xml:space="preserve">d their families in the context of </w:t>
      </w:r>
      <w:r w:rsidR="00E30939" w:rsidRPr="00E30939">
        <w:rPr>
          <w:rFonts w:ascii="Verdana" w:hAnsi="Verdana"/>
          <w:color w:val="7030A0"/>
          <w:sz w:val="16"/>
          <w:szCs w:val="16"/>
        </w:rPr>
        <w:t>rights after Brexit. The report is forthcoming and will be published in 2023.</w:t>
      </w:r>
      <w:r w:rsidR="00E30939" w:rsidRPr="00E30939">
        <w:rPr>
          <w:color w:val="7030A0"/>
        </w:rPr>
        <w:t xml:space="preserve"> </w:t>
      </w:r>
    </w:p>
  </w:footnote>
  <w:footnote w:id="31">
    <w:p w14:paraId="5FF9D734" w14:textId="1528D470" w:rsidR="00D254AC" w:rsidRPr="00403D3E" w:rsidRDefault="00D254AC"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bookmarkStart w:id="13" w:name="_Hlk103764870"/>
      <w:r w:rsidRPr="00403D3E">
        <w:rPr>
          <w:rFonts w:ascii="Verdana" w:hAnsi="Verdana"/>
          <w:color w:val="77328A"/>
          <w:sz w:val="16"/>
          <w:szCs w:val="16"/>
        </w:rPr>
        <w:t>Tamara Hervey, ‘Brexit, Health and its potential impact on Article 2 of the Ireland/Northern Ireland Protocol’ (NIHRC, 2022), at 27.</w:t>
      </w:r>
      <w:bookmarkEnd w:id="13"/>
    </w:p>
  </w:footnote>
  <w:footnote w:id="32">
    <w:p w14:paraId="666ADB39" w14:textId="1B04165B" w:rsidR="001757CD" w:rsidRPr="00BF30DE" w:rsidRDefault="001757CD"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721453" w:rsidRPr="00403D3E">
        <w:rPr>
          <w:rFonts w:ascii="Verdana" w:hAnsi="Verdana"/>
          <w:color w:val="77328A"/>
          <w:sz w:val="16"/>
          <w:szCs w:val="16"/>
        </w:rPr>
        <w:t>Equality Commission for NI, ‘</w:t>
      </w:r>
      <w:hyperlink r:id="rId4" w:history="1">
        <w:r w:rsidR="00A83CFC" w:rsidRPr="00403D3E">
          <w:rPr>
            <w:rStyle w:val="Hyperlink"/>
            <w:rFonts w:ascii="Verdana" w:hAnsi="Verdana"/>
            <w:color w:val="77328A"/>
            <w:sz w:val="16"/>
            <w:szCs w:val="16"/>
          </w:rPr>
          <w:t>Commissions meet in the North West to discuss rights after Brexit</w:t>
        </w:r>
      </w:hyperlink>
      <w:r w:rsidR="00A83CFC" w:rsidRPr="00403D3E">
        <w:rPr>
          <w:rFonts w:ascii="Verdana" w:hAnsi="Verdana"/>
          <w:color w:val="77328A"/>
          <w:sz w:val="16"/>
          <w:szCs w:val="16"/>
        </w:rPr>
        <w:t>’ (ECNI, 2022).</w:t>
      </w:r>
    </w:p>
  </w:footnote>
  <w:footnote w:id="33">
    <w:p w14:paraId="0C854A0C" w14:textId="1871036B" w:rsidR="00DE4F48" w:rsidRPr="00403D3E" w:rsidRDefault="00DE4F48"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Equality Commission NI &amp; Pivotal, ‘</w:t>
      </w:r>
      <w:r w:rsidR="00A755DB" w:rsidRPr="00403D3E">
        <w:rPr>
          <w:rFonts w:ascii="Verdana" w:hAnsi="Verdana"/>
          <w:color w:val="77328A"/>
          <w:sz w:val="16"/>
          <w:szCs w:val="16"/>
        </w:rPr>
        <w:t xml:space="preserve">Impact of Brexit on Minority Ethnic and Migrant People in NI’ </w:t>
      </w:r>
      <w:r w:rsidR="00855DB4" w:rsidRPr="00403D3E">
        <w:rPr>
          <w:rFonts w:ascii="Verdana" w:hAnsi="Verdana"/>
          <w:color w:val="77328A"/>
          <w:sz w:val="16"/>
          <w:szCs w:val="16"/>
        </w:rPr>
        <w:t xml:space="preserve">(ECNI, 2023), at 17. </w:t>
      </w:r>
    </w:p>
  </w:footnote>
  <w:footnote w:id="34">
    <w:p w14:paraId="198609AE" w14:textId="72417666" w:rsidR="00EF0DEB" w:rsidRPr="00403D3E" w:rsidRDefault="00EF0DEB"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5279E5" w:rsidRPr="00403D3E">
        <w:rPr>
          <w:rFonts w:ascii="Verdana" w:hAnsi="Verdana"/>
          <w:color w:val="77328A"/>
          <w:sz w:val="16"/>
          <w:szCs w:val="16"/>
        </w:rPr>
        <w:t xml:space="preserve">Regulation 4(1), </w:t>
      </w:r>
      <w:r w:rsidR="009B03F1" w:rsidRPr="00403D3E">
        <w:rPr>
          <w:rFonts w:ascii="Verdana" w:hAnsi="Verdana"/>
          <w:color w:val="77328A"/>
          <w:sz w:val="16"/>
          <w:szCs w:val="16"/>
        </w:rPr>
        <w:t>Provision of Services to Persons Not Ordinarily Resident Regulations (Northern Ireland) 2015</w:t>
      </w:r>
      <w:r w:rsidR="005279E5" w:rsidRPr="00403D3E">
        <w:rPr>
          <w:rFonts w:ascii="Verdana" w:hAnsi="Verdana"/>
          <w:color w:val="77328A"/>
          <w:sz w:val="16"/>
          <w:szCs w:val="16"/>
        </w:rPr>
        <w:t>.</w:t>
      </w:r>
    </w:p>
  </w:footnote>
  <w:footnote w:id="35">
    <w:p w14:paraId="39DDB59C" w14:textId="61311D1D" w:rsidR="00E2120B" w:rsidRPr="00403D3E" w:rsidRDefault="00E2120B"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8A6555" w:rsidRPr="00403D3E">
        <w:rPr>
          <w:rFonts w:ascii="Verdana" w:hAnsi="Verdana"/>
          <w:color w:val="77328A"/>
          <w:sz w:val="16"/>
          <w:szCs w:val="16"/>
        </w:rPr>
        <w:t xml:space="preserve">Section 18, </w:t>
      </w:r>
      <w:r w:rsidR="00B80871" w:rsidRPr="00403D3E">
        <w:rPr>
          <w:rFonts w:ascii="Verdana" w:hAnsi="Verdana"/>
          <w:color w:val="77328A"/>
          <w:sz w:val="16"/>
          <w:szCs w:val="16"/>
        </w:rPr>
        <w:t>Human Trafficking and Exploitation (Criminal Justice and Support for Victims) Act (Northern Ireland) 2015.</w:t>
      </w:r>
      <w:r w:rsidR="001B29F9">
        <w:rPr>
          <w:rFonts w:ascii="Verdana" w:hAnsi="Verdana"/>
          <w:color w:val="77328A"/>
          <w:sz w:val="16"/>
          <w:szCs w:val="16"/>
        </w:rPr>
        <w:t xml:space="preserve"> Note also that section 25 of the Illegal Migration Act 2023 disapplies this obligation in respect of certain persons</w:t>
      </w:r>
      <w:r w:rsidR="00A9065C">
        <w:rPr>
          <w:rFonts w:ascii="Verdana" w:hAnsi="Verdana"/>
          <w:color w:val="77328A"/>
          <w:sz w:val="16"/>
          <w:szCs w:val="16"/>
        </w:rPr>
        <w:t>; provision not commenced at time of writing.</w:t>
      </w:r>
    </w:p>
  </w:footnote>
  <w:footnote w:id="36">
    <w:p w14:paraId="0BA7F5A3" w14:textId="5CABD327" w:rsidR="00EB3532" w:rsidRPr="00B36C6A" w:rsidRDefault="00EB3532" w:rsidP="00403D3E">
      <w:pPr>
        <w:pStyle w:val="FootnoteText"/>
        <w:rPr>
          <w:rFonts w:ascii="Verdana" w:hAnsi="Verdana"/>
          <w:color w:val="7030A0"/>
          <w:sz w:val="16"/>
          <w:szCs w:val="16"/>
        </w:rPr>
      </w:pPr>
      <w:r w:rsidRPr="00B36C6A">
        <w:rPr>
          <w:rStyle w:val="FootnoteReference"/>
          <w:rFonts w:ascii="Verdana" w:hAnsi="Verdana"/>
          <w:color w:val="7030A0"/>
          <w:sz w:val="16"/>
          <w:szCs w:val="16"/>
        </w:rPr>
        <w:footnoteRef/>
      </w:r>
      <w:r w:rsidRPr="00B36C6A">
        <w:rPr>
          <w:rFonts w:ascii="Verdana" w:hAnsi="Verdana"/>
          <w:color w:val="7030A0"/>
          <w:sz w:val="16"/>
          <w:szCs w:val="16"/>
        </w:rPr>
        <w:t xml:space="preserve"> </w:t>
      </w:r>
      <w:r w:rsidR="007E7FE2" w:rsidRPr="00B36C6A">
        <w:rPr>
          <w:rFonts w:ascii="Verdana" w:hAnsi="Verdana"/>
          <w:color w:val="7030A0"/>
          <w:sz w:val="16"/>
          <w:szCs w:val="16"/>
        </w:rPr>
        <w:t>Department of Health, ‘Operational Guidance - Health and Personal Social Services Provision of Health Services to Persons Not Ordinarily Resident Regulations (Northern Ireland) 2015’, (</w:t>
      </w:r>
      <w:proofErr w:type="spellStart"/>
      <w:r w:rsidR="007E7FE2" w:rsidRPr="00B36C6A">
        <w:rPr>
          <w:rFonts w:ascii="Verdana" w:hAnsi="Verdana"/>
          <w:color w:val="7030A0"/>
          <w:sz w:val="16"/>
          <w:szCs w:val="16"/>
        </w:rPr>
        <w:t>DoH</w:t>
      </w:r>
      <w:proofErr w:type="spellEnd"/>
      <w:r w:rsidR="007E7FE2" w:rsidRPr="00B36C6A">
        <w:rPr>
          <w:rFonts w:ascii="Verdana" w:hAnsi="Verdana"/>
          <w:color w:val="7030A0"/>
          <w:sz w:val="16"/>
          <w:szCs w:val="16"/>
        </w:rPr>
        <w:t>, 2021), at paras 3.27-3.31.</w:t>
      </w:r>
    </w:p>
  </w:footnote>
  <w:footnote w:id="37">
    <w:p w14:paraId="7AA9A9B9" w14:textId="3FFB50C9" w:rsidR="00A344D7" w:rsidRPr="00B36C6A" w:rsidRDefault="00A344D7" w:rsidP="00403D3E">
      <w:pPr>
        <w:pStyle w:val="FootnoteText"/>
        <w:rPr>
          <w:rFonts w:ascii="Verdana" w:hAnsi="Verdana"/>
          <w:color w:val="7030A0"/>
          <w:sz w:val="16"/>
          <w:szCs w:val="16"/>
        </w:rPr>
      </w:pPr>
      <w:r w:rsidRPr="00B36C6A">
        <w:rPr>
          <w:rStyle w:val="FootnoteReference"/>
          <w:rFonts w:ascii="Verdana" w:hAnsi="Verdana"/>
          <w:color w:val="7030A0"/>
          <w:sz w:val="16"/>
          <w:szCs w:val="16"/>
        </w:rPr>
        <w:footnoteRef/>
      </w:r>
      <w:r w:rsidRPr="00B36C6A">
        <w:rPr>
          <w:rFonts w:ascii="Verdana" w:hAnsi="Verdana"/>
          <w:color w:val="7030A0"/>
          <w:sz w:val="16"/>
          <w:szCs w:val="16"/>
        </w:rPr>
        <w:t xml:space="preserve"> Directive 2011/36/EU</w:t>
      </w:r>
      <w:r w:rsidR="00E75FFB" w:rsidRPr="00B36C6A">
        <w:rPr>
          <w:rFonts w:ascii="Verdana" w:hAnsi="Verdana"/>
          <w:color w:val="7030A0"/>
          <w:sz w:val="16"/>
          <w:szCs w:val="16"/>
        </w:rPr>
        <w:t>, ‘</w:t>
      </w:r>
      <w:r w:rsidR="00BB783D" w:rsidRPr="00B36C6A">
        <w:rPr>
          <w:rFonts w:ascii="Verdana" w:hAnsi="Verdana"/>
          <w:color w:val="7030A0"/>
          <w:sz w:val="16"/>
          <w:szCs w:val="16"/>
        </w:rPr>
        <w:t xml:space="preserve">EU </w:t>
      </w:r>
      <w:r w:rsidRPr="00B36C6A">
        <w:rPr>
          <w:rFonts w:ascii="Verdana" w:hAnsi="Verdana"/>
          <w:color w:val="7030A0"/>
          <w:sz w:val="16"/>
          <w:szCs w:val="16"/>
        </w:rPr>
        <w:t xml:space="preserve">Council Directive on </w:t>
      </w:r>
      <w:r w:rsidR="00E75FFB" w:rsidRPr="00B36C6A">
        <w:rPr>
          <w:rFonts w:ascii="Verdana" w:hAnsi="Verdana"/>
          <w:color w:val="7030A0"/>
          <w:sz w:val="16"/>
          <w:szCs w:val="16"/>
        </w:rPr>
        <w:t>Preventing</w:t>
      </w:r>
      <w:r w:rsidRPr="00B36C6A">
        <w:rPr>
          <w:rFonts w:ascii="Verdana" w:hAnsi="Verdana"/>
          <w:color w:val="7030A0"/>
          <w:sz w:val="16"/>
          <w:szCs w:val="16"/>
        </w:rPr>
        <w:t xml:space="preserve"> and </w:t>
      </w:r>
      <w:r w:rsidR="00E75FFB" w:rsidRPr="00B36C6A">
        <w:rPr>
          <w:rFonts w:ascii="Verdana" w:hAnsi="Verdana"/>
          <w:color w:val="7030A0"/>
          <w:sz w:val="16"/>
          <w:szCs w:val="16"/>
        </w:rPr>
        <w:t>Combating Trafficking</w:t>
      </w:r>
      <w:r w:rsidRPr="00B36C6A">
        <w:rPr>
          <w:rFonts w:ascii="Verdana" w:hAnsi="Verdana"/>
          <w:color w:val="7030A0"/>
          <w:sz w:val="16"/>
          <w:szCs w:val="16"/>
        </w:rPr>
        <w:t xml:space="preserve"> in </w:t>
      </w:r>
      <w:r w:rsidR="00E75FFB" w:rsidRPr="00B36C6A">
        <w:rPr>
          <w:rFonts w:ascii="Verdana" w:hAnsi="Verdana"/>
          <w:color w:val="7030A0"/>
          <w:sz w:val="16"/>
          <w:szCs w:val="16"/>
        </w:rPr>
        <w:t>Human Beings</w:t>
      </w:r>
      <w:r w:rsidRPr="00B36C6A">
        <w:rPr>
          <w:rFonts w:ascii="Verdana" w:hAnsi="Verdana"/>
          <w:color w:val="7030A0"/>
          <w:sz w:val="16"/>
          <w:szCs w:val="16"/>
        </w:rPr>
        <w:t xml:space="preserve"> and </w:t>
      </w:r>
      <w:r w:rsidR="00E75FFB" w:rsidRPr="00B36C6A">
        <w:rPr>
          <w:rFonts w:ascii="Verdana" w:hAnsi="Verdana"/>
          <w:color w:val="7030A0"/>
          <w:sz w:val="16"/>
          <w:szCs w:val="16"/>
        </w:rPr>
        <w:t>Protecting</w:t>
      </w:r>
      <w:r w:rsidRPr="00B36C6A">
        <w:rPr>
          <w:rFonts w:ascii="Verdana" w:hAnsi="Verdana"/>
          <w:color w:val="7030A0"/>
          <w:sz w:val="16"/>
          <w:szCs w:val="16"/>
        </w:rPr>
        <w:t xml:space="preserve"> its </w:t>
      </w:r>
      <w:r w:rsidR="00E75FFB" w:rsidRPr="00B36C6A">
        <w:rPr>
          <w:rFonts w:ascii="Verdana" w:hAnsi="Verdana"/>
          <w:color w:val="7030A0"/>
          <w:sz w:val="16"/>
          <w:szCs w:val="16"/>
        </w:rPr>
        <w:t>Victims’, 5 April 2011</w:t>
      </w:r>
      <w:r w:rsidRPr="00B36C6A">
        <w:rPr>
          <w:rFonts w:ascii="Verdana" w:hAnsi="Verdana"/>
          <w:color w:val="7030A0"/>
          <w:sz w:val="16"/>
          <w:szCs w:val="16"/>
        </w:rPr>
        <w:t>.</w:t>
      </w:r>
    </w:p>
  </w:footnote>
  <w:footnote w:id="38">
    <w:p w14:paraId="17BD64EF" w14:textId="779B0A54" w:rsidR="00C47B83" w:rsidRPr="00B36C6A" w:rsidRDefault="00C47B83" w:rsidP="00403D3E">
      <w:pPr>
        <w:pStyle w:val="FootnoteText"/>
        <w:rPr>
          <w:rFonts w:ascii="Verdana" w:hAnsi="Verdana"/>
          <w:color w:val="7030A0"/>
          <w:sz w:val="16"/>
          <w:szCs w:val="16"/>
        </w:rPr>
      </w:pPr>
      <w:r w:rsidRPr="00B36C6A">
        <w:rPr>
          <w:rStyle w:val="FootnoteReference"/>
          <w:rFonts w:ascii="Verdana" w:hAnsi="Verdana"/>
          <w:color w:val="7030A0"/>
          <w:sz w:val="16"/>
          <w:szCs w:val="16"/>
        </w:rPr>
        <w:footnoteRef/>
      </w:r>
      <w:r w:rsidR="00A344D7" w:rsidRPr="00B36C6A">
        <w:rPr>
          <w:rFonts w:ascii="Verdana" w:hAnsi="Verdana"/>
          <w:color w:val="7030A0"/>
          <w:sz w:val="16"/>
          <w:szCs w:val="16"/>
        </w:rPr>
        <w:t xml:space="preserve"> Ibid,</w:t>
      </w:r>
      <w:r w:rsidRPr="00B36C6A">
        <w:rPr>
          <w:rFonts w:ascii="Verdana" w:hAnsi="Verdana"/>
          <w:color w:val="7030A0"/>
          <w:sz w:val="16"/>
          <w:szCs w:val="16"/>
        </w:rPr>
        <w:t xml:space="preserve"> Article 11</w:t>
      </w:r>
      <w:r w:rsidR="00A344D7" w:rsidRPr="00B36C6A">
        <w:rPr>
          <w:rFonts w:ascii="Verdana" w:hAnsi="Verdana"/>
          <w:color w:val="7030A0"/>
          <w:sz w:val="16"/>
          <w:szCs w:val="16"/>
        </w:rPr>
        <w:t>.</w:t>
      </w:r>
    </w:p>
  </w:footnote>
  <w:footnote w:id="39">
    <w:p w14:paraId="5F4C7E0C" w14:textId="4B9CAE62" w:rsidR="006A1E8C" w:rsidRPr="00B36C6A" w:rsidRDefault="006A1E8C" w:rsidP="00403D3E">
      <w:pPr>
        <w:pStyle w:val="FootnoteText"/>
        <w:rPr>
          <w:rFonts w:ascii="Verdana" w:hAnsi="Verdana"/>
          <w:color w:val="7030A0"/>
          <w:sz w:val="16"/>
          <w:szCs w:val="16"/>
        </w:rPr>
      </w:pPr>
      <w:r w:rsidRPr="00B36C6A">
        <w:rPr>
          <w:rStyle w:val="FootnoteReference"/>
          <w:rFonts w:ascii="Verdana" w:hAnsi="Verdana"/>
          <w:color w:val="7030A0"/>
          <w:sz w:val="16"/>
          <w:szCs w:val="16"/>
        </w:rPr>
        <w:footnoteRef/>
      </w:r>
      <w:r w:rsidRPr="00B36C6A">
        <w:rPr>
          <w:rFonts w:ascii="Verdana" w:hAnsi="Verdana"/>
          <w:color w:val="7030A0"/>
          <w:sz w:val="16"/>
          <w:szCs w:val="16"/>
        </w:rPr>
        <w:t xml:space="preserve"> </w:t>
      </w:r>
      <w:r w:rsidR="003C156F" w:rsidRPr="00B36C6A">
        <w:rPr>
          <w:rFonts w:ascii="Verdana" w:hAnsi="Verdana"/>
          <w:color w:val="7030A0"/>
          <w:sz w:val="16"/>
          <w:szCs w:val="16"/>
        </w:rPr>
        <w:t>Immigration Law Practitioners’ Association, ‘ILPA Submission to the Joint Committee on Human Rights: Human Rights Implications of Brexit’</w:t>
      </w:r>
      <w:r w:rsidR="00E75FFB" w:rsidRPr="00B36C6A">
        <w:rPr>
          <w:rFonts w:ascii="Verdana" w:hAnsi="Verdana"/>
          <w:color w:val="7030A0"/>
          <w:sz w:val="16"/>
          <w:szCs w:val="16"/>
        </w:rPr>
        <w:t>, (ILPA</w:t>
      </w:r>
      <w:r w:rsidR="003C156F" w:rsidRPr="00B36C6A">
        <w:rPr>
          <w:rFonts w:ascii="Verdana" w:hAnsi="Verdana"/>
          <w:color w:val="7030A0"/>
          <w:sz w:val="16"/>
          <w:szCs w:val="16"/>
        </w:rPr>
        <w:t xml:space="preserve"> 17 October 2016</w:t>
      </w:r>
      <w:r w:rsidR="00E75FFB" w:rsidRPr="00B36C6A">
        <w:rPr>
          <w:rFonts w:ascii="Verdana" w:hAnsi="Verdana"/>
          <w:color w:val="7030A0"/>
          <w:sz w:val="16"/>
          <w:szCs w:val="16"/>
        </w:rPr>
        <w:t>)</w:t>
      </w:r>
      <w:r w:rsidR="003C156F" w:rsidRPr="00B36C6A">
        <w:rPr>
          <w:rFonts w:ascii="Verdana" w:hAnsi="Verdana"/>
          <w:color w:val="7030A0"/>
          <w:sz w:val="16"/>
          <w:szCs w:val="16"/>
        </w:rPr>
        <w:t xml:space="preserve">, </w:t>
      </w:r>
      <w:r w:rsidR="00E95329" w:rsidRPr="00B36C6A">
        <w:rPr>
          <w:rFonts w:ascii="Verdana" w:hAnsi="Verdana"/>
          <w:color w:val="7030A0"/>
          <w:sz w:val="16"/>
          <w:szCs w:val="16"/>
        </w:rPr>
        <w:t>at</w:t>
      </w:r>
      <w:r w:rsidR="003C156F" w:rsidRPr="00B36C6A">
        <w:rPr>
          <w:rFonts w:ascii="Verdana" w:hAnsi="Verdana"/>
          <w:color w:val="7030A0"/>
          <w:sz w:val="16"/>
          <w:szCs w:val="16"/>
        </w:rPr>
        <w:t xml:space="preserve"> paras 45-47.</w:t>
      </w:r>
    </w:p>
  </w:footnote>
  <w:footnote w:id="40">
    <w:p w14:paraId="26333D76" w14:textId="62EC5BE1" w:rsidR="00BA7501" w:rsidRDefault="00BA7501">
      <w:pPr>
        <w:pStyle w:val="FootnoteText"/>
      </w:pPr>
      <w:r w:rsidRPr="00B36C6A">
        <w:rPr>
          <w:rStyle w:val="FootnoteReference"/>
          <w:rFonts w:ascii="Verdana" w:hAnsi="Verdana"/>
          <w:color w:val="7030A0"/>
          <w:sz w:val="16"/>
          <w:szCs w:val="16"/>
        </w:rPr>
        <w:footnoteRef/>
      </w:r>
      <w:r w:rsidRPr="00B36C6A">
        <w:rPr>
          <w:rFonts w:ascii="Verdana" w:hAnsi="Verdana"/>
          <w:color w:val="7030A0"/>
          <w:sz w:val="16"/>
          <w:szCs w:val="16"/>
        </w:rPr>
        <w:t xml:space="preserve"> </w:t>
      </w:r>
      <w:r w:rsidR="00DA09D0" w:rsidRPr="00B36C6A">
        <w:rPr>
          <w:rFonts w:ascii="Verdana" w:hAnsi="Verdana"/>
          <w:color w:val="7030A0"/>
          <w:sz w:val="16"/>
          <w:szCs w:val="16"/>
        </w:rPr>
        <w:t>NI Human Rights Commission, ‘</w:t>
      </w:r>
      <w:r w:rsidR="000759A1" w:rsidRPr="00B36C6A">
        <w:rPr>
          <w:rFonts w:ascii="Verdana" w:hAnsi="Verdana"/>
          <w:color w:val="7030A0"/>
          <w:sz w:val="16"/>
          <w:szCs w:val="16"/>
        </w:rPr>
        <w:t xml:space="preserve">Working Paper: The Scope of Article 2(1) of the Ireland/ Northern Ireland Protocol’ (NIHRC, </w:t>
      </w:r>
      <w:r w:rsidR="00B36C6A" w:rsidRPr="00B36C6A">
        <w:rPr>
          <w:rFonts w:ascii="Verdana" w:hAnsi="Verdana"/>
          <w:color w:val="7030A0"/>
          <w:sz w:val="16"/>
          <w:szCs w:val="16"/>
        </w:rPr>
        <w:t>2022), at para 5.10.</w:t>
      </w:r>
      <w:r w:rsidR="00B36C6A" w:rsidRPr="00B36C6A">
        <w:rPr>
          <w:color w:val="7030A0"/>
        </w:rPr>
        <w:t xml:space="preserve"> </w:t>
      </w:r>
    </w:p>
  </w:footnote>
  <w:footnote w:id="41">
    <w:p w14:paraId="1A2A2A5B" w14:textId="2FA80DCD" w:rsidR="0004329A" w:rsidRPr="00403D3E" w:rsidRDefault="0004329A"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8D24BF" w:rsidRPr="00403D3E">
        <w:rPr>
          <w:rFonts w:ascii="Verdana" w:hAnsi="Verdana"/>
          <w:color w:val="77328A"/>
          <w:sz w:val="16"/>
          <w:szCs w:val="16"/>
        </w:rPr>
        <w:t>Section 68, Nationality and Borders Act, 2022.</w:t>
      </w:r>
    </w:p>
  </w:footnote>
  <w:footnote w:id="42">
    <w:p w14:paraId="3FC1700E" w14:textId="269EFE52" w:rsidR="002E3C35" w:rsidRPr="00403D3E" w:rsidRDefault="002E3C35"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713129" w:rsidRPr="00403D3E">
        <w:rPr>
          <w:rFonts w:ascii="Verdana" w:hAnsi="Verdana"/>
          <w:color w:val="77328A"/>
          <w:sz w:val="16"/>
          <w:szCs w:val="16"/>
        </w:rPr>
        <w:t>NI Human Rights Commission, ‘</w:t>
      </w:r>
      <w:r w:rsidR="008A4804" w:rsidRPr="00403D3E">
        <w:rPr>
          <w:rFonts w:ascii="Verdana" w:hAnsi="Verdana"/>
          <w:color w:val="77328A"/>
          <w:sz w:val="16"/>
          <w:szCs w:val="16"/>
        </w:rPr>
        <w:t xml:space="preserve">Submission to House of Lords on the Illegal Migration Bill’ (NIHRC, May 2023), at para 2.8. </w:t>
      </w:r>
    </w:p>
  </w:footnote>
  <w:footnote w:id="43">
    <w:p w14:paraId="1167BBBB" w14:textId="74928981" w:rsidR="003546FC" w:rsidRPr="00403D3E" w:rsidRDefault="003546FC"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Ibid, at para 5.21, para 6.6. and para 7.6. </w:t>
      </w:r>
    </w:p>
  </w:footnote>
  <w:footnote w:id="44">
    <w:p w14:paraId="3F45AE98" w14:textId="1934D202" w:rsidR="00006733" w:rsidRPr="00403D3E" w:rsidRDefault="00006733" w:rsidP="00403D3E">
      <w:pPr>
        <w:rPr>
          <w:rFonts w:ascii="Verdana" w:hAnsi="Verdana" w:cs="Arial"/>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Belfast (Good Friday) Agreement 1998, at Rights, Safeguards and Equality of Opportunity</w:t>
      </w:r>
      <w:bookmarkStart w:id="15" w:name="_Hlk104555799"/>
      <w:r w:rsidR="00997686" w:rsidRPr="00403D3E">
        <w:rPr>
          <w:rFonts w:ascii="Verdana" w:hAnsi="Verdana"/>
          <w:color w:val="77328A"/>
          <w:sz w:val="16"/>
          <w:szCs w:val="16"/>
        </w:rPr>
        <w:t>.</w:t>
      </w:r>
    </w:p>
    <w:bookmarkEnd w:id="15"/>
  </w:footnote>
  <w:footnote w:id="45">
    <w:p w14:paraId="1AE9CD92" w14:textId="3109901A" w:rsidR="00997686" w:rsidRPr="00403D3E" w:rsidRDefault="00997686" w:rsidP="00403D3E">
      <w:pPr>
        <w:rPr>
          <w:rFonts w:ascii="Verdana" w:hAnsi="Verdana" w:cs="Arial"/>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Northern Ireland Office, ‘UK Government Commitment to “no diminution of rights, </w:t>
      </w:r>
      <w:proofErr w:type="gramStart"/>
      <w:r w:rsidRPr="00403D3E">
        <w:rPr>
          <w:rFonts w:ascii="Verdana" w:hAnsi="Verdana"/>
          <w:color w:val="77328A"/>
          <w:sz w:val="16"/>
          <w:szCs w:val="16"/>
        </w:rPr>
        <w:t>safeguards</w:t>
      </w:r>
      <w:proofErr w:type="gramEnd"/>
      <w:r w:rsidRPr="00403D3E">
        <w:rPr>
          <w:rFonts w:ascii="Verdana" w:hAnsi="Verdana"/>
          <w:color w:val="77328A"/>
          <w:sz w:val="16"/>
          <w:szCs w:val="16"/>
        </w:rPr>
        <w:t xml:space="preserve"> and equality of opportunity” in Northern Ireland: What does it mean and how will it be implemented?’, (NIO, 2020)</w:t>
      </w:r>
      <w:r w:rsidR="00232627" w:rsidRPr="00403D3E">
        <w:rPr>
          <w:rFonts w:ascii="Verdana" w:hAnsi="Verdana"/>
          <w:color w:val="77328A"/>
          <w:sz w:val="16"/>
          <w:szCs w:val="16"/>
        </w:rPr>
        <w:t>,</w:t>
      </w:r>
      <w:r w:rsidRPr="00403D3E">
        <w:rPr>
          <w:rFonts w:ascii="Verdana" w:hAnsi="Verdana"/>
          <w:color w:val="77328A"/>
          <w:sz w:val="16"/>
          <w:szCs w:val="16"/>
        </w:rPr>
        <w:t xml:space="preserve"> at para 3.</w:t>
      </w:r>
    </w:p>
  </w:footnote>
  <w:footnote w:id="46">
    <w:p w14:paraId="07A8B436" w14:textId="067ECC37" w:rsidR="00D7359A" w:rsidRPr="00403D3E" w:rsidRDefault="00D7359A"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Pr="00403D3E">
        <w:rPr>
          <w:rFonts w:ascii="Verdana" w:hAnsi="Verdana"/>
          <w:i/>
          <w:iCs/>
          <w:color w:val="77328A"/>
          <w:sz w:val="16"/>
          <w:szCs w:val="16"/>
        </w:rPr>
        <w:t>V.C.L. and A.N. v. the United Kingdom</w:t>
      </w:r>
      <w:r w:rsidRPr="00403D3E">
        <w:rPr>
          <w:rFonts w:ascii="Verdana" w:hAnsi="Verdana"/>
          <w:color w:val="77328A"/>
          <w:sz w:val="16"/>
          <w:szCs w:val="16"/>
        </w:rPr>
        <w:t>, at para 153.</w:t>
      </w:r>
    </w:p>
  </w:footnote>
  <w:footnote w:id="47">
    <w:p w14:paraId="221B8F83" w14:textId="603D8012" w:rsidR="00BF5EB2" w:rsidRPr="00403D3E" w:rsidRDefault="00BF5EB2"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0F322D" w:rsidRPr="00403D3E">
        <w:rPr>
          <w:rFonts w:ascii="Verdana" w:hAnsi="Verdana"/>
          <w:color w:val="77328A"/>
          <w:sz w:val="16"/>
          <w:szCs w:val="16"/>
        </w:rPr>
        <w:t>Article 1, Directive 2011/36/EU, ‘Council Directive on Preventing and Combating Trafficking in Human Beings and Protecting its Victims’, 5 April 2011</w:t>
      </w:r>
      <w:r w:rsidR="00232627" w:rsidRPr="00403D3E">
        <w:rPr>
          <w:rFonts w:ascii="Verdana" w:hAnsi="Verdana"/>
          <w:color w:val="77328A"/>
          <w:sz w:val="16"/>
          <w:szCs w:val="16"/>
        </w:rPr>
        <w:t>.</w:t>
      </w:r>
      <w:r w:rsidR="000F322D" w:rsidRPr="00403D3E">
        <w:rPr>
          <w:rFonts w:ascii="Verdana" w:hAnsi="Verdana"/>
          <w:color w:val="77328A"/>
          <w:sz w:val="16"/>
          <w:szCs w:val="16"/>
        </w:rPr>
        <w:t xml:space="preserve"> </w:t>
      </w:r>
      <w:r w:rsidR="00232627" w:rsidRPr="00403D3E">
        <w:rPr>
          <w:rFonts w:ascii="Verdana" w:hAnsi="Verdana"/>
          <w:color w:val="77328A"/>
          <w:sz w:val="16"/>
          <w:szCs w:val="16"/>
        </w:rPr>
        <w:t>S</w:t>
      </w:r>
      <w:r w:rsidR="000F322D" w:rsidRPr="00403D3E">
        <w:rPr>
          <w:rFonts w:ascii="Verdana" w:hAnsi="Verdana"/>
          <w:color w:val="77328A"/>
          <w:sz w:val="16"/>
          <w:szCs w:val="16"/>
        </w:rPr>
        <w:t>ee also Recital 3 of the Directive which identifies that men and women are often trafficked for different reasons, and therefore “assistance and support measures should be gender specific where appropriate”.</w:t>
      </w:r>
    </w:p>
  </w:footnote>
  <w:footnote w:id="48">
    <w:p w14:paraId="78C76A63" w14:textId="4C734DFD" w:rsidR="00213286" w:rsidRPr="00403D3E" w:rsidRDefault="000C4799"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554E71" w:rsidRPr="00403D3E">
        <w:rPr>
          <w:rFonts w:ascii="Verdana" w:hAnsi="Verdana"/>
          <w:color w:val="77328A"/>
          <w:sz w:val="16"/>
          <w:szCs w:val="16"/>
        </w:rPr>
        <w:t xml:space="preserve">Recital 17, EU Directive 2012/29/EU of the European Parliament and of the Council of 25 October 2012 establishing minimum standards on the rights, </w:t>
      </w:r>
      <w:proofErr w:type="gramStart"/>
      <w:r w:rsidR="00554E71" w:rsidRPr="00403D3E">
        <w:rPr>
          <w:rFonts w:ascii="Verdana" w:hAnsi="Verdana"/>
          <w:color w:val="77328A"/>
          <w:sz w:val="16"/>
          <w:szCs w:val="16"/>
        </w:rPr>
        <w:t>support</w:t>
      </w:r>
      <w:proofErr w:type="gramEnd"/>
      <w:r w:rsidR="00554E71" w:rsidRPr="00403D3E">
        <w:rPr>
          <w:rFonts w:ascii="Verdana" w:hAnsi="Verdana"/>
          <w:color w:val="77328A"/>
          <w:sz w:val="16"/>
          <w:szCs w:val="16"/>
        </w:rPr>
        <w:t xml:space="preserve"> and protection of victims of crime: </w:t>
      </w:r>
      <w:r w:rsidR="0093257E" w:rsidRPr="00403D3E">
        <w:rPr>
          <w:rFonts w:ascii="Verdana" w:hAnsi="Verdana"/>
          <w:color w:val="77328A"/>
          <w:sz w:val="16"/>
          <w:szCs w:val="16"/>
        </w:rPr>
        <w:t>“</w:t>
      </w:r>
      <w:r w:rsidR="00554E71" w:rsidRPr="00403D3E">
        <w:rPr>
          <w:rFonts w:ascii="Verdana" w:hAnsi="Verdana"/>
          <w:color w:val="77328A"/>
          <w:sz w:val="16"/>
          <w:szCs w:val="16"/>
        </w:rPr>
        <w:t xml:space="preserve">Violence that is directed against a person because of that person's gender, gender identity or gender expression or that affects persons of a particular gender disproportionately, is understood as gender-based violence. It may result in physical, sexual, </w:t>
      </w:r>
      <w:proofErr w:type="gramStart"/>
      <w:r w:rsidR="00554E71" w:rsidRPr="00403D3E">
        <w:rPr>
          <w:rFonts w:ascii="Verdana" w:hAnsi="Verdana"/>
          <w:color w:val="77328A"/>
          <w:sz w:val="16"/>
          <w:szCs w:val="16"/>
        </w:rPr>
        <w:t>emotional</w:t>
      </w:r>
      <w:proofErr w:type="gramEnd"/>
      <w:r w:rsidR="00554E71" w:rsidRPr="00403D3E">
        <w:rPr>
          <w:rFonts w:ascii="Verdana" w:hAnsi="Verdana"/>
          <w:color w:val="77328A"/>
          <w:sz w:val="16"/>
          <w:szCs w:val="16"/>
        </w:rPr>
        <w:t xml:space="preserve"> or psychological harm, or economic loss, to the victim. Gender-based violence is understood to be a form of discrimination and a violation of the fundamental freedoms of the victim and includes violence in close relationships, sexual violence (including rape, sexual </w:t>
      </w:r>
      <w:proofErr w:type="gramStart"/>
      <w:r w:rsidR="00554E71" w:rsidRPr="00403D3E">
        <w:rPr>
          <w:rFonts w:ascii="Verdana" w:hAnsi="Verdana"/>
          <w:color w:val="77328A"/>
          <w:sz w:val="16"/>
          <w:szCs w:val="16"/>
        </w:rPr>
        <w:t>assault</w:t>
      </w:r>
      <w:proofErr w:type="gramEnd"/>
      <w:r w:rsidR="00554E71" w:rsidRPr="00403D3E">
        <w:rPr>
          <w:rFonts w:ascii="Verdana" w:hAnsi="Verdana"/>
          <w:color w:val="77328A"/>
          <w:sz w:val="16"/>
          <w:szCs w:val="16"/>
        </w:rPr>
        <w:t xml:space="preserve"> and </w:t>
      </w:r>
      <w:r w:rsidR="003074E0" w:rsidRPr="00403D3E">
        <w:rPr>
          <w:rFonts w:ascii="Verdana" w:hAnsi="Verdana"/>
          <w:color w:val="77328A"/>
          <w:sz w:val="16"/>
          <w:szCs w:val="16"/>
        </w:rPr>
        <w:t>harassment</w:t>
      </w:r>
      <w:r w:rsidR="0017429A" w:rsidRPr="00403D3E">
        <w:rPr>
          <w:rFonts w:ascii="Verdana" w:hAnsi="Verdana"/>
          <w:color w:val="77328A"/>
          <w:sz w:val="16"/>
          <w:szCs w:val="16"/>
        </w:rPr>
        <w:t>) [and]…</w:t>
      </w:r>
      <w:r w:rsidR="00554E71" w:rsidRPr="00403D3E">
        <w:rPr>
          <w:rFonts w:ascii="Verdana" w:hAnsi="Verdana"/>
          <w:color w:val="77328A"/>
          <w:sz w:val="16"/>
          <w:szCs w:val="16"/>
        </w:rPr>
        <w:t>trafficking in human beings.</w:t>
      </w:r>
      <w:r w:rsidR="0087302D" w:rsidRPr="00403D3E">
        <w:rPr>
          <w:rFonts w:ascii="Verdana" w:hAnsi="Verdana"/>
          <w:color w:val="77328A"/>
          <w:sz w:val="16"/>
          <w:szCs w:val="16"/>
        </w:rPr>
        <w:t>”</w:t>
      </w:r>
    </w:p>
  </w:footnote>
  <w:footnote w:id="49">
    <w:p w14:paraId="34AE63CC" w14:textId="77777777" w:rsidR="00C2051C" w:rsidRPr="00403D3E" w:rsidRDefault="00C2051C" w:rsidP="00C2051C">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Northern Ireland Office, ‘UK Government Commitment to “no diminution of rights, </w:t>
      </w:r>
      <w:proofErr w:type="gramStart"/>
      <w:r w:rsidRPr="00403D3E">
        <w:rPr>
          <w:rFonts w:ascii="Verdana" w:hAnsi="Verdana"/>
          <w:color w:val="77328A"/>
          <w:sz w:val="16"/>
          <w:szCs w:val="16"/>
        </w:rPr>
        <w:t>safeguards</w:t>
      </w:r>
      <w:proofErr w:type="gramEnd"/>
      <w:r w:rsidRPr="00403D3E">
        <w:rPr>
          <w:rFonts w:ascii="Verdana" w:hAnsi="Verdana"/>
          <w:color w:val="77328A"/>
          <w:sz w:val="16"/>
          <w:szCs w:val="16"/>
        </w:rPr>
        <w:t xml:space="preserve"> and equality of opportunity” in Northern Ireland: What does it mean and how will it be implemented?’, (NIO, 2020), at 13.</w:t>
      </w:r>
    </w:p>
  </w:footnote>
  <w:footnote w:id="50">
    <w:p w14:paraId="21375504" w14:textId="77777777" w:rsidR="00C2051C" w:rsidRPr="00403D3E" w:rsidRDefault="00C2051C" w:rsidP="00C2051C">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European Parliament, ‘The Victims’ Rights Directive: European Implementation Assessment’, (EPRS 2017), at 97.</w:t>
      </w:r>
    </w:p>
  </w:footnote>
  <w:footnote w:id="51">
    <w:p w14:paraId="62C52E01" w14:textId="77777777" w:rsidR="00C2051C" w:rsidRPr="00403D3E" w:rsidRDefault="00C2051C" w:rsidP="00C2051C">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Recital 17, Directive 2012/29/EU, EU Council Directive establishing minimum standards on the rights, </w:t>
      </w:r>
      <w:proofErr w:type="gramStart"/>
      <w:r w:rsidRPr="00403D3E">
        <w:rPr>
          <w:rFonts w:ascii="Verdana" w:hAnsi="Verdana"/>
          <w:color w:val="77328A"/>
          <w:sz w:val="16"/>
          <w:szCs w:val="16"/>
        </w:rPr>
        <w:t>support</w:t>
      </w:r>
      <w:proofErr w:type="gramEnd"/>
      <w:r w:rsidRPr="00403D3E">
        <w:rPr>
          <w:rFonts w:ascii="Verdana" w:hAnsi="Verdana"/>
          <w:color w:val="77328A"/>
          <w:sz w:val="16"/>
          <w:szCs w:val="16"/>
        </w:rPr>
        <w:t xml:space="preserve"> and protection of victims of crime’, 25 October 2012.</w:t>
      </w:r>
    </w:p>
  </w:footnote>
  <w:footnote w:id="52">
    <w:p w14:paraId="4182B501" w14:textId="77777777" w:rsidR="00C2051C" w:rsidRPr="00403D3E" w:rsidRDefault="00C2051C" w:rsidP="00C2051C">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NI Human Rights Commission, ‘Response to Call for Evidence by the Joint Committee on Human Rights on the Nationality and Borders Bill’, (NIHRC, October 2021), at 25; NI Human Rights Commission and Equality Commission for NI, ‘Joint Briefing Paper on the Modern Slavery and Human Trafficking and Electronic Travel Authorisation provisions in the Nationality and Borders Bill’ (NIHRC/ECNI, January 2022), at para 3.2.</w:t>
      </w:r>
    </w:p>
  </w:footnote>
  <w:footnote w:id="53">
    <w:p w14:paraId="3A3A01A5" w14:textId="320B334E" w:rsidR="004D04ED" w:rsidRPr="00403D3E" w:rsidRDefault="004D04ED"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5A2774" w:rsidRPr="00403D3E">
        <w:rPr>
          <w:rFonts w:ascii="Verdana" w:hAnsi="Verdana"/>
          <w:color w:val="77328A"/>
          <w:sz w:val="16"/>
          <w:szCs w:val="16"/>
        </w:rPr>
        <w:t xml:space="preserve">Email correspondence between Migrant Centre NI and NI Human Rights Commission, </w:t>
      </w:r>
      <w:r w:rsidR="00113594" w:rsidRPr="00403D3E">
        <w:rPr>
          <w:rFonts w:ascii="Verdana" w:hAnsi="Verdana"/>
          <w:color w:val="77328A"/>
          <w:sz w:val="16"/>
          <w:szCs w:val="16"/>
        </w:rPr>
        <w:t>25 November 2022.</w:t>
      </w:r>
    </w:p>
  </w:footnote>
  <w:footnote w:id="54">
    <w:p w14:paraId="7B85DB6D" w14:textId="77777777" w:rsidR="004D5C22" w:rsidRPr="004A3C70" w:rsidRDefault="004D5C22"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Pr="004A3C70">
        <w:rPr>
          <w:rFonts w:ascii="Verdana" w:hAnsi="Verdana"/>
          <w:color w:val="77328A"/>
          <w:sz w:val="16"/>
          <w:szCs w:val="16"/>
        </w:rPr>
        <w:t xml:space="preserve"> Equality Commission for NI &amp; Pivotal, ‘Impact of Brexit on Minority Ethnic and Migrant People in Northern Ireland (ECNI, 2023), at 17.</w:t>
      </w:r>
    </w:p>
  </w:footnote>
  <w:footnote w:id="55">
    <w:p w14:paraId="0399F651" w14:textId="7544B699" w:rsidR="00843001" w:rsidRPr="004A3C70" w:rsidRDefault="00843001"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Pr="004A3C70">
        <w:rPr>
          <w:rFonts w:ascii="Verdana" w:hAnsi="Verdana"/>
          <w:color w:val="77328A"/>
          <w:sz w:val="16"/>
          <w:szCs w:val="16"/>
        </w:rPr>
        <w:t xml:space="preserve"> Independent Monitoring </w:t>
      </w:r>
      <w:r w:rsidR="00D63F93" w:rsidRPr="004A3C70">
        <w:rPr>
          <w:rFonts w:ascii="Verdana" w:hAnsi="Verdana"/>
          <w:color w:val="77328A"/>
          <w:sz w:val="16"/>
          <w:szCs w:val="16"/>
        </w:rPr>
        <w:t>Authority</w:t>
      </w:r>
      <w:r w:rsidRPr="004A3C70">
        <w:rPr>
          <w:rFonts w:ascii="Verdana" w:hAnsi="Verdana"/>
          <w:color w:val="77328A"/>
          <w:sz w:val="16"/>
          <w:szCs w:val="16"/>
        </w:rPr>
        <w:t xml:space="preserve">, </w:t>
      </w:r>
      <w:r w:rsidR="00D63F93" w:rsidRPr="004A3C70">
        <w:rPr>
          <w:rFonts w:ascii="Verdana" w:hAnsi="Verdana"/>
          <w:color w:val="77328A"/>
          <w:sz w:val="16"/>
          <w:szCs w:val="16"/>
        </w:rPr>
        <w:t xml:space="preserve">‘Press release: EU citizens may have been wrongfully charged for NHS treatment, IMA finds’, 10 May 2023. </w:t>
      </w:r>
    </w:p>
  </w:footnote>
  <w:footnote w:id="56">
    <w:p w14:paraId="48C7AFA9" w14:textId="7AE2AA9B" w:rsidR="00C34997" w:rsidRPr="004A3C70" w:rsidRDefault="00C34997"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Pr="004A3C70">
        <w:rPr>
          <w:rFonts w:ascii="Verdana" w:hAnsi="Verdana"/>
          <w:color w:val="77328A"/>
          <w:sz w:val="16"/>
          <w:szCs w:val="16"/>
        </w:rPr>
        <w:t xml:space="preserve"> Home Office, ‘News release: EU Settlement Scheme enhancements confirmed’, 17 July 2023.</w:t>
      </w:r>
    </w:p>
  </w:footnote>
  <w:footnote w:id="57">
    <w:p w14:paraId="07CDF924" w14:textId="021F4E66" w:rsidR="0039028E" w:rsidRPr="004A3C70" w:rsidRDefault="0039028E"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00642C17" w:rsidRPr="004A3C70">
        <w:rPr>
          <w:rFonts w:ascii="Verdana" w:hAnsi="Verdana"/>
          <w:color w:val="77328A"/>
          <w:sz w:val="16"/>
          <w:szCs w:val="16"/>
        </w:rPr>
        <w:t xml:space="preserve"> </w:t>
      </w:r>
      <w:r w:rsidR="00642C17" w:rsidRPr="004A3C70">
        <w:rPr>
          <w:rFonts w:ascii="Verdana" w:hAnsi="Verdana"/>
          <w:i/>
          <w:color w:val="77328A"/>
          <w:sz w:val="16"/>
          <w:szCs w:val="16"/>
        </w:rPr>
        <w:t>R v Secretary of State for the Home Department</w:t>
      </w:r>
      <w:r w:rsidR="00642C17" w:rsidRPr="004A3C70">
        <w:rPr>
          <w:rFonts w:ascii="Verdana" w:hAnsi="Verdana"/>
          <w:color w:val="77328A"/>
          <w:sz w:val="16"/>
          <w:szCs w:val="16"/>
        </w:rPr>
        <w:t xml:space="preserve"> C</w:t>
      </w:r>
      <w:r w:rsidR="005E2FEC" w:rsidRPr="004A3C70">
        <w:rPr>
          <w:rFonts w:ascii="Verdana" w:hAnsi="Verdana"/>
          <w:color w:val="77328A"/>
          <w:sz w:val="16"/>
          <w:szCs w:val="16"/>
        </w:rPr>
        <w:t>O</w:t>
      </w:r>
      <w:r w:rsidR="00642C17" w:rsidRPr="004A3C70">
        <w:rPr>
          <w:rFonts w:ascii="Verdana" w:hAnsi="Verdana"/>
          <w:color w:val="77328A"/>
          <w:sz w:val="16"/>
          <w:szCs w:val="16"/>
        </w:rPr>
        <w:t>/4193/2021.</w:t>
      </w:r>
    </w:p>
  </w:footnote>
  <w:footnote w:id="58">
    <w:p w14:paraId="2582B521" w14:textId="506A4C3D" w:rsidR="0066248B" w:rsidRPr="00403D3E" w:rsidRDefault="0066248B"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Pr="004A3C70">
        <w:rPr>
          <w:rFonts w:ascii="Verdana" w:hAnsi="Verdana"/>
          <w:color w:val="77328A"/>
          <w:sz w:val="16"/>
          <w:szCs w:val="16"/>
        </w:rPr>
        <w:t xml:space="preserve"> Independent </w:t>
      </w:r>
      <w:r w:rsidR="005E2FEC" w:rsidRPr="004A3C70">
        <w:rPr>
          <w:rFonts w:ascii="Verdana" w:hAnsi="Verdana"/>
          <w:color w:val="77328A"/>
          <w:sz w:val="16"/>
          <w:szCs w:val="16"/>
        </w:rPr>
        <w:t>Monitoring</w:t>
      </w:r>
      <w:r w:rsidRPr="004A3C70">
        <w:rPr>
          <w:rFonts w:ascii="Verdana" w:hAnsi="Verdana"/>
          <w:color w:val="77328A"/>
          <w:sz w:val="16"/>
          <w:szCs w:val="16"/>
        </w:rPr>
        <w:t xml:space="preserve"> </w:t>
      </w:r>
      <w:r w:rsidR="005E2FEC" w:rsidRPr="004A3C70">
        <w:rPr>
          <w:rFonts w:ascii="Verdana" w:hAnsi="Verdana"/>
          <w:color w:val="77328A"/>
          <w:sz w:val="16"/>
          <w:szCs w:val="16"/>
        </w:rPr>
        <w:t>Authority</w:t>
      </w:r>
      <w:r w:rsidRPr="004A3C70">
        <w:rPr>
          <w:rFonts w:ascii="Verdana" w:hAnsi="Verdana"/>
          <w:color w:val="77328A"/>
          <w:sz w:val="16"/>
          <w:szCs w:val="16"/>
        </w:rPr>
        <w:t xml:space="preserve">. ‘Press </w:t>
      </w:r>
      <w:r w:rsidR="005E2FEC" w:rsidRPr="004A3C70">
        <w:rPr>
          <w:rFonts w:ascii="Verdana" w:hAnsi="Verdana"/>
          <w:color w:val="77328A"/>
          <w:sz w:val="16"/>
          <w:szCs w:val="16"/>
        </w:rPr>
        <w:t>release</w:t>
      </w:r>
      <w:r w:rsidR="003A6204" w:rsidRPr="004A3C70">
        <w:rPr>
          <w:rFonts w:ascii="Verdana" w:hAnsi="Verdana"/>
          <w:color w:val="77328A"/>
          <w:sz w:val="16"/>
          <w:szCs w:val="16"/>
        </w:rPr>
        <w:t>: Independent Monitoring Authority successful in landmark High Court challenge against Home Office’, 21 December 2022.</w:t>
      </w:r>
      <w:r w:rsidR="003A6204" w:rsidRPr="00403D3E">
        <w:rPr>
          <w:rFonts w:ascii="Verdana" w:hAnsi="Verdana"/>
          <w:color w:val="77328A"/>
          <w:sz w:val="16"/>
          <w:szCs w:val="16"/>
        </w:rPr>
        <w:t xml:space="preserve"> </w:t>
      </w:r>
    </w:p>
  </w:footnote>
  <w:footnote w:id="59">
    <w:p w14:paraId="198FB596" w14:textId="241CDF35" w:rsidR="00930F41" w:rsidRPr="004A3C70" w:rsidRDefault="00930F41"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Pr="004A3C70">
        <w:rPr>
          <w:rFonts w:ascii="Verdana" w:hAnsi="Verdana"/>
          <w:color w:val="77328A"/>
          <w:sz w:val="16"/>
          <w:szCs w:val="16"/>
        </w:rPr>
        <w:t xml:space="preserve"> Home Office, ‘News release: EU Settlement Scheme enhancements confirmed’, 17 July 2023.</w:t>
      </w:r>
    </w:p>
  </w:footnote>
  <w:footnote w:id="60">
    <w:p w14:paraId="3CB2B207" w14:textId="62741E0E" w:rsidR="00555526" w:rsidRPr="00403D3E" w:rsidRDefault="00555526"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651D6C" w:rsidRPr="00403D3E">
        <w:rPr>
          <w:rFonts w:ascii="Verdana" w:hAnsi="Verdana"/>
          <w:color w:val="77328A"/>
          <w:sz w:val="16"/>
          <w:szCs w:val="16"/>
        </w:rPr>
        <w:t>Article VII,</w:t>
      </w:r>
      <w:r w:rsidRPr="00403D3E">
        <w:rPr>
          <w:rFonts w:ascii="Verdana" w:hAnsi="Verdana"/>
          <w:color w:val="77328A"/>
          <w:sz w:val="16"/>
          <w:szCs w:val="16"/>
        </w:rPr>
        <w:t xml:space="preserve"> </w:t>
      </w:r>
      <w:r w:rsidR="003C31DB" w:rsidRPr="00403D3E">
        <w:rPr>
          <w:rFonts w:ascii="Verdana" w:hAnsi="Verdana"/>
          <w:color w:val="77328A"/>
          <w:sz w:val="16"/>
          <w:szCs w:val="16"/>
        </w:rPr>
        <w:t>Conference on Security and Cooperation in Europe, Final Act, Helsinki 1975</w:t>
      </w:r>
      <w:r w:rsidR="00651D6C" w:rsidRPr="00403D3E">
        <w:rPr>
          <w:rFonts w:ascii="Verdana" w:hAnsi="Verdana"/>
          <w:color w:val="77328A"/>
          <w:sz w:val="16"/>
          <w:szCs w:val="16"/>
        </w:rPr>
        <w:t>.</w:t>
      </w:r>
    </w:p>
  </w:footnote>
  <w:footnote w:id="61">
    <w:p w14:paraId="4C289D6F" w14:textId="28E42631" w:rsidR="000C4EE1" w:rsidRPr="00403D3E" w:rsidRDefault="000C4EE1"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2C14E9" w:rsidRPr="00403D3E">
        <w:rPr>
          <w:rFonts w:ascii="Verdana" w:hAnsi="Verdana"/>
          <w:color w:val="77328A"/>
          <w:sz w:val="16"/>
          <w:szCs w:val="16"/>
        </w:rPr>
        <w:t>Tamara Hervey, ‘Brexit, Health and its potential impact on Article 2 of the Ireland/Northern Ireland Protocol’ (NIHRC, 2022), at 38.</w:t>
      </w:r>
    </w:p>
  </w:footnote>
  <w:footnote w:id="62">
    <w:p w14:paraId="7AC4B5DA" w14:textId="2A882D10" w:rsidR="002C14E9" w:rsidRPr="00403D3E" w:rsidRDefault="002C14E9"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Ibid.</w:t>
      </w:r>
    </w:p>
  </w:footnote>
  <w:footnote w:id="63">
    <w:p w14:paraId="307CE806" w14:textId="2C96F9A2" w:rsidR="00246E27" w:rsidRPr="00403D3E" w:rsidRDefault="00246E27" w:rsidP="00403D3E">
      <w:pPr>
        <w:pStyle w:val="FootnoteText"/>
        <w:rPr>
          <w:rFonts w:ascii="Verdana" w:hAnsi="Verdana"/>
          <w:color w:val="77328A"/>
          <w:sz w:val="16"/>
          <w:szCs w:val="16"/>
        </w:rPr>
      </w:pPr>
      <w:r w:rsidRPr="004A3C70">
        <w:rPr>
          <w:rStyle w:val="FootnoteReference"/>
          <w:rFonts w:ascii="Verdana" w:hAnsi="Verdana"/>
          <w:color w:val="77328A"/>
          <w:sz w:val="16"/>
          <w:szCs w:val="16"/>
        </w:rPr>
        <w:footnoteRef/>
      </w:r>
      <w:r w:rsidRPr="004A3C70">
        <w:rPr>
          <w:rFonts w:ascii="Verdana" w:hAnsi="Verdana"/>
          <w:color w:val="77328A"/>
          <w:sz w:val="16"/>
          <w:szCs w:val="16"/>
        </w:rPr>
        <w:t xml:space="preserve"> </w:t>
      </w:r>
      <w:r w:rsidR="00156998" w:rsidRPr="004A3C70">
        <w:rPr>
          <w:rFonts w:ascii="Verdana" w:hAnsi="Verdana"/>
          <w:color w:val="77328A"/>
          <w:sz w:val="16"/>
          <w:szCs w:val="16"/>
        </w:rPr>
        <w:t>https://online.hscni.net/our-work/travelfortreatment/</w:t>
      </w:r>
    </w:p>
  </w:footnote>
  <w:footnote w:id="64">
    <w:p w14:paraId="0611CB2F" w14:textId="64EEE332" w:rsidR="00436B31" w:rsidRPr="00403D3E" w:rsidRDefault="00436B31"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w:t>
      </w:r>
      <w:r w:rsidR="000A5492" w:rsidRPr="00403D3E">
        <w:rPr>
          <w:rFonts w:ascii="Verdana" w:hAnsi="Verdana"/>
          <w:color w:val="77328A"/>
          <w:sz w:val="16"/>
          <w:szCs w:val="16"/>
        </w:rPr>
        <w:t xml:space="preserve">Department of Health, ‘Operational Guidance </w:t>
      </w:r>
      <w:r w:rsidR="003130E4" w:rsidRPr="00403D3E">
        <w:rPr>
          <w:rFonts w:ascii="Verdana" w:hAnsi="Verdana"/>
          <w:color w:val="77328A"/>
          <w:sz w:val="16"/>
          <w:szCs w:val="16"/>
        </w:rPr>
        <w:t>- Health and Personal Social Services Provision of Health Services to Persons Not Ordinarily Resident Regulations (Northern Ireland) 2015’</w:t>
      </w:r>
      <w:r w:rsidR="006D72FD" w:rsidRPr="00403D3E">
        <w:rPr>
          <w:rFonts w:ascii="Verdana" w:hAnsi="Verdana"/>
          <w:color w:val="77328A"/>
          <w:sz w:val="16"/>
          <w:szCs w:val="16"/>
        </w:rPr>
        <w:t>, (</w:t>
      </w:r>
      <w:proofErr w:type="spellStart"/>
      <w:r w:rsidR="006D72FD" w:rsidRPr="00403D3E">
        <w:rPr>
          <w:rFonts w:ascii="Verdana" w:hAnsi="Verdana"/>
          <w:color w:val="77328A"/>
          <w:sz w:val="16"/>
          <w:szCs w:val="16"/>
        </w:rPr>
        <w:t>DoH</w:t>
      </w:r>
      <w:proofErr w:type="spellEnd"/>
      <w:r w:rsidR="006D72FD" w:rsidRPr="00403D3E">
        <w:rPr>
          <w:rFonts w:ascii="Verdana" w:hAnsi="Verdana"/>
          <w:color w:val="77328A"/>
          <w:sz w:val="16"/>
          <w:szCs w:val="16"/>
        </w:rPr>
        <w:t>, 2021).</w:t>
      </w:r>
    </w:p>
  </w:footnote>
  <w:footnote w:id="65">
    <w:p w14:paraId="66128CA5" w14:textId="74996A0F" w:rsidR="00436B31" w:rsidRPr="00403D3E" w:rsidRDefault="00436B31"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Meeting between the NI Human Rights Commiss</w:t>
      </w:r>
      <w:r w:rsidR="00253F2E" w:rsidRPr="00403D3E">
        <w:rPr>
          <w:rFonts w:ascii="Verdana" w:hAnsi="Verdana"/>
          <w:color w:val="77328A"/>
          <w:sz w:val="16"/>
          <w:szCs w:val="16"/>
        </w:rPr>
        <w:t>ion and the Department of Health, 12 October 2022.</w:t>
      </w:r>
    </w:p>
  </w:footnote>
  <w:footnote w:id="66">
    <w:p w14:paraId="32B018C2" w14:textId="6A9D644E" w:rsidR="0090024F" w:rsidRPr="00403D3E" w:rsidRDefault="0090024F"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Meeting between the NI Human Rights Commission and the Department of Health, 12 October 2022.</w:t>
      </w:r>
    </w:p>
  </w:footnote>
  <w:footnote w:id="67">
    <w:p w14:paraId="0725237A" w14:textId="4673DAD2" w:rsidR="00827440" w:rsidRPr="00403D3E" w:rsidRDefault="00827440" w:rsidP="00403D3E">
      <w:pPr>
        <w:pStyle w:val="FootnoteText"/>
        <w:rPr>
          <w:rFonts w:ascii="Verdana" w:hAnsi="Verdana"/>
          <w:color w:val="77328A"/>
          <w:sz w:val="16"/>
          <w:szCs w:val="16"/>
        </w:rPr>
      </w:pPr>
      <w:r w:rsidRPr="00403D3E">
        <w:rPr>
          <w:rStyle w:val="FootnoteReference"/>
          <w:rFonts w:ascii="Verdana" w:hAnsi="Verdana"/>
          <w:color w:val="77328A"/>
          <w:sz w:val="16"/>
          <w:szCs w:val="16"/>
        </w:rPr>
        <w:footnoteRef/>
      </w:r>
      <w:r w:rsidRPr="00403D3E">
        <w:rPr>
          <w:rFonts w:ascii="Verdana" w:hAnsi="Verdana"/>
          <w:color w:val="77328A"/>
          <w:sz w:val="16"/>
          <w:szCs w:val="16"/>
        </w:rPr>
        <w:t xml:space="preserve"> Tamara Hervey, ‘Brexit, Health and its potential impact on Article 2 of the Ireland/Northern Ireland Protocol’ (NIHRC, 2022), at 3</w:t>
      </w:r>
      <w:r w:rsidR="00D347EB" w:rsidRPr="00403D3E">
        <w:rPr>
          <w:rFonts w:ascii="Verdana" w:hAnsi="Verdana"/>
          <w:color w:val="77328A"/>
          <w:sz w:val="16"/>
          <w:szCs w:val="16"/>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50CC6E16" w14:paraId="2AC64E79" w14:textId="77777777" w:rsidTr="000907D8">
      <w:trPr>
        <w:trHeight w:val="300"/>
      </w:trPr>
      <w:tc>
        <w:tcPr>
          <w:tcW w:w="3285" w:type="dxa"/>
        </w:tcPr>
        <w:p w14:paraId="51B5892D" w14:textId="42DA1E73" w:rsidR="50CC6E16" w:rsidRDefault="50CC6E16" w:rsidP="000907D8">
          <w:pPr>
            <w:pStyle w:val="Header"/>
            <w:ind w:left="-115"/>
          </w:pPr>
        </w:p>
      </w:tc>
      <w:tc>
        <w:tcPr>
          <w:tcW w:w="3285" w:type="dxa"/>
        </w:tcPr>
        <w:p w14:paraId="626699C4" w14:textId="3E7BC43D" w:rsidR="50CC6E16" w:rsidRDefault="50CC6E16" w:rsidP="000907D8">
          <w:pPr>
            <w:pStyle w:val="Header"/>
            <w:jc w:val="center"/>
          </w:pPr>
        </w:p>
      </w:tc>
      <w:tc>
        <w:tcPr>
          <w:tcW w:w="3285" w:type="dxa"/>
        </w:tcPr>
        <w:p w14:paraId="56A68617" w14:textId="459FA9E1" w:rsidR="50CC6E16" w:rsidRDefault="50CC6E16" w:rsidP="000907D8">
          <w:pPr>
            <w:pStyle w:val="Header"/>
            <w:ind w:right="-115"/>
            <w:jc w:val="right"/>
          </w:pPr>
        </w:p>
      </w:tc>
    </w:tr>
  </w:tbl>
  <w:p w14:paraId="64994113" w14:textId="65F8BF53" w:rsidR="50CC6E16" w:rsidRDefault="50CC6E16" w:rsidP="00090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50CC6E16" w14:paraId="2D5A99E0" w14:textId="77777777" w:rsidTr="000907D8">
      <w:trPr>
        <w:trHeight w:val="300"/>
      </w:trPr>
      <w:tc>
        <w:tcPr>
          <w:tcW w:w="3285" w:type="dxa"/>
        </w:tcPr>
        <w:p w14:paraId="090F1E3A" w14:textId="0CB16F52" w:rsidR="50CC6E16" w:rsidRDefault="50CC6E16" w:rsidP="000907D8">
          <w:pPr>
            <w:pStyle w:val="Header"/>
            <w:ind w:left="-115"/>
          </w:pPr>
        </w:p>
      </w:tc>
      <w:tc>
        <w:tcPr>
          <w:tcW w:w="3285" w:type="dxa"/>
        </w:tcPr>
        <w:p w14:paraId="39BE643A" w14:textId="103F3EB0" w:rsidR="50CC6E16" w:rsidRDefault="50CC6E16" w:rsidP="000907D8">
          <w:pPr>
            <w:pStyle w:val="Header"/>
            <w:jc w:val="center"/>
          </w:pPr>
        </w:p>
      </w:tc>
      <w:tc>
        <w:tcPr>
          <w:tcW w:w="3285" w:type="dxa"/>
        </w:tcPr>
        <w:p w14:paraId="6BA8A33E" w14:textId="2AC52B4C" w:rsidR="50CC6E16" w:rsidRDefault="50CC6E16" w:rsidP="000907D8">
          <w:pPr>
            <w:pStyle w:val="Header"/>
            <w:ind w:right="-115"/>
            <w:jc w:val="right"/>
          </w:pPr>
        </w:p>
      </w:tc>
    </w:tr>
  </w:tbl>
  <w:p w14:paraId="61D38DE3" w14:textId="341DE9DF" w:rsidR="50CC6E16" w:rsidRDefault="50CC6E16" w:rsidP="0009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B5C"/>
    <w:multiLevelType w:val="multilevel"/>
    <w:tmpl w:val="8CD2C69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1C0E46"/>
    <w:multiLevelType w:val="multilevel"/>
    <w:tmpl w:val="22BA864E"/>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5C63D5B"/>
    <w:multiLevelType w:val="hybridMultilevel"/>
    <w:tmpl w:val="A566B78E"/>
    <w:lvl w:ilvl="0" w:tplc="59F0C5D8">
      <w:start w:val="1"/>
      <w:numFmt w:val="lowerRoman"/>
      <w:lvlText w:val="(%1)"/>
      <w:lvlJc w:val="left"/>
      <w:pPr>
        <w:ind w:left="2499" w:hanging="1080"/>
      </w:pPr>
      <w:rPr>
        <w:rFonts w:cstheme="minorBidi" w:hint="default"/>
        <w:color w:val="auto"/>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 w15:restartNumberingAfterBreak="0">
    <w:nsid w:val="074B07AC"/>
    <w:multiLevelType w:val="hybridMultilevel"/>
    <w:tmpl w:val="E35A8306"/>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3101C"/>
    <w:multiLevelType w:val="hybridMultilevel"/>
    <w:tmpl w:val="80DCE380"/>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354D8"/>
    <w:multiLevelType w:val="hybridMultilevel"/>
    <w:tmpl w:val="5E182C36"/>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91797"/>
    <w:multiLevelType w:val="multilevel"/>
    <w:tmpl w:val="503EAFE2"/>
    <w:lvl w:ilvl="0">
      <w:start w:val="1"/>
      <w:numFmt w:val="decimal"/>
      <w:lvlText w:val="%1"/>
      <w:lvlJc w:val="left"/>
      <w:pPr>
        <w:ind w:left="390" w:hanging="39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1212" w:hanging="108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704" w:hanging="1440"/>
      </w:pPr>
      <w:rPr>
        <w:rFonts w:hint="default"/>
      </w:rPr>
    </w:lvl>
    <w:lvl w:ilvl="5">
      <w:start w:val="1"/>
      <w:numFmt w:val="decimal"/>
      <w:lvlText w:val="%1.%2.%3.%4.%5.%6"/>
      <w:lvlJc w:val="left"/>
      <w:pPr>
        <w:ind w:left="2130" w:hanging="1800"/>
      </w:pPr>
      <w:rPr>
        <w:rFonts w:hint="default"/>
      </w:rPr>
    </w:lvl>
    <w:lvl w:ilvl="6">
      <w:start w:val="1"/>
      <w:numFmt w:val="decimal"/>
      <w:lvlText w:val="%1.%2.%3.%4.%5.%6.%7"/>
      <w:lvlJc w:val="left"/>
      <w:pPr>
        <w:ind w:left="2556" w:hanging="2160"/>
      </w:pPr>
      <w:rPr>
        <w:rFonts w:hint="default"/>
      </w:rPr>
    </w:lvl>
    <w:lvl w:ilvl="7">
      <w:start w:val="1"/>
      <w:numFmt w:val="decimal"/>
      <w:lvlText w:val="%1.%2.%3.%4.%5.%6.%7.%8"/>
      <w:lvlJc w:val="left"/>
      <w:pPr>
        <w:ind w:left="2982" w:hanging="2520"/>
      </w:pPr>
      <w:rPr>
        <w:rFonts w:hint="default"/>
      </w:rPr>
    </w:lvl>
    <w:lvl w:ilvl="8">
      <w:start w:val="1"/>
      <w:numFmt w:val="decimal"/>
      <w:lvlText w:val="%1.%2.%3.%4.%5.%6.%7.%8.%9"/>
      <w:lvlJc w:val="left"/>
      <w:pPr>
        <w:ind w:left="3048" w:hanging="2520"/>
      </w:pPr>
      <w:rPr>
        <w:rFonts w:hint="default"/>
      </w:rPr>
    </w:lvl>
  </w:abstractNum>
  <w:abstractNum w:abstractNumId="9" w15:restartNumberingAfterBreak="0">
    <w:nsid w:val="26E02865"/>
    <w:multiLevelType w:val="hybridMultilevel"/>
    <w:tmpl w:val="AD063624"/>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83494"/>
    <w:multiLevelType w:val="hybridMultilevel"/>
    <w:tmpl w:val="A7F4E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E75C8"/>
    <w:multiLevelType w:val="multilevel"/>
    <w:tmpl w:val="87101BA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B4533BF"/>
    <w:multiLevelType w:val="multilevel"/>
    <w:tmpl w:val="A97C76C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13" w15:restartNumberingAfterBreak="0">
    <w:nsid w:val="2E430757"/>
    <w:multiLevelType w:val="hybridMultilevel"/>
    <w:tmpl w:val="6F243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E02D2"/>
    <w:multiLevelType w:val="hybridMultilevel"/>
    <w:tmpl w:val="E892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91456"/>
    <w:multiLevelType w:val="hybridMultilevel"/>
    <w:tmpl w:val="911A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982605"/>
    <w:multiLevelType w:val="hybridMultilevel"/>
    <w:tmpl w:val="8EA84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5D1875"/>
    <w:multiLevelType w:val="hybridMultilevel"/>
    <w:tmpl w:val="06380ADC"/>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62157"/>
    <w:multiLevelType w:val="hybridMultilevel"/>
    <w:tmpl w:val="89F4B606"/>
    <w:lvl w:ilvl="0" w:tplc="81C00EF6">
      <w:start w:val="1"/>
      <w:numFmt w:val="decimal"/>
      <w:lvlText w:val="%1.1"/>
      <w:lvlJc w:val="left"/>
      <w:pPr>
        <w:ind w:left="1004" w:hanging="360"/>
      </w:pPr>
      <w:rPr>
        <w:rFonts w:ascii="Verdana" w:hAnsi="Verdana" w:hint="default"/>
        <w:b w:val="0"/>
        <w:bCs/>
        <w:i w:val="0"/>
        <w:iCs w:val="0"/>
        <w:color w:val="auto"/>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0C2348"/>
    <w:multiLevelType w:val="hybridMultilevel"/>
    <w:tmpl w:val="7A184ECC"/>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230EB"/>
    <w:multiLevelType w:val="hybridMultilevel"/>
    <w:tmpl w:val="DB969F40"/>
    <w:lvl w:ilvl="0" w:tplc="81C00EF6">
      <w:start w:val="1"/>
      <w:numFmt w:val="decimal"/>
      <w:lvlText w:val="%1.1"/>
      <w:lvlJc w:val="left"/>
      <w:pPr>
        <w:ind w:left="360" w:hanging="360"/>
      </w:pPr>
      <w:rPr>
        <w:rFonts w:ascii="Verdana" w:hAnsi="Verdana" w:hint="default"/>
        <w:b w:val="0"/>
        <w:bCs/>
        <w:i w:val="0"/>
        <w:iCs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192DA6"/>
    <w:multiLevelType w:val="hybridMultilevel"/>
    <w:tmpl w:val="0CE4087A"/>
    <w:lvl w:ilvl="0" w:tplc="81C00EF6">
      <w:start w:val="1"/>
      <w:numFmt w:val="decimal"/>
      <w:lvlText w:val="%1.1"/>
      <w:lvlJc w:val="left"/>
      <w:pPr>
        <w:ind w:left="1440" w:hanging="360"/>
      </w:pPr>
      <w:rPr>
        <w:rFonts w:ascii="Verdana" w:hAnsi="Verdana" w:hint="default"/>
        <w:b w:val="0"/>
        <w:bCs/>
        <w:i w:val="0"/>
        <w:iCs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271D95"/>
    <w:multiLevelType w:val="hybridMultilevel"/>
    <w:tmpl w:val="36E8B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D5A5D"/>
    <w:multiLevelType w:val="hybridMultilevel"/>
    <w:tmpl w:val="BD2CFB7A"/>
    <w:lvl w:ilvl="0" w:tplc="81C00EF6">
      <w:start w:val="1"/>
      <w:numFmt w:val="decimal"/>
      <w:lvlText w:val="%1.1"/>
      <w:lvlJc w:val="left"/>
      <w:pPr>
        <w:ind w:left="720" w:hanging="360"/>
      </w:pPr>
      <w:rPr>
        <w:rFonts w:ascii="Verdana" w:hAnsi="Verdana" w:hint="default"/>
        <w:b w:val="0"/>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957942"/>
    <w:multiLevelType w:val="hybridMultilevel"/>
    <w:tmpl w:val="783E467E"/>
    <w:lvl w:ilvl="0" w:tplc="81C00EF6">
      <w:start w:val="1"/>
      <w:numFmt w:val="decimal"/>
      <w:lvlText w:val="%1.1"/>
      <w:lvlJc w:val="left"/>
      <w:pPr>
        <w:ind w:left="578" w:hanging="360"/>
      </w:pPr>
      <w:rPr>
        <w:rFonts w:ascii="Verdana" w:hAnsi="Verdana" w:hint="default"/>
        <w:b w:val="0"/>
        <w:bCs/>
        <w:i w:val="0"/>
        <w:iCs w:val="0"/>
        <w:color w:val="auto"/>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2024432494">
    <w:abstractNumId w:val="21"/>
  </w:num>
  <w:num w:numId="2" w16cid:durableId="601571929">
    <w:abstractNumId w:val="28"/>
  </w:num>
  <w:num w:numId="3" w16cid:durableId="722874554">
    <w:abstractNumId w:val="4"/>
  </w:num>
  <w:num w:numId="4" w16cid:durableId="1790127419">
    <w:abstractNumId w:val="14"/>
  </w:num>
  <w:num w:numId="5" w16cid:durableId="1771583428">
    <w:abstractNumId w:val="25"/>
  </w:num>
  <w:num w:numId="6" w16cid:durableId="428157052">
    <w:abstractNumId w:val="6"/>
  </w:num>
  <w:num w:numId="7" w16cid:durableId="295330921">
    <w:abstractNumId w:val="17"/>
  </w:num>
  <w:num w:numId="8" w16cid:durableId="714425612">
    <w:abstractNumId w:val="11"/>
  </w:num>
  <w:num w:numId="9" w16cid:durableId="1011183999">
    <w:abstractNumId w:val="12"/>
  </w:num>
  <w:num w:numId="10" w16cid:durableId="76752766">
    <w:abstractNumId w:val="22"/>
  </w:num>
  <w:num w:numId="11" w16cid:durableId="1038317448">
    <w:abstractNumId w:val="23"/>
  </w:num>
  <w:num w:numId="12" w16cid:durableId="593169085">
    <w:abstractNumId w:val="8"/>
  </w:num>
  <w:num w:numId="13" w16cid:durableId="2050183381">
    <w:abstractNumId w:val="19"/>
  </w:num>
  <w:num w:numId="14" w16cid:durableId="1734423632">
    <w:abstractNumId w:val="1"/>
  </w:num>
  <w:num w:numId="15" w16cid:durableId="57898239">
    <w:abstractNumId w:val="9"/>
  </w:num>
  <w:num w:numId="16" w16cid:durableId="33046412">
    <w:abstractNumId w:val="13"/>
  </w:num>
  <w:num w:numId="17" w16cid:durableId="850795635">
    <w:abstractNumId w:val="5"/>
  </w:num>
  <w:num w:numId="18" w16cid:durableId="1753231813">
    <w:abstractNumId w:val="3"/>
  </w:num>
  <w:num w:numId="19" w16cid:durableId="170342562">
    <w:abstractNumId w:val="24"/>
  </w:num>
  <w:num w:numId="20" w16cid:durableId="184052445">
    <w:abstractNumId w:val="27"/>
  </w:num>
  <w:num w:numId="21" w16cid:durableId="206915369">
    <w:abstractNumId w:val="0"/>
  </w:num>
  <w:num w:numId="22" w16cid:durableId="65078330">
    <w:abstractNumId w:val="18"/>
  </w:num>
  <w:num w:numId="23" w16cid:durableId="601647522">
    <w:abstractNumId w:val="15"/>
  </w:num>
  <w:num w:numId="24" w16cid:durableId="1309630033">
    <w:abstractNumId w:val="7"/>
  </w:num>
  <w:num w:numId="25" w16cid:durableId="1432968898">
    <w:abstractNumId w:val="29"/>
  </w:num>
  <w:num w:numId="26" w16cid:durableId="449711623">
    <w:abstractNumId w:val="20"/>
  </w:num>
  <w:num w:numId="27" w16cid:durableId="1447700933">
    <w:abstractNumId w:val="2"/>
  </w:num>
  <w:num w:numId="28" w16cid:durableId="881408141">
    <w:abstractNumId w:val="16"/>
  </w:num>
  <w:num w:numId="29" w16cid:durableId="871455393">
    <w:abstractNumId w:val="10"/>
  </w:num>
  <w:num w:numId="30" w16cid:durableId="14643020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B0"/>
    <w:rsid w:val="0000325B"/>
    <w:rsid w:val="000039D3"/>
    <w:rsid w:val="000047BD"/>
    <w:rsid w:val="00004CB7"/>
    <w:rsid w:val="00005081"/>
    <w:rsid w:val="00005587"/>
    <w:rsid w:val="00006671"/>
    <w:rsid w:val="00006733"/>
    <w:rsid w:val="00007B7E"/>
    <w:rsid w:val="00010E5D"/>
    <w:rsid w:val="00012262"/>
    <w:rsid w:val="0001262E"/>
    <w:rsid w:val="00014EC0"/>
    <w:rsid w:val="0001607E"/>
    <w:rsid w:val="00016C9A"/>
    <w:rsid w:val="00017755"/>
    <w:rsid w:val="00021516"/>
    <w:rsid w:val="00021566"/>
    <w:rsid w:val="00021E79"/>
    <w:rsid w:val="00023DAB"/>
    <w:rsid w:val="00024AA3"/>
    <w:rsid w:val="000251A7"/>
    <w:rsid w:val="00027BB9"/>
    <w:rsid w:val="00030ADE"/>
    <w:rsid w:val="0003100B"/>
    <w:rsid w:val="00031204"/>
    <w:rsid w:val="00034039"/>
    <w:rsid w:val="000341C2"/>
    <w:rsid w:val="000345A5"/>
    <w:rsid w:val="00034898"/>
    <w:rsid w:val="0003597D"/>
    <w:rsid w:val="00035C8D"/>
    <w:rsid w:val="00036D03"/>
    <w:rsid w:val="00037618"/>
    <w:rsid w:val="0004084F"/>
    <w:rsid w:val="000417F5"/>
    <w:rsid w:val="000426B9"/>
    <w:rsid w:val="0004329A"/>
    <w:rsid w:val="00043A6D"/>
    <w:rsid w:val="00044733"/>
    <w:rsid w:val="00045C42"/>
    <w:rsid w:val="0004633E"/>
    <w:rsid w:val="00046705"/>
    <w:rsid w:val="000467EC"/>
    <w:rsid w:val="000470A3"/>
    <w:rsid w:val="00050F7E"/>
    <w:rsid w:val="000519F3"/>
    <w:rsid w:val="0005379E"/>
    <w:rsid w:val="00053CA2"/>
    <w:rsid w:val="00055F84"/>
    <w:rsid w:val="0005742B"/>
    <w:rsid w:val="00060EB2"/>
    <w:rsid w:val="00061B46"/>
    <w:rsid w:val="00063280"/>
    <w:rsid w:val="0006594C"/>
    <w:rsid w:val="00065B1C"/>
    <w:rsid w:val="0006784D"/>
    <w:rsid w:val="00067AD9"/>
    <w:rsid w:val="0007051E"/>
    <w:rsid w:val="00073F17"/>
    <w:rsid w:val="0007555F"/>
    <w:rsid w:val="000759A1"/>
    <w:rsid w:val="0007643C"/>
    <w:rsid w:val="0008149F"/>
    <w:rsid w:val="00081D40"/>
    <w:rsid w:val="00082015"/>
    <w:rsid w:val="00083516"/>
    <w:rsid w:val="00084976"/>
    <w:rsid w:val="00085A15"/>
    <w:rsid w:val="00087E9A"/>
    <w:rsid w:val="00090621"/>
    <w:rsid w:val="000907D8"/>
    <w:rsid w:val="000917FB"/>
    <w:rsid w:val="00092034"/>
    <w:rsid w:val="000920D9"/>
    <w:rsid w:val="0009228D"/>
    <w:rsid w:val="000945FE"/>
    <w:rsid w:val="00095910"/>
    <w:rsid w:val="000965AB"/>
    <w:rsid w:val="000966EF"/>
    <w:rsid w:val="00096A50"/>
    <w:rsid w:val="000A0834"/>
    <w:rsid w:val="000A2830"/>
    <w:rsid w:val="000A2A9B"/>
    <w:rsid w:val="000A3456"/>
    <w:rsid w:val="000A469D"/>
    <w:rsid w:val="000A478B"/>
    <w:rsid w:val="000A5492"/>
    <w:rsid w:val="000A6073"/>
    <w:rsid w:val="000A69CD"/>
    <w:rsid w:val="000A79D5"/>
    <w:rsid w:val="000B0005"/>
    <w:rsid w:val="000B0008"/>
    <w:rsid w:val="000B0E1B"/>
    <w:rsid w:val="000B19BA"/>
    <w:rsid w:val="000B4006"/>
    <w:rsid w:val="000B45D1"/>
    <w:rsid w:val="000B5072"/>
    <w:rsid w:val="000B531E"/>
    <w:rsid w:val="000B5478"/>
    <w:rsid w:val="000C0616"/>
    <w:rsid w:val="000C22BA"/>
    <w:rsid w:val="000C2355"/>
    <w:rsid w:val="000C4799"/>
    <w:rsid w:val="000C4BDF"/>
    <w:rsid w:val="000C4EE1"/>
    <w:rsid w:val="000C56E0"/>
    <w:rsid w:val="000C5BE1"/>
    <w:rsid w:val="000C7A0C"/>
    <w:rsid w:val="000C7C9E"/>
    <w:rsid w:val="000D011E"/>
    <w:rsid w:val="000D0134"/>
    <w:rsid w:val="000D137C"/>
    <w:rsid w:val="000D1838"/>
    <w:rsid w:val="000D1EA5"/>
    <w:rsid w:val="000D332F"/>
    <w:rsid w:val="000D4402"/>
    <w:rsid w:val="000D6A9F"/>
    <w:rsid w:val="000D76E6"/>
    <w:rsid w:val="000E1162"/>
    <w:rsid w:val="000E1F5E"/>
    <w:rsid w:val="000E1F61"/>
    <w:rsid w:val="000E2005"/>
    <w:rsid w:val="000E31DE"/>
    <w:rsid w:val="000E425C"/>
    <w:rsid w:val="000E4C31"/>
    <w:rsid w:val="000E5ECB"/>
    <w:rsid w:val="000E60C5"/>
    <w:rsid w:val="000E64E2"/>
    <w:rsid w:val="000E659B"/>
    <w:rsid w:val="000E65CD"/>
    <w:rsid w:val="000E695C"/>
    <w:rsid w:val="000E6F51"/>
    <w:rsid w:val="000E7547"/>
    <w:rsid w:val="000E7D87"/>
    <w:rsid w:val="000E7DD8"/>
    <w:rsid w:val="000E7F0C"/>
    <w:rsid w:val="000F0560"/>
    <w:rsid w:val="000F248B"/>
    <w:rsid w:val="000F322D"/>
    <w:rsid w:val="000F3518"/>
    <w:rsid w:val="000F3AF9"/>
    <w:rsid w:val="000F404C"/>
    <w:rsid w:val="000F6314"/>
    <w:rsid w:val="000F6742"/>
    <w:rsid w:val="000F73EF"/>
    <w:rsid w:val="0010068D"/>
    <w:rsid w:val="00100ECC"/>
    <w:rsid w:val="001015A0"/>
    <w:rsid w:val="0010222E"/>
    <w:rsid w:val="001040C1"/>
    <w:rsid w:val="001060EC"/>
    <w:rsid w:val="00106C95"/>
    <w:rsid w:val="00106EA2"/>
    <w:rsid w:val="00106F2B"/>
    <w:rsid w:val="001116DE"/>
    <w:rsid w:val="00111E4E"/>
    <w:rsid w:val="001133DC"/>
    <w:rsid w:val="00113552"/>
    <w:rsid w:val="00113594"/>
    <w:rsid w:val="001147EE"/>
    <w:rsid w:val="001148DB"/>
    <w:rsid w:val="00114904"/>
    <w:rsid w:val="00115A97"/>
    <w:rsid w:val="00116A3F"/>
    <w:rsid w:val="001175EA"/>
    <w:rsid w:val="00124068"/>
    <w:rsid w:val="0012591D"/>
    <w:rsid w:val="00130834"/>
    <w:rsid w:val="00130ABF"/>
    <w:rsid w:val="00131261"/>
    <w:rsid w:val="00134B80"/>
    <w:rsid w:val="001353B1"/>
    <w:rsid w:val="0013736F"/>
    <w:rsid w:val="00137906"/>
    <w:rsid w:val="00137EF6"/>
    <w:rsid w:val="001410C7"/>
    <w:rsid w:val="0014240E"/>
    <w:rsid w:val="00142BD4"/>
    <w:rsid w:val="00143982"/>
    <w:rsid w:val="001452D3"/>
    <w:rsid w:val="00145827"/>
    <w:rsid w:val="00147FBB"/>
    <w:rsid w:val="00152A27"/>
    <w:rsid w:val="00152EC2"/>
    <w:rsid w:val="00153C87"/>
    <w:rsid w:val="00155D2D"/>
    <w:rsid w:val="001563D5"/>
    <w:rsid w:val="00156998"/>
    <w:rsid w:val="0015720F"/>
    <w:rsid w:val="00157BEC"/>
    <w:rsid w:val="00160863"/>
    <w:rsid w:val="00162242"/>
    <w:rsid w:val="00163963"/>
    <w:rsid w:val="00165A20"/>
    <w:rsid w:val="0016688B"/>
    <w:rsid w:val="00166D7B"/>
    <w:rsid w:val="001718D2"/>
    <w:rsid w:val="00174018"/>
    <w:rsid w:val="0017429A"/>
    <w:rsid w:val="00175586"/>
    <w:rsid w:val="001757CD"/>
    <w:rsid w:val="001760CF"/>
    <w:rsid w:val="00176E72"/>
    <w:rsid w:val="00181991"/>
    <w:rsid w:val="00182190"/>
    <w:rsid w:val="00182E2C"/>
    <w:rsid w:val="00182F1A"/>
    <w:rsid w:val="00185484"/>
    <w:rsid w:val="00185B24"/>
    <w:rsid w:val="0018722F"/>
    <w:rsid w:val="00187242"/>
    <w:rsid w:val="001928C5"/>
    <w:rsid w:val="00194CE6"/>
    <w:rsid w:val="00195463"/>
    <w:rsid w:val="00196FB3"/>
    <w:rsid w:val="001A47F2"/>
    <w:rsid w:val="001A5CF4"/>
    <w:rsid w:val="001A6693"/>
    <w:rsid w:val="001B004F"/>
    <w:rsid w:val="001B0843"/>
    <w:rsid w:val="001B0FB1"/>
    <w:rsid w:val="001B1193"/>
    <w:rsid w:val="001B29F9"/>
    <w:rsid w:val="001B2C7F"/>
    <w:rsid w:val="001B3853"/>
    <w:rsid w:val="001B481B"/>
    <w:rsid w:val="001B4B36"/>
    <w:rsid w:val="001B4CBB"/>
    <w:rsid w:val="001B582D"/>
    <w:rsid w:val="001B5C6F"/>
    <w:rsid w:val="001B6EE2"/>
    <w:rsid w:val="001C00BE"/>
    <w:rsid w:val="001C0A16"/>
    <w:rsid w:val="001C1CC0"/>
    <w:rsid w:val="001C1E1C"/>
    <w:rsid w:val="001C2E29"/>
    <w:rsid w:val="001C58CD"/>
    <w:rsid w:val="001C5AC0"/>
    <w:rsid w:val="001D0837"/>
    <w:rsid w:val="001D09B1"/>
    <w:rsid w:val="001D0F48"/>
    <w:rsid w:val="001D10A7"/>
    <w:rsid w:val="001D1EF0"/>
    <w:rsid w:val="001D5248"/>
    <w:rsid w:val="001D5DBD"/>
    <w:rsid w:val="001D6FCB"/>
    <w:rsid w:val="001E2AA1"/>
    <w:rsid w:val="001E7047"/>
    <w:rsid w:val="001E7749"/>
    <w:rsid w:val="001E79A9"/>
    <w:rsid w:val="001F2C7C"/>
    <w:rsid w:val="001F4231"/>
    <w:rsid w:val="001F7F4D"/>
    <w:rsid w:val="00200550"/>
    <w:rsid w:val="00201F64"/>
    <w:rsid w:val="00203B6D"/>
    <w:rsid w:val="002059FE"/>
    <w:rsid w:val="002066EB"/>
    <w:rsid w:val="00206757"/>
    <w:rsid w:val="002073B2"/>
    <w:rsid w:val="00207510"/>
    <w:rsid w:val="002112E2"/>
    <w:rsid w:val="00211886"/>
    <w:rsid w:val="00213286"/>
    <w:rsid w:val="002138F0"/>
    <w:rsid w:val="00213B8A"/>
    <w:rsid w:val="00214224"/>
    <w:rsid w:val="002142A0"/>
    <w:rsid w:val="00216B95"/>
    <w:rsid w:val="00217545"/>
    <w:rsid w:val="0021776D"/>
    <w:rsid w:val="0022033E"/>
    <w:rsid w:val="002205BE"/>
    <w:rsid w:val="00220B44"/>
    <w:rsid w:val="00221A37"/>
    <w:rsid w:val="00222770"/>
    <w:rsid w:val="002232AF"/>
    <w:rsid w:val="00224140"/>
    <w:rsid w:val="0022444E"/>
    <w:rsid w:val="00224B02"/>
    <w:rsid w:val="00224F02"/>
    <w:rsid w:val="002267F6"/>
    <w:rsid w:val="00227172"/>
    <w:rsid w:val="002272DD"/>
    <w:rsid w:val="00231047"/>
    <w:rsid w:val="002324F3"/>
    <w:rsid w:val="00232627"/>
    <w:rsid w:val="00232C0C"/>
    <w:rsid w:val="00233AC1"/>
    <w:rsid w:val="002349B8"/>
    <w:rsid w:val="002351CB"/>
    <w:rsid w:val="00236983"/>
    <w:rsid w:val="0023738A"/>
    <w:rsid w:val="00240A4E"/>
    <w:rsid w:val="00240F69"/>
    <w:rsid w:val="002424B2"/>
    <w:rsid w:val="002428EC"/>
    <w:rsid w:val="002434D9"/>
    <w:rsid w:val="002438FA"/>
    <w:rsid w:val="002439FC"/>
    <w:rsid w:val="0024484E"/>
    <w:rsid w:val="00245835"/>
    <w:rsid w:val="00245A2B"/>
    <w:rsid w:val="00245CB3"/>
    <w:rsid w:val="00246E27"/>
    <w:rsid w:val="00247389"/>
    <w:rsid w:val="00250B6F"/>
    <w:rsid w:val="00250E61"/>
    <w:rsid w:val="00252208"/>
    <w:rsid w:val="00252F37"/>
    <w:rsid w:val="00253F2E"/>
    <w:rsid w:val="00257AD0"/>
    <w:rsid w:val="00257F7B"/>
    <w:rsid w:val="00260899"/>
    <w:rsid w:val="00260FCF"/>
    <w:rsid w:val="002625B9"/>
    <w:rsid w:val="002627B7"/>
    <w:rsid w:val="00263285"/>
    <w:rsid w:val="00263D3F"/>
    <w:rsid w:val="00265C7E"/>
    <w:rsid w:val="00270402"/>
    <w:rsid w:val="00271227"/>
    <w:rsid w:val="002716F7"/>
    <w:rsid w:val="00271C3D"/>
    <w:rsid w:val="002724AD"/>
    <w:rsid w:val="00272A5B"/>
    <w:rsid w:val="00273A10"/>
    <w:rsid w:val="00274B6E"/>
    <w:rsid w:val="00275A5B"/>
    <w:rsid w:val="002760B9"/>
    <w:rsid w:val="00277EA6"/>
    <w:rsid w:val="00281B19"/>
    <w:rsid w:val="0028384E"/>
    <w:rsid w:val="00286315"/>
    <w:rsid w:val="00287071"/>
    <w:rsid w:val="00290343"/>
    <w:rsid w:val="00290C29"/>
    <w:rsid w:val="00290F24"/>
    <w:rsid w:val="00290F3B"/>
    <w:rsid w:val="00293E4A"/>
    <w:rsid w:val="0029475B"/>
    <w:rsid w:val="0029491B"/>
    <w:rsid w:val="00297086"/>
    <w:rsid w:val="002975E5"/>
    <w:rsid w:val="002A069A"/>
    <w:rsid w:val="002A0858"/>
    <w:rsid w:val="002A0861"/>
    <w:rsid w:val="002A093A"/>
    <w:rsid w:val="002A0D03"/>
    <w:rsid w:val="002A1B0C"/>
    <w:rsid w:val="002A20EF"/>
    <w:rsid w:val="002A22E4"/>
    <w:rsid w:val="002A29BD"/>
    <w:rsid w:val="002A30CF"/>
    <w:rsid w:val="002A4863"/>
    <w:rsid w:val="002A4B9F"/>
    <w:rsid w:val="002A517C"/>
    <w:rsid w:val="002A72F1"/>
    <w:rsid w:val="002A7B30"/>
    <w:rsid w:val="002B0CBE"/>
    <w:rsid w:val="002B1272"/>
    <w:rsid w:val="002B1F54"/>
    <w:rsid w:val="002B22DB"/>
    <w:rsid w:val="002B4025"/>
    <w:rsid w:val="002B5345"/>
    <w:rsid w:val="002B5833"/>
    <w:rsid w:val="002B5B0B"/>
    <w:rsid w:val="002C0F2A"/>
    <w:rsid w:val="002C14E9"/>
    <w:rsid w:val="002C1CC1"/>
    <w:rsid w:val="002C24F2"/>
    <w:rsid w:val="002C24FC"/>
    <w:rsid w:val="002C28A5"/>
    <w:rsid w:val="002C295E"/>
    <w:rsid w:val="002C2ABE"/>
    <w:rsid w:val="002C3E61"/>
    <w:rsid w:val="002C565C"/>
    <w:rsid w:val="002C75AF"/>
    <w:rsid w:val="002D09E0"/>
    <w:rsid w:val="002D1058"/>
    <w:rsid w:val="002D1365"/>
    <w:rsid w:val="002D1AD3"/>
    <w:rsid w:val="002D1FDC"/>
    <w:rsid w:val="002D27BF"/>
    <w:rsid w:val="002D2E27"/>
    <w:rsid w:val="002D34A6"/>
    <w:rsid w:val="002D3F26"/>
    <w:rsid w:val="002D4452"/>
    <w:rsid w:val="002D4D09"/>
    <w:rsid w:val="002D630C"/>
    <w:rsid w:val="002D6C2B"/>
    <w:rsid w:val="002D733C"/>
    <w:rsid w:val="002E04ED"/>
    <w:rsid w:val="002E1240"/>
    <w:rsid w:val="002E338B"/>
    <w:rsid w:val="002E36F7"/>
    <w:rsid w:val="002E3C35"/>
    <w:rsid w:val="002E555E"/>
    <w:rsid w:val="002E557F"/>
    <w:rsid w:val="002E7584"/>
    <w:rsid w:val="002E7D0E"/>
    <w:rsid w:val="002F0C6C"/>
    <w:rsid w:val="002F250D"/>
    <w:rsid w:val="002F5142"/>
    <w:rsid w:val="002F5E50"/>
    <w:rsid w:val="002F6C3D"/>
    <w:rsid w:val="002F725B"/>
    <w:rsid w:val="003007F3"/>
    <w:rsid w:val="0030469F"/>
    <w:rsid w:val="003049E6"/>
    <w:rsid w:val="00305E63"/>
    <w:rsid w:val="00306317"/>
    <w:rsid w:val="00306833"/>
    <w:rsid w:val="00306E45"/>
    <w:rsid w:val="00307416"/>
    <w:rsid w:val="003074E0"/>
    <w:rsid w:val="003110D7"/>
    <w:rsid w:val="003117BE"/>
    <w:rsid w:val="00312978"/>
    <w:rsid w:val="003130E4"/>
    <w:rsid w:val="00313D66"/>
    <w:rsid w:val="00314F25"/>
    <w:rsid w:val="00315F2A"/>
    <w:rsid w:val="00316114"/>
    <w:rsid w:val="00316C30"/>
    <w:rsid w:val="003171B5"/>
    <w:rsid w:val="003175D9"/>
    <w:rsid w:val="00320D28"/>
    <w:rsid w:val="0032119F"/>
    <w:rsid w:val="003214F6"/>
    <w:rsid w:val="003224D3"/>
    <w:rsid w:val="00322F44"/>
    <w:rsid w:val="003233DA"/>
    <w:rsid w:val="0032442A"/>
    <w:rsid w:val="003254D3"/>
    <w:rsid w:val="003257C7"/>
    <w:rsid w:val="00326F83"/>
    <w:rsid w:val="0033049D"/>
    <w:rsid w:val="00330661"/>
    <w:rsid w:val="00330CBA"/>
    <w:rsid w:val="00331C61"/>
    <w:rsid w:val="00332A59"/>
    <w:rsid w:val="00335B24"/>
    <w:rsid w:val="0033636B"/>
    <w:rsid w:val="003368B5"/>
    <w:rsid w:val="003368CD"/>
    <w:rsid w:val="00337558"/>
    <w:rsid w:val="00337D91"/>
    <w:rsid w:val="00340261"/>
    <w:rsid w:val="00340FE7"/>
    <w:rsid w:val="00341BFE"/>
    <w:rsid w:val="0034414C"/>
    <w:rsid w:val="00344625"/>
    <w:rsid w:val="003448D7"/>
    <w:rsid w:val="003452DD"/>
    <w:rsid w:val="00347244"/>
    <w:rsid w:val="00350ADE"/>
    <w:rsid w:val="003520BE"/>
    <w:rsid w:val="0035296E"/>
    <w:rsid w:val="003533EC"/>
    <w:rsid w:val="00353B7F"/>
    <w:rsid w:val="003546FC"/>
    <w:rsid w:val="003574B5"/>
    <w:rsid w:val="0036026B"/>
    <w:rsid w:val="00361078"/>
    <w:rsid w:val="003619AB"/>
    <w:rsid w:val="00362E06"/>
    <w:rsid w:val="0036465F"/>
    <w:rsid w:val="003652C2"/>
    <w:rsid w:val="003652C4"/>
    <w:rsid w:val="003670C8"/>
    <w:rsid w:val="00367CCA"/>
    <w:rsid w:val="00371C36"/>
    <w:rsid w:val="00371E7D"/>
    <w:rsid w:val="00371FA8"/>
    <w:rsid w:val="00375CCF"/>
    <w:rsid w:val="00376084"/>
    <w:rsid w:val="00376888"/>
    <w:rsid w:val="0038080A"/>
    <w:rsid w:val="00380858"/>
    <w:rsid w:val="00380BB0"/>
    <w:rsid w:val="00381F78"/>
    <w:rsid w:val="003823CC"/>
    <w:rsid w:val="00382C40"/>
    <w:rsid w:val="003834E6"/>
    <w:rsid w:val="003837D6"/>
    <w:rsid w:val="0039028E"/>
    <w:rsid w:val="003932EF"/>
    <w:rsid w:val="00393669"/>
    <w:rsid w:val="003952E3"/>
    <w:rsid w:val="00395BD5"/>
    <w:rsid w:val="0039637E"/>
    <w:rsid w:val="003966B1"/>
    <w:rsid w:val="0039670D"/>
    <w:rsid w:val="0039688D"/>
    <w:rsid w:val="00397CD6"/>
    <w:rsid w:val="003A17E9"/>
    <w:rsid w:val="003A342E"/>
    <w:rsid w:val="003A6204"/>
    <w:rsid w:val="003A777A"/>
    <w:rsid w:val="003A7AB0"/>
    <w:rsid w:val="003B02AC"/>
    <w:rsid w:val="003B0CB8"/>
    <w:rsid w:val="003B18B1"/>
    <w:rsid w:val="003B1911"/>
    <w:rsid w:val="003B1EAE"/>
    <w:rsid w:val="003B583A"/>
    <w:rsid w:val="003B7D0E"/>
    <w:rsid w:val="003C0662"/>
    <w:rsid w:val="003C11E6"/>
    <w:rsid w:val="003C156F"/>
    <w:rsid w:val="003C21DF"/>
    <w:rsid w:val="003C2237"/>
    <w:rsid w:val="003C31DB"/>
    <w:rsid w:val="003C32C7"/>
    <w:rsid w:val="003C3460"/>
    <w:rsid w:val="003C5CCC"/>
    <w:rsid w:val="003C633A"/>
    <w:rsid w:val="003C6D57"/>
    <w:rsid w:val="003C6EEC"/>
    <w:rsid w:val="003C790C"/>
    <w:rsid w:val="003C7CF1"/>
    <w:rsid w:val="003D07CA"/>
    <w:rsid w:val="003D09D2"/>
    <w:rsid w:val="003D1DA8"/>
    <w:rsid w:val="003D1EB9"/>
    <w:rsid w:val="003D258B"/>
    <w:rsid w:val="003D2747"/>
    <w:rsid w:val="003D3E22"/>
    <w:rsid w:val="003D62AC"/>
    <w:rsid w:val="003D64EA"/>
    <w:rsid w:val="003D6997"/>
    <w:rsid w:val="003E1EBE"/>
    <w:rsid w:val="003E242C"/>
    <w:rsid w:val="003E2488"/>
    <w:rsid w:val="003E323D"/>
    <w:rsid w:val="003E44DC"/>
    <w:rsid w:val="003E61E2"/>
    <w:rsid w:val="003E7531"/>
    <w:rsid w:val="003E7F09"/>
    <w:rsid w:val="003F3D72"/>
    <w:rsid w:val="003F567C"/>
    <w:rsid w:val="003F79E6"/>
    <w:rsid w:val="004019C2"/>
    <w:rsid w:val="00401C21"/>
    <w:rsid w:val="0040326A"/>
    <w:rsid w:val="004038C9"/>
    <w:rsid w:val="00403D3E"/>
    <w:rsid w:val="004041DD"/>
    <w:rsid w:val="00404869"/>
    <w:rsid w:val="00404DB9"/>
    <w:rsid w:val="004050B7"/>
    <w:rsid w:val="004065B8"/>
    <w:rsid w:val="0041092D"/>
    <w:rsid w:val="004109EF"/>
    <w:rsid w:val="00410BDA"/>
    <w:rsid w:val="00410C14"/>
    <w:rsid w:val="004110FA"/>
    <w:rsid w:val="0041129F"/>
    <w:rsid w:val="004116DD"/>
    <w:rsid w:val="00411B86"/>
    <w:rsid w:val="00413BDA"/>
    <w:rsid w:val="00414239"/>
    <w:rsid w:val="004142BA"/>
    <w:rsid w:val="00414C7F"/>
    <w:rsid w:val="00417118"/>
    <w:rsid w:val="00417687"/>
    <w:rsid w:val="00417861"/>
    <w:rsid w:val="00421F5A"/>
    <w:rsid w:val="00422126"/>
    <w:rsid w:val="00422CBF"/>
    <w:rsid w:val="0042307E"/>
    <w:rsid w:val="00423303"/>
    <w:rsid w:val="004248E1"/>
    <w:rsid w:val="00425EC5"/>
    <w:rsid w:val="0042688C"/>
    <w:rsid w:val="004317C3"/>
    <w:rsid w:val="00431822"/>
    <w:rsid w:val="00432048"/>
    <w:rsid w:val="004326E1"/>
    <w:rsid w:val="004333B6"/>
    <w:rsid w:val="0043439C"/>
    <w:rsid w:val="00436794"/>
    <w:rsid w:val="00436B31"/>
    <w:rsid w:val="0043786A"/>
    <w:rsid w:val="0044021B"/>
    <w:rsid w:val="0044069B"/>
    <w:rsid w:val="0044147B"/>
    <w:rsid w:val="00441BE6"/>
    <w:rsid w:val="0044371D"/>
    <w:rsid w:val="00443990"/>
    <w:rsid w:val="00445284"/>
    <w:rsid w:val="00445A44"/>
    <w:rsid w:val="0044719A"/>
    <w:rsid w:val="00450302"/>
    <w:rsid w:val="00452F7E"/>
    <w:rsid w:val="00453832"/>
    <w:rsid w:val="00455E36"/>
    <w:rsid w:val="00455FE6"/>
    <w:rsid w:val="004560DC"/>
    <w:rsid w:val="00460475"/>
    <w:rsid w:val="00463515"/>
    <w:rsid w:val="004635D4"/>
    <w:rsid w:val="00463D6B"/>
    <w:rsid w:val="004650A7"/>
    <w:rsid w:val="004654EA"/>
    <w:rsid w:val="004656DE"/>
    <w:rsid w:val="00465AA6"/>
    <w:rsid w:val="00466A2E"/>
    <w:rsid w:val="004672AC"/>
    <w:rsid w:val="004702EC"/>
    <w:rsid w:val="00470EF9"/>
    <w:rsid w:val="004763A2"/>
    <w:rsid w:val="00476802"/>
    <w:rsid w:val="00476A68"/>
    <w:rsid w:val="00480A69"/>
    <w:rsid w:val="00481237"/>
    <w:rsid w:val="004816EC"/>
    <w:rsid w:val="00482A81"/>
    <w:rsid w:val="00484473"/>
    <w:rsid w:val="0049375E"/>
    <w:rsid w:val="00493DE9"/>
    <w:rsid w:val="00494057"/>
    <w:rsid w:val="0049432C"/>
    <w:rsid w:val="0049587F"/>
    <w:rsid w:val="004A074D"/>
    <w:rsid w:val="004A09F0"/>
    <w:rsid w:val="004A0BCE"/>
    <w:rsid w:val="004A130F"/>
    <w:rsid w:val="004A277E"/>
    <w:rsid w:val="004A3C70"/>
    <w:rsid w:val="004A43C8"/>
    <w:rsid w:val="004A5566"/>
    <w:rsid w:val="004A634F"/>
    <w:rsid w:val="004A6B55"/>
    <w:rsid w:val="004A73D7"/>
    <w:rsid w:val="004B04CF"/>
    <w:rsid w:val="004B12B6"/>
    <w:rsid w:val="004B25E0"/>
    <w:rsid w:val="004B2C71"/>
    <w:rsid w:val="004B6039"/>
    <w:rsid w:val="004B7D07"/>
    <w:rsid w:val="004C0719"/>
    <w:rsid w:val="004C3B72"/>
    <w:rsid w:val="004C3D2F"/>
    <w:rsid w:val="004C62AC"/>
    <w:rsid w:val="004D04ED"/>
    <w:rsid w:val="004D1271"/>
    <w:rsid w:val="004D1BBE"/>
    <w:rsid w:val="004D46BF"/>
    <w:rsid w:val="004D46DC"/>
    <w:rsid w:val="004D490E"/>
    <w:rsid w:val="004D5C22"/>
    <w:rsid w:val="004D7025"/>
    <w:rsid w:val="004E0AA6"/>
    <w:rsid w:val="004E0FEE"/>
    <w:rsid w:val="004E2B4B"/>
    <w:rsid w:val="004E347F"/>
    <w:rsid w:val="004E446E"/>
    <w:rsid w:val="004E44B8"/>
    <w:rsid w:val="004E5540"/>
    <w:rsid w:val="004E5809"/>
    <w:rsid w:val="004E7827"/>
    <w:rsid w:val="004E7B8C"/>
    <w:rsid w:val="004F0914"/>
    <w:rsid w:val="004F17D0"/>
    <w:rsid w:val="004F22A4"/>
    <w:rsid w:val="004F2593"/>
    <w:rsid w:val="004F4550"/>
    <w:rsid w:val="004F5AA6"/>
    <w:rsid w:val="004F705B"/>
    <w:rsid w:val="00502261"/>
    <w:rsid w:val="00502582"/>
    <w:rsid w:val="00502FD8"/>
    <w:rsid w:val="005035A4"/>
    <w:rsid w:val="005035E8"/>
    <w:rsid w:val="00503635"/>
    <w:rsid w:val="0050439F"/>
    <w:rsid w:val="00505933"/>
    <w:rsid w:val="005069A2"/>
    <w:rsid w:val="00512511"/>
    <w:rsid w:val="00513128"/>
    <w:rsid w:val="00513B38"/>
    <w:rsid w:val="00514075"/>
    <w:rsid w:val="0051649C"/>
    <w:rsid w:val="00516A0A"/>
    <w:rsid w:val="00521725"/>
    <w:rsid w:val="00523497"/>
    <w:rsid w:val="00525BBA"/>
    <w:rsid w:val="00526C93"/>
    <w:rsid w:val="00526F6B"/>
    <w:rsid w:val="005279E5"/>
    <w:rsid w:val="00531D7C"/>
    <w:rsid w:val="00531D94"/>
    <w:rsid w:val="0053204B"/>
    <w:rsid w:val="005345CB"/>
    <w:rsid w:val="00534C1A"/>
    <w:rsid w:val="0053506A"/>
    <w:rsid w:val="005374E8"/>
    <w:rsid w:val="00537CF2"/>
    <w:rsid w:val="005405D4"/>
    <w:rsid w:val="00541A63"/>
    <w:rsid w:val="00541FC5"/>
    <w:rsid w:val="005438D4"/>
    <w:rsid w:val="00545782"/>
    <w:rsid w:val="0054599E"/>
    <w:rsid w:val="00546325"/>
    <w:rsid w:val="00546742"/>
    <w:rsid w:val="00550350"/>
    <w:rsid w:val="00550431"/>
    <w:rsid w:val="005512E2"/>
    <w:rsid w:val="00552293"/>
    <w:rsid w:val="005528B6"/>
    <w:rsid w:val="005529FA"/>
    <w:rsid w:val="00552D94"/>
    <w:rsid w:val="00554402"/>
    <w:rsid w:val="00554E71"/>
    <w:rsid w:val="00555526"/>
    <w:rsid w:val="00555B03"/>
    <w:rsid w:val="00556CFC"/>
    <w:rsid w:val="005579A7"/>
    <w:rsid w:val="00563A34"/>
    <w:rsid w:val="00563EBC"/>
    <w:rsid w:val="005641EB"/>
    <w:rsid w:val="00564615"/>
    <w:rsid w:val="005651FC"/>
    <w:rsid w:val="00566574"/>
    <w:rsid w:val="005668B4"/>
    <w:rsid w:val="005669AE"/>
    <w:rsid w:val="005670D2"/>
    <w:rsid w:val="00567880"/>
    <w:rsid w:val="00570190"/>
    <w:rsid w:val="00570619"/>
    <w:rsid w:val="00570E6C"/>
    <w:rsid w:val="00570FFE"/>
    <w:rsid w:val="005748D5"/>
    <w:rsid w:val="005751AF"/>
    <w:rsid w:val="0057718C"/>
    <w:rsid w:val="00577A31"/>
    <w:rsid w:val="00577FF2"/>
    <w:rsid w:val="0058277A"/>
    <w:rsid w:val="0058306D"/>
    <w:rsid w:val="00583A7B"/>
    <w:rsid w:val="005854C3"/>
    <w:rsid w:val="005865E6"/>
    <w:rsid w:val="00586AE9"/>
    <w:rsid w:val="00586F7B"/>
    <w:rsid w:val="005908A3"/>
    <w:rsid w:val="0059337B"/>
    <w:rsid w:val="00593692"/>
    <w:rsid w:val="005950F2"/>
    <w:rsid w:val="00597261"/>
    <w:rsid w:val="005974CE"/>
    <w:rsid w:val="00597748"/>
    <w:rsid w:val="005A08DF"/>
    <w:rsid w:val="005A1B70"/>
    <w:rsid w:val="005A1BDE"/>
    <w:rsid w:val="005A2183"/>
    <w:rsid w:val="005A21EB"/>
    <w:rsid w:val="005A2774"/>
    <w:rsid w:val="005A36CB"/>
    <w:rsid w:val="005A4DC4"/>
    <w:rsid w:val="005A600E"/>
    <w:rsid w:val="005A6265"/>
    <w:rsid w:val="005B2255"/>
    <w:rsid w:val="005B32E2"/>
    <w:rsid w:val="005B37D1"/>
    <w:rsid w:val="005B38E3"/>
    <w:rsid w:val="005B4B49"/>
    <w:rsid w:val="005B5B58"/>
    <w:rsid w:val="005B723E"/>
    <w:rsid w:val="005B780B"/>
    <w:rsid w:val="005B7F7E"/>
    <w:rsid w:val="005C01E4"/>
    <w:rsid w:val="005C06F0"/>
    <w:rsid w:val="005C1256"/>
    <w:rsid w:val="005C2C53"/>
    <w:rsid w:val="005C652F"/>
    <w:rsid w:val="005C6E03"/>
    <w:rsid w:val="005D159F"/>
    <w:rsid w:val="005D27BB"/>
    <w:rsid w:val="005D47FE"/>
    <w:rsid w:val="005D5717"/>
    <w:rsid w:val="005D60E9"/>
    <w:rsid w:val="005D6B9C"/>
    <w:rsid w:val="005D7D87"/>
    <w:rsid w:val="005E0798"/>
    <w:rsid w:val="005E09DB"/>
    <w:rsid w:val="005E2FEC"/>
    <w:rsid w:val="005E36C3"/>
    <w:rsid w:val="005E3A10"/>
    <w:rsid w:val="005E40C8"/>
    <w:rsid w:val="005E4EB3"/>
    <w:rsid w:val="005E514D"/>
    <w:rsid w:val="005E7657"/>
    <w:rsid w:val="005F1062"/>
    <w:rsid w:val="005F216E"/>
    <w:rsid w:val="005F2D13"/>
    <w:rsid w:val="005F334C"/>
    <w:rsid w:val="005F5B77"/>
    <w:rsid w:val="005F6B41"/>
    <w:rsid w:val="005F6DDC"/>
    <w:rsid w:val="00600B7D"/>
    <w:rsid w:val="0060169C"/>
    <w:rsid w:val="00601917"/>
    <w:rsid w:val="0060295C"/>
    <w:rsid w:val="00602C55"/>
    <w:rsid w:val="0060393E"/>
    <w:rsid w:val="00605876"/>
    <w:rsid w:val="00606AFC"/>
    <w:rsid w:val="00606D13"/>
    <w:rsid w:val="00607CD8"/>
    <w:rsid w:val="00607EF7"/>
    <w:rsid w:val="00611702"/>
    <w:rsid w:val="0061270B"/>
    <w:rsid w:val="006138A3"/>
    <w:rsid w:val="006202A1"/>
    <w:rsid w:val="00621B9E"/>
    <w:rsid w:val="00621C54"/>
    <w:rsid w:val="00621DFE"/>
    <w:rsid w:val="00624E9D"/>
    <w:rsid w:val="006252F1"/>
    <w:rsid w:val="00626D14"/>
    <w:rsid w:val="00627D34"/>
    <w:rsid w:val="00630B16"/>
    <w:rsid w:val="00631770"/>
    <w:rsid w:val="0063251F"/>
    <w:rsid w:val="00632AD3"/>
    <w:rsid w:val="00633C81"/>
    <w:rsid w:val="00634BF7"/>
    <w:rsid w:val="006357DA"/>
    <w:rsid w:val="006367E1"/>
    <w:rsid w:val="00636BB3"/>
    <w:rsid w:val="00637349"/>
    <w:rsid w:val="00637FE7"/>
    <w:rsid w:val="0064264B"/>
    <w:rsid w:val="00642C17"/>
    <w:rsid w:val="00643304"/>
    <w:rsid w:val="00643E7A"/>
    <w:rsid w:val="00646E80"/>
    <w:rsid w:val="0065083B"/>
    <w:rsid w:val="006511EC"/>
    <w:rsid w:val="00651D6C"/>
    <w:rsid w:val="00655A98"/>
    <w:rsid w:val="006561D2"/>
    <w:rsid w:val="00656ECD"/>
    <w:rsid w:val="006571F1"/>
    <w:rsid w:val="00661F9B"/>
    <w:rsid w:val="0066248B"/>
    <w:rsid w:val="006625A4"/>
    <w:rsid w:val="00663CDA"/>
    <w:rsid w:val="00664F49"/>
    <w:rsid w:val="0066578E"/>
    <w:rsid w:val="00665FE1"/>
    <w:rsid w:val="00671153"/>
    <w:rsid w:val="006738B8"/>
    <w:rsid w:val="006746D5"/>
    <w:rsid w:val="00677AB5"/>
    <w:rsid w:val="00677C2A"/>
    <w:rsid w:val="006810FB"/>
    <w:rsid w:val="00682F1A"/>
    <w:rsid w:val="00683C70"/>
    <w:rsid w:val="00684BA5"/>
    <w:rsid w:val="00687B33"/>
    <w:rsid w:val="0069022B"/>
    <w:rsid w:val="00690279"/>
    <w:rsid w:val="006921B7"/>
    <w:rsid w:val="00692818"/>
    <w:rsid w:val="0069435C"/>
    <w:rsid w:val="00694EB4"/>
    <w:rsid w:val="00695247"/>
    <w:rsid w:val="006A147B"/>
    <w:rsid w:val="006A1E8C"/>
    <w:rsid w:val="006A2706"/>
    <w:rsid w:val="006A3EA1"/>
    <w:rsid w:val="006A5873"/>
    <w:rsid w:val="006A6276"/>
    <w:rsid w:val="006A6732"/>
    <w:rsid w:val="006A7908"/>
    <w:rsid w:val="006B0FDB"/>
    <w:rsid w:val="006B1565"/>
    <w:rsid w:val="006B4AEB"/>
    <w:rsid w:val="006B4D3E"/>
    <w:rsid w:val="006B64FF"/>
    <w:rsid w:val="006B6CB0"/>
    <w:rsid w:val="006B78CC"/>
    <w:rsid w:val="006C030D"/>
    <w:rsid w:val="006C2113"/>
    <w:rsid w:val="006C2225"/>
    <w:rsid w:val="006C3092"/>
    <w:rsid w:val="006C323B"/>
    <w:rsid w:val="006C42A0"/>
    <w:rsid w:val="006C474F"/>
    <w:rsid w:val="006C4E73"/>
    <w:rsid w:val="006C52FC"/>
    <w:rsid w:val="006C5B3A"/>
    <w:rsid w:val="006C65DE"/>
    <w:rsid w:val="006C6A4C"/>
    <w:rsid w:val="006C7132"/>
    <w:rsid w:val="006D1E5F"/>
    <w:rsid w:val="006D247C"/>
    <w:rsid w:val="006D4636"/>
    <w:rsid w:val="006D517F"/>
    <w:rsid w:val="006D6742"/>
    <w:rsid w:val="006D72FD"/>
    <w:rsid w:val="006D7EF7"/>
    <w:rsid w:val="006E06AC"/>
    <w:rsid w:val="006E0B59"/>
    <w:rsid w:val="006E1127"/>
    <w:rsid w:val="006E144A"/>
    <w:rsid w:val="006E15AF"/>
    <w:rsid w:val="006E1D1C"/>
    <w:rsid w:val="006E2A03"/>
    <w:rsid w:val="006F0873"/>
    <w:rsid w:val="006F3FC8"/>
    <w:rsid w:val="006F4C3A"/>
    <w:rsid w:val="006F56D3"/>
    <w:rsid w:val="006F5CD9"/>
    <w:rsid w:val="0070084A"/>
    <w:rsid w:val="00700AE1"/>
    <w:rsid w:val="00700B2D"/>
    <w:rsid w:val="007020CD"/>
    <w:rsid w:val="0070263B"/>
    <w:rsid w:val="00702E94"/>
    <w:rsid w:val="00705833"/>
    <w:rsid w:val="00705E5D"/>
    <w:rsid w:val="007072C9"/>
    <w:rsid w:val="00707423"/>
    <w:rsid w:val="00710376"/>
    <w:rsid w:val="00710D6F"/>
    <w:rsid w:val="00711920"/>
    <w:rsid w:val="00712649"/>
    <w:rsid w:val="00713129"/>
    <w:rsid w:val="00713504"/>
    <w:rsid w:val="00714AAA"/>
    <w:rsid w:val="0071628A"/>
    <w:rsid w:val="00716319"/>
    <w:rsid w:val="00716A60"/>
    <w:rsid w:val="00717105"/>
    <w:rsid w:val="00717262"/>
    <w:rsid w:val="007174AA"/>
    <w:rsid w:val="00717FD7"/>
    <w:rsid w:val="00720357"/>
    <w:rsid w:val="00721453"/>
    <w:rsid w:val="007225B3"/>
    <w:rsid w:val="00723098"/>
    <w:rsid w:val="007232D2"/>
    <w:rsid w:val="007264F0"/>
    <w:rsid w:val="007267FD"/>
    <w:rsid w:val="0073074B"/>
    <w:rsid w:val="00731137"/>
    <w:rsid w:val="007323BE"/>
    <w:rsid w:val="00734D6C"/>
    <w:rsid w:val="00736BB1"/>
    <w:rsid w:val="00737FFE"/>
    <w:rsid w:val="0074521D"/>
    <w:rsid w:val="00747758"/>
    <w:rsid w:val="00747B85"/>
    <w:rsid w:val="00747D0E"/>
    <w:rsid w:val="00750CF6"/>
    <w:rsid w:val="007514A5"/>
    <w:rsid w:val="00751E5B"/>
    <w:rsid w:val="00752163"/>
    <w:rsid w:val="007521FE"/>
    <w:rsid w:val="0075405F"/>
    <w:rsid w:val="007546ED"/>
    <w:rsid w:val="00754F26"/>
    <w:rsid w:val="00756094"/>
    <w:rsid w:val="007569C1"/>
    <w:rsid w:val="00760185"/>
    <w:rsid w:val="0076070A"/>
    <w:rsid w:val="00760F01"/>
    <w:rsid w:val="007610D3"/>
    <w:rsid w:val="007623B1"/>
    <w:rsid w:val="00762D4C"/>
    <w:rsid w:val="00763173"/>
    <w:rsid w:val="00766573"/>
    <w:rsid w:val="00766AD4"/>
    <w:rsid w:val="0077013F"/>
    <w:rsid w:val="00770A16"/>
    <w:rsid w:val="00770BC0"/>
    <w:rsid w:val="007718FE"/>
    <w:rsid w:val="00771F59"/>
    <w:rsid w:val="007727DA"/>
    <w:rsid w:val="00772E2F"/>
    <w:rsid w:val="00772F88"/>
    <w:rsid w:val="007743E9"/>
    <w:rsid w:val="007764AE"/>
    <w:rsid w:val="0077683E"/>
    <w:rsid w:val="00780076"/>
    <w:rsid w:val="00780D11"/>
    <w:rsid w:val="00781D67"/>
    <w:rsid w:val="0078268E"/>
    <w:rsid w:val="007828DD"/>
    <w:rsid w:val="00782DD2"/>
    <w:rsid w:val="00783F07"/>
    <w:rsid w:val="00784967"/>
    <w:rsid w:val="00784D5D"/>
    <w:rsid w:val="007851D6"/>
    <w:rsid w:val="007859D8"/>
    <w:rsid w:val="00785A2A"/>
    <w:rsid w:val="00786783"/>
    <w:rsid w:val="00787146"/>
    <w:rsid w:val="007871A9"/>
    <w:rsid w:val="00787401"/>
    <w:rsid w:val="00787578"/>
    <w:rsid w:val="007875F1"/>
    <w:rsid w:val="00787776"/>
    <w:rsid w:val="00790BC7"/>
    <w:rsid w:val="00791A57"/>
    <w:rsid w:val="00791DDE"/>
    <w:rsid w:val="00792986"/>
    <w:rsid w:val="007932B0"/>
    <w:rsid w:val="00794BA2"/>
    <w:rsid w:val="00796430"/>
    <w:rsid w:val="007965C7"/>
    <w:rsid w:val="00796B3D"/>
    <w:rsid w:val="007A27F6"/>
    <w:rsid w:val="007A4234"/>
    <w:rsid w:val="007A443E"/>
    <w:rsid w:val="007A5598"/>
    <w:rsid w:val="007A596D"/>
    <w:rsid w:val="007A684C"/>
    <w:rsid w:val="007A69CD"/>
    <w:rsid w:val="007A7056"/>
    <w:rsid w:val="007B1436"/>
    <w:rsid w:val="007B14C8"/>
    <w:rsid w:val="007B2613"/>
    <w:rsid w:val="007B4442"/>
    <w:rsid w:val="007B53B3"/>
    <w:rsid w:val="007B78AA"/>
    <w:rsid w:val="007C0710"/>
    <w:rsid w:val="007C082A"/>
    <w:rsid w:val="007C0970"/>
    <w:rsid w:val="007C30B8"/>
    <w:rsid w:val="007C32FF"/>
    <w:rsid w:val="007C54D8"/>
    <w:rsid w:val="007C5A22"/>
    <w:rsid w:val="007C6428"/>
    <w:rsid w:val="007C6945"/>
    <w:rsid w:val="007D2E2B"/>
    <w:rsid w:val="007D3267"/>
    <w:rsid w:val="007D4D47"/>
    <w:rsid w:val="007D5CC3"/>
    <w:rsid w:val="007E0217"/>
    <w:rsid w:val="007E02A8"/>
    <w:rsid w:val="007E2157"/>
    <w:rsid w:val="007E231F"/>
    <w:rsid w:val="007E537A"/>
    <w:rsid w:val="007E5F06"/>
    <w:rsid w:val="007E6819"/>
    <w:rsid w:val="007E7FE2"/>
    <w:rsid w:val="007F175E"/>
    <w:rsid w:val="007F19FA"/>
    <w:rsid w:val="007F266D"/>
    <w:rsid w:val="007F2F4E"/>
    <w:rsid w:val="007F47C8"/>
    <w:rsid w:val="007F4ACB"/>
    <w:rsid w:val="007F5338"/>
    <w:rsid w:val="007F5CCE"/>
    <w:rsid w:val="007F6DFD"/>
    <w:rsid w:val="007F7471"/>
    <w:rsid w:val="007F78F6"/>
    <w:rsid w:val="008009BC"/>
    <w:rsid w:val="00800FE3"/>
    <w:rsid w:val="008018A6"/>
    <w:rsid w:val="008024C7"/>
    <w:rsid w:val="00802E37"/>
    <w:rsid w:val="0080335D"/>
    <w:rsid w:val="00805C71"/>
    <w:rsid w:val="00805D1B"/>
    <w:rsid w:val="00805E72"/>
    <w:rsid w:val="00806007"/>
    <w:rsid w:val="00806600"/>
    <w:rsid w:val="008066F5"/>
    <w:rsid w:val="008078FF"/>
    <w:rsid w:val="00810D39"/>
    <w:rsid w:val="008119D0"/>
    <w:rsid w:val="008127EC"/>
    <w:rsid w:val="00812D47"/>
    <w:rsid w:val="00812FC7"/>
    <w:rsid w:val="008131EB"/>
    <w:rsid w:val="00813AAC"/>
    <w:rsid w:val="00813D02"/>
    <w:rsid w:val="00814EB1"/>
    <w:rsid w:val="00815337"/>
    <w:rsid w:val="0081537A"/>
    <w:rsid w:val="008159E8"/>
    <w:rsid w:val="0081798B"/>
    <w:rsid w:val="00821B70"/>
    <w:rsid w:val="0082317D"/>
    <w:rsid w:val="008255DE"/>
    <w:rsid w:val="00826004"/>
    <w:rsid w:val="00827440"/>
    <w:rsid w:val="008278CD"/>
    <w:rsid w:val="00827C52"/>
    <w:rsid w:val="008314D2"/>
    <w:rsid w:val="00831F69"/>
    <w:rsid w:val="0083355A"/>
    <w:rsid w:val="00834648"/>
    <w:rsid w:val="00834D29"/>
    <w:rsid w:val="00834F3C"/>
    <w:rsid w:val="008354B2"/>
    <w:rsid w:val="00836216"/>
    <w:rsid w:val="0083621F"/>
    <w:rsid w:val="008376DD"/>
    <w:rsid w:val="0083789C"/>
    <w:rsid w:val="00840A29"/>
    <w:rsid w:val="00843001"/>
    <w:rsid w:val="0084320B"/>
    <w:rsid w:val="00844969"/>
    <w:rsid w:val="00844A3E"/>
    <w:rsid w:val="008451EE"/>
    <w:rsid w:val="00846368"/>
    <w:rsid w:val="008465E7"/>
    <w:rsid w:val="008504ED"/>
    <w:rsid w:val="00850B52"/>
    <w:rsid w:val="00850BAB"/>
    <w:rsid w:val="008530B1"/>
    <w:rsid w:val="008541C1"/>
    <w:rsid w:val="008546A5"/>
    <w:rsid w:val="0085489C"/>
    <w:rsid w:val="008554C8"/>
    <w:rsid w:val="00855B54"/>
    <w:rsid w:val="00855DB4"/>
    <w:rsid w:val="0086179B"/>
    <w:rsid w:val="00861A50"/>
    <w:rsid w:val="00861E66"/>
    <w:rsid w:val="008627C0"/>
    <w:rsid w:val="00866586"/>
    <w:rsid w:val="00867B57"/>
    <w:rsid w:val="00867BF0"/>
    <w:rsid w:val="00867C62"/>
    <w:rsid w:val="00871340"/>
    <w:rsid w:val="0087161B"/>
    <w:rsid w:val="00871FB3"/>
    <w:rsid w:val="00872187"/>
    <w:rsid w:val="00872C5C"/>
    <w:rsid w:val="00872F10"/>
    <w:rsid w:val="0087302D"/>
    <w:rsid w:val="00873E81"/>
    <w:rsid w:val="0087402B"/>
    <w:rsid w:val="008754D4"/>
    <w:rsid w:val="008754FA"/>
    <w:rsid w:val="0087595D"/>
    <w:rsid w:val="00875E68"/>
    <w:rsid w:val="00876002"/>
    <w:rsid w:val="008764F9"/>
    <w:rsid w:val="00876BE1"/>
    <w:rsid w:val="00880A24"/>
    <w:rsid w:val="00880FA0"/>
    <w:rsid w:val="00881C4E"/>
    <w:rsid w:val="00881E7B"/>
    <w:rsid w:val="00882146"/>
    <w:rsid w:val="00882D8E"/>
    <w:rsid w:val="008832F7"/>
    <w:rsid w:val="00884A15"/>
    <w:rsid w:val="00885018"/>
    <w:rsid w:val="00885757"/>
    <w:rsid w:val="008859BD"/>
    <w:rsid w:val="008865E6"/>
    <w:rsid w:val="008905F7"/>
    <w:rsid w:val="008917F6"/>
    <w:rsid w:val="008938AE"/>
    <w:rsid w:val="00894690"/>
    <w:rsid w:val="00897C3F"/>
    <w:rsid w:val="008A156C"/>
    <w:rsid w:val="008A1CCC"/>
    <w:rsid w:val="008A215D"/>
    <w:rsid w:val="008A2832"/>
    <w:rsid w:val="008A2DF2"/>
    <w:rsid w:val="008A4804"/>
    <w:rsid w:val="008A5597"/>
    <w:rsid w:val="008A6555"/>
    <w:rsid w:val="008A6849"/>
    <w:rsid w:val="008A7B88"/>
    <w:rsid w:val="008A7B9F"/>
    <w:rsid w:val="008B0970"/>
    <w:rsid w:val="008B150F"/>
    <w:rsid w:val="008B1531"/>
    <w:rsid w:val="008B1C28"/>
    <w:rsid w:val="008B27F8"/>
    <w:rsid w:val="008B32ED"/>
    <w:rsid w:val="008B411E"/>
    <w:rsid w:val="008B597C"/>
    <w:rsid w:val="008B66CC"/>
    <w:rsid w:val="008B6BB1"/>
    <w:rsid w:val="008B6CAB"/>
    <w:rsid w:val="008B7223"/>
    <w:rsid w:val="008C0391"/>
    <w:rsid w:val="008C1EC1"/>
    <w:rsid w:val="008C2DB3"/>
    <w:rsid w:val="008C37BD"/>
    <w:rsid w:val="008C3F78"/>
    <w:rsid w:val="008C5453"/>
    <w:rsid w:val="008C5CDC"/>
    <w:rsid w:val="008C63F8"/>
    <w:rsid w:val="008C7A7A"/>
    <w:rsid w:val="008C7B46"/>
    <w:rsid w:val="008C7E13"/>
    <w:rsid w:val="008D18EC"/>
    <w:rsid w:val="008D1BDB"/>
    <w:rsid w:val="008D24BF"/>
    <w:rsid w:val="008D4676"/>
    <w:rsid w:val="008D48EB"/>
    <w:rsid w:val="008D4B9D"/>
    <w:rsid w:val="008D6455"/>
    <w:rsid w:val="008D7239"/>
    <w:rsid w:val="008D7C32"/>
    <w:rsid w:val="008E0100"/>
    <w:rsid w:val="008E0B56"/>
    <w:rsid w:val="008E1E68"/>
    <w:rsid w:val="008E4399"/>
    <w:rsid w:val="008E4BAF"/>
    <w:rsid w:val="008E5A20"/>
    <w:rsid w:val="008E6087"/>
    <w:rsid w:val="008F2F14"/>
    <w:rsid w:val="008F34A8"/>
    <w:rsid w:val="008F367A"/>
    <w:rsid w:val="008F4851"/>
    <w:rsid w:val="008F541A"/>
    <w:rsid w:val="008F6762"/>
    <w:rsid w:val="008F69FB"/>
    <w:rsid w:val="008F7268"/>
    <w:rsid w:val="008F7587"/>
    <w:rsid w:val="008F7685"/>
    <w:rsid w:val="0090024F"/>
    <w:rsid w:val="00901E24"/>
    <w:rsid w:val="00901FBB"/>
    <w:rsid w:val="00903A44"/>
    <w:rsid w:val="00905E00"/>
    <w:rsid w:val="0090744A"/>
    <w:rsid w:val="0090749B"/>
    <w:rsid w:val="00907FA8"/>
    <w:rsid w:val="009105DD"/>
    <w:rsid w:val="00910A7B"/>
    <w:rsid w:val="00910D6E"/>
    <w:rsid w:val="00910E4B"/>
    <w:rsid w:val="0091132A"/>
    <w:rsid w:val="009145F4"/>
    <w:rsid w:val="0091523A"/>
    <w:rsid w:val="00916F7C"/>
    <w:rsid w:val="00917703"/>
    <w:rsid w:val="0091774A"/>
    <w:rsid w:val="0092009E"/>
    <w:rsid w:val="0092488D"/>
    <w:rsid w:val="009256BB"/>
    <w:rsid w:val="00925F22"/>
    <w:rsid w:val="0092624F"/>
    <w:rsid w:val="0092792B"/>
    <w:rsid w:val="00930F41"/>
    <w:rsid w:val="0093257E"/>
    <w:rsid w:val="00935943"/>
    <w:rsid w:val="00936469"/>
    <w:rsid w:val="00937637"/>
    <w:rsid w:val="00937B89"/>
    <w:rsid w:val="009409D9"/>
    <w:rsid w:val="00940E56"/>
    <w:rsid w:val="00943DD9"/>
    <w:rsid w:val="00943DF8"/>
    <w:rsid w:val="00944838"/>
    <w:rsid w:val="00946C73"/>
    <w:rsid w:val="00946CAE"/>
    <w:rsid w:val="00946D6B"/>
    <w:rsid w:val="00946F55"/>
    <w:rsid w:val="00947B9B"/>
    <w:rsid w:val="00950211"/>
    <w:rsid w:val="009510D5"/>
    <w:rsid w:val="00951D84"/>
    <w:rsid w:val="00954B9E"/>
    <w:rsid w:val="0095671A"/>
    <w:rsid w:val="0095735A"/>
    <w:rsid w:val="00960C1E"/>
    <w:rsid w:val="00962B2B"/>
    <w:rsid w:val="00963000"/>
    <w:rsid w:val="009632DD"/>
    <w:rsid w:val="009637CD"/>
    <w:rsid w:val="0096459E"/>
    <w:rsid w:val="00965E35"/>
    <w:rsid w:val="00970FB0"/>
    <w:rsid w:val="00971187"/>
    <w:rsid w:val="00971E9F"/>
    <w:rsid w:val="00971ECF"/>
    <w:rsid w:val="00973C3C"/>
    <w:rsid w:val="00973EBF"/>
    <w:rsid w:val="00974B31"/>
    <w:rsid w:val="0097504F"/>
    <w:rsid w:val="00976073"/>
    <w:rsid w:val="00981D6A"/>
    <w:rsid w:val="00981DF1"/>
    <w:rsid w:val="00982632"/>
    <w:rsid w:val="00982C10"/>
    <w:rsid w:val="00982E35"/>
    <w:rsid w:val="00982FE6"/>
    <w:rsid w:val="009852AC"/>
    <w:rsid w:val="009853B7"/>
    <w:rsid w:val="009871F9"/>
    <w:rsid w:val="00990B8D"/>
    <w:rsid w:val="00991BCD"/>
    <w:rsid w:val="00991F97"/>
    <w:rsid w:val="00993D13"/>
    <w:rsid w:val="00995477"/>
    <w:rsid w:val="00995A59"/>
    <w:rsid w:val="00995C83"/>
    <w:rsid w:val="00996BAE"/>
    <w:rsid w:val="00997686"/>
    <w:rsid w:val="009A0262"/>
    <w:rsid w:val="009A0DA2"/>
    <w:rsid w:val="009A58A8"/>
    <w:rsid w:val="009A66F3"/>
    <w:rsid w:val="009A7F3F"/>
    <w:rsid w:val="009B03F1"/>
    <w:rsid w:val="009B0AAC"/>
    <w:rsid w:val="009B0DAF"/>
    <w:rsid w:val="009B0E7C"/>
    <w:rsid w:val="009B17E5"/>
    <w:rsid w:val="009B3991"/>
    <w:rsid w:val="009B3EB2"/>
    <w:rsid w:val="009C4915"/>
    <w:rsid w:val="009C5D88"/>
    <w:rsid w:val="009C6200"/>
    <w:rsid w:val="009C774B"/>
    <w:rsid w:val="009D065A"/>
    <w:rsid w:val="009D14F1"/>
    <w:rsid w:val="009D15F2"/>
    <w:rsid w:val="009D3A05"/>
    <w:rsid w:val="009D3E03"/>
    <w:rsid w:val="009D59AA"/>
    <w:rsid w:val="009E0006"/>
    <w:rsid w:val="009E006B"/>
    <w:rsid w:val="009E14FB"/>
    <w:rsid w:val="009E319F"/>
    <w:rsid w:val="009E31BA"/>
    <w:rsid w:val="009E3653"/>
    <w:rsid w:val="009E4354"/>
    <w:rsid w:val="009E4365"/>
    <w:rsid w:val="009E43FF"/>
    <w:rsid w:val="009F01B9"/>
    <w:rsid w:val="009F3B80"/>
    <w:rsid w:val="009F3E23"/>
    <w:rsid w:val="009F6516"/>
    <w:rsid w:val="009F7AFF"/>
    <w:rsid w:val="00A013E5"/>
    <w:rsid w:val="00A03B4D"/>
    <w:rsid w:val="00A04C3B"/>
    <w:rsid w:val="00A05B48"/>
    <w:rsid w:val="00A071DB"/>
    <w:rsid w:val="00A10443"/>
    <w:rsid w:val="00A1109D"/>
    <w:rsid w:val="00A118C9"/>
    <w:rsid w:val="00A11FFF"/>
    <w:rsid w:val="00A12E19"/>
    <w:rsid w:val="00A14970"/>
    <w:rsid w:val="00A16FC7"/>
    <w:rsid w:val="00A171DF"/>
    <w:rsid w:val="00A17C80"/>
    <w:rsid w:val="00A213F6"/>
    <w:rsid w:val="00A22167"/>
    <w:rsid w:val="00A22EC1"/>
    <w:rsid w:val="00A23353"/>
    <w:rsid w:val="00A23998"/>
    <w:rsid w:val="00A26651"/>
    <w:rsid w:val="00A30242"/>
    <w:rsid w:val="00A30CED"/>
    <w:rsid w:val="00A32DFF"/>
    <w:rsid w:val="00A33337"/>
    <w:rsid w:val="00A3375F"/>
    <w:rsid w:val="00A33B4A"/>
    <w:rsid w:val="00A344D7"/>
    <w:rsid w:val="00A349F7"/>
    <w:rsid w:val="00A35365"/>
    <w:rsid w:val="00A369A4"/>
    <w:rsid w:val="00A37027"/>
    <w:rsid w:val="00A377DF"/>
    <w:rsid w:val="00A405DC"/>
    <w:rsid w:val="00A418C4"/>
    <w:rsid w:val="00A4217E"/>
    <w:rsid w:val="00A43174"/>
    <w:rsid w:val="00A446CE"/>
    <w:rsid w:val="00A44B35"/>
    <w:rsid w:val="00A45823"/>
    <w:rsid w:val="00A45D2A"/>
    <w:rsid w:val="00A478D0"/>
    <w:rsid w:val="00A47A73"/>
    <w:rsid w:val="00A50CF7"/>
    <w:rsid w:val="00A51142"/>
    <w:rsid w:val="00A513F9"/>
    <w:rsid w:val="00A51A91"/>
    <w:rsid w:val="00A54A1E"/>
    <w:rsid w:val="00A552BF"/>
    <w:rsid w:val="00A567B1"/>
    <w:rsid w:val="00A56A95"/>
    <w:rsid w:val="00A60E48"/>
    <w:rsid w:val="00A66927"/>
    <w:rsid w:val="00A71574"/>
    <w:rsid w:val="00A735E2"/>
    <w:rsid w:val="00A73A54"/>
    <w:rsid w:val="00A73D57"/>
    <w:rsid w:val="00A74100"/>
    <w:rsid w:val="00A755DB"/>
    <w:rsid w:val="00A8149A"/>
    <w:rsid w:val="00A81D24"/>
    <w:rsid w:val="00A8345B"/>
    <w:rsid w:val="00A83CFC"/>
    <w:rsid w:val="00A84E66"/>
    <w:rsid w:val="00A904A1"/>
    <w:rsid w:val="00A9065C"/>
    <w:rsid w:val="00A90E0A"/>
    <w:rsid w:val="00A9141B"/>
    <w:rsid w:val="00A91492"/>
    <w:rsid w:val="00A92E0E"/>
    <w:rsid w:val="00A94529"/>
    <w:rsid w:val="00A94AC8"/>
    <w:rsid w:val="00A96645"/>
    <w:rsid w:val="00A96CB6"/>
    <w:rsid w:val="00A96EA6"/>
    <w:rsid w:val="00A9744C"/>
    <w:rsid w:val="00A9760B"/>
    <w:rsid w:val="00AA015A"/>
    <w:rsid w:val="00AA2F4A"/>
    <w:rsid w:val="00AA3008"/>
    <w:rsid w:val="00AA41BF"/>
    <w:rsid w:val="00AA4D7D"/>
    <w:rsid w:val="00AA5BC2"/>
    <w:rsid w:val="00AA6883"/>
    <w:rsid w:val="00AA6BA4"/>
    <w:rsid w:val="00AB1C71"/>
    <w:rsid w:val="00AB3E8E"/>
    <w:rsid w:val="00AB7696"/>
    <w:rsid w:val="00AC0083"/>
    <w:rsid w:val="00AC13F9"/>
    <w:rsid w:val="00AC1ABB"/>
    <w:rsid w:val="00AC1D14"/>
    <w:rsid w:val="00AC26C9"/>
    <w:rsid w:val="00AC3F7E"/>
    <w:rsid w:val="00AC529E"/>
    <w:rsid w:val="00AC6AC5"/>
    <w:rsid w:val="00AD048B"/>
    <w:rsid w:val="00AD05E8"/>
    <w:rsid w:val="00AD09C2"/>
    <w:rsid w:val="00AD0C51"/>
    <w:rsid w:val="00AD0D54"/>
    <w:rsid w:val="00AD31D7"/>
    <w:rsid w:val="00AD4AA4"/>
    <w:rsid w:val="00AD77FA"/>
    <w:rsid w:val="00AE0036"/>
    <w:rsid w:val="00AE0F7C"/>
    <w:rsid w:val="00AE154A"/>
    <w:rsid w:val="00AE1F84"/>
    <w:rsid w:val="00AE2943"/>
    <w:rsid w:val="00AE34C0"/>
    <w:rsid w:val="00AE44EB"/>
    <w:rsid w:val="00AF0A3F"/>
    <w:rsid w:val="00AF2437"/>
    <w:rsid w:val="00AF30EC"/>
    <w:rsid w:val="00AF3296"/>
    <w:rsid w:val="00AF32BE"/>
    <w:rsid w:val="00AF3624"/>
    <w:rsid w:val="00AF4492"/>
    <w:rsid w:val="00AF454C"/>
    <w:rsid w:val="00AF4C23"/>
    <w:rsid w:val="00AF5919"/>
    <w:rsid w:val="00AF5939"/>
    <w:rsid w:val="00B011AD"/>
    <w:rsid w:val="00B01D5C"/>
    <w:rsid w:val="00B0481D"/>
    <w:rsid w:val="00B04852"/>
    <w:rsid w:val="00B0504B"/>
    <w:rsid w:val="00B0592E"/>
    <w:rsid w:val="00B063D3"/>
    <w:rsid w:val="00B06AE6"/>
    <w:rsid w:val="00B07D34"/>
    <w:rsid w:val="00B07E54"/>
    <w:rsid w:val="00B10186"/>
    <w:rsid w:val="00B11FF4"/>
    <w:rsid w:val="00B12B91"/>
    <w:rsid w:val="00B14F83"/>
    <w:rsid w:val="00B15DBF"/>
    <w:rsid w:val="00B16FC7"/>
    <w:rsid w:val="00B17F51"/>
    <w:rsid w:val="00B20F48"/>
    <w:rsid w:val="00B217EE"/>
    <w:rsid w:val="00B2219C"/>
    <w:rsid w:val="00B22DD2"/>
    <w:rsid w:val="00B23734"/>
    <w:rsid w:val="00B237A2"/>
    <w:rsid w:val="00B23A23"/>
    <w:rsid w:val="00B23C35"/>
    <w:rsid w:val="00B2538E"/>
    <w:rsid w:val="00B27839"/>
    <w:rsid w:val="00B30E1B"/>
    <w:rsid w:val="00B31456"/>
    <w:rsid w:val="00B31D9D"/>
    <w:rsid w:val="00B35130"/>
    <w:rsid w:val="00B359A9"/>
    <w:rsid w:val="00B36C6A"/>
    <w:rsid w:val="00B36EE4"/>
    <w:rsid w:val="00B37D86"/>
    <w:rsid w:val="00B40DF1"/>
    <w:rsid w:val="00B42C60"/>
    <w:rsid w:val="00B43761"/>
    <w:rsid w:val="00B43BFC"/>
    <w:rsid w:val="00B44390"/>
    <w:rsid w:val="00B46E8B"/>
    <w:rsid w:val="00B474F5"/>
    <w:rsid w:val="00B475F6"/>
    <w:rsid w:val="00B5001E"/>
    <w:rsid w:val="00B50A6B"/>
    <w:rsid w:val="00B51312"/>
    <w:rsid w:val="00B5343E"/>
    <w:rsid w:val="00B54847"/>
    <w:rsid w:val="00B55402"/>
    <w:rsid w:val="00B55CFB"/>
    <w:rsid w:val="00B56B27"/>
    <w:rsid w:val="00B57302"/>
    <w:rsid w:val="00B57778"/>
    <w:rsid w:val="00B61357"/>
    <w:rsid w:val="00B61EDC"/>
    <w:rsid w:val="00B6298E"/>
    <w:rsid w:val="00B62E0B"/>
    <w:rsid w:val="00B630F4"/>
    <w:rsid w:val="00B66427"/>
    <w:rsid w:val="00B66ACD"/>
    <w:rsid w:val="00B67D02"/>
    <w:rsid w:val="00B67EAF"/>
    <w:rsid w:val="00B70025"/>
    <w:rsid w:val="00B70EF1"/>
    <w:rsid w:val="00B71FC0"/>
    <w:rsid w:val="00B72A81"/>
    <w:rsid w:val="00B72C13"/>
    <w:rsid w:val="00B73BB5"/>
    <w:rsid w:val="00B73BC1"/>
    <w:rsid w:val="00B7473D"/>
    <w:rsid w:val="00B74963"/>
    <w:rsid w:val="00B77529"/>
    <w:rsid w:val="00B80811"/>
    <w:rsid w:val="00B80871"/>
    <w:rsid w:val="00B81E9F"/>
    <w:rsid w:val="00B82D7E"/>
    <w:rsid w:val="00B85729"/>
    <w:rsid w:val="00B86519"/>
    <w:rsid w:val="00B86AF8"/>
    <w:rsid w:val="00B876E8"/>
    <w:rsid w:val="00B911C8"/>
    <w:rsid w:val="00B92743"/>
    <w:rsid w:val="00B9377D"/>
    <w:rsid w:val="00B94152"/>
    <w:rsid w:val="00B94832"/>
    <w:rsid w:val="00B955A9"/>
    <w:rsid w:val="00B96D34"/>
    <w:rsid w:val="00B97EFB"/>
    <w:rsid w:val="00BA1F3C"/>
    <w:rsid w:val="00BA5C1A"/>
    <w:rsid w:val="00BA5FD0"/>
    <w:rsid w:val="00BA70EC"/>
    <w:rsid w:val="00BA7501"/>
    <w:rsid w:val="00BB1D3E"/>
    <w:rsid w:val="00BB2661"/>
    <w:rsid w:val="00BB2943"/>
    <w:rsid w:val="00BB2968"/>
    <w:rsid w:val="00BB2BDB"/>
    <w:rsid w:val="00BB311A"/>
    <w:rsid w:val="00BB3B8F"/>
    <w:rsid w:val="00BB3CF2"/>
    <w:rsid w:val="00BB4A20"/>
    <w:rsid w:val="00BB59FA"/>
    <w:rsid w:val="00BB5E7C"/>
    <w:rsid w:val="00BB783D"/>
    <w:rsid w:val="00BC3B38"/>
    <w:rsid w:val="00BC4119"/>
    <w:rsid w:val="00BC4D00"/>
    <w:rsid w:val="00BC51AE"/>
    <w:rsid w:val="00BC6AE1"/>
    <w:rsid w:val="00BC72C5"/>
    <w:rsid w:val="00BD147D"/>
    <w:rsid w:val="00BD1F19"/>
    <w:rsid w:val="00BD26D8"/>
    <w:rsid w:val="00BD2C79"/>
    <w:rsid w:val="00BD381C"/>
    <w:rsid w:val="00BD39A4"/>
    <w:rsid w:val="00BD3E7E"/>
    <w:rsid w:val="00BD46D9"/>
    <w:rsid w:val="00BD4C2B"/>
    <w:rsid w:val="00BD5EDB"/>
    <w:rsid w:val="00BD60CE"/>
    <w:rsid w:val="00BD6C46"/>
    <w:rsid w:val="00BD6DB4"/>
    <w:rsid w:val="00BE1545"/>
    <w:rsid w:val="00BE3426"/>
    <w:rsid w:val="00BE4601"/>
    <w:rsid w:val="00BE4BEC"/>
    <w:rsid w:val="00BE5849"/>
    <w:rsid w:val="00BE5FEB"/>
    <w:rsid w:val="00BF1D8A"/>
    <w:rsid w:val="00BF28B1"/>
    <w:rsid w:val="00BF30DE"/>
    <w:rsid w:val="00BF5AE5"/>
    <w:rsid w:val="00BF5EB2"/>
    <w:rsid w:val="00BF6187"/>
    <w:rsid w:val="00BF72C5"/>
    <w:rsid w:val="00C00AA1"/>
    <w:rsid w:val="00C00D46"/>
    <w:rsid w:val="00C01023"/>
    <w:rsid w:val="00C043D4"/>
    <w:rsid w:val="00C0673A"/>
    <w:rsid w:val="00C06958"/>
    <w:rsid w:val="00C0717D"/>
    <w:rsid w:val="00C07B52"/>
    <w:rsid w:val="00C13D38"/>
    <w:rsid w:val="00C154F5"/>
    <w:rsid w:val="00C15D83"/>
    <w:rsid w:val="00C201F0"/>
    <w:rsid w:val="00C2051C"/>
    <w:rsid w:val="00C20521"/>
    <w:rsid w:val="00C218AA"/>
    <w:rsid w:val="00C226C5"/>
    <w:rsid w:val="00C22B2D"/>
    <w:rsid w:val="00C25CBC"/>
    <w:rsid w:val="00C25E29"/>
    <w:rsid w:val="00C25FD7"/>
    <w:rsid w:val="00C26B23"/>
    <w:rsid w:val="00C26E92"/>
    <w:rsid w:val="00C2725D"/>
    <w:rsid w:val="00C277A3"/>
    <w:rsid w:val="00C310E2"/>
    <w:rsid w:val="00C31220"/>
    <w:rsid w:val="00C314F5"/>
    <w:rsid w:val="00C32271"/>
    <w:rsid w:val="00C34997"/>
    <w:rsid w:val="00C35402"/>
    <w:rsid w:val="00C355E8"/>
    <w:rsid w:val="00C35E60"/>
    <w:rsid w:val="00C36277"/>
    <w:rsid w:val="00C37D84"/>
    <w:rsid w:val="00C40DEA"/>
    <w:rsid w:val="00C42FB2"/>
    <w:rsid w:val="00C431ED"/>
    <w:rsid w:val="00C43B55"/>
    <w:rsid w:val="00C440BD"/>
    <w:rsid w:val="00C44D77"/>
    <w:rsid w:val="00C46817"/>
    <w:rsid w:val="00C47002"/>
    <w:rsid w:val="00C47B83"/>
    <w:rsid w:val="00C519D8"/>
    <w:rsid w:val="00C5275F"/>
    <w:rsid w:val="00C540C0"/>
    <w:rsid w:val="00C54593"/>
    <w:rsid w:val="00C54F95"/>
    <w:rsid w:val="00C565B2"/>
    <w:rsid w:val="00C575E5"/>
    <w:rsid w:val="00C57664"/>
    <w:rsid w:val="00C60167"/>
    <w:rsid w:val="00C60ED7"/>
    <w:rsid w:val="00C612CF"/>
    <w:rsid w:val="00C62FE3"/>
    <w:rsid w:val="00C63543"/>
    <w:rsid w:val="00C6496D"/>
    <w:rsid w:val="00C65087"/>
    <w:rsid w:val="00C65E06"/>
    <w:rsid w:val="00C6657D"/>
    <w:rsid w:val="00C67810"/>
    <w:rsid w:val="00C70DE0"/>
    <w:rsid w:val="00C71EB5"/>
    <w:rsid w:val="00C7211A"/>
    <w:rsid w:val="00C7411F"/>
    <w:rsid w:val="00C75045"/>
    <w:rsid w:val="00C75545"/>
    <w:rsid w:val="00C7689D"/>
    <w:rsid w:val="00C76E49"/>
    <w:rsid w:val="00C77038"/>
    <w:rsid w:val="00C77AED"/>
    <w:rsid w:val="00C8094E"/>
    <w:rsid w:val="00C80AB7"/>
    <w:rsid w:val="00C83C9C"/>
    <w:rsid w:val="00C840F7"/>
    <w:rsid w:val="00C8420B"/>
    <w:rsid w:val="00C853A4"/>
    <w:rsid w:val="00C854A8"/>
    <w:rsid w:val="00C862DC"/>
    <w:rsid w:val="00C900FE"/>
    <w:rsid w:val="00C937F8"/>
    <w:rsid w:val="00C93F64"/>
    <w:rsid w:val="00C94E1B"/>
    <w:rsid w:val="00C95696"/>
    <w:rsid w:val="00C96CBA"/>
    <w:rsid w:val="00CA1BB5"/>
    <w:rsid w:val="00CA1C3E"/>
    <w:rsid w:val="00CA1E11"/>
    <w:rsid w:val="00CA3FB2"/>
    <w:rsid w:val="00CA490E"/>
    <w:rsid w:val="00CA4BD5"/>
    <w:rsid w:val="00CA58B0"/>
    <w:rsid w:val="00CA5D23"/>
    <w:rsid w:val="00CB015A"/>
    <w:rsid w:val="00CB01A1"/>
    <w:rsid w:val="00CB02DB"/>
    <w:rsid w:val="00CB122E"/>
    <w:rsid w:val="00CB214A"/>
    <w:rsid w:val="00CB2BED"/>
    <w:rsid w:val="00CB31C0"/>
    <w:rsid w:val="00CB4251"/>
    <w:rsid w:val="00CB517C"/>
    <w:rsid w:val="00CB6D63"/>
    <w:rsid w:val="00CC0C0E"/>
    <w:rsid w:val="00CC1BBC"/>
    <w:rsid w:val="00CC1E23"/>
    <w:rsid w:val="00CC24B4"/>
    <w:rsid w:val="00CC25AE"/>
    <w:rsid w:val="00CC27D9"/>
    <w:rsid w:val="00CC3C7A"/>
    <w:rsid w:val="00CC40F4"/>
    <w:rsid w:val="00CC4407"/>
    <w:rsid w:val="00CC5F1C"/>
    <w:rsid w:val="00CC696B"/>
    <w:rsid w:val="00CC6D2D"/>
    <w:rsid w:val="00CD074F"/>
    <w:rsid w:val="00CD142D"/>
    <w:rsid w:val="00CD192C"/>
    <w:rsid w:val="00CD47BC"/>
    <w:rsid w:val="00CD5AB1"/>
    <w:rsid w:val="00CD61F2"/>
    <w:rsid w:val="00CD62A6"/>
    <w:rsid w:val="00CD6DA8"/>
    <w:rsid w:val="00CD7508"/>
    <w:rsid w:val="00CE01DA"/>
    <w:rsid w:val="00CE0AB5"/>
    <w:rsid w:val="00CE1F59"/>
    <w:rsid w:val="00CE25A8"/>
    <w:rsid w:val="00CE3039"/>
    <w:rsid w:val="00CE57B1"/>
    <w:rsid w:val="00CE6638"/>
    <w:rsid w:val="00CE6E14"/>
    <w:rsid w:val="00CE7A9C"/>
    <w:rsid w:val="00CF0261"/>
    <w:rsid w:val="00CF0B0D"/>
    <w:rsid w:val="00CF0E84"/>
    <w:rsid w:val="00CF140A"/>
    <w:rsid w:val="00CF2E5A"/>
    <w:rsid w:val="00CF321B"/>
    <w:rsid w:val="00CF3327"/>
    <w:rsid w:val="00CF36BF"/>
    <w:rsid w:val="00CF4ADD"/>
    <w:rsid w:val="00CF5151"/>
    <w:rsid w:val="00CF6B7D"/>
    <w:rsid w:val="00CF6FBB"/>
    <w:rsid w:val="00CF7BE5"/>
    <w:rsid w:val="00D0069F"/>
    <w:rsid w:val="00D02FB5"/>
    <w:rsid w:val="00D032AE"/>
    <w:rsid w:val="00D043CC"/>
    <w:rsid w:val="00D055CB"/>
    <w:rsid w:val="00D06FC5"/>
    <w:rsid w:val="00D0729A"/>
    <w:rsid w:val="00D074B3"/>
    <w:rsid w:val="00D12A48"/>
    <w:rsid w:val="00D12EF8"/>
    <w:rsid w:val="00D13328"/>
    <w:rsid w:val="00D135F8"/>
    <w:rsid w:val="00D15184"/>
    <w:rsid w:val="00D15FD3"/>
    <w:rsid w:val="00D1636D"/>
    <w:rsid w:val="00D16532"/>
    <w:rsid w:val="00D16905"/>
    <w:rsid w:val="00D16A0D"/>
    <w:rsid w:val="00D171CF"/>
    <w:rsid w:val="00D17DB9"/>
    <w:rsid w:val="00D20384"/>
    <w:rsid w:val="00D20D4B"/>
    <w:rsid w:val="00D20D79"/>
    <w:rsid w:val="00D22704"/>
    <w:rsid w:val="00D254AC"/>
    <w:rsid w:val="00D26166"/>
    <w:rsid w:val="00D265E0"/>
    <w:rsid w:val="00D27602"/>
    <w:rsid w:val="00D2770F"/>
    <w:rsid w:val="00D30154"/>
    <w:rsid w:val="00D30F53"/>
    <w:rsid w:val="00D33D47"/>
    <w:rsid w:val="00D3436B"/>
    <w:rsid w:val="00D347EB"/>
    <w:rsid w:val="00D353A4"/>
    <w:rsid w:val="00D367D1"/>
    <w:rsid w:val="00D41771"/>
    <w:rsid w:val="00D43232"/>
    <w:rsid w:val="00D43FAC"/>
    <w:rsid w:val="00D452F7"/>
    <w:rsid w:val="00D456DF"/>
    <w:rsid w:val="00D524D7"/>
    <w:rsid w:val="00D52ED2"/>
    <w:rsid w:val="00D53A62"/>
    <w:rsid w:val="00D53B66"/>
    <w:rsid w:val="00D542A9"/>
    <w:rsid w:val="00D54A2F"/>
    <w:rsid w:val="00D55ED1"/>
    <w:rsid w:val="00D57FA3"/>
    <w:rsid w:val="00D60476"/>
    <w:rsid w:val="00D611FD"/>
    <w:rsid w:val="00D6121B"/>
    <w:rsid w:val="00D6123C"/>
    <w:rsid w:val="00D6271E"/>
    <w:rsid w:val="00D634DB"/>
    <w:rsid w:val="00D63F93"/>
    <w:rsid w:val="00D64F3A"/>
    <w:rsid w:val="00D6653A"/>
    <w:rsid w:val="00D7071D"/>
    <w:rsid w:val="00D70776"/>
    <w:rsid w:val="00D70947"/>
    <w:rsid w:val="00D711C1"/>
    <w:rsid w:val="00D72ADF"/>
    <w:rsid w:val="00D73494"/>
    <w:rsid w:val="00D7359A"/>
    <w:rsid w:val="00D755E3"/>
    <w:rsid w:val="00D75C00"/>
    <w:rsid w:val="00D769F8"/>
    <w:rsid w:val="00D77DB7"/>
    <w:rsid w:val="00D8588C"/>
    <w:rsid w:val="00D8760A"/>
    <w:rsid w:val="00D87FE1"/>
    <w:rsid w:val="00D93D64"/>
    <w:rsid w:val="00DA01F2"/>
    <w:rsid w:val="00DA0729"/>
    <w:rsid w:val="00DA09D0"/>
    <w:rsid w:val="00DA0B71"/>
    <w:rsid w:val="00DA1CDF"/>
    <w:rsid w:val="00DA4511"/>
    <w:rsid w:val="00DA50F1"/>
    <w:rsid w:val="00DA59E9"/>
    <w:rsid w:val="00DA6704"/>
    <w:rsid w:val="00DA69A1"/>
    <w:rsid w:val="00DA7B95"/>
    <w:rsid w:val="00DB0956"/>
    <w:rsid w:val="00DB1348"/>
    <w:rsid w:val="00DB367F"/>
    <w:rsid w:val="00DB3B6D"/>
    <w:rsid w:val="00DB4D84"/>
    <w:rsid w:val="00DB5C22"/>
    <w:rsid w:val="00DB60D2"/>
    <w:rsid w:val="00DC00C5"/>
    <w:rsid w:val="00DC17AD"/>
    <w:rsid w:val="00DC21AC"/>
    <w:rsid w:val="00DC3D35"/>
    <w:rsid w:val="00DC4362"/>
    <w:rsid w:val="00DC4EE7"/>
    <w:rsid w:val="00DC75FA"/>
    <w:rsid w:val="00DC7EAD"/>
    <w:rsid w:val="00DD4A1C"/>
    <w:rsid w:val="00DD58FE"/>
    <w:rsid w:val="00DD5B65"/>
    <w:rsid w:val="00DD6F34"/>
    <w:rsid w:val="00DD6F87"/>
    <w:rsid w:val="00DD75CB"/>
    <w:rsid w:val="00DE057A"/>
    <w:rsid w:val="00DE072A"/>
    <w:rsid w:val="00DE08E9"/>
    <w:rsid w:val="00DE097D"/>
    <w:rsid w:val="00DE0981"/>
    <w:rsid w:val="00DE0D3E"/>
    <w:rsid w:val="00DE0D8D"/>
    <w:rsid w:val="00DE1CC4"/>
    <w:rsid w:val="00DE1F01"/>
    <w:rsid w:val="00DE1F27"/>
    <w:rsid w:val="00DE438E"/>
    <w:rsid w:val="00DE4F48"/>
    <w:rsid w:val="00DE58CE"/>
    <w:rsid w:val="00DE5D99"/>
    <w:rsid w:val="00DE673D"/>
    <w:rsid w:val="00DE67DE"/>
    <w:rsid w:val="00DE67FB"/>
    <w:rsid w:val="00DE6CAD"/>
    <w:rsid w:val="00DF02C3"/>
    <w:rsid w:val="00DF1CC7"/>
    <w:rsid w:val="00DF2837"/>
    <w:rsid w:val="00DF2EFD"/>
    <w:rsid w:val="00DF2F34"/>
    <w:rsid w:val="00DF3936"/>
    <w:rsid w:val="00DF3A3A"/>
    <w:rsid w:val="00DF41EB"/>
    <w:rsid w:val="00DF4607"/>
    <w:rsid w:val="00DF54AF"/>
    <w:rsid w:val="00DF76CE"/>
    <w:rsid w:val="00DF7B3D"/>
    <w:rsid w:val="00E00D31"/>
    <w:rsid w:val="00E01106"/>
    <w:rsid w:val="00E03185"/>
    <w:rsid w:val="00E033BF"/>
    <w:rsid w:val="00E03AD7"/>
    <w:rsid w:val="00E040A4"/>
    <w:rsid w:val="00E045CB"/>
    <w:rsid w:val="00E046E5"/>
    <w:rsid w:val="00E04731"/>
    <w:rsid w:val="00E04A74"/>
    <w:rsid w:val="00E04DA8"/>
    <w:rsid w:val="00E1037F"/>
    <w:rsid w:val="00E10B9A"/>
    <w:rsid w:val="00E113D7"/>
    <w:rsid w:val="00E11470"/>
    <w:rsid w:val="00E11625"/>
    <w:rsid w:val="00E11E09"/>
    <w:rsid w:val="00E12C6E"/>
    <w:rsid w:val="00E12FF6"/>
    <w:rsid w:val="00E14E68"/>
    <w:rsid w:val="00E1594C"/>
    <w:rsid w:val="00E16477"/>
    <w:rsid w:val="00E17868"/>
    <w:rsid w:val="00E202C2"/>
    <w:rsid w:val="00E2120B"/>
    <w:rsid w:val="00E25D4C"/>
    <w:rsid w:val="00E25F70"/>
    <w:rsid w:val="00E2627B"/>
    <w:rsid w:val="00E26338"/>
    <w:rsid w:val="00E2794B"/>
    <w:rsid w:val="00E30939"/>
    <w:rsid w:val="00E31374"/>
    <w:rsid w:val="00E3239D"/>
    <w:rsid w:val="00E32487"/>
    <w:rsid w:val="00E324B2"/>
    <w:rsid w:val="00E32D8B"/>
    <w:rsid w:val="00E33033"/>
    <w:rsid w:val="00E331A6"/>
    <w:rsid w:val="00E35E64"/>
    <w:rsid w:val="00E3633D"/>
    <w:rsid w:val="00E36B67"/>
    <w:rsid w:val="00E36B91"/>
    <w:rsid w:val="00E378BA"/>
    <w:rsid w:val="00E3797A"/>
    <w:rsid w:val="00E37D40"/>
    <w:rsid w:val="00E4080F"/>
    <w:rsid w:val="00E411AF"/>
    <w:rsid w:val="00E428D6"/>
    <w:rsid w:val="00E43608"/>
    <w:rsid w:val="00E44626"/>
    <w:rsid w:val="00E4554B"/>
    <w:rsid w:val="00E46865"/>
    <w:rsid w:val="00E474C9"/>
    <w:rsid w:val="00E50464"/>
    <w:rsid w:val="00E518C2"/>
    <w:rsid w:val="00E53C2D"/>
    <w:rsid w:val="00E5547B"/>
    <w:rsid w:val="00E55744"/>
    <w:rsid w:val="00E55C2F"/>
    <w:rsid w:val="00E56451"/>
    <w:rsid w:val="00E570C1"/>
    <w:rsid w:val="00E60743"/>
    <w:rsid w:val="00E619F2"/>
    <w:rsid w:val="00E6259F"/>
    <w:rsid w:val="00E639BA"/>
    <w:rsid w:val="00E64041"/>
    <w:rsid w:val="00E64880"/>
    <w:rsid w:val="00E6663C"/>
    <w:rsid w:val="00E66ABD"/>
    <w:rsid w:val="00E675F3"/>
    <w:rsid w:val="00E70042"/>
    <w:rsid w:val="00E7227E"/>
    <w:rsid w:val="00E73456"/>
    <w:rsid w:val="00E73FE5"/>
    <w:rsid w:val="00E75121"/>
    <w:rsid w:val="00E75FFB"/>
    <w:rsid w:val="00E76967"/>
    <w:rsid w:val="00E76DE4"/>
    <w:rsid w:val="00E774EA"/>
    <w:rsid w:val="00E85BFA"/>
    <w:rsid w:val="00E9006E"/>
    <w:rsid w:val="00E9239A"/>
    <w:rsid w:val="00E940AF"/>
    <w:rsid w:val="00E95329"/>
    <w:rsid w:val="00E95C4C"/>
    <w:rsid w:val="00EA054A"/>
    <w:rsid w:val="00EA12CE"/>
    <w:rsid w:val="00EA2116"/>
    <w:rsid w:val="00EA2513"/>
    <w:rsid w:val="00EA2EB7"/>
    <w:rsid w:val="00EA50CD"/>
    <w:rsid w:val="00EB1392"/>
    <w:rsid w:val="00EB1F03"/>
    <w:rsid w:val="00EB2AC4"/>
    <w:rsid w:val="00EB3532"/>
    <w:rsid w:val="00EB4C88"/>
    <w:rsid w:val="00EB613E"/>
    <w:rsid w:val="00EB6141"/>
    <w:rsid w:val="00EB6274"/>
    <w:rsid w:val="00EB6B32"/>
    <w:rsid w:val="00EB6EA4"/>
    <w:rsid w:val="00EC10C8"/>
    <w:rsid w:val="00EC2F8A"/>
    <w:rsid w:val="00EC3BC7"/>
    <w:rsid w:val="00EC7011"/>
    <w:rsid w:val="00EC7182"/>
    <w:rsid w:val="00EC798F"/>
    <w:rsid w:val="00EC7BB0"/>
    <w:rsid w:val="00ED01AB"/>
    <w:rsid w:val="00ED0BBF"/>
    <w:rsid w:val="00ED4EDA"/>
    <w:rsid w:val="00ED542D"/>
    <w:rsid w:val="00EE02AD"/>
    <w:rsid w:val="00EE08D4"/>
    <w:rsid w:val="00EE13D7"/>
    <w:rsid w:val="00EE27C9"/>
    <w:rsid w:val="00EE45BC"/>
    <w:rsid w:val="00EE5D93"/>
    <w:rsid w:val="00EE5EC7"/>
    <w:rsid w:val="00EE6BC6"/>
    <w:rsid w:val="00EE7237"/>
    <w:rsid w:val="00EE7557"/>
    <w:rsid w:val="00EE7AA5"/>
    <w:rsid w:val="00EF0BBE"/>
    <w:rsid w:val="00EF0DEB"/>
    <w:rsid w:val="00EF209C"/>
    <w:rsid w:val="00EF24CA"/>
    <w:rsid w:val="00EF27B3"/>
    <w:rsid w:val="00EF5DEF"/>
    <w:rsid w:val="00EF67A9"/>
    <w:rsid w:val="00EF699D"/>
    <w:rsid w:val="00EF7130"/>
    <w:rsid w:val="00EF74C8"/>
    <w:rsid w:val="00EF7A5E"/>
    <w:rsid w:val="00F00848"/>
    <w:rsid w:val="00F01FB6"/>
    <w:rsid w:val="00F03F39"/>
    <w:rsid w:val="00F05DD3"/>
    <w:rsid w:val="00F06429"/>
    <w:rsid w:val="00F10D76"/>
    <w:rsid w:val="00F10DEC"/>
    <w:rsid w:val="00F114B9"/>
    <w:rsid w:val="00F131B3"/>
    <w:rsid w:val="00F14D92"/>
    <w:rsid w:val="00F174EA"/>
    <w:rsid w:val="00F20948"/>
    <w:rsid w:val="00F20C48"/>
    <w:rsid w:val="00F2107E"/>
    <w:rsid w:val="00F211ED"/>
    <w:rsid w:val="00F2335F"/>
    <w:rsid w:val="00F234B8"/>
    <w:rsid w:val="00F2548C"/>
    <w:rsid w:val="00F260AC"/>
    <w:rsid w:val="00F2611E"/>
    <w:rsid w:val="00F26B1E"/>
    <w:rsid w:val="00F31387"/>
    <w:rsid w:val="00F32CF3"/>
    <w:rsid w:val="00F33B24"/>
    <w:rsid w:val="00F34E51"/>
    <w:rsid w:val="00F364AD"/>
    <w:rsid w:val="00F36AA6"/>
    <w:rsid w:val="00F3779A"/>
    <w:rsid w:val="00F4052F"/>
    <w:rsid w:val="00F40542"/>
    <w:rsid w:val="00F43CE4"/>
    <w:rsid w:val="00F43D33"/>
    <w:rsid w:val="00F4482C"/>
    <w:rsid w:val="00F45257"/>
    <w:rsid w:val="00F4587A"/>
    <w:rsid w:val="00F473A9"/>
    <w:rsid w:val="00F47F56"/>
    <w:rsid w:val="00F50BE0"/>
    <w:rsid w:val="00F5163C"/>
    <w:rsid w:val="00F51CF4"/>
    <w:rsid w:val="00F5262B"/>
    <w:rsid w:val="00F530F9"/>
    <w:rsid w:val="00F539DA"/>
    <w:rsid w:val="00F5402F"/>
    <w:rsid w:val="00F54326"/>
    <w:rsid w:val="00F5590E"/>
    <w:rsid w:val="00F56971"/>
    <w:rsid w:val="00F56C78"/>
    <w:rsid w:val="00F577E2"/>
    <w:rsid w:val="00F60B7A"/>
    <w:rsid w:val="00F61D13"/>
    <w:rsid w:val="00F61E4C"/>
    <w:rsid w:val="00F62935"/>
    <w:rsid w:val="00F6513E"/>
    <w:rsid w:val="00F657EE"/>
    <w:rsid w:val="00F703B3"/>
    <w:rsid w:val="00F713CD"/>
    <w:rsid w:val="00F7342D"/>
    <w:rsid w:val="00F74A64"/>
    <w:rsid w:val="00F754D7"/>
    <w:rsid w:val="00F823D0"/>
    <w:rsid w:val="00F82810"/>
    <w:rsid w:val="00F8303E"/>
    <w:rsid w:val="00F83AE4"/>
    <w:rsid w:val="00F845A9"/>
    <w:rsid w:val="00F85531"/>
    <w:rsid w:val="00F87061"/>
    <w:rsid w:val="00F8778D"/>
    <w:rsid w:val="00F900D4"/>
    <w:rsid w:val="00F930AD"/>
    <w:rsid w:val="00F95961"/>
    <w:rsid w:val="00F964EC"/>
    <w:rsid w:val="00F96ACF"/>
    <w:rsid w:val="00FA08C2"/>
    <w:rsid w:val="00FA0A19"/>
    <w:rsid w:val="00FA1D7F"/>
    <w:rsid w:val="00FA1F2E"/>
    <w:rsid w:val="00FA42A0"/>
    <w:rsid w:val="00FA498B"/>
    <w:rsid w:val="00FA5923"/>
    <w:rsid w:val="00FA60F6"/>
    <w:rsid w:val="00FA64B3"/>
    <w:rsid w:val="00FA6537"/>
    <w:rsid w:val="00FA67AA"/>
    <w:rsid w:val="00FA7CDD"/>
    <w:rsid w:val="00FB1851"/>
    <w:rsid w:val="00FB1CBB"/>
    <w:rsid w:val="00FB1D5D"/>
    <w:rsid w:val="00FB1E80"/>
    <w:rsid w:val="00FB3885"/>
    <w:rsid w:val="00FB4305"/>
    <w:rsid w:val="00FB4BE8"/>
    <w:rsid w:val="00FB7212"/>
    <w:rsid w:val="00FC0273"/>
    <w:rsid w:val="00FC199A"/>
    <w:rsid w:val="00FC3E19"/>
    <w:rsid w:val="00FC3F2E"/>
    <w:rsid w:val="00FC51F4"/>
    <w:rsid w:val="00FC5242"/>
    <w:rsid w:val="00FC5CBD"/>
    <w:rsid w:val="00FC5ECA"/>
    <w:rsid w:val="00FC74B6"/>
    <w:rsid w:val="00FD0790"/>
    <w:rsid w:val="00FD198E"/>
    <w:rsid w:val="00FD3BE0"/>
    <w:rsid w:val="00FD6A1A"/>
    <w:rsid w:val="00FD6BB6"/>
    <w:rsid w:val="00FD783C"/>
    <w:rsid w:val="00FE1E5D"/>
    <w:rsid w:val="00FE31A4"/>
    <w:rsid w:val="00FE366C"/>
    <w:rsid w:val="00FE4384"/>
    <w:rsid w:val="00FE60AF"/>
    <w:rsid w:val="00FE7F6F"/>
    <w:rsid w:val="00FF2163"/>
    <w:rsid w:val="00FF37AF"/>
    <w:rsid w:val="00FF3A2B"/>
    <w:rsid w:val="00FF3CBA"/>
    <w:rsid w:val="00FF593E"/>
    <w:rsid w:val="00FF622A"/>
    <w:rsid w:val="50CC6E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2F5B6"/>
  <w14:defaultImageDpi w14:val="300"/>
  <w15:docId w15:val="{1524FA0E-E7F3-41F0-9ADC-D5D2A596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D2"/>
  </w:style>
  <w:style w:type="paragraph" w:styleId="Heading1">
    <w:name w:val="heading 1"/>
    <w:basedOn w:val="Normal"/>
    <w:next w:val="Normal"/>
    <w:link w:val="Heading1Char"/>
    <w:uiPriority w:val="9"/>
    <w:qFormat/>
    <w:rsid w:val="00751E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751E5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E154A"/>
    <w:pPr>
      <w:ind w:left="720"/>
      <w:contextualSpacing/>
    </w:pPr>
  </w:style>
  <w:style w:type="character" w:customStyle="1" w:styleId="A6">
    <w:name w:val="A6"/>
    <w:uiPriority w:val="99"/>
    <w:rsid w:val="008314D2"/>
    <w:rPr>
      <w:rFonts w:ascii="Gotham" w:hAnsi="Gotham" w:cs="Gotham"/>
      <w:color w:val="000000"/>
      <w:sz w:val="11"/>
      <w:szCs w:val="11"/>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C6AE1"/>
    <w:pPr>
      <w:spacing w:after="160" w:line="240" w:lineRule="exact"/>
      <w:jc w:val="both"/>
    </w:pPr>
    <w:rPr>
      <w:vertAlign w:val="superscript"/>
    </w:rPr>
  </w:style>
  <w:style w:type="paragraph" w:styleId="TOCHeading">
    <w:name w:val="TOC Heading"/>
    <w:basedOn w:val="Heading1"/>
    <w:next w:val="Normal"/>
    <w:uiPriority w:val="39"/>
    <w:unhideWhenUsed/>
    <w:qFormat/>
    <w:rsid w:val="00750CF6"/>
    <w:pPr>
      <w:spacing w:line="259" w:lineRule="auto"/>
      <w:outlineLvl w:val="9"/>
    </w:pPr>
    <w:rPr>
      <w:lang w:val="en-US"/>
    </w:rPr>
  </w:style>
  <w:style w:type="paragraph" w:styleId="TOC1">
    <w:name w:val="toc 1"/>
    <w:basedOn w:val="Normal"/>
    <w:next w:val="Normal"/>
    <w:autoRedefine/>
    <w:uiPriority w:val="39"/>
    <w:unhideWhenUsed/>
    <w:rsid w:val="003C0662"/>
    <w:pPr>
      <w:tabs>
        <w:tab w:val="left" w:pos="660"/>
        <w:tab w:val="right" w:leader="dot" w:pos="9848"/>
      </w:tabs>
      <w:spacing w:after="100"/>
    </w:pPr>
  </w:style>
  <w:style w:type="paragraph" w:customStyle="1" w:styleId="Pa2">
    <w:name w:val="Pa2"/>
    <w:basedOn w:val="Default"/>
    <w:next w:val="Default"/>
    <w:uiPriority w:val="99"/>
    <w:rsid w:val="00196FB3"/>
    <w:pPr>
      <w:widowControl/>
      <w:spacing w:line="201" w:lineRule="atLeast"/>
    </w:pPr>
    <w:rPr>
      <w:rFonts w:ascii="Gotham Book" w:hAnsi="Gotham Book" w:cstheme="minorBidi"/>
      <w:color w:val="auto"/>
      <w:lang w:val="en-GB"/>
    </w:rPr>
  </w:style>
  <w:style w:type="character" w:customStyle="1" w:styleId="A4">
    <w:name w:val="A4"/>
    <w:uiPriority w:val="99"/>
    <w:rsid w:val="009637CD"/>
    <w:rPr>
      <w:rFonts w:cs="Gotham Book"/>
      <w:color w:val="000000"/>
      <w:sz w:val="20"/>
      <w:szCs w:val="20"/>
    </w:rPr>
  </w:style>
  <w:style w:type="character" w:styleId="CommentReference">
    <w:name w:val="annotation reference"/>
    <w:basedOn w:val="DefaultParagraphFont"/>
    <w:uiPriority w:val="99"/>
    <w:semiHidden/>
    <w:unhideWhenUsed/>
    <w:rsid w:val="0097504F"/>
    <w:rPr>
      <w:sz w:val="16"/>
      <w:szCs w:val="16"/>
    </w:rPr>
  </w:style>
  <w:style w:type="paragraph" w:styleId="CommentText">
    <w:name w:val="annotation text"/>
    <w:basedOn w:val="Normal"/>
    <w:link w:val="CommentTextChar"/>
    <w:uiPriority w:val="99"/>
    <w:unhideWhenUsed/>
    <w:rsid w:val="0097504F"/>
    <w:rPr>
      <w:sz w:val="20"/>
      <w:szCs w:val="20"/>
    </w:rPr>
  </w:style>
  <w:style w:type="character" w:customStyle="1" w:styleId="CommentTextChar">
    <w:name w:val="Comment Text Char"/>
    <w:basedOn w:val="DefaultParagraphFont"/>
    <w:link w:val="CommentText"/>
    <w:uiPriority w:val="99"/>
    <w:rsid w:val="0097504F"/>
    <w:rPr>
      <w:sz w:val="20"/>
      <w:szCs w:val="20"/>
    </w:rPr>
  </w:style>
  <w:style w:type="paragraph" w:styleId="CommentSubject">
    <w:name w:val="annotation subject"/>
    <w:basedOn w:val="CommentText"/>
    <w:next w:val="CommentText"/>
    <w:link w:val="CommentSubjectChar"/>
    <w:uiPriority w:val="99"/>
    <w:semiHidden/>
    <w:unhideWhenUsed/>
    <w:rsid w:val="0097504F"/>
    <w:rPr>
      <w:b/>
      <w:bCs/>
    </w:rPr>
  </w:style>
  <w:style w:type="character" w:customStyle="1" w:styleId="CommentSubjectChar">
    <w:name w:val="Comment Subject Char"/>
    <w:basedOn w:val="CommentTextChar"/>
    <w:link w:val="CommentSubject"/>
    <w:uiPriority w:val="99"/>
    <w:semiHidden/>
    <w:rsid w:val="0097504F"/>
    <w:rPr>
      <w:b/>
      <w:bCs/>
      <w:sz w:val="20"/>
      <w:szCs w:val="20"/>
    </w:rPr>
  </w:style>
  <w:style w:type="character" w:styleId="UnresolvedMention">
    <w:name w:val="Unresolved Mention"/>
    <w:basedOn w:val="DefaultParagraphFont"/>
    <w:uiPriority w:val="99"/>
    <w:semiHidden/>
    <w:unhideWhenUsed/>
    <w:rsid w:val="00A83CFC"/>
    <w:rPr>
      <w:color w:val="605E5C"/>
      <w:shd w:val="clear" w:color="auto" w:fill="E1DFDD"/>
    </w:rPr>
  </w:style>
  <w:style w:type="paragraph" w:styleId="Revision">
    <w:name w:val="Revision"/>
    <w:hidden/>
    <w:uiPriority w:val="99"/>
    <w:semiHidden/>
    <w:rsid w:val="001D09B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6443">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476603408">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76162/frontier-workers-v2.0ext.pdf" TargetMode="External"/><Relationship Id="rId2" Type="http://schemas.openxmlformats.org/officeDocument/2006/relationships/hyperlink" Target="https://assets.publishing.service.gov.uk/government/uploads/system/uploads/attachment_data/file/976162/frontier-workers-v2.0ext.pdf" TargetMode="External"/><Relationship Id="rId1" Type="http://schemas.openxmlformats.org/officeDocument/2006/relationships/hyperlink" Target="https://www.ohchr.org/sites/default/files/documents/publications/factsheet33en.pdf" TargetMode="External"/><Relationship Id="rId4" Type="http://schemas.openxmlformats.org/officeDocument/2006/relationships/hyperlink" Target="https://www.equalityni.org/Footer-Links/News/Delivering-Equality/Commissions-meet-in-the-North-West-to-discuss-r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8D35E93661DC47B2E463DBB1D08AF5" ma:contentTypeVersion="7" ma:contentTypeDescription="Create a new document." ma:contentTypeScope="" ma:versionID="b9bc304f9fb4b68286448f4a0e8644f8">
  <xsd:schema xmlns:xsd="http://www.w3.org/2001/XMLSchema" xmlns:xs="http://www.w3.org/2001/XMLSchema" xmlns:p="http://schemas.microsoft.com/office/2006/metadata/properties" xmlns:ns2="c003ffd8-70ba-4949-891b-1d147639e9e4" xmlns:ns3="38b2c85b-e954-425c-a9fe-d2e9404c5012" targetNamespace="http://schemas.microsoft.com/office/2006/metadata/properties" ma:root="true" ma:fieldsID="2a3cce5be4c1f6ae44f94cfbe65dda2b" ns2:_="" ns3:_="">
    <xsd:import namespace="c003ffd8-70ba-4949-891b-1d147639e9e4"/>
    <xsd:import namespace="38b2c85b-e954-425c-a9fe-d2e9404c5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3ffd8-70ba-4949-891b-1d147639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2c85b-e954-425c-a9fe-d2e9404c5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2DFE1-B605-4495-9073-5CCE27576E74}">
  <ds:schemaRefs>
    <ds:schemaRef ds:uri="http://schemas.openxmlformats.org/officeDocument/2006/bibliography"/>
  </ds:schemaRefs>
</ds:datastoreItem>
</file>

<file path=customXml/itemProps2.xml><?xml version="1.0" encoding="utf-8"?>
<ds:datastoreItem xmlns:ds="http://schemas.openxmlformats.org/officeDocument/2006/customXml" ds:itemID="{1EA14BF7-EB1A-4E03-BC3D-8EEF17A14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BAB86-D914-40C3-A683-0ACFD36B5967}">
  <ds:schemaRefs>
    <ds:schemaRef ds:uri="http://schemas.microsoft.com/sharepoint/v3/contenttype/forms"/>
  </ds:schemaRefs>
</ds:datastoreItem>
</file>

<file path=customXml/itemProps4.xml><?xml version="1.0" encoding="utf-8"?>
<ds:datastoreItem xmlns:ds="http://schemas.openxmlformats.org/officeDocument/2006/customXml" ds:itemID="{0DAD5FA9-58B5-48CA-819F-D16467E3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3ffd8-70ba-4949-891b-1d147639e9e4"/>
    <ds:schemaRef ds:uri="38b2c85b-e954-425c-a9fe-d2e9404c5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4540</Words>
  <Characters>25878</Characters>
  <Application>Microsoft Office Word</Application>
  <DocSecurity>0</DocSecurity>
  <Lines>215</Lines>
  <Paragraphs>60</Paragraphs>
  <ScaleCrop>false</ScaleCrop>
  <Company>Whitenoise</Company>
  <LinksUpToDate>false</LinksUpToDate>
  <CharactersWithSpaces>30358</CharactersWithSpaces>
  <SharedDoc>false</SharedDoc>
  <HLinks>
    <vt:vector size="90" baseType="variant">
      <vt:variant>
        <vt:i4>6946881</vt:i4>
      </vt:variant>
      <vt:variant>
        <vt:i4>54</vt:i4>
      </vt:variant>
      <vt:variant>
        <vt:i4>0</vt:i4>
      </vt:variant>
      <vt:variant>
        <vt:i4>5</vt:i4>
      </vt:variant>
      <vt:variant>
        <vt:lpwstr>mailto:info@nihrc.org</vt:lpwstr>
      </vt:variant>
      <vt:variant>
        <vt:lpwstr/>
      </vt:variant>
      <vt:variant>
        <vt:i4>4587543</vt:i4>
      </vt:variant>
      <vt:variant>
        <vt:i4>51</vt:i4>
      </vt:variant>
      <vt:variant>
        <vt:i4>0</vt:i4>
      </vt:variant>
      <vt:variant>
        <vt:i4>5</vt:i4>
      </vt:variant>
      <vt:variant>
        <vt:lpwstr>http://www.nihrc.org/</vt:lpwstr>
      </vt:variant>
      <vt:variant>
        <vt:lpwstr/>
      </vt:variant>
      <vt:variant>
        <vt:i4>1638462</vt:i4>
      </vt:variant>
      <vt:variant>
        <vt:i4>44</vt:i4>
      </vt:variant>
      <vt:variant>
        <vt:i4>0</vt:i4>
      </vt:variant>
      <vt:variant>
        <vt:i4>5</vt:i4>
      </vt:variant>
      <vt:variant>
        <vt:lpwstr/>
      </vt:variant>
      <vt:variant>
        <vt:lpwstr>_Toc104983344</vt:lpwstr>
      </vt:variant>
      <vt:variant>
        <vt:i4>1638462</vt:i4>
      </vt:variant>
      <vt:variant>
        <vt:i4>38</vt:i4>
      </vt:variant>
      <vt:variant>
        <vt:i4>0</vt:i4>
      </vt:variant>
      <vt:variant>
        <vt:i4>5</vt:i4>
      </vt:variant>
      <vt:variant>
        <vt:lpwstr/>
      </vt:variant>
      <vt:variant>
        <vt:lpwstr>_Toc104983343</vt:lpwstr>
      </vt:variant>
      <vt:variant>
        <vt:i4>1638462</vt:i4>
      </vt:variant>
      <vt:variant>
        <vt:i4>32</vt:i4>
      </vt:variant>
      <vt:variant>
        <vt:i4>0</vt:i4>
      </vt:variant>
      <vt:variant>
        <vt:i4>5</vt:i4>
      </vt:variant>
      <vt:variant>
        <vt:lpwstr/>
      </vt:variant>
      <vt:variant>
        <vt:lpwstr>_Toc104983342</vt:lpwstr>
      </vt:variant>
      <vt:variant>
        <vt:i4>1638462</vt:i4>
      </vt:variant>
      <vt:variant>
        <vt:i4>26</vt:i4>
      </vt:variant>
      <vt:variant>
        <vt:i4>0</vt:i4>
      </vt:variant>
      <vt:variant>
        <vt:i4>5</vt:i4>
      </vt:variant>
      <vt:variant>
        <vt:lpwstr/>
      </vt:variant>
      <vt:variant>
        <vt:lpwstr>_Toc104983341</vt:lpwstr>
      </vt:variant>
      <vt:variant>
        <vt:i4>1638462</vt:i4>
      </vt:variant>
      <vt:variant>
        <vt:i4>20</vt:i4>
      </vt:variant>
      <vt:variant>
        <vt:i4>0</vt:i4>
      </vt:variant>
      <vt:variant>
        <vt:i4>5</vt:i4>
      </vt:variant>
      <vt:variant>
        <vt:lpwstr/>
      </vt:variant>
      <vt:variant>
        <vt:lpwstr>_Toc104983340</vt:lpwstr>
      </vt:variant>
      <vt:variant>
        <vt:i4>1966142</vt:i4>
      </vt:variant>
      <vt:variant>
        <vt:i4>14</vt:i4>
      </vt:variant>
      <vt:variant>
        <vt:i4>0</vt:i4>
      </vt:variant>
      <vt:variant>
        <vt:i4>5</vt:i4>
      </vt:variant>
      <vt:variant>
        <vt:lpwstr/>
      </vt:variant>
      <vt:variant>
        <vt:lpwstr>_Toc104983339</vt:lpwstr>
      </vt:variant>
      <vt:variant>
        <vt:i4>1966142</vt:i4>
      </vt:variant>
      <vt:variant>
        <vt:i4>8</vt:i4>
      </vt:variant>
      <vt:variant>
        <vt:i4>0</vt:i4>
      </vt:variant>
      <vt:variant>
        <vt:i4>5</vt:i4>
      </vt:variant>
      <vt:variant>
        <vt:lpwstr/>
      </vt:variant>
      <vt:variant>
        <vt:lpwstr>_Toc104983338</vt:lpwstr>
      </vt:variant>
      <vt:variant>
        <vt:i4>1966142</vt:i4>
      </vt:variant>
      <vt:variant>
        <vt:i4>2</vt:i4>
      </vt:variant>
      <vt:variant>
        <vt:i4>0</vt:i4>
      </vt:variant>
      <vt:variant>
        <vt:i4>5</vt:i4>
      </vt:variant>
      <vt:variant>
        <vt:lpwstr/>
      </vt:variant>
      <vt:variant>
        <vt:lpwstr>_Toc104983337</vt:lpwstr>
      </vt:variant>
      <vt:variant>
        <vt:i4>7864371</vt:i4>
      </vt:variant>
      <vt:variant>
        <vt:i4>9</vt:i4>
      </vt:variant>
      <vt:variant>
        <vt:i4>0</vt:i4>
      </vt:variant>
      <vt:variant>
        <vt:i4>5</vt:i4>
      </vt:variant>
      <vt:variant>
        <vt:lpwstr>https://www.equalityni.org/Footer-Links/News/Delivering-Equality/Commissions-meet-in-the-North-West-to-discuss-righ</vt:lpwstr>
      </vt:variant>
      <vt:variant>
        <vt:lpwstr/>
      </vt:variant>
      <vt:variant>
        <vt:i4>4587566</vt:i4>
      </vt:variant>
      <vt:variant>
        <vt:i4>6</vt:i4>
      </vt:variant>
      <vt:variant>
        <vt:i4>0</vt:i4>
      </vt:variant>
      <vt:variant>
        <vt:i4>5</vt:i4>
      </vt:variant>
      <vt:variant>
        <vt:lpwstr>https://assets.publishing.service.gov.uk/government/uploads/system/uploads/attachment_data/file/976162/frontier-workers-v2.0ext.pdf</vt:lpwstr>
      </vt:variant>
      <vt:variant>
        <vt:lpwstr/>
      </vt:variant>
      <vt:variant>
        <vt:i4>4587566</vt:i4>
      </vt:variant>
      <vt:variant>
        <vt:i4>3</vt:i4>
      </vt:variant>
      <vt:variant>
        <vt:i4>0</vt:i4>
      </vt:variant>
      <vt:variant>
        <vt:i4>5</vt:i4>
      </vt:variant>
      <vt:variant>
        <vt:lpwstr>https://assets.publishing.service.gov.uk/government/uploads/system/uploads/attachment_data/file/976162/frontier-workers-v2.0ext.pdf</vt:lpwstr>
      </vt:variant>
      <vt:variant>
        <vt:lpwstr/>
      </vt:variant>
      <vt:variant>
        <vt:i4>6684793</vt:i4>
      </vt:variant>
      <vt:variant>
        <vt:i4>0</vt:i4>
      </vt:variant>
      <vt:variant>
        <vt:i4>0</vt:i4>
      </vt:variant>
      <vt:variant>
        <vt:i4>5</vt:i4>
      </vt:variant>
      <vt:variant>
        <vt:lpwstr>https://www.ohchr.org/sites/default/files/documents/publications/factsheet33en.pdf</vt:lpwstr>
      </vt:variant>
      <vt:variant>
        <vt:lpwstr/>
      </vt:variant>
      <vt:variant>
        <vt:i4>3276834</vt:i4>
      </vt:variant>
      <vt:variant>
        <vt:i4>0</vt:i4>
      </vt:variant>
      <vt:variant>
        <vt:i4>0</vt:i4>
      </vt:variant>
      <vt:variant>
        <vt:i4>5</vt:i4>
      </vt:variant>
      <vt:variant>
        <vt:lpwstr>https://www.legislation.gov.uk/nisr/2015/27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Ivanka Antova</cp:lastModifiedBy>
  <cp:revision>3</cp:revision>
  <cp:lastPrinted>2023-09-25T11:27:00Z</cp:lastPrinted>
  <dcterms:created xsi:type="dcterms:W3CDTF">2023-09-25T11:27:00Z</dcterms:created>
  <dcterms:modified xsi:type="dcterms:W3CDTF">2023-09-25T11:28:00Z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0x010100D38D35E93661DC47B2E463DBB1D08AF5</vt:lpwstr>
  </property>
</Properties>
</file>